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65"/>
        <w:ind w:left="3561" w:right="3491" w:firstLine="0"/>
        <w:jc w:val="center"/>
      </w:pPr>
      <w:r>
        <w:rPr>
          <w:u w:val="thick"/>
        </w:rPr>
        <w:t>Notice of Final Agency Action</w:t>
      </w:r>
    </w:p>
    <w:p>
      <w:pPr>
        <w:pStyle w:val="BodyText"/>
        <w:rPr>
          <w:b/>
          <w:sz w:val="17"/>
        </w:rPr>
      </w:pPr>
    </w:p>
    <w:p>
      <w:pPr>
        <w:pStyle w:val="BodyText"/>
        <w:tabs>
          <w:tab w:pos="1551" w:val="left" w:leader="none"/>
        </w:tabs>
        <w:spacing w:before="90"/>
        <w:ind w:left="111"/>
      </w:pPr>
      <w:r>
        <w:rPr>
          <w:b/>
        </w:rPr>
        <w:t>SUBJECT:</w:t>
        <w:tab/>
      </w:r>
      <w:r>
        <w:rPr/>
        <w:t>MassHealth: Payment for Acute Hospital Services effective October 1,</w:t>
      </w:r>
      <w:r>
        <w:rPr>
          <w:spacing w:val="-3"/>
        </w:rPr>
        <w:t> </w:t>
      </w:r>
      <w:r>
        <w:rPr/>
        <w:t>2013</w:t>
      </w:r>
    </w:p>
    <w:p>
      <w:pPr>
        <w:pStyle w:val="BodyText"/>
        <w:spacing w:before="10"/>
      </w:pPr>
    </w:p>
    <w:p>
      <w:pPr>
        <w:pStyle w:val="BodyText"/>
        <w:tabs>
          <w:tab w:pos="1551" w:val="left" w:leader="none"/>
        </w:tabs>
        <w:spacing w:line="242" w:lineRule="auto" w:before="1"/>
        <w:ind w:left="1552" w:right="507" w:hanging="1440"/>
      </w:pPr>
      <w:r>
        <w:rPr>
          <w:b/>
        </w:rPr>
        <w:t>AGENCY:</w:t>
        <w:tab/>
      </w:r>
      <w:r>
        <w:rPr/>
        <w:t>Massachusetts Executive Office of Health and Human Services (EOHHS),</w:t>
      </w:r>
      <w:r>
        <w:rPr>
          <w:spacing w:val="-3"/>
        </w:rPr>
        <w:t> </w:t>
      </w:r>
      <w:r>
        <w:rPr/>
        <w:t>Office</w:t>
      </w:r>
      <w:r>
        <w:rPr>
          <w:spacing w:val="-1"/>
        </w:rPr>
        <w:t> </w:t>
      </w:r>
      <w:r>
        <w:rPr/>
        <w:t>of Medicaid</w:t>
      </w:r>
    </w:p>
    <w:p>
      <w:pPr>
        <w:pStyle w:val="Heading3"/>
        <w:spacing w:before="4"/>
        <w:ind w:left="111" w:firstLine="0"/>
      </w:pPr>
      <w:r>
        <w:rPr>
          <w:u w:val="thick"/>
        </w:rPr>
        <w:t>Introduction</w:t>
      </w:r>
    </w:p>
    <w:p>
      <w:pPr>
        <w:pStyle w:val="BodyText"/>
        <w:spacing w:before="6"/>
        <w:rPr>
          <w:b/>
          <w:sz w:val="16"/>
        </w:rPr>
      </w:pPr>
    </w:p>
    <w:p>
      <w:pPr>
        <w:pStyle w:val="BodyText"/>
        <w:spacing w:line="280" w:lineRule="exact" w:before="90"/>
        <w:ind w:left="112"/>
      </w:pPr>
      <w:r>
        <w:rPr/>
        <w:t>The following describes and summarizes changes in MassHealth payment for services provided by in- state acute hospitals, effective for rate year 2014 (RY14) which begins October 1, 2013. A complete description of the RY14 MassHealth in-state acute hospital inpatient and outpatient payment methods and rates is attached. For further information regarding RY2014 payment methods and rates, you may contact Kiki Feldmar at the Executive Office of Health and Human Services, MassHealth Office of Providers and Plans, 100 Hancock Street, 6</w:t>
      </w:r>
      <w:r>
        <w:rPr>
          <w:position w:val="11"/>
          <w:sz w:val="16"/>
        </w:rPr>
        <w:t>th </w:t>
      </w:r>
      <w:r>
        <w:rPr/>
        <w:t>Floor, Quincy, MA 02171, or by e-mail at </w:t>
      </w:r>
      <w:hyperlink r:id="rId6">
        <w:r>
          <w:rPr>
            <w:color w:val="0000FF"/>
            <w:u w:val="single" w:color="0000FF"/>
          </w:rPr>
          <w:t>kiki.feldmar@state.ma.us</w:t>
        </w:r>
        <w:r>
          <w:rPr/>
          <w:t>.</w:t>
        </w:r>
      </w:hyperlink>
    </w:p>
    <w:p>
      <w:pPr>
        <w:pStyle w:val="BodyText"/>
        <w:spacing w:before="8"/>
        <w:rPr>
          <w:sz w:val="16"/>
        </w:rPr>
      </w:pPr>
    </w:p>
    <w:p>
      <w:pPr>
        <w:pStyle w:val="Heading3"/>
        <w:spacing w:before="90"/>
        <w:ind w:left="112" w:firstLine="0"/>
      </w:pPr>
      <w:r>
        <w:rPr>
          <w:u w:val="thick"/>
        </w:rPr>
        <w:t>Changes in Payment Method</w:t>
      </w:r>
    </w:p>
    <w:p>
      <w:pPr>
        <w:pStyle w:val="BodyText"/>
        <w:spacing w:before="10"/>
        <w:rPr>
          <w:b/>
          <w:sz w:val="16"/>
        </w:rPr>
      </w:pPr>
    </w:p>
    <w:p>
      <w:pPr>
        <w:pStyle w:val="ListParagraph"/>
        <w:numPr>
          <w:ilvl w:val="0"/>
          <w:numId w:val="1"/>
        </w:numPr>
        <w:tabs>
          <w:tab w:pos="472" w:val="left" w:leader="none"/>
        </w:tabs>
        <w:spacing w:line="240" w:lineRule="auto" w:before="90" w:after="0"/>
        <w:ind w:left="472" w:right="0" w:hanging="360"/>
        <w:jc w:val="left"/>
        <w:rPr>
          <w:b/>
          <w:sz w:val="24"/>
        </w:rPr>
      </w:pPr>
      <w:r>
        <w:rPr>
          <w:b/>
          <w:sz w:val="24"/>
        </w:rPr>
        <w:t>Acute Hospital Inpatient</w:t>
      </w:r>
      <w:r>
        <w:rPr>
          <w:b/>
          <w:spacing w:val="-1"/>
          <w:sz w:val="24"/>
        </w:rPr>
        <w:t> </w:t>
      </w:r>
      <w:r>
        <w:rPr>
          <w:b/>
          <w:sz w:val="24"/>
        </w:rPr>
        <w:t>Services</w:t>
      </w:r>
    </w:p>
    <w:p>
      <w:pPr>
        <w:pStyle w:val="BodyText"/>
        <w:spacing w:before="9"/>
        <w:rPr>
          <w:b/>
        </w:rPr>
      </w:pPr>
    </w:p>
    <w:p>
      <w:pPr>
        <w:pStyle w:val="ListParagraph"/>
        <w:numPr>
          <w:ilvl w:val="1"/>
          <w:numId w:val="1"/>
        </w:numPr>
        <w:tabs>
          <w:tab w:pos="833" w:val="left" w:leader="none"/>
        </w:tabs>
        <w:spacing w:line="244" w:lineRule="auto" w:before="0" w:after="0"/>
        <w:ind w:left="832" w:right="207" w:hanging="360"/>
        <w:jc w:val="left"/>
        <w:rPr>
          <w:b/>
          <w:sz w:val="24"/>
        </w:rPr>
      </w:pPr>
      <w:r>
        <w:rPr>
          <w:b/>
          <w:sz w:val="24"/>
        </w:rPr>
        <w:t>Summary of Rate Year 2014 (RY14) Methodology for Calculating the Standard Payment Amount Per Discharge (SPAD) and other Inpatient Service</w:t>
      </w:r>
      <w:r>
        <w:rPr>
          <w:b/>
          <w:spacing w:val="-1"/>
          <w:sz w:val="24"/>
        </w:rPr>
        <w:t> </w:t>
      </w:r>
      <w:r>
        <w:rPr>
          <w:b/>
          <w:sz w:val="24"/>
        </w:rPr>
        <w:t>Payments</w:t>
      </w:r>
    </w:p>
    <w:p>
      <w:pPr>
        <w:pStyle w:val="BodyText"/>
        <w:spacing w:before="11"/>
        <w:rPr>
          <w:b/>
          <w:sz w:val="23"/>
        </w:rPr>
      </w:pPr>
    </w:p>
    <w:p>
      <w:pPr>
        <w:pStyle w:val="BodyText"/>
        <w:spacing w:line="242" w:lineRule="auto"/>
        <w:ind w:left="831" w:right="237"/>
      </w:pPr>
      <w:r>
        <w:rPr/>
        <w:t>During Rate Year 2014 (RY14), MassHealth will pay acute hospitals for Inpatient Admissions via a hospital-specific Standard Payment Amount per Discharge (SPAD). This fixed rate represents payment in full for all non-physician inpatient services for the first 20 days of an admission.</w:t>
      </w:r>
    </w:p>
    <w:p>
      <w:pPr>
        <w:pStyle w:val="BodyText"/>
        <w:spacing w:before="4"/>
      </w:pPr>
    </w:p>
    <w:p>
      <w:pPr>
        <w:pStyle w:val="BodyText"/>
        <w:spacing w:line="242" w:lineRule="auto"/>
        <w:ind w:left="831" w:right="105"/>
      </w:pPr>
      <w:r>
        <w:rPr/>
        <w:t>Except as otherwise specified below in this Section 1.A., each hospital’s RY14 SPAD is calculated as follows. Each hospital’s RY14 SPAD is derived from the statewide average hospital cost per admission in federal fiscal year 2011 (FFY 2011), standardized for casemix differences and area wage variation. An efficiency standard is determined by capping hospital costs, weighted by MassHealth discharges, at the 65% level of costs. The statewide average is adjusted for inflation and outliers. Costs EOHHS determines are routine outpatient costs associated with admissions from the emergency department and routine and ancillary outpatient costs resulting from admissions from observation status are included in the calculation of the statewide average hospital cost per admission. For each hospital, this statewide average is then adjusted for each hospital’s wage area index and each hospital’s specific casemix index.</w:t>
      </w:r>
    </w:p>
    <w:p>
      <w:pPr>
        <w:pStyle w:val="BodyText"/>
        <w:spacing w:line="242" w:lineRule="auto" w:before="1"/>
        <w:ind w:left="831" w:right="457"/>
      </w:pPr>
      <w:r>
        <w:rPr/>
        <w:t>Included in the calculation of each hospital-specific casemix index are the hospital’s federal fiscal year 2012 (FFY 2012) paid SPAD, outlier and transfer per diem claims residing in the Medicaid Management Information System (MMIS) for which MassHealth is the primary payer.</w:t>
      </w:r>
    </w:p>
    <w:p>
      <w:pPr>
        <w:pStyle w:val="BodyText"/>
        <w:spacing w:before="4"/>
      </w:pPr>
    </w:p>
    <w:p>
      <w:pPr>
        <w:pStyle w:val="BodyText"/>
        <w:spacing w:line="242" w:lineRule="auto"/>
        <w:ind w:left="831" w:right="307"/>
      </w:pPr>
      <w:r>
        <w:rPr/>
        <w:t>Certain categories of costs are directly passed through into the hospital’s rate (that is, they are excluded from the statewide average and efficiency adjustments). The inpatient portion of hospital-specific costs for malpractice insurance and organ acquisition are treated as “pass-</w:t>
      </w:r>
    </w:p>
    <w:p>
      <w:pPr>
        <w:spacing w:after="0" w:line="242" w:lineRule="auto"/>
        <w:sectPr>
          <w:footerReference w:type="default" r:id="rId5"/>
          <w:type w:val="continuous"/>
          <w:pgSz w:w="12240" w:h="15840"/>
          <w:pgMar w:footer="744" w:top="1380" w:bottom="940" w:left="1040" w:right="1040"/>
          <w:pgNumType w:start="1"/>
        </w:sectPr>
      </w:pPr>
    </w:p>
    <w:p>
      <w:pPr>
        <w:pStyle w:val="BodyText"/>
        <w:spacing w:line="242" w:lineRule="auto" w:before="61"/>
        <w:ind w:left="151" w:right="497"/>
      </w:pPr>
      <w:r>
        <w:rPr/>
        <w:t>throughs” and are derived from the FFY 2012 -403 Cost Report. The calculation of the pass- through payment amounts includes:</w:t>
      </w:r>
    </w:p>
    <w:p>
      <w:pPr>
        <w:pStyle w:val="ListParagraph"/>
        <w:numPr>
          <w:ilvl w:val="0"/>
          <w:numId w:val="2"/>
        </w:numPr>
        <w:tabs>
          <w:tab w:pos="871" w:val="left" w:leader="none"/>
          <w:tab w:pos="872" w:val="left" w:leader="none"/>
        </w:tabs>
        <w:spacing w:line="242" w:lineRule="auto" w:before="0" w:after="0"/>
        <w:ind w:left="872" w:right="170" w:hanging="360"/>
        <w:jc w:val="left"/>
        <w:rPr>
          <w:sz w:val="24"/>
        </w:rPr>
      </w:pPr>
      <w:r>
        <w:rPr>
          <w:sz w:val="24"/>
        </w:rPr>
        <w:t>a determination of the hospital-specific volume of all-payer days, which is based on data obtained by the Center for Health Information and Analysis (CHIA),</w:t>
      </w:r>
      <w:r>
        <w:rPr>
          <w:spacing w:val="-3"/>
          <w:sz w:val="24"/>
        </w:rPr>
        <w:t> </w:t>
      </w:r>
      <w:r>
        <w:rPr>
          <w:sz w:val="24"/>
        </w:rPr>
        <w:t>and</w:t>
      </w:r>
    </w:p>
    <w:p>
      <w:pPr>
        <w:pStyle w:val="ListParagraph"/>
        <w:numPr>
          <w:ilvl w:val="0"/>
          <w:numId w:val="2"/>
        </w:numPr>
        <w:tabs>
          <w:tab w:pos="871" w:val="left" w:leader="none"/>
          <w:tab w:pos="872" w:val="left" w:leader="none"/>
        </w:tabs>
        <w:spacing w:line="242" w:lineRule="auto" w:before="0" w:after="0"/>
        <w:ind w:left="872" w:right="175" w:hanging="360"/>
        <w:jc w:val="left"/>
        <w:rPr>
          <w:sz w:val="24"/>
        </w:rPr>
      </w:pPr>
      <w:r>
        <w:rPr>
          <w:sz w:val="24"/>
        </w:rPr>
        <w:t>the hospital-specific MassHealth average length of stay, which is based on data obtained from</w:t>
      </w:r>
      <w:r>
        <w:rPr>
          <w:spacing w:val="-3"/>
          <w:sz w:val="24"/>
        </w:rPr>
        <w:t> </w:t>
      </w:r>
      <w:r>
        <w:rPr>
          <w:sz w:val="24"/>
        </w:rPr>
        <w:t>MMIS.</w:t>
      </w:r>
    </w:p>
    <w:p>
      <w:pPr>
        <w:pStyle w:val="BodyText"/>
        <w:spacing w:before="4"/>
      </w:pPr>
    </w:p>
    <w:p>
      <w:pPr>
        <w:pStyle w:val="BodyText"/>
        <w:spacing w:line="242" w:lineRule="auto"/>
        <w:ind w:left="151" w:right="159"/>
      </w:pPr>
      <w:r>
        <w:rPr/>
        <w:t>Capital payments are paid on a per-discharge basis, and are efficiency-adjusted. Capital costs are based on each hospital’s FFY 2011 -403 Cost Report, updated for the hospital’s casemix index and inflation to the current year. The calculation of the capital payment amounts</w:t>
      </w:r>
      <w:r>
        <w:rPr>
          <w:spacing w:val="-4"/>
        </w:rPr>
        <w:t> </w:t>
      </w:r>
      <w:r>
        <w:rPr/>
        <w:t>includes:</w:t>
      </w:r>
    </w:p>
    <w:p>
      <w:pPr>
        <w:pStyle w:val="ListParagraph"/>
        <w:numPr>
          <w:ilvl w:val="0"/>
          <w:numId w:val="2"/>
        </w:numPr>
        <w:tabs>
          <w:tab w:pos="871" w:val="left" w:leader="none"/>
          <w:tab w:pos="872" w:val="left" w:leader="none"/>
        </w:tabs>
        <w:spacing w:line="242" w:lineRule="auto" w:before="0" w:after="0"/>
        <w:ind w:left="872" w:right="117" w:hanging="360"/>
        <w:jc w:val="left"/>
        <w:rPr>
          <w:sz w:val="24"/>
        </w:rPr>
      </w:pPr>
      <w:r>
        <w:rPr>
          <w:sz w:val="24"/>
        </w:rPr>
        <w:t>a determination of the hospital-specific volume of all-payer discharges which is based on data obtained by CHIA,</w:t>
      </w:r>
      <w:r>
        <w:rPr>
          <w:spacing w:val="-1"/>
          <w:sz w:val="24"/>
        </w:rPr>
        <w:t> </w:t>
      </w:r>
      <w:r>
        <w:rPr>
          <w:sz w:val="24"/>
        </w:rPr>
        <w:t>and</w:t>
      </w:r>
    </w:p>
    <w:p>
      <w:pPr>
        <w:pStyle w:val="ListParagraph"/>
        <w:numPr>
          <w:ilvl w:val="0"/>
          <w:numId w:val="2"/>
        </w:numPr>
        <w:tabs>
          <w:tab w:pos="871" w:val="left" w:leader="none"/>
          <w:tab w:pos="872" w:val="left" w:leader="none"/>
        </w:tabs>
        <w:spacing w:line="242" w:lineRule="auto" w:before="0" w:after="0"/>
        <w:ind w:left="872" w:right="237" w:hanging="360"/>
        <w:jc w:val="left"/>
        <w:rPr>
          <w:sz w:val="24"/>
        </w:rPr>
      </w:pPr>
      <w:r>
        <w:rPr>
          <w:sz w:val="24"/>
        </w:rPr>
        <w:t>the hospital-specific volume of MassHealth discharges, which is based on data obtained from</w:t>
      </w:r>
      <w:r>
        <w:rPr>
          <w:spacing w:val="-3"/>
          <w:sz w:val="24"/>
        </w:rPr>
        <w:t> </w:t>
      </w:r>
      <w:r>
        <w:rPr>
          <w:sz w:val="24"/>
        </w:rPr>
        <w:t>MMIS.</w:t>
      </w:r>
    </w:p>
    <w:p>
      <w:pPr>
        <w:pStyle w:val="BodyText"/>
        <w:spacing w:before="2"/>
      </w:pPr>
    </w:p>
    <w:p>
      <w:pPr>
        <w:pStyle w:val="BodyText"/>
        <w:spacing w:line="242" w:lineRule="auto"/>
        <w:ind w:left="152" w:right="276"/>
      </w:pPr>
      <w:r>
        <w:rPr/>
        <w:t>For Hospitals with Pediatric Specialty Units, payment for admissions to the Pediatric Specialty Unit for which a SPAD is otherwise payable is made using a Pediatric SPAD. The Pediatric SPAD is calculated using the same methodology as the SPAD, except that the casemix index, discharges, and average length of stay are based on data from the Pediatric Specialty Unit.</w:t>
      </w:r>
    </w:p>
    <w:p>
      <w:pPr>
        <w:pStyle w:val="BodyText"/>
        <w:spacing w:before="4"/>
      </w:pPr>
    </w:p>
    <w:p>
      <w:pPr>
        <w:pStyle w:val="BodyText"/>
        <w:spacing w:line="242" w:lineRule="auto"/>
        <w:ind w:left="152" w:right="155"/>
      </w:pPr>
      <w:r>
        <w:rPr/>
        <w:t>Each hospital for which the actual volume of potentially preventable readmissions (PPRs) exceeds the hospital’s expected PPR volume will have its SPAD (including Pediatric SPAD) reduced by a hospital-specific percentage, up to a maximum of 4.4%. The reduction will be proportional to the hospital’s excess payment associated with its PPRs by accounting for the hospital’s (i) excess PPR volume, (ii) hospital-specific SPAD, and (iii) discharge volume. The calculation also includes a multiplier of 3 as an incentive for hospitals to reduce PPRs. The SPAD reduction is partially offset if the hospital improved its PPR rate from its RY13 PPR rate.</w:t>
      </w:r>
    </w:p>
    <w:p>
      <w:pPr>
        <w:pStyle w:val="BodyText"/>
        <w:spacing w:before="4"/>
      </w:pPr>
    </w:p>
    <w:p>
      <w:pPr>
        <w:pStyle w:val="BodyText"/>
        <w:spacing w:line="242" w:lineRule="auto"/>
        <w:ind w:left="152" w:right="276"/>
      </w:pPr>
      <w:r>
        <w:rPr/>
        <w:t>The two </w:t>
      </w:r>
      <w:r>
        <w:rPr>
          <w:spacing w:val="-3"/>
        </w:rPr>
        <w:t>hospitals first enrolled </w:t>
      </w:r>
      <w:r>
        <w:rPr/>
        <w:t>in </w:t>
      </w:r>
      <w:r>
        <w:rPr>
          <w:spacing w:val="-3"/>
        </w:rPr>
        <w:t>MassHealth </w:t>
      </w:r>
      <w:r>
        <w:rPr/>
        <w:t>in </w:t>
      </w:r>
      <w:r>
        <w:rPr>
          <w:spacing w:val="-3"/>
        </w:rPr>
        <w:t>November 2012 will </w:t>
      </w:r>
      <w:r>
        <w:rPr/>
        <w:t>be </w:t>
      </w:r>
      <w:r>
        <w:rPr>
          <w:spacing w:val="-3"/>
        </w:rPr>
        <w:t>paid </w:t>
      </w:r>
      <w:r>
        <w:rPr/>
        <w:t>a </w:t>
      </w:r>
      <w:r>
        <w:rPr>
          <w:spacing w:val="-3"/>
        </w:rPr>
        <w:t>modified RY14 SPAD, using alternative data sources, </w:t>
      </w:r>
      <w:r>
        <w:rPr/>
        <w:t>but </w:t>
      </w:r>
      <w:r>
        <w:rPr>
          <w:spacing w:val="-3"/>
        </w:rPr>
        <w:t>otherwise substantially utilizing </w:t>
      </w:r>
      <w:r>
        <w:rPr/>
        <w:t>the </w:t>
      </w:r>
      <w:r>
        <w:rPr>
          <w:spacing w:val="-3"/>
        </w:rPr>
        <w:t>same </w:t>
      </w:r>
      <w:r>
        <w:rPr>
          <w:spacing w:val="-4"/>
        </w:rPr>
        <w:t>methodology </w:t>
      </w:r>
      <w:r>
        <w:rPr/>
        <w:t>as the </w:t>
      </w:r>
      <w:r>
        <w:rPr>
          <w:spacing w:val="-3"/>
        </w:rPr>
        <w:t>RY14 SPAD methodology described above.</w:t>
      </w:r>
    </w:p>
    <w:p>
      <w:pPr>
        <w:pStyle w:val="BodyText"/>
        <w:spacing w:before="4"/>
      </w:pPr>
    </w:p>
    <w:p>
      <w:pPr>
        <w:pStyle w:val="BodyText"/>
        <w:spacing w:line="242" w:lineRule="auto"/>
        <w:ind w:left="152" w:right="133"/>
      </w:pPr>
      <w:r>
        <w:rPr>
          <w:spacing w:val="-3"/>
        </w:rPr>
        <w:t>Payment </w:t>
      </w:r>
      <w:r>
        <w:rPr/>
        <w:t>to </w:t>
      </w:r>
      <w:r>
        <w:rPr>
          <w:spacing w:val="-3"/>
        </w:rPr>
        <w:t>Critical Access Hospitals will </w:t>
      </w:r>
      <w:r>
        <w:rPr/>
        <w:t>be </w:t>
      </w:r>
      <w:r>
        <w:rPr>
          <w:spacing w:val="-3"/>
        </w:rPr>
        <w:t>calculated </w:t>
      </w:r>
      <w:r>
        <w:rPr/>
        <w:t>to </w:t>
      </w:r>
      <w:r>
        <w:rPr>
          <w:spacing w:val="-3"/>
        </w:rPr>
        <w:t>provide </w:t>
      </w:r>
      <w:r>
        <w:rPr/>
        <w:t>an </w:t>
      </w:r>
      <w:r>
        <w:rPr>
          <w:spacing w:val="-3"/>
        </w:rPr>
        <w:t>amount equal </w:t>
      </w:r>
      <w:r>
        <w:rPr/>
        <w:t>to </w:t>
      </w:r>
      <w:r>
        <w:rPr>
          <w:spacing w:val="-3"/>
        </w:rPr>
        <w:t>101% </w:t>
      </w:r>
      <w:r>
        <w:rPr/>
        <w:t>of </w:t>
      </w:r>
      <w:r>
        <w:rPr>
          <w:spacing w:val="-3"/>
        </w:rPr>
        <w:t>the Critical Access Hospital’s allowable costs </w:t>
      </w:r>
      <w:r>
        <w:rPr/>
        <w:t>as </w:t>
      </w:r>
      <w:r>
        <w:rPr>
          <w:spacing w:val="-3"/>
        </w:rPr>
        <w:t>determined </w:t>
      </w:r>
      <w:r>
        <w:rPr/>
        <w:t>by </w:t>
      </w:r>
      <w:r>
        <w:rPr>
          <w:spacing w:val="-3"/>
        </w:rPr>
        <w:t>EOHHS utilizing </w:t>
      </w:r>
      <w:r>
        <w:rPr/>
        <w:t>the </w:t>
      </w:r>
      <w:r>
        <w:rPr>
          <w:spacing w:val="-3"/>
        </w:rPr>
        <w:t>Medicare cost- based </w:t>
      </w:r>
      <w:r>
        <w:rPr>
          <w:spacing w:val="-4"/>
        </w:rPr>
        <w:t>reimbursement </w:t>
      </w:r>
      <w:r>
        <w:rPr>
          <w:spacing w:val="-3"/>
        </w:rPr>
        <w:t>methodology </w:t>
      </w:r>
      <w:r>
        <w:rPr/>
        <w:t>for </w:t>
      </w:r>
      <w:r>
        <w:rPr>
          <w:spacing w:val="-3"/>
        </w:rPr>
        <w:t>both inpatient </w:t>
      </w:r>
      <w:r>
        <w:rPr/>
        <w:t>and </w:t>
      </w:r>
      <w:r>
        <w:rPr>
          <w:spacing w:val="-3"/>
        </w:rPr>
        <w:t>outpatient services. </w:t>
      </w:r>
      <w:r>
        <w:rPr/>
        <w:t>Interim payments will be made to Critical Access Hospitals, which are subject to final settlement. The interim </w:t>
      </w:r>
      <w:r>
        <w:rPr>
          <w:spacing w:val="-3"/>
        </w:rPr>
        <w:t>inpatient SPAD, </w:t>
      </w:r>
      <w:r>
        <w:rPr/>
        <w:t>transfer per diem and outlier per diem rates, and the interim outpatient PAPE rates are calculated </w:t>
      </w:r>
      <w:r>
        <w:rPr>
          <w:spacing w:val="-3"/>
        </w:rPr>
        <w:t>based </w:t>
      </w:r>
      <w:r>
        <w:rPr/>
        <w:t>on the hospital’s FFY 2012 -403 cost reports utilizing a cost-to-charge ratio methodology of 101% of costs for the SPAD and PAPE.</w:t>
      </w:r>
    </w:p>
    <w:p>
      <w:pPr>
        <w:pStyle w:val="BodyText"/>
        <w:spacing w:before="9"/>
        <w:rPr>
          <w:sz w:val="34"/>
        </w:rPr>
      </w:pPr>
    </w:p>
    <w:p>
      <w:pPr>
        <w:pStyle w:val="BodyText"/>
        <w:spacing w:line="242" w:lineRule="auto"/>
        <w:ind w:left="131" w:right="198"/>
      </w:pPr>
      <w:r>
        <w:rPr/>
        <w:t>EOHHS pays acute hospitals on a per diem basis under certain circumstances. Psychiatric services delivered in DMH-licensed psychiatric beds of acute hospitals are paid an all-inclusive statewide psychiatric per diem rate and acute hospitals are paid rehabilitation per diem for services delivered in Rehabilitation Units. Services delivered to individuals who transfer among</w:t>
      </w:r>
    </w:p>
    <w:p>
      <w:pPr>
        <w:spacing w:after="0" w:line="242" w:lineRule="auto"/>
        <w:sectPr>
          <w:pgSz w:w="12240" w:h="15840"/>
          <w:pgMar w:header="0" w:footer="744" w:top="1380" w:bottom="940" w:left="1720" w:right="960"/>
        </w:sectPr>
      </w:pPr>
    </w:p>
    <w:p>
      <w:pPr>
        <w:pStyle w:val="BodyText"/>
        <w:spacing w:line="242" w:lineRule="auto" w:before="61"/>
        <w:ind w:left="451" w:right="437"/>
      </w:pPr>
      <w:r>
        <w:rPr/>
        <w:t>hospitals or among certain settings within a hospital, as well as covered inpatient outlier days and administrative days, are paid per diem rates.</w:t>
      </w:r>
    </w:p>
    <w:p>
      <w:pPr>
        <w:pStyle w:val="BodyText"/>
        <w:spacing w:before="7"/>
      </w:pPr>
    </w:p>
    <w:p>
      <w:pPr>
        <w:pStyle w:val="Heading3"/>
        <w:numPr>
          <w:ilvl w:val="1"/>
          <w:numId w:val="1"/>
        </w:numPr>
        <w:tabs>
          <w:tab w:pos="473" w:val="left" w:leader="none"/>
        </w:tabs>
        <w:spacing w:line="240" w:lineRule="auto" w:before="0" w:after="0"/>
        <w:ind w:left="472" w:right="0" w:hanging="360"/>
        <w:jc w:val="left"/>
      </w:pPr>
      <w:r>
        <w:rPr/>
        <w:t>Summary of</w:t>
      </w:r>
      <w:r>
        <w:rPr>
          <w:spacing w:val="-1"/>
        </w:rPr>
        <w:t> </w:t>
      </w:r>
      <w:r>
        <w:rPr/>
        <w:t>Changes</w:t>
      </w:r>
    </w:p>
    <w:p>
      <w:pPr>
        <w:pStyle w:val="BodyText"/>
        <w:spacing w:line="242" w:lineRule="auto" w:before="120"/>
        <w:ind w:left="471" w:right="305"/>
      </w:pPr>
      <w:r>
        <w:rPr/>
        <w:t>The payment method for acute inpatient hospital services includes the following changes from the RY13 payment method:</w:t>
      </w:r>
    </w:p>
    <w:p>
      <w:pPr>
        <w:pStyle w:val="ListParagraph"/>
        <w:numPr>
          <w:ilvl w:val="2"/>
          <w:numId w:val="1"/>
        </w:numPr>
        <w:tabs>
          <w:tab w:pos="832" w:val="left" w:leader="none"/>
        </w:tabs>
        <w:spacing w:line="240" w:lineRule="auto" w:before="120" w:after="0"/>
        <w:ind w:left="832" w:right="0" w:hanging="360"/>
        <w:jc w:val="left"/>
        <w:rPr>
          <w:sz w:val="24"/>
        </w:rPr>
      </w:pPr>
      <w:r>
        <w:rPr>
          <w:sz w:val="24"/>
        </w:rPr>
        <w:t>To </w:t>
      </w:r>
      <w:r>
        <w:rPr>
          <w:spacing w:val="-3"/>
          <w:sz w:val="24"/>
        </w:rPr>
        <w:t>calculate </w:t>
      </w:r>
      <w:r>
        <w:rPr>
          <w:sz w:val="24"/>
        </w:rPr>
        <w:t>the </w:t>
      </w:r>
      <w:r>
        <w:rPr>
          <w:spacing w:val="-3"/>
          <w:sz w:val="24"/>
        </w:rPr>
        <w:t>RY14</w:t>
      </w:r>
      <w:r>
        <w:rPr>
          <w:spacing w:val="-20"/>
          <w:sz w:val="24"/>
        </w:rPr>
        <w:t> </w:t>
      </w:r>
      <w:r>
        <w:rPr>
          <w:spacing w:val="-3"/>
          <w:sz w:val="24"/>
        </w:rPr>
        <w:t>SPAD:</w:t>
      </w:r>
    </w:p>
    <w:p>
      <w:pPr>
        <w:pStyle w:val="BodyText"/>
        <w:rPr>
          <w:sz w:val="21"/>
        </w:rPr>
      </w:pPr>
    </w:p>
    <w:p>
      <w:pPr>
        <w:pStyle w:val="ListParagraph"/>
        <w:numPr>
          <w:ilvl w:val="3"/>
          <w:numId w:val="1"/>
        </w:numPr>
        <w:tabs>
          <w:tab w:pos="1176" w:val="left" w:leader="none"/>
          <w:tab w:pos="1177" w:val="left" w:leader="none"/>
        </w:tabs>
        <w:spacing w:line="242" w:lineRule="auto" w:before="0" w:after="0"/>
        <w:ind w:left="1176" w:right="255" w:hanging="360"/>
        <w:jc w:val="left"/>
        <w:rPr>
          <w:sz w:val="24"/>
        </w:rPr>
      </w:pPr>
      <w:r>
        <w:rPr>
          <w:sz w:val="24"/>
        </w:rPr>
        <w:t>The </w:t>
      </w:r>
      <w:r>
        <w:rPr>
          <w:spacing w:val="-3"/>
          <w:sz w:val="24"/>
        </w:rPr>
        <w:t>SPAD Base Year utilized for determining </w:t>
      </w:r>
      <w:r>
        <w:rPr>
          <w:sz w:val="24"/>
        </w:rPr>
        <w:t>the </w:t>
      </w:r>
      <w:r>
        <w:rPr>
          <w:spacing w:val="-3"/>
          <w:sz w:val="24"/>
        </w:rPr>
        <w:t>statewide average hospital cost per admission</w:t>
      </w:r>
      <w:r>
        <w:rPr>
          <w:spacing w:val="-6"/>
          <w:sz w:val="24"/>
        </w:rPr>
        <w:t> </w:t>
      </w:r>
      <w:r>
        <w:rPr>
          <w:sz w:val="24"/>
        </w:rPr>
        <w:t>was</w:t>
      </w:r>
      <w:r>
        <w:rPr>
          <w:spacing w:val="-6"/>
          <w:sz w:val="24"/>
        </w:rPr>
        <w:t> </w:t>
      </w:r>
      <w:r>
        <w:rPr>
          <w:spacing w:val="-3"/>
          <w:sz w:val="24"/>
        </w:rPr>
        <w:t>updated</w:t>
      </w:r>
      <w:r>
        <w:rPr>
          <w:spacing w:val="-6"/>
          <w:sz w:val="24"/>
        </w:rPr>
        <w:t> </w:t>
      </w:r>
      <w:r>
        <w:rPr>
          <w:sz w:val="24"/>
        </w:rPr>
        <w:t>to</w:t>
      </w:r>
      <w:r>
        <w:rPr>
          <w:spacing w:val="-6"/>
          <w:sz w:val="24"/>
        </w:rPr>
        <w:t> </w:t>
      </w:r>
      <w:r>
        <w:rPr>
          <w:sz w:val="24"/>
        </w:rPr>
        <w:t>FFY</w:t>
      </w:r>
      <w:r>
        <w:rPr>
          <w:spacing w:val="-6"/>
          <w:sz w:val="24"/>
        </w:rPr>
        <w:t> </w:t>
      </w:r>
      <w:r>
        <w:rPr>
          <w:spacing w:val="-3"/>
          <w:sz w:val="24"/>
        </w:rPr>
        <w:t>2011,</w:t>
      </w:r>
      <w:r>
        <w:rPr>
          <w:spacing w:val="-6"/>
          <w:sz w:val="24"/>
        </w:rPr>
        <w:t> </w:t>
      </w:r>
      <w:r>
        <w:rPr>
          <w:sz w:val="24"/>
        </w:rPr>
        <w:t>and</w:t>
      </w:r>
      <w:r>
        <w:rPr>
          <w:spacing w:val="-6"/>
          <w:sz w:val="24"/>
        </w:rPr>
        <w:t> </w:t>
      </w:r>
      <w:r>
        <w:rPr>
          <w:spacing w:val="-3"/>
          <w:sz w:val="24"/>
        </w:rPr>
        <w:t>inflation</w:t>
      </w:r>
      <w:r>
        <w:rPr>
          <w:spacing w:val="-6"/>
          <w:sz w:val="24"/>
        </w:rPr>
        <w:t> </w:t>
      </w:r>
      <w:r>
        <w:rPr>
          <w:sz w:val="24"/>
        </w:rPr>
        <w:t>was</w:t>
      </w:r>
      <w:r>
        <w:rPr>
          <w:spacing w:val="-6"/>
          <w:sz w:val="24"/>
        </w:rPr>
        <w:t> </w:t>
      </w:r>
      <w:r>
        <w:rPr>
          <w:spacing w:val="-3"/>
          <w:sz w:val="24"/>
        </w:rPr>
        <w:t>applied</w:t>
      </w:r>
      <w:r>
        <w:rPr>
          <w:spacing w:val="-6"/>
          <w:sz w:val="24"/>
        </w:rPr>
        <w:t> </w:t>
      </w:r>
      <w:r>
        <w:rPr>
          <w:sz w:val="24"/>
        </w:rPr>
        <w:t>for</w:t>
      </w:r>
      <w:r>
        <w:rPr>
          <w:spacing w:val="-6"/>
          <w:sz w:val="24"/>
        </w:rPr>
        <w:t> </w:t>
      </w:r>
      <w:r>
        <w:rPr>
          <w:spacing w:val="-3"/>
          <w:sz w:val="24"/>
        </w:rPr>
        <w:t>price</w:t>
      </w:r>
      <w:r>
        <w:rPr>
          <w:spacing w:val="-6"/>
          <w:sz w:val="24"/>
        </w:rPr>
        <w:t> </w:t>
      </w:r>
      <w:r>
        <w:rPr>
          <w:spacing w:val="-3"/>
          <w:sz w:val="24"/>
        </w:rPr>
        <w:t>changes</w:t>
      </w:r>
      <w:r>
        <w:rPr>
          <w:spacing w:val="-6"/>
          <w:sz w:val="24"/>
        </w:rPr>
        <w:t> </w:t>
      </w:r>
      <w:r>
        <w:rPr>
          <w:spacing w:val="-3"/>
          <w:sz w:val="24"/>
        </w:rPr>
        <w:t>between RY11 </w:t>
      </w:r>
      <w:r>
        <w:rPr>
          <w:sz w:val="24"/>
        </w:rPr>
        <w:t>and</w:t>
      </w:r>
      <w:r>
        <w:rPr>
          <w:spacing w:val="-10"/>
          <w:sz w:val="24"/>
        </w:rPr>
        <w:t> </w:t>
      </w:r>
      <w:r>
        <w:rPr>
          <w:spacing w:val="-3"/>
          <w:sz w:val="24"/>
        </w:rPr>
        <w:t>RY14.</w:t>
      </w:r>
    </w:p>
    <w:p>
      <w:pPr>
        <w:pStyle w:val="ListParagraph"/>
        <w:numPr>
          <w:ilvl w:val="3"/>
          <w:numId w:val="1"/>
        </w:numPr>
        <w:tabs>
          <w:tab w:pos="1191" w:val="left" w:leader="none"/>
          <w:tab w:pos="1192" w:val="left" w:leader="none"/>
        </w:tabs>
        <w:spacing w:line="240" w:lineRule="auto" w:before="119" w:after="0"/>
        <w:ind w:left="1192" w:right="0" w:hanging="360"/>
        <w:jc w:val="left"/>
        <w:rPr>
          <w:sz w:val="24"/>
        </w:rPr>
      </w:pPr>
      <w:r>
        <w:rPr>
          <w:spacing w:val="-3"/>
          <w:sz w:val="24"/>
        </w:rPr>
        <w:t>MMIS</w:t>
      </w:r>
      <w:r>
        <w:rPr>
          <w:spacing w:val="-6"/>
          <w:sz w:val="24"/>
        </w:rPr>
        <w:t> </w:t>
      </w:r>
      <w:r>
        <w:rPr>
          <w:spacing w:val="-3"/>
          <w:sz w:val="24"/>
        </w:rPr>
        <w:t>data</w:t>
      </w:r>
      <w:r>
        <w:rPr>
          <w:spacing w:val="-6"/>
          <w:sz w:val="24"/>
        </w:rPr>
        <w:t> </w:t>
      </w:r>
      <w:r>
        <w:rPr>
          <w:sz w:val="24"/>
        </w:rPr>
        <w:t>for</w:t>
      </w:r>
      <w:r>
        <w:rPr>
          <w:spacing w:val="-6"/>
          <w:sz w:val="24"/>
        </w:rPr>
        <w:t> </w:t>
      </w:r>
      <w:r>
        <w:rPr>
          <w:sz w:val="24"/>
        </w:rPr>
        <w:t>FFY</w:t>
      </w:r>
      <w:r>
        <w:rPr>
          <w:spacing w:val="-6"/>
          <w:sz w:val="24"/>
        </w:rPr>
        <w:t> </w:t>
      </w:r>
      <w:r>
        <w:rPr>
          <w:spacing w:val="-3"/>
          <w:sz w:val="24"/>
        </w:rPr>
        <w:t>2012</w:t>
      </w:r>
      <w:r>
        <w:rPr>
          <w:spacing w:val="-6"/>
          <w:sz w:val="24"/>
        </w:rPr>
        <w:t> </w:t>
      </w:r>
      <w:r>
        <w:rPr>
          <w:sz w:val="24"/>
        </w:rPr>
        <w:t>was</w:t>
      </w:r>
      <w:r>
        <w:rPr>
          <w:spacing w:val="-6"/>
          <w:sz w:val="24"/>
        </w:rPr>
        <w:t> </w:t>
      </w:r>
      <w:r>
        <w:rPr>
          <w:spacing w:val="-3"/>
          <w:sz w:val="24"/>
        </w:rPr>
        <w:t>utilized</w:t>
      </w:r>
      <w:r>
        <w:rPr>
          <w:spacing w:val="-6"/>
          <w:sz w:val="24"/>
        </w:rPr>
        <w:t> </w:t>
      </w:r>
      <w:r>
        <w:rPr>
          <w:sz w:val="24"/>
        </w:rPr>
        <w:t>to</w:t>
      </w:r>
      <w:r>
        <w:rPr>
          <w:spacing w:val="-6"/>
          <w:sz w:val="24"/>
        </w:rPr>
        <w:t> </w:t>
      </w:r>
      <w:r>
        <w:rPr>
          <w:spacing w:val="-3"/>
          <w:sz w:val="24"/>
        </w:rPr>
        <w:t>determine</w:t>
      </w:r>
      <w:r>
        <w:rPr>
          <w:spacing w:val="-6"/>
          <w:sz w:val="24"/>
        </w:rPr>
        <w:t> </w:t>
      </w:r>
      <w:r>
        <w:rPr>
          <w:sz w:val="24"/>
        </w:rPr>
        <w:t>the</w:t>
      </w:r>
      <w:r>
        <w:rPr>
          <w:spacing w:val="-6"/>
          <w:sz w:val="24"/>
        </w:rPr>
        <w:t> </w:t>
      </w:r>
      <w:r>
        <w:rPr>
          <w:spacing w:val="-3"/>
          <w:sz w:val="24"/>
        </w:rPr>
        <w:t>hospital-specific</w:t>
      </w:r>
      <w:r>
        <w:rPr>
          <w:spacing w:val="-6"/>
          <w:sz w:val="24"/>
        </w:rPr>
        <w:t> </w:t>
      </w:r>
      <w:r>
        <w:rPr>
          <w:spacing w:val="-3"/>
          <w:sz w:val="24"/>
        </w:rPr>
        <w:t>casemix</w:t>
      </w:r>
      <w:r>
        <w:rPr>
          <w:spacing w:val="-6"/>
          <w:sz w:val="24"/>
        </w:rPr>
        <w:t> </w:t>
      </w:r>
      <w:r>
        <w:rPr>
          <w:spacing w:val="-3"/>
          <w:sz w:val="24"/>
        </w:rPr>
        <w:t>index.</w:t>
      </w:r>
    </w:p>
    <w:p>
      <w:pPr>
        <w:pStyle w:val="ListParagraph"/>
        <w:numPr>
          <w:ilvl w:val="3"/>
          <w:numId w:val="1"/>
        </w:numPr>
        <w:tabs>
          <w:tab w:pos="1191" w:val="left" w:leader="none"/>
          <w:tab w:pos="1192" w:val="left" w:leader="none"/>
        </w:tabs>
        <w:spacing w:line="242" w:lineRule="auto" w:before="121" w:after="0"/>
        <w:ind w:left="1192" w:right="744" w:hanging="360"/>
        <w:jc w:val="left"/>
        <w:rPr>
          <w:sz w:val="24"/>
        </w:rPr>
      </w:pPr>
      <w:r>
        <w:rPr>
          <w:sz w:val="24"/>
        </w:rPr>
        <w:t>The </w:t>
      </w:r>
      <w:r>
        <w:rPr>
          <w:spacing w:val="-3"/>
          <w:sz w:val="24"/>
        </w:rPr>
        <w:t>operating efficiency standard used </w:t>
      </w:r>
      <w:r>
        <w:rPr>
          <w:sz w:val="24"/>
        </w:rPr>
        <w:t>in the </w:t>
      </w:r>
      <w:r>
        <w:rPr>
          <w:spacing w:val="-3"/>
          <w:sz w:val="24"/>
        </w:rPr>
        <w:t>determination </w:t>
      </w:r>
      <w:r>
        <w:rPr>
          <w:sz w:val="24"/>
        </w:rPr>
        <w:t>of the </w:t>
      </w:r>
      <w:r>
        <w:rPr>
          <w:spacing w:val="-3"/>
          <w:sz w:val="24"/>
        </w:rPr>
        <w:t>statewide average payment</w:t>
      </w:r>
      <w:r>
        <w:rPr>
          <w:spacing w:val="-8"/>
          <w:sz w:val="24"/>
        </w:rPr>
        <w:t> </w:t>
      </w:r>
      <w:r>
        <w:rPr>
          <w:spacing w:val="-3"/>
          <w:sz w:val="24"/>
        </w:rPr>
        <w:t>amount</w:t>
      </w:r>
      <w:r>
        <w:rPr>
          <w:spacing w:val="-8"/>
          <w:sz w:val="24"/>
        </w:rPr>
        <w:t> </w:t>
      </w:r>
      <w:r>
        <w:rPr>
          <w:sz w:val="24"/>
        </w:rPr>
        <w:t>per</w:t>
      </w:r>
      <w:r>
        <w:rPr>
          <w:spacing w:val="-8"/>
          <w:sz w:val="24"/>
        </w:rPr>
        <w:t> </w:t>
      </w:r>
      <w:r>
        <w:rPr>
          <w:spacing w:val="-3"/>
          <w:sz w:val="24"/>
        </w:rPr>
        <w:t>discharge</w:t>
      </w:r>
      <w:r>
        <w:rPr>
          <w:spacing w:val="-8"/>
          <w:sz w:val="24"/>
        </w:rPr>
        <w:t> </w:t>
      </w:r>
      <w:r>
        <w:rPr>
          <w:sz w:val="24"/>
        </w:rPr>
        <w:t>was</w:t>
      </w:r>
      <w:r>
        <w:rPr>
          <w:spacing w:val="-8"/>
          <w:sz w:val="24"/>
        </w:rPr>
        <w:t> </w:t>
      </w:r>
      <w:r>
        <w:rPr>
          <w:sz w:val="24"/>
        </w:rPr>
        <w:t>set</w:t>
      </w:r>
      <w:r>
        <w:rPr>
          <w:spacing w:val="-8"/>
          <w:sz w:val="24"/>
        </w:rPr>
        <w:t> </w:t>
      </w:r>
      <w:r>
        <w:rPr>
          <w:sz w:val="24"/>
        </w:rPr>
        <w:t>at</w:t>
      </w:r>
      <w:r>
        <w:rPr>
          <w:spacing w:val="-8"/>
          <w:sz w:val="24"/>
        </w:rPr>
        <w:t> </w:t>
      </w:r>
      <w:r>
        <w:rPr>
          <w:sz w:val="24"/>
        </w:rPr>
        <w:t>the</w:t>
      </w:r>
      <w:r>
        <w:rPr>
          <w:spacing w:val="-8"/>
          <w:sz w:val="24"/>
        </w:rPr>
        <w:t> </w:t>
      </w:r>
      <w:r>
        <w:rPr>
          <w:sz w:val="24"/>
        </w:rPr>
        <w:t>65%</w:t>
      </w:r>
      <w:r>
        <w:rPr>
          <w:spacing w:val="-8"/>
          <w:sz w:val="24"/>
        </w:rPr>
        <w:t> </w:t>
      </w:r>
      <w:r>
        <w:rPr>
          <w:spacing w:val="-3"/>
          <w:sz w:val="24"/>
        </w:rPr>
        <w:t>level</w:t>
      </w:r>
      <w:r>
        <w:rPr>
          <w:spacing w:val="-8"/>
          <w:sz w:val="24"/>
        </w:rPr>
        <w:t> </w:t>
      </w:r>
      <w:r>
        <w:rPr>
          <w:sz w:val="24"/>
        </w:rPr>
        <w:t>of</w:t>
      </w:r>
      <w:r>
        <w:rPr>
          <w:spacing w:val="-8"/>
          <w:sz w:val="24"/>
        </w:rPr>
        <w:t> </w:t>
      </w:r>
      <w:r>
        <w:rPr>
          <w:spacing w:val="-3"/>
          <w:sz w:val="24"/>
        </w:rPr>
        <w:t>costs.</w:t>
      </w:r>
    </w:p>
    <w:p>
      <w:pPr>
        <w:pStyle w:val="ListParagraph"/>
        <w:numPr>
          <w:ilvl w:val="3"/>
          <w:numId w:val="1"/>
        </w:numPr>
        <w:tabs>
          <w:tab w:pos="1191" w:val="left" w:leader="none"/>
          <w:tab w:pos="1192" w:val="left" w:leader="none"/>
        </w:tabs>
        <w:spacing w:line="242" w:lineRule="auto" w:before="119" w:after="0"/>
        <w:ind w:left="1192" w:right="689" w:hanging="360"/>
        <w:jc w:val="left"/>
        <w:rPr>
          <w:sz w:val="24"/>
        </w:rPr>
      </w:pPr>
      <w:r>
        <w:rPr>
          <w:sz w:val="24"/>
        </w:rPr>
        <w:t>The </w:t>
      </w:r>
      <w:r>
        <w:rPr>
          <w:spacing w:val="-3"/>
          <w:sz w:val="24"/>
        </w:rPr>
        <w:t>inflation factor that </w:t>
      </w:r>
      <w:r>
        <w:rPr>
          <w:sz w:val="24"/>
        </w:rPr>
        <w:t>was </w:t>
      </w:r>
      <w:r>
        <w:rPr>
          <w:spacing w:val="-3"/>
          <w:sz w:val="24"/>
        </w:rPr>
        <w:t>applied </w:t>
      </w:r>
      <w:r>
        <w:rPr>
          <w:sz w:val="24"/>
        </w:rPr>
        <w:t>for </w:t>
      </w:r>
      <w:r>
        <w:rPr>
          <w:spacing w:val="-3"/>
          <w:sz w:val="24"/>
        </w:rPr>
        <w:t>price changes between RY13 </w:t>
      </w:r>
      <w:r>
        <w:rPr>
          <w:sz w:val="24"/>
        </w:rPr>
        <w:t>and </w:t>
      </w:r>
      <w:r>
        <w:rPr>
          <w:spacing w:val="-3"/>
          <w:sz w:val="24"/>
        </w:rPr>
        <w:t>RY14 was 1.405% </w:t>
      </w:r>
      <w:r>
        <w:rPr>
          <w:sz w:val="24"/>
        </w:rPr>
        <w:t>for </w:t>
      </w:r>
      <w:r>
        <w:rPr>
          <w:spacing w:val="-3"/>
          <w:sz w:val="24"/>
        </w:rPr>
        <w:t>operating costs </w:t>
      </w:r>
      <w:r>
        <w:rPr>
          <w:sz w:val="24"/>
        </w:rPr>
        <w:t>and </w:t>
      </w:r>
      <w:r>
        <w:rPr>
          <w:spacing w:val="-3"/>
          <w:sz w:val="24"/>
        </w:rPr>
        <w:t>1.40% </w:t>
      </w:r>
      <w:r>
        <w:rPr>
          <w:sz w:val="24"/>
        </w:rPr>
        <w:t>for </w:t>
      </w:r>
      <w:r>
        <w:rPr>
          <w:spacing w:val="-3"/>
          <w:sz w:val="24"/>
        </w:rPr>
        <w:t>capital</w:t>
      </w:r>
      <w:r>
        <w:rPr>
          <w:spacing w:val="-31"/>
          <w:sz w:val="24"/>
        </w:rPr>
        <w:t> </w:t>
      </w:r>
      <w:r>
        <w:rPr>
          <w:spacing w:val="-3"/>
          <w:sz w:val="24"/>
        </w:rPr>
        <w:t>costs.</w:t>
      </w:r>
    </w:p>
    <w:p>
      <w:pPr>
        <w:pStyle w:val="ListParagraph"/>
        <w:numPr>
          <w:ilvl w:val="3"/>
          <w:numId w:val="1"/>
        </w:numPr>
        <w:tabs>
          <w:tab w:pos="1191" w:val="left" w:leader="none"/>
          <w:tab w:pos="1192" w:val="left" w:leader="none"/>
        </w:tabs>
        <w:spacing w:line="242" w:lineRule="auto" w:before="119" w:after="0"/>
        <w:ind w:left="1192" w:right="110" w:hanging="360"/>
        <w:jc w:val="left"/>
        <w:rPr>
          <w:sz w:val="24"/>
        </w:rPr>
      </w:pPr>
      <w:r>
        <w:rPr>
          <w:sz w:val="24"/>
        </w:rPr>
        <w:t>The </w:t>
      </w:r>
      <w:r>
        <w:rPr>
          <w:spacing w:val="-3"/>
          <w:sz w:val="24"/>
        </w:rPr>
        <w:t>percentage SPAD reduction for hospitals with </w:t>
      </w:r>
      <w:r>
        <w:rPr>
          <w:sz w:val="24"/>
        </w:rPr>
        <w:t>a </w:t>
      </w:r>
      <w:r>
        <w:rPr>
          <w:spacing w:val="-3"/>
          <w:sz w:val="24"/>
        </w:rPr>
        <w:t>greater than expected </w:t>
      </w:r>
      <w:r>
        <w:rPr>
          <w:sz w:val="24"/>
        </w:rPr>
        <w:t>PPR </w:t>
      </w:r>
      <w:r>
        <w:rPr>
          <w:spacing w:val="-3"/>
          <w:sz w:val="24"/>
        </w:rPr>
        <w:t>rate will be hospital-specific, </w:t>
      </w:r>
      <w:r>
        <w:rPr>
          <w:sz w:val="24"/>
        </w:rPr>
        <w:t>up to a </w:t>
      </w:r>
      <w:r>
        <w:rPr>
          <w:spacing w:val="-4"/>
          <w:sz w:val="24"/>
        </w:rPr>
        <w:t>maximum </w:t>
      </w:r>
      <w:r>
        <w:rPr>
          <w:sz w:val="24"/>
        </w:rPr>
        <w:t>of </w:t>
      </w:r>
      <w:r>
        <w:rPr>
          <w:spacing w:val="-3"/>
          <w:sz w:val="24"/>
        </w:rPr>
        <w:t>4.4%. </w:t>
      </w:r>
      <w:r>
        <w:rPr>
          <w:sz w:val="24"/>
        </w:rPr>
        <w:t>The </w:t>
      </w:r>
      <w:r>
        <w:rPr>
          <w:spacing w:val="-3"/>
          <w:sz w:val="24"/>
        </w:rPr>
        <w:t>reduction will </w:t>
      </w:r>
      <w:r>
        <w:rPr>
          <w:sz w:val="24"/>
        </w:rPr>
        <w:t>be proportional to the hospital’s excess payments associated with its PPRs, and applies a multiplier of 3. The SPAD reduction will be partially offset for hospitals with an improved PPR rate from RY13.</w:t>
      </w:r>
    </w:p>
    <w:p>
      <w:pPr>
        <w:pStyle w:val="ListParagraph"/>
        <w:numPr>
          <w:ilvl w:val="2"/>
          <w:numId w:val="1"/>
        </w:numPr>
        <w:tabs>
          <w:tab w:pos="832" w:val="left" w:leader="none"/>
        </w:tabs>
        <w:spacing w:line="242" w:lineRule="auto" w:before="121" w:after="0"/>
        <w:ind w:left="832" w:right="231" w:hanging="360"/>
        <w:jc w:val="left"/>
        <w:rPr>
          <w:sz w:val="24"/>
        </w:rPr>
      </w:pPr>
      <w:r>
        <w:rPr>
          <w:sz w:val="24"/>
        </w:rPr>
        <w:t>The </w:t>
      </w:r>
      <w:r>
        <w:rPr>
          <w:spacing w:val="-3"/>
          <w:sz w:val="24"/>
        </w:rPr>
        <w:t>median nursing facility rate utilized </w:t>
      </w:r>
      <w:r>
        <w:rPr>
          <w:sz w:val="24"/>
        </w:rPr>
        <w:t>in the </w:t>
      </w:r>
      <w:r>
        <w:rPr>
          <w:spacing w:val="-3"/>
          <w:sz w:val="24"/>
        </w:rPr>
        <w:t>calculation </w:t>
      </w:r>
      <w:r>
        <w:rPr>
          <w:sz w:val="24"/>
        </w:rPr>
        <w:t>of the </w:t>
      </w:r>
      <w:r>
        <w:rPr>
          <w:spacing w:val="-3"/>
          <w:sz w:val="24"/>
        </w:rPr>
        <w:t>administrative </w:t>
      </w:r>
      <w:r>
        <w:rPr>
          <w:sz w:val="24"/>
        </w:rPr>
        <w:t>day </w:t>
      </w:r>
      <w:r>
        <w:rPr>
          <w:spacing w:val="-3"/>
          <w:sz w:val="24"/>
        </w:rPr>
        <w:t>(AD) rate </w:t>
      </w:r>
      <w:r>
        <w:rPr>
          <w:sz w:val="24"/>
        </w:rPr>
        <w:t>was</w:t>
      </w:r>
      <w:r>
        <w:rPr>
          <w:spacing w:val="-7"/>
          <w:sz w:val="24"/>
        </w:rPr>
        <w:t> </w:t>
      </w:r>
      <w:r>
        <w:rPr>
          <w:spacing w:val="-3"/>
          <w:sz w:val="24"/>
        </w:rPr>
        <w:t>updated,</w:t>
      </w:r>
      <w:r>
        <w:rPr>
          <w:spacing w:val="-7"/>
          <w:sz w:val="24"/>
        </w:rPr>
        <w:t> </w:t>
      </w:r>
      <w:r>
        <w:rPr>
          <w:sz w:val="24"/>
        </w:rPr>
        <w:t>and</w:t>
      </w:r>
      <w:r>
        <w:rPr>
          <w:spacing w:val="-7"/>
          <w:sz w:val="24"/>
        </w:rPr>
        <w:t> </w:t>
      </w:r>
      <w:r>
        <w:rPr>
          <w:sz w:val="24"/>
        </w:rPr>
        <w:t>an</w:t>
      </w:r>
      <w:r>
        <w:rPr>
          <w:spacing w:val="-7"/>
          <w:sz w:val="24"/>
        </w:rPr>
        <w:t> </w:t>
      </w:r>
      <w:r>
        <w:rPr>
          <w:spacing w:val="-3"/>
          <w:sz w:val="24"/>
        </w:rPr>
        <w:t>inflation</w:t>
      </w:r>
      <w:r>
        <w:rPr>
          <w:spacing w:val="-7"/>
          <w:sz w:val="24"/>
        </w:rPr>
        <w:t> </w:t>
      </w:r>
      <w:r>
        <w:rPr>
          <w:spacing w:val="-3"/>
          <w:sz w:val="24"/>
        </w:rPr>
        <w:t>update</w:t>
      </w:r>
      <w:r>
        <w:rPr>
          <w:spacing w:val="-7"/>
          <w:sz w:val="24"/>
        </w:rPr>
        <w:t> </w:t>
      </w:r>
      <w:r>
        <w:rPr>
          <w:sz w:val="24"/>
        </w:rPr>
        <w:t>of</w:t>
      </w:r>
      <w:r>
        <w:rPr>
          <w:spacing w:val="-7"/>
          <w:sz w:val="24"/>
        </w:rPr>
        <w:t> </w:t>
      </w:r>
      <w:r>
        <w:rPr>
          <w:spacing w:val="-3"/>
          <w:sz w:val="24"/>
        </w:rPr>
        <w:t>1.348%</w:t>
      </w:r>
      <w:r>
        <w:rPr>
          <w:spacing w:val="-7"/>
          <w:sz w:val="24"/>
        </w:rPr>
        <w:t> </w:t>
      </w:r>
      <w:r>
        <w:rPr>
          <w:sz w:val="24"/>
        </w:rPr>
        <w:t>was</w:t>
      </w:r>
      <w:r>
        <w:rPr>
          <w:spacing w:val="-7"/>
          <w:sz w:val="24"/>
        </w:rPr>
        <w:t> </w:t>
      </w:r>
      <w:r>
        <w:rPr>
          <w:spacing w:val="-3"/>
          <w:sz w:val="24"/>
        </w:rPr>
        <w:t>applied.</w:t>
      </w:r>
    </w:p>
    <w:p>
      <w:pPr>
        <w:pStyle w:val="ListParagraph"/>
        <w:numPr>
          <w:ilvl w:val="2"/>
          <w:numId w:val="1"/>
        </w:numPr>
        <w:tabs>
          <w:tab w:pos="832" w:val="left" w:leader="none"/>
        </w:tabs>
        <w:spacing w:line="240" w:lineRule="auto" w:before="121" w:after="0"/>
        <w:ind w:left="832" w:right="0" w:hanging="360"/>
        <w:jc w:val="left"/>
        <w:rPr>
          <w:sz w:val="24"/>
        </w:rPr>
      </w:pPr>
      <w:r>
        <w:rPr>
          <w:sz w:val="24"/>
        </w:rPr>
        <w:t>An</w:t>
      </w:r>
      <w:r>
        <w:rPr>
          <w:spacing w:val="-6"/>
          <w:sz w:val="24"/>
        </w:rPr>
        <w:t> </w:t>
      </w:r>
      <w:r>
        <w:rPr>
          <w:spacing w:val="-3"/>
          <w:sz w:val="24"/>
        </w:rPr>
        <w:t>inflation</w:t>
      </w:r>
      <w:r>
        <w:rPr>
          <w:spacing w:val="-6"/>
          <w:sz w:val="24"/>
        </w:rPr>
        <w:t> </w:t>
      </w:r>
      <w:r>
        <w:rPr>
          <w:spacing w:val="-3"/>
          <w:sz w:val="24"/>
        </w:rPr>
        <w:t>update</w:t>
      </w:r>
      <w:r>
        <w:rPr>
          <w:spacing w:val="-6"/>
          <w:sz w:val="24"/>
        </w:rPr>
        <w:t> </w:t>
      </w:r>
      <w:r>
        <w:rPr>
          <w:sz w:val="24"/>
        </w:rPr>
        <w:t>of</w:t>
      </w:r>
      <w:r>
        <w:rPr>
          <w:spacing w:val="-6"/>
          <w:sz w:val="24"/>
        </w:rPr>
        <w:t> </w:t>
      </w:r>
      <w:r>
        <w:rPr>
          <w:spacing w:val="-3"/>
          <w:sz w:val="24"/>
        </w:rPr>
        <w:t>1.405%</w:t>
      </w:r>
      <w:r>
        <w:rPr>
          <w:spacing w:val="-6"/>
          <w:sz w:val="24"/>
        </w:rPr>
        <w:t> </w:t>
      </w:r>
      <w:r>
        <w:rPr>
          <w:sz w:val="24"/>
        </w:rPr>
        <w:t>was</w:t>
      </w:r>
      <w:r>
        <w:rPr>
          <w:spacing w:val="-6"/>
          <w:sz w:val="24"/>
        </w:rPr>
        <w:t> </w:t>
      </w:r>
      <w:r>
        <w:rPr>
          <w:spacing w:val="-3"/>
          <w:sz w:val="24"/>
        </w:rPr>
        <w:t>applied</w:t>
      </w:r>
      <w:r>
        <w:rPr>
          <w:spacing w:val="-6"/>
          <w:sz w:val="24"/>
        </w:rPr>
        <w:t> </w:t>
      </w:r>
      <w:r>
        <w:rPr>
          <w:sz w:val="24"/>
        </w:rPr>
        <w:t>to</w:t>
      </w:r>
      <w:r>
        <w:rPr>
          <w:spacing w:val="-6"/>
          <w:sz w:val="24"/>
        </w:rPr>
        <w:t> </w:t>
      </w:r>
      <w:r>
        <w:rPr>
          <w:sz w:val="24"/>
        </w:rPr>
        <w:t>the</w:t>
      </w:r>
      <w:r>
        <w:rPr>
          <w:spacing w:val="-6"/>
          <w:sz w:val="24"/>
        </w:rPr>
        <w:t> </w:t>
      </w:r>
      <w:r>
        <w:rPr>
          <w:spacing w:val="-3"/>
          <w:sz w:val="24"/>
        </w:rPr>
        <w:t>psychiatric</w:t>
      </w:r>
      <w:r>
        <w:rPr>
          <w:spacing w:val="-6"/>
          <w:sz w:val="24"/>
        </w:rPr>
        <w:t> </w:t>
      </w:r>
      <w:r>
        <w:rPr>
          <w:sz w:val="24"/>
        </w:rPr>
        <w:t>per</w:t>
      </w:r>
      <w:r>
        <w:rPr>
          <w:spacing w:val="-6"/>
          <w:sz w:val="24"/>
        </w:rPr>
        <w:t> </w:t>
      </w:r>
      <w:r>
        <w:rPr>
          <w:spacing w:val="-3"/>
          <w:sz w:val="24"/>
        </w:rPr>
        <w:t>diem</w:t>
      </w:r>
      <w:r>
        <w:rPr>
          <w:spacing w:val="-8"/>
          <w:sz w:val="24"/>
        </w:rPr>
        <w:t> </w:t>
      </w:r>
      <w:r>
        <w:rPr>
          <w:spacing w:val="-3"/>
          <w:sz w:val="24"/>
        </w:rPr>
        <w:t>rate.</w:t>
      </w:r>
    </w:p>
    <w:p>
      <w:pPr>
        <w:pStyle w:val="ListParagraph"/>
        <w:numPr>
          <w:ilvl w:val="2"/>
          <w:numId w:val="1"/>
        </w:numPr>
        <w:tabs>
          <w:tab w:pos="832" w:val="left" w:leader="none"/>
        </w:tabs>
        <w:spacing w:line="242" w:lineRule="auto" w:before="123" w:after="0"/>
        <w:ind w:left="832" w:right="741" w:hanging="360"/>
        <w:jc w:val="left"/>
        <w:rPr>
          <w:sz w:val="24"/>
        </w:rPr>
      </w:pPr>
      <w:r>
        <w:rPr>
          <w:sz w:val="24"/>
        </w:rPr>
        <w:t>The </w:t>
      </w:r>
      <w:r>
        <w:rPr>
          <w:spacing w:val="-3"/>
          <w:sz w:val="24"/>
        </w:rPr>
        <w:t>RY14 median rate for Rehabilitation Hospitals </w:t>
      </w:r>
      <w:r>
        <w:rPr>
          <w:sz w:val="24"/>
        </w:rPr>
        <w:t>was </w:t>
      </w:r>
      <w:r>
        <w:rPr>
          <w:spacing w:val="-3"/>
          <w:sz w:val="24"/>
        </w:rPr>
        <w:t>used for </w:t>
      </w:r>
      <w:r>
        <w:rPr>
          <w:sz w:val="24"/>
        </w:rPr>
        <w:t>the per </w:t>
      </w:r>
      <w:r>
        <w:rPr>
          <w:spacing w:val="-3"/>
          <w:sz w:val="24"/>
        </w:rPr>
        <w:t>diem for Acute Hospital Rehabilitation</w:t>
      </w:r>
      <w:r>
        <w:rPr>
          <w:spacing w:val="-1"/>
          <w:sz w:val="24"/>
        </w:rPr>
        <w:t> </w:t>
      </w:r>
      <w:r>
        <w:rPr>
          <w:spacing w:val="-3"/>
          <w:sz w:val="24"/>
        </w:rPr>
        <w:t>Units</w:t>
      </w:r>
    </w:p>
    <w:p>
      <w:pPr>
        <w:pStyle w:val="BodyText"/>
        <w:spacing w:before="10"/>
        <w:rPr>
          <w:sz w:val="20"/>
        </w:rPr>
      </w:pPr>
    </w:p>
    <w:p>
      <w:pPr>
        <w:pStyle w:val="ListParagraph"/>
        <w:numPr>
          <w:ilvl w:val="2"/>
          <w:numId w:val="1"/>
        </w:numPr>
        <w:tabs>
          <w:tab w:pos="832" w:val="left" w:leader="none"/>
        </w:tabs>
        <w:spacing w:line="242" w:lineRule="auto" w:before="0" w:after="0"/>
        <w:ind w:left="832" w:right="158" w:hanging="360"/>
        <w:jc w:val="left"/>
        <w:rPr>
          <w:sz w:val="24"/>
        </w:rPr>
      </w:pPr>
      <w:r>
        <w:rPr>
          <w:sz w:val="24"/>
        </w:rPr>
        <w:t>The two </w:t>
      </w:r>
      <w:r>
        <w:rPr>
          <w:spacing w:val="-3"/>
          <w:sz w:val="24"/>
        </w:rPr>
        <w:t>acute hospitals first enrolled </w:t>
      </w:r>
      <w:r>
        <w:rPr>
          <w:sz w:val="24"/>
        </w:rPr>
        <w:t>in </w:t>
      </w:r>
      <w:r>
        <w:rPr>
          <w:spacing w:val="-3"/>
          <w:sz w:val="24"/>
        </w:rPr>
        <w:t>November 2012 will </w:t>
      </w:r>
      <w:r>
        <w:rPr>
          <w:sz w:val="24"/>
        </w:rPr>
        <w:t>be </w:t>
      </w:r>
      <w:r>
        <w:rPr>
          <w:spacing w:val="-3"/>
          <w:sz w:val="24"/>
        </w:rPr>
        <w:t>paid </w:t>
      </w:r>
      <w:r>
        <w:rPr>
          <w:sz w:val="24"/>
        </w:rPr>
        <w:t>a </w:t>
      </w:r>
      <w:r>
        <w:rPr>
          <w:spacing w:val="-3"/>
          <w:sz w:val="24"/>
        </w:rPr>
        <w:t>modified RY14 SPAD, using </w:t>
      </w:r>
      <w:r>
        <w:rPr>
          <w:sz w:val="24"/>
        </w:rPr>
        <w:t>the </w:t>
      </w:r>
      <w:r>
        <w:rPr>
          <w:spacing w:val="-3"/>
          <w:sz w:val="24"/>
        </w:rPr>
        <w:t>same alternative data sources that were used </w:t>
      </w:r>
      <w:r>
        <w:rPr>
          <w:sz w:val="24"/>
        </w:rPr>
        <w:t>in</w:t>
      </w:r>
      <w:r>
        <w:rPr>
          <w:spacing w:val="-13"/>
          <w:sz w:val="24"/>
        </w:rPr>
        <w:t> </w:t>
      </w:r>
      <w:r>
        <w:rPr>
          <w:spacing w:val="-3"/>
          <w:sz w:val="24"/>
        </w:rPr>
        <w:t>RY13.</w:t>
      </w:r>
    </w:p>
    <w:p>
      <w:pPr>
        <w:pStyle w:val="ListParagraph"/>
        <w:numPr>
          <w:ilvl w:val="2"/>
          <w:numId w:val="1"/>
        </w:numPr>
        <w:tabs>
          <w:tab w:pos="832" w:val="left" w:leader="none"/>
        </w:tabs>
        <w:spacing w:line="242" w:lineRule="auto" w:before="120" w:after="0"/>
        <w:ind w:left="832" w:right="164" w:hanging="360"/>
        <w:jc w:val="left"/>
        <w:rPr>
          <w:sz w:val="24"/>
        </w:rPr>
      </w:pPr>
      <w:r>
        <w:rPr>
          <w:sz w:val="24"/>
        </w:rPr>
        <w:t>For </w:t>
      </w:r>
      <w:r>
        <w:rPr>
          <w:spacing w:val="-3"/>
          <w:sz w:val="24"/>
        </w:rPr>
        <w:t>Critical Access Hospitals, payment will </w:t>
      </w:r>
      <w:r>
        <w:rPr>
          <w:sz w:val="24"/>
        </w:rPr>
        <w:t>be </w:t>
      </w:r>
      <w:r>
        <w:rPr>
          <w:spacing w:val="-3"/>
          <w:sz w:val="24"/>
        </w:rPr>
        <w:t>calculated </w:t>
      </w:r>
      <w:r>
        <w:rPr>
          <w:sz w:val="24"/>
        </w:rPr>
        <w:t>to </w:t>
      </w:r>
      <w:r>
        <w:rPr>
          <w:spacing w:val="-3"/>
          <w:sz w:val="24"/>
        </w:rPr>
        <w:t>provide </w:t>
      </w:r>
      <w:r>
        <w:rPr>
          <w:sz w:val="24"/>
        </w:rPr>
        <w:t>an </w:t>
      </w:r>
      <w:r>
        <w:rPr>
          <w:spacing w:val="-3"/>
          <w:sz w:val="24"/>
        </w:rPr>
        <w:t>amount equal </w:t>
      </w:r>
      <w:r>
        <w:rPr>
          <w:sz w:val="24"/>
        </w:rPr>
        <w:t>to </w:t>
      </w:r>
      <w:r>
        <w:rPr>
          <w:spacing w:val="-3"/>
          <w:sz w:val="24"/>
        </w:rPr>
        <w:t>101% </w:t>
      </w:r>
      <w:r>
        <w:rPr>
          <w:sz w:val="24"/>
        </w:rPr>
        <w:t>of the </w:t>
      </w:r>
      <w:r>
        <w:rPr>
          <w:spacing w:val="-3"/>
          <w:sz w:val="24"/>
        </w:rPr>
        <w:t>Hospital’s allowable costs utilizing </w:t>
      </w:r>
      <w:r>
        <w:rPr>
          <w:sz w:val="24"/>
        </w:rPr>
        <w:t>the </w:t>
      </w:r>
      <w:r>
        <w:rPr>
          <w:spacing w:val="-3"/>
          <w:sz w:val="24"/>
        </w:rPr>
        <w:t>Medicare cost-based </w:t>
      </w:r>
      <w:r>
        <w:rPr>
          <w:spacing w:val="-4"/>
          <w:sz w:val="24"/>
        </w:rPr>
        <w:t>reimbursement </w:t>
      </w:r>
      <w:r>
        <w:rPr>
          <w:spacing w:val="-3"/>
          <w:sz w:val="24"/>
        </w:rPr>
        <w:t>methodology </w:t>
      </w:r>
      <w:r>
        <w:rPr>
          <w:sz w:val="24"/>
        </w:rPr>
        <w:t>for </w:t>
      </w:r>
      <w:r>
        <w:rPr>
          <w:spacing w:val="-3"/>
          <w:sz w:val="24"/>
        </w:rPr>
        <w:t>both inpatient </w:t>
      </w:r>
      <w:r>
        <w:rPr>
          <w:sz w:val="24"/>
        </w:rPr>
        <w:t>and </w:t>
      </w:r>
      <w:r>
        <w:rPr>
          <w:spacing w:val="-3"/>
          <w:sz w:val="24"/>
        </w:rPr>
        <w:t>outpatient</w:t>
      </w:r>
      <w:r>
        <w:rPr>
          <w:spacing w:val="-23"/>
          <w:sz w:val="24"/>
        </w:rPr>
        <w:t> </w:t>
      </w:r>
      <w:r>
        <w:rPr>
          <w:spacing w:val="-3"/>
          <w:sz w:val="24"/>
        </w:rPr>
        <w:t>services.</w:t>
      </w:r>
    </w:p>
    <w:p>
      <w:pPr>
        <w:pStyle w:val="ListParagraph"/>
        <w:numPr>
          <w:ilvl w:val="2"/>
          <w:numId w:val="1"/>
        </w:numPr>
        <w:tabs>
          <w:tab w:pos="832" w:val="left" w:leader="none"/>
        </w:tabs>
        <w:spacing w:line="242" w:lineRule="auto" w:before="120" w:after="0"/>
        <w:ind w:left="832" w:right="313" w:hanging="360"/>
        <w:jc w:val="left"/>
        <w:rPr>
          <w:sz w:val="24"/>
        </w:rPr>
      </w:pPr>
      <w:r>
        <w:rPr>
          <w:spacing w:val="-3"/>
          <w:sz w:val="24"/>
        </w:rPr>
        <w:t>Hospitals with greater than </w:t>
      </w:r>
      <w:r>
        <w:rPr>
          <w:sz w:val="24"/>
        </w:rPr>
        <w:t>63% of </w:t>
      </w:r>
      <w:r>
        <w:rPr>
          <w:spacing w:val="-3"/>
          <w:sz w:val="24"/>
        </w:rPr>
        <w:t>gross patient service revenue (GPSR) from </w:t>
      </w:r>
      <w:r>
        <w:rPr>
          <w:spacing w:val="-4"/>
          <w:sz w:val="24"/>
        </w:rPr>
        <w:t>governmental </w:t>
      </w:r>
      <w:r>
        <w:rPr>
          <w:spacing w:val="-3"/>
          <w:sz w:val="24"/>
        </w:rPr>
        <w:t>payers </w:t>
      </w:r>
      <w:r>
        <w:rPr>
          <w:sz w:val="24"/>
        </w:rPr>
        <w:t>and </w:t>
      </w:r>
      <w:r>
        <w:rPr>
          <w:spacing w:val="-3"/>
          <w:sz w:val="24"/>
        </w:rPr>
        <w:t>free care, </w:t>
      </w:r>
      <w:r>
        <w:rPr>
          <w:sz w:val="24"/>
        </w:rPr>
        <w:t>as </w:t>
      </w:r>
      <w:r>
        <w:rPr>
          <w:spacing w:val="-3"/>
          <w:sz w:val="24"/>
        </w:rPr>
        <w:t>determined </w:t>
      </w:r>
      <w:r>
        <w:rPr>
          <w:sz w:val="24"/>
        </w:rPr>
        <w:t>by </w:t>
      </w:r>
      <w:r>
        <w:rPr>
          <w:spacing w:val="-3"/>
          <w:sz w:val="24"/>
        </w:rPr>
        <w:t>EOHHS, will </w:t>
      </w:r>
      <w:r>
        <w:rPr>
          <w:sz w:val="24"/>
        </w:rPr>
        <w:t>not </w:t>
      </w:r>
      <w:r>
        <w:rPr>
          <w:spacing w:val="-3"/>
          <w:sz w:val="24"/>
        </w:rPr>
        <w:t>receive </w:t>
      </w:r>
      <w:r>
        <w:rPr>
          <w:sz w:val="24"/>
        </w:rPr>
        <w:t>5% </w:t>
      </w:r>
      <w:r>
        <w:rPr>
          <w:spacing w:val="-3"/>
          <w:sz w:val="24"/>
        </w:rPr>
        <w:t>add-on </w:t>
      </w:r>
      <w:r>
        <w:rPr>
          <w:sz w:val="24"/>
        </w:rPr>
        <w:t>to </w:t>
      </w:r>
      <w:r>
        <w:rPr>
          <w:spacing w:val="-3"/>
          <w:sz w:val="24"/>
        </w:rPr>
        <w:t>their RY14 SPAD. </w:t>
      </w:r>
      <w:r>
        <w:rPr>
          <w:sz w:val="24"/>
        </w:rPr>
        <w:t>See </w:t>
      </w:r>
      <w:r>
        <w:rPr>
          <w:spacing w:val="-3"/>
          <w:sz w:val="24"/>
        </w:rPr>
        <w:t>section </w:t>
      </w:r>
      <w:r>
        <w:rPr>
          <w:sz w:val="24"/>
        </w:rPr>
        <w:t>3 </w:t>
      </w:r>
      <w:r>
        <w:rPr>
          <w:spacing w:val="-3"/>
          <w:sz w:val="24"/>
        </w:rPr>
        <w:t>below, </w:t>
      </w:r>
      <w:r>
        <w:rPr>
          <w:sz w:val="24"/>
        </w:rPr>
        <w:t>for </w:t>
      </w:r>
      <w:r>
        <w:rPr>
          <w:spacing w:val="-3"/>
          <w:sz w:val="24"/>
        </w:rPr>
        <w:t>supplemental payments that will </w:t>
      </w:r>
      <w:r>
        <w:rPr>
          <w:sz w:val="24"/>
        </w:rPr>
        <w:t>be </w:t>
      </w:r>
      <w:r>
        <w:rPr>
          <w:spacing w:val="-3"/>
          <w:sz w:val="24"/>
        </w:rPr>
        <w:t>made </w:t>
      </w:r>
      <w:r>
        <w:rPr>
          <w:sz w:val="24"/>
        </w:rPr>
        <w:t>to </w:t>
      </w:r>
      <w:r>
        <w:rPr>
          <w:spacing w:val="-3"/>
          <w:sz w:val="24"/>
        </w:rPr>
        <w:t>these</w:t>
      </w:r>
      <w:r>
        <w:rPr>
          <w:spacing w:val="-43"/>
          <w:sz w:val="24"/>
        </w:rPr>
        <w:t> </w:t>
      </w:r>
      <w:r>
        <w:rPr>
          <w:spacing w:val="-3"/>
          <w:sz w:val="24"/>
        </w:rPr>
        <w:t>hospitals.</w:t>
      </w:r>
    </w:p>
    <w:p>
      <w:pPr>
        <w:pStyle w:val="ListParagraph"/>
        <w:numPr>
          <w:ilvl w:val="2"/>
          <w:numId w:val="1"/>
        </w:numPr>
        <w:tabs>
          <w:tab w:pos="832" w:val="left" w:leader="none"/>
        </w:tabs>
        <w:spacing w:line="242" w:lineRule="auto" w:before="120" w:after="0"/>
        <w:ind w:left="832" w:right="319" w:hanging="360"/>
        <w:jc w:val="left"/>
        <w:rPr>
          <w:sz w:val="24"/>
        </w:rPr>
      </w:pPr>
      <w:r>
        <w:rPr>
          <w:sz w:val="24"/>
        </w:rPr>
        <w:t>The high casemix payment to Freestanding Pediatric Acute Hospitals and Pediatric Specialty Units equal to 85% of the Hospital’s/Pediatric Specialty Unit’s expenses for inpatient services for children whose casemix acuity is equal to or greater than 5.0 will not be applied. See Section 3, below, for supplemental payments that will be made to Freestanding Pediatric Acute Hospitals and Hospitals with Pediatric Specialty</w:t>
      </w:r>
      <w:r>
        <w:rPr>
          <w:spacing w:val="-1"/>
          <w:sz w:val="24"/>
        </w:rPr>
        <w:t> </w:t>
      </w:r>
      <w:r>
        <w:rPr>
          <w:sz w:val="24"/>
        </w:rPr>
        <w:t>Units.</w:t>
      </w:r>
    </w:p>
    <w:p>
      <w:pPr>
        <w:spacing w:after="0" w:line="242" w:lineRule="auto"/>
        <w:jc w:val="left"/>
        <w:rPr>
          <w:sz w:val="24"/>
        </w:rPr>
        <w:sectPr>
          <w:pgSz w:w="12240" w:h="15840"/>
          <w:pgMar w:header="0" w:footer="744" w:top="1380" w:bottom="940" w:left="1400" w:right="980"/>
        </w:sectPr>
      </w:pPr>
    </w:p>
    <w:p>
      <w:pPr>
        <w:pStyle w:val="BodyText"/>
        <w:spacing w:before="6"/>
        <w:rPr>
          <w:sz w:val="11"/>
        </w:rPr>
      </w:pPr>
    </w:p>
    <w:p>
      <w:pPr>
        <w:pStyle w:val="Heading3"/>
        <w:numPr>
          <w:ilvl w:val="0"/>
          <w:numId w:val="3"/>
        </w:numPr>
        <w:tabs>
          <w:tab w:pos="473" w:val="left" w:leader="none"/>
        </w:tabs>
        <w:spacing w:line="240" w:lineRule="auto" w:before="90" w:after="0"/>
        <w:ind w:left="472" w:right="0" w:hanging="360"/>
        <w:jc w:val="left"/>
      </w:pPr>
      <w:r>
        <w:rPr/>
        <w:t>Outpatient</w:t>
      </w:r>
      <w:r>
        <w:rPr>
          <w:spacing w:val="-1"/>
        </w:rPr>
        <w:t> </w:t>
      </w:r>
      <w:r>
        <w:rPr/>
        <w:t>Services</w:t>
      </w:r>
    </w:p>
    <w:p>
      <w:pPr>
        <w:pStyle w:val="BodyText"/>
        <w:spacing w:before="9"/>
        <w:rPr>
          <w:b/>
        </w:rPr>
      </w:pPr>
    </w:p>
    <w:p>
      <w:pPr>
        <w:pStyle w:val="ListParagraph"/>
        <w:numPr>
          <w:ilvl w:val="1"/>
          <w:numId w:val="3"/>
        </w:numPr>
        <w:tabs>
          <w:tab w:pos="832" w:val="left" w:leader="none"/>
        </w:tabs>
        <w:spacing w:line="244" w:lineRule="auto" w:before="0" w:after="0"/>
        <w:ind w:left="832" w:right="774" w:hanging="360"/>
        <w:jc w:val="left"/>
        <w:rPr>
          <w:b/>
          <w:sz w:val="24"/>
        </w:rPr>
      </w:pPr>
      <w:r>
        <w:rPr>
          <w:b/>
          <w:sz w:val="24"/>
        </w:rPr>
        <w:t>Summary of Rate Year 2014 Methodology for Calculating the Payment Amount Per Episode (PAPE) and Other Acute Outpatient Hospital Service</w:t>
      </w:r>
      <w:r>
        <w:rPr>
          <w:b/>
          <w:spacing w:val="-1"/>
          <w:sz w:val="24"/>
        </w:rPr>
        <w:t> </w:t>
      </w:r>
      <w:r>
        <w:rPr>
          <w:b/>
          <w:sz w:val="24"/>
        </w:rPr>
        <w:t>Payments</w:t>
      </w:r>
    </w:p>
    <w:p>
      <w:pPr>
        <w:pStyle w:val="BodyText"/>
        <w:spacing w:before="7"/>
        <w:rPr>
          <w:b/>
          <w:sz w:val="23"/>
        </w:rPr>
      </w:pPr>
    </w:p>
    <w:p>
      <w:pPr>
        <w:pStyle w:val="BodyText"/>
        <w:spacing w:line="242" w:lineRule="auto" w:before="1"/>
        <w:ind w:left="831" w:right="130"/>
      </w:pPr>
      <w:r>
        <w:rPr/>
        <w:t>The Payment Amount Per Episode (PAPE) methodology establishes a hospital-specific episodic rate for most MassHealth acute outpatient hospital services. Except for critical access hospitals and the two hospitals first enrolled in November of 2012, each hospital-specific RY14 PAPE is a blended rate that equally weights the hospital’s RY13 PAPE in effect on 9/30/13 and the preliminary RY14 PAPE determined as described below; provided, however, that no hospital’s RY14 PAPE shall be less than 90% of the hospital’s RY13 PAPE in effect on September 30, 2013.</w:t>
      </w:r>
    </w:p>
    <w:p>
      <w:pPr>
        <w:pStyle w:val="BodyText"/>
        <w:spacing w:before="4"/>
      </w:pPr>
    </w:p>
    <w:p>
      <w:pPr>
        <w:pStyle w:val="BodyText"/>
        <w:spacing w:line="242" w:lineRule="auto"/>
        <w:ind w:left="831" w:right="351"/>
      </w:pPr>
      <w:r>
        <w:rPr/>
        <w:t>The hospital-specific preliminary RY14 PAPE is based on an outpatient standard payment adjusted for hospital-specific casemix. Certain services, including laboratory services, are carved out of the PAPE calculation and payment. Laboratory and other carve-out services are paid for in accordance with the applicable fee schedules in regulations adopted by DHCFP, or successor regulations, as applicable.</w:t>
      </w:r>
    </w:p>
    <w:p>
      <w:pPr>
        <w:pStyle w:val="BodyText"/>
        <w:spacing w:before="3"/>
      </w:pPr>
    </w:p>
    <w:p>
      <w:pPr>
        <w:pStyle w:val="BodyText"/>
        <w:spacing w:line="242" w:lineRule="auto" w:before="1"/>
        <w:ind w:left="832" w:right="116"/>
      </w:pPr>
      <w:r>
        <w:rPr/>
        <w:t>Calculation of the outpatient statewide standard is based on MassHealth payments for outpatient services in the PAPE Base Year, as adjusted by (1) including outlier payments, (2) excluding payments for laboratory services, and (3) bundling only services received on the same day. The result of this calculation is adjusted for inflation to obtain the outpatient statewide standard for Hospital Rate Year 2014. The hospital-specific preliminary RY14 PAPE is determined by multiplying the outpatient statewide standard by each hospital’s casemix index calculated by EOHHS.</w:t>
      </w:r>
    </w:p>
    <w:p>
      <w:pPr>
        <w:pStyle w:val="BodyText"/>
        <w:spacing w:before="4"/>
      </w:pPr>
    </w:p>
    <w:p>
      <w:pPr>
        <w:pStyle w:val="BodyText"/>
        <w:spacing w:line="242" w:lineRule="auto"/>
        <w:ind w:left="832" w:right="129"/>
      </w:pPr>
      <w:r>
        <w:rPr/>
        <w:t>The </w:t>
      </w:r>
      <w:r>
        <w:rPr>
          <w:spacing w:val="-3"/>
        </w:rPr>
        <w:t>RY14 PAPE </w:t>
      </w:r>
      <w:r>
        <w:rPr/>
        <w:t>for the two </w:t>
      </w:r>
      <w:r>
        <w:rPr>
          <w:spacing w:val="-3"/>
        </w:rPr>
        <w:t>hospitals first enrolled </w:t>
      </w:r>
      <w:r>
        <w:rPr/>
        <w:t>in </w:t>
      </w:r>
      <w:r>
        <w:rPr>
          <w:spacing w:val="-3"/>
        </w:rPr>
        <w:t>November 2012 will </w:t>
      </w:r>
      <w:r>
        <w:rPr/>
        <w:t>be an </w:t>
      </w:r>
      <w:r>
        <w:rPr>
          <w:spacing w:val="-3"/>
        </w:rPr>
        <w:t>amount equal to </w:t>
      </w:r>
      <w:r>
        <w:rPr/>
        <w:t>the </w:t>
      </w:r>
      <w:r>
        <w:rPr>
          <w:spacing w:val="-3"/>
        </w:rPr>
        <w:t>median outpatient RY14 PAPE </w:t>
      </w:r>
      <w:r>
        <w:rPr/>
        <w:t>for all </w:t>
      </w:r>
      <w:r>
        <w:rPr>
          <w:spacing w:val="-3"/>
        </w:rPr>
        <w:t>other in-state acute hospitals participating in MassHealth.</w:t>
      </w:r>
    </w:p>
    <w:p>
      <w:pPr>
        <w:pStyle w:val="BodyText"/>
        <w:spacing w:before="3"/>
      </w:pPr>
    </w:p>
    <w:p>
      <w:pPr>
        <w:pStyle w:val="BodyText"/>
        <w:spacing w:line="242" w:lineRule="auto" w:before="1"/>
        <w:ind w:left="832" w:right="376"/>
      </w:pPr>
      <w:r>
        <w:rPr/>
        <w:t>Payment to Critical Access Hospitals for services for which a PAPE is paid will be calculated based on the methodology described in Section 1.A., above.</w:t>
      </w:r>
    </w:p>
    <w:p>
      <w:pPr>
        <w:pStyle w:val="BodyText"/>
        <w:spacing w:before="8"/>
      </w:pPr>
    </w:p>
    <w:p>
      <w:pPr>
        <w:pStyle w:val="Heading3"/>
        <w:numPr>
          <w:ilvl w:val="1"/>
          <w:numId w:val="3"/>
        </w:numPr>
        <w:tabs>
          <w:tab w:pos="832" w:val="left" w:leader="none"/>
        </w:tabs>
        <w:spacing w:line="240" w:lineRule="auto" w:before="0" w:after="0"/>
        <w:ind w:left="832" w:right="0" w:hanging="360"/>
        <w:jc w:val="left"/>
      </w:pPr>
      <w:r>
        <w:rPr/>
        <w:t>Summary of</w:t>
      </w:r>
      <w:r>
        <w:rPr>
          <w:spacing w:val="58"/>
        </w:rPr>
        <w:t> </w:t>
      </w:r>
      <w:r>
        <w:rPr/>
        <w:t>Changes</w:t>
      </w:r>
    </w:p>
    <w:p>
      <w:pPr>
        <w:pStyle w:val="BodyText"/>
        <w:spacing w:line="242" w:lineRule="auto" w:before="121"/>
        <w:ind w:left="832" w:right="184"/>
      </w:pPr>
      <w:r>
        <w:rPr/>
        <w:t>The payment method for acute outpatient hospital services includes the following changes from the RY13 payment method:</w:t>
      </w:r>
    </w:p>
    <w:p>
      <w:pPr>
        <w:pStyle w:val="BodyText"/>
        <w:spacing w:before="4"/>
      </w:pPr>
    </w:p>
    <w:p>
      <w:pPr>
        <w:pStyle w:val="ListParagraph"/>
        <w:numPr>
          <w:ilvl w:val="2"/>
          <w:numId w:val="3"/>
        </w:numPr>
        <w:tabs>
          <w:tab w:pos="1192" w:val="left" w:leader="none"/>
        </w:tabs>
        <w:spacing w:line="242" w:lineRule="auto" w:before="0" w:after="0"/>
        <w:ind w:left="1192" w:right="379" w:hanging="360"/>
        <w:jc w:val="left"/>
        <w:rPr>
          <w:sz w:val="24"/>
        </w:rPr>
      </w:pPr>
      <w:r>
        <w:rPr>
          <w:sz w:val="24"/>
        </w:rPr>
        <w:t>The</w:t>
      </w:r>
      <w:r>
        <w:rPr>
          <w:spacing w:val="-6"/>
          <w:sz w:val="24"/>
        </w:rPr>
        <w:t> </w:t>
      </w:r>
      <w:r>
        <w:rPr>
          <w:spacing w:val="-3"/>
          <w:sz w:val="24"/>
        </w:rPr>
        <w:t>RY14</w:t>
      </w:r>
      <w:r>
        <w:rPr>
          <w:spacing w:val="-6"/>
          <w:sz w:val="24"/>
        </w:rPr>
        <w:t> </w:t>
      </w:r>
      <w:r>
        <w:rPr>
          <w:spacing w:val="-3"/>
          <w:sz w:val="24"/>
        </w:rPr>
        <w:t>PAPE</w:t>
      </w:r>
      <w:r>
        <w:rPr>
          <w:spacing w:val="-6"/>
          <w:sz w:val="24"/>
        </w:rPr>
        <w:t> </w:t>
      </w:r>
      <w:r>
        <w:rPr>
          <w:sz w:val="24"/>
        </w:rPr>
        <w:t>is</w:t>
      </w:r>
      <w:r>
        <w:rPr>
          <w:spacing w:val="-6"/>
          <w:sz w:val="24"/>
        </w:rPr>
        <w:t> </w:t>
      </w:r>
      <w:r>
        <w:rPr>
          <w:sz w:val="24"/>
        </w:rPr>
        <w:t>an</w:t>
      </w:r>
      <w:r>
        <w:rPr>
          <w:spacing w:val="-6"/>
          <w:sz w:val="24"/>
        </w:rPr>
        <w:t> </w:t>
      </w:r>
      <w:r>
        <w:rPr>
          <w:spacing w:val="-3"/>
          <w:sz w:val="24"/>
        </w:rPr>
        <w:t>equal</w:t>
      </w:r>
      <w:r>
        <w:rPr>
          <w:spacing w:val="-6"/>
          <w:sz w:val="24"/>
        </w:rPr>
        <w:t> </w:t>
      </w:r>
      <w:r>
        <w:rPr>
          <w:spacing w:val="-3"/>
          <w:sz w:val="24"/>
        </w:rPr>
        <w:t>blend</w:t>
      </w:r>
      <w:r>
        <w:rPr>
          <w:spacing w:val="-6"/>
          <w:sz w:val="24"/>
        </w:rPr>
        <w:t> </w:t>
      </w:r>
      <w:r>
        <w:rPr>
          <w:sz w:val="24"/>
        </w:rPr>
        <w:t>of</w:t>
      </w:r>
      <w:r>
        <w:rPr>
          <w:spacing w:val="-6"/>
          <w:sz w:val="24"/>
        </w:rPr>
        <w:t> </w:t>
      </w:r>
      <w:r>
        <w:rPr>
          <w:sz w:val="24"/>
        </w:rPr>
        <w:t>the</w:t>
      </w:r>
      <w:r>
        <w:rPr>
          <w:spacing w:val="-6"/>
          <w:sz w:val="24"/>
        </w:rPr>
        <w:t> </w:t>
      </w:r>
      <w:r>
        <w:rPr>
          <w:spacing w:val="-3"/>
          <w:sz w:val="24"/>
        </w:rPr>
        <w:t>Hospital’s</w:t>
      </w:r>
      <w:r>
        <w:rPr>
          <w:spacing w:val="-6"/>
          <w:sz w:val="24"/>
        </w:rPr>
        <w:t> </w:t>
      </w:r>
      <w:r>
        <w:rPr>
          <w:spacing w:val="-3"/>
          <w:sz w:val="24"/>
        </w:rPr>
        <w:t>RY13</w:t>
      </w:r>
      <w:r>
        <w:rPr>
          <w:spacing w:val="-6"/>
          <w:sz w:val="24"/>
        </w:rPr>
        <w:t> </w:t>
      </w:r>
      <w:r>
        <w:rPr>
          <w:spacing w:val="-3"/>
          <w:sz w:val="24"/>
        </w:rPr>
        <w:t>PAPE</w:t>
      </w:r>
      <w:r>
        <w:rPr>
          <w:spacing w:val="-6"/>
          <w:sz w:val="24"/>
        </w:rPr>
        <w:t> </w:t>
      </w:r>
      <w:r>
        <w:rPr>
          <w:sz w:val="24"/>
        </w:rPr>
        <w:t>and</w:t>
      </w:r>
      <w:r>
        <w:rPr>
          <w:spacing w:val="-6"/>
          <w:sz w:val="24"/>
        </w:rPr>
        <w:t> </w:t>
      </w:r>
      <w:r>
        <w:rPr>
          <w:sz w:val="24"/>
        </w:rPr>
        <w:t>the</w:t>
      </w:r>
      <w:r>
        <w:rPr>
          <w:spacing w:val="-6"/>
          <w:sz w:val="24"/>
        </w:rPr>
        <w:t> </w:t>
      </w:r>
      <w:r>
        <w:rPr>
          <w:spacing w:val="-3"/>
          <w:sz w:val="24"/>
        </w:rPr>
        <w:t>preliminary</w:t>
      </w:r>
      <w:r>
        <w:rPr>
          <w:spacing w:val="-6"/>
          <w:sz w:val="24"/>
        </w:rPr>
        <w:t> </w:t>
      </w:r>
      <w:r>
        <w:rPr>
          <w:spacing w:val="-3"/>
          <w:sz w:val="24"/>
        </w:rPr>
        <w:t>RY14 PAPE calculation; provided that, </w:t>
      </w:r>
      <w:r>
        <w:rPr>
          <w:sz w:val="24"/>
        </w:rPr>
        <w:t>no </w:t>
      </w:r>
      <w:r>
        <w:rPr>
          <w:spacing w:val="-3"/>
          <w:sz w:val="24"/>
        </w:rPr>
        <w:t>Hospital’s RY14 PAPE shall </w:t>
      </w:r>
      <w:r>
        <w:rPr>
          <w:sz w:val="24"/>
        </w:rPr>
        <w:t>be </w:t>
      </w:r>
      <w:r>
        <w:rPr>
          <w:spacing w:val="-3"/>
          <w:sz w:val="24"/>
        </w:rPr>
        <w:t>less than </w:t>
      </w:r>
      <w:r>
        <w:rPr>
          <w:sz w:val="24"/>
        </w:rPr>
        <w:t>90% of </w:t>
      </w:r>
      <w:r>
        <w:rPr>
          <w:spacing w:val="-3"/>
          <w:sz w:val="24"/>
        </w:rPr>
        <w:t>its RY13</w:t>
      </w:r>
      <w:r>
        <w:rPr>
          <w:spacing w:val="-4"/>
          <w:sz w:val="24"/>
        </w:rPr>
        <w:t> </w:t>
      </w:r>
      <w:r>
        <w:rPr>
          <w:spacing w:val="-3"/>
          <w:sz w:val="24"/>
        </w:rPr>
        <w:t>PAPE.</w:t>
      </w:r>
    </w:p>
    <w:p>
      <w:pPr>
        <w:pStyle w:val="ListParagraph"/>
        <w:numPr>
          <w:ilvl w:val="2"/>
          <w:numId w:val="3"/>
        </w:numPr>
        <w:tabs>
          <w:tab w:pos="1192" w:val="left" w:leader="none"/>
        </w:tabs>
        <w:spacing w:line="242" w:lineRule="auto" w:before="120" w:after="0"/>
        <w:ind w:left="1192" w:right="413" w:hanging="360"/>
        <w:jc w:val="left"/>
        <w:rPr>
          <w:sz w:val="24"/>
        </w:rPr>
      </w:pPr>
      <w:r>
        <w:rPr>
          <w:sz w:val="24"/>
        </w:rPr>
        <w:t>To </w:t>
      </w:r>
      <w:r>
        <w:rPr>
          <w:spacing w:val="-3"/>
          <w:sz w:val="24"/>
        </w:rPr>
        <w:t>calculate </w:t>
      </w:r>
      <w:r>
        <w:rPr>
          <w:sz w:val="24"/>
        </w:rPr>
        <w:t>the </w:t>
      </w:r>
      <w:r>
        <w:rPr>
          <w:spacing w:val="-3"/>
          <w:sz w:val="24"/>
        </w:rPr>
        <w:t>preliminary RY14 PAPE, </w:t>
      </w:r>
      <w:r>
        <w:rPr>
          <w:sz w:val="24"/>
        </w:rPr>
        <w:t>an </w:t>
      </w:r>
      <w:r>
        <w:rPr>
          <w:spacing w:val="-3"/>
          <w:sz w:val="24"/>
        </w:rPr>
        <w:t>inflation update </w:t>
      </w:r>
      <w:r>
        <w:rPr>
          <w:sz w:val="24"/>
        </w:rPr>
        <w:t>of </w:t>
      </w:r>
      <w:r>
        <w:rPr>
          <w:spacing w:val="-3"/>
          <w:sz w:val="24"/>
        </w:rPr>
        <w:t>1.405% </w:t>
      </w:r>
      <w:r>
        <w:rPr>
          <w:sz w:val="24"/>
        </w:rPr>
        <w:t>for </w:t>
      </w:r>
      <w:r>
        <w:rPr>
          <w:spacing w:val="-3"/>
          <w:sz w:val="24"/>
        </w:rPr>
        <w:t>operating costs </w:t>
      </w:r>
      <w:r>
        <w:rPr>
          <w:sz w:val="24"/>
        </w:rPr>
        <w:t>was</w:t>
      </w:r>
      <w:r>
        <w:rPr>
          <w:spacing w:val="-11"/>
          <w:sz w:val="24"/>
        </w:rPr>
        <w:t> </w:t>
      </w:r>
      <w:r>
        <w:rPr>
          <w:spacing w:val="-3"/>
          <w:sz w:val="24"/>
        </w:rPr>
        <w:t>applied.</w:t>
      </w:r>
    </w:p>
    <w:p>
      <w:pPr>
        <w:spacing w:after="0" w:line="242" w:lineRule="auto"/>
        <w:jc w:val="left"/>
        <w:rPr>
          <w:sz w:val="24"/>
        </w:rPr>
        <w:sectPr>
          <w:pgSz w:w="12240" w:h="15840"/>
          <w:pgMar w:header="0" w:footer="744" w:top="1500" w:bottom="940" w:left="1040" w:right="980"/>
        </w:sectPr>
      </w:pPr>
    </w:p>
    <w:p>
      <w:pPr>
        <w:pStyle w:val="ListParagraph"/>
        <w:numPr>
          <w:ilvl w:val="2"/>
          <w:numId w:val="3"/>
        </w:numPr>
        <w:tabs>
          <w:tab w:pos="1192" w:val="left" w:leader="none"/>
        </w:tabs>
        <w:spacing w:line="242" w:lineRule="auto" w:before="61" w:after="0"/>
        <w:ind w:left="1192" w:right="337" w:hanging="360"/>
        <w:jc w:val="left"/>
        <w:rPr>
          <w:sz w:val="24"/>
        </w:rPr>
      </w:pPr>
      <w:r>
        <w:rPr>
          <w:sz w:val="24"/>
        </w:rPr>
        <w:t>The </w:t>
      </w:r>
      <w:r>
        <w:rPr>
          <w:spacing w:val="-3"/>
          <w:sz w:val="24"/>
        </w:rPr>
        <w:t>RY14 PAPE </w:t>
      </w:r>
      <w:r>
        <w:rPr>
          <w:sz w:val="24"/>
        </w:rPr>
        <w:t>for the two </w:t>
      </w:r>
      <w:r>
        <w:rPr>
          <w:spacing w:val="-3"/>
          <w:sz w:val="24"/>
        </w:rPr>
        <w:t>hospitals first enrolled </w:t>
      </w:r>
      <w:r>
        <w:rPr>
          <w:sz w:val="24"/>
        </w:rPr>
        <w:t>in </w:t>
      </w:r>
      <w:r>
        <w:rPr>
          <w:spacing w:val="-3"/>
          <w:sz w:val="24"/>
        </w:rPr>
        <w:t>November 2012 will </w:t>
      </w:r>
      <w:r>
        <w:rPr>
          <w:sz w:val="24"/>
        </w:rPr>
        <w:t>be an </w:t>
      </w:r>
      <w:r>
        <w:rPr>
          <w:spacing w:val="-4"/>
          <w:sz w:val="24"/>
        </w:rPr>
        <w:t>amount </w:t>
      </w:r>
      <w:r>
        <w:rPr>
          <w:spacing w:val="-3"/>
          <w:sz w:val="24"/>
        </w:rPr>
        <w:t>equal </w:t>
      </w:r>
      <w:r>
        <w:rPr>
          <w:sz w:val="24"/>
        </w:rPr>
        <w:t>to the </w:t>
      </w:r>
      <w:r>
        <w:rPr>
          <w:spacing w:val="-3"/>
          <w:sz w:val="24"/>
        </w:rPr>
        <w:t>median outpatient RY14 PAPE </w:t>
      </w:r>
      <w:r>
        <w:rPr>
          <w:sz w:val="24"/>
        </w:rPr>
        <w:t>for all </w:t>
      </w:r>
      <w:r>
        <w:rPr>
          <w:spacing w:val="-3"/>
          <w:sz w:val="24"/>
        </w:rPr>
        <w:t>other in-state acute hospitals participating </w:t>
      </w:r>
      <w:r>
        <w:rPr>
          <w:sz w:val="24"/>
        </w:rPr>
        <w:t>in</w:t>
      </w:r>
      <w:r>
        <w:rPr>
          <w:spacing w:val="-9"/>
          <w:sz w:val="24"/>
        </w:rPr>
        <w:t> </w:t>
      </w:r>
      <w:r>
        <w:rPr>
          <w:spacing w:val="-3"/>
          <w:sz w:val="24"/>
        </w:rPr>
        <w:t>MassHealth.</w:t>
      </w:r>
    </w:p>
    <w:p>
      <w:pPr>
        <w:pStyle w:val="BodyText"/>
        <w:spacing w:before="10"/>
        <w:rPr>
          <w:sz w:val="20"/>
        </w:rPr>
      </w:pPr>
    </w:p>
    <w:p>
      <w:pPr>
        <w:pStyle w:val="ListParagraph"/>
        <w:numPr>
          <w:ilvl w:val="2"/>
          <w:numId w:val="3"/>
        </w:numPr>
        <w:tabs>
          <w:tab w:pos="1192" w:val="left" w:leader="none"/>
        </w:tabs>
        <w:spacing w:line="240" w:lineRule="auto" w:before="0" w:after="0"/>
        <w:ind w:left="1192" w:right="0" w:hanging="360"/>
        <w:jc w:val="left"/>
        <w:rPr>
          <w:sz w:val="24"/>
        </w:rPr>
      </w:pPr>
      <w:r>
        <w:rPr>
          <w:sz w:val="24"/>
        </w:rPr>
        <w:t>For </w:t>
      </w:r>
      <w:r>
        <w:rPr>
          <w:spacing w:val="-3"/>
          <w:sz w:val="24"/>
        </w:rPr>
        <w:t>Critical Access Hospitals, </w:t>
      </w:r>
      <w:r>
        <w:rPr>
          <w:sz w:val="24"/>
        </w:rPr>
        <w:t>see </w:t>
      </w:r>
      <w:r>
        <w:rPr>
          <w:spacing w:val="-3"/>
          <w:sz w:val="24"/>
        </w:rPr>
        <w:t>Section 1.A.,</w:t>
      </w:r>
      <w:r>
        <w:rPr>
          <w:spacing w:val="-20"/>
          <w:sz w:val="24"/>
        </w:rPr>
        <w:t> </w:t>
      </w:r>
      <w:r>
        <w:rPr>
          <w:spacing w:val="-3"/>
          <w:sz w:val="24"/>
        </w:rPr>
        <w:t>above.</w:t>
      </w:r>
    </w:p>
    <w:p>
      <w:pPr>
        <w:pStyle w:val="Heading3"/>
        <w:numPr>
          <w:ilvl w:val="0"/>
          <w:numId w:val="3"/>
        </w:numPr>
        <w:tabs>
          <w:tab w:pos="473" w:val="left" w:leader="none"/>
        </w:tabs>
        <w:spacing w:line="240" w:lineRule="auto" w:before="126" w:after="0"/>
        <w:ind w:left="472" w:right="0" w:hanging="360"/>
        <w:jc w:val="left"/>
      </w:pPr>
      <w:r>
        <w:rPr/>
        <w:t>Supplemental Hospital</w:t>
      </w:r>
      <w:r>
        <w:rPr>
          <w:spacing w:val="-1"/>
        </w:rPr>
        <w:t> </w:t>
      </w:r>
      <w:r>
        <w:rPr/>
        <w:t>Payments</w:t>
      </w:r>
    </w:p>
    <w:p>
      <w:pPr>
        <w:pStyle w:val="BodyText"/>
        <w:spacing w:before="6"/>
        <w:rPr>
          <w:b/>
        </w:rPr>
      </w:pPr>
    </w:p>
    <w:p>
      <w:pPr>
        <w:pStyle w:val="BodyText"/>
        <w:spacing w:line="237" w:lineRule="auto" w:before="1"/>
        <w:ind w:left="471" w:right="130"/>
      </w:pPr>
      <w:r>
        <w:rPr/>
        <w:t>In addition to the payments specified above, EOHHS makes supplemental payments to certain qualifying hospitals. Supplemental payments are made to hospitals that qualify as Essential MassHealth Hospitals, Acute Hospitals with High Medicaid Discharges, and High Medicaid Volume Freestanding Pediatric Acute Hospitals.</w:t>
      </w:r>
      <w:r>
        <w:rPr>
          <w:position w:val="11"/>
          <w:sz w:val="16"/>
        </w:rPr>
        <w:t>1 </w:t>
      </w:r>
      <w:r>
        <w:rPr/>
        <w:t>These state plan supplemental payment methods are substantially similar to the RY13 supplemental payment methods. In addition, RY14 changes include the following new supplemental payment methods:</w:t>
      </w:r>
    </w:p>
    <w:p>
      <w:pPr>
        <w:pStyle w:val="BodyText"/>
        <w:spacing w:before="7"/>
      </w:pPr>
    </w:p>
    <w:p>
      <w:pPr>
        <w:pStyle w:val="ListParagraph"/>
        <w:numPr>
          <w:ilvl w:val="0"/>
          <w:numId w:val="4"/>
        </w:numPr>
        <w:tabs>
          <w:tab w:pos="832" w:val="left" w:leader="none"/>
        </w:tabs>
        <w:spacing w:line="242" w:lineRule="auto" w:before="0" w:after="0"/>
        <w:ind w:left="832" w:right="207" w:hanging="360"/>
        <w:jc w:val="left"/>
        <w:rPr>
          <w:sz w:val="24"/>
        </w:rPr>
      </w:pPr>
      <w:r>
        <w:rPr>
          <w:sz w:val="24"/>
        </w:rPr>
        <w:t>Disproportionate Share Hospital Supplemental Payment:  A qualifying hospital with greater than 63% of gross patient service revenue (GPSR) from governmental payers and free care, as determined by MassHealth, will receive a supplemental payment equal to the sum of 10% of its total FFY 2013 SPAD payments and 5% of its total FFY 2013 PAPE</w:t>
      </w:r>
      <w:r>
        <w:rPr>
          <w:spacing w:val="-5"/>
          <w:sz w:val="24"/>
        </w:rPr>
        <w:t> </w:t>
      </w:r>
      <w:r>
        <w:rPr>
          <w:sz w:val="24"/>
        </w:rPr>
        <w:t>payments.</w:t>
      </w:r>
    </w:p>
    <w:p>
      <w:pPr>
        <w:pStyle w:val="BodyText"/>
        <w:spacing w:before="4"/>
      </w:pPr>
    </w:p>
    <w:p>
      <w:pPr>
        <w:pStyle w:val="ListParagraph"/>
        <w:numPr>
          <w:ilvl w:val="0"/>
          <w:numId w:val="4"/>
        </w:numPr>
        <w:tabs>
          <w:tab w:pos="832" w:val="left" w:leader="none"/>
        </w:tabs>
        <w:spacing w:line="242" w:lineRule="auto" w:before="0" w:after="0"/>
        <w:ind w:left="832" w:right="106" w:hanging="360"/>
        <w:jc w:val="left"/>
        <w:rPr>
          <w:sz w:val="24"/>
        </w:rPr>
      </w:pPr>
      <w:r>
        <w:rPr>
          <w:sz w:val="24"/>
        </w:rPr>
        <w:t>Freestanding Pediatric Acute Hospital High Complexity Supplemental Payment: To account for the complex pediatric cases they provide care for, qualifying Freestanding Pediatric Acute Hospitals will receive a supplemental payment in an amount which will be determined by apportioning a total of $11.8 M to qualifying hospitals on a pro-rata basis according to each qualifying hospital’s number of inpatient discharges in the RY13 period 1/1/13 –</w:t>
      </w:r>
      <w:r>
        <w:rPr>
          <w:spacing w:val="-4"/>
          <w:sz w:val="24"/>
        </w:rPr>
        <w:t> </w:t>
      </w:r>
      <w:r>
        <w:rPr>
          <w:sz w:val="24"/>
        </w:rPr>
        <w:t>9/30/13.</w:t>
      </w:r>
    </w:p>
    <w:p>
      <w:pPr>
        <w:pStyle w:val="BodyText"/>
        <w:spacing w:before="4"/>
      </w:pPr>
    </w:p>
    <w:p>
      <w:pPr>
        <w:pStyle w:val="ListParagraph"/>
        <w:numPr>
          <w:ilvl w:val="0"/>
          <w:numId w:val="4"/>
        </w:numPr>
        <w:tabs>
          <w:tab w:pos="832" w:val="left" w:leader="none"/>
        </w:tabs>
        <w:spacing w:line="242" w:lineRule="auto" w:before="0" w:after="0"/>
        <w:ind w:left="832" w:right="232" w:hanging="360"/>
        <w:jc w:val="left"/>
        <w:rPr>
          <w:sz w:val="24"/>
        </w:rPr>
      </w:pPr>
      <w:r>
        <w:rPr>
          <w:sz w:val="24"/>
        </w:rPr>
        <w:t>Pediatric Specialty Unit High Complexity Supplemental Payment: To account for the complex pediatric cases they provide care for, qualifying hospitals with Pediatric Specialty Units will receive a supplemental payment in an amount which will be determined by apportioning a total of $3M to qualifying hospitals on a pro rata basis according to each qualifying hospital’s number of inpatient discharges in the RY13 period 1/1/13 –</w:t>
      </w:r>
      <w:r>
        <w:rPr>
          <w:spacing w:val="-2"/>
          <w:sz w:val="24"/>
        </w:rPr>
        <w:t> </w:t>
      </w:r>
      <w:r>
        <w:rPr>
          <w:sz w:val="24"/>
        </w:rPr>
        <w:t>9/30/13.</w:t>
      </w:r>
    </w:p>
    <w:p>
      <w:pPr>
        <w:pStyle w:val="BodyText"/>
        <w:spacing w:before="4"/>
      </w:pPr>
    </w:p>
    <w:p>
      <w:pPr>
        <w:pStyle w:val="ListParagraph"/>
        <w:numPr>
          <w:ilvl w:val="0"/>
          <w:numId w:val="4"/>
        </w:numPr>
        <w:tabs>
          <w:tab w:pos="832" w:val="left" w:leader="none"/>
        </w:tabs>
        <w:spacing w:line="242" w:lineRule="auto" w:before="0" w:after="0"/>
        <w:ind w:left="832" w:right="191" w:hanging="360"/>
        <w:jc w:val="left"/>
        <w:rPr>
          <w:sz w:val="24"/>
        </w:rPr>
      </w:pPr>
      <w:r>
        <w:rPr>
          <w:sz w:val="24"/>
        </w:rPr>
        <w:t>Supplemental Payment for Hospitals with High Volume Neonatal and Pediatric Intensive Care Unit (ICU) Services: EOHHS will make a supplemental payment of not more than $200,000 to qualifying hospitals to support their provision of inpatient neonatal and pediatric ICU services. A hospital is a qualifying hospital if it has at least 108 beds licensed as pediatric, pediatric ICU, or neonatal ICU beds, of which at least 55 must be licensed as neonatal ICU</w:t>
      </w:r>
      <w:r>
        <w:rPr>
          <w:spacing w:val="-3"/>
          <w:sz w:val="24"/>
        </w:rPr>
        <w:t> </w:t>
      </w:r>
      <w:r>
        <w:rPr>
          <w:sz w:val="24"/>
        </w:rPr>
        <w:t>beds.</w:t>
      </w:r>
    </w:p>
    <w:p>
      <w:pPr>
        <w:pStyle w:val="BodyText"/>
        <w:spacing w:before="8"/>
      </w:pPr>
    </w:p>
    <w:p>
      <w:pPr>
        <w:pStyle w:val="Heading3"/>
        <w:numPr>
          <w:ilvl w:val="0"/>
          <w:numId w:val="5"/>
        </w:numPr>
        <w:tabs>
          <w:tab w:pos="473" w:val="left" w:leader="none"/>
        </w:tabs>
        <w:spacing w:line="240" w:lineRule="auto" w:before="0" w:after="0"/>
        <w:ind w:left="472" w:right="0" w:hanging="318"/>
        <w:jc w:val="left"/>
      </w:pPr>
      <w:r>
        <w:rPr/>
        <w:t>Pay for Performance</w:t>
      </w:r>
    </w:p>
    <w:p>
      <w:pPr>
        <w:pStyle w:val="BodyText"/>
        <w:spacing w:before="4"/>
        <w:rPr>
          <w:b/>
        </w:rPr>
      </w:pPr>
    </w:p>
    <w:p>
      <w:pPr>
        <w:pStyle w:val="BodyText"/>
        <w:spacing w:line="242" w:lineRule="auto" w:before="1"/>
        <w:ind w:left="472" w:right="130"/>
      </w:pPr>
      <w:r>
        <w:rPr/>
        <w:t>The </w:t>
      </w:r>
      <w:r>
        <w:rPr>
          <w:spacing w:val="-3"/>
        </w:rPr>
        <w:t>Pay-for-Performance (P4P) program provides </w:t>
      </w:r>
      <w:r>
        <w:rPr/>
        <w:t>a </w:t>
      </w:r>
      <w:r>
        <w:rPr>
          <w:spacing w:val="-3"/>
        </w:rPr>
        <w:t>method </w:t>
      </w:r>
      <w:r>
        <w:rPr/>
        <w:t>for </w:t>
      </w:r>
      <w:r>
        <w:rPr>
          <w:spacing w:val="-3"/>
        </w:rPr>
        <w:t>quality scoring </w:t>
      </w:r>
      <w:r>
        <w:rPr/>
        <w:t>and </w:t>
      </w:r>
      <w:r>
        <w:rPr>
          <w:spacing w:val="-3"/>
        </w:rPr>
        <w:t>converting quality scores </w:t>
      </w:r>
      <w:r>
        <w:rPr/>
        <w:t>to </w:t>
      </w:r>
      <w:r>
        <w:rPr>
          <w:spacing w:val="-3"/>
        </w:rPr>
        <w:t>payments contingent upon hospital adherence </w:t>
      </w:r>
      <w:r>
        <w:rPr/>
        <w:t>to </w:t>
      </w:r>
      <w:r>
        <w:rPr>
          <w:spacing w:val="-3"/>
        </w:rPr>
        <w:t>quality standards </w:t>
      </w:r>
      <w:r>
        <w:rPr/>
        <w:t>and </w:t>
      </w:r>
      <w:r>
        <w:rPr>
          <w:spacing w:val="-3"/>
        </w:rPr>
        <w:t>achievement of performance thresholds </w:t>
      </w:r>
      <w:r>
        <w:rPr/>
        <w:t>and </w:t>
      </w:r>
      <w:r>
        <w:rPr>
          <w:spacing w:val="-3"/>
        </w:rPr>
        <w:t>benchmarks </w:t>
      </w:r>
      <w:r>
        <w:rPr/>
        <w:t>in </w:t>
      </w:r>
      <w:r>
        <w:rPr>
          <w:spacing w:val="-3"/>
        </w:rPr>
        <w:t>accordance with </w:t>
      </w:r>
      <w:r>
        <w:rPr/>
        <w:t>the </w:t>
      </w:r>
      <w:r>
        <w:rPr>
          <w:spacing w:val="-3"/>
        </w:rPr>
        <w:t>provisions </w:t>
      </w:r>
      <w:r>
        <w:rPr/>
        <w:t>of </w:t>
      </w:r>
      <w:r>
        <w:rPr>
          <w:spacing w:val="-3"/>
        </w:rPr>
        <w:t>G.L. </w:t>
      </w:r>
      <w:r>
        <w:rPr/>
        <w:t>c. </w:t>
      </w:r>
      <w:r>
        <w:rPr>
          <w:spacing w:val="-3"/>
        </w:rPr>
        <w:t>118E, sec. 13B.</w:t>
      </w:r>
    </w:p>
    <w:p>
      <w:pPr>
        <w:pStyle w:val="BodyText"/>
        <w:spacing w:before="1"/>
        <w:rPr>
          <w:sz w:val="19"/>
        </w:rPr>
      </w:pPr>
      <w:r>
        <w:rPr/>
        <w:pict>
          <v:line style="position:absolute;mso-position-horizontal-relative:page;mso-position-vertical-relative:paragraph;z-index:0;mso-wrap-distance-left:0;mso-wrap-distance-right:0" from="57.599998pt,13.239942pt" to="201.599998pt,13.239942pt" stroked="true" strokeweight=".600010pt" strokecolor="#000000">
            <v:stroke dashstyle="solid"/>
            <w10:wrap type="topAndBottom"/>
          </v:line>
        </w:pict>
      </w:r>
    </w:p>
    <w:p>
      <w:pPr>
        <w:spacing w:before="88"/>
        <w:ind w:left="111" w:right="243" w:firstLine="0"/>
        <w:jc w:val="both"/>
        <w:rPr>
          <w:rFonts w:ascii="Book Antiqua"/>
          <w:sz w:val="20"/>
        </w:rPr>
      </w:pPr>
      <w:r>
        <w:rPr>
          <w:rFonts w:ascii="Book Antiqua"/>
          <w:position w:val="5"/>
          <w:sz w:val="13"/>
        </w:rPr>
        <w:t>1 </w:t>
      </w:r>
      <w:r>
        <w:rPr>
          <w:rFonts w:ascii="Book Antiqua"/>
          <w:sz w:val="20"/>
        </w:rPr>
        <w:t>The </w:t>
      </w:r>
      <w:r>
        <w:rPr>
          <w:rFonts w:ascii="Book Antiqua"/>
          <w:spacing w:val="-3"/>
          <w:sz w:val="20"/>
        </w:rPr>
        <w:t>High Medicaid Volume Freestanding Pediatric Acute Hospital supplemental payment method </w:t>
      </w:r>
      <w:r>
        <w:rPr>
          <w:rFonts w:ascii="Book Antiqua"/>
          <w:sz w:val="20"/>
        </w:rPr>
        <w:t>was </w:t>
      </w:r>
      <w:r>
        <w:rPr>
          <w:rFonts w:ascii="Book Antiqua"/>
          <w:spacing w:val="-3"/>
          <w:sz w:val="20"/>
        </w:rPr>
        <w:t>formerly known </w:t>
      </w:r>
      <w:r>
        <w:rPr>
          <w:rFonts w:ascii="Book Antiqua"/>
          <w:sz w:val="20"/>
        </w:rPr>
        <w:t>as the </w:t>
      </w:r>
      <w:r>
        <w:rPr>
          <w:rFonts w:ascii="Book Antiqua"/>
          <w:spacing w:val="-3"/>
          <w:sz w:val="20"/>
        </w:rPr>
        <w:t>Freestanding Pediatric Acute Hospital supplemental payment method. </w:t>
      </w:r>
      <w:r>
        <w:rPr>
          <w:rFonts w:ascii="Book Antiqua"/>
          <w:sz w:val="20"/>
        </w:rPr>
        <w:t>The </w:t>
      </w:r>
      <w:r>
        <w:rPr>
          <w:rFonts w:ascii="Book Antiqua"/>
          <w:spacing w:val="-3"/>
          <w:sz w:val="20"/>
        </w:rPr>
        <w:t>qualifying hospital and payment remains </w:t>
      </w:r>
      <w:r>
        <w:rPr>
          <w:rFonts w:ascii="Book Antiqua"/>
          <w:sz w:val="20"/>
        </w:rPr>
        <w:t>the </w:t>
      </w:r>
      <w:r>
        <w:rPr>
          <w:rFonts w:ascii="Book Antiqua"/>
          <w:spacing w:val="-3"/>
          <w:sz w:val="20"/>
        </w:rPr>
        <w:t>same.</w:t>
      </w:r>
    </w:p>
    <w:p>
      <w:pPr>
        <w:spacing w:after="0"/>
        <w:jc w:val="both"/>
        <w:rPr>
          <w:rFonts w:ascii="Book Antiqua"/>
          <w:sz w:val="20"/>
        </w:rPr>
        <w:sectPr>
          <w:pgSz w:w="12240" w:h="15840"/>
          <w:pgMar w:header="0" w:footer="744" w:top="1380" w:bottom="940" w:left="1040" w:right="980"/>
        </w:sectPr>
      </w:pPr>
    </w:p>
    <w:p>
      <w:pPr>
        <w:pStyle w:val="BodyText"/>
        <w:spacing w:line="242" w:lineRule="auto" w:before="61"/>
        <w:ind w:left="471" w:right="237"/>
      </w:pPr>
      <w:r>
        <w:rPr/>
        <w:t>The maximum allocated amount for P4P for RY14 remains at $50.0M, which is planned to be paid in a subsequent rate year following finalization of RY14 P4P data. RY14 changes to the P4P program include:</w:t>
      </w:r>
    </w:p>
    <w:p>
      <w:pPr>
        <w:pStyle w:val="ListParagraph"/>
        <w:numPr>
          <w:ilvl w:val="1"/>
          <w:numId w:val="5"/>
        </w:numPr>
        <w:tabs>
          <w:tab w:pos="832" w:val="left" w:leader="none"/>
        </w:tabs>
        <w:spacing w:line="242" w:lineRule="auto" w:before="120" w:after="0"/>
        <w:ind w:left="832" w:right="175" w:hanging="360"/>
        <w:jc w:val="left"/>
        <w:rPr>
          <w:sz w:val="24"/>
        </w:rPr>
      </w:pPr>
      <w:r>
        <w:rPr>
          <w:sz w:val="24"/>
        </w:rPr>
        <w:t>The </w:t>
      </w:r>
      <w:r>
        <w:rPr>
          <w:spacing w:val="-3"/>
          <w:sz w:val="24"/>
        </w:rPr>
        <w:t>care coordination measure </w:t>
      </w:r>
      <w:r>
        <w:rPr>
          <w:sz w:val="24"/>
        </w:rPr>
        <w:t>set </w:t>
      </w:r>
      <w:r>
        <w:rPr>
          <w:spacing w:val="-3"/>
          <w:sz w:val="24"/>
        </w:rPr>
        <w:t>will change from pay-for-reporting </w:t>
      </w:r>
      <w:r>
        <w:rPr>
          <w:sz w:val="24"/>
        </w:rPr>
        <w:t>to </w:t>
      </w:r>
      <w:r>
        <w:rPr>
          <w:spacing w:val="-4"/>
          <w:sz w:val="24"/>
        </w:rPr>
        <w:t>pay-for-performance </w:t>
      </w:r>
      <w:r>
        <w:rPr>
          <w:spacing w:val="-3"/>
          <w:sz w:val="24"/>
        </w:rPr>
        <w:t>and will </w:t>
      </w:r>
      <w:r>
        <w:rPr>
          <w:sz w:val="24"/>
        </w:rPr>
        <w:t>be </w:t>
      </w:r>
      <w:r>
        <w:rPr>
          <w:spacing w:val="-3"/>
          <w:sz w:val="24"/>
        </w:rPr>
        <w:t>included </w:t>
      </w:r>
      <w:r>
        <w:rPr>
          <w:sz w:val="24"/>
        </w:rPr>
        <w:t>in the </w:t>
      </w:r>
      <w:r>
        <w:rPr>
          <w:spacing w:val="-3"/>
          <w:sz w:val="24"/>
        </w:rPr>
        <w:t>Health Disparities Composite</w:t>
      </w:r>
      <w:r>
        <w:rPr>
          <w:spacing w:val="-27"/>
          <w:sz w:val="24"/>
        </w:rPr>
        <w:t> </w:t>
      </w:r>
      <w:r>
        <w:rPr>
          <w:spacing w:val="-3"/>
          <w:sz w:val="24"/>
        </w:rPr>
        <w:t>Measure.</w:t>
      </w:r>
    </w:p>
    <w:p>
      <w:pPr>
        <w:pStyle w:val="ListParagraph"/>
        <w:numPr>
          <w:ilvl w:val="1"/>
          <w:numId w:val="5"/>
        </w:numPr>
        <w:tabs>
          <w:tab w:pos="832" w:val="left" w:leader="none"/>
        </w:tabs>
        <w:spacing w:line="242" w:lineRule="auto" w:before="120" w:after="0"/>
        <w:ind w:left="832" w:right="260" w:hanging="360"/>
        <w:jc w:val="left"/>
        <w:rPr>
          <w:sz w:val="24"/>
        </w:rPr>
      </w:pPr>
      <w:r>
        <w:rPr>
          <w:sz w:val="24"/>
        </w:rPr>
        <w:t>The </w:t>
      </w:r>
      <w:r>
        <w:rPr>
          <w:spacing w:val="-3"/>
          <w:sz w:val="24"/>
        </w:rPr>
        <w:t>Emergency Department measure set, which </w:t>
      </w:r>
      <w:r>
        <w:rPr>
          <w:sz w:val="24"/>
        </w:rPr>
        <w:t>was </w:t>
      </w:r>
      <w:r>
        <w:rPr>
          <w:spacing w:val="-3"/>
          <w:sz w:val="24"/>
        </w:rPr>
        <w:t>introduced during FY13, will </w:t>
      </w:r>
      <w:r>
        <w:rPr>
          <w:sz w:val="24"/>
        </w:rPr>
        <w:t>be </w:t>
      </w:r>
      <w:r>
        <w:rPr>
          <w:spacing w:val="-3"/>
          <w:sz w:val="24"/>
        </w:rPr>
        <w:t>included in </w:t>
      </w:r>
      <w:r>
        <w:rPr>
          <w:sz w:val="24"/>
        </w:rPr>
        <w:t>the </w:t>
      </w:r>
      <w:r>
        <w:rPr>
          <w:spacing w:val="-3"/>
          <w:sz w:val="24"/>
        </w:rPr>
        <w:t>payment determinations within </w:t>
      </w:r>
      <w:r>
        <w:rPr>
          <w:sz w:val="24"/>
        </w:rPr>
        <w:t>the </w:t>
      </w:r>
      <w:r>
        <w:rPr>
          <w:spacing w:val="-3"/>
          <w:sz w:val="24"/>
        </w:rPr>
        <w:t>$50.0M </w:t>
      </w:r>
      <w:r>
        <w:rPr>
          <w:spacing w:val="-4"/>
          <w:sz w:val="24"/>
        </w:rPr>
        <w:t>maximum</w:t>
      </w:r>
      <w:r>
        <w:rPr>
          <w:spacing w:val="-23"/>
          <w:sz w:val="24"/>
        </w:rPr>
        <w:t> </w:t>
      </w:r>
      <w:r>
        <w:rPr>
          <w:spacing w:val="-3"/>
          <w:sz w:val="24"/>
        </w:rPr>
        <w:t>allocation.</w:t>
      </w:r>
    </w:p>
    <w:p>
      <w:pPr>
        <w:pStyle w:val="ListParagraph"/>
        <w:numPr>
          <w:ilvl w:val="1"/>
          <w:numId w:val="5"/>
        </w:numPr>
        <w:tabs>
          <w:tab w:pos="832" w:val="left" w:leader="none"/>
        </w:tabs>
        <w:spacing w:line="242" w:lineRule="auto" w:before="120" w:after="0"/>
        <w:ind w:left="832" w:right="504" w:hanging="360"/>
        <w:jc w:val="left"/>
        <w:rPr>
          <w:sz w:val="24"/>
        </w:rPr>
      </w:pPr>
      <w:r>
        <w:rPr>
          <w:sz w:val="24"/>
        </w:rPr>
        <w:t>The two </w:t>
      </w:r>
      <w:r>
        <w:rPr>
          <w:spacing w:val="-3"/>
          <w:sz w:val="24"/>
        </w:rPr>
        <w:t>hospitals newly enrolled </w:t>
      </w:r>
      <w:r>
        <w:rPr>
          <w:sz w:val="24"/>
        </w:rPr>
        <w:t>in </w:t>
      </w:r>
      <w:r>
        <w:rPr>
          <w:spacing w:val="-3"/>
          <w:sz w:val="24"/>
        </w:rPr>
        <w:t>November 2012 will become eligible </w:t>
      </w:r>
      <w:r>
        <w:rPr>
          <w:sz w:val="24"/>
        </w:rPr>
        <w:t>for P4P </w:t>
      </w:r>
      <w:r>
        <w:rPr>
          <w:spacing w:val="-3"/>
          <w:sz w:val="24"/>
        </w:rPr>
        <w:t>payment for RY14.</w:t>
      </w:r>
    </w:p>
    <w:p>
      <w:pPr>
        <w:pStyle w:val="BodyText"/>
        <w:spacing w:before="2"/>
        <w:rPr>
          <w:sz w:val="21"/>
        </w:rPr>
      </w:pPr>
    </w:p>
    <w:p>
      <w:pPr>
        <w:pStyle w:val="Heading3"/>
        <w:ind w:left="112" w:firstLine="0"/>
      </w:pPr>
      <w:r>
        <w:rPr>
          <w:u w:val="thick"/>
        </w:rPr>
        <w:t>Justification</w:t>
      </w:r>
    </w:p>
    <w:p>
      <w:pPr>
        <w:pStyle w:val="BodyText"/>
        <w:rPr>
          <w:b/>
          <w:sz w:val="16"/>
        </w:rPr>
      </w:pPr>
    </w:p>
    <w:p>
      <w:pPr>
        <w:pStyle w:val="BodyText"/>
        <w:spacing w:before="95"/>
        <w:ind w:left="112" w:right="184"/>
      </w:pPr>
      <w:r>
        <w:rPr/>
        <w:t>The MassHealth acute hospital payment methods for Rate Year 2014 are substantially similar to those for Rate Year 2013, except as specified above. All changes to hospital payment rates and methods are in accordance with state and federal law and are within the range of reasonable payment levels to acute hospitals.</w:t>
      </w:r>
    </w:p>
    <w:p>
      <w:pPr>
        <w:pStyle w:val="BodyText"/>
        <w:spacing w:before="2"/>
      </w:pPr>
    </w:p>
    <w:p>
      <w:pPr>
        <w:pStyle w:val="Heading3"/>
        <w:ind w:left="112" w:firstLine="0"/>
      </w:pPr>
      <w:r>
        <w:rPr>
          <w:u w:val="single"/>
        </w:rPr>
        <w:t>Estimated Fiscal Effect</w:t>
      </w:r>
    </w:p>
    <w:p>
      <w:pPr>
        <w:pStyle w:val="BodyText"/>
        <w:spacing w:before="10"/>
        <w:rPr>
          <w:b/>
          <w:sz w:val="15"/>
        </w:rPr>
      </w:pPr>
    </w:p>
    <w:p>
      <w:pPr>
        <w:pStyle w:val="BodyText"/>
        <w:spacing w:before="95"/>
        <w:ind w:left="111" w:right="130"/>
      </w:pPr>
      <w:r>
        <w:rPr>
          <w:spacing w:val="-3"/>
        </w:rPr>
        <w:t>EOHHS estimates that </w:t>
      </w:r>
      <w:r>
        <w:rPr/>
        <w:t>the </w:t>
      </w:r>
      <w:r>
        <w:rPr>
          <w:spacing w:val="-3"/>
        </w:rPr>
        <w:t>changes described herein will result </w:t>
      </w:r>
      <w:r>
        <w:rPr/>
        <w:t>in a </w:t>
      </w:r>
      <w:r>
        <w:rPr>
          <w:spacing w:val="-3"/>
        </w:rPr>
        <w:t>$112 million increase </w:t>
      </w:r>
      <w:r>
        <w:rPr/>
        <w:t>in </w:t>
      </w:r>
      <w:r>
        <w:rPr>
          <w:spacing w:val="-3"/>
        </w:rPr>
        <w:t>annual aggregate in-state acute hospital state plan expenditures.</w:t>
      </w:r>
    </w:p>
    <w:p>
      <w:pPr>
        <w:pStyle w:val="BodyText"/>
        <w:rPr>
          <w:sz w:val="26"/>
        </w:rPr>
      </w:pPr>
    </w:p>
    <w:p>
      <w:pPr>
        <w:pStyle w:val="BodyText"/>
        <w:spacing w:before="10"/>
        <w:rPr>
          <w:sz w:val="22"/>
        </w:rPr>
      </w:pPr>
    </w:p>
    <w:p>
      <w:pPr>
        <w:spacing w:before="0"/>
        <w:ind w:left="111" w:right="0" w:firstLine="0"/>
        <w:jc w:val="left"/>
        <w:rPr>
          <w:sz w:val="24"/>
        </w:rPr>
      </w:pPr>
      <w:r>
        <w:rPr>
          <w:b/>
          <w:sz w:val="24"/>
        </w:rPr>
        <w:t>Statutory Authority:  </w:t>
      </w:r>
      <w:r>
        <w:rPr>
          <w:sz w:val="24"/>
        </w:rPr>
        <w:t>M.G.L. c.118E; St. 2013, c. 38; St. 2012, c. 224; 42 USC 1396a; 42 USC 1396b.</w:t>
      </w:r>
    </w:p>
    <w:p>
      <w:pPr>
        <w:pStyle w:val="BodyText"/>
        <w:rPr>
          <w:sz w:val="25"/>
        </w:rPr>
      </w:pPr>
    </w:p>
    <w:p>
      <w:pPr>
        <w:spacing w:before="0"/>
        <w:ind w:left="112" w:right="0" w:firstLine="0"/>
        <w:jc w:val="left"/>
        <w:rPr>
          <w:sz w:val="24"/>
        </w:rPr>
      </w:pPr>
      <w:r>
        <w:rPr>
          <w:b/>
          <w:sz w:val="24"/>
        </w:rPr>
        <w:t>Related Regulations:  </w:t>
      </w:r>
      <w:r>
        <w:rPr>
          <w:sz w:val="24"/>
        </w:rPr>
        <w:t>130 CMR 410, 415, 450; 42 CFR Part 447.</w:t>
      </w:r>
    </w:p>
    <w:p>
      <w:pPr>
        <w:spacing w:after="0"/>
        <w:jc w:val="left"/>
        <w:rPr>
          <w:sz w:val="24"/>
        </w:rPr>
        <w:sectPr>
          <w:pgSz w:w="12240" w:h="15840"/>
          <w:pgMar w:header="0" w:footer="744" w:top="1380" w:bottom="940" w:left="1040" w:right="980"/>
        </w:sectPr>
      </w:pPr>
    </w:p>
    <w:p>
      <w:pPr>
        <w:pStyle w:val="Heading1"/>
        <w:ind w:left="3628" w:right="3618"/>
      </w:pPr>
      <w:r>
        <w:rPr>
          <w:spacing w:val="-3"/>
        </w:rPr>
        <w:t>Section </w:t>
      </w:r>
      <w:r>
        <w:rPr/>
        <w:t>2:</w:t>
      </w:r>
      <w:r>
        <w:rPr>
          <w:spacing w:val="73"/>
        </w:rPr>
        <w:t> </w:t>
      </w:r>
      <w:r>
        <w:rPr>
          <w:spacing w:val="-3"/>
        </w:rPr>
        <w:t>Definitions</w:t>
      </w:r>
    </w:p>
    <w:p>
      <w:pPr>
        <w:pStyle w:val="BodyText"/>
        <w:spacing w:line="242" w:lineRule="auto" w:before="281"/>
        <w:ind w:left="112" w:right="559"/>
      </w:pPr>
      <w:r>
        <w:rPr/>
        <w:t>The </w:t>
      </w:r>
      <w:r>
        <w:rPr>
          <w:spacing w:val="-3"/>
        </w:rPr>
        <w:t>following terms appearing capitalized throughout this </w:t>
      </w:r>
      <w:r>
        <w:rPr/>
        <w:t>RFA and its </w:t>
      </w:r>
      <w:r>
        <w:rPr>
          <w:spacing w:val="-3"/>
        </w:rPr>
        <w:t>appendices shall </w:t>
      </w:r>
      <w:r>
        <w:rPr/>
        <w:t>be </w:t>
      </w:r>
      <w:r>
        <w:rPr>
          <w:spacing w:val="-3"/>
        </w:rPr>
        <w:t>defined as follows, unless </w:t>
      </w:r>
      <w:r>
        <w:rPr/>
        <w:t>the </w:t>
      </w:r>
      <w:r>
        <w:rPr>
          <w:spacing w:val="-3"/>
        </w:rPr>
        <w:t>context clearly indicates otherwise.</w:t>
      </w:r>
    </w:p>
    <w:p>
      <w:pPr>
        <w:pStyle w:val="BodyText"/>
        <w:spacing w:before="8"/>
      </w:pPr>
    </w:p>
    <w:p>
      <w:pPr>
        <w:pStyle w:val="BodyText"/>
        <w:spacing w:line="242" w:lineRule="auto" w:before="1"/>
        <w:ind w:left="651" w:right="248" w:hanging="540"/>
      </w:pPr>
      <w:r>
        <w:rPr>
          <w:b/>
          <w:spacing w:val="-3"/>
        </w:rPr>
        <w:t>Administrative </w:t>
      </w:r>
      <w:r>
        <w:rPr>
          <w:b/>
        </w:rPr>
        <w:t>Day </w:t>
      </w:r>
      <w:r>
        <w:rPr>
          <w:b/>
          <w:spacing w:val="-3"/>
        </w:rPr>
        <w:t>(AD) </w:t>
      </w:r>
      <w:r>
        <w:rPr>
          <w:b/>
        </w:rPr>
        <w:t>— </w:t>
      </w:r>
      <w:r>
        <w:rPr/>
        <w:t>a day of </w:t>
      </w:r>
      <w:r>
        <w:rPr>
          <w:spacing w:val="-3"/>
        </w:rPr>
        <w:t>inpatient hospitalization </w:t>
      </w:r>
      <w:r>
        <w:rPr/>
        <w:t>on </w:t>
      </w:r>
      <w:r>
        <w:rPr>
          <w:spacing w:val="-3"/>
        </w:rPr>
        <w:t>which </w:t>
      </w:r>
      <w:r>
        <w:rPr/>
        <w:t>a </w:t>
      </w:r>
      <w:r>
        <w:rPr>
          <w:spacing w:val="-3"/>
        </w:rPr>
        <w:t>Member’s care needs </w:t>
      </w:r>
      <w:r>
        <w:rPr/>
        <w:t>can </w:t>
      </w:r>
      <w:r>
        <w:rPr>
          <w:spacing w:val="-3"/>
        </w:rPr>
        <w:t>be provided </w:t>
      </w:r>
      <w:r>
        <w:rPr/>
        <w:t>in a </w:t>
      </w:r>
      <w:r>
        <w:rPr>
          <w:spacing w:val="-3"/>
        </w:rPr>
        <w:t>setting other than </w:t>
      </w:r>
      <w:r>
        <w:rPr/>
        <w:t>an </w:t>
      </w:r>
      <w:r>
        <w:rPr>
          <w:spacing w:val="-3"/>
        </w:rPr>
        <w:t>Acute Hospital, </w:t>
      </w:r>
      <w:r>
        <w:rPr/>
        <w:t>and on </w:t>
      </w:r>
      <w:r>
        <w:rPr>
          <w:spacing w:val="-3"/>
        </w:rPr>
        <w:t>which </w:t>
      </w:r>
      <w:r>
        <w:rPr/>
        <w:t>the </w:t>
      </w:r>
      <w:r>
        <w:rPr>
          <w:spacing w:val="-3"/>
        </w:rPr>
        <w:t>Member </w:t>
      </w:r>
      <w:r>
        <w:rPr/>
        <w:t>is </w:t>
      </w:r>
      <w:r>
        <w:rPr>
          <w:spacing w:val="-3"/>
        </w:rPr>
        <w:t>clinically ready for discharge, </w:t>
      </w:r>
      <w:r>
        <w:rPr/>
        <w:t>but an </w:t>
      </w:r>
      <w:r>
        <w:rPr>
          <w:spacing w:val="-3"/>
        </w:rPr>
        <w:t>appropriate institutional </w:t>
      </w:r>
      <w:r>
        <w:rPr/>
        <w:t>or </w:t>
      </w:r>
      <w:r>
        <w:rPr>
          <w:spacing w:val="-3"/>
        </w:rPr>
        <w:t>non-institutional setting </w:t>
      </w:r>
      <w:r>
        <w:rPr/>
        <w:t>is not </w:t>
      </w:r>
      <w:r>
        <w:rPr>
          <w:spacing w:val="-3"/>
        </w:rPr>
        <w:t>readily available. See </w:t>
      </w:r>
      <w:r>
        <w:rPr/>
        <w:t>130 CMR </w:t>
      </w:r>
      <w:r>
        <w:rPr>
          <w:spacing w:val="-3"/>
        </w:rPr>
        <w:t>415.415 </w:t>
      </w:r>
      <w:r>
        <w:rPr/>
        <w:t>and </w:t>
      </w:r>
      <w:r>
        <w:rPr>
          <w:spacing w:val="-3"/>
        </w:rPr>
        <w:t>415.416.</w:t>
      </w:r>
    </w:p>
    <w:p>
      <w:pPr>
        <w:pStyle w:val="BodyText"/>
        <w:spacing w:before="9"/>
      </w:pPr>
    </w:p>
    <w:p>
      <w:pPr>
        <w:spacing w:line="242" w:lineRule="auto" w:before="0"/>
        <w:ind w:left="652" w:right="130" w:hanging="540"/>
        <w:jc w:val="left"/>
        <w:rPr>
          <w:sz w:val="24"/>
        </w:rPr>
      </w:pPr>
      <w:r>
        <w:rPr>
          <w:b/>
          <w:spacing w:val="-3"/>
          <w:sz w:val="24"/>
        </w:rPr>
        <w:t>Behavioral Health (BH) Contractor </w:t>
      </w:r>
      <w:r>
        <w:rPr>
          <w:b/>
          <w:sz w:val="24"/>
        </w:rPr>
        <w:t>— </w:t>
      </w:r>
      <w:r>
        <w:rPr>
          <w:sz w:val="24"/>
        </w:rPr>
        <w:t>the </w:t>
      </w:r>
      <w:r>
        <w:rPr>
          <w:spacing w:val="-3"/>
          <w:sz w:val="24"/>
        </w:rPr>
        <w:t>entity with which EOHHS contracts </w:t>
      </w:r>
      <w:r>
        <w:rPr>
          <w:sz w:val="24"/>
        </w:rPr>
        <w:t>to </w:t>
      </w:r>
      <w:r>
        <w:rPr>
          <w:spacing w:val="-3"/>
          <w:sz w:val="24"/>
        </w:rPr>
        <w:t>provide Behavioral Health Services </w:t>
      </w:r>
      <w:r>
        <w:rPr>
          <w:sz w:val="24"/>
        </w:rPr>
        <w:t>to </w:t>
      </w:r>
      <w:r>
        <w:rPr>
          <w:spacing w:val="-3"/>
          <w:sz w:val="24"/>
        </w:rPr>
        <w:t>enrolled </w:t>
      </w:r>
      <w:r>
        <w:rPr>
          <w:spacing w:val="-4"/>
          <w:sz w:val="24"/>
        </w:rPr>
        <w:t>Members.</w:t>
      </w:r>
    </w:p>
    <w:p>
      <w:pPr>
        <w:pStyle w:val="BodyText"/>
        <w:spacing w:before="7"/>
      </w:pPr>
    </w:p>
    <w:p>
      <w:pPr>
        <w:spacing w:line="242" w:lineRule="auto" w:before="0"/>
        <w:ind w:left="652" w:right="130" w:hanging="540"/>
        <w:jc w:val="left"/>
        <w:rPr>
          <w:sz w:val="24"/>
        </w:rPr>
      </w:pPr>
      <w:r>
        <w:rPr>
          <w:b/>
          <w:spacing w:val="-3"/>
          <w:sz w:val="24"/>
        </w:rPr>
        <w:t>Behavioral Health Services </w:t>
      </w:r>
      <w:r>
        <w:rPr>
          <w:b/>
          <w:sz w:val="24"/>
        </w:rPr>
        <w:t>— </w:t>
      </w:r>
      <w:r>
        <w:rPr>
          <w:spacing w:val="-3"/>
          <w:sz w:val="24"/>
        </w:rPr>
        <w:t>services provided </w:t>
      </w:r>
      <w:r>
        <w:rPr>
          <w:sz w:val="24"/>
        </w:rPr>
        <w:t>to </w:t>
      </w:r>
      <w:r>
        <w:rPr>
          <w:spacing w:val="-3"/>
          <w:sz w:val="24"/>
        </w:rPr>
        <w:t>Members </w:t>
      </w:r>
      <w:r>
        <w:rPr>
          <w:sz w:val="24"/>
        </w:rPr>
        <w:t>who are </w:t>
      </w:r>
      <w:r>
        <w:rPr>
          <w:spacing w:val="-3"/>
          <w:sz w:val="24"/>
        </w:rPr>
        <w:t>being treated </w:t>
      </w:r>
      <w:r>
        <w:rPr>
          <w:sz w:val="24"/>
        </w:rPr>
        <w:t>for </w:t>
      </w:r>
      <w:r>
        <w:rPr>
          <w:spacing w:val="-3"/>
          <w:sz w:val="24"/>
        </w:rPr>
        <w:t>psychiatric disorders </w:t>
      </w:r>
      <w:r>
        <w:rPr>
          <w:sz w:val="24"/>
        </w:rPr>
        <w:t>or </w:t>
      </w:r>
      <w:r>
        <w:rPr>
          <w:spacing w:val="-3"/>
          <w:sz w:val="24"/>
        </w:rPr>
        <w:t>substance-related disorders.</w:t>
      </w:r>
    </w:p>
    <w:p>
      <w:pPr>
        <w:pStyle w:val="BodyText"/>
        <w:spacing w:before="7"/>
      </w:pPr>
    </w:p>
    <w:p>
      <w:pPr>
        <w:pStyle w:val="BodyText"/>
        <w:spacing w:line="242" w:lineRule="auto"/>
        <w:ind w:left="651" w:right="358" w:hanging="540"/>
      </w:pPr>
      <w:r>
        <w:rPr>
          <w:b/>
          <w:spacing w:val="-3"/>
        </w:rPr>
        <w:t>Casemix </w:t>
      </w:r>
      <w:r>
        <w:rPr>
          <w:b/>
        </w:rPr>
        <w:t>— </w:t>
      </w:r>
      <w:r>
        <w:rPr/>
        <w:t>the </w:t>
      </w:r>
      <w:r>
        <w:rPr>
          <w:spacing w:val="-3"/>
        </w:rPr>
        <w:t>description </w:t>
      </w:r>
      <w:r>
        <w:rPr/>
        <w:t>and </w:t>
      </w:r>
      <w:r>
        <w:rPr>
          <w:spacing w:val="-3"/>
        </w:rPr>
        <w:t>categorization </w:t>
      </w:r>
      <w:r>
        <w:rPr/>
        <w:t>of a </w:t>
      </w:r>
      <w:r>
        <w:rPr>
          <w:spacing w:val="-3"/>
        </w:rPr>
        <w:t>hospital’s patient population according </w:t>
      </w:r>
      <w:r>
        <w:rPr/>
        <w:t>to </w:t>
      </w:r>
      <w:r>
        <w:rPr>
          <w:spacing w:val="-3"/>
        </w:rPr>
        <w:t>criteria approved </w:t>
      </w:r>
      <w:r>
        <w:rPr/>
        <w:t>by </w:t>
      </w:r>
      <w:r>
        <w:rPr>
          <w:spacing w:val="-3"/>
        </w:rPr>
        <w:t>EOHHS including, </w:t>
      </w:r>
      <w:r>
        <w:rPr/>
        <w:t>but not </w:t>
      </w:r>
      <w:r>
        <w:rPr>
          <w:spacing w:val="-3"/>
        </w:rPr>
        <w:t>limited </w:t>
      </w:r>
      <w:r>
        <w:rPr/>
        <w:t>to, </w:t>
      </w:r>
      <w:r>
        <w:rPr>
          <w:spacing w:val="-3"/>
        </w:rPr>
        <w:t>primary </w:t>
      </w:r>
      <w:r>
        <w:rPr/>
        <w:t>and </w:t>
      </w:r>
      <w:r>
        <w:rPr>
          <w:spacing w:val="-3"/>
        </w:rPr>
        <w:t>secondary diagnoses, primary and secondary procedures, illness severity, patient </w:t>
      </w:r>
      <w:r>
        <w:rPr/>
        <w:t>age and </w:t>
      </w:r>
      <w:r>
        <w:rPr>
          <w:spacing w:val="-3"/>
        </w:rPr>
        <w:t>source </w:t>
      </w:r>
      <w:r>
        <w:rPr/>
        <w:t>of </w:t>
      </w:r>
      <w:r>
        <w:rPr>
          <w:spacing w:val="-4"/>
        </w:rPr>
        <w:t>payment.</w:t>
      </w:r>
    </w:p>
    <w:p>
      <w:pPr>
        <w:pStyle w:val="BodyText"/>
        <w:spacing w:before="7"/>
      </w:pPr>
    </w:p>
    <w:p>
      <w:pPr>
        <w:spacing w:line="242" w:lineRule="auto" w:before="0"/>
        <w:ind w:left="651" w:right="91" w:hanging="540"/>
        <w:jc w:val="left"/>
        <w:rPr>
          <w:sz w:val="24"/>
        </w:rPr>
      </w:pPr>
      <w:r>
        <w:rPr>
          <w:b/>
          <w:spacing w:val="-3"/>
          <w:sz w:val="24"/>
        </w:rPr>
        <w:t>Center </w:t>
      </w:r>
      <w:r>
        <w:rPr>
          <w:b/>
          <w:sz w:val="24"/>
        </w:rPr>
        <w:t>for </w:t>
      </w:r>
      <w:r>
        <w:rPr>
          <w:b/>
          <w:spacing w:val="-3"/>
          <w:sz w:val="24"/>
        </w:rPr>
        <w:t>Health Information </w:t>
      </w:r>
      <w:r>
        <w:rPr>
          <w:b/>
          <w:sz w:val="24"/>
        </w:rPr>
        <w:t>and </w:t>
      </w:r>
      <w:r>
        <w:rPr>
          <w:b/>
          <w:spacing w:val="-3"/>
          <w:sz w:val="24"/>
        </w:rPr>
        <w:t>Analysis (CHIA) </w:t>
      </w:r>
      <w:r>
        <w:rPr>
          <w:b/>
          <w:sz w:val="24"/>
        </w:rPr>
        <w:t>– </w:t>
      </w:r>
      <w:r>
        <w:rPr>
          <w:sz w:val="24"/>
        </w:rPr>
        <w:t>The </w:t>
      </w:r>
      <w:r>
        <w:rPr>
          <w:spacing w:val="-3"/>
          <w:sz w:val="24"/>
        </w:rPr>
        <w:t>Center </w:t>
      </w:r>
      <w:r>
        <w:rPr>
          <w:sz w:val="24"/>
        </w:rPr>
        <w:t>for </w:t>
      </w:r>
      <w:r>
        <w:rPr>
          <w:spacing w:val="-3"/>
          <w:sz w:val="24"/>
        </w:rPr>
        <w:t>Health Information </w:t>
      </w:r>
      <w:r>
        <w:rPr>
          <w:sz w:val="24"/>
        </w:rPr>
        <w:t>and </w:t>
      </w:r>
      <w:r>
        <w:rPr>
          <w:spacing w:val="-3"/>
          <w:sz w:val="24"/>
        </w:rPr>
        <w:t>Analysis established under M.G.L. </w:t>
      </w:r>
      <w:r>
        <w:rPr>
          <w:sz w:val="24"/>
        </w:rPr>
        <w:t>c. </w:t>
      </w:r>
      <w:r>
        <w:rPr>
          <w:spacing w:val="-3"/>
          <w:sz w:val="24"/>
        </w:rPr>
        <w:t>12C, </w:t>
      </w:r>
      <w:r>
        <w:rPr>
          <w:sz w:val="24"/>
        </w:rPr>
        <w:t>or its </w:t>
      </w:r>
      <w:r>
        <w:rPr>
          <w:spacing w:val="-3"/>
          <w:sz w:val="24"/>
        </w:rPr>
        <w:t>predecessor agency, DHCFP.</w:t>
      </w:r>
    </w:p>
    <w:p>
      <w:pPr>
        <w:pStyle w:val="BodyText"/>
        <w:spacing w:before="8"/>
      </w:pPr>
    </w:p>
    <w:p>
      <w:pPr>
        <w:spacing w:line="242" w:lineRule="auto" w:before="0"/>
        <w:ind w:left="652" w:right="649" w:hanging="540"/>
        <w:jc w:val="left"/>
        <w:rPr>
          <w:sz w:val="24"/>
        </w:rPr>
      </w:pPr>
      <w:r>
        <w:rPr>
          <w:b/>
          <w:spacing w:val="-3"/>
          <w:sz w:val="24"/>
        </w:rPr>
        <w:t>Centers </w:t>
      </w:r>
      <w:r>
        <w:rPr>
          <w:b/>
          <w:sz w:val="24"/>
        </w:rPr>
        <w:t>for </w:t>
      </w:r>
      <w:r>
        <w:rPr>
          <w:b/>
          <w:spacing w:val="-3"/>
          <w:sz w:val="24"/>
        </w:rPr>
        <w:t>Medicare </w:t>
      </w:r>
      <w:r>
        <w:rPr>
          <w:b/>
          <w:sz w:val="24"/>
        </w:rPr>
        <w:t>&amp; </w:t>
      </w:r>
      <w:r>
        <w:rPr>
          <w:b/>
          <w:spacing w:val="-3"/>
          <w:sz w:val="24"/>
        </w:rPr>
        <w:t>Medicaid Services (CMS) </w:t>
      </w:r>
      <w:r>
        <w:rPr>
          <w:b/>
          <w:sz w:val="24"/>
        </w:rPr>
        <w:t>— </w:t>
      </w:r>
      <w:r>
        <w:rPr>
          <w:sz w:val="24"/>
        </w:rPr>
        <w:t>the </w:t>
      </w:r>
      <w:r>
        <w:rPr>
          <w:spacing w:val="-3"/>
          <w:sz w:val="24"/>
        </w:rPr>
        <w:t>federal agency under </w:t>
      </w:r>
      <w:r>
        <w:rPr>
          <w:sz w:val="24"/>
        </w:rPr>
        <w:t>the </w:t>
      </w:r>
      <w:r>
        <w:rPr>
          <w:spacing w:val="-3"/>
          <w:sz w:val="24"/>
        </w:rPr>
        <w:t>Department of Health </w:t>
      </w:r>
      <w:r>
        <w:rPr>
          <w:sz w:val="24"/>
        </w:rPr>
        <w:t>and </w:t>
      </w:r>
      <w:r>
        <w:rPr>
          <w:spacing w:val="-3"/>
          <w:sz w:val="24"/>
        </w:rPr>
        <w:t>Human Services that </w:t>
      </w:r>
      <w:r>
        <w:rPr>
          <w:sz w:val="24"/>
        </w:rPr>
        <w:t>is </w:t>
      </w:r>
      <w:r>
        <w:rPr>
          <w:spacing w:val="-3"/>
          <w:sz w:val="24"/>
        </w:rPr>
        <w:t>responsible </w:t>
      </w:r>
      <w:r>
        <w:rPr>
          <w:sz w:val="24"/>
        </w:rPr>
        <w:t>for </w:t>
      </w:r>
      <w:r>
        <w:rPr>
          <w:spacing w:val="-3"/>
          <w:sz w:val="24"/>
        </w:rPr>
        <w:t>administering </w:t>
      </w:r>
      <w:r>
        <w:rPr>
          <w:sz w:val="24"/>
        </w:rPr>
        <w:t>the </w:t>
      </w:r>
      <w:r>
        <w:rPr>
          <w:spacing w:val="-3"/>
          <w:sz w:val="24"/>
        </w:rPr>
        <w:t>Medicare </w:t>
      </w:r>
      <w:r>
        <w:rPr>
          <w:sz w:val="24"/>
        </w:rPr>
        <w:t>and </w:t>
      </w:r>
      <w:r>
        <w:rPr>
          <w:spacing w:val="-3"/>
          <w:sz w:val="24"/>
        </w:rPr>
        <w:t>Medicaid </w:t>
      </w:r>
      <w:r>
        <w:rPr>
          <w:spacing w:val="-4"/>
          <w:sz w:val="24"/>
        </w:rPr>
        <w:t>programs.</w:t>
      </w:r>
    </w:p>
    <w:p>
      <w:pPr>
        <w:pStyle w:val="BodyText"/>
        <w:spacing w:before="8"/>
      </w:pPr>
    </w:p>
    <w:p>
      <w:pPr>
        <w:pStyle w:val="BodyText"/>
        <w:ind w:left="112"/>
      </w:pPr>
      <w:r>
        <w:rPr>
          <w:b/>
        </w:rPr>
        <w:t>Charge </w:t>
      </w:r>
      <w:r>
        <w:rPr/>
        <w:t>— the uniform price for each specific service within a Revenue Center of an Acute Hospital.</w:t>
      </w:r>
    </w:p>
    <w:p>
      <w:pPr>
        <w:pStyle w:val="BodyText"/>
        <w:spacing w:before="10"/>
      </w:pPr>
    </w:p>
    <w:p>
      <w:pPr>
        <w:pStyle w:val="BodyText"/>
        <w:spacing w:line="242" w:lineRule="auto"/>
        <w:ind w:left="652" w:right="130" w:hanging="540"/>
      </w:pPr>
      <w:r>
        <w:rPr>
          <w:b/>
          <w:spacing w:val="-3"/>
        </w:rPr>
        <w:t>Clinical Laboratory Service </w:t>
      </w:r>
      <w:r>
        <w:rPr/>
        <w:t>— </w:t>
      </w:r>
      <w:r>
        <w:rPr>
          <w:spacing w:val="-3"/>
        </w:rPr>
        <w:t>Microbiological, serological, chemical, hematological, biophysical, radio bioassay, cytological, </w:t>
      </w:r>
      <w:r>
        <w:rPr>
          <w:spacing w:val="-4"/>
        </w:rPr>
        <w:t>immunohematological, immunological, </w:t>
      </w:r>
      <w:r>
        <w:rPr>
          <w:spacing w:val="-3"/>
        </w:rPr>
        <w:t>pathological, </w:t>
      </w:r>
      <w:r>
        <w:rPr/>
        <w:t>or </w:t>
      </w:r>
      <w:r>
        <w:rPr>
          <w:spacing w:val="-3"/>
        </w:rPr>
        <w:t>other examinations of materials derived from </w:t>
      </w:r>
      <w:r>
        <w:rPr/>
        <w:t>the </w:t>
      </w:r>
      <w:r>
        <w:rPr>
          <w:spacing w:val="-3"/>
        </w:rPr>
        <w:t>human body, </w:t>
      </w:r>
      <w:r>
        <w:rPr/>
        <w:t>to </w:t>
      </w:r>
      <w:r>
        <w:rPr>
          <w:spacing w:val="-3"/>
        </w:rPr>
        <w:t>provide information </w:t>
      </w:r>
      <w:r>
        <w:rPr/>
        <w:t>for the </w:t>
      </w:r>
      <w:r>
        <w:rPr>
          <w:spacing w:val="-3"/>
        </w:rPr>
        <w:t>assessment </w:t>
      </w:r>
      <w:r>
        <w:rPr/>
        <w:t>of a </w:t>
      </w:r>
      <w:r>
        <w:rPr>
          <w:spacing w:val="-4"/>
        </w:rPr>
        <w:t>medical </w:t>
      </w:r>
      <w:r>
        <w:rPr>
          <w:spacing w:val="-3"/>
        </w:rPr>
        <w:t>condition </w:t>
      </w:r>
      <w:r>
        <w:rPr/>
        <w:t>or for the </w:t>
      </w:r>
      <w:r>
        <w:rPr>
          <w:spacing w:val="-3"/>
        </w:rPr>
        <w:t>diagnosis, prevention, </w:t>
      </w:r>
      <w:r>
        <w:rPr/>
        <w:t>or </w:t>
      </w:r>
      <w:r>
        <w:rPr>
          <w:spacing w:val="-3"/>
        </w:rPr>
        <w:t>treatment </w:t>
      </w:r>
      <w:r>
        <w:rPr/>
        <w:t>of any </w:t>
      </w:r>
      <w:r>
        <w:rPr>
          <w:spacing w:val="-3"/>
        </w:rPr>
        <w:t>disease.</w:t>
      </w:r>
    </w:p>
    <w:p>
      <w:pPr>
        <w:pStyle w:val="BodyText"/>
        <w:spacing w:before="9"/>
      </w:pPr>
    </w:p>
    <w:p>
      <w:pPr>
        <w:pStyle w:val="BodyText"/>
        <w:spacing w:line="242" w:lineRule="auto"/>
        <w:ind w:left="652" w:right="130" w:hanging="540"/>
      </w:pPr>
      <w:r>
        <w:rPr>
          <w:b/>
          <w:spacing w:val="-3"/>
        </w:rPr>
        <w:t>Coinsurance </w:t>
      </w:r>
      <w:r>
        <w:rPr>
          <w:b/>
        </w:rPr>
        <w:t>— </w:t>
      </w:r>
      <w:r>
        <w:rPr/>
        <w:t>a </w:t>
      </w:r>
      <w:r>
        <w:rPr>
          <w:spacing w:val="-3"/>
        </w:rPr>
        <w:t>percentage </w:t>
      </w:r>
      <w:r>
        <w:rPr/>
        <w:t>of </w:t>
      </w:r>
      <w:r>
        <w:rPr>
          <w:spacing w:val="-3"/>
        </w:rPr>
        <w:t>cost </w:t>
      </w:r>
      <w:r>
        <w:rPr/>
        <w:t>or a fee </w:t>
      </w:r>
      <w:r>
        <w:rPr>
          <w:spacing w:val="-3"/>
        </w:rPr>
        <w:t>established </w:t>
      </w:r>
      <w:r>
        <w:rPr/>
        <w:t>by a </w:t>
      </w:r>
      <w:r>
        <w:rPr>
          <w:spacing w:val="-3"/>
        </w:rPr>
        <w:t>Third-Party Insurance carrier </w:t>
      </w:r>
      <w:r>
        <w:rPr/>
        <w:t>for a </w:t>
      </w:r>
      <w:r>
        <w:rPr>
          <w:spacing w:val="-3"/>
        </w:rPr>
        <w:t>specific service </w:t>
      </w:r>
      <w:r>
        <w:rPr/>
        <w:t>or </w:t>
      </w:r>
      <w:r>
        <w:rPr>
          <w:spacing w:val="-3"/>
        </w:rPr>
        <w:t>item </w:t>
      </w:r>
      <w:r>
        <w:rPr/>
        <w:t>for </w:t>
      </w:r>
      <w:r>
        <w:rPr>
          <w:spacing w:val="-3"/>
        </w:rPr>
        <w:t>which </w:t>
      </w:r>
      <w:r>
        <w:rPr/>
        <w:t>an </w:t>
      </w:r>
      <w:r>
        <w:rPr>
          <w:spacing w:val="-3"/>
        </w:rPr>
        <w:t>individual </w:t>
      </w:r>
      <w:r>
        <w:rPr/>
        <w:t>is </w:t>
      </w:r>
      <w:r>
        <w:rPr>
          <w:spacing w:val="-3"/>
        </w:rPr>
        <w:t>responsible when </w:t>
      </w:r>
      <w:r>
        <w:rPr/>
        <w:t>the </w:t>
      </w:r>
      <w:r>
        <w:rPr>
          <w:spacing w:val="-3"/>
        </w:rPr>
        <w:t>service </w:t>
      </w:r>
      <w:r>
        <w:rPr/>
        <w:t>or </w:t>
      </w:r>
      <w:r>
        <w:rPr>
          <w:spacing w:val="-3"/>
        </w:rPr>
        <w:t>supply </w:t>
      </w:r>
      <w:r>
        <w:rPr/>
        <w:t>is </w:t>
      </w:r>
      <w:r>
        <w:rPr>
          <w:spacing w:val="-3"/>
        </w:rPr>
        <w:t>delivered. This cost </w:t>
      </w:r>
      <w:r>
        <w:rPr/>
        <w:t>or fee </w:t>
      </w:r>
      <w:r>
        <w:rPr>
          <w:spacing w:val="-3"/>
        </w:rPr>
        <w:t>varies according </w:t>
      </w:r>
      <w:r>
        <w:rPr/>
        <w:t>to the </w:t>
      </w:r>
      <w:r>
        <w:rPr>
          <w:spacing w:val="-3"/>
        </w:rPr>
        <w:t>individual’s insurance carrier.</w:t>
      </w:r>
    </w:p>
    <w:p>
      <w:pPr>
        <w:pStyle w:val="BodyText"/>
        <w:spacing w:before="7"/>
      </w:pPr>
    </w:p>
    <w:p>
      <w:pPr>
        <w:spacing w:line="242" w:lineRule="auto" w:before="1"/>
        <w:ind w:left="652" w:right="130" w:hanging="540"/>
        <w:jc w:val="left"/>
        <w:rPr>
          <w:sz w:val="24"/>
        </w:rPr>
      </w:pPr>
      <w:r>
        <w:rPr>
          <w:b/>
          <w:spacing w:val="-3"/>
          <w:sz w:val="24"/>
        </w:rPr>
        <w:t>Commonwealth Health Insurance Connector (Connector) </w:t>
      </w:r>
      <w:r>
        <w:rPr>
          <w:b/>
          <w:sz w:val="24"/>
        </w:rPr>
        <w:t>— </w:t>
      </w:r>
      <w:r>
        <w:rPr>
          <w:sz w:val="24"/>
        </w:rPr>
        <w:t>the </w:t>
      </w:r>
      <w:r>
        <w:rPr>
          <w:spacing w:val="-3"/>
          <w:sz w:val="24"/>
        </w:rPr>
        <w:t>authority established </w:t>
      </w:r>
      <w:r>
        <w:rPr>
          <w:sz w:val="24"/>
        </w:rPr>
        <w:t>by </w:t>
      </w:r>
      <w:r>
        <w:rPr>
          <w:spacing w:val="-3"/>
          <w:sz w:val="24"/>
        </w:rPr>
        <w:t>G.L. chapter 176Q, section 2.</w:t>
      </w:r>
    </w:p>
    <w:p>
      <w:pPr>
        <w:pStyle w:val="BodyText"/>
        <w:spacing w:before="8"/>
      </w:pPr>
    </w:p>
    <w:p>
      <w:pPr>
        <w:spacing w:before="0"/>
        <w:ind w:left="112" w:right="0" w:firstLine="0"/>
        <w:jc w:val="left"/>
        <w:rPr>
          <w:sz w:val="24"/>
        </w:rPr>
      </w:pPr>
      <w:r>
        <w:rPr>
          <w:b/>
          <w:spacing w:val="-3"/>
          <w:sz w:val="24"/>
        </w:rPr>
        <w:t>Commonwealth Care Health Insurance program (Commonwealth Care) </w:t>
      </w:r>
      <w:r>
        <w:rPr>
          <w:b/>
          <w:sz w:val="24"/>
        </w:rPr>
        <w:t>— </w:t>
      </w:r>
      <w:r>
        <w:rPr>
          <w:sz w:val="24"/>
        </w:rPr>
        <w:t>a </w:t>
      </w:r>
      <w:r>
        <w:rPr>
          <w:spacing w:val="-3"/>
          <w:sz w:val="24"/>
        </w:rPr>
        <w:t>program established by</w:t>
      </w:r>
    </w:p>
    <w:p>
      <w:pPr>
        <w:pStyle w:val="BodyText"/>
        <w:spacing w:line="242" w:lineRule="auto" w:before="3"/>
        <w:ind w:left="651" w:right="271"/>
      </w:pPr>
      <w:r>
        <w:rPr>
          <w:spacing w:val="-3"/>
        </w:rPr>
        <w:t>G.L. chapter 118H, section </w:t>
      </w:r>
      <w:r>
        <w:rPr/>
        <w:t>2 and </w:t>
      </w:r>
      <w:r>
        <w:rPr>
          <w:spacing w:val="-3"/>
        </w:rPr>
        <w:t>administered </w:t>
      </w:r>
      <w:r>
        <w:rPr/>
        <w:t>by the </w:t>
      </w:r>
      <w:r>
        <w:rPr>
          <w:spacing w:val="-3"/>
        </w:rPr>
        <w:t>Connector, </w:t>
      </w:r>
      <w:r>
        <w:rPr/>
        <w:t>in </w:t>
      </w:r>
      <w:r>
        <w:rPr>
          <w:spacing w:val="-3"/>
        </w:rPr>
        <w:t>consultation with </w:t>
      </w:r>
      <w:r>
        <w:rPr/>
        <w:t>the </w:t>
      </w:r>
      <w:r>
        <w:rPr>
          <w:spacing w:val="-3"/>
        </w:rPr>
        <w:t>Office of Medicaid, which provides subsidies </w:t>
      </w:r>
      <w:r>
        <w:rPr/>
        <w:t>to </w:t>
      </w:r>
      <w:r>
        <w:rPr>
          <w:spacing w:val="-3"/>
        </w:rPr>
        <w:t>assist eligible individuals </w:t>
      </w:r>
      <w:r>
        <w:rPr/>
        <w:t>in </w:t>
      </w:r>
      <w:r>
        <w:rPr>
          <w:spacing w:val="-3"/>
        </w:rPr>
        <w:t>purchasing health insurance.</w:t>
      </w:r>
    </w:p>
    <w:p>
      <w:pPr>
        <w:spacing w:after="0" w:line="242" w:lineRule="auto"/>
        <w:sectPr>
          <w:pgSz w:w="12240" w:h="15840"/>
          <w:pgMar w:header="0" w:footer="744" w:top="1380" w:bottom="940" w:left="1040" w:right="980"/>
        </w:sectPr>
      </w:pPr>
    </w:p>
    <w:p>
      <w:pPr>
        <w:pStyle w:val="BodyText"/>
        <w:spacing w:line="242" w:lineRule="auto" w:before="65"/>
        <w:ind w:left="651" w:right="130" w:hanging="540"/>
      </w:pPr>
      <w:r>
        <w:rPr>
          <w:b/>
          <w:spacing w:val="-3"/>
        </w:rPr>
        <w:t>Community-Based Physician </w:t>
      </w:r>
      <w:r>
        <w:rPr>
          <w:b/>
        </w:rPr>
        <w:t>— </w:t>
      </w:r>
      <w:r>
        <w:rPr/>
        <w:t>any </w:t>
      </w:r>
      <w:r>
        <w:rPr>
          <w:spacing w:val="-3"/>
        </w:rPr>
        <w:t>physician </w:t>
      </w:r>
      <w:r>
        <w:rPr/>
        <w:t>or </w:t>
      </w:r>
      <w:r>
        <w:rPr>
          <w:spacing w:val="-3"/>
        </w:rPr>
        <w:t>physician group practice, excluding interns, residents, fellows, </w:t>
      </w:r>
      <w:r>
        <w:rPr/>
        <w:t>and </w:t>
      </w:r>
      <w:r>
        <w:rPr>
          <w:spacing w:val="-3"/>
        </w:rPr>
        <w:t>house officers, </w:t>
      </w:r>
      <w:r>
        <w:rPr/>
        <w:t>who is not a </w:t>
      </w:r>
      <w:r>
        <w:rPr>
          <w:spacing w:val="-3"/>
        </w:rPr>
        <w:t>Hospital-Based Physician. </w:t>
      </w:r>
      <w:r>
        <w:rPr/>
        <w:t>For </w:t>
      </w:r>
      <w:r>
        <w:rPr>
          <w:spacing w:val="-3"/>
        </w:rPr>
        <w:t>purposes </w:t>
      </w:r>
      <w:r>
        <w:rPr/>
        <w:t>of </w:t>
      </w:r>
      <w:r>
        <w:rPr>
          <w:spacing w:val="-3"/>
        </w:rPr>
        <w:t>this definition </w:t>
      </w:r>
      <w:r>
        <w:rPr/>
        <w:t>and </w:t>
      </w:r>
      <w:r>
        <w:rPr>
          <w:spacing w:val="-3"/>
        </w:rPr>
        <w:t>related provisions, </w:t>
      </w:r>
      <w:r>
        <w:rPr/>
        <w:t>the </w:t>
      </w:r>
      <w:r>
        <w:rPr>
          <w:spacing w:val="-3"/>
        </w:rPr>
        <w:t>term physician includes dentists, podiatrists, </w:t>
      </w:r>
      <w:r>
        <w:rPr/>
        <w:t>and </w:t>
      </w:r>
      <w:r>
        <w:rPr>
          <w:spacing w:val="-3"/>
        </w:rPr>
        <w:t>osteopaths.</w:t>
      </w:r>
    </w:p>
    <w:p>
      <w:pPr>
        <w:pStyle w:val="BodyText"/>
        <w:spacing w:before="8"/>
      </w:pPr>
    </w:p>
    <w:p>
      <w:pPr>
        <w:pStyle w:val="BodyText"/>
        <w:spacing w:line="244" w:lineRule="auto"/>
        <w:ind w:left="652" w:hanging="540"/>
      </w:pPr>
      <w:r>
        <w:rPr>
          <w:b/>
          <w:spacing w:val="-3"/>
        </w:rPr>
        <w:t>Contract </w:t>
      </w:r>
      <w:r>
        <w:rPr>
          <w:spacing w:val="-3"/>
        </w:rPr>
        <w:t>(also </w:t>
      </w:r>
      <w:r>
        <w:rPr>
          <w:b/>
          <w:spacing w:val="-3"/>
        </w:rPr>
        <w:t>Hospital Contract </w:t>
      </w:r>
      <w:r>
        <w:rPr/>
        <w:t>or </w:t>
      </w:r>
      <w:r>
        <w:rPr>
          <w:b/>
          <w:spacing w:val="-3"/>
        </w:rPr>
        <w:t>Agreement</w:t>
      </w:r>
      <w:r>
        <w:rPr>
          <w:spacing w:val="-3"/>
        </w:rPr>
        <w:t>) </w:t>
      </w:r>
      <w:r>
        <w:rPr>
          <w:b/>
        </w:rPr>
        <w:t>— </w:t>
      </w:r>
      <w:r>
        <w:rPr/>
        <w:t>the </w:t>
      </w:r>
      <w:r>
        <w:rPr>
          <w:spacing w:val="-3"/>
        </w:rPr>
        <w:t>agreement executed between each selected Hospital </w:t>
      </w:r>
      <w:r>
        <w:rPr/>
        <w:t>and </w:t>
      </w:r>
      <w:r>
        <w:rPr>
          <w:spacing w:val="-3"/>
        </w:rPr>
        <w:t>EOHHS, which </w:t>
      </w:r>
      <w:r>
        <w:rPr/>
        <w:t>is </w:t>
      </w:r>
      <w:r>
        <w:rPr>
          <w:spacing w:val="-3"/>
        </w:rPr>
        <w:t>contained </w:t>
      </w:r>
      <w:r>
        <w:rPr/>
        <w:t>in </w:t>
      </w:r>
      <w:r>
        <w:rPr>
          <w:b/>
          <w:spacing w:val="-3"/>
        </w:rPr>
        <w:t>Appendix </w:t>
      </w:r>
      <w:r>
        <w:rPr>
          <w:b/>
        </w:rPr>
        <w:t>A </w:t>
      </w:r>
      <w:r>
        <w:rPr>
          <w:spacing w:val="-3"/>
        </w:rPr>
        <w:t>attached hereto, </w:t>
      </w:r>
      <w:r>
        <w:rPr/>
        <w:t>and </w:t>
      </w:r>
      <w:r>
        <w:rPr>
          <w:spacing w:val="-3"/>
        </w:rPr>
        <w:t>incorporates </w:t>
      </w:r>
      <w:r>
        <w:rPr/>
        <w:t>all of </w:t>
      </w:r>
      <w:r>
        <w:rPr>
          <w:spacing w:val="-3"/>
        </w:rPr>
        <w:t>the provisions </w:t>
      </w:r>
      <w:r>
        <w:rPr/>
        <w:t>of </w:t>
      </w:r>
      <w:r>
        <w:rPr>
          <w:spacing w:val="-3"/>
        </w:rPr>
        <w:t>this RFA. Unless </w:t>
      </w:r>
      <w:r>
        <w:rPr/>
        <w:t>the </w:t>
      </w:r>
      <w:r>
        <w:rPr>
          <w:spacing w:val="-3"/>
        </w:rPr>
        <w:t>context indicates that </w:t>
      </w:r>
      <w:r>
        <w:rPr/>
        <w:t>the </w:t>
      </w:r>
      <w:r>
        <w:rPr>
          <w:spacing w:val="-3"/>
        </w:rPr>
        <w:t>term “RFA” refers exclusively </w:t>
      </w:r>
      <w:r>
        <w:rPr/>
        <w:t>to </w:t>
      </w:r>
      <w:r>
        <w:rPr>
          <w:spacing w:val="-3"/>
        </w:rPr>
        <w:t>the procurement document </w:t>
      </w:r>
      <w:r>
        <w:rPr/>
        <w:t>as </w:t>
      </w:r>
      <w:r>
        <w:rPr>
          <w:spacing w:val="-3"/>
        </w:rPr>
        <w:t>such, references </w:t>
      </w:r>
      <w:r>
        <w:rPr/>
        <w:t>to RFA </w:t>
      </w:r>
      <w:r>
        <w:rPr>
          <w:spacing w:val="-3"/>
        </w:rPr>
        <w:t>shall constitute references </w:t>
      </w:r>
      <w:r>
        <w:rPr/>
        <w:t>to the </w:t>
      </w:r>
      <w:r>
        <w:rPr>
          <w:spacing w:val="-3"/>
        </w:rPr>
        <w:t>Contract (or </w:t>
      </w:r>
      <w:r>
        <w:rPr>
          <w:spacing w:val="-4"/>
        </w:rPr>
        <w:t>Agreement).</w:t>
      </w:r>
    </w:p>
    <w:p>
      <w:pPr>
        <w:pStyle w:val="BodyText"/>
        <w:spacing w:before="5"/>
      </w:pPr>
    </w:p>
    <w:p>
      <w:pPr>
        <w:pStyle w:val="BodyText"/>
        <w:spacing w:line="242" w:lineRule="auto"/>
        <w:ind w:left="652" w:right="253" w:hanging="540"/>
      </w:pPr>
      <w:r>
        <w:rPr>
          <w:b/>
          <w:spacing w:val="-3"/>
        </w:rPr>
        <w:t>Contractor </w:t>
      </w:r>
      <w:r>
        <w:rPr>
          <w:b/>
        </w:rPr>
        <w:t>— </w:t>
      </w:r>
      <w:r>
        <w:rPr>
          <w:spacing w:val="-3"/>
        </w:rPr>
        <w:t>each Hospital that </w:t>
      </w:r>
      <w:r>
        <w:rPr/>
        <w:t>is </w:t>
      </w:r>
      <w:r>
        <w:rPr>
          <w:spacing w:val="-3"/>
        </w:rPr>
        <w:t>selected </w:t>
      </w:r>
      <w:r>
        <w:rPr/>
        <w:t>by </w:t>
      </w:r>
      <w:r>
        <w:rPr>
          <w:spacing w:val="-3"/>
        </w:rPr>
        <w:t>EOHHS after submitting </w:t>
      </w:r>
      <w:r>
        <w:rPr/>
        <w:t>a </w:t>
      </w:r>
      <w:r>
        <w:rPr>
          <w:spacing w:val="-3"/>
        </w:rPr>
        <w:t>satisfactory application in response </w:t>
      </w:r>
      <w:r>
        <w:rPr/>
        <w:t>to </w:t>
      </w:r>
      <w:r>
        <w:rPr>
          <w:spacing w:val="-3"/>
        </w:rPr>
        <w:t>this </w:t>
      </w:r>
      <w:r>
        <w:rPr/>
        <w:t>RFA and </w:t>
      </w:r>
      <w:r>
        <w:rPr>
          <w:spacing w:val="-3"/>
        </w:rPr>
        <w:t>that enters into </w:t>
      </w:r>
      <w:r>
        <w:rPr/>
        <w:t>a </w:t>
      </w:r>
      <w:r>
        <w:rPr>
          <w:spacing w:val="-3"/>
        </w:rPr>
        <w:t>Contract with EOHHS </w:t>
      </w:r>
      <w:r>
        <w:rPr/>
        <w:t>to </w:t>
      </w:r>
      <w:r>
        <w:rPr>
          <w:spacing w:val="-3"/>
        </w:rPr>
        <w:t>meet </w:t>
      </w:r>
      <w:r>
        <w:rPr/>
        <w:t>the </w:t>
      </w:r>
      <w:r>
        <w:rPr>
          <w:spacing w:val="-3"/>
        </w:rPr>
        <w:t>purposes specified in this RFA.</w:t>
      </w:r>
    </w:p>
    <w:p>
      <w:pPr>
        <w:pStyle w:val="BodyText"/>
        <w:spacing w:before="8"/>
      </w:pPr>
    </w:p>
    <w:p>
      <w:pPr>
        <w:pStyle w:val="BodyText"/>
        <w:spacing w:line="242" w:lineRule="auto" w:before="1"/>
        <w:ind w:left="652" w:right="130" w:hanging="540"/>
      </w:pPr>
      <w:r>
        <w:rPr>
          <w:b/>
          <w:spacing w:val="-3"/>
        </w:rPr>
        <w:t>Copayment </w:t>
      </w:r>
      <w:r>
        <w:rPr>
          <w:b/>
        </w:rPr>
        <w:t>— </w:t>
      </w:r>
      <w:r>
        <w:rPr/>
        <w:t>a </w:t>
      </w:r>
      <w:r>
        <w:rPr>
          <w:spacing w:val="-3"/>
        </w:rPr>
        <w:t>predetermined </w:t>
      </w:r>
      <w:r>
        <w:rPr/>
        <w:t>fee </w:t>
      </w:r>
      <w:r>
        <w:rPr>
          <w:spacing w:val="-3"/>
        </w:rPr>
        <w:t>that </w:t>
      </w:r>
      <w:r>
        <w:rPr/>
        <w:t>the </w:t>
      </w:r>
      <w:r>
        <w:rPr>
          <w:spacing w:val="-3"/>
        </w:rPr>
        <w:t>Member </w:t>
      </w:r>
      <w:r>
        <w:rPr/>
        <w:t>is </w:t>
      </w:r>
      <w:r>
        <w:rPr>
          <w:spacing w:val="-3"/>
        </w:rPr>
        <w:t>responsible </w:t>
      </w:r>
      <w:r>
        <w:rPr/>
        <w:t>for </w:t>
      </w:r>
      <w:r>
        <w:rPr>
          <w:spacing w:val="-3"/>
        </w:rPr>
        <w:t>paying directly </w:t>
      </w:r>
      <w:r>
        <w:rPr/>
        <w:t>to the </w:t>
      </w:r>
      <w:r>
        <w:rPr>
          <w:spacing w:val="-3"/>
        </w:rPr>
        <w:t>Provider for specific services.</w:t>
      </w:r>
    </w:p>
    <w:p>
      <w:pPr>
        <w:pStyle w:val="BodyText"/>
        <w:spacing w:before="9"/>
      </w:pPr>
    </w:p>
    <w:p>
      <w:pPr>
        <w:spacing w:line="242" w:lineRule="auto" w:before="0"/>
        <w:ind w:left="652" w:right="771" w:hanging="540"/>
        <w:jc w:val="left"/>
        <w:rPr>
          <w:sz w:val="24"/>
        </w:rPr>
      </w:pPr>
      <w:r>
        <w:rPr>
          <w:b/>
          <w:spacing w:val="-3"/>
          <w:sz w:val="24"/>
        </w:rPr>
        <w:t>Critical Access Hospital (CAH) </w:t>
      </w:r>
      <w:r>
        <w:rPr>
          <w:b/>
          <w:sz w:val="24"/>
        </w:rPr>
        <w:t>– </w:t>
      </w:r>
      <w:r>
        <w:rPr>
          <w:sz w:val="24"/>
        </w:rPr>
        <w:t>An </w:t>
      </w:r>
      <w:r>
        <w:rPr>
          <w:spacing w:val="-3"/>
          <w:sz w:val="24"/>
        </w:rPr>
        <w:t>Acute Hospital that </w:t>
      </w:r>
      <w:r>
        <w:rPr>
          <w:sz w:val="24"/>
        </w:rPr>
        <w:t>is </w:t>
      </w:r>
      <w:r>
        <w:rPr>
          <w:spacing w:val="-3"/>
          <w:sz w:val="24"/>
        </w:rPr>
        <w:t>certified </w:t>
      </w:r>
      <w:r>
        <w:rPr>
          <w:sz w:val="24"/>
        </w:rPr>
        <w:t>by CMS and </w:t>
      </w:r>
      <w:r>
        <w:rPr>
          <w:spacing w:val="-3"/>
          <w:sz w:val="24"/>
        </w:rPr>
        <w:t>designated </w:t>
      </w:r>
      <w:r>
        <w:rPr>
          <w:sz w:val="24"/>
        </w:rPr>
        <w:t>as a </w:t>
      </w:r>
      <w:r>
        <w:rPr>
          <w:spacing w:val="-3"/>
          <w:sz w:val="24"/>
        </w:rPr>
        <w:t>Critical Access Hospital under </w:t>
      </w:r>
      <w:r>
        <w:rPr>
          <w:sz w:val="24"/>
        </w:rPr>
        <w:t>42 </w:t>
      </w:r>
      <w:r>
        <w:rPr>
          <w:spacing w:val="-3"/>
          <w:sz w:val="24"/>
        </w:rPr>
        <w:t>U.S.C. 1395i-4.</w:t>
      </w:r>
    </w:p>
    <w:p>
      <w:pPr>
        <w:pStyle w:val="BodyText"/>
        <w:spacing w:before="7"/>
      </w:pPr>
    </w:p>
    <w:p>
      <w:pPr>
        <w:pStyle w:val="BodyText"/>
        <w:spacing w:line="242" w:lineRule="auto"/>
        <w:ind w:left="652" w:right="130" w:hanging="540"/>
      </w:pPr>
      <w:r>
        <w:rPr>
          <w:b/>
          <w:spacing w:val="-3"/>
        </w:rPr>
        <w:t>Deductible </w:t>
      </w:r>
      <w:r>
        <w:rPr>
          <w:b/>
        </w:rPr>
        <w:t>— </w:t>
      </w:r>
      <w:r>
        <w:rPr/>
        <w:t>the </w:t>
      </w:r>
      <w:r>
        <w:rPr>
          <w:spacing w:val="-3"/>
        </w:rPr>
        <w:t>amount </w:t>
      </w:r>
      <w:r>
        <w:rPr/>
        <w:t>an </w:t>
      </w:r>
      <w:r>
        <w:rPr>
          <w:spacing w:val="-3"/>
        </w:rPr>
        <w:t>individual </w:t>
      </w:r>
      <w:r>
        <w:rPr/>
        <w:t>is </w:t>
      </w:r>
      <w:r>
        <w:rPr>
          <w:spacing w:val="-3"/>
        </w:rPr>
        <w:t>required </w:t>
      </w:r>
      <w:r>
        <w:rPr/>
        <w:t>to pay in </w:t>
      </w:r>
      <w:r>
        <w:rPr>
          <w:spacing w:val="-3"/>
        </w:rPr>
        <w:t>each calendar year, </w:t>
      </w:r>
      <w:r>
        <w:rPr/>
        <w:t>as </w:t>
      </w:r>
      <w:r>
        <w:rPr>
          <w:spacing w:val="-3"/>
        </w:rPr>
        <w:t>specified </w:t>
      </w:r>
      <w:r>
        <w:rPr/>
        <w:t>in </w:t>
      </w:r>
      <w:r>
        <w:rPr>
          <w:spacing w:val="-3"/>
        </w:rPr>
        <w:t>their insurance plan, before </w:t>
      </w:r>
      <w:r>
        <w:rPr/>
        <w:t>any </w:t>
      </w:r>
      <w:r>
        <w:rPr>
          <w:spacing w:val="-3"/>
        </w:rPr>
        <w:t>payments </w:t>
      </w:r>
      <w:r>
        <w:rPr/>
        <w:t>are </w:t>
      </w:r>
      <w:r>
        <w:rPr>
          <w:spacing w:val="-3"/>
        </w:rPr>
        <w:t>made </w:t>
      </w:r>
      <w:r>
        <w:rPr/>
        <w:t>by the </w:t>
      </w:r>
      <w:r>
        <w:rPr>
          <w:spacing w:val="-3"/>
        </w:rPr>
        <w:t>insurer.</w:t>
      </w:r>
    </w:p>
    <w:p>
      <w:pPr>
        <w:pStyle w:val="BodyText"/>
        <w:spacing w:before="8"/>
      </w:pPr>
    </w:p>
    <w:p>
      <w:pPr>
        <w:spacing w:line="242" w:lineRule="auto" w:before="0"/>
        <w:ind w:left="652" w:right="130" w:hanging="540"/>
        <w:jc w:val="left"/>
        <w:rPr>
          <w:sz w:val="24"/>
        </w:rPr>
      </w:pPr>
      <w:r>
        <w:rPr>
          <w:b/>
          <w:spacing w:val="-3"/>
          <w:sz w:val="24"/>
        </w:rPr>
        <w:t>Department </w:t>
      </w:r>
      <w:r>
        <w:rPr>
          <w:b/>
          <w:sz w:val="24"/>
        </w:rPr>
        <w:t>of </w:t>
      </w:r>
      <w:r>
        <w:rPr>
          <w:b/>
          <w:spacing w:val="-3"/>
          <w:sz w:val="24"/>
        </w:rPr>
        <w:t>Mental Health (DMH) </w:t>
      </w:r>
      <w:r>
        <w:rPr>
          <w:b/>
          <w:sz w:val="24"/>
        </w:rPr>
        <w:t>— </w:t>
      </w:r>
      <w:r>
        <w:rPr>
          <w:sz w:val="24"/>
        </w:rPr>
        <w:t>a </w:t>
      </w:r>
      <w:r>
        <w:rPr>
          <w:spacing w:val="-3"/>
          <w:sz w:val="24"/>
        </w:rPr>
        <w:t>department </w:t>
      </w:r>
      <w:r>
        <w:rPr>
          <w:sz w:val="24"/>
        </w:rPr>
        <w:t>of the </w:t>
      </w:r>
      <w:r>
        <w:rPr>
          <w:spacing w:val="-4"/>
          <w:sz w:val="24"/>
        </w:rPr>
        <w:t>Commonwealth </w:t>
      </w:r>
      <w:r>
        <w:rPr>
          <w:sz w:val="24"/>
        </w:rPr>
        <w:t>of </w:t>
      </w:r>
      <w:r>
        <w:rPr>
          <w:spacing w:val="-3"/>
          <w:sz w:val="24"/>
        </w:rPr>
        <w:t>Massachusetts, Executive Office </w:t>
      </w:r>
      <w:r>
        <w:rPr>
          <w:sz w:val="24"/>
        </w:rPr>
        <w:t>of </w:t>
      </w:r>
      <w:r>
        <w:rPr>
          <w:spacing w:val="-3"/>
          <w:sz w:val="24"/>
        </w:rPr>
        <w:t>Health </w:t>
      </w:r>
      <w:r>
        <w:rPr>
          <w:sz w:val="24"/>
        </w:rPr>
        <w:t>and </w:t>
      </w:r>
      <w:r>
        <w:rPr>
          <w:spacing w:val="-3"/>
          <w:sz w:val="24"/>
        </w:rPr>
        <w:t>Human Services.</w:t>
      </w:r>
    </w:p>
    <w:p>
      <w:pPr>
        <w:pStyle w:val="BodyText"/>
        <w:spacing w:before="8"/>
      </w:pPr>
    </w:p>
    <w:p>
      <w:pPr>
        <w:spacing w:line="242" w:lineRule="auto" w:before="0"/>
        <w:ind w:left="652" w:right="136" w:hanging="540"/>
        <w:jc w:val="left"/>
        <w:rPr>
          <w:sz w:val="24"/>
        </w:rPr>
      </w:pPr>
      <w:r>
        <w:rPr>
          <w:b/>
          <w:spacing w:val="-4"/>
          <w:sz w:val="24"/>
        </w:rPr>
        <w:t>Department </w:t>
      </w:r>
      <w:r>
        <w:rPr>
          <w:b/>
          <w:sz w:val="24"/>
        </w:rPr>
        <w:t>of </w:t>
      </w:r>
      <w:r>
        <w:rPr>
          <w:b/>
          <w:spacing w:val="-4"/>
          <w:sz w:val="24"/>
        </w:rPr>
        <w:t>Public Health (DPH) </w:t>
      </w:r>
      <w:r>
        <w:rPr>
          <w:sz w:val="24"/>
        </w:rPr>
        <w:t>— a </w:t>
      </w:r>
      <w:r>
        <w:rPr>
          <w:spacing w:val="-4"/>
          <w:sz w:val="24"/>
        </w:rPr>
        <w:t>department </w:t>
      </w:r>
      <w:r>
        <w:rPr>
          <w:sz w:val="24"/>
        </w:rPr>
        <w:t>of </w:t>
      </w:r>
      <w:r>
        <w:rPr>
          <w:spacing w:val="-3"/>
          <w:sz w:val="24"/>
        </w:rPr>
        <w:t>the </w:t>
      </w:r>
      <w:r>
        <w:rPr>
          <w:spacing w:val="-5"/>
          <w:sz w:val="24"/>
        </w:rPr>
        <w:t>Commonwealth </w:t>
      </w:r>
      <w:r>
        <w:rPr>
          <w:sz w:val="24"/>
        </w:rPr>
        <w:t>of </w:t>
      </w:r>
      <w:r>
        <w:rPr>
          <w:spacing w:val="-4"/>
          <w:sz w:val="24"/>
        </w:rPr>
        <w:t>Massachusetts, Executive Office </w:t>
      </w:r>
      <w:r>
        <w:rPr>
          <w:sz w:val="24"/>
        </w:rPr>
        <w:t>of </w:t>
      </w:r>
      <w:r>
        <w:rPr>
          <w:spacing w:val="-4"/>
          <w:sz w:val="24"/>
        </w:rPr>
        <w:t>Health </w:t>
      </w:r>
      <w:r>
        <w:rPr>
          <w:spacing w:val="-3"/>
          <w:sz w:val="24"/>
        </w:rPr>
        <w:t>and </w:t>
      </w:r>
      <w:r>
        <w:rPr>
          <w:spacing w:val="-4"/>
          <w:sz w:val="24"/>
        </w:rPr>
        <w:t>Human Services.</w:t>
      </w:r>
    </w:p>
    <w:p>
      <w:pPr>
        <w:pStyle w:val="BodyText"/>
        <w:spacing w:before="7"/>
      </w:pPr>
    </w:p>
    <w:p>
      <w:pPr>
        <w:spacing w:line="242" w:lineRule="auto" w:before="0"/>
        <w:ind w:left="652" w:right="1065" w:hanging="540"/>
        <w:jc w:val="left"/>
        <w:rPr>
          <w:sz w:val="24"/>
        </w:rPr>
      </w:pPr>
      <w:r>
        <w:rPr>
          <w:b/>
          <w:spacing w:val="-3"/>
          <w:sz w:val="24"/>
        </w:rPr>
        <w:t>Division </w:t>
      </w:r>
      <w:r>
        <w:rPr>
          <w:b/>
          <w:sz w:val="24"/>
        </w:rPr>
        <w:t>of </w:t>
      </w:r>
      <w:r>
        <w:rPr>
          <w:b/>
          <w:spacing w:val="-3"/>
          <w:sz w:val="24"/>
        </w:rPr>
        <w:t>Health Care Finance </w:t>
      </w:r>
      <w:r>
        <w:rPr>
          <w:b/>
          <w:sz w:val="24"/>
        </w:rPr>
        <w:t>and </w:t>
      </w:r>
      <w:r>
        <w:rPr>
          <w:b/>
          <w:spacing w:val="-3"/>
          <w:sz w:val="24"/>
        </w:rPr>
        <w:t>Policy (DHCFP) </w:t>
      </w:r>
      <w:r>
        <w:rPr>
          <w:b/>
          <w:sz w:val="24"/>
        </w:rPr>
        <w:t>— </w:t>
      </w:r>
      <w:r>
        <w:rPr>
          <w:sz w:val="24"/>
        </w:rPr>
        <w:t>a </w:t>
      </w:r>
      <w:r>
        <w:rPr>
          <w:spacing w:val="-3"/>
          <w:sz w:val="24"/>
        </w:rPr>
        <w:t>division </w:t>
      </w:r>
      <w:r>
        <w:rPr>
          <w:sz w:val="24"/>
        </w:rPr>
        <w:t>of the </w:t>
      </w:r>
      <w:r>
        <w:rPr>
          <w:spacing w:val="-4"/>
          <w:sz w:val="24"/>
        </w:rPr>
        <w:t>Commonwealth </w:t>
      </w:r>
      <w:r>
        <w:rPr>
          <w:spacing w:val="-3"/>
          <w:sz w:val="24"/>
        </w:rPr>
        <w:t>of Massachusetts, Executive Office </w:t>
      </w:r>
      <w:r>
        <w:rPr>
          <w:sz w:val="24"/>
        </w:rPr>
        <w:t>of </w:t>
      </w:r>
      <w:r>
        <w:rPr>
          <w:spacing w:val="-3"/>
          <w:sz w:val="24"/>
        </w:rPr>
        <w:t>Health </w:t>
      </w:r>
      <w:r>
        <w:rPr>
          <w:sz w:val="24"/>
        </w:rPr>
        <w:t>and </w:t>
      </w:r>
      <w:r>
        <w:rPr>
          <w:spacing w:val="-3"/>
          <w:sz w:val="24"/>
        </w:rPr>
        <w:t>Human Services, </w:t>
      </w:r>
      <w:r>
        <w:rPr>
          <w:sz w:val="24"/>
        </w:rPr>
        <w:t>or </w:t>
      </w:r>
      <w:r>
        <w:rPr>
          <w:spacing w:val="-3"/>
          <w:sz w:val="24"/>
        </w:rPr>
        <w:t>successor agency.</w:t>
      </w:r>
    </w:p>
    <w:p>
      <w:pPr>
        <w:pStyle w:val="BodyText"/>
        <w:spacing w:before="8"/>
      </w:pPr>
    </w:p>
    <w:p>
      <w:pPr>
        <w:pStyle w:val="BodyText"/>
        <w:spacing w:line="242" w:lineRule="auto" w:before="1"/>
        <w:ind w:left="652" w:right="130" w:hanging="540"/>
        <w:rPr>
          <w:i/>
        </w:rPr>
      </w:pPr>
      <w:r>
        <w:rPr>
          <w:b/>
          <w:spacing w:val="-3"/>
        </w:rPr>
        <w:t>DMH-Licensed </w:t>
      </w:r>
      <w:r>
        <w:rPr>
          <w:b/>
        </w:rPr>
        <w:t>Bed — </w:t>
      </w:r>
      <w:r>
        <w:rPr/>
        <w:t>a bed in a </w:t>
      </w:r>
      <w:r>
        <w:rPr>
          <w:spacing w:val="-3"/>
        </w:rPr>
        <w:t>Hospital that </w:t>
      </w:r>
      <w:r>
        <w:rPr/>
        <w:t>is </w:t>
      </w:r>
      <w:r>
        <w:rPr>
          <w:spacing w:val="-3"/>
        </w:rPr>
        <w:t>located </w:t>
      </w:r>
      <w:r>
        <w:rPr/>
        <w:t>in a </w:t>
      </w:r>
      <w:r>
        <w:rPr>
          <w:spacing w:val="-3"/>
        </w:rPr>
        <w:t>unit licensed </w:t>
      </w:r>
      <w:r>
        <w:rPr/>
        <w:t>by the </w:t>
      </w:r>
      <w:r>
        <w:rPr>
          <w:spacing w:val="-3"/>
        </w:rPr>
        <w:t>Department </w:t>
      </w:r>
      <w:r>
        <w:rPr/>
        <w:t>of </w:t>
      </w:r>
      <w:r>
        <w:rPr>
          <w:spacing w:val="-3"/>
        </w:rPr>
        <w:t>Mental Health (DMH), pursuant </w:t>
      </w:r>
      <w:r>
        <w:rPr/>
        <w:t>to 104 CMR </w:t>
      </w:r>
      <w:r>
        <w:rPr>
          <w:spacing w:val="-3"/>
        </w:rPr>
        <w:t>27.00 </w:t>
      </w:r>
      <w:r>
        <w:rPr/>
        <w:t>et seq</w:t>
      </w:r>
      <w:r>
        <w:rPr>
          <w:i/>
        </w:rPr>
        <w:t>.</w:t>
      </w:r>
    </w:p>
    <w:p>
      <w:pPr>
        <w:pStyle w:val="BodyText"/>
        <w:spacing w:before="6"/>
        <w:rPr>
          <w:i/>
          <w:sz w:val="25"/>
        </w:rPr>
      </w:pPr>
    </w:p>
    <w:p>
      <w:pPr>
        <w:spacing w:line="242" w:lineRule="auto" w:before="0"/>
        <w:ind w:left="652" w:right="130" w:hanging="540"/>
        <w:jc w:val="left"/>
        <w:rPr>
          <w:sz w:val="24"/>
        </w:rPr>
      </w:pPr>
      <w:r>
        <w:rPr>
          <w:b/>
          <w:spacing w:val="-3"/>
          <w:sz w:val="24"/>
        </w:rPr>
        <w:t>Emergency </w:t>
      </w:r>
      <w:r>
        <w:rPr>
          <w:b/>
          <w:sz w:val="24"/>
        </w:rPr>
        <w:t>Aid to the </w:t>
      </w:r>
      <w:r>
        <w:rPr>
          <w:b/>
          <w:spacing w:val="-3"/>
          <w:sz w:val="24"/>
        </w:rPr>
        <w:t>Elderly, Disabled </w:t>
      </w:r>
      <w:r>
        <w:rPr>
          <w:b/>
          <w:sz w:val="24"/>
        </w:rPr>
        <w:t>and </w:t>
      </w:r>
      <w:r>
        <w:rPr>
          <w:b/>
          <w:spacing w:val="-3"/>
          <w:sz w:val="24"/>
        </w:rPr>
        <w:t>Children </w:t>
      </w:r>
      <w:r>
        <w:rPr>
          <w:b/>
          <w:sz w:val="24"/>
        </w:rPr>
        <w:t>— </w:t>
      </w:r>
      <w:r>
        <w:rPr>
          <w:sz w:val="24"/>
        </w:rPr>
        <w:t>the </w:t>
      </w:r>
      <w:r>
        <w:rPr>
          <w:spacing w:val="-3"/>
          <w:sz w:val="24"/>
        </w:rPr>
        <w:t>program operated </w:t>
      </w:r>
      <w:r>
        <w:rPr>
          <w:sz w:val="24"/>
        </w:rPr>
        <w:t>by the </w:t>
      </w:r>
      <w:r>
        <w:rPr>
          <w:spacing w:val="-3"/>
          <w:sz w:val="24"/>
        </w:rPr>
        <w:t>Department of Transitional Assistance, pursuant </w:t>
      </w:r>
      <w:r>
        <w:rPr>
          <w:sz w:val="24"/>
        </w:rPr>
        <w:t>to </w:t>
      </w:r>
      <w:r>
        <w:rPr>
          <w:spacing w:val="-3"/>
          <w:sz w:val="24"/>
        </w:rPr>
        <w:t>M.G.L. </w:t>
      </w:r>
      <w:r>
        <w:rPr>
          <w:sz w:val="24"/>
        </w:rPr>
        <w:t>c. </w:t>
      </w:r>
      <w:r>
        <w:rPr>
          <w:spacing w:val="-3"/>
          <w:sz w:val="24"/>
        </w:rPr>
        <w:t>117A, that furnishes </w:t>
      </w:r>
      <w:r>
        <w:rPr>
          <w:sz w:val="24"/>
        </w:rPr>
        <w:t>and </w:t>
      </w:r>
      <w:r>
        <w:rPr>
          <w:spacing w:val="-3"/>
          <w:sz w:val="24"/>
        </w:rPr>
        <w:t>pays </w:t>
      </w:r>
      <w:r>
        <w:rPr>
          <w:sz w:val="24"/>
        </w:rPr>
        <w:t>for </w:t>
      </w:r>
      <w:r>
        <w:rPr>
          <w:spacing w:val="-3"/>
          <w:sz w:val="24"/>
        </w:rPr>
        <w:t>limited </w:t>
      </w:r>
      <w:r>
        <w:rPr>
          <w:spacing w:val="-4"/>
          <w:sz w:val="24"/>
        </w:rPr>
        <w:t>medical </w:t>
      </w:r>
      <w:r>
        <w:rPr>
          <w:spacing w:val="-3"/>
          <w:sz w:val="24"/>
        </w:rPr>
        <w:t>services </w:t>
      </w:r>
      <w:r>
        <w:rPr>
          <w:sz w:val="24"/>
        </w:rPr>
        <w:t>to </w:t>
      </w:r>
      <w:r>
        <w:rPr>
          <w:spacing w:val="-3"/>
          <w:sz w:val="24"/>
        </w:rPr>
        <w:t>eligible persons.</w:t>
      </w:r>
    </w:p>
    <w:p>
      <w:pPr>
        <w:pStyle w:val="BodyText"/>
        <w:spacing w:before="9"/>
      </w:pPr>
    </w:p>
    <w:p>
      <w:pPr>
        <w:pStyle w:val="BodyText"/>
        <w:spacing w:line="242" w:lineRule="auto"/>
        <w:ind w:left="652" w:right="130" w:hanging="540"/>
      </w:pPr>
      <w:r>
        <w:rPr>
          <w:b/>
          <w:spacing w:val="-3"/>
        </w:rPr>
        <w:t>Emergency Department (ED) </w:t>
      </w:r>
      <w:r>
        <w:rPr>
          <w:b/>
        </w:rPr>
        <w:t>— </w:t>
      </w:r>
      <w:r>
        <w:rPr/>
        <w:t>a </w:t>
      </w:r>
      <w:r>
        <w:rPr>
          <w:spacing w:val="-3"/>
        </w:rPr>
        <w:t>Hospital’s Emergency Room </w:t>
      </w:r>
      <w:r>
        <w:rPr/>
        <w:t>or </w:t>
      </w:r>
      <w:r>
        <w:rPr>
          <w:spacing w:val="-3"/>
        </w:rPr>
        <w:t>Level </w:t>
      </w:r>
      <w:r>
        <w:rPr/>
        <w:t>I </w:t>
      </w:r>
      <w:r>
        <w:rPr>
          <w:spacing w:val="-3"/>
        </w:rPr>
        <w:t>Trauma Center which is located </w:t>
      </w:r>
      <w:r>
        <w:rPr/>
        <w:t>at the </w:t>
      </w:r>
      <w:r>
        <w:rPr>
          <w:spacing w:val="-3"/>
        </w:rPr>
        <w:t>same site </w:t>
      </w:r>
      <w:r>
        <w:rPr/>
        <w:t>as the </w:t>
      </w:r>
      <w:r>
        <w:rPr>
          <w:spacing w:val="-3"/>
        </w:rPr>
        <w:t>Hospital’s inpatient </w:t>
      </w:r>
      <w:r>
        <w:rPr>
          <w:spacing w:val="-4"/>
        </w:rPr>
        <w:t>department.</w:t>
      </w:r>
    </w:p>
    <w:p>
      <w:pPr>
        <w:pStyle w:val="BodyText"/>
        <w:spacing w:before="9"/>
      </w:pPr>
    </w:p>
    <w:p>
      <w:pPr>
        <w:pStyle w:val="BodyText"/>
        <w:spacing w:line="242" w:lineRule="auto"/>
        <w:ind w:left="652" w:right="146" w:hanging="540"/>
      </w:pPr>
      <w:r>
        <w:rPr>
          <w:b/>
          <w:spacing w:val="-3"/>
        </w:rPr>
        <w:t>Emergency Medical Condition </w:t>
      </w:r>
      <w:r>
        <w:rPr>
          <w:b/>
        </w:rPr>
        <w:t>— </w:t>
      </w:r>
      <w:r>
        <w:rPr/>
        <w:t>a </w:t>
      </w:r>
      <w:r>
        <w:rPr>
          <w:spacing w:val="-3"/>
        </w:rPr>
        <w:t>medical condition, whether physical </w:t>
      </w:r>
      <w:r>
        <w:rPr/>
        <w:t>or </w:t>
      </w:r>
      <w:r>
        <w:rPr>
          <w:spacing w:val="-3"/>
        </w:rPr>
        <w:t>mental, manifesting itself by </w:t>
      </w:r>
      <w:r>
        <w:rPr>
          <w:spacing w:val="-4"/>
        </w:rPr>
        <w:t>symptoms </w:t>
      </w:r>
      <w:r>
        <w:rPr/>
        <w:t>of </w:t>
      </w:r>
      <w:r>
        <w:rPr>
          <w:spacing w:val="-3"/>
        </w:rPr>
        <w:t>sufficient severity, including severe pain, that, </w:t>
      </w:r>
      <w:r>
        <w:rPr/>
        <w:t>in the </w:t>
      </w:r>
      <w:r>
        <w:rPr>
          <w:spacing w:val="-3"/>
        </w:rPr>
        <w:t>absence </w:t>
      </w:r>
      <w:r>
        <w:rPr/>
        <w:t>of </w:t>
      </w:r>
      <w:r>
        <w:rPr>
          <w:spacing w:val="-3"/>
        </w:rPr>
        <w:t>prompt </w:t>
      </w:r>
      <w:r>
        <w:rPr>
          <w:spacing w:val="-4"/>
        </w:rPr>
        <w:t>medical </w:t>
      </w:r>
      <w:r>
        <w:rPr>
          <w:spacing w:val="-3"/>
        </w:rPr>
        <w:t>attention, could reasonably </w:t>
      </w:r>
      <w:r>
        <w:rPr/>
        <w:t>be </w:t>
      </w:r>
      <w:r>
        <w:rPr>
          <w:spacing w:val="-3"/>
        </w:rPr>
        <w:t>expected </w:t>
      </w:r>
      <w:r>
        <w:rPr/>
        <w:t>by a </w:t>
      </w:r>
      <w:r>
        <w:rPr>
          <w:spacing w:val="-3"/>
        </w:rPr>
        <w:t>prudent layperson </w:t>
      </w:r>
      <w:r>
        <w:rPr/>
        <w:t>who </w:t>
      </w:r>
      <w:r>
        <w:rPr>
          <w:spacing w:val="-3"/>
        </w:rPr>
        <w:t>possesses </w:t>
      </w:r>
      <w:r>
        <w:rPr/>
        <w:t>an </w:t>
      </w:r>
      <w:r>
        <w:rPr>
          <w:spacing w:val="-3"/>
        </w:rPr>
        <w:t>average knowledge</w:t>
      </w:r>
      <w:r>
        <w:rPr>
          <w:spacing w:val="-6"/>
        </w:rPr>
        <w:t> </w:t>
      </w:r>
      <w:r>
        <w:rPr/>
        <w:t>of</w:t>
      </w:r>
      <w:r>
        <w:rPr>
          <w:spacing w:val="-6"/>
        </w:rPr>
        <w:t> </w:t>
      </w:r>
      <w:r>
        <w:rPr>
          <w:spacing w:val="-3"/>
        </w:rPr>
        <w:t>health</w:t>
      </w:r>
      <w:r>
        <w:rPr>
          <w:spacing w:val="-6"/>
        </w:rPr>
        <w:t> </w:t>
      </w:r>
      <w:r>
        <w:rPr/>
        <w:t>and</w:t>
      </w:r>
      <w:r>
        <w:rPr>
          <w:spacing w:val="-6"/>
        </w:rPr>
        <w:t> </w:t>
      </w:r>
      <w:r>
        <w:rPr>
          <w:spacing w:val="-3"/>
        </w:rPr>
        <w:t>medicine</w:t>
      </w:r>
      <w:r>
        <w:rPr>
          <w:spacing w:val="-6"/>
        </w:rPr>
        <w:t> </w:t>
      </w:r>
      <w:r>
        <w:rPr/>
        <w:t>to</w:t>
      </w:r>
      <w:r>
        <w:rPr>
          <w:spacing w:val="-6"/>
        </w:rPr>
        <w:t> </w:t>
      </w:r>
      <w:r>
        <w:rPr>
          <w:spacing w:val="-3"/>
        </w:rPr>
        <w:t>result</w:t>
      </w:r>
      <w:r>
        <w:rPr>
          <w:spacing w:val="-6"/>
        </w:rPr>
        <w:t> </w:t>
      </w:r>
      <w:r>
        <w:rPr/>
        <w:t>in</w:t>
      </w:r>
      <w:r>
        <w:rPr>
          <w:spacing w:val="-6"/>
        </w:rPr>
        <w:t> </w:t>
      </w:r>
      <w:r>
        <w:rPr>
          <w:spacing w:val="-3"/>
        </w:rPr>
        <w:t>placing</w:t>
      </w:r>
      <w:r>
        <w:rPr>
          <w:spacing w:val="-6"/>
        </w:rPr>
        <w:t> </w:t>
      </w:r>
      <w:r>
        <w:rPr/>
        <w:t>the</w:t>
      </w:r>
      <w:r>
        <w:rPr>
          <w:spacing w:val="-6"/>
        </w:rPr>
        <w:t> </w:t>
      </w:r>
      <w:r>
        <w:rPr>
          <w:spacing w:val="-3"/>
        </w:rPr>
        <w:t>health</w:t>
      </w:r>
      <w:r>
        <w:rPr>
          <w:spacing w:val="-6"/>
        </w:rPr>
        <w:t> </w:t>
      </w:r>
      <w:r>
        <w:rPr/>
        <w:t>of</w:t>
      </w:r>
      <w:r>
        <w:rPr>
          <w:spacing w:val="-6"/>
        </w:rPr>
        <w:t> </w:t>
      </w:r>
      <w:r>
        <w:rPr/>
        <w:t>a</w:t>
      </w:r>
      <w:r>
        <w:rPr>
          <w:spacing w:val="-6"/>
        </w:rPr>
        <w:t> </w:t>
      </w:r>
      <w:r>
        <w:rPr>
          <w:spacing w:val="-3"/>
        </w:rPr>
        <w:t>Member</w:t>
      </w:r>
      <w:r>
        <w:rPr>
          <w:spacing w:val="-6"/>
        </w:rPr>
        <w:t> </w:t>
      </w:r>
      <w:r>
        <w:rPr/>
        <w:t>or</w:t>
      </w:r>
      <w:r>
        <w:rPr>
          <w:spacing w:val="-6"/>
        </w:rPr>
        <w:t> </w:t>
      </w:r>
      <w:r>
        <w:rPr>
          <w:spacing w:val="-3"/>
        </w:rPr>
        <w:t>another</w:t>
      </w:r>
      <w:r>
        <w:rPr>
          <w:spacing w:val="-6"/>
        </w:rPr>
        <w:t> </w:t>
      </w:r>
      <w:r>
        <w:rPr>
          <w:spacing w:val="-3"/>
        </w:rPr>
        <w:t>person</w:t>
      </w:r>
      <w:r>
        <w:rPr>
          <w:spacing w:val="-6"/>
        </w:rPr>
        <w:t> </w:t>
      </w:r>
      <w:r>
        <w:rPr>
          <w:spacing w:val="-3"/>
        </w:rPr>
        <w:t>or,</w:t>
      </w:r>
    </w:p>
    <w:p>
      <w:pPr>
        <w:spacing w:after="0" w:line="242" w:lineRule="auto"/>
        <w:sectPr>
          <w:pgSz w:w="12240" w:h="15840"/>
          <w:pgMar w:header="0" w:footer="744" w:top="1380" w:bottom="940" w:left="1040" w:right="980"/>
        </w:sectPr>
      </w:pPr>
    </w:p>
    <w:p>
      <w:pPr>
        <w:pStyle w:val="BodyText"/>
        <w:spacing w:line="242" w:lineRule="auto" w:before="61"/>
        <w:ind w:left="651" w:right="130"/>
      </w:pPr>
      <w:r>
        <w:rPr/>
        <w:t>in the </w:t>
      </w:r>
      <w:r>
        <w:rPr>
          <w:spacing w:val="-3"/>
        </w:rPr>
        <w:t>case </w:t>
      </w:r>
      <w:r>
        <w:rPr/>
        <w:t>of a </w:t>
      </w:r>
      <w:r>
        <w:rPr>
          <w:spacing w:val="-3"/>
        </w:rPr>
        <w:t>pregnant woman, </w:t>
      </w:r>
      <w:r>
        <w:rPr/>
        <w:t>the </w:t>
      </w:r>
      <w:r>
        <w:rPr>
          <w:spacing w:val="-3"/>
        </w:rPr>
        <w:t>health </w:t>
      </w:r>
      <w:r>
        <w:rPr/>
        <w:t>of the </w:t>
      </w:r>
      <w:r>
        <w:rPr>
          <w:spacing w:val="-3"/>
        </w:rPr>
        <w:t>woman </w:t>
      </w:r>
      <w:r>
        <w:rPr/>
        <w:t>or her </w:t>
      </w:r>
      <w:r>
        <w:rPr>
          <w:spacing w:val="-3"/>
        </w:rPr>
        <w:t>unborn child, </w:t>
      </w:r>
      <w:r>
        <w:rPr/>
        <w:t>in </w:t>
      </w:r>
      <w:r>
        <w:rPr>
          <w:spacing w:val="-3"/>
        </w:rPr>
        <w:t>serious jeopardy, serious </w:t>
      </w:r>
      <w:r>
        <w:rPr>
          <w:spacing w:val="-4"/>
        </w:rPr>
        <w:t>impairment </w:t>
      </w:r>
      <w:r>
        <w:rPr/>
        <w:t>to </w:t>
      </w:r>
      <w:r>
        <w:rPr>
          <w:spacing w:val="-3"/>
        </w:rPr>
        <w:t>body function, </w:t>
      </w:r>
      <w:r>
        <w:rPr/>
        <w:t>or </w:t>
      </w:r>
      <w:r>
        <w:rPr>
          <w:spacing w:val="-3"/>
        </w:rPr>
        <w:t>serious dysfunction </w:t>
      </w:r>
      <w:r>
        <w:rPr/>
        <w:t>of any </w:t>
      </w:r>
      <w:r>
        <w:rPr>
          <w:spacing w:val="-3"/>
        </w:rPr>
        <w:t>bodily organ </w:t>
      </w:r>
      <w:r>
        <w:rPr/>
        <w:t>or </w:t>
      </w:r>
      <w:r>
        <w:rPr>
          <w:spacing w:val="-3"/>
        </w:rPr>
        <w:t>part, </w:t>
      </w:r>
      <w:r>
        <w:rPr/>
        <w:t>or, </w:t>
      </w:r>
      <w:r>
        <w:rPr>
          <w:spacing w:val="-3"/>
        </w:rPr>
        <w:t>with respect </w:t>
      </w:r>
      <w:r>
        <w:rPr/>
        <w:t>to a </w:t>
      </w:r>
      <w:r>
        <w:rPr>
          <w:spacing w:val="-3"/>
        </w:rPr>
        <w:t>pregnant woman, </w:t>
      </w:r>
      <w:r>
        <w:rPr/>
        <w:t>as </w:t>
      </w:r>
      <w:r>
        <w:rPr>
          <w:spacing w:val="-3"/>
        </w:rPr>
        <w:t>further defined </w:t>
      </w:r>
      <w:r>
        <w:rPr/>
        <w:t>in </w:t>
      </w:r>
      <w:r>
        <w:rPr>
          <w:spacing w:val="-3"/>
        </w:rPr>
        <w:t>section 1867(e)(1)(B) </w:t>
      </w:r>
      <w:r>
        <w:rPr/>
        <w:t>of the </w:t>
      </w:r>
      <w:r>
        <w:rPr>
          <w:spacing w:val="-3"/>
        </w:rPr>
        <w:t>Social Security Act, </w:t>
      </w:r>
      <w:r>
        <w:rPr/>
        <w:t>42 </w:t>
      </w:r>
      <w:r>
        <w:rPr>
          <w:spacing w:val="-3"/>
        </w:rPr>
        <w:t>U.S.C. </w:t>
      </w:r>
      <w:r>
        <w:rPr/>
        <w:t>§ </w:t>
      </w:r>
      <w:r>
        <w:rPr>
          <w:spacing w:val="-3"/>
        </w:rPr>
        <w:t>1395dd(e)(1)(B).</w:t>
      </w:r>
    </w:p>
    <w:p>
      <w:pPr>
        <w:pStyle w:val="BodyText"/>
        <w:spacing w:before="8"/>
      </w:pPr>
    </w:p>
    <w:p>
      <w:pPr>
        <w:pStyle w:val="BodyText"/>
        <w:spacing w:line="242" w:lineRule="auto" w:before="1"/>
        <w:ind w:left="652" w:right="130" w:hanging="540"/>
      </w:pPr>
      <w:r>
        <w:rPr>
          <w:b/>
          <w:spacing w:val="-3"/>
        </w:rPr>
        <w:t>Emergency Services </w:t>
      </w:r>
      <w:r>
        <w:rPr>
          <w:b/>
        </w:rPr>
        <w:t>— </w:t>
      </w:r>
      <w:r>
        <w:rPr>
          <w:spacing w:val="-3"/>
        </w:rPr>
        <w:t>covered Inpatient </w:t>
      </w:r>
      <w:r>
        <w:rPr/>
        <w:t>and </w:t>
      </w:r>
      <w:r>
        <w:rPr>
          <w:spacing w:val="-3"/>
        </w:rPr>
        <w:t>Outpatient Services, including Behavioral Health Services, which </w:t>
      </w:r>
      <w:r>
        <w:rPr/>
        <w:t>are </w:t>
      </w:r>
      <w:r>
        <w:rPr>
          <w:spacing w:val="-3"/>
        </w:rPr>
        <w:t>furnished </w:t>
      </w:r>
      <w:r>
        <w:rPr/>
        <w:t>to a </w:t>
      </w:r>
      <w:r>
        <w:rPr>
          <w:spacing w:val="-3"/>
        </w:rPr>
        <w:t>Member </w:t>
      </w:r>
      <w:r>
        <w:rPr/>
        <w:t>by a </w:t>
      </w:r>
      <w:r>
        <w:rPr>
          <w:spacing w:val="-3"/>
        </w:rPr>
        <w:t>Provider that </w:t>
      </w:r>
      <w:r>
        <w:rPr/>
        <w:t>is </w:t>
      </w:r>
      <w:r>
        <w:rPr>
          <w:spacing w:val="-3"/>
        </w:rPr>
        <w:t>qualified </w:t>
      </w:r>
      <w:r>
        <w:rPr/>
        <w:t>to </w:t>
      </w:r>
      <w:r>
        <w:rPr>
          <w:spacing w:val="-3"/>
        </w:rPr>
        <w:t>furnish such services under Title </w:t>
      </w:r>
      <w:r>
        <w:rPr/>
        <w:t>XIX of the </w:t>
      </w:r>
      <w:r>
        <w:rPr>
          <w:spacing w:val="-3"/>
        </w:rPr>
        <w:t>Social Security Act, </w:t>
      </w:r>
      <w:r>
        <w:rPr/>
        <w:t>and are </w:t>
      </w:r>
      <w:r>
        <w:rPr>
          <w:spacing w:val="-3"/>
        </w:rPr>
        <w:t>needed </w:t>
      </w:r>
      <w:r>
        <w:rPr/>
        <w:t>to </w:t>
      </w:r>
      <w:r>
        <w:rPr>
          <w:spacing w:val="-3"/>
        </w:rPr>
        <w:t>evaluate </w:t>
      </w:r>
      <w:r>
        <w:rPr/>
        <w:t>or </w:t>
      </w:r>
      <w:r>
        <w:rPr>
          <w:spacing w:val="-3"/>
        </w:rPr>
        <w:t>stabilize </w:t>
      </w:r>
      <w:r>
        <w:rPr/>
        <w:t>a </w:t>
      </w:r>
      <w:r>
        <w:rPr>
          <w:spacing w:val="-3"/>
        </w:rPr>
        <w:t>Member’s </w:t>
      </w:r>
      <w:r>
        <w:rPr>
          <w:spacing w:val="-4"/>
        </w:rPr>
        <w:t>Emergency </w:t>
      </w:r>
      <w:r>
        <w:rPr>
          <w:spacing w:val="-3"/>
        </w:rPr>
        <w:t>Medical Condition.</w:t>
      </w:r>
    </w:p>
    <w:p>
      <w:pPr>
        <w:pStyle w:val="BodyText"/>
        <w:spacing w:before="9"/>
      </w:pPr>
    </w:p>
    <w:p>
      <w:pPr>
        <w:spacing w:line="242" w:lineRule="auto" w:before="0"/>
        <w:ind w:left="652" w:right="170" w:hanging="540"/>
        <w:jc w:val="left"/>
        <w:rPr>
          <w:sz w:val="24"/>
        </w:rPr>
      </w:pPr>
      <w:r>
        <w:rPr>
          <w:b/>
          <w:sz w:val="24"/>
        </w:rPr>
        <w:t>Enhanced Ambulatory Patient Group (EAPG) — </w:t>
      </w:r>
      <w:r>
        <w:rPr>
          <w:sz w:val="24"/>
        </w:rPr>
        <w:t>a group of Outpatient Services that have been bundled for purposes of categorizing and measuring casemix. It is based on the 3M Corporation’s EAPG Grouper Version 3.6.</w:t>
      </w:r>
    </w:p>
    <w:p>
      <w:pPr>
        <w:pStyle w:val="BodyText"/>
        <w:spacing w:before="7"/>
      </w:pPr>
    </w:p>
    <w:p>
      <w:pPr>
        <w:spacing w:line="244" w:lineRule="auto" w:before="0"/>
        <w:ind w:left="652" w:right="455" w:hanging="540"/>
        <w:jc w:val="both"/>
        <w:rPr>
          <w:sz w:val="24"/>
        </w:rPr>
      </w:pPr>
      <w:r>
        <w:rPr>
          <w:b/>
          <w:spacing w:val="-3"/>
          <w:sz w:val="24"/>
        </w:rPr>
        <w:t>Episode </w:t>
      </w:r>
      <w:r>
        <w:rPr>
          <w:sz w:val="24"/>
        </w:rPr>
        <w:t>— all </w:t>
      </w:r>
      <w:r>
        <w:rPr>
          <w:spacing w:val="-3"/>
          <w:sz w:val="24"/>
        </w:rPr>
        <w:t>Outpatient Services, except those described </w:t>
      </w:r>
      <w:r>
        <w:rPr>
          <w:sz w:val="24"/>
        </w:rPr>
        <w:t>in </w:t>
      </w:r>
      <w:r>
        <w:rPr>
          <w:b/>
          <w:spacing w:val="-3"/>
          <w:sz w:val="24"/>
        </w:rPr>
        <w:t>Section </w:t>
      </w:r>
      <w:r>
        <w:rPr>
          <w:b/>
          <w:sz w:val="24"/>
        </w:rPr>
        <w:t>4.C </w:t>
      </w:r>
      <w:r>
        <w:rPr>
          <w:sz w:val="24"/>
        </w:rPr>
        <w:t>and </w:t>
      </w:r>
      <w:r>
        <w:rPr>
          <w:b/>
          <w:spacing w:val="-3"/>
          <w:sz w:val="24"/>
        </w:rPr>
        <w:t>Sections 5.C.3 </w:t>
      </w:r>
      <w:r>
        <w:rPr>
          <w:spacing w:val="-3"/>
          <w:sz w:val="24"/>
        </w:rPr>
        <w:t>through </w:t>
      </w:r>
      <w:r>
        <w:rPr>
          <w:b/>
          <w:spacing w:val="-3"/>
          <w:sz w:val="24"/>
        </w:rPr>
        <w:t>5.C.8, </w:t>
      </w:r>
      <w:r>
        <w:rPr>
          <w:spacing w:val="-3"/>
          <w:sz w:val="24"/>
        </w:rPr>
        <w:t>delivered </w:t>
      </w:r>
      <w:r>
        <w:rPr>
          <w:sz w:val="24"/>
        </w:rPr>
        <w:t>to a </w:t>
      </w:r>
      <w:r>
        <w:rPr>
          <w:spacing w:val="-3"/>
          <w:sz w:val="24"/>
        </w:rPr>
        <w:t>MassHealth Member where </w:t>
      </w:r>
      <w:r>
        <w:rPr>
          <w:sz w:val="24"/>
        </w:rPr>
        <w:t>the </w:t>
      </w:r>
      <w:r>
        <w:rPr>
          <w:spacing w:val="-3"/>
          <w:sz w:val="24"/>
        </w:rPr>
        <w:t>services were delivered </w:t>
      </w:r>
      <w:r>
        <w:rPr>
          <w:sz w:val="24"/>
        </w:rPr>
        <w:t>on a </w:t>
      </w:r>
      <w:r>
        <w:rPr>
          <w:spacing w:val="-3"/>
          <w:sz w:val="24"/>
        </w:rPr>
        <w:t>single calendar day.</w:t>
      </w:r>
    </w:p>
    <w:p>
      <w:pPr>
        <w:pStyle w:val="BodyText"/>
        <w:spacing w:before="6"/>
      </w:pPr>
    </w:p>
    <w:p>
      <w:pPr>
        <w:pStyle w:val="BodyText"/>
        <w:spacing w:line="242" w:lineRule="auto"/>
        <w:ind w:left="652" w:right="130" w:hanging="540"/>
      </w:pPr>
      <w:r>
        <w:rPr>
          <w:b/>
          <w:spacing w:val="-3"/>
        </w:rPr>
        <w:t>Episode Cost </w:t>
      </w:r>
      <w:r>
        <w:rPr/>
        <w:t>— a </w:t>
      </w:r>
      <w:r>
        <w:rPr>
          <w:spacing w:val="-3"/>
        </w:rPr>
        <w:t>Hospital’s cost </w:t>
      </w:r>
      <w:r>
        <w:rPr/>
        <w:t>for </w:t>
      </w:r>
      <w:r>
        <w:rPr>
          <w:spacing w:val="-3"/>
        </w:rPr>
        <w:t>delivering </w:t>
      </w:r>
      <w:r>
        <w:rPr/>
        <w:t>an </w:t>
      </w:r>
      <w:r>
        <w:rPr>
          <w:spacing w:val="-3"/>
        </w:rPr>
        <w:t>Episode </w:t>
      </w:r>
      <w:r>
        <w:rPr/>
        <w:t>of </w:t>
      </w:r>
      <w:r>
        <w:rPr>
          <w:spacing w:val="-3"/>
        </w:rPr>
        <w:t>care </w:t>
      </w:r>
      <w:r>
        <w:rPr/>
        <w:t>as </w:t>
      </w:r>
      <w:r>
        <w:rPr>
          <w:spacing w:val="-3"/>
        </w:rPr>
        <w:t>determined </w:t>
      </w:r>
      <w:r>
        <w:rPr/>
        <w:t>by </w:t>
      </w:r>
      <w:r>
        <w:rPr>
          <w:spacing w:val="-3"/>
        </w:rPr>
        <w:t>MassHealth and calculated </w:t>
      </w:r>
      <w:r>
        <w:rPr/>
        <w:t>as </w:t>
      </w:r>
      <w:r>
        <w:rPr>
          <w:spacing w:val="-3"/>
        </w:rPr>
        <w:t>follows: Episode Cost </w:t>
      </w:r>
      <w:r>
        <w:rPr/>
        <w:t>is the </w:t>
      </w:r>
      <w:r>
        <w:rPr>
          <w:spacing w:val="-3"/>
        </w:rPr>
        <w:t>product </w:t>
      </w:r>
      <w:r>
        <w:rPr/>
        <w:t>of the </w:t>
      </w:r>
      <w:r>
        <w:rPr>
          <w:spacing w:val="-3"/>
        </w:rPr>
        <w:t>Hospital’s charges </w:t>
      </w:r>
      <w:r>
        <w:rPr/>
        <w:t>for </w:t>
      </w:r>
      <w:r>
        <w:rPr>
          <w:spacing w:val="-3"/>
        </w:rPr>
        <w:t>those claim lines of </w:t>
      </w:r>
      <w:r>
        <w:rPr/>
        <w:t>an </w:t>
      </w:r>
      <w:r>
        <w:rPr>
          <w:spacing w:val="-3"/>
        </w:rPr>
        <w:t>Episode that adjudicate </w:t>
      </w:r>
      <w:r>
        <w:rPr/>
        <w:t>to pay and the </w:t>
      </w:r>
      <w:r>
        <w:rPr>
          <w:spacing w:val="-3"/>
        </w:rPr>
        <w:t>outpatient cost-to-charge ratio </w:t>
      </w:r>
      <w:r>
        <w:rPr/>
        <w:t>as </w:t>
      </w:r>
      <w:r>
        <w:rPr>
          <w:spacing w:val="-3"/>
        </w:rPr>
        <w:t>calculated </w:t>
      </w:r>
      <w:r>
        <w:rPr/>
        <w:t>by </w:t>
      </w:r>
      <w:r>
        <w:rPr>
          <w:spacing w:val="-3"/>
        </w:rPr>
        <w:t>EOHHS.</w:t>
      </w:r>
    </w:p>
    <w:p>
      <w:pPr>
        <w:pStyle w:val="BodyText"/>
        <w:spacing w:before="8"/>
      </w:pPr>
    </w:p>
    <w:p>
      <w:pPr>
        <w:pStyle w:val="BodyText"/>
        <w:spacing w:line="242" w:lineRule="auto"/>
        <w:ind w:left="652" w:right="130" w:hanging="540"/>
      </w:pPr>
      <w:r>
        <w:rPr>
          <w:b/>
          <w:spacing w:val="-3"/>
        </w:rPr>
        <w:t>Excluded Units </w:t>
      </w:r>
      <w:r>
        <w:rPr>
          <w:b/>
        </w:rPr>
        <w:t>— </w:t>
      </w:r>
      <w:r>
        <w:rPr>
          <w:spacing w:val="-3"/>
        </w:rPr>
        <w:t>Non-Acute Units </w:t>
      </w:r>
      <w:r>
        <w:rPr/>
        <w:t>as </w:t>
      </w:r>
      <w:r>
        <w:rPr>
          <w:spacing w:val="-3"/>
        </w:rPr>
        <w:t>defined </w:t>
      </w:r>
      <w:r>
        <w:rPr/>
        <w:t>in </w:t>
      </w:r>
      <w:r>
        <w:rPr>
          <w:spacing w:val="-3"/>
        </w:rPr>
        <w:t>this section; </w:t>
      </w:r>
      <w:r>
        <w:rPr/>
        <w:t>any </w:t>
      </w:r>
      <w:r>
        <w:rPr>
          <w:spacing w:val="-3"/>
        </w:rPr>
        <w:t>unit which </w:t>
      </w:r>
      <w:r>
        <w:rPr/>
        <w:t>has a </w:t>
      </w:r>
      <w:r>
        <w:rPr>
          <w:spacing w:val="-3"/>
        </w:rPr>
        <w:t>separate license from </w:t>
      </w:r>
      <w:r>
        <w:rPr/>
        <w:t>the </w:t>
      </w:r>
      <w:r>
        <w:rPr>
          <w:spacing w:val="-3"/>
        </w:rPr>
        <w:t>Hospital; psychiatric </w:t>
      </w:r>
      <w:r>
        <w:rPr/>
        <w:t>and </w:t>
      </w:r>
      <w:r>
        <w:rPr>
          <w:spacing w:val="-3"/>
        </w:rPr>
        <w:t>substance abuse units; </w:t>
      </w:r>
      <w:r>
        <w:rPr/>
        <w:t>and </w:t>
      </w:r>
      <w:r>
        <w:rPr>
          <w:spacing w:val="-3"/>
        </w:rPr>
        <w:t>non-distinct observation units.</w:t>
      </w:r>
    </w:p>
    <w:p>
      <w:pPr>
        <w:pStyle w:val="BodyText"/>
        <w:spacing w:before="9"/>
      </w:pPr>
    </w:p>
    <w:p>
      <w:pPr>
        <w:spacing w:line="242" w:lineRule="auto" w:before="0"/>
        <w:ind w:left="652" w:right="655" w:hanging="540"/>
        <w:jc w:val="left"/>
        <w:rPr>
          <w:sz w:val="24"/>
        </w:rPr>
      </w:pPr>
      <w:r>
        <w:rPr>
          <w:b/>
          <w:spacing w:val="-3"/>
          <w:sz w:val="24"/>
        </w:rPr>
        <w:t>Executive Office </w:t>
      </w:r>
      <w:r>
        <w:rPr>
          <w:b/>
          <w:sz w:val="24"/>
        </w:rPr>
        <w:t>of </w:t>
      </w:r>
      <w:r>
        <w:rPr>
          <w:b/>
          <w:spacing w:val="-3"/>
          <w:sz w:val="24"/>
        </w:rPr>
        <w:t>Health </w:t>
      </w:r>
      <w:r>
        <w:rPr>
          <w:b/>
          <w:sz w:val="24"/>
        </w:rPr>
        <w:t>and </w:t>
      </w:r>
      <w:r>
        <w:rPr>
          <w:b/>
          <w:spacing w:val="-3"/>
          <w:sz w:val="24"/>
        </w:rPr>
        <w:t>Human Services (EOHHS) </w:t>
      </w:r>
      <w:r>
        <w:rPr>
          <w:b/>
          <w:sz w:val="24"/>
        </w:rPr>
        <w:t>— </w:t>
      </w:r>
      <w:r>
        <w:rPr>
          <w:sz w:val="24"/>
        </w:rPr>
        <w:t>the </w:t>
      </w:r>
      <w:r>
        <w:rPr>
          <w:spacing w:val="-3"/>
          <w:sz w:val="24"/>
        </w:rPr>
        <w:t>single state agency that is responsible </w:t>
      </w:r>
      <w:r>
        <w:rPr>
          <w:sz w:val="24"/>
        </w:rPr>
        <w:t>for the </w:t>
      </w:r>
      <w:r>
        <w:rPr>
          <w:spacing w:val="-3"/>
          <w:sz w:val="24"/>
        </w:rPr>
        <w:t>administration </w:t>
      </w:r>
      <w:r>
        <w:rPr>
          <w:sz w:val="24"/>
        </w:rPr>
        <w:t>of the </w:t>
      </w:r>
      <w:r>
        <w:rPr>
          <w:spacing w:val="-3"/>
          <w:sz w:val="24"/>
        </w:rPr>
        <w:t>MassHealth Program, pursuant </w:t>
      </w:r>
      <w:r>
        <w:rPr>
          <w:sz w:val="24"/>
        </w:rPr>
        <w:t>to </w:t>
      </w:r>
      <w:r>
        <w:rPr>
          <w:spacing w:val="-3"/>
          <w:sz w:val="24"/>
        </w:rPr>
        <w:t>M.G.L. </w:t>
      </w:r>
      <w:r>
        <w:rPr>
          <w:sz w:val="24"/>
        </w:rPr>
        <w:t>c. </w:t>
      </w:r>
      <w:r>
        <w:rPr>
          <w:spacing w:val="-3"/>
          <w:sz w:val="24"/>
        </w:rPr>
        <w:t>118E and Titles </w:t>
      </w:r>
      <w:r>
        <w:rPr>
          <w:sz w:val="24"/>
        </w:rPr>
        <w:t>XIX and XXI of the </w:t>
      </w:r>
      <w:r>
        <w:rPr>
          <w:spacing w:val="-3"/>
          <w:sz w:val="24"/>
        </w:rPr>
        <w:t>Social Security </w:t>
      </w:r>
      <w:r>
        <w:rPr>
          <w:sz w:val="24"/>
        </w:rPr>
        <w:t>Act and </w:t>
      </w:r>
      <w:r>
        <w:rPr>
          <w:spacing w:val="-3"/>
          <w:sz w:val="24"/>
        </w:rPr>
        <w:t>other applicable laws </w:t>
      </w:r>
      <w:r>
        <w:rPr>
          <w:sz w:val="24"/>
        </w:rPr>
        <w:t>and </w:t>
      </w:r>
      <w:r>
        <w:rPr>
          <w:spacing w:val="-3"/>
          <w:sz w:val="24"/>
        </w:rPr>
        <w:t>waivers.</w:t>
      </w:r>
    </w:p>
    <w:p>
      <w:pPr>
        <w:pStyle w:val="BodyText"/>
        <w:spacing w:before="9"/>
      </w:pPr>
    </w:p>
    <w:p>
      <w:pPr>
        <w:pStyle w:val="BodyText"/>
        <w:spacing w:line="242" w:lineRule="auto"/>
        <w:ind w:left="652" w:hanging="540"/>
      </w:pPr>
      <w:r>
        <w:rPr>
          <w:b/>
          <w:spacing w:val="-3"/>
        </w:rPr>
        <w:t>Fiscal Year (FY) </w:t>
      </w:r>
      <w:r>
        <w:rPr/>
        <w:t>- The </w:t>
      </w:r>
      <w:r>
        <w:rPr>
          <w:spacing w:val="-3"/>
        </w:rPr>
        <w:t>time period </w:t>
      </w:r>
      <w:r>
        <w:rPr/>
        <w:t>of 12 </w:t>
      </w:r>
      <w:r>
        <w:rPr>
          <w:spacing w:val="-3"/>
        </w:rPr>
        <w:t>months beginning </w:t>
      </w:r>
      <w:r>
        <w:rPr/>
        <w:t>on </w:t>
      </w:r>
      <w:r>
        <w:rPr>
          <w:spacing w:val="-3"/>
        </w:rPr>
        <w:t>October </w:t>
      </w:r>
      <w:r>
        <w:rPr/>
        <w:t>1 of any </w:t>
      </w:r>
      <w:r>
        <w:rPr>
          <w:spacing w:val="-3"/>
        </w:rPr>
        <w:t>calendar year </w:t>
      </w:r>
      <w:r>
        <w:rPr/>
        <w:t>and </w:t>
      </w:r>
      <w:r>
        <w:rPr>
          <w:spacing w:val="-3"/>
        </w:rPr>
        <w:t>ending </w:t>
      </w:r>
      <w:r>
        <w:rPr/>
        <w:t>on </w:t>
      </w:r>
      <w:r>
        <w:rPr>
          <w:spacing w:val="-3"/>
        </w:rPr>
        <w:t>September </w:t>
      </w:r>
      <w:r>
        <w:rPr/>
        <w:t>30 of the </w:t>
      </w:r>
      <w:r>
        <w:rPr>
          <w:spacing w:val="-4"/>
        </w:rPr>
        <w:t>immediately </w:t>
      </w:r>
      <w:r>
        <w:rPr>
          <w:spacing w:val="-3"/>
        </w:rPr>
        <w:t>following calendar year.</w:t>
      </w:r>
    </w:p>
    <w:p>
      <w:pPr>
        <w:pStyle w:val="BodyText"/>
        <w:spacing w:before="8"/>
      </w:pPr>
    </w:p>
    <w:p>
      <w:pPr>
        <w:spacing w:line="242" w:lineRule="auto" w:before="0"/>
        <w:ind w:left="652" w:right="130" w:hanging="540"/>
        <w:jc w:val="left"/>
        <w:rPr>
          <w:sz w:val="24"/>
        </w:rPr>
      </w:pPr>
      <w:r>
        <w:rPr>
          <w:b/>
          <w:spacing w:val="-3"/>
          <w:sz w:val="24"/>
        </w:rPr>
        <w:t>Freestanding Pediatric Acute Hospital </w:t>
      </w:r>
      <w:r>
        <w:rPr>
          <w:b/>
          <w:sz w:val="24"/>
        </w:rPr>
        <w:t>— </w:t>
      </w:r>
      <w:r>
        <w:rPr>
          <w:sz w:val="24"/>
        </w:rPr>
        <w:t>an </w:t>
      </w:r>
      <w:r>
        <w:rPr>
          <w:spacing w:val="-3"/>
          <w:sz w:val="24"/>
        </w:rPr>
        <w:t>Acute Hospital which limits admissions primarily to children </w:t>
      </w:r>
      <w:r>
        <w:rPr>
          <w:sz w:val="24"/>
        </w:rPr>
        <w:t>and </w:t>
      </w:r>
      <w:r>
        <w:rPr>
          <w:spacing w:val="-3"/>
          <w:sz w:val="24"/>
        </w:rPr>
        <w:t>which qualifies </w:t>
      </w:r>
      <w:r>
        <w:rPr>
          <w:sz w:val="24"/>
        </w:rPr>
        <w:t>as </w:t>
      </w:r>
      <w:r>
        <w:rPr>
          <w:spacing w:val="-3"/>
          <w:sz w:val="24"/>
        </w:rPr>
        <w:t>exempt from </w:t>
      </w:r>
      <w:r>
        <w:rPr>
          <w:sz w:val="24"/>
        </w:rPr>
        <w:t>the </w:t>
      </w:r>
      <w:r>
        <w:rPr>
          <w:spacing w:val="-3"/>
          <w:sz w:val="24"/>
        </w:rPr>
        <w:t>Medicare prospective payment system regulations.</w:t>
      </w:r>
    </w:p>
    <w:p>
      <w:pPr>
        <w:pStyle w:val="BodyText"/>
        <w:spacing w:before="9"/>
      </w:pPr>
    </w:p>
    <w:p>
      <w:pPr>
        <w:spacing w:line="242" w:lineRule="auto" w:before="0"/>
        <w:ind w:left="652" w:right="184" w:hanging="540"/>
        <w:jc w:val="left"/>
        <w:rPr>
          <w:sz w:val="24"/>
        </w:rPr>
      </w:pPr>
      <w:r>
        <w:rPr>
          <w:b/>
          <w:spacing w:val="-3"/>
          <w:sz w:val="24"/>
        </w:rPr>
        <w:t>Gross Patient Service Revenue </w:t>
      </w:r>
      <w:r>
        <w:rPr>
          <w:b/>
          <w:sz w:val="24"/>
        </w:rPr>
        <w:t>— </w:t>
      </w:r>
      <w:r>
        <w:rPr>
          <w:sz w:val="24"/>
        </w:rPr>
        <w:t>the </w:t>
      </w:r>
      <w:r>
        <w:rPr>
          <w:spacing w:val="-3"/>
          <w:sz w:val="24"/>
        </w:rPr>
        <w:t>total dollar amount </w:t>
      </w:r>
      <w:r>
        <w:rPr>
          <w:sz w:val="24"/>
        </w:rPr>
        <w:t>of a </w:t>
      </w:r>
      <w:r>
        <w:rPr>
          <w:spacing w:val="-3"/>
          <w:sz w:val="24"/>
        </w:rPr>
        <w:t>Hospital’s charges </w:t>
      </w:r>
      <w:r>
        <w:rPr>
          <w:sz w:val="24"/>
        </w:rPr>
        <w:t>for </w:t>
      </w:r>
      <w:r>
        <w:rPr>
          <w:spacing w:val="-3"/>
          <w:sz w:val="24"/>
        </w:rPr>
        <w:t>services rendered </w:t>
      </w:r>
      <w:r>
        <w:rPr>
          <w:sz w:val="24"/>
        </w:rPr>
        <w:t>in a </w:t>
      </w:r>
      <w:r>
        <w:rPr>
          <w:spacing w:val="-3"/>
          <w:sz w:val="24"/>
        </w:rPr>
        <w:t>fiscal year.</w:t>
      </w:r>
    </w:p>
    <w:p>
      <w:pPr>
        <w:pStyle w:val="BodyText"/>
        <w:spacing w:before="7"/>
      </w:pPr>
    </w:p>
    <w:p>
      <w:pPr>
        <w:spacing w:line="242" w:lineRule="auto" w:before="1"/>
        <w:ind w:left="652" w:right="43" w:hanging="540"/>
        <w:jc w:val="left"/>
        <w:rPr>
          <w:sz w:val="24"/>
        </w:rPr>
      </w:pPr>
      <w:r>
        <w:rPr>
          <w:b/>
          <w:spacing w:val="-3"/>
          <w:sz w:val="24"/>
        </w:rPr>
        <w:t>High Medicaid Volume Freestanding Pediatric Acute Hospital </w:t>
      </w:r>
      <w:r>
        <w:rPr>
          <w:sz w:val="24"/>
        </w:rPr>
        <w:t>– a </w:t>
      </w:r>
      <w:r>
        <w:rPr>
          <w:spacing w:val="-3"/>
          <w:sz w:val="24"/>
        </w:rPr>
        <w:t>Freestanding Pediatric Acute Hospital with more than 1,000 Medicaid discharges </w:t>
      </w:r>
      <w:r>
        <w:rPr>
          <w:sz w:val="24"/>
        </w:rPr>
        <w:t>in </w:t>
      </w:r>
      <w:r>
        <w:rPr>
          <w:spacing w:val="-3"/>
          <w:sz w:val="24"/>
        </w:rPr>
        <w:t>FY12 </w:t>
      </w:r>
      <w:r>
        <w:rPr>
          <w:sz w:val="24"/>
        </w:rPr>
        <w:t>for </w:t>
      </w:r>
      <w:r>
        <w:rPr>
          <w:spacing w:val="-3"/>
          <w:sz w:val="24"/>
        </w:rPr>
        <w:t>which </w:t>
      </w:r>
      <w:r>
        <w:rPr>
          <w:sz w:val="24"/>
        </w:rPr>
        <w:t>a </w:t>
      </w:r>
      <w:r>
        <w:rPr>
          <w:spacing w:val="-3"/>
          <w:sz w:val="24"/>
        </w:rPr>
        <w:t>SPAD </w:t>
      </w:r>
      <w:r>
        <w:rPr>
          <w:sz w:val="24"/>
        </w:rPr>
        <w:t>was </w:t>
      </w:r>
      <w:r>
        <w:rPr>
          <w:spacing w:val="-3"/>
          <w:sz w:val="24"/>
        </w:rPr>
        <w:t>paid, as determined </w:t>
      </w:r>
      <w:r>
        <w:rPr>
          <w:sz w:val="24"/>
        </w:rPr>
        <w:t>by </w:t>
      </w:r>
      <w:r>
        <w:rPr>
          <w:spacing w:val="-3"/>
          <w:sz w:val="24"/>
        </w:rPr>
        <w:t>paid claims </w:t>
      </w:r>
      <w:r>
        <w:rPr>
          <w:sz w:val="24"/>
        </w:rPr>
        <w:t>in </w:t>
      </w:r>
      <w:r>
        <w:rPr>
          <w:spacing w:val="-3"/>
          <w:sz w:val="24"/>
        </w:rPr>
        <w:t>MMIS </w:t>
      </w:r>
      <w:r>
        <w:rPr>
          <w:sz w:val="24"/>
        </w:rPr>
        <w:t>as of May 11, </w:t>
      </w:r>
      <w:r>
        <w:rPr>
          <w:spacing w:val="-3"/>
          <w:sz w:val="24"/>
        </w:rPr>
        <w:t>2013, </w:t>
      </w:r>
      <w:r>
        <w:rPr>
          <w:sz w:val="24"/>
        </w:rPr>
        <w:t>and for </w:t>
      </w:r>
      <w:r>
        <w:rPr>
          <w:spacing w:val="-3"/>
          <w:sz w:val="24"/>
        </w:rPr>
        <w:t>which MassHealth </w:t>
      </w:r>
      <w:r>
        <w:rPr>
          <w:sz w:val="24"/>
        </w:rPr>
        <w:t>was the </w:t>
      </w:r>
      <w:r>
        <w:rPr>
          <w:spacing w:val="-4"/>
          <w:sz w:val="24"/>
        </w:rPr>
        <w:t>primary </w:t>
      </w:r>
      <w:r>
        <w:rPr>
          <w:spacing w:val="-3"/>
          <w:sz w:val="24"/>
        </w:rPr>
        <w:t>payer.</w:t>
      </w:r>
    </w:p>
    <w:p>
      <w:pPr>
        <w:pStyle w:val="BodyText"/>
        <w:spacing w:before="9"/>
      </w:pPr>
    </w:p>
    <w:p>
      <w:pPr>
        <w:spacing w:line="247" w:lineRule="auto" w:before="0"/>
        <w:ind w:left="652" w:right="254" w:hanging="540"/>
        <w:jc w:val="left"/>
        <w:rPr>
          <w:sz w:val="24"/>
        </w:rPr>
      </w:pPr>
      <w:r>
        <w:rPr>
          <w:b/>
          <w:spacing w:val="-3"/>
          <w:sz w:val="24"/>
        </w:rPr>
        <w:t>Hospital </w:t>
      </w:r>
      <w:r>
        <w:rPr>
          <w:spacing w:val="-3"/>
          <w:sz w:val="24"/>
        </w:rPr>
        <w:t>(also </w:t>
      </w:r>
      <w:r>
        <w:rPr>
          <w:b/>
          <w:spacing w:val="-3"/>
          <w:sz w:val="24"/>
        </w:rPr>
        <w:t>Acute Hospital</w:t>
      </w:r>
      <w:r>
        <w:rPr>
          <w:spacing w:val="-3"/>
          <w:sz w:val="24"/>
        </w:rPr>
        <w:t>) </w:t>
      </w:r>
      <w:r>
        <w:rPr>
          <w:b/>
          <w:sz w:val="24"/>
        </w:rPr>
        <w:t>— </w:t>
      </w:r>
      <w:r>
        <w:rPr>
          <w:sz w:val="24"/>
        </w:rPr>
        <w:t>any </w:t>
      </w:r>
      <w:r>
        <w:rPr>
          <w:spacing w:val="-3"/>
          <w:sz w:val="24"/>
        </w:rPr>
        <w:t>Hospital licensed under M.G.L. </w:t>
      </w:r>
      <w:r>
        <w:rPr>
          <w:sz w:val="24"/>
        </w:rPr>
        <w:t>c. </w:t>
      </w:r>
      <w:r>
        <w:rPr>
          <w:spacing w:val="-3"/>
          <w:sz w:val="24"/>
        </w:rPr>
        <w:t>111, </w:t>
      </w:r>
      <w:r>
        <w:rPr>
          <w:sz w:val="24"/>
        </w:rPr>
        <w:t>§ 51 and </w:t>
      </w:r>
      <w:r>
        <w:rPr>
          <w:spacing w:val="-3"/>
          <w:sz w:val="24"/>
        </w:rPr>
        <w:t>which meets the eligibility criteria </w:t>
      </w:r>
      <w:r>
        <w:rPr>
          <w:sz w:val="24"/>
        </w:rPr>
        <w:t>set </w:t>
      </w:r>
      <w:r>
        <w:rPr>
          <w:spacing w:val="-3"/>
          <w:sz w:val="24"/>
        </w:rPr>
        <w:t>forth </w:t>
      </w:r>
      <w:r>
        <w:rPr>
          <w:sz w:val="24"/>
        </w:rPr>
        <w:t>in </w:t>
      </w:r>
      <w:r>
        <w:rPr>
          <w:b/>
          <w:spacing w:val="-3"/>
          <w:sz w:val="24"/>
        </w:rPr>
        <w:t>Section </w:t>
      </w:r>
      <w:r>
        <w:rPr>
          <w:b/>
          <w:sz w:val="24"/>
        </w:rPr>
        <w:t>3 </w:t>
      </w:r>
      <w:r>
        <w:rPr>
          <w:sz w:val="24"/>
        </w:rPr>
        <w:t>of </w:t>
      </w:r>
      <w:r>
        <w:rPr>
          <w:spacing w:val="-3"/>
          <w:sz w:val="24"/>
        </w:rPr>
        <w:t>this RFA.</w:t>
      </w:r>
    </w:p>
    <w:p>
      <w:pPr>
        <w:spacing w:after="0" w:line="247" w:lineRule="auto"/>
        <w:jc w:val="left"/>
        <w:rPr>
          <w:sz w:val="24"/>
        </w:rPr>
        <w:sectPr>
          <w:pgSz w:w="12240" w:h="15840"/>
          <w:pgMar w:header="0" w:footer="744" w:top="1380" w:bottom="940" w:left="1040" w:right="980"/>
        </w:sectPr>
      </w:pPr>
    </w:p>
    <w:p>
      <w:pPr>
        <w:pStyle w:val="BodyText"/>
        <w:spacing w:line="242" w:lineRule="auto" w:before="65"/>
        <w:ind w:left="651" w:right="130" w:hanging="540"/>
      </w:pPr>
      <w:r>
        <w:rPr>
          <w:b/>
          <w:spacing w:val="-3"/>
        </w:rPr>
        <w:t>Hospital-Based Physician </w:t>
      </w:r>
      <w:r>
        <w:rPr>
          <w:b/>
        </w:rPr>
        <w:t>— </w:t>
      </w:r>
      <w:r>
        <w:rPr/>
        <w:t>any </w:t>
      </w:r>
      <w:r>
        <w:rPr>
          <w:spacing w:val="-3"/>
        </w:rPr>
        <w:t>physician </w:t>
      </w:r>
      <w:r>
        <w:rPr/>
        <w:t>or </w:t>
      </w:r>
      <w:r>
        <w:rPr>
          <w:spacing w:val="-3"/>
        </w:rPr>
        <w:t>physician group practice (excluding interns, residents, fellows, </w:t>
      </w:r>
      <w:r>
        <w:rPr/>
        <w:t>and </w:t>
      </w:r>
      <w:r>
        <w:rPr>
          <w:spacing w:val="-3"/>
        </w:rPr>
        <w:t>house officers) </w:t>
      </w:r>
      <w:r>
        <w:rPr/>
        <w:t>who </w:t>
      </w:r>
      <w:r>
        <w:rPr>
          <w:spacing w:val="-3"/>
        </w:rPr>
        <w:t>contracts with </w:t>
      </w:r>
      <w:r>
        <w:rPr/>
        <w:t>a </w:t>
      </w:r>
      <w:r>
        <w:rPr>
          <w:spacing w:val="-3"/>
        </w:rPr>
        <w:t>Hospital </w:t>
      </w:r>
      <w:r>
        <w:rPr/>
        <w:t>to </w:t>
      </w:r>
      <w:r>
        <w:rPr>
          <w:spacing w:val="-3"/>
        </w:rPr>
        <w:t>provide Hospital Services </w:t>
      </w:r>
      <w:r>
        <w:rPr/>
        <w:t>to </w:t>
      </w:r>
      <w:r>
        <w:rPr>
          <w:spacing w:val="-4"/>
        </w:rPr>
        <w:t>Members </w:t>
      </w:r>
      <w:r>
        <w:rPr/>
        <w:t>at a </w:t>
      </w:r>
      <w:r>
        <w:rPr>
          <w:spacing w:val="-3"/>
        </w:rPr>
        <w:t>site </w:t>
      </w:r>
      <w:r>
        <w:rPr/>
        <w:t>for </w:t>
      </w:r>
      <w:r>
        <w:rPr>
          <w:spacing w:val="-3"/>
        </w:rPr>
        <w:t>which </w:t>
      </w:r>
      <w:r>
        <w:rPr/>
        <w:t>the </w:t>
      </w:r>
      <w:r>
        <w:rPr>
          <w:spacing w:val="-3"/>
        </w:rPr>
        <w:t>hospital </w:t>
      </w:r>
      <w:r>
        <w:rPr/>
        <w:t>is </w:t>
      </w:r>
      <w:r>
        <w:rPr>
          <w:spacing w:val="-3"/>
        </w:rPr>
        <w:t>otherwise eligible </w:t>
      </w:r>
      <w:r>
        <w:rPr/>
        <w:t>for </w:t>
      </w:r>
      <w:r>
        <w:rPr>
          <w:spacing w:val="-4"/>
        </w:rPr>
        <w:t>reimbursement </w:t>
      </w:r>
      <w:r>
        <w:rPr>
          <w:spacing w:val="-3"/>
        </w:rPr>
        <w:t>under this RFA. </w:t>
      </w:r>
      <w:r>
        <w:rPr/>
        <w:t>For </w:t>
      </w:r>
      <w:r>
        <w:rPr>
          <w:spacing w:val="-3"/>
        </w:rPr>
        <w:t>purposes </w:t>
      </w:r>
      <w:r>
        <w:rPr/>
        <w:t>of </w:t>
      </w:r>
      <w:r>
        <w:rPr>
          <w:spacing w:val="-3"/>
        </w:rPr>
        <w:t>this definition </w:t>
      </w:r>
      <w:r>
        <w:rPr/>
        <w:t>and </w:t>
      </w:r>
      <w:r>
        <w:rPr>
          <w:spacing w:val="-3"/>
        </w:rPr>
        <w:t>related provisions, </w:t>
      </w:r>
      <w:r>
        <w:rPr/>
        <w:t>the </w:t>
      </w:r>
      <w:r>
        <w:rPr>
          <w:spacing w:val="-3"/>
        </w:rPr>
        <w:t>term physician includes dentists, podiatrists, and osteopaths. Nurse practitioners, nurse midwives, physician assistants, </w:t>
      </w:r>
      <w:r>
        <w:rPr/>
        <w:t>and </w:t>
      </w:r>
      <w:r>
        <w:rPr>
          <w:spacing w:val="-3"/>
        </w:rPr>
        <w:t>other allied health professionals </w:t>
      </w:r>
      <w:r>
        <w:rPr/>
        <w:t>are not </w:t>
      </w:r>
      <w:r>
        <w:rPr>
          <w:spacing w:val="-3"/>
        </w:rPr>
        <w:t>Hospital-Based Physicians.</w:t>
      </w:r>
    </w:p>
    <w:p>
      <w:pPr>
        <w:pStyle w:val="BodyText"/>
        <w:spacing w:before="9"/>
      </w:pPr>
    </w:p>
    <w:p>
      <w:pPr>
        <w:pStyle w:val="BodyText"/>
        <w:spacing w:line="244" w:lineRule="auto"/>
        <w:ind w:left="651" w:right="131" w:hanging="540"/>
      </w:pPr>
      <w:r>
        <w:rPr>
          <w:b/>
        </w:rPr>
        <w:t>Hospital Discharge Data (HDD) </w:t>
      </w:r>
      <w:r>
        <w:rPr/>
        <w:t>—Hospital discharge filings, as provided and verified by each hospital and submitted to CHIA, including (1) FY11 Acute Hospital casemix data as screened and updated by CHIA as of June 13, 2013, for purposes of </w:t>
      </w:r>
      <w:r>
        <w:rPr>
          <w:b/>
        </w:rPr>
        <w:t>Section 5.B</w:t>
      </w:r>
      <w:r>
        <w:rPr/>
        <w:t>, on SPAD rate development,</w:t>
      </w:r>
    </w:p>
    <w:p>
      <w:pPr>
        <w:pStyle w:val="BodyText"/>
        <w:spacing w:line="244" w:lineRule="auto"/>
        <w:ind w:left="651" w:right="294"/>
      </w:pPr>
      <w:r>
        <w:rPr/>
        <w:t>(2) Acute Hospital casemix data as screened and updated by CHIA as of May 31, 2013, for the 13-month period of September 1, 2011 through September 30, 2012 for purposes of </w:t>
      </w:r>
      <w:r>
        <w:rPr>
          <w:b/>
        </w:rPr>
        <w:t>Section 8.1 </w:t>
      </w:r>
      <w:r>
        <w:rPr/>
        <w:t>on 30-Day Potentially Preventable Readmissions; and (3) Acute Hospital casemix data as accepted by CHIA into CHIA’s database as of a date that will be determined by EOHHS, for the period October 1, 2012 through September 30, 2013 (FY13 HDD) for purposes of </w:t>
      </w:r>
      <w:r>
        <w:rPr>
          <w:b/>
        </w:rPr>
        <w:t>Section 7 </w:t>
      </w:r>
      <w:r>
        <w:rPr/>
        <w:t>on Pay-for-Performance Quality Reporting Requirements and Payment Methods.</w:t>
      </w:r>
    </w:p>
    <w:p>
      <w:pPr>
        <w:pStyle w:val="BodyText"/>
        <w:spacing w:before="8"/>
      </w:pPr>
    </w:p>
    <w:p>
      <w:pPr>
        <w:pStyle w:val="BodyText"/>
        <w:spacing w:line="242" w:lineRule="auto"/>
        <w:ind w:left="651" w:right="130" w:hanging="540"/>
      </w:pPr>
      <w:r>
        <w:rPr>
          <w:b/>
          <w:spacing w:val="-3"/>
        </w:rPr>
        <w:t>Hospital-Licensed Health Center (HLHC) </w:t>
      </w:r>
      <w:r>
        <w:rPr>
          <w:b/>
        </w:rPr>
        <w:t>— </w:t>
      </w:r>
      <w:r>
        <w:rPr/>
        <w:t>a </w:t>
      </w:r>
      <w:r>
        <w:rPr>
          <w:spacing w:val="-3"/>
        </w:rPr>
        <w:t>Satellite Clinic that </w:t>
      </w:r>
      <w:r>
        <w:rPr/>
        <w:t>(1) </w:t>
      </w:r>
      <w:r>
        <w:rPr>
          <w:spacing w:val="-3"/>
        </w:rPr>
        <w:t>meets MassHealth </w:t>
      </w:r>
      <w:r>
        <w:rPr>
          <w:spacing w:val="-4"/>
        </w:rPr>
        <w:t>requirements </w:t>
      </w:r>
      <w:r>
        <w:rPr/>
        <w:t>for </w:t>
      </w:r>
      <w:r>
        <w:rPr>
          <w:spacing w:val="-4"/>
        </w:rPr>
        <w:t>reimbursement </w:t>
      </w:r>
      <w:r>
        <w:rPr/>
        <w:t>as an </w:t>
      </w:r>
      <w:r>
        <w:rPr>
          <w:spacing w:val="-3"/>
        </w:rPr>
        <w:t>HLHC </w:t>
      </w:r>
      <w:r>
        <w:rPr/>
        <w:t>as </w:t>
      </w:r>
      <w:r>
        <w:rPr>
          <w:spacing w:val="-3"/>
        </w:rPr>
        <w:t>provided </w:t>
      </w:r>
      <w:r>
        <w:rPr/>
        <w:t>at 130 CMR </w:t>
      </w:r>
      <w:r>
        <w:rPr>
          <w:spacing w:val="-3"/>
        </w:rPr>
        <w:t>410.413; </w:t>
      </w:r>
      <w:r>
        <w:rPr/>
        <w:t>and (2) is </w:t>
      </w:r>
      <w:r>
        <w:rPr>
          <w:spacing w:val="-3"/>
        </w:rPr>
        <w:t>approved </w:t>
      </w:r>
      <w:r>
        <w:rPr/>
        <w:t>by </w:t>
      </w:r>
      <w:r>
        <w:rPr>
          <w:spacing w:val="-3"/>
        </w:rPr>
        <w:t>and enrolled with MassHealth’s Provider Enrollment Unit </w:t>
      </w:r>
      <w:r>
        <w:rPr/>
        <w:t>as an </w:t>
      </w:r>
      <w:r>
        <w:rPr>
          <w:spacing w:val="-3"/>
        </w:rPr>
        <w:t>HLHC.</w:t>
      </w:r>
    </w:p>
    <w:p>
      <w:pPr>
        <w:pStyle w:val="BodyText"/>
        <w:spacing w:before="2"/>
        <w:rPr>
          <w:sz w:val="21"/>
        </w:rPr>
      </w:pPr>
    </w:p>
    <w:p>
      <w:pPr>
        <w:pStyle w:val="BodyText"/>
        <w:spacing w:line="242" w:lineRule="auto"/>
        <w:ind w:left="659" w:right="184" w:hanging="548"/>
      </w:pPr>
      <w:r>
        <w:rPr>
          <w:b/>
          <w:spacing w:val="-3"/>
        </w:rPr>
        <w:t>Inflation Factors </w:t>
      </w:r>
      <w:r>
        <w:rPr>
          <w:b/>
        </w:rPr>
        <w:t>for </w:t>
      </w:r>
      <w:r>
        <w:rPr>
          <w:b/>
          <w:spacing w:val="-3"/>
        </w:rPr>
        <w:t>Administrative Days </w:t>
      </w:r>
      <w:r>
        <w:rPr>
          <w:b/>
        </w:rPr>
        <w:t>— </w:t>
      </w:r>
      <w:r>
        <w:rPr/>
        <w:t>an </w:t>
      </w:r>
      <w:r>
        <w:rPr>
          <w:spacing w:val="-3"/>
        </w:rPr>
        <w:t>inflation factor that </w:t>
      </w:r>
      <w:r>
        <w:rPr/>
        <w:t>is a </w:t>
      </w:r>
      <w:r>
        <w:rPr>
          <w:spacing w:val="-3"/>
        </w:rPr>
        <w:t>blend </w:t>
      </w:r>
      <w:r>
        <w:rPr/>
        <w:t>of the </w:t>
      </w:r>
      <w:r>
        <w:rPr>
          <w:spacing w:val="-3"/>
        </w:rPr>
        <w:t>Center for Medicare </w:t>
      </w:r>
      <w:r>
        <w:rPr/>
        <w:t>and </w:t>
      </w:r>
      <w:r>
        <w:rPr>
          <w:spacing w:val="-3"/>
        </w:rPr>
        <w:t>Medicaid Services (CMS) market basket </w:t>
      </w:r>
      <w:r>
        <w:rPr/>
        <w:t>and the </w:t>
      </w:r>
      <w:r>
        <w:rPr>
          <w:spacing w:val="-3"/>
        </w:rPr>
        <w:t>Massachusetts Consumer Price Index (CPI).  Specifically, </w:t>
      </w:r>
      <w:r>
        <w:rPr/>
        <w:t>the CPI </w:t>
      </w:r>
      <w:r>
        <w:rPr>
          <w:spacing w:val="-3"/>
        </w:rPr>
        <w:t>replaces </w:t>
      </w:r>
      <w:r>
        <w:rPr/>
        <w:t>the </w:t>
      </w:r>
      <w:r>
        <w:rPr>
          <w:spacing w:val="-3"/>
        </w:rPr>
        <w:t>labor-related component </w:t>
      </w:r>
      <w:r>
        <w:rPr/>
        <w:t>of the CMS </w:t>
      </w:r>
      <w:r>
        <w:rPr>
          <w:spacing w:val="-3"/>
        </w:rPr>
        <w:t>market basket </w:t>
      </w:r>
      <w:r>
        <w:rPr/>
        <w:t>to </w:t>
      </w:r>
      <w:r>
        <w:rPr>
          <w:spacing w:val="-3"/>
        </w:rPr>
        <w:t>reflect conditions </w:t>
      </w:r>
      <w:r>
        <w:rPr/>
        <w:t>in the </w:t>
      </w:r>
      <w:r>
        <w:rPr>
          <w:spacing w:val="-3"/>
        </w:rPr>
        <w:t>Massachusetts economy. </w:t>
      </w:r>
      <w:r>
        <w:rPr/>
        <w:t>The </w:t>
      </w:r>
      <w:r>
        <w:rPr>
          <w:spacing w:val="-3"/>
        </w:rPr>
        <w:t>Inflation Factor </w:t>
      </w:r>
      <w:r>
        <w:rPr/>
        <w:t>for </w:t>
      </w:r>
      <w:r>
        <w:rPr>
          <w:spacing w:val="-3"/>
        </w:rPr>
        <w:t>Administrative Days is </w:t>
      </w:r>
      <w:r>
        <w:rPr/>
        <w:t>as</w:t>
      </w:r>
      <w:r>
        <w:rPr>
          <w:spacing w:val="-2"/>
        </w:rPr>
        <w:t> </w:t>
      </w:r>
      <w:r>
        <w:rPr>
          <w:spacing w:val="-4"/>
        </w:rPr>
        <w:t>follows:</w:t>
      </w:r>
    </w:p>
    <w:p>
      <w:pPr>
        <w:pStyle w:val="BodyText"/>
        <w:spacing w:before="4"/>
      </w:pPr>
    </w:p>
    <w:p>
      <w:pPr>
        <w:pStyle w:val="BodyText"/>
        <w:ind w:left="993"/>
        <w:jc w:val="both"/>
      </w:pPr>
      <w:r>
        <w:rPr/>
        <w:t>1.348% reflects the price changes between RY13 and RY14</w:t>
      </w:r>
    </w:p>
    <w:p>
      <w:pPr>
        <w:pStyle w:val="BodyText"/>
        <w:rPr>
          <w:sz w:val="25"/>
        </w:rPr>
      </w:pPr>
    </w:p>
    <w:p>
      <w:pPr>
        <w:pStyle w:val="BodyText"/>
        <w:spacing w:line="242" w:lineRule="auto"/>
        <w:ind w:left="111" w:right="130"/>
      </w:pPr>
      <w:r>
        <w:rPr>
          <w:b/>
          <w:spacing w:val="-3"/>
        </w:rPr>
        <w:t>Inflation Factors </w:t>
      </w:r>
      <w:r>
        <w:rPr>
          <w:b/>
        </w:rPr>
        <w:t>for </w:t>
      </w:r>
      <w:r>
        <w:rPr>
          <w:b/>
          <w:spacing w:val="-3"/>
        </w:rPr>
        <w:t>Capital Costs </w:t>
      </w:r>
      <w:r>
        <w:rPr>
          <w:b/>
        </w:rPr>
        <w:t>— </w:t>
      </w:r>
      <w:r>
        <w:rPr/>
        <w:t>the </w:t>
      </w:r>
      <w:r>
        <w:rPr>
          <w:spacing w:val="-3"/>
        </w:rPr>
        <w:t>factors used </w:t>
      </w:r>
      <w:r>
        <w:rPr/>
        <w:t>by CMS to </w:t>
      </w:r>
      <w:r>
        <w:rPr>
          <w:spacing w:val="-3"/>
        </w:rPr>
        <w:t>update capital payments made by Medicare, which </w:t>
      </w:r>
      <w:r>
        <w:rPr/>
        <w:t>is </w:t>
      </w:r>
      <w:r>
        <w:rPr>
          <w:spacing w:val="-3"/>
        </w:rPr>
        <w:t>based </w:t>
      </w:r>
      <w:r>
        <w:rPr/>
        <w:t>on the CMS </w:t>
      </w:r>
      <w:r>
        <w:rPr>
          <w:spacing w:val="-3"/>
        </w:rPr>
        <w:t>Capital Input Price Index. </w:t>
      </w:r>
      <w:r>
        <w:rPr/>
        <w:t>The </w:t>
      </w:r>
      <w:r>
        <w:rPr>
          <w:spacing w:val="-3"/>
        </w:rPr>
        <w:t>Inflation Factors </w:t>
      </w:r>
      <w:r>
        <w:rPr/>
        <w:t>for </w:t>
      </w:r>
      <w:r>
        <w:rPr>
          <w:spacing w:val="-3"/>
        </w:rPr>
        <w:t>Capital Costs between RY04 </w:t>
      </w:r>
      <w:r>
        <w:rPr/>
        <w:t>and </w:t>
      </w:r>
      <w:r>
        <w:rPr>
          <w:spacing w:val="-3"/>
        </w:rPr>
        <w:t>RY14 </w:t>
      </w:r>
      <w:r>
        <w:rPr/>
        <w:t>are as </w:t>
      </w:r>
      <w:r>
        <w:rPr>
          <w:spacing w:val="-3"/>
        </w:rPr>
        <w:t>follows:</w:t>
      </w:r>
    </w:p>
    <w:p>
      <w:pPr>
        <w:pStyle w:val="BodyText"/>
        <w:spacing w:before="4"/>
      </w:pPr>
    </w:p>
    <w:p>
      <w:pPr>
        <w:pStyle w:val="BodyText"/>
        <w:spacing w:line="242" w:lineRule="auto"/>
        <w:ind w:left="1012" w:right="3802"/>
        <w:jc w:val="both"/>
      </w:pPr>
      <w:r>
        <w:rPr>
          <w:spacing w:val="-3"/>
        </w:rPr>
        <w:t>0.7% reflects </w:t>
      </w:r>
      <w:r>
        <w:rPr/>
        <w:t>the </w:t>
      </w:r>
      <w:r>
        <w:rPr>
          <w:spacing w:val="-3"/>
        </w:rPr>
        <w:t>price changes between RY04 </w:t>
      </w:r>
      <w:r>
        <w:rPr/>
        <w:t>and </w:t>
      </w:r>
      <w:r>
        <w:rPr>
          <w:spacing w:val="-3"/>
        </w:rPr>
        <w:t>RY05 0.7% reflects </w:t>
      </w:r>
      <w:r>
        <w:rPr/>
        <w:t>the </w:t>
      </w:r>
      <w:r>
        <w:rPr>
          <w:spacing w:val="-3"/>
        </w:rPr>
        <w:t>price changes between RY05 </w:t>
      </w:r>
      <w:r>
        <w:rPr/>
        <w:t>and </w:t>
      </w:r>
      <w:r>
        <w:rPr>
          <w:spacing w:val="-3"/>
        </w:rPr>
        <w:t>RY06 0.8% reflects </w:t>
      </w:r>
      <w:r>
        <w:rPr/>
        <w:t>the </w:t>
      </w:r>
      <w:r>
        <w:rPr>
          <w:spacing w:val="-3"/>
        </w:rPr>
        <w:t>price changes between RY06 </w:t>
      </w:r>
      <w:r>
        <w:rPr/>
        <w:t>and </w:t>
      </w:r>
      <w:r>
        <w:rPr>
          <w:spacing w:val="-3"/>
        </w:rPr>
        <w:t>RY07 0.9% reflects </w:t>
      </w:r>
      <w:r>
        <w:rPr/>
        <w:t>the </w:t>
      </w:r>
      <w:r>
        <w:rPr>
          <w:spacing w:val="-3"/>
        </w:rPr>
        <w:t>price changes between RY07 </w:t>
      </w:r>
      <w:r>
        <w:rPr/>
        <w:t>and </w:t>
      </w:r>
      <w:r>
        <w:rPr>
          <w:spacing w:val="-3"/>
        </w:rPr>
        <w:t>RY08 0.7% reflects </w:t>
      </w:r>
      <w:r>
        <w:rPr/>
        <w:t>the </w:t>
      </w:r>
      <w:r>
        <w:rPr>
          <w:spacing w:val="-3"/>
        </w:rPr>
        <w:t>price changes between RY08 </w:t>
      </w:r>
      <w:r>
        <w:rPr/>
        <w:t>and </w:t>
      </w:r>
      <w:r>
        <w:rPr>
          <w:spacing w:val="-3"/>
        </w:rPr>
        <w:t>RY09 1.4% reflects </w:t>
      </w:r>
      <w:r>
        <w:rPr/>
        <w:t>the </w:t>
      </w:r>
      <w:r>
        <w:rPr>
          <w:spacing w:val="-3"/>
        </w:rPr>
        <w:t>price changes between RY09 </w:t>
      </w:r>
      <w:r>
        <w:rPr/>
        <w:t>and </w:t>
      </w:r>
      <w:r>
        <w:rPr>
          <w:spacing w:val="-3"/>
        </w:rPr>
        <w:t>RY10 1.5% reflects </w:t>
      </w:r>
      <w:r>
        <w:rPr/>
        <w:t>the </w:t>
      </w:r>
      <w:r>
        <w:rPr>
          <w:spacing w:val="-3"/>
        </w:rPr>
        <w:t>price changes between RY10 </w:t>
      </w:r>
      <w:r>
        <w:rPr/>
        <w:t>and </w:t>
      </w:r>
      <w:r>
        <w:rPr>
          <w:spacing w:val="-3"/>
        </w:rPr>
        <w:t>RY11 1.5% reflects </w:t>
      </w:r>
      <w:r>
        <w:rPr/>
        <w:t>the </w:t>
      </w:r>
      <w:r>
        <w:rPr>
          <w:spacing w:val="-3"/>
        </w:rPr>
        <w:t>price changes between RY11 </w:t>
      </w:r>
      <w:r>
        <w:rPr/>
        <w:t>and </w:t>
      </w:r>
      <w:r>
        <w:rPr>
          <w:spacing w:val="-3"/>
        </w:rPr>
        <w:t>RY12 1.2% reflects </w:t>
      </w:r>
      <w:r>
        <w:rPr/>
        <w:t>the </w:t>
      </w:r>
      <w:r>
        <w:rPr>
          <w:spacing w:val="-3"/>
        </w:rPr>
        <w:t>price changes between RY12 </w:t>
      </w:r>
      <w:r>
        <w:rPr/>
        <w:t>and </w:t>
      </w:r>
      <w:r>
        <w:rPr>
          <w:spacing w:val="-3"/>
        </w:rPr>
        <w:t>RY13 1.4% reflects </w:t>
      </w:r>
      <w:r>
        <w:rPr/>
        <w:t>the </w:t>
      </w:r>
      <w:r>
        <w:rPr>
          <w:spacing w:val="-3"/>
        </w:rPr>
        <w:t>price changes between RY13 </w:t>
      </w:r>
      <w:r>
        <w:rPr/>
        <w:t>and </w:t>
      </w:r>
      <w:r>
        <w:rPr>
          <w:spacing w:val="-3"/>
        </w:rPr>
        <w:t>RY14</w:t>
      </w:r>
    </w:p>
    <w:p>
      <w:pPr>
        <w:pStyle w:val="BodyText"/>
        <w:spacing w:before="7"/>
      </w:pPr>
    </w:p>
    <w:p>
      <w:pPr>
        <w:pStyle w:val="BodyText"/>
        <w:spacing w:line="242" w:lineRule="auto" w:before="1"/>
        <w:ind w:left="112" w:right="91"/>
      </w:pPr>
      <w:r>
        <w:rPr>
          <w:b/>
          <w:spacing w:val="-3"/>
        </w:rPr>
        <w:t>Inflation Factors </w:t>
      </w:r>
      <w:r>
        <w:rPr>
          <w:b/>
        </w:rPr>
        <w:t>for </w:t>
      </w:r>
      <w:r>
        <w:rPr>
          <w:b/>
          <w:spacing w:val="-3"/>
        </w:rPr>
        <w:t>Operating Costs </w:t>
      </w:r>
      <w:r>
        <w:rPr/>
        <w:t>— for </w:t>
      </w:r>
      <w:r>
        <w:rPr>
          <w:spacing w:val="-3"/>
        </w:rPr>
        <w:t>price changes between RY04 </w:t>
      </w:r>
      <w:r>
        <w:rPr/>
        <w:t>and </w:t>
      </w:r>
      <w:r>
        <w:rPr>
          <w:spacing w:val="-3"/>
        </w:rPr>
        <w:t>RY07, </w:t>
      </w:r>
      <w:r>
        <w:rPr/>
        <w:t>and </w:t>
      </w:r>
      <w:r>
        <w:rPr>
          <w:spacing w:val="-3"/>
        </w:rPr>
        <w:t>between RY08 </w:t>
      </w:r>
      <w:r>
        <w:rPr/>
        <w:t>and </w:t>
      </w:r>
      <w:r>
        <w:rPr>
          <w:spacing w:val="-3"/>
        </w:rPr>
        <w:t>RY14, </w:t>
      </w:r>
      <w:r>
        <w:rPr/>
        <w:t>a </w:t>
      </w:r>
      <w:r>
        <w:rPr>
          <w:spacing w:val="-3"/>
        </w:rPr>
        <w:t>blend </w:t>
      </w:r>
      <w:r>
        <w:rPr/>
        <w:t>of the </w:t>
      </w:r>
      <w:r>
        <w:rPr>
          <w:spacing w:val="-3"/>
        </w:rPr>
        <w:t>Center </w:t>
      </w:r>
      <w:r>
        <w:rPr/>
        <w:t>for </w:t>
      </w:r>
      <w:r>
        <w:rPr>
          <w:spacing w:val="-3"/>
        </w:rPr>
        <w:t>Medicare </w:t>
      </w:r>
      <w:r>
        <w:rPr/>
        <w:t>and </w:t>
      </w:r>
      <w:r>
        <w:rPr>
          <w:spacing w:val="-3"/>
        </w:rPr>
        <w:t>Medicaid Services (CMS) market basket </w:t>
      </w:r>
      <w:r>
        <w:rPr/>
        <w:t>and </w:t>
      </w:r>
      <w:r>
        <w:rPr>
          <w:spacing w:val="-3"/>
        </w:rPr>
        <w:t>the</w:t>
      </w:r>
    </w:p>
    <w:p>
      <w:pPr>
        <w:spacing w:after="0" w:line="242" w:lineRule="auto"/>
        <w:sectPr>
          <w:footerReference w:type="default" r:id="rId7"/>
          <w:pgSz w:w="12240" w:h="15840"/>
          <w:pgMar w:footer="744" w:header="0" w:top="1380" w:bottom="940" w:left="1040" w:right="980"/>
        </w:sectPr>
      </w:pPr>
    </w:p>
    <w:p>
      <w:pPr>
        <w:pStyle w:val="BodyText"/>
        <w:spacing w:line="242" w:lineRule="auto" w:before="61"/>
        <w:ind w:left="112" w:right="184"/>
      </w:pPr>
      <w:r>
        <w:rPr>
          <w:spacing w:val="-3"/>
        </w:rPr>
        <w:t>Massachusetts Consumer Price Index (CPI) </w:t>
      </w:r>
      <w:r>
        <w:rPr/>
        <w:t>in </w:t>
      </w:r>
      <w:r>
        <w:rPr>
          <w:spacing w:val="-3"/>
        </w:rPr>
        <w:t>which </w:t>
      </w:r>
      <w:r>
        <w:rPr/>
        <w:t>the CPI </w:t>
      </w:r>
      <w:r>
        <w:rPr>
          <w:spacing w:val="-3"/>
        </w:rPr>
        <w:t>replaces </w:t>
      </w:r>
      <w:r>
        <w:rPr/>
        <w:t>the </w:t>
      </w:r>
      <w:r>
        <w:rPr>
          <w:spacing w:val="-3"/>
        </w:rPr>
        <w:t>labor-related component </w:t>
      </w:r>
      <w:r>
        <w:rPr/>
        <w:t>of </w:t>
      </w:r>
      <w:r>
        <w:rPr>
          <w:spacing w:val="-3"/>
        </w:rPr>
        <w:t>the </w:t>
      </w:r>
      <w:r>
        <w:rPr/>
        <w:t>CMS </w:t>
      </w:r>
      <w:r>
        <w:rPr>
          <w:spacing w:val="-3"/>
        </w:rPr>
        <w:t>market basket </w:t>
      </w:r>
      <w:r>
        <w:rPr/>
        <w:t>to </w:t>
      </w:r>
      <w:r>
        <w:rPr>
          <w:spacing w:val="-3"/>
        </w:rPr>
        <w:t>reflect conditions </w:t>
      </w:r>
      <w:r>
        <w:rPr/>
        <w:t>in the </w:t>
      </w:r>
      <w:r>
        <w:rPr>
          <w:spacing w:val="-3"/>
        </w:rPr>
        <w:t>Massachusetts economy.  </w:t>
      </w:r>
      <w:r>
        <w:rPr/>
        <w:t>For </w:t>
      </w:r>
      <w:r>
        <w:rPr>
          <w:spacing w:val="-3"/>
        </w:rPr>
        <w:t>price changes between RY07 </w:t>
      </w:r>
      <w:r>
        <w:rPr/>
        <w:t>and </w:t>
      </w:r>
      <w:r>
        <w:rPr>
          <w:spacing w:val="-3"/>
        </w:rPr>
        <w:t>RY08, </w:t>
      </w:r>
      <w:r>
        <w:rPr/>
        <w:t>the </w:t>
      </w:r>
      <w:r>
        <w:rPr>
          <w:spacing w:val="-3"/>
        </w:rPr>
        <w:t>inflation factor </w:t>
      </w:r>
      <w:r>
        <w:rPr/>
        <w:t>for </w:t>
      </w:r>
      <w:r>
        <w:rPr>
          <w:spacing w:val="-3"/>
        </w:rPr>
        <w:t>operating costs </w:t>
      </w:r>
      <w:r>
        <w:rPr/>
        <w:t>is the CMS </w:t>
      </w:r>
      <w:r>
        <w:rPr>
          <w:spacing w:val="-3"/>
        </w:rPr>
        <w:t>market basket. </w:t>
      </w:r>
      <w:r>
        <w:rPr/>
        <w:t>The </w:t>
      </w:r>
      <w:r>
        <w:rPr>
          <w:spacing w:val="-3"/>
        </w:rPr>
        <w:t>Inflation Factors </w:t>
      </w:r>
      <w:r>
        <w:rPr/>
        <w:t>for </w:t>
      </w:r>
      <w:r>
        <w:rPr>
          <w:spacing w:val="-3"/>
        </w:rPr>
        <w:t>Operating Costs between RY04 </w:t>
      </w:r>
      <w:r>
        <w:rPr/>
        <w:t>and </w:t>
      </w:r>
      <w:r>
        <w:rPr>
          <w:spacing w:val="-3"/>
        </w:rPr>
        <w:t>RY14 </w:t>
      </w:r>
      <w:r>
        <w:rPr/>
        <w:t>are as </w:t>
      </w:r>
      <w:r>
        <w:rPr>
          <w:spacing w:val="-3"/>
        </w:rPr>
        <w:t>follows:</w:t>
      </w:r>
    </w:p>
    <w:p>
      <w:pPr>
        <w:pStyle w:val="BodyText"/>
        <w:spacing w:before="4"/>
      </w:pPr>
    </w:p>
    <w:p>
      <w:pPr>
        <w:pStyle w:val="BodyText"/>
        <w:spacing w:line="242" w:lineRule="auto"/>
        <w:ind w:left="1012" w:right="3912"/>
        <w:jc w:val="both"/>
      </w:pPr>
      <w:r>
        <w:rPr>
          <w:spacing w:val="-3"/>
        </w:rPr>
        <w:t>1.186% reflects price changes between RY04 </w:t>
      </w:r>
      <w:r>
        <w:rPr/>
        <w:t>and </w:t>
      </w:r>
      <w:r>
        <w:rPr>
          <w:spacing w:val="-3"/>
        </w:rPr>
        <w:t>RY05 1.846% reflects price changes between RY05 </w:t>
      </w:r>
      <w:r>
        <w:rPr/>
        <w:t>and </w:t>
      </w:r>
      <w:r>
        <w:rPr>
          <w:spacing w:val="-3"/>
        </w:rPr>
        <w:t>RY06 1.637% reflects price changes between RY06 </w:t>
      </w:r>
      <w:r>
        <w:rPr/>
        <w:t>and </w:t>
      </w:r>
      <w:r>
        <w:rPr>
          <w:spacing w:val="-3"/>
        </w:rPr>
        <w:t>RY07 3.300% reflects price changes between RY07 </w:t>
      </w:r>
      <w:r>
        <w:rPr/>
        <w:t>and </w:t>
      </w:r>
      <w:r>
        <w:rPr>
          <w:spacing w:val="-3"/>
        </w:rPr>
        <w:t>RY08</w:t>
      </w:r>
    </w:p>
    <w:p>
      <w:pPr>
        <w:pStyle w:val="BodyText"/>
        <w:spacing w:line="242" w:lineRule="auto" w:before="1"/>
        <w:ind w:left="1012" w:right="214"/>
      </w:pPr>
      <w:r>
        <w:rPr>
          <w:spacing w:val="-3"/>
        </w:rPr>
        <w:t>3.000% reflects price changes between RY08 </w:t>
      </w:r>
      <w:r>
        <w:rPr/>
        <w:t>and </w:t>
      </w:r>
      <w:r>
        <w:rPr>
          <w:spacing w:val="-3"/>
        </w:rPr>
        <w:t>RY09 </w:t>
      </w:r>
      <w:r>
        <w:rPr/>
        <w:t>for the </w:t>
      </w:r>
      <w:r>
        <w:rPr>
          <w:spacing w:val="-3"/>
        </w:rPr>
        <w:t>period October </w:t>
      </w:r>
      <w:r>
        <w:rPr/>
        <w:t>1, </w:t>
      </w:r>
      <w:r>
        <w:rPr>
          <w:spacing w:val="-3"/>
        </w:rPr>
        <w:t>2008 through December </w:t>
      </w:r>
      <w:r>
        <w:rPr/>
        <w:t>6, </w:t>
      </w:r>
      <w:r>
        <w:rPr>
          <w:spacing w:val="-3"/>
        </w:rPr>
        <w:t>2008</w:t>
      </w:r>
    </w:p>
    <w:p>
      <w:pPr>
        <w:pStyle w:val="BodyText"/>
        <w:spacing w:line="242" w:lineRule="auto" w:before="1"/>
        <w:ind w:left="1012" w:right="787"/>
      </w:pPr>
      <w:r>
        <w:rPr>
          <w:spacing w:val="-3"/>
        </w:rPr>
        <w:t>1.424% reflects price changes between RY08 </w:t>
      </w:r>
      <w:r>
        <w:rPr/>
        <w:t>and </w:t>
      </w:r>
      <w:r>
        <w:rPr>
          <w:spacing w:val="-3"/>
        </w:rPr>
        <w:t>RY09 </w:t>
      </w:r>
      <w:r>
        <w:rPr/>
        <w:t>for the </w:t>
      </w:r>
      <w:r>
        <w:rPr>
          <w:spacing w:val="-3"/>
        </w:rPr>
        <w:t>period December </w:t>
      </w:r>
      <w:r>
        <w:rPr/>
        <w:t>7, </w:t>
      </w:r>
      <w:r>
        <w:rPr>
          <w:spacing w:val="-3"/>
        </w:rPr>
        <w:t>2008 through September </w:t>
      </w:r>
      <w:r>
        <w:rPr/>
        <w:t>30, </w:t>
      </w:r>
      <w:r>
        <w:rPr>
          <w:spacing w:val="-3"/>
        </w:rPr>
        <w:t>2009</w:t>
      </w:r>
    </w:p>
    <w:p>
      <w:pPr>
        <w:pStyle w:val="BodyText"/>
        <w:spacing w:line="242" w:lineRule="auto" w:before="1"/>
        <w:ind w:left="1012" w:right="3568"/>
        <w:jc w:val="both"/>
      </w:pPr>
      <w:r>
        <w:rPr>
          <w:spacing w:val="-3"/>
        </w:rPr>
        <w:t>0.719% reflects </w:t>
      </w:r>
      <w:r>
        <w:rPr/>
        <w:t>the </w:t>
      </w:r>
      <w:r>
        <w:rPr>
          <w:spacing w:val="-3"/>
        </w:rPr>
        <w:t>price changes between RY09 </w:t>
      </w:r>
      <w:r>
        <w:rPr/>
        <w:t>and </w:t>
      </w:r>
      <w:r>
        <w:rPr>
          <w:spacing w:val="-3"/>
        </w:rPr>
        <w:t>RY10 1.820% reflects </w:t>
      </w:r>
      <w:r>
        <w:rPr/>
        <w:t>the </w:t>
      </w:r>
      <w:r>
        <w:rPr>
          <w:spacing w:val="-3"/>
        </w:rPr>
        <w:t>price changes between RY10 </w:t>
      </w:r>
      <w:r>
        <w:rPr/>
        <w:t>and </w:t>
      </w:r>
      <w:r>
        <w:rPr>
          <w:spacing w:val="-3"/>
        </w:rPr>
        <w:t>RY11 1.665% reflects </w:t>
      </w:r>
      <w:r>
        <w:rPr/>
        <w:t>the </w:t>
      </w:r>
      <w:r>
        <w:rPr>
          <w:spacing w:val="-3"/>
        </w:rPr>
        <w:t>price changes between RY11 </w:t>
      </w:r>
      <w:r>
        <w:rPr/>
        <w:t>and </w:t>
      </w:r>
      <w:r>
        <w:rPr>
          <w:spacing w:val="-3"/>
        </w:rPr>
        <w:t>RY12 1.775% reflects </w:t>
      </w:r>
      <w:r>
        <w:rPr/>
        <w:t>the </w:t>
      </w:r>
      <w:r>
        <w:rPr>
          <w:spacing w:val="-3"/>
        </w:rPr>
        <w:t>price changes between RY12 </w:t>
      </w:r>
      <w:r>
        <w:rPr/>
        <w:t>and </w:t>
      </w:r>
      <w:r>
        <w:rPr>
          <w:spacing w:val="-3"/>
        </w:rPr>
        <w:t>RY13 1.405% reflects </w:t>
      </w:r>
      <w:r>
        <w:rPr/>
        <w:t>the </w:t>
      </w:r>
      <w:r>
        <w:rPr>
          <w:spacing w:val="-3"/>
        </w:rPr>
        <w:t>price changes between RY13 </w:t>
      </w:r>
      <w:r>
        <w:rPr/>
        <w:t>and </w:t>
      </w:r>
      <w:r>
        <w:rPr>
          <w:spacing w:val="-3"/>
        </w:rPr>
        <w:t>RY14</w:t>
      </w:r>
    </w:p>
    <w:p>
      <w:pPr>
        <w:pStyle w:val="BodyText"/>
        <w:spacing w:before="8"/>
      </w:pPr>
    </w:p>
    <w:p>
      <w:pPr>
        <w:pStyle w:val="BodyText"/>
        <w:spacing w:line="242" w:lineRule="auto"/>
        <w:ind w:left="652" w:right="130" w:hanging="540"/>
      </w:pPr>
      <w:r>
        <w:rPr>
          <w:b/>
          <w:spacing w:val="-3"/>
        </w:rPr>
        <w:t>Inpatient Admission </w:t>
      </w:r>
      <w:r>
        <w:rPr>
          <w:b/>
        </w:rPr>
        <w:t>— </w:t>
      </w:r>
      <w:r>
        <w:rPr/>
        <w:t>the </w:t>
      </w:r>
      <w:r>
        <w:rPr>
          <w:spacing w:val="-3"/>
        </w:rPr>
        <w:t>admission </w:t>
      </w:r>
      <w:r>
        <w:rPr/>
        <w:t>of a </w:t>
      </w:r>
      <w:r>
        <w:rPr>
          <w:spacing w:val="-3"/>
        </w:rPr>
        <w:t>Member </w:t>
      </w:r>
      <w:r>
        <w:rPr/>
        <w:t>to an </w:t>
      </w:r>
      <w:r>
        <w:rPr>
          <w:spacing w:val="-3"/>
        </w:rPr>
        <w:t>Acute Hospital </w:t>
      </w:r>
      <w:r>
        <w:rPr/>
        <w:t>for the </w:t>
      </w:r>
      <w:r>
        <w:rPr>
          <w:spacing w:val="-3"/>
        </w:rPr>
        <w:t>purpose </w:t>
      </w:r>
      <w:r>
        <w:rPr/>
        <w:t>of </w:t>
      </w:r>
      <w:r>
        <w:rPr>
          <w:spacing w:val="-3"/>
        </w:rPr>
        <w:t>receiving Inpatient Services </w:t>
      </w:r>
      <w:r>
        <w:rPr/>
        <w:t>in </w:t>
      </w:r>
      <w:r>
        <w:rPr>
          <w:spacing w:val="-3"/>
        </w:rPr>
        <w:t>that Hospital.</w:t>
      </w:r>
    </w:p>
    <w:p>
      <w:pPr>
        <w:pStyle w:val="BodyText"/>
        <w:spacing w:before="9"/>
      </w:pPr>
    </w:p>
    <w:p>
      <w:pPr>
        <w:pStyle w:val="BodyText"/>
        <w:spacing w:line="242" w:lineRule="auto"/>
        <w:ind w:left="652" w:right="103" w:hanging="540"/>
      </w:pPr>
      <w:r>
        <w:rPr>
          <w:b/>
          <w:spacing w:val="-3"/>
        </w:rPr>
        <w:t>Inpatient Services </w:t>
      </w:r>
      <w:r>
        <w:rPr>
          <w:b/>
        </w:rPr>
        <w:t>— </w:t>
      </w:r>
      <w:r>
        <w:rPr>
          <w:spacing w:val="-3"/>
        </w:rPr>
        <w:t>medical services, including behavioral health services, provided </w:t>
      </w:r>
      <w:r>
        <w:rPr/>
        <w:t>to a </w:t>
      </w:r>
      <w:r>
        <w:rPr>
          <w:spacing w:val="-4"/>
        </w:rPr>
        <w:t>Member </w:t>
      </w:r>
      <w:r>
        <w:rPr>
          <w:spacing w:val="-3"/>
        </w:rPr>
        <w:t>admitted </w:t>
      </w:r>
      <w:r>
        <w:rPr/>
        <w:t>to an </w:t>
      </w:r>
      <w:r>
        <w:rPr>
          <w:spacing w:val="-3"/>
        </w:rPr>
        <w:t>Acute Hospital. Payment rules regarding Inpatient Services </w:t>
      </w:r>
      <w:r>
        <w:rPr/>
        <w:t>are </w:t>
      </w:r>
      <w:r>
        <w:rPr>
          <w:spacing w:val="-3"/>
        </w:rPr>
        <w:t>found </w:t>
      </w:r>
      <w:r>
        <w:rPr/>
        <w:t>in 130 </w:t>
      </w:r>
      <w:r>
        <w:rPr>
          <w:spacing w:val="-3"/>
        </w:rPr>
        <w:t>CMR Parts </w:t>
      </w:r>
      <w:r>
        <w:rPr/>
        <w:t>415 and </w:t>
      </w:r>
      <w:r>
        <w:rPr>
          <w:spacing w:val="-3"/>
        </w:rPr>
        <w:t>450, </w:t>
      </w:r>
      <w:r>
        <w:rPr/>
        <w:t>the </w:t>
      </w:r>
      <w:r>
        <w:rPr>
          <w:spacing w:val="-3"/>
        </w:rPr>
        <w:t>regulations referenced therein, Appendix </w:t>
      </w:r>
      <w:r>
        <w:rPr/>
        <w:t>F to the </w:t>
      </w:r>
      <w:r>
        <w:rPr>
          <w:spacing w:val="-3"/>
        </w:rPr>
        <w:t>MassHealth Acute Inpatient Hospital Manual, MassHealth billing instructions, </w:t>
      </w:r>
      <w:r>
        <w:rPr/>
        <w:t>and </w:t>
      </w:r>
      <w:r>
        <w:rPr>
          <w:spacing w:val="-3"/>
        </w:rPr>
        <w:t>this RFA.</w:t>
      </w:r>
    </w:p>
    <w:p>
      <w:pPr>
        <w:pStyle w:val="BodyText"/>
        <w:spacing w:before="9"/>
      </w:pPr>
    </w:p>
    <w:p>
      <w:pPr>
        <w:pStyle w:val="BodyText"/>
        <w:spacing w:line="242" w:lineRule="auto"/>
        <w:ind w:left="652" w:right="184" w:hanging="540"/>
      </w:pPr>
      <w:r>
        <w:rPr>
          <w:b/>
          <w:spacing w:val="-3"/>
        </w:rPr>
        <w:t>Insurance Payment </w:t>
      </w:r>
      <w:r>
        <w:rPr>
          <w:b/>
        </w:rPr>
        <w:t>— </w:t>
      </w:r>
      <w:r>
        <w:rPr/>
        <w:t>a </w:t>
      </w:r>
      <w:r>
        <w:rPr>
          <w:spacing w:val="-3"/>
        </w:rPr>
        <w:t>payment received from </w:t>
      </w:r>
      <w:r>
        <w:rPr/>
        <w:t>any </w:t>
      </w:r>
      <w:r>
        <w:rPr>
          <w:spacing w:val="-3"/>
        </w:rPr>
        <w:t>entity </w:t>
      </w:r>
      <w:r>
        <w:rPr/>
        <w:t>or </w:t>
      </w:r>
      <w:r>
        <w:rPr>
          <w:spacing w:val="-3"/>
        </w:rPr>
        <w:t>individual legally responsible </w:t>
      </w:r>
      <w:r>
        <w:rPr/>
        <w:t>for </w:t>
      </w:r>
      <w:r>
        <w:rPr>
          <w:spacing w:val="-3"/>
        </w:rPr>
        <w:t>paying </w:t>
      </w:r>
      <w:r>
        <w:rPr/>
        <w:t>all or </w:t>
      </w:r>
      <w:r>
        <w:rPr>
          <w:spacing w:val="-3"/>
        </w:rPr>
        <w:t>part </w:t>
      </w:r>
      <w:r>
        <w:rPr/>
        <w:t>of the </w:t>
      </w:r>
      <w:r>
        <w:rPr>
          <w:spacing w:val="-3"/>
        </w:rPr>
        <w:t>medical claims </w:t>
      </w:r>
      <w:r>
        <w:rPr/>
        <w:t>of </w:t>
      </w:r>
      <w:r>
        <w:rPr>
          <w:spacing w:val="-3"/>
        </w:rPr>
        <w:t>MassHealth Members. Sources </w:t>
      </w:r>
      <w:r>
        <w:rPr/>
        <w:t>of </w:t>
      </w:r>
      <w:r>
        <w:rPr>
          <w:spacing w:val="-3"/>
        </w:rPr>
        <w:t>payments include, </w:t>
      </w:r>
      <w:r>
        <w:rPr/>
        <w:t>but are </w:t>
      </w:r>
      <w:r>
        <w:rPr>
          <w:spacing w:val="-3"/>
        </w:rPr>
        <w:t>not limited </w:t>
      </w:r>
      <w:r>
        <w:rPr/>
        <w:t>to: </w:t>
      </w:r>
      <w:r>
        <w:rPr>
          <w:spacing w:val="-4"/>
        </w:rPr>
        <w:t>commercial </w:t>
      </w:r>
      <w:r>
        <w:rPr>
          <w:spacing w:val="-3"/>
        </w:rPr>
        <w:t>health insurers, Medicare, MCOs, personal injury insurers, </w:t>
      </w:r>
      <w:r>
        <w:rPr>
          <w:spacing w:val="-4"/>
        </w:rPr>
        <w:t>automobile </w:t>
      </w:r>
      <w:r>
        <w:rPr>
          <w:spacing w:val="-3"/>
        </w:rPr>
        <w:t>insurers, </w:t>
      </w:r>
      <w:r>
        <w:rPr/>
        <w:t>and </w:t>
      </w:r>
      <w:r>
        <w:rPr>
          <w:spacing w:val="-3"/>
        </w:rPr>
        <w:t>Workers’ </w:t>
      </w:r>
      <w:r>
        <w:rPr>
          <w:spacing w:val="-4"/>
        </w:rPr>
        <w:t>Compensation.</w:t>
      </w:r>
    </w:p>
    <w:p>
      <w:pPr>
        <w:pStyle w:val="BodyText"/>
        <w:spacing w:before="9"/>
      </w:pPr>
    </w:p>
    <w:p>
      <w:pPr>
        <w:pStyle w:val="BodyText"/>
        <w:spacing w:line="242" w:lineRule="auto"/>
        <w:ind w:left="652" w:right="217" w:hanging="540"/>
      </w:pPr>
      <w:r>
        <w:rPr>
          <w:b/>
          <w:spacing w:val="-3"/>
        </w:rPr>
        <w:t>Liability </w:t>
      </w:r>
      <w:r>
        <w:rPr>
          <w:b/>
        </w:rPr>
        <w:t>— </w:t>
      </w:r>
      <w:r>
        <w:rPr/>
        <w:t>the </w:t>
      </w:r>
      <w:r>
        <w:rPr>
          <w:spacing w:val="-3"/>
        </w:rPr>
        <w:t>obligation </w:t>
      </w:r>
      <w:r>
        <w:rPr/>
        <w:t>of an </w:t>
      </w:r>
      <w:r>
        <w:rPr>
          <w:spacing w:val="-3"/>
        </w:rPr>
        <w:t>individual </w:t>
      </w:r>
      <w:r>
        <w:rPr/>
        <w:t>to </w:t>
      </w:r>
      <w:r>
        <w:rPr>
          <w:spacing w:val="-3"/>
        </w:rPr>
        <w:t>pay, pursuant </w:t>
      </w:r>
      <w:r>
        <w:rPr/>
        <w:t>to the </w:t>
      </w:r>
      <w:r>
        <w:rPr>
          <w:spacing w:val="-3"/>
        </w:rPr>
        <w:t>individual’s Third-Party Insurance, for </w:t>
      </w:r>
      <w:r>
        <w:rPr/>
        <w:t>the </w:t>
      </w:r>
      <w:r>
        <w:rPr>
          <w:spacing w:val="-3"/>
        </w:rPr>
        <w:t>services </w:t>
      </w:r>
      <w:r>
        <w:rPr/>
        <w:t>or </w:t>
      </w:r>
      <w:r>
        <w:rPr>
          <w:spacing w:val="-3"/>
        </w:rPr>
        <w:t>items delivered (i.e., Coinsurance, Copayment </w:t>
      </w:r>
      <w:r>
        <w:rPr/>
        <w:t>or </w:t>
      </w:r>
      <w:r>
        <w:rPr>
          <w:spacing w:val="-3"/>
        </w:rPr>
        <w:t>Deductible).</w:t>
      </w:r>
    </w:p>
    <w:p>
      <w:pPr>
        <w:pStyle w:val="BodyText"/>
        <w:spacing w:before="8"/>
      </w:pPr>
    </w:p>
    <w:p>
      <w:pPr>
        <w:pStyle w:val="BodyText"/>
        <w:spacing w:line="244" w:lineRule="auto"/>
        <w:ind w:left="652" w:right="144" w:hanging="540"/>
      </w:pPr>
      <w:r>
        <w:rPr>
          <w:b/>
          <w:spacing w:val="-3"/>
        </w:rPr>
        <w:t>Managed Care Organization (MCO) </w:t>
      </w:r>
      <w:r>
        <w:rPr>
          <w:b/>
        </w:rPr>
        <w:t>— </w:t>
      </w:r>
      <w:r>
        <w:rPr/>
        <w:t>any </w:t>
      </w:r>
      <w:r>
        <w:rPr>
          <w:spacing w:val="-3"/>
        </w:rPr>
        <w:t>entity with which EOHHS contracts </w:t>
      </w:r>
      <w:r>
        <w:rPr/>
        <w:t>to </w:t>
      </w:r>
      <w:r>
        <w:rPr>
          <w:spacing w:val="-3"/>
        </w:rPr>
        <w:t>provide </w:t>
      </w:r>
      <w:r>
        <w:rPr>
          <w:spacing w:val="-4"/>
        </w:rPr>
        <w:t>Primary </w:t>
      </w:r>
      <w:r>
        <w:rPr>
          <w:spacing w:val="-3"/>
        </w:rPr>
        <w:t>Care </w:t>
      </w:r>
      <w:r>
        <w:rPr/>
        <w:t>and </w:t>
      </w:r>
      <w:r>
        <w:rPr>
          <w:spacing w:val="-3"/>
        </w:rPr>
        <w:t>certain other medical services, including behavioral health services, </w:t>
      </w:r>
      <w:r>
        <w:rPr/>
        <w:t>to </w:t>
      </w:r>
      <w:r>
        <w:rPr>
          <w:spacing w:val="-3"/>
        </w:rPr>
        <w:t>Members </w:t>
      </w:r>
      <w:r>
        <w:rPr/>
        <w:t>on a </w:t>
      </w:r>
      <w:r>
        <w:rPr>
          <w:spacing w:val="-3"/>
        </w:rPr>
        <w:t>capitated basis </w:t>
      </w:r>
      <w:r>
        <w:rPr/>
        <w:t>and </w:t>
      </w:r>
      <w:r>
        <w:rPr>
          <w:spacing w:val="-3"/>
        </w:rPr>
        <w:t>which meets </w:t>
      </w:r>
      <w:r>
        <w:rPr/>
        <w:t>the </w:t>
      </w:r>
      <w:r>
        <w:rPr>
          <w:spacing w:val="-3"/>
        </w:rPr>
        <w:t>definition </w:t>
      </w:r>
      <w:r>
        <w:rPr/>
        <w:t>of an MCO as set </w:t>
      </w:r>
      <w:r>
        <w:rPr>
          <w:spacing w:val="-3"/>
        </w:rPr>
        <w:t>forth </w:t>
      </w:r>
      <w:r>
        <w:rPr/>
        <w:t>in 42 CFR </w:t>
      </w:r>
      <w:r>
        <w:rPr>
          <w:spacing w:val="-3"/>
        </w:rPr>
        <w:t>Part 438.2. MCOs also include Senior Care Organizations (SCOs) </w:t>
      </w:r>
      <w:r>
        <w:rPr/>
        <w:t>and </w:t>
      </w:r>
      <w:r>
        <w:rPr>
          <w:spacing w:val="-3"/>
        </w:rPr>
        <w:t>CarePlus MCOs. </w:t>
      </w:r>
      <w:r>
        <w:rPr/>
        <w:t>In </w:t>
      </w:r>
      <w:r>
        <w:rPr>
          <w:spacing w:val="-3"/>
        </w:rPr>
        <w:t>addition, MCOs include </w:t>
      </w:r>
      <w:r>
        <w:rPr/>
        <w:t>One</w:t>
      </w:r>
      <w:r>
        <w:rPr>
          <w:spacing w:val="-5"/>
        </w:rPr>
        <w:t> </w:t>
      </w:r>
      <w:r>
        <w:rPr>
          <w:spacing w:val="-3"/>
        </w:rPr>
        <w:t>Care</w:t>
      </w:r>
      <w:r>
        <w:rPr>
          <w:spacing w:val="-5"/>
        </w:rPr>
        <w:t> </w:t>
      </w:r>
      <w:r>
        <w:rPr>
          <w:spacing w:val="-3"/>
        </w:rPr>
        <w:t>plans</w:t>
      </w:r>
      <w:r>
        <w:rPr>
          <w:spacing w:val="-5"/>
        </w:rPr>
        <w:t> </w:t>
      </w:r>
      <w:r>
        <w:rPr/>
        <w:t>for</w:t>
      </w:r>
      <w:r>
        <w:rPr>
          <w:spacing w:val="-5"/>
        </w:rPr>
        <w:t> </w:t>
      </w:r>
      <w:r>
        <w:rPr/>
        <w:t>all</w:t>
      </w:r>
      <w:r>
        <w:rPr>
          <w:spacing w:val="-5"/>
        </w:rPr>
        <w:t> </w:t>
      </w:r>
      <w:r>
        <w:rPr>
          <w:spacing w:val="-3"/>
        </w:rPr>
        <w:t>purposes</w:t>
      </w:r>
      <w:r>
        <w:rPr>
          <w:spacing w:val="-5"/>
        </w:rPr>
        <w:t> </w:t>
      </w:r>
      <w:r>
        <w:rPr>
          <w:spacing w:val="-3"/>
        </w:rPr>
        <w:t>under</w:t>
      </w:r>
      <w:r>
        <w:rPr>
          <w:spacing w:val="-5"/>
        </w:rPr>
        <w:t> </w:t>
      </w:r>
      <w:r>
        <w:rPr>
          <w:spacing w:val="-3"/>
        </w:rPr>
        <w:t>this</w:t>
      </w:r>
      <w:r>
        <w:rPr>
          <w:spacing w:val="-5"/>
        </w:rPr>
        <w:t> </w:t>
      </w:r>
      <w:r>
        <w:rPr>
          <w:spacing w:val="-3"/>
        </w:rPr>
        <w:t>RFA,</w:t>
      </w:r>
      <w:r>
        <w:rPr>
          <w:spacing w:val="-5"/>
        </w:rPr>
        <w:t> </w:t>
      </w:r>
      <w:r>
        <w:rPr>
          <w:spacing w:val="-3"/>
        </w:rPr>
        <w:t>except</w:t>
      </w:r>
      <w:r>
        <w:rPr>
          <w:spacing w:val="-5"/>
        </w:rPr>
        <w:t> </w:t>
      </w:r>
      <w:r>
        <w:rPr/>
        <w:t>for</w:t>
      </w:r>
      <w:r>
        <w:rPr>
          <w:spacing w:val="-7"/>
        </w:rPr>
        <w:t> </w:t>
      </w:r>
      <w:r>
        <w:rPr>
          <w:b/>
          <w:spacing w:val="-3"/>
        </w:rPr>
        <w:t>Section</w:t>
      </w:r>
      <w:r>
        <w:rPr>
          <w:b/>
          <w:spacing w:val="-5"/>
        </w:rPr>
        <w:t> </w:t>
      </w:r>
      <w:r>
        <w:rPr>
          <w:b/>
          <w:spacing w:val="-3"/>
        </w:rPr>
        <w:t>4.A.2</w:t>
      </w:r>
      <w:r>
        <w:rPr>
          <w:b/>
          <w:spacing w:val="-5"/>
        </w:rPr>
        <w:t> </w:t>
      </w:r>
      <w:r>
        <w:rPr/>
        <w:t>and</w:t>
      </w:r>
      <w:r>
        <w:rPr>
          <w:spacing w:val="-5"/>
        </w:rPr>
        <w:t> </w:t>
      </w:r>
      <w:r>
        <w:rPr>
          <w:b/>
          <w:spacing w:val="-3"/>
        </w:rPr>
        <w:t>Section</w:t>
      </w:r>
      <w:r>
        <w:rPr>
          <w:b/>
          <w:spacing w:val="-5"/>
        </w:rPr>
        <w:t> </w:t>
      </w:r>
      <w:r>
        <w:rPr>
          <w:b/>
        </w:rPr>
        <w:t>7</w:t>
      </w:r>
      <w:r>
        <w:rPr/>
        <w:t>.</w:t>
      </w:r>
      <w:r>
        <w:rPr>
          <w:spacing w:val="-5"/>
        </w:rPr>
        <w:t> </w:t>
      </w:r>
      <w:r>
        <w:rPr>
          <w:spacing w:val="-3"/>
        </w:rPr>
        <w:t>MCOs</w:t>
      </w:r>
      <w:r>
        <w:rPr>
          <w:spacing w:val="-5"/>
        </w:rPr>
        <w:t> </w:t>
      </w:r>
      <w:r>
        <w:rPr>
          <w:spacing w:val="-3"/>
        </w:rPr>
        <w:t>also contract with </w:t>
      </w:r>
      <w:r>
        <w:rPr/>
        <w:t>the </w:t>
      </w:r>
      <w:r>
        <w:rPr>
          <w:spacing w:val="-3"/>
        </w:rPr>
        <w:t>Connector </w:t>
      </w:r>
      <w:r>
        <w:rPr/>
        <w:t>to </w:t>
      </w:r>
      <w:r>
        <w:rPr>
          <w:spacing w:val="-3"/>
        </w:rPr>
        <w:t>provide services </w:t>
      </w:r>
      <w:r>
        <w:rPr/>
        <w:t>to </w:t>
      </w:r>
      <w:r>
        <w:rPr>
          <w:spacing w:val="-4"/>
        </w:rPr>
        <w:t>Commonwealth </w:t>
      </w:r>
      <w:r>
        <w:rPr>
          <w:spacing w:val="-3"/>
        </w:rPr>
        <w:t>Care</w:t>
      </w:r>
      <w:r>
        <w:rPr>
          <w:spacing w:val="-14"/>
        </w:rPr>
        <w:t> </w:t>
      </w:r>
      <w:r>
        <w:rPr>
          <w:spacing w:val="-3"/>
        </w:rPr>
        <w:t>enrollees.</w:t>
      </w:r>
    </w:p>
    <w:p>
      <w:pPr>
        <w:pStyle w:val="BodyText"/>
        <w:spacing w:before="5"/>
      </w:pPr>
    </w:p>
    <w:p>
      <w:pPr>
        <w:pStyle w:val="BodyText"/>
        <w:spacing w:line="242" w:lineRule="auto"/>
        <w:ind w:left="652" w:right="130" w:hanging="540"/>
      </w:pPr>
      <w:r>
        <w:rPr>
          <w:b/>
          <w:spacing w:val="-3"/>
        </w:rPr>
        <w:t>MassHealth </w:t>
      </w:r>
      <w:r>
        <w:rPr>
          <w:spacing w:val="-3"/>
        </w:rPr>
        <w:t>(also </w:t>
      </w:r>
      <w:r>
        <w:rPr>
          <w:b/>
          <w:spacing w:val="-3"/>
        </w:rPr>
        <w:t>Medicaid</w:t>
      </w:r>
      <w:r>
        <w:rPr>
          <w:spacing w:val="-3"/>
        </w:rPr>
        <w:t>) </w:t>
      </w:r>
      <w:r>
        <w:rPr>
          <w:b/>
        </w:rPr>
        <w:t>— </w:t>
      </w:r>
      <w:r>
        <w:rPr/>
        <w:t>the </w:t>
      </w:r>
      <w:r>
        <w:rPr>
          <w:spacing w:val="-3"/>
        </w:rPr>
        <w:t>Medical Assistance Program administered </w:t>
      </w:r>
      <w:r>
        <w:rPr/>
        <w:t>by </w:t>
      </w:r>
      <w:r>
        <w:rPr>
          <w:spacing w:val="-3"/>
        </w:rPr>
        <w:t>EOHHS </w:t>
      </w:r>
      <w:r>
        <w:rPr/>
        <w:t>to </w:t>
      </w:r>
      <w:r>
        <w:rPr>
          <w:spacing w:val="-3"/>
        </w:rPr>
        <w:t>furnish and </w:t>
      </w:r>
      <w:r>
        <w:rPr/>
        <w:t>pay for </w:t>
      </w:r>
      <w:r>
        <w:rPr>
          <w:spacing w:val="-3"/>
        </w:rPr>
        <w:t>medical services pursuant </w:t>
      </w:r>
      <w:r>
        <w:rPr/>
        <w:t>to </w:t>
      </w:r>
      <w:r>
        <w:rPr>
          <w:spacing w:val="-3"/>
        </w:rPr>
        <w:t>M.G.L. </w:t>
      </w:r>
      <w:r>
        <w:rPr/>
        <w:t>c. </w:t>
      </w:r>
      <w:r>
        <w:rPr>
          <w:spacing w:val="-3"/>
        </w:rPr>
        <w:t>118E </w:t>
      </w:r>
      <w:r>
        <w:rPr/>
        <w:t>and </w:t>
      </w:r>
      <w:r>
        <w:rPr>
          <w:spacing w:val="-3"/>
        </w:rPr>
        <w:t>Titles </w:t>
      </w:r>
      <w:r>
        <w:rPr/>
        <w:t>XIX and XXI of the </w:t>
      </w:r>
      <w:r>
        <w:rPr>
          <w:spacing w:val="-3"/>
        </w:rPr>
        <w:t>Social Security Act, </w:t>
      </w:r>
      <w:r>
        <w:rPr/>
        <w:t>and any </w:t>
      </w:r>
      <w:r>
        <w:rPr>
          <w:spacing w:val="-3"/>
        </w:rPr>
        <w:t>approved waivers </w:t>
      </w:r>
      <w:r>
        <w:rPr/>
        <w:t>of </w:t>
      </w:r>
      <w:r>
        <w:rPr>
          <w:spacing w:val="-3"/>
        </w:rPr>
        <w:t>such provisions.</w:t>
      </w:r>
    </w:p>
    <w:p>
      <w:pPr>
        <w:spacing w:after="0" w:line="242" w:lineRule="auto"/>
        <w:sectPr>
          <w:footerReference w:type="default" r:id="rId8"/>
          <w:pgSz w:w="12240" w:h="15840"/>
          <w:pgMar w:footer="744" w:header="0" w:top="1380" w:bottom="940" w:left="1040" w:right="980"/>
          <w:pgNumType w:start="11"/>
        </w:sectPr>
      </w:pPr>
    </w:p>
    <w:p>
      <w:pPr>
        <w:pStyle w:val="BodyText"/>
        <w:spacing w:line="242" w:lineRule="auto" w:before="65"/>
        <w:ind w:left="651" w:right="139" w:hanging="540"/>
      </w:pPr>
      <w:r>
        <w:rPr>
          <w:b/>
          <w:spacing w:val="-3"/>
        </w:rPr>
        <w:t>MassHealth Average Length </w:t>
      </w:r>
      <w:r>
        <w:rPr>
          <w:b/>
        </w:rPr>
        <w:t>of </w:t>
      </w:r>
      <w:r>
        <w:rPr>
          <w:b/>
          <w:spacing w:val="-3"/>
        </w:rPr>
        <w:t>Stay (ALOS) </w:t>
      </w:r>
      <w:r>
        <w:rPr/>
        <w:t>— the sum of </w:t>
      </w:r>
      <w:r>
        <w:rPr>
          <w:spacing w:val="-3"/>
        </w:rPr>
        <w:t>non-psychiatric inpatient days for MassHealth discharges from October </w:t>
      </w:r>
      <w:r>
        <w:rPr/>
        <w:t>1, </w:t>
      </w:r>
      <w:r>
        <w:rPr>
          <w:spacing w:val="-3"/>
        </w:rPr>
        <w:t>2011, through September </w:t>
      </w:r>
      <w:r>
        <w:rPr/>
        <w:t>30, </w:t>
      </w:r>
      <w:r>
        <w:rPr>
          <w:spacing w:val="-3"/>
        </w:rPr>
        <w:t>2012, </w:t>
      </w:r>
      <w:r>
        <w:rPr/>
        <w:t>as </w:t>
      </w:r>
      <w:r>
        <w:rPr>
          <w:spacing w:val="-3"/>
        </w:rPr>
        <w:t>determined utilizing MMIS paid claims where MassHealth </w:t>
      </w:r>
      <w:r>
        <w:rPr/>
        <w:t>is the </w:t>
      </w:r>
      <w:r>
        <w:rPr>
          <w:spacing w:val="-3"/>
        </w:rPr>
        <w:t>primary payer, including paid Outlier Days, divided by </w:t>
      </w:r>
      <w:r>
        <w:rPr/>
        <w:t>the </w:t>
      </w:r>
      <w:r>
        <w:rPr>
          <w:spacing w:val="-3"/>
        </w:rPr>
        <w:t>number </w:t>
      </w:r>
      <w:r>
        <w:rPr/>
        <w:t>of </w:t>
      </w:r>
      <w:r>
        <w:rPr>
          <w:spacing w:val="-3"/>
        </w:rPr>
        <w:t>discharges using </w:t>
      </w:r>
      <w:r>
        <w:rPr/>
        <w:t>the </w:t>
      </w:r>
      <w:r>
        <w:rPr>
          <w:spacing w:val="-3"/>
        </w:rPr>
        <w:t>casemix data residing </w:t>
      </w:r>
      <w:r>
        <w:rPr/>
        <w:t>in </w:t>
      </w:r>
      <w:r>
        <w:rPr>
          <w:spacing w:val="-3"/>
        </w:rPr>
        <w:t>MMIS </w:t>
      </w:r>
      <w:r>
        <w:rPr/>
        <w:t>as of May 11, </w:t>
      </w:r>
      <w:r>
        <w:rPr>
          <w:spacing w:val="-3"/>
        </w:rPr>
        <w:t>2013.</w:t>
      </w:r>
    </w:p>
    <w:p>
      <w:pPr>
        <w:pStyle w:val="BodyText"/>
        <w:spacing w:before="9"/>
      </w:pPr>
    </w:p>
    <w:p>
      <w:pPr>
        <w:pStyle w:val="BodyText"/>
        <w:spacing w:line="242" w:lineRule="auto"/>
        <w:ind w:left="651" w:right="139" w:hanging="540"/>
      </w:pPr>
      <w:r>
        <w:rPr>
          <w:b/>
          <w:spacing w:val="-3"/>
        </w:rPr>
        <w:t>Medicaid Management Information System (MMIS) </w:t>
      </w:r>
      <w:r>
        <w:rPr/>
        <w:t>— the </w:t>
      </w:r>
      <w:r>
        <w:rPr>
          <w:spacing w:val="-3"/>
        </w:rPr>
        <w:t>state-operated system </w:t>
      </w:r>
      <w:r>
        <w:rPr/>
        <w:t>of </w:t>
      </w:r>
      <w:r>
        <w:rPr>
          <w:spacing w:val="-3"/>
        </w:rPr>
        <w:t>automated and manual processes, certified </w:t>
      </w:r>
      <w:r>
        <w:rPr/>
        <w:t>by </w:t>
      </w:r>
      <w:r>
        <w:rPr>
          <w:spacing w:val="-3"/>
        </w:rPr>
        <w:t>CMS, that meets </w:t>
      </w:r>
      <w:r>
        <w:rPr/>
        <w:t>the </w:t>
      </w:r>
      <w:r>
        <w:rPr>
          <w:spacing w:val="-3"/>
        </w:rPr>
        <w:t>federal guidelines </w:t>
      </w:r>
      <w:r>
        <w:rPr/>
        <w:t>in </w:t>
      </w:r>
      <w:r>
        <w:rPr>
          <w:spacing w:val="-3"/>
        </w:rPr>
        <w:t>Part </w:t>
      </w:r>
      <w:r>
        <w:rPr/>
        <w:t>11 of the </w:t>
      </w:r>
      <w:r>
        <w:rPr>
          <w:spacing w:val="-3"/>
        </w:rPr>
        <w:t>State Medicaid Manual, used </w:t>
      </w:r>
      <w:r>
        <w:rPr/>
        <w:t>to </w:t>
      </w:r>
      <w:r>
        <w:rPr>
          <w:spacing w:val="-3"/>
        </w:rPr>
        <w:t>process Medicaid claims from providers </w:t>
      </w:r>
      <w:r>
        <w:rPr/>
        <w:t>of </w:t>
      </w:r>
      <w:r>
        <w:rPr>
          <w:spacing w:val="-3"/>
        </w:rPr>
        <w:t>medical care </w:t>
      </w:r>
      <w:r>
        <w:rPr/>
        <w:t>and </w:t>
      </w:r>
      <w:r>
        <w:rPr>
          <w:spacing w:val="-3"/>
        </w:rPr>
        <w:t>services furnished </w:t>
      </w:r>
      <w:r>
        <w:rPr/>
        <w:t>to </w:t>
      </w:r>
      <w:r>
        <w:rPr>
          <w:spacing w:val="-3"/>
        </w:rPr>
        <w:t>Members, </w:t>
      </w:r>
      <w:r>
        <w:rPr/>
        <w:t>and to </w:t>
      </w:r>
      <w:r>
        <w:rPr>
          <w:spacing w:val="-3"/>
        </w:rPr>
        <w:t>retrieve </w:t>
      </w:r>
      <w:r>
        <w:rPr/>
        <w:t>and </w:t>
      </w:r>
      <w:r>
        <w:rPr>
          <w:spacing w:val="-3"/>
        </w:rPr>
        <w:t>produce service utilization </w:t>
      </w:r>
      <w:r>
        <w:rPr/>
        <w:t>and </w:t>
      </w:r>
      <w:r>
        <w:rPr>
          <w:spacing w:val="-4"/>
        </w:rPr>
        <w:t>management information </w:t>
      </w:r>
      <w:r>
        <w:rPr/>
        <w:t>for </w:t>
      </w:r>
      <w:r>
        <w:rPr>
          <w:spacing w:val="-3"/>
        </w:rPr>
        <w:t>program administration </w:t>
      </w:r>
      <w:r>
        <w:rPr/>
        <w:t>and </w:t>
      </w:r>
      <w:r>
        <w:rPr>
          <w:spacing w:val="-3"/>
        </w:rPr>
        <w:t>audit purposes.</w:t>
      </w:r>
    </w:p>
    <w:p>
      <w:pPr>
        <w:pStyle w:val="BodyText"/>
        <w:spacing w:before="7"/>
      </w:pPr>
    </w:p>
    <w:p>
      <w:pPr>
        <w:pStyle w:val="BodyText"/>
        <w:spacing w:line="242" w:lineRule="auto" w:before="1"/>
        <w:ind w:left="651" w:right="329" w:hanging="540"/>
      </w:pPr>
      <w:r>
        <w:rPr>
          <w:b/>
          <w:spacing w:val="-3"/>
        </w:rPr>
        <w:t>Member </w:t>
      </w:r>
      <w:r>
        <w:rPr>
          <w:b/>
        </w:rPr>
        <w:t>— </w:t>
      </w:r>
      <w:r>
        <w:rPr/>
        <w:t>a </w:t>
      </w:r>
      <w:r>
        <w:rPr>
          <w:spacing w:val="-3"/>
        </w:rPr>
        <w:t>person determined </w:t>
      </w:r>
      <w:r>
        <w:rPr/>
        <w:t>by </w:t>
      </w:r>
      <w:r>
        <w:rPr>
          <w:spacing w:val="-3"/>
        </w:rPr>
        <w:t>EOHHS </w:t>
      </w:r>
      <w:r>
        <w:rPr/>
        <w:t>to be </w:t>
      </w:r>
      <w:r>
        <w:rPr>
          <w:spacing w:val="-3"/>
        </w:rPr>
        <w:t>eligible </w:t>
      </w:r>
      <w:r>
        <w:rPr/>
        <w:t>for </w:t>
      </w:r>
      <w:r>
        <w:rPr>
          <w:spacing w:val="-3"/>
        </w:rPr>
        <w:t>medical assistance under </w:t>
      </w:r>
      <w:r>
        <w:rPr/>
        <w:t>the </w:t>
      </w:r>
      <w:r>
        <w:rPr>
          <w:spacing w:val="-3"/>
        </w:rPr>
        <w:t>MassHealth program.</w:t>
      </w:r>
    </w:p>
    <w:p>
      <w:pPr>
        <w:pStyle w:val="BodyText"/>
        <w:spacing w:before="8"/>
      </w:pPr>
    </w:p>
    <w:p>
      <w:pPr>
        <w:pStyle w:val="BodyText"/>
        <w:ind w:left="111"/>
      </w:pPr>
      <w:r>
        <w:rPr>
          <w:b/>
        </w:rPr>
        <w:t>Non-Acute Unit — </w:t>
      </w:r>
      <w:r>
        <w:rPr/>
        <w:t>a chronic care, rehabilitation, or skilled nursing facility unit within a Hospital.</w:t>
      </w:r>
    </w:p>
    <w:p>
      <w:pPr>
        <w:pStyle w:val="BodyText"/>
        <w:rPr>
          <w:sz w:val="25"/>
        </w:rPr>
      </w:pPr>
    </w:p>
    <w:p>
      <w:pPr>
        <w:pStyle w:val="BodyText"/>
        <w:spacing w:line="242" w:lineRule="auto"/>
        <w:ind w:left="651" w:right="139" w:hanging="540"/>
      </w:pPr>
      <w:r>
        <w:rPr>
          <w:b/>
          <w:spacing w:val="-3"/>
        </w:rPr>
        <w:t>Observation Services </w:t>
      </w:r>
      <w:r>
        <w:rPr>
          <w:b/>
        </w:rPr>
        <w:t>— </w:t>
      </w:r>
      <w:r>
        <w:rPr>
          <w:spacing w:val="-3"/>
        </w:rPr>
        <w:t>outpatient Hospital Services provided anywhere </w:t>
      </w:r>
      <w:r>
        <w:rPr/>
        <w:t>in an </w:t>
      </w:r>
      <w:r>
        <w:rPr>
          <w:spacing w:val="-3"/>
        </w:rPr>
        <w:t>Acute Hospital to evaluate </w:t>
      </w:r>
      <w:r>
        <w:rPr/>
        <w:t>a </w:t>
      </w:r>
      <w:r>
        <w:rPr>
          <w:spacing w:val="-3"/>
        </w:rPr>
        <w:t>Member’s condition </w:t>
      </w:r>
      <w:r>
        <w:rPr/>
        <w:t>and </w:t>
      </w:r>
      <w:r>
        <w:rPr>
          <w:spacing w:val="-3"/>
        </w:rPr>
        <w:t>determine </w:t>
      </w:r>
      <w:r>
        <w:rPr/>
        <w:t>the </w:t>
      </w:r>
      <w:r>
        <w:rPr>
          <w:spacing w:val="-3"/>
        </w:rPr>
        <w:t>need </w:t>
      </w:r>
      <w:r>
        <w:rPr/>
        <w:t>for </w:t>
      </w:r>
      <w:r>
        <w:rPr>
          <w:spacing w:val="-3"/>
        </w:rPr>
        <w:t>admission </w:t>
      </w:r>
      <w:r>
        <w:rPr/>
        <w:t>to an </w:t>
      </w:r>
      <w:r>
        <w:rPr>
          <w:spacing w:val="-3"/>
        </w:rPr>
        <w:t>Acute Hospital. Observation Services </w:t>
      </w:r>
      <w:r>
        <w:rPr/>
        <w:t>are </w:t>
      </w:r>
      <w:r>
        <w:rPr>
          <w:spacing w:val="-3"/>
        </w:rPr>
        <w:t>provided under </w:t>
      </w:r>
      <w:r>
        <w:rPr/>
        <w:t>the </w:t>
      </w:r>
      <w:r>
        <w:rPr>
          <w:spacing w:val="-3"/>
        </w:rPr>
        <w:t>order </w:t>
      </w:r>
      <w:r>
        <w:rPr/>
        <w:t>of a </w:t>
      </w:r>
      <w:r>
        <w:rPr>
          <w:spacing w:val="-3"/>
        </w:rPr>
        <w:t>physician, consist </w:t>
      </w:r>
      <w:r>
        <w:rPr/>
        <w:t>of the use of a bed </w:t>
      </w:r>
      <w:r>
        <w:rPr>
          <w:spacing w:val="-3"/>
        </w:rPr>
        <w:t>and intermittent monitoring </w:t>
      </w:r>
      <w:r>
        <w:rPr/>
        <w:t>by </w:t>
      </w:r>
      <w:r>
        <w:rPr>
          <w:spacing w:val="-3"/>
        </w:rPr>
        <w:t>professional licensed clinical staff, </w:t>
      </w:r>
      <w:r>
        <w:rPr/>
        <w:t>and </w:t>
      </w:r>
      <w:r>
        <w:rPr>
          <w:spacing w:val="-3"/>
        </w:rPr>
        <w:t>may </w:t>
      </w:r>
      <w:r>
        <w:rPr/>
        <w:t>be </w:t>
      </w:r>
      <w:r>
        <w:rPr>
          <w:spacing w:val="-3"/>
        </w:rPr>
        <w:t>provided for more than 24 hours. Payment rules regarding Observation Services </w:t>
      </w:r>
      <w:r>
        <w:rPr/>
        <w:t>are </w:t>
      </w:r>
      <w:r>
        <w:rPr>
          <w:spacing w:val="-3"/>
        </w:rPr>
        <w:t>found </w:t>
      </w:r>
      <w:r>
        <w:rPr/>
        <w:t>in 130 CMR </w:t>
      </w:r>
      <w:r>
        <w:rPr>
          <w:spacing w:val="-3"/>
        </w:rPr>
        <w:t>410.414, Appendix </w:t>
      </w:r>
      <w:r>
        <w:rPr/>
        <w:t>E to the </w:t>
      </w:r>
      <w:r>
        <w:rPr>
          <w:spacing w:val="-3"/>
        </w:rPr>
        <w:t>MassHealth Acute Outpatient Hospital Manual, MassHealth billing instructions, </w:t>
      </w:r>
      <w:r>
        <w:rPr/>
        <w:t>and </w:t>
      </w:r>
      <w:r>
        <w:rPr>
          <w:spacing w:val="-3"/>
        </w:rPr>
        <w:t>this  RFA.</w:t>
      </w:r>
    </w:p>
    <w:p>
      <w:pPr>
        <w:pStyle w:val="BodyText"/>
        <w:spacing w:before="9"/>
      </w:pPr>
    </w:p>
    <w:p>
      <w:pPr>
        <w:pStyle w:val="BodyText"/>
        <w:spacing w:line="242" w:lineRule="auto"/>
        <w:ind w:left="652" w:right="195" w:hanging="540"/>
      </w:pPr>
      <w:r>
        <w:rPr>
          <w:b/>
        </w:rPr>
        <w:t>One </w:t>
      </w:r>
      <w:r>
        <w:rPr>
          <w:b/>
          <w:spacing w:val="-3"/>
        </w:rPr>
        <w:t>Care: MassHealth plus Medicare (One Care plan) </w:t>
      </w:r>
      <w:r>
        <w:rPr/>
        <w:t>– a </w:t>
      </w:r>
      <w:r>
        <w:rPr>
          <w:spacing w:val="-3"/>
        </w:rPr>
        <w:t>health plan </w:t>
      </w:r>
      <w:r>
        <w:rPr/>
        <w:t>or </w:t>
      </w:r>
      <w:r>
        <w:rPr>
          <w:spacing w:val="-3"/>
        </w:rPr>
        <w:t>provider-based organization contracted with EOHHS </w:t>
      </w:r>
      <w:r>
        <w:rPr/>
        <w:t>and </w:t>
      </w:r>
      <w:r>
        <w:rPr>
          <w:spacing w:val="-3"/>
        </w:rPr>
        <w:t>CMS, </w:t>
      </w:r>
      <w:r>
        <w:rPr/>
        <w:t>and </w:t>
      </w:r>
      <w:r>
        <w:rPr>
          <w:spacing w:val="-3"/>
        </w:rPr>
        <w:t>accountable </w:t>
      </w:r>
      <w:r>
        <w:rPr/>
        <w:t>for </w:t>
      </w:r>
      <w:r>
        <w:rPr>
          <w:spacing w:val="-3"/>
        </w:rPr>
        <w:t>providing integrated care </w:t>
      </w:r>
      <w:r>
        <w:rPr/>
        <w:t>to </w:t>
      </w:r>
      <w:r>
        <w:rPr>
          <w:spacing w:val="-3"/>
        </w:rPr>
        <w:t>individuals age </w:t>
      </w:r>
      <w:r>
        <w:rPr/>
        <w:t>21 </w:t>
      </w:r>
      <w:r>
        <w:rPr>
          <w:spacing w:val="-3"/>
        </w:rPr>
        <w:t>through </w:t>
      </w:r>
      <w:r>
        <w:rPr/>
        <w:t>64 at the </w:t>
      </w:r>
      <w:r>
        <w:rPr>
          <w:spacing w:val="-3"/>
        </w:rPr>
        <w:t>time </w:t>
      </w:r>
      <w:r>
        <w:rPr/>
        <w:t>of </w:t>
      </w:r>
      <w:r>
        <w:rPr>
          <w:spacing w:val="-3"/>
        </w:rPr>
        <w:t>enrollment </w:t>
      </w:r>
      <w:r>
        <w:rPr/>
        <w:t>who are </w:t>
      </w:r>
      <w:r>
        <w:rPr>
          <w:spacing w:val="-3"/>
        </w:rPr>
        <w:t>eligible </w:t>
      </w:r>
      <w:r>
        <w:rPr/>
        <w:t>for </w:t>
      </w:r>
      <w:r>
        <w:rPr>
          <w:spacing w:val="-3"/>
        </w:rPr>
        <w:t>both Medicare </w:t>
      </w:r>
      <w:r>
        <w:rPr/>
        <w:t>and </w:t>
      </w:r>
      <w:r>
        <w:rPr>
          <w:spacing w:val="-3"/>
        </w:rPr>
        <w:t>MassHealth Standard </w:t>
      </w:r>
      <w:r>
        <w:rPr/>
        <w:t>or </w:t>
      </w:r>
      <w:r>
        <w:rPr>
          <w:spacing w:val="-4"/>
        </w:rPr>
        <w:t>CommonHealth </w:t>
      </w:r>
      <w:r>
        <w:rPr/>
        <w:t>and who do not </w:t>
      </w:r>
      <w:r>
        <w:rPr>
          <w:spacing w:val="-3"/>
        </w:rPr>
        <w:t>have </w:t>
      </w:r>
      <w:r>
        <w:rPr/>
        <w:t>any </w:t>
      </w:r>
      <w:r>
        <w:rPr>
          <w:spacing w:val="-3"/>
        </w:rPr>
        <w:t>other comprehensive public </w:t>
      </w:r>
      <w:r>
        <w:rPr/>
        <w:t>or </w:t>
      </w:r>
      <w:r>
        <w:rPr>
          <w:spacing w:val="-3"/>
        </w:rPr>
        <w:t>private health care coverage. </w:t>
      </w:r>
      <w:r>
        <w:rPr/>
        <w:t>A One </w:t>
      </w:r>
      <w:r>
        <w:rPr>
          <w:spacing w:val="-3"/>
        </w:rPr>
        <w:t>Care plan </w:t>
      </w:r>
      <w:r>
        <w:rPr/>
        <w:t>is </w:t>
      </w:r>
      <w:r>
        <w:rPr>
          <w:spacing w:val="-3"/>
        </w:rPr>
        <w:t>also known </w:t>
      </w:r>
      <w:r>
        <w:rPr/>
        <w:t>as an </w:t>
      </w:r>
      <w:r>
        <w:rPr>
          <w:spacing w:val="-3"/>
        </w:rPr>
        <w:t>Integrated Care Organization (ICO).</w:t>
      </w:r>
    </w:p>
    <w:p>
      <w:pPr>
        <w:pStyle w:val="BodyText"/>
        <w:spacing w:before="9"/>
      </w:pPr>
    </w:p>
    <w:p>
      <w:pPr>
        <w:pStyle w:val="BodyText"/>
        <w:spacing w:line="242" w:lineRule="auto"/>
        <w:ind w:left="652" w:right="301" w:hanging="540"/>
      </w:pPr>
      <w:r>
        <w:rPr>
          <w:b/>
          <w:spacing w:val="-3"/>
        </w:rPr>
        <w:t>Outlier </w:t>
      </w:r>
      <w:r>
        <w:rPr>
          <w:b/>
        </w:rPr>
        <w:t>Day — </w:t>
      </w:r>
      <w:r>
        <w:rPr>
          <w:spacing w:val="-3"/>
        </w:rPr>
        <w:t>each </w:t>
      </w:r>
      <w:r>
        <w:rPr/>
        <w:t>day </w:t>
      </w:r>
      <w:r>
        <w:rPr>
          <w:spacing w:val="-3"/>
        </w:rPr>
        <w:t>beyond </w:t>
      </w:r>
      <w:r>
        <w:rPr/>
        <w:t>20 </w:t>
      </w:r>
      <w:r>
        <w:rPr>
          <w:spacing w:val="-3"/>
        </w:rPr>
        <w:t>acute days, during </w:t>
      </w:r>
      <w:r>
        <w:rPr/>
        <w:t>a </w:t>
      </w:r>
      <w:r>
        <w:rPr>
          <w:spacing w:val="-3"/>
        </w:rPr>
        <w:t>single admission, </w:t>
      </w:r>
      <w:r>
        <w:rPr/>
        <w:t>for </w:t>
      </w:r>
      <w:r>
        <w:rPr>
          <w:spacing w:val="-3"/>
        </w:rPr>
        <w:t>which </w:t>
      </w:r>
      <w:r>
        <w:rPr/>
        <w:t>a </w:t>
      </w:r>
      <w:r>
        <w:rPr>
          <w:spacing w:val="-3"/>
        </w:rPr>
        <w:t>Member </w:t>
      </w:r>
      <w:r>
        <w:rPr>
          <w:spacing w:val="-4"/>
        </w:rPr>
        <w:t>remains </w:t>
      </w:r>
      <w:r>
        <w:rPr>
          <w:spacing w:val="-3"/>
        </w:rPr>
        <w:t>hospitalized </w:t>
      </w:r>
      <w:r>
        <w:rPr/>
        <w:t>at </w:t>
      </w:r>
      <w:r>
        <w:rPr>
          <w:spacing w:val="-3"/>
        </w:rPr>
        <w:t>acute status, other than </w:t>
      </w:r>
      <w:r>
        <w:rPr/>
        <w:t>in a </w:t>
      </w:r>
      <w:r>
        <w:rPr>
          <w:spacing w:val="-3"/>
        </w:rPr>
        <w:t>DMH-Licensed </w:t>
      </w:r>
      <w:r>
        <w:rPr/>
        <w:t>Bed or an </w:t>
      </w:r>
      <w:r>
        <w:rPr>
          <w:spacing w:val="-3"/>
        </w:rPr>
        <w:t>Excluded Unit.</w:t>
      </w:r>
    </w:p>
    <w:p>
      <w:pPr>
        <w:pStyle w:val="BodyText"/>
        <w:spacing w:before="7"/>
      </w:pPr>
    </w:p>
    <w:p>
      <w:pPr>
        <w:pStyle w:val="BodyText"/>
        <w:spacing w:line="242" w:lineRule="auto" w:before="1"/>
        <w:ind w:left="651" w:hanging="540"/>
      </w:pPr>
      <w:r>
        <w:rPr>
          <w:b/>
          <w:spacing w:val="-3"/>
        </w:rPr>
        <w:t>Outpatient Department </w:t>
      </w:r>
      <w:r>
        <w:rPr>
          <w:spacing w:val="-3"/>
        </w:rPr>
        <w:t>(also </w:t>
      </w:r>
      <w:r>
        <w:rPr>
          <w:b/>
          <w:spacing w:val="-3"/>
        </w:rPr>
        <w:t>Hospital Outpatient Department</w:t>
      </w:r>
      <w:r>
        <w:rPr>
          <w:spacing w:val="-3"/>
        </w:rPr>
        <w:t>) </w:t>
      </w:r>
      <w:r>
        <w:rPr>
          <w:b/>
        </w:rPr>
        <w:t>— </w:t>
      </w:r>
      <w:r>
        <w:rPr/>
        <w:t>a </w:t>
      </w:r>
      <w:r>
        <w:rPr>
          <w:spacing w:val="-3"/>
        </w:rPr>
        <w:t>department </w:t>
      </w:r>
      <w:r>
        <w:rPr/>
        <w:t>or </w:t>
      </w:r>
      <w:r>
        <w:rPr>
          <w:spacing w:val="-3"/>
        </w:rPr>
        <w:t>unit located </w:t>
      </w:r>
      <w:r>
        <w:rPr/>
        <w:t>at </w:t>
      </w:r>
      <w:r>
        <w:rPr>
          <w:spacing w:val="-3"/>
        </w:rPr>
        <w:t>the same site </w:t>
      </w:r>
      <w:r>
        <w:rPr/>
        <w:t>as the </w:t>
      </w:r>
      <w:r>
        <w:rPr>
          <w:spacing w:val="-3"/>
        </w:rPr>
        <w:t>Hospital’s inpatient facility, </w:t>
      </w:r>
      <w:r>
        <w:rPr/>
        <w:t>or at a </w:t>
      </w:r>
      <w:r>
        <w:rPr>
          <w:spacing w:val="-3"/>
        </w:rPr>
        <w:t>School-Based Health Center that operates under </w:t>
      </w:r>
      <w:r>
        <w:rPr/>
        <w:t>the </w:t>
      </w:r>
      <w:r>
        <w:rPr>
          <w:spacing w:val="-3"/>
        </w:rPr>
        <w:t>Hospital’s license </w:t>
      </w:r>
      <w:r>
        <w:rPr/>
        <w:t>and </w:t>
      </w:r>
      <w:r>
        <w:rPr>
          <w:spacing w:val="-3"/>
        </w:rPr>
        <w:t>provides services </w:t>
      </w:r>
      <w:r>
        <w:rPr/>
        <w:t>to </w:t>
      </w:r>
      <w:r>
        <w:rPr>
          <w:spacing w:val="-3"/>
        </w:rPr>
        <w:t>Members </w:t>
      </w:r>
      <w:r>
        <w:rPr/>
        <w:t>on an </w:t>
      </w:r>
      <w:r>
        <w:rPr>
          <w:spacing w:val="-3"/>
        </w:rPr>
        <w:t>ambulatory basis. Hospital Outpatient Departments include </w:t>
      </w:r>
      <w:r>
        <w:rPr/>
        <w:t>day </w:t>
      </w:r>
      <w:r>
        <w:rPr>
          <w:spacing w:val="-3"/>
        </w:rPr>
        <w:t>surgery units, Primary Care clinics, specialty clinics, </w:t>
      </w:r>
      <w:r>
        <w:rPr/>
        <w:t>and </w:t>
      </w:r>
      <w:r>
        <w:rPr>
          <w:spacing w:val="-4"/>
        </w:rPr>
        <w:t>Emergency Departments.</w:t>
      </w:r>
    </w:p>
    <w:p>
      <w:pPr>
        <w:pStyle w:val="BodyText"/>
        <w:spacing w:before="9"/>
      </w:pPr>
    </w:p>
    <w:p>
      <w:pPr>
        <w:pStyle w:val="BodyText"/>
        <w:spacing w:line="244" w:lineRule="auto"/>
        <w:ind w:left="651" w:right="329" w:hanging="540"/>
      </w:pPr>
      <w:r>
        <w:rPr>
          <w:b/>
          <w:spacing w:val="-3"/>
        </w:rPr>
        <w:t>Outpatient Services </w:t>
      </w:r>
      <w:r>
        <w:rPr>
          <w:spacing w:val="-3"/>
        </w:rPr>
        <w:t>(also </w:t>
      </w:r>
      <w:r>
        <w:rPr>
          <w:b/>
          <w:spacing w:val="-3"/>
        </w:rPr>
        <w:t>Outpatient Hospital Services</w:t>
      </w:r>
      <w:r>
        <w:rPr>
          <w:spacing w:val="-3"/>
        </w:rPr>
        <w:t>) </w:t>
      </w:r>
      <w:r>
        <w:rPr>
          <w:b/>
        </w:rPr>
        <w:t>— </w:t>
      </w:r>
      <w:r>
        <w:rPr>
          <w:spacing w:val="-3"/>
        </w:rPr>
        <w:t>medical services, including behavioral health services, provided </w:t>
      </w:r>
      <w:r>
        <w:rPr/>
        <w:t>to a </w:t>
      </w:r>
      <w:r>
        <w:rPr>
          <w:spacing w:val="-3"/>
        </w:rPr>
        <w:t>Member </w:t>
      </w:r>
      <w:r>
        <w:rPr/>
        <w:t>on an </w:t>
      </w:r>
      <w:r>
        <w:rPr>
          <w:spacing w:val="-3"/>
        </w:rPr>
        <w:t>outpatient basis, </w:t>
      </w:r>
      <w:r>
        <w:rPr/>
        <w:t>by or </w:t>
      </w:r>
      <w:r>
        <w:rPr>
          <w:spacing w:val="-3"/>
        </w:rPr>
        <w:t>under </w:t>
      </w:r>
      <w:r>
        <w:rPr/>
        <w:t>the </w:t>
      </w:r>
      <w:r>
        <w:rPr>
          <w:spacing w:val="-3"/>
        </w:rPr>
        <w:t>direction </w:t>
      </w:r>
      <w:r>
        <w:rPr/>
        <w:t>of a </w:t>
      </w:r>
      <w:r>
        <w:rPr>
          <w:spacing w:val="-3"/>
        </w:rPr>
        <w:t>physician </w:t>
      </w:r>
      <w:r>
        <w:rPr/>
        <w:t>or </w:t>
      </w:r>
      <w:r>
        <w:rPr>
          <w:spacing w:val="-3"/>
        </w:rPr>
        <w:t>dentist, </w:t>
      </w:r>
      <w:r>
        <w:rPr/>
        <w:t>in a </w:t>
      </w:r>
      <w:r>
        <w:rPr>
          <w:spacing w:val="-3"/>
        </w:rPr>
        <w:t>Hospital Outpatient Department </w:t>
      </w:r>
      <w:r>
        <w:rPr/>
        <w:t>or </w:t>
      </w:r>
      <w:r>
        <w:rPr>
          <w:spacing w:val="-3"/>
        </w:rPr>
        <w:t>Satellite Clinic </w:t>
      </w:r>
      <w:r>
        <w:rPr/>
        <w:t>for </w:t>
      </w:r>
      <w:r>
        <w:rPr>
          <w:spacing w:val="-3"/>
        </w:rPr>
        <w:t>which </w:t>
      </w:r>
      <w:r>
        <w:rPr/>
        <w:t>a </w:t>
      </w:r>
      <w:r>
        <w:rPr>
          <w:spacing w:val="-4"/>
        </w:rPr>
        <w:t>reimbursement </w:t>
      </w:r>
      <w:r>
        <w:rPr>
          <w:spacing w:val="-3"/>
        </w:rPr>
        <w:t>method </w:t>
      </w:r>
      <w:r>
        <w:rPr/>
        <w:t>is </w:t>
      </w:r>
      <w:r>
        <w:rPr>
          <w:spacing w:val="-3"/>
        </w:rPr>
        <w:t>specified </w:t>
      </w:r>
      <w:r>
        <w:rPr/>
        <w:t>in </w:t>
      </w:r>
      <w:r>
        <w:rPr>
          <w:b/>
          <w:spacing w:val="-3"/>
        </w:rPr>
        <w:t>Section 5.C</w:t>
      </w:r>
      <w:r>
        <w:rPr>
          <w:spacing w:val="-3"/>
        </w:rPr>
        <w:t>. Such services include, </w:t>
      </w:r>
      <w:r>
        <w:rPr/>
        <w:t>but are not </w:t>
      </w:r>
      <w:r>
        <w:rPr>
          <w:spacing w:val="-3"/>
        </w:rPr>
        <w:t>limited to, Emergency Services, Primary Care services, Observation Services, ancillary services, </w:t>
      </w:r>
      <w:r>
        <w:rPr/>
        <w:t>and </w:t>
      </w:r>
      <w:r>
        <w:rPr>
          <w:spacing w:val="-3"/>
        </w:rPr>
        <w:t>day surgery services. Payment rules regarding services provided </w:t>
      </w:r>
      <w:r>
        <w:rPr/>
        <w:t>to </w:t>
      </w:r>
      <w:r>
        <w:rPr>
          <w:spacing w:val="-3"/>
        </w:rPr>
        <w:t>Members </w:t>
      </w:r>
      <w:r>
        <w:rPr/>
        <w:t>on an </w:t>
      </w:r>
      <w:r>
        <w:rPr>
          <w:spacing w:val="-3"/>
        </w:rPr>
        <w:t>outpatient basis are</w:t>
      </w:r>
    </w:p>
    <w:p>
      <w:pPr>
        <w:spacing w:after="0" w:line="244" w:lineRule="auto"/>
        <w:sectPr>
          <w:pgSz w:w="12240" w:h="15840"/>
          <w:pgMar w:header="0" w:footer="744" w:top="1380" w:bottom="940" w:left="1040" w:right="960"/>
        </w:sectPr>
      </w:pPr>
    </w:p>
    <w:p>
      <w:pPr>
        <w:pStyle w:val="BodyText"/>
        <w:spacing w:line="242" w:lineRule="auto" w:before="61"/>
        <w:ind w:left="651" w:right="130"/>
      </w:pPr>
      <w:r>
        <w:rPr>
          <w:spacing w:val="-3"/>
        </w:rPr>
        <w:t>found </w:t>
      </w:r>
      <w:r>
        <w:rPr/>
        <w:t>in 130 CMR </w:t>
      </w:r>
      <w:r>
        <w:rPr>
          <w:spacing w:val="-3"/>
        </w:rPr>
        <w:t>Parts </w:t>
      </w:r>
      <w:r>
        <w:rPr/>
        <w:t>410 and </w:t>
      </w:r>
      <w:r>
        <w:rPr>
          <w:spacing w:val="-3"/>
        </w:rPr>
        <w:t>450, Appendix </w:t>
      </w:r>
      <w:r>
        <w:rPr/>
        <w:t>F to the </w:t>
      </w:r>
      <w:r>
        <w:rPr>
          <w:spacing w:val="-3"/>
        </w:rPr>
        <w:t>MassHealth Acute Outpatient Hospital Manual, MassHealth billing instructions, </w:t>
      </w:r>
      <w:r>
        <w:rPr/>
        <w:t>and </w:t>
      </w:r>
      <w:r>
        <w:rPr>
          <w:spacing w:val="-3"/>
        </w:rPr>
        <w:t>this RFA.</w:t>
      </w:r>
    </w:p>
    <w:p>
      <w:pPr>
        <w:pStyle w:val="BodyText"/>
        <w:spacing w:before="8"/>
      </w:pPr>
    </w:p>
    <w:p>
      <w:pPr>
        <w:spacing w:before="1"/>
        <w:ind w:left="111" w:right="0" w:firstLine="0"/>
        <w:jc w:val="left"/>
        <w:rPr>
          <w:sz w:val="24"/>
        </w:rPr>
      </w:pPr>
      <w:r>
        <w:rPr>
          <w:b/>
          <w:sz w:val="24"/>
        </w:rPr>
        <w:t>PAPE Base Year — </w:t>
      </w:r>
      <w:r>
        <w:rPr>
          <w:sz w:val="24"/>
        </w:rPr>
        <w:t>FY12, paid as of April 30, 2013.</w:t>
      </w:r>
    </w:p>
    <w:p>
      <w:pPr>
        <w:pStyle w:val="BodyText"/>
        <w:rPr>
          <w:sz w:val="25"/>
        </w:rPr>
      </w:pPr>
    </w:p>
    <w:p>
      <w:pPr>
        <w:spacing w:line="247" w:lineRule="auto" w:before="0"/>
        <w:ind w:left="651" w:right="130" w:hanging="540"/>
        <w:jc w:val="left"/>
        <w:rPr>
          <w:sz w:val="24"/>
        </w:rPr>
      </w:pPr>
      <w:r>
        <w:rPr>
          <w:b/>
          <w:spacing w:val="-3"/>
          <w:sz w:val="24"/>
        </w:rPr>
        <w:t>PAPE Covered Services </w:t>
      </w:r>
      <w:r>
        <w:rPr>
          <w:sz w:val="24"/>
        </w:rPr>
        <w:t>— </w:t>
      </w:r>
      <w:r>
        <w:rPr>
          <w:spacing w:val="-3"/>
          <w:sz w:val="24"/>
        </w:rPr>
        <w:t>MassHealth-covered Outpatient Services provided </w:t>
      </w:r>
      <w:r>
        <w:rPr>
          <w:sz w:val="24"/>
        </w:rPr>
        <w:t>by </w:t>
      </w:r>
      <w:r>
        <w:rPr>
          <w:spacing w:val="-3"/>
          <w:sz w:val="24"/>
        </w:rPr>
        <w:t>Hospital Outpatient Departments </w:t>
      </w:r>
      <w:r>
        <w:rPr>
          <w:sz w:val="24"/>
        </w:rPr>
        <w:t>or </w:t>
      </w:r>
      <w:r>
        <w:rPr>
          <w:spacing w:val="-3"/>
          <w:sz w:val="24"/>
        </w:rPr>
        <w:t>Satellite Clinics, except those services described </w:t>
      </w:r>
      <w:r>
        <w:rPr>
          <w:sz w:val="24"/>
        </w:rPr>
        <w:t>in </w:t>
      </w:r>
      <w:r>
        <w:rPr>
          <w:b/>
          <w:spacing w:val="-3"/>
          <w:sz w:val="24"/>
        </w:rPr>
        <w:t>Section </w:t>
      </w:r>
      <w:r>
        <w:rPr>
          <w:b/>
          <w:sz w:val="24"/>
        </w:rPr>
        <w:t>4.C </w:t>
      </w:r>
      <w:r>
        <w:rPr>
          <w:sz w:val="24"/>
        </w:rPr>
        <w:t>and </w:t>
      </w:r>
      <w:r>
        <w:rPr>
          <w:b/>
          <w:spacing w:val="-3"/>
          <w:sz w:val="24"/>
        </w:rPr>
        <w:t>Sections 5.C.3 </w:t>
      </w:r>
      <w:r>
        <w:rPr>
          <w:spacing w:val="-3"/>
          <w:sz w:val="24"/>
        </w:rPr>
        <w:t>through </w:t>
      </w:r>
      <w:r>
        <w:rPr>
          <w:b/>
          <w:spacing w:val="-3"/>
          <w:sz w:val="24"/>
        </w:rPr>
        <w:t>5.C.8</w:t>
      </w:r>
      <w:r>
        <w:rPr>
          <w:spacing w:val="-3"/>
          <w:sz w:val="24"/>
        </w:rPr>
        <w:t>.</w:t>
      </w:r>
    </w:p>
    <w:p>
      <w:pPr>
        <w:pStyle w:val="BodyText"/>
        <w:spacing w:before="3"/>
      </w:pPr>
    </w:p>
    <w:p>
      <w:pPr>
        <w:pStyle w:val="BodyText"/>
        <w:spacing w:line="242" w:lineRule="auto"/>
        <w:ind w:left="651" w:right="130" w:hanging="540"/>
      </w:pPr>
      <w:r>
        <w:rPr>
          <w:b/>
          <w:spacing w:val="-3"/>
        </w:rPr>
        <w:t>Pass-Through Costs </w:t>
      </w:r>
      <w:r>
        <w:rPr>
          <w:b/>
        </w:rPr>
        <w:t>— </w:t>
      </w:r>
      <w:r>
        <w:rPr>
          <w:spacing w:val="-3"/>
        </w:rPr>
        <w:t>organ acquisition </w:t>
      </w:r>
      <w:r>
        <w:rPr/>
        <w:t>and </w:t>
      </w:r>
      <w:r>
        <w:rPr>
          <w:spacing w:val="-3"/>
        </w:rPr>
        <w:t>malpractice costs that </w:t>
      </w:r>
      <w:r>
        <w:rPr/>
        <w:t>are </w:t>
      </w:r>
      <w:r>
        <w:rPr>
          <w:spacing w:val="-3"/>
        </w:rPr>
        <w:t>paid </w:t>
      </w:r>
      <w:r>
        <w:rPr/>
        <w:t>on a </w:t>
      </w:r>
      <w:r>
        <w:rPr>
          <w:spacing w:val="-4"/>
        </w:rPr>
        <w:t>cost-reimbursement </w:t>
      </w:r>
      <w:r>
        <w:rPr>
          <w:spacing w:val="-3"/>
        </w:rPr>
        <w:t>basis </w:t>
      </w:r>
      <w:r>
        <w:rPr/>
        <w:t>and are </w:t>
      </w:r>
      <w:r>
        <w:rPr>
          <w:spacing w:val="-3"/>
        </w:rPr>
        <w:t>added </w:t>
      </w:r>
      <w:r>
        <w:rPr/>
        <w:t>to the </w:t>
      </w:r>
      <w:r>
        <w:rPr>
          <w:spacing w:val="-3"/>
        </w:rPr>
        <w:t>Hospital-specific standard payment amount </w:t>
      </w:r>
      <w:r>
        <w:rPr/>
        <w:t>per </w:t>
      </w:r>
      <w:r>
        <w:rPr>
          <w:spacing w:val="-3"/>
        </w:rPr>
        <w:t>discharge.</w:t>
      </w:r>
    </w:p>
    <w:p>
      <w:pPr>
        <w:pStyle w:val="BodyText"/>
        <w:spacing w:before="9"/>
      </w:pPr>
    </w:p>
    <w:p>
      <w:pPr>
        <w:pStyle w:val="BodyText"/>
        <w:ind w:left="111"/>
      </w:pPr>
      <w:r>
        <w:rPr>
          <w:b/>
        </w:rPr>
        <w:t>Patient </w:t>
      </w:r>
      <w:r>
        <w:rPr/>
        <w:t>— a person receiving health care services from a hospital.</w:t>
      </w:r>
    </w:p>
    <w:p>
      <w:pPr>
        <w:pStyle w:val="BodyText"/>
        <w:spacing w:before="5"/>
        <w:rPr>
          <w:sz w:val="21"/>
        </w:rPr>
      </w:pPr>
    </w:p>
    <w:p>
      <w:pPr>
        <w:pStyle w:val="BodyText"/>
        <w:spacing w:line="242" w:lineRule="auto"/>
        <w:ind w:left="659" w:right="130" w:hanging="548"/>
      </w:pPr>
      <w:r>
        <w:rPr>
          <w:b/>
          <w:spacing w:val="-3"/>
        </w:rPr>
        <w:t>Pay-for-Performance Program </w:t>
      </w:r>
      <w:r>
        <w:rPr>
          <w:b/>
        </w:rPr>
        <w:t>for </w:t>
      </w:r>
      <w:r>
        <w:rPr>
          <w:b/>
          <w:spacing w:val="-3"/>
        </w:rPr>
        <w:t>Acute Hospitals (P4P) </w:t>
      </w:r>
      <w:r>
        <w:rPr/>
        <w:t>— </w:t>
      </w:r>
      <w:r>
        <w:rPr>
          <w:spacing w:val="-3"/>
        </w:rPr>
        <w:t>MassHealth’s method </w:t>
      </w:r>
      <w:r>
        <w:rPr/>
        <w:t>for </w:t>
      </w:r>
      <w:r>
        <w:rPr>
          <w:spacing w:val="-3"/>
        </w:rPr>
        <w:t>quality scoring </w:t>
      </w:r>
      <w:r>
        <w:rPr/>
        <w:t>and </w:t>
      </w:r>
      <w:r>
        <w:rPr>
          <w:spacing w:val="-3"/>
        </w:rPr>
        <w:t>converting quality scores </w:t>
      </w:r>
      <w:r>
        <w:rPr/>
        <w:t>to </w:t>
      </w:r>
      <w:r>
        <w:rPr>
          <w:spacing w:val="-3"/>
        </w:rPr>
        <w:t>rate payments contingent upon Hospital adherence </w:t>
      </w:r>
      <w:r>
        <w:rPr/>
        <w:t>to </w:t>
      </w:r>
      <w:r>
        <w:rPr>
          <w:spacing w:val="-3"/>
        </w:rPr>
        <w:t>quality standards </w:t>
      </w:r>
      <w:r>
        <w:rPr/>
        <w:t>and </w:t>
      </w:r>
      <w:r>
        <w:rPr>
          <w:spacing w:val="-3"/>
        </w:rPr>
        <w:t>achievement </w:t>
      </w:r>
      <w:r>
        <w:rPr/>
        <w:t>of </w:t>
      </w:r>
      <w:r>
        <w:rPr>
          <w:spacing w:val="-3"/>
        </w:rPr>
        <w:t>performance thresholds </w:t>
      </w:r>
      <w:r>
        <w:rPr/>
        <w:t>and </w:t>
      </w:r>
      <w:r>
        <w:rPr>
          <w:spacing w:val="-3"/>
        </w:rPr>
        <w:t>benchmarks </w:t>
      </w:r>
      <w:r>
        <w:rPr/>
        <w:t>in </w:t>
      </w:r>
      <w:r>
        <w:rPr>
          <w:spacing w:val="-3"/>
        </w:rPr>
        <w:t>accordance with the provisions </w:t>
      </w:r>
      <w:r>
        <w:rPr/>
        <w:t>of </w:t>
      </w:r>
      <w:r>
        <w:rPr>
          <w:spacing w:val="-3"/>
        </w:rPr>
        <w:t>G.L. </w:t>
      </w:r>
      <w:r>
        <w:rPr/>
        <w:t>c. </w:t>
      </w:r>
      <w:r>
        <w:rPr>
          <w:spacing w:val="-3"/>
        </w:rPr>
        <w:t>118E, sec. 13B.</w:t>
      </w:r>
    </w:p>
    <w:p>
      <w:pPr>
        <w:pStyle w:val="BodyText"/>
        <w:spacing w:before="2"/>
        <w:rPr>
          <w:sz w:val="21"/>
        </w:rPr>
      </w:pPr>
    </w:p>
    <w:p>
      <w:pPr>
        <w:spacing w:line="244" w:lineRule="auto" w:before="0"/>
        <w:ind w:left="659" w:right="130" w:hanging="548"/>
        <w:jc w:val="left"/>
        <w:rPr>
          <w:sz w:val="24"/>
        </w:rPr>
      </w:pPr>
      <w:r>
        <w:rPr>
          <w:b/>
          <w:spacing w:val="-3"/>
          <w:sz w:val="24"/>
        </w:rPr>
        <w:t>Payment Amount </w:t>
      </w:r>
      <w:r>
        <w:rPr>
          <w:b/>
          <w:sz w:val="24"/>
        </w:rPr>
        <w:t>Per </w:t>
      </w:r>
      <w:r>
        <w:rPr>
          <w:b/>
          <w:spacing w:val="-3"/>
          <w:sz w:val="24"/>
        </w:rPr>
        <w:t>Episode (PAPE) </w:t>
      </w:r>
      <w:r>
        <w:rPr>
          <w:sz w:val="24"/>
        </w:rPr>
        <w:t>— a </w:t>
      </w:r>
      <w:r>
        <w:rPr>
          <w:spacing w:val="-3"/>
          <w:sz w:val="24"/>
        </w:rPr>
        <w:t>Hospital-specific payment </w:t>
      </w:r>
      <w:r>
        <w:rPr>
          <w:sz w:val="24"/>
        </w:rPr>
        <w:t>for all </w:t>
      </w:r>
      <w:r>
        <w:rPr>
          <w:spacing w:val="-3"/>
          <w:sz w:val="24"/>
        </w:rPr>
        <w:t>PAPE Covered Services provided </w:t>
      </w:r>
      <w:r>
        <w:rPr>
          <w:sz w:val="24"/>
        </w:rPr>
        <w:t>by a </w:t>
      </w:r>
      <w:r>
        <w:rPr>
          <w:spacing w:val="-3"/>
          <w:sz w:val="24"/>
        </w:rPr>
        <w:t>Hospital </w:t>
      </w:r>
      <w:r>
        <w:rPr>
          <w:sz w:val="24"/>
        </w:rPr>
        <w:t>to a </w:t>
      </w:r>
      <w:r>
        <w:rPr>
          <w:spacing w:val="-3"/>
          <w:sz w:val="24"/>
        </w:rPr>
        <w:t>MassHealth Member </w:t>
      </w:r>
      <w:r>
        <w:rPr>
          <w:sz w:val="24"/>
        </w:rPr>
        <w:t>on an </w:t>
      </w:r>
      <w:r>
        <w:rPr>
          <w:spacing w:val="-3"/>
          <w:sz w:val="24"/>
        </w:rPr>
        <w:t>outpatient basis </w:t>
      </w:r>
      <w:r>
        <w:rPr>
          <w:sz w:val="24"/>
        </w:rPr>
        <w:t>in one </w:t>
      </w:r>
      <w:r>
        <w:rPr>
          <w:spacing w:val="-3"/>
          <w:sz w:val="24"/>
        </w:rPr>
        <w:t>Episode except those services described </w:t>
      </w:r>
      <w:r>
        <w:rPr>
          <w:sz w:val="24"/>
        </w:rPr>
        <w:t>in </w:t>
      </w:r>
      <w:r>
        <w:rPr>
          <w:b/>
          <w:spacing w:val="-3"/>
          <w:sz w:val="24"/>
        </w:rPr>
        <w:t>Section </w:t>
      </w:r>
      <w:r>
        <w:rPr>
          <w:b/>
          <w:sz w:val="24"/>
        </w:rPr>
        <w:t>4.C </w:t>
      </w:r>
      <w:r>
        <w:rPr>
          <w:sz w:val="24"/>
        </w:rPr>
        <w:t>and </w:t>
      </w:r>
      <w:r>
        <w:rPr>
          <w:b/>
          <w:spacing w:val="-3"/>
          <w:sz w:val="24"/>
        </w:rPr>
        <w:t>Sections 5.C.3 </w:t>
      </w:r>
      <w:r>
        <w:rPr>
          <w:spacing w:val="-3"/>
          <w:sz w:val="24"/>
        </w:rPr>
        <w:t>through </w:t>
      </w:r>
      <w:r>
        <w:rPr>
          <w:b/>
          <w:spacing w:val="-3"/>
          <w:sz w:val="24"/>
        </w:rPr>
        <w:t>5.C.8</w:t>
      </w:r>
      <w:r>
        <w:rPr>
          <w:spacing w:val="-3"/>
          <w:sz w:val="24"/>
        </w:rPr>
        <w:t>.</w:t>
      </w:r>
    </w:p>
    <w:p>
      <w:pPr>
        <w:pStyle w:val="BodyText"/>
        <w:rPr>
          <w:sz w:val="21"/>
        </w:rPr>
      </w:pPr>
    </w:p>
    <w:p>
      <w:pPr>
        <w:pStyle w:val="BodyText"/>
        <w:spacing w:line="244" w:lineRule="auto"/>
        <w:ind w:left="659" w:right="130" w:hanging="548"/>
      </w:pPr>
      <w:r>
        <w:rPr>
          <w:b/>
          <w:spacing w:val="-3"/>
        </w:rPr>
        <w:t>Pediatric Specialty Unit </w:t>
      </w:r>
      <w:r>
        <w:rPr>
          <w:b/>
        </w:rPr>
        <w:t>— </w:t>
      </w:r>
      <w:r>
        <w:rPr/>
        <w:t>a </w:t>
      </w:r>
      <w:r>
        <w:rPr>
          <w:spacing w:val="-3"/>
        </w:rPr>
        <w:t>designated pediatric unit, pediatric intensive care unit, </w:t>
      </w:r>
      <w:r>
        <w:rPr/>
        <w:t>or </w:t>
      </w:r>
      <w:r>
        <w:rPr>
          <w:spacing w:val="-3"/>
        </w:rPr>
        <w:t>neonatal intensive care unit </w:t>
      </w:r>
      <w:r>
        <w:rPr/>
        <w:t>in an </w:t>
      </w:r>
      <w:r>
        <w:rPr>
          <w:spacing w:val="-3"/>
        </w:rPr>
        <w:t>Acute Hospital other than </w:t>
      </w:r>
      <w:r>
        <w:rPr/>
        <w:t>a </w:t>
      </w:r>
      <w:r>
        <w:rPr>
          <w:spacing w:val="-3"/>
        </w:rPr>
        <w:t>Freestanding Pediatric Acute Hospital, </w:t>
      </w:r>
      <w:r>
        <w:rPr/>
        <w:t>in </w:t>
      </w:r>
      <w:r>
        <w:rPr>
          <w:spacing w:val="-3"/>
        </w:rPr>
        <w:t>which </w:t>
      </w:r>
      <w:r>
        <w:rPr/>
        <w:t>the </w:t>
      </w:r>
      <w:r>
        <w:rPr>
          <w:spacing w:val="-3"/>
        </w:rPr>
        <w:t>ratio </w:t>
      </w:r>
      <w:r>
        <w:rPr/>
        <w:t>of </w:t>
      </w:r>
      <w:r>
        <w:rPr>
          <w:spacing w:val="-3"/>
        </w:rPr>
        <w:t>licensed pediatric beds </w:t>
      </w:r>
      <w:r>
        <w:rPr/>
        <w:t>to </w:t>
      </w:r>
      <w:r>
        <w:rPr>
          <w:spacing w:val="-3"/>
        </w:rPr>
        <w:t>total licensed Hospital beds </w:t>
      </w:r>
      <w:r>
        <w:rPr/>
        <w:t>as of </w:t>
      </w:r>
      <w:r>
        <w:rPr>
          <w:spacing w:val="-3"/>
        </w:rPr>
        <w:t>July </w:t>
      </w:r>
      <w:r>
        <w:rPr/>
        <w:t>1, </w:t>
      </w:r>
      <w:r>
        <w:rPr>
          <w:spacing w:val="-3"/>
        </w:rPr>
        <w:t>1994, exceeded 0.20, and which qualifies </w:t>
      </w:r>
      <w:r>
        <w:rPr/>
        <w:t>for a </w:t>
      </w:r>
      <w:r>
        <w:rPr>
          <w:spacing w:val="-3"/>
        </w:rPr>
        <w:t>Pediatric Standard Payment Amount </w:t>
      </w:r>
      <w:r>
        <w:rPr/>
        <w:t>Per </w:t>
      </w:r>
      <w:r>
        <w:rPr>
          <w:spacing w:val="-3"/>
        </w:rPr>
        <w:t>Discharge, </w:t>
      </w:r>
      <w:r>
        <w:rPr/>
        <w:t>as set </w:t>
      </w:r>
      <w:r>
        <w:rPr>
          <w:spacing w:val="-3"/>
        </w:rPr>
        <w:t>forth </w:t>
      </w:r>
      <w:r>
        <w:rPr/>
        <w:t>in </w:t>
      </w:r>
      <w:r>
        <w:rPr>
          <w:spacing w:val="-3"/>
        </w:rPr>
        <w:t>the qualifying Hospital’s </w:t>
      </w:r>
      <w:r>
        <w:rPr>
          <w:b/>
          <w:spacing w:val="-3"/>
        </w:rPr>
        <w:t>Appendix </w:t>
      </w:r>
      <w:r>
        <w:rPr>
          <w:b/>
        </w:rPr>
        <w:t>C</w:t>
      </w:r>
      <w:r>
        <w:rPr/>
        <w:t>.</w:t>
      </w:r>
    </w:p>
    <w:p>
      <w:pPr>
        <w:pStyle w:val="BodyText"/>
        <w:spacing w:before="6"/>
      </w:pPr>
    </w:p>
    <w:p>
      <w:pPr>
        <w:pStyle w:val="BodyText"/>
        <w:spacing w:line="242" w:lineRule="auto"/>
        <w:ind w:left="651" w:right="91" w:hanging="540"/>
      </w:pPr>
      <w:r>
        <w:rPr>
          <w:b/>
          <w:spacing w:val="-3"/>
        </w:rPr>
        <w:t>Pediatric Standard Payment Amount </w:t>
      </w:r>
      <w:r>
        <w:rPr>
          <w:b/>
        </w:rPr>
        <w:t>Per </w:t>
      </w:r>
      <w:r>
        <w:rPr>
          <w:b/>
          <w:spacing w:val="-3"/>
        </w:rPr>
        <w:t>Discharge  </w:t>
      </w:r>
      <w:r>
        <w:rPr>
          <w:b/>
        </w:rPr>
        <w:t>— </w:t>
      </w:r>
      <w:r>
        <w:rPr/>
        <w:t>a </w:t>
      </w:r>
      <w:r>
        <w:rPr>
          <w:spacing w:val="-3"/>
        </w:rPr>
        <w:t>Hospital-specific all-inclusive payment for </w:t>
      </w:r>
      <w:r>
        <w:rPr/>
        <w:t>the </w:t>
      </w:r>
      <w:r>
        <w:rPr>
          <w:spacing w:val="-3"/>
        </w:rPr>
        <w:t>first twenty cumulative acute days </w:t>
      </w:r>
      <w:r>
        <w:rPr/>
        <w:t>of a </w:t>
      </w:r>
      <w:r>
        <w:rPr>
          <w:spacing w:val="-3"/>
        </w:rPr>
        <w:t>Pediatric inpatient hospitalization </w:t>
      </w:r>
      <w:r>
        <w:rPr/>
        <w:t>in a </w:t>
      </w:r>
      <w:r>
        <w:rPr>
          <w:spacing w:val="-3"/>
        </w:rPr>
        <w:t>Pediatric Specialty Unit, which </w:t>
      </w:r>
      <w:r>
        <w:rPr/>
        <w:t>is </w:t>
      </w:r>
      <w:r>
        <w:rPr>
          <w:spacing w:val="-3"/>
        </w:rPr>
        <w:t>complete payment for </w:t>
      </w:r>
      <w:r>
        <w:rPr/>
        <w:t>an </w:t>
      </w:r>
      <w:r>
        <w:rPr>
          <w:spacing w:val="-3"/>
        </w:rPr>
        <w:t>acute episode </w:t>
      </w:r>
      <w:r>
        <w:rPr/>
        <w:t>of </w:t>
      </w:r>
      <w:r>
        <w:rPr>
          <w:spacing w:val="-3"/>
        </w:rPr>
        <w:t>illness, excluding </w:t>
      </w:r>
      <w:r>
        <w:rPr/>
        <w:t>the </w:t>
      </w:r>
      <w:r>
        <w:rPr>
          <w:spacing w:val="-3"/>
        </w:rPr>
        <w:t>additional payment of Outlier Days, Transfer </w:t>
      </w:r>
      <w:r>
        <w:rPr/>
        <w:t>Per </w:t>
      </w:r>
      <w:r>
        <w:rPr>
          <w:spacing w:val="-3"/>
        </w:rPr>
        <w:t>Diems, Administrative Days </w:t>
      </w:r>
      <w:r>
        <w:rPr/>
        <w:t>and </w:t>
      </w:r>
      <w:r>
        <w:rPr>
          <w:spacing w:val="-3"/>
        </w:rPr>
        <w:t>Physician </w:t>
      </w:r>
      <w:r>
        <w:rPr>
          <w:spacing w:val="-4"/>
        </w:rPr>
        <w:t>Payments.</w:t>
      </w:r>
    </w:p>
    <w:p>
      <w:pPr>
        <w:pStyle w:val="BodyText"/>
        <w:spacing w:before="5"/>
      </w:pPr>
    </w:p>
    <w:p>
      <w:pPr>
        <w:pStyle w:val="BodyText"/>
        <w:spacing w:line="242" w:lineRule="auto"/>
        <w:ind w:left="651" w:right="370" w:hanging="540"/>
      </w:pPr>
      <w:r>
        <w:rPr>
          <w:b/>
          <w:spacing w:val="-3"/>
        </w:rPr>
        <w:t>Primary Care </w:t>
      </w:r>
      <w:r>
        <w:rPr>
          <w:b/>
        </w:rPr>
        <w:t>— </w:t>
      </w:r>
      <w:r>
        <w:rPr/>
        <w:t>all </w:t>
      </w:r>
      <w:r>
        <w:rPr>
          <w:spacing w:val="-3"/>
        </w:rPr>
        <w:t>health care services customarily furnished </w:t>
      </w:r>
      <w:r>
        <w:rPr/>
        <w:t>by or </w:t>
      </w:r>
      <w:r>
        <w:rPr>
          <w:spacing w:val="-3"/>
        </w:rPr>
        <w:t>through </w:t>
      </w:r>
      <w:r>
        <w:rPr/>
        <w:t>a </w:t>
      </w:r>
      <w:r>
        <w:rPr>
          <w:spacing w:val="-3"/>
        </w:rPr>
        <w:t>general practitioner, family physician, internal medicine physician, obstetrician/gynecologist, pediatrician, nurse practitioner, </w:t>
      </w:r>
      <w:r>
        <w:rPr/>
        <w:t>or </w:t>
      </w:r>
      <w:r>
        <w:rPr>
          <w:spacing w:val="-3"/>
        </w:rPr>
        <w:t>nurse midwife </w:t>
      </w:r>
      <w:r>
        <w:rPr/>
        <w:t>to the </w:t>
      </w:r>
      <w:r>
        <w:rPr>
          <w:spacing w:val="-3"/>
        </w:rPr>
        <w:t>extent </w:t>
      </w:r>
      <w:r>
        <w:rPr/>
        <w:t>the </w:t>
      </w:r>
      <w:r>
        <w:rPr>
          <w:spacing w:val="-3"/>
        </w:rPr>
        <w:t>furnishing </w:t>
      </w:r>
      <w:r>
        <w:rPr/>
        <w:t>of </w:t>
      </w:r>
      <w:r>
        <w:rPr>
          <w:spacing w:val="-3"/>
        </w:rPr>
        <w:t>those services </w:t>
      </w:r>
      <w:r>
        <w:rPr/>
        <w:t>is </w:t>
      </w:r>
      <w:r>
        <w:rPr>
          <w:spacing w:val="-3"/>
        </w:rPr>
        <w:t>legally authorized in </w:t>
      </w:r>
      <w:r>
        <w:rPr/>
        <w:t>the </w:t>
      </w:r>
      <w:r>
        <w:rPr>
          <w:spacing w:val="-4"/>
        </w:rPr>
        <w:t>Commonwealth.</w:t>
      </w:r>
    </w:p>
    <w:p>
      <w:pPr>
        <w:pStyle w:val="BodyText"/>
        <w:spacing w:before="2"/>
        <w:rPr>
          <w:sz w:val="21"/>
        </w:rPr>
      </w:pPr>
    </w:p>
    <w:p>
      <w:pPr>
        <w:pStyle w:val="BodyText"/>
        <w:spacing w:line="242" w:lineRule="auto" w:before="1"/>
        <w:ind w:left="659" w:right="130" w:hanging="548"/>
      </w:pPr>
      <w:r>
        <w:rPr>
          <w:b/>
          <w:spacing w:val="-3"/>
        </w:rPr>
        <w:t>Primary Care Clinician (PCC) </w:t>
      </w:r>
      <w:r>
        <w:rPr>
          <w:b/>
        </w:rPr>
        <w:t>— </w:t>
      </w:r>
      <w:r>
        <w:rPr/>
        <w:t>a </w:t>
      </w:r>
      <w:r>
        <w:rPr>
          <w:spacing w:val="-3"/>
        </w:rPr>
        <w:t>physician, independent nurse practitioner, group practice organization, </w:t>
      </w:r>
      <w:r>
        <w:rPr>
          <w:spacing w:val="-4"/>
        </w:rPr>
        <w:t>community </w:t>
      </w:r>
      <w:r>
        <w:rPr>
          <w:spacing w:val="-3"/>
        </w:rPr>
        <w:t>health center, Hospital-Licensed Health Center </w:t>
      </w:r>
      <w:r>
        <w:rPr/>
        <w:t>or </w:t>
      </w:r>
      <w:r>
        <w:rPr>
          <w:spacing w:val="-3"/>
        </w:rPr>
        <w:t>Acute Hospital Outpatient Department with </w:t>
      </w:r>
      <w:r>
        <w:rPr/>
        <w:t>an </w:t>
      </w:r>
      <w:r>
        <w:rPr>
          <w:spacing w:val="-3"/>
        </w:rPr>
        <w:t>executed MassHealth </w:t>
      </w:r>
      <w:r>
        <w:rPr/>
        <w:t>PCC </w:t>
      </w:r>
      <w:r>
        <w:rPr>
          <w:spacing w:val="-3"/>
        </w:rPr>
        <w:t>Plan Provider contract.</w:t>
      </w:r>
    </w:p>
    <w:p>
      <w:pPr>
        <w:pStyle w:val="BodyText"/>
        <w:spacing w:line="242" w:lineRule="auto" w:before="4"/>
        <w:ind w:left="651" w:right="116" w:hanging="540"/>
      </w:pPr>
      <w:r>
        <w:rPr>
          <w:b/>
          <w:spacing w:val="-3"/>
        </w:rPr>
        <w:t>Primary Care Clinician Plan (PCC Plan) </w:t>
      </w:r>
      <w:r>
        <w:rPr>
          <w:b/>
        </w:rPr>
        <w:t>— </w:t>
      </w:r>
      <w:r>
        <w:rPr/>
        <w:t>a </w:t>
      </w:r>
      <w:r>
        <w:rPr>
          <w:spacing w:val="-3"/>
        </w:rPr>
        <w:t>comprehensive managed care plan, administered by EOHHS, through which enrolled MassHealth Members receive Primary Care, behavioral health, and other medical services. </w:t>
      </w:r>
      <w:r>
        <w:rPr/>
        <w:t>See 130 CMR </w:t>
      </w:r>
      <w:r>
        <w:rPr>
          <w:spacing w:val="-3"/>
        </w:rPr>
        <w:t>450.118.</w:t>
      </w:r>
    </w:p>
    <w:p>
      <w:pPr>
        <w:spacing w:after="0" w:line="242" w:lineRule="auto"/>
        <w:sectPr>
          <w:pgSz w:w="12240" w:h="15840"/>
          <w:pgMar w:header="0" w:footer="744" w:top="1380" w:bottom="940" w:left="1040" w:right="980"/>
        </w:sectPr>
      </w:pPr>
    </w:p>
    <w:p>
      <w:pPr>
        <w:pStyle w:val="BodyText"/>
        <w:spacing w:line="242" w:lineRule="auto" w:before="65"/>
        <w:ind w:left="651" w:right="130" w:hanging="540"/>
      </w:pPr>
      <w:r>
        <w:rPr>
          <w:b/>
          <w:spacing w:val="-3"/>
        </w:rPr>
        <w:t>Provider </w:t>
      </w:r>
      <w:r>
        <w:rPr>
          <w:b/>
        </w:rPr>
        <w:t>— </w:t>
      </w:r>
      <w:r>
        <w:rPr/>
        <w:t>an </w:t>
      </w:r>
      <w:r>
        <w:rPr>
          <w:spacing w:val="-3"/>
        </w:rPr>
        <w:t>individual </w:t>
      </w:r>
      <w:r>
        <w:rPr/>
        <w:t>or </w:t>
      </w:r>
      <w:r>
        <w:rPr>
          <w:spacing w:val="-3"/>
        </w:rPr>
        <w:t>entity that </w:t>
      </w:r>
      <w:r>
        <w:rPr/>
        <w:t>has a </w:t>
      </w:r>
      <w:r>
        <w:rPr>
          <w:spacing w:val="-3"/>
        </w:rPr>
        <w:t>written contract with EOHHS </w:t>
      </w:r>
      <w:r>
        <w:rPr/>
        <w:t>to </w:t>
      </w:r>
      <w:r>
        <w:rPr>
          <w:spacing w:val="-3"/>
        </w:rPr>
        <w:t>provide medical goods or services </w:t>
      </w:r>
      <w:r>
        <w:rPr/>
        <w:t>to </w:t>
      </w:r>
      <w:r>
        <w:rPr>
          <w:spacing w:val="-4"/>
        </w:rPr>
        <w:t>Members.</w:t>
      </w:r>
    </w:p>
    <w:p>
      <w:pPr>
        <w:pStyle w:val="BodyText"/>
        <w:spacing w:before="8"/>
      </w:pPr>
    </w:p>
    <w:p>
      <w:pPr>
        <w:pStyle w:val="BodyText"/>
        <w:spacing w:line="242" w:lineRule="auto"/>
        <w:ind w:left="651" w:right="304" w:hanging="540"/>
      </w:pPr>
      <w:r>
        <w:rPr>
          <w:b/>
          <w:spacing w:val="-3"/>
        </w:rPr>
        <w:t>Psychiatric </w:t>
      </w:r>
      <w:r>
        <w:rPr>
          <w:b/>
        </w:rPr>
        <w:t>Per </w:t>
      </w:r>
      <w:r>
        <w:rPr>
          <w:b/>
          <w:spacing w:val="-3"/>
        </w:rPr>
        <w:t>Diem </w:t>
      </w:r>
      <w:r>
        <w:rPr>
          <w:b/>
        </w:rPr>
        <w:t>— </w:t>
      </w:r>
      <w:r>
        <w:rPr/>
        <w:t>a </w:t>
      </w:r>
      <w:r>
        <w:rPr>
          <w:spacing w:val="-3"/>
        </w:rPr>
        <w:t>statewide </w:t>
      </w:r>
      <w:r>
        <w:rPr/>
        <w:t>per </w:t>
      </w:r>
      <w:r>
        <w:rPr>
          <w:spacing w:val="-3"/>
        </w:rPr>
        <w:t>diem payment </w:t>
      </w:r>
      <w:r>
        <w:rPr/>
        <w:t>for </w:t>
      </w:r>
      <w:r>
        <w:rPr>
          <w:spacing w:val="-3"/>
        </w:rPr>
        <w:t>psychiatric services provided </w:t>
      </w:r>
      <w:r>
        <w:rPr/>
        <w:t>to </w:t>
      </w:r>
      <w:r>
        <w:rPr>
          <w:spacing w:val="-4"/>
        </w:rPr>
        <w:t>members </w:t>
      </w:r>
      <w:r>
        <w:rPr>
          <w:spacing w:val="-3"/>
        </w:rPr>
        <w:t>in DMH-Licensed beds </w:t>
      </w:r>
      <w:r>
        <w:rPr/>
        <w:t>who are not </w:t>
      </w:r>
      <w:r>
        <w:rPr>
          <w:spacing w:val="-3"/>
        </w:rPr>
        <w:t>enrolled with </w:t>
      </w:r>
      <w:r>
        <w:rPr/>
        <w:t>the BH </w:t>
      </w:r>
      <w:r>
        <w:rPr>
          <w:spacing w:val="-3"/>
        </w:rPr>
        <w:t>Contractor </w:t>
      </w:r>
      <w:r>
        <w:rPr/>
        <w:t>or </w:t>
      </w:r>
      <w:r>
        <w:rPr>
          <w:spacing w:val="-3"/>
        </w:rPr>
        <w:t>MCO.</w:t>
      </w:r>
    </w:p>
    <w:p>
      <w:pPr>
        <w:pStyle w:val="BodyText"/>
        <w:spacing w:before="8"/>
      </w:pPr>
    </w:p>
    <w:p>
      <w:pPr>
        <w:spacing w:line="242" w:lineRule="auto" w:before="0"/>
        <w:ind w:left="652" w:right="116" w:hanging="540"/>
        <w:jc w:val="left"/>
        <w:rPr>
          <w:sz w:val="24"/>
        </w:rPr>
      </w:pPr>
      <w:r>
        <w:rPr>
          <w:b/>
          <w:spacing w:val="-3"/>
          <w:sz w:val="24"/>
        </w:rPr>
        <w:t>Psychiatric </w:t>
      </w:r>
      <w:r>
        <w:rPr>
          <w:b/>
          <w:sz w:val="24"/>
        </w:rPr>
        <w:t>Per </w:t>
      </w:r>
      <w:r>
        <w:rPr>
          <w:b/>
          <w:spacing w:val="-3"/>
          <w:sz w:val="24"/>
        </w:rPr>
        <w:t>Diem Base Year </w:t>
      </w:r>
      <w:r>
        <w:rPr>
          <w:b/>
          <w:sz w:val="24"/>
        </w:rPr>
        <w:t>— </w:t>
      </w:r>
      <w:r>
        <w:rPr>
          <w:sz w:val="24"/>
        </w:rPr>
        <w:t>the </w:t>
      </w:r>
      <w:r>
        <w:rPr>
          <w:spacing w:val="-3"/>
          <w:sz w:val="24"/>
        </w:rPr>
        <w:t>base year </w:t>
      </w:r>
      <w:r>
        <w:rPr>
          <w:sz w:val="24"/>
        </w:rPr>
        <w:t>for the </w:t>
      </w:r>
      <w:r>
        <w:rPr>
          <w:spacing w:val="-3"/>
          <w:sz w:val="24"/>
        </w:rPr>
        <w:t>psychiatric </w:t>
      </w:r>
      <w:r>
        <w:rPr>
          <w:sz w:val="24"/>
        </w:rPr>
        <w:t>per </w:t>
      </w:r>
      <w:r>
        <w:rPr>
          <w:spacing w:val="-3"/>
          <w:sz w:val="24"/>
        </w:rPr>
        <w:t>diem </w:t>
      </w:r>
      <w:r>
        <w:rPr>
          <w:sz w:val="24"/>
        </w:rPr>
        <w:t>is </w:t>
      </w:r>
      <w:r>
        <w:rPr>
          <w:spacing w:val="-3"/>
          <w:sz w:val="24"/>
        </w:rPr>
        <w:t>FY04, using FY04 -403 cost reports </w:t>
      </w:r>
      <w:r>
        <w:rPr>
          <w:sz w:val="24"/>
        </w:rPr>
        <w:t>as </w:t>
      </w:r>
      <w:r>
        <w:rPr>
          <w:spacing w:val="-3"/>
          <w:sz w:val="24"/>
        </w:rPr>
        <w:t>screened </w:t>
      </w:r>
      <w:r>
        <w:rPr>
          <w:sz w:val="24"/>
        </w:rPr>
        <w:t>and </w:t>
      </w:r>
      <w:r>
        <w:rPr>
          <w:spacing w:val="-3"/>
          <w:sz w:val="24"/>
        </w:rPr>
        <w:t>updated </w:t>
      </w:r>
      <w:r>
        <w:rPr>
          <w:sz w:val="24"/>
        </w:rPr>
        <w:t>as of </w:t>
      </w:r>
      <w:r>
        <w:rPr>
          <w:spacing w:val="-3"/>
          <w:sz w:val="24"/>
        </w:rPr>
        <w:t>March </w:t>
      </w:r>
      <w:r>
        <w:rPr>
          <w:sz w:val="24"/>
        </w:rPr>
        <w:t>10, </w:t>
      </w:r>
      <w:r>
        <w:rPr>
          <w:spacing w:val="-3"/>
          <w:sz w:val="24"/>
        </w:rPr>
        <w:t>2006.</w:t>
      </w:r>
    </w:p>
    <w:p>
      <w:pPr>
        <w:pStyle w:val="BodyText"/>
        <w:spacing w:before="8"/>
      </w:pPr>
    </w:p>
    <w:p>
      <w:pPr>
        <w:pStyle w:val="BodyText"/>
        <w:spacing w:line="242" w:lineRule="auto"/>
        <w:ind w:left="652" w:right="418" w:hanging="540"/>
      </w:pPr>
      <w:r>
        <w:rPr>
          <w:b/>
          <w:spacing w:val="-3"/>
        </w:rPr>
        <w:t>Public Service Hospital </w:t>
      </w:r>
      <w:r>
        <w:rPr>
          <w:b/>
        </w:rPr>
        <w:t>— </w:t>
      </w:r>
      <w:r>
        <w:rPr/>
        <w:t>any </w:t>
      </w:r>
      <w:r>
        <w:rPr>
          <w:spacing w:val="-3"/>
        </w:rPr>
        <w:t>public Acute Hospital </w:t>
      </w:r>
      <w:r>
        <w:rPr/>
        <w:t>or any </w:t>
      </w:r>
      <w:r>
        <w:rPr>
          <w:spacing w:val="-3"/>
        </w:rPr>
        <w:t>Acute Hospital operating pursuant to Chapter </w:t>
      </w:r>
      <w:r>
        <w:rPr/>
        <w:t>147 of the </w:t>
      </w:r>
      <w:r>
        <w:rPr>
          <w:spacing w:val="-3"/>
        </w:rPr>
        <w:t>Acts </w:t>
      </w:r>
      <w:r>
        <w:rPr/>
        <w:t>&amp; </w:t>
      </w:r>
      <w:r>
        <w:rPr>
          <w:spacing w:val="-3"/>
        </w:rPr>
        <w:t>Resolves </w:t>
      </w:r>
      <w:r>
        <w:rPr/>
        <w:t>of </w:t>
      </w:r>
      <w:r>
        <w:rPr>
          <w:spacing w:val="-3"/>
        </w:rPr>
        <w:t>1995 which </w:t>
      </w:r>
      <w:r>
        <w:rPr/>
        <w:t>has a </w:t>
      </w:r>
      <w:r>
        <w:rPr>
          <w:spacing w:val="-3"/>
        </w:rPr>
        <w:t>private sector payer mix that constitutes less than </w:t>
      </w:r>
      <w:r>
        <w:rPr/>
        <w:t>35% of its </w:t>
      </w:r>
      <w:r>
        <w:rPr>
          <w:spacing w:val="-3"/>
        </w:rPr>
        <w:t>Gross Patient Service Revenue (GPSR) </w:t>
      </w:r>
      <w:r>
        <w:rPr/>
        <w:t>and </w:t>
      </w:r>
      <w:r>
        <w:rPr>
          <w:spacing w:val="-3"/>
        </w:rPr>
        <w:t>where uncompensated care constitutes more than </w:t>
      </w:r>
      <w:r>
        <w:rPr/>
        <w:t>5% of its </w:t>
      </w:r>
      <w:r>
        <w:rPr>
          <w:spacing w:val="-3"/>
        </w:rPr>
        <w:t>GPSR.</w:t>
      </w:r>
    </w:p>
    <w:p>
      <w:pPr>
        <w:pStyle w:val="BodyText"/>
        <w:spacing w:before="8"/>
      </w:pPr>
    </w:p>
    <w:p>
      <w:pPr>
        <w:pStyle w:val="BodyText"/>
        <w:spacing w:line="242" w:lineRule="auto"/>
        <w:ind w:left="651" w:right="130" w:hanging="540"/>
      </w:pPr>
      <w:r>
        <w:rPr>
          <w:b/>
          <w:spacing w:val="-3"/>
        </w:rPr>
        <w:t>Quality </w:t>
      </w:r>
      <w:r>
        <w:rPr>
          <w:b/>
        </w:rPr>
        <w:t>and </w:t>
      </w:r>
      <w:r>
        <w:rPr>
          <w:b/>
          <w:spacing w:val="-3"/>
        </w:rPr>
        <w:t>Performance Initiatives </w:t>
      </w:r>
      <w:r>
        <w:rPr>
          <w:b/>
        </w:rPr>
        <w:t>— </w:t>
      </w:r>
      <w:r>
        <w:rPr>
          <w:spacing w:val="-3"/>
        </w:rPr>
        <w:t>data-driven systemic efforts, anchored </w:t>
      </w:r>
      <w:r>
        <w:rPr/>
        <w:t>on </w:t>
      </w:r>
      <w:r>
        <w:rPr>
          <w:spacing w:val="-4"/>
        </w:rPr>
        <w:t>measurement-driven </w:t>
      </w:r>
      <w:r>
        <w:rPr>
          <w:spacing w:val="-3"/>
        </w:rPr>
        <w:t>activities, including </w:t>
      </w:r>
      <w:r>
        <w:rPr>
          <w:spacing w:val="-4"/>
        </w:rPr>
        <w:t>Pay-for-Performance </w:t>
      </w:r>
      <w:r>
        <w:rPr>
          <w:spacing w:val="-3"/>
        </w:rPr>
        <w:t>(P4P) initiatives, </w:t>
      </w:r>
      <w:r>
        <w:rPr/>
        <w:t>to </w:t>
      </w:r>
      <w:r>
        <w:rPr>
          <w:spacing w:val="-3"/>
        </w:rPr>
        <w:t>improve performance </w:t>
      </w:r>
      <w:r>
        <w:rPr/>
        <w:t>of </w:t>
      </w:r>
      <w:r>
        <w:rPr>
          <w:spacing w:val="-3"/>
        </w:rPr>
        <w:t>health- delivery systems that result </w:t>
      </w:r>
      <w:r>
        <w:rPr/>
        <w:t>in </w:t>
      </w:r>
      <w:r>
        <w:rPr>
          <w:spacing w:val="-3"/>
        </w:rPr>
        <w:t>positive outcomes </w:t>
      </w:r>
      <w:r>
        <w:rPr/>
        <w:t>and </w:t>
      </w:r>
      <w:r>
        <w:rPr>
          <w:spacing w:val="-3"/>
        </w:rPr>
        <w:t>cost-effective care.</w:t>
      </w:r>
    </w:p>
    <w:p>
      <w:pPr>
        <w:pStyle w:val="BodyText"/>
        <w:spacing w:before="8"/>
      </w:pPr>
    </w:p>
    <w:p>
      <w:pPr>
        <w:pStyle w:val="BodyText"/>
        <w:ind w:left="111"/>
      </w:pPr>
      <w:r>
        <w:rPr>
          <w:b/>
        </w:rPr>
        <w:t>Rate Year (RY) — </w:t>
      </w:r>
      <w:r>
        <w:rPr/>
        <w:t>generally, the period beginning October 1 and ending the following September 30.</w:t>
      </w:r>
    </w:p>
    <w:p>
      <w:pPr>
        <w:pStyle w:val="BodyText"/>
        <w:spacing w:before="3"/>
        <w:ind w:left="651"/>
      </w:pPr>
      <w:r>
        <w:rPr/>
        <w:t>Please note that RY14 will begin on October 1, 2013, and end on September 30, 2014.</w:t>
      </w:r>
    </w:p>
    <w:p>
      <w:pPr>
        <w:pStyle w:val="BodyText"/>
        <w:spacing w:before="10"/>
      </w:pPr>
    </w:p>
    <w:p>
      <w:pPr>
        <w:spacing w:before="0"/>
        <w:ind w:left="111" w:right="0" w:firstLine="0"/>
        <w:jc w:val="left"/>
        <w:rPr>
          <w:sz w:val="24"/>
        </w:rPr>
      </w:pPr>
      <w:r>
        <w:rPr>
          <w:b/>
          <w:sz w:val="24"/>
        </w:rPr>
        <w:t>Rate Year 2013 (RY13) </w:t>
      </w:r>
      <w:r>
        <w:rPr>
          <w:sz w:val="24"/>
        </w:rPr>
        <w:t>– The period beginning January 1, 2013 and ending on September 30, 2013.</w:t>
      </w:r>
    </w:p>
    <w:p>
      <w:pPr>
        <w:pStyle w:val="BodyText"/>
        <w:rPr>
          <w:sz w:val="25"/>
        </w:rPr>
      </w:pPr>
    </w:p>
    <w:p>
      <w:pPr>
        <w:pStyle w:val="BodyText"/>
        <w:spacing w:line="242" w:lineRule="auto"/>
        <w:ind w:left="651" w:right="130" w:hanging="540"/>
      </w:pPr>
      <w:r>
        <w:rPr>
          <w:b/>
          <w:spacing w:val="-3"/>
        </w:rPr>
        <w:t>Rehabilitation Services </w:t>
      </w:r>
      <w:r>
        <w:rPr>
          <w:b/>
        </w:rPr>
        <w:t>— </w:t>
      </w:r>
      <w:r>
        <w:rPr>
          <w:spacing w:val="-3"/>
        </w:rPr>
        <w:t>services provided </w:t>
      </w:r>
      <w:r>
        <w:rPr/>
        <w:t>in an </w:t>
      </w:r>
      <w:r>
        <w:rPr>
          <w:spacing w:val="-3"/>
        </w:rPr>
        <w:t>Acute Hospital that </w:t>
      </w:r>
      <w:r>
        <w:rPr/>
        <w:t>are </w:t>
      </w:r>
      <w:r>
        <w:rPr>
          <w:spacing w:val="-3"/>
        </w:rPr>
        <w:t>medically necessary </w:t>
      </w:r>
      <w:r>
        <w:rPr/>
        <w:t>to </w:t>
      </w:r>
      <w:r>
        <w:rPr>
          <w:spacing w:val="-3"/>
        </w:rPr>
        <w:t>be provided </w:t>
      </w:r>
      <w:r>
        <w:rPr/>
        <w:t>at a </w:t>
      </w:r>
      <w:r>
        <w:rPr>
          <w:spacing w:val="-3"/>
        </w:rPr>
        <w:t>Hospital level </w:t>
      </w:r>
      <w:r>
        <w:rPr/>
        <w:t>of </w:t>
      </w:r>
      <w:r>
        <w:rPr>
          <w:spacing w:val="-3"/>
        </w:rPr>
        <w:t>care, </w:t>
      </w:r>
      <w:r>
        <w:rPr/>
        <w:t>to a </w:t>
      </w:r>
      <w:r>
        <w:rPr>
          <w:spacing w:val="-4"/>
        </w:rPr>
        <w:t>member </w:t>
      </w:r>
      <w:r>
        <w:rPr>
          <w:spacing w:val="-3"/>
        </w:rPr>
        <w:t>with medical need for </w:t>
      </w:r>
      <w:r>
        <w:rPr/>
        <w:t>an </w:t>
      </w:r>
      <w:r>
        <w:rPr>
          <w:spacing w:val="-3"/>
        </w:rPr>
        <w:t>intensive rehabilitation program that requires </w:t>
      </w:r>
      <w:r>
        <w:rPr/>
        <w:t>a </w:t>
      </w:r>
      <w:r>
        <w:rPr>
          <w:spacing w:val="-3"/>
        </w:rPr>
        <w:t>multidisciplinary coordinated team approach </w:t>
      </w:r>
      <w:r>
        <w:rPr/>
        <w:t>to </w:t>
      </w:r>
      <w:r>
        <w:rPr>
          <w:spacing w:val="-3"/>
        </w:rPr>
        <w:t>upgrade his/her ability to function with </w:t>
      </w:r>
      <w:r>
        <w:rPr/>
        <w:t>a </w:t>
      </w:r>
      <w:r>
        <w:rPr>
          <w:spacing w:val="-3"/>
        </w:rPr>
        <w:t>reasonable expectation </w:t>
      </w:r>
      <w:r>
        <w:rPr/>
        <w:t>of </w:t>
      </w:r>
      <w:r>
        <w:rPr>
          <w:spacing w:val="-3"/>
        </w:rPr>
        <w:t>significant </w:t>
      </w:r>
      <w:r>
        <w:rPr>
          <w:spacing w:val="-4"/>
        </w:rPr>
        <w:t>improvement </w:t>
      </w:r>
      <w:r>
        <w:rPr>
          <w:spacing w:val="-3"/>
        </w:rPr>
        <w:t>that will </w:t>
      </w:r>
      <w:r>
        <w:rPr/>
        <w:t>be of </w:t>
      </w:r>
      <w:r>
        <w:rPr>
          <w:spacing w:val="-3"/>
        </w:rPr>
        <w:t>practical value to </w:t>
      </w:r>
      <w:r>
        <w:rPr/>
        <w:t>the </w:t>
      </w:r>
      <w:r>
        <w:rPr>
          <w:spacing w:val="-3"/>
        </w:rPr>
        <w:t>Member measured against his/her condition </w:t>
      </w:r>
      <w:r>
        <w:rPr/>
        <w:t>at the </w:t>
      </w:r>
      <w:r>
        <w:rPr>
          <w:spacing w:val="-3"/>
        </w:rPr>
        <w:t>start </w:t>
      </w:r>
      <w:r>
        <w:rPr/>
        <w:t>of the </w:t>
      </w:r>
      <w:r>
        <w:rPr>
          <w:spacing w:val="-3"/>
        </w:rPr>
        <w:t>rehabilitation program.</w:t>
      </w:r>
    </w:p>
    <w:p>
      <w:pPr>
        <w:pStyle w:val="BodyText"/>
        <w:spacing w:before="7"/>
      </w:pPr>
    </w:p>
    <w:p>
      <w:pPr>
        <w:pStyle w:val="BodyText"/>
        <w:spacing w:line="242" w:lineRule="auto" w:before="1"/>
        <w:ind w:left="651" w:right="130" w:hanging="540"/>
      </w:pPr>
      <w:r>
        <w:rPr>
          <w:b/>
          <w:spacing w:val="-3"/>
        </w:rPr>
        <w:t>Rehabilitation Unit </w:t>
      </w:r>
      <w:r>
        <w:rPr>
          <w:b/>
        </w:rPr>
        <w:t>— </w:t>
      </w:r>
      <w:r>
        <w:rPr/>
        <w:t>a </w:t>
      </w:r>
      <w:r>
        <w:rPr>
          <w:spacing w:val="-3"/>
        </w:rPr>
        <w:t>distinct unit </w:t>
      </w:r>
      <w:r>
        <w:rPr/>
        <w:t>of </w:t>
      </w:r>
      <w:r>
        <w:rPr>
          <w:spacing w:val="-3"/>
        </w:rPr>
        <w:t>rehabilitation beds </w:t>
      </w:r>
      <w:r>
        <w:rPr/>
        <w:t>in a </w:t>
      </w:r>
      <w:r>
        <w:rPr>
          <w:spacing w:val="-3"/>
        </w:rPr>
        <w:t>Department </w:t>
      </w:r>
      <w:r>
        <w:rPr/>
        <w:t>of </w:t>
      </w:r>
      <w:r>
        <w:rPr>
          <w:spacing w:val="-3"/>
        </w:rPr>
        <w:t>Public Health (DPH)- licensed Acute Hospital that provides comprehensive Rehabilitation Services </w:t>
      </w:r>
      <w:r>
        <w:rPr/>
        <w:t>to </w:t>
      </w:r>
      <w:r>
        <w:rPr>
          <w:spacing w:val="-3"/>
        </w:rPr>
        <w:t>Members with appropriate medical needs.</w:t>
      </w:r>
    </w:p>
    <w:p>
      <w:pPr>
        <w:pStyle w:val="BodyText"/>
        <w:spacing w:before="9"/>
      </w:pPr>
    </w:p>
    <w:p>
      <w:pPr>
        <w:pStyle w:val="BodyText"/>
        <w:spacing w:line="242" w:lineRule="auto"/>
        <w:ind w:left="651" w:right="130" w:hanging="540"/>
      </w:pPr>
      <w:r>
        <w:rPr>
          <w:b/>
          <w:spacing w:val="-4"/>
        </w:rPr>
        <w:t>Revenue Center </w:t>
      </w:r>
      <w:r>
        <w:rPr>
          <w:b/>
        </w:rPr>
        <w:t>— </w:t>
      </w:r>
      <w:r>
        <w:rPr/>
        <w:t>a </w:t>
      </w:r>
      <w:r>
        <w:rPr>
          <w:spacing w:val="-4"/>
        </w:rPr>
        <w:t>functioning </w:t>
      </w:r>
      <w:r>
        <w:rPr>
          <w:spacing w:val="-3"/>
        </w:rPr>
        <w:t>unit </w:t>
      </w:r>
      <w:r>
        <w:rPr/>
        <w:t>of a </w:t>
      </w:r>
      <w:r>
        <w:rPr>
          <w:spacing w:val="-4"/>
        </w:rPr>
        <w:t>Hospital </w:t>
      </w:r>
      <w:r>
        <w:rPr>
          <w:spacing w:val="-3"/>
        </w:rPr>
        <w:t>that </w:t>
      </w:r>
      <w:r>
        <w:rPr>
          <w:spacing w:val="-4"/>
        </w:rPr>
        <w:t>provides distinctive services </w:t>
      </w:r>
      <w:r>
        <w:rPr/>
        <w:t>to a </w:t>
      </w:r>
      <w:r>
        <w:rPr>
          <w:spacing w:val="-4"/>
        </w:rPr>
        <w:t>patient </w:t>
      </w:r>
      <w:r>
        <w:rPr>
          <w:spacing w:val="-3"/>
        </w:rPr>
        <w:t>for </w:t>
      </w:r>
      <w:r>
        <w:rPr/>
        <w:t>a </w:t>
      </w:r>
      <w:r>
        <w:rPr>
          <w:spacing w:val="-4"/>
        </w:rPr>
        <w:t>charge.</w:t>
      </w:r>
    </w:p>
    <w:p>
      <w:pPr>
        <w:pStyle w:val="BodyText"/>
        <w:spacing w:before="7"/>
      </w:pPr>
    </w:p>
    <w:p>
      <w:pPr>
        <w:pStyle w:val="BodyText"/>
        <w:spacing w:line="242" w:lineRule="auto"/>
        <w:ind w:left="651" w:right="192" w:hanging="540"/>
      </w:pPr>
      <w:r>
        <w:rPr>
          <w:b/>
          <w:spacing w:val="-3"/>
        </w:rPr>
        <w:t>Satellite Clinic </w:t>
      </w:r>
      <w:r>
        <w:rPr>
          <w:b/>
        </w:rPr>
        <w:t>— </w:t>
      </w:r>
      <w:r>
        <w:rPr/>
        <w:t>a </w:t>
      </w:r>
      <w:r>
        <w:rPr>
          <w:spacing w:val="-3"/>
        </w:rPr>
        <w:t>facility that operates under </w:t>
      </w:r>
      <w:r>
        <w:rPr/>
        <w:t>a </w:t>
      </w:r>
      <w:r>
        <w:rPr>
          <w:spacing w:val="-3"/>
        </w:rPr>
        <w:t>Hospital’s license, </w:t>
      </w:r>
      <w:r>
        <w:rPr/>
        <w:t>is </w:t>
      </w:r>
      <w:r>
        <w:rPr>
          <w:spacing w:val="-3"/>
        </w:rPr>
        <w:t>subject </w:t>
      </w:r>
      <w:r>
        <w:rPr/>
        <w:t>to the </w:t>
      </w:r>
      <w:r>
        <w:rPr>
          <w:spacing w:val="-3"/>
        </w:rPr>
        <w:t>fiscal, administrative, </w:t>
      </w:r>
      <w:r>
        <w:rPr/>
        <w:t>and </w:t>
      </w:r>
      <w:r>
        <w:rPr>
          <w:spacing w:val="-3"/>
        </w:rPr>
        <w:t>clinical </w:t>
      </w:r>
      <w:r>
        <w:rPr>
          <w:spacing w:val="-4"/>
        </w:rPr>
        <w:t>management </w:t>
      </w:r>
      <w:r>
        <w:rPr/>
        <w:t>of the </w:t>
      </w:r>
      <w:r>
        <w:rPr>
          <w:spacing w:val="-3"/>
        </w:rPr>
        <w:t>Hospital, provides services </w:t>
      </w:r>
      <w:r>
        <w:rPr/>
        <w:t>to </w:t>
      </w:r>
      <w:r>
        <w:rPr>
          <w:spacing w:val="-3"/>
        </w:rPr>
        <w:t>Members solely </w:t>
      </w:r>
      <w:r>
        <w:rPr/>
        <w:t>on </w:t>
      </w:r>
      <w:r>
        <w:rPr>
          <w:spacing w:val="-3"/>
        </w:rPr>
        <w:t>an outpatient basis, </w:t>
      </w:r>
      <w:r>
        <w:rPr/>
        <w:t>is not </w:t>
      </w:r>
      <w:r>
        <w:rPr>
          <w:spacing w:val="-3"/>
        </w:rPr>
        <w:t>located </w:t>
      </w:r>
      <w:r>
        <w:rPr/>
        <w:t>at the </w:t>
      </w:r>
      <w:r>
        <w:rPr>
          <w:spacing w:val="-3"/>
        </w:rPr>
        <w:t>same site </w:t>
      </w:r>
      <w:r>
        <w:rPr/>
        <w:t>as the </w:t>
      </w:r>
      <w:r>
        <w:rPr>
          <w:spacing w:val="-3"/>
        </w:rPr>
        <w:t>Hospital’s inpatient facility, </w:t>
      </w:r>
      <w:r>
        <w:rPr/>
        <w:t>and </w:t>
      </w:r>
      <w:r>
        <w:rPr>
          <w:spacing w:val="-4"/>
        </w:rPr>
        <w:t>demonstrates </w:t>
      </w:r>
      <w:r>
        <w:rPr/>
        <w:t>to </w:t>
      </w:r>
      <w:r>
        <w:rPr>
          <w:spacing w:val="-3"/>
        </w:rPr>
        <w:t>EOHHS’ satisfaction that </w:t>
      </w:r>
      <w:r>
        <w:rPr/>
        <w:t>it has CMS </w:t>
      </w:r>
      <w:r>
        <w:rPr>
          <w:spacing w:val="-3"/>
        </w:rPr>
        <w:t>provider-based status </w:t>
      </w:r>
      <w:r>
        <w:rPr/>
        <w:t>in </w:t>
      </w:r>
      <w:r>
        <w:rPr>
          <w:spacing w:val="-3"/>
        </w:rPr>
        <w:t>accordance with </w:t>
      </w:r>
      <w:r>
        <w:rPr/>
        <w:t>42 CFR </w:t>
      </w:r>
      <w:r>
        <w:rPr>
          <w:spacing w:val="-3"/>
        </w:rPr>
        <w:t>413.65.</w:t>
      </w:r>
    </w:p>
    <w:p>
      <w:pPr>
        <w:pStyle w:val="BodyText"/>
        <w:spacing w:before="8"/>
      </w:pPr>
    </w:p>
    <w:p>
      <w:pPr>
        <w:pStyle w:val="BodyText"/>
        <w:spacing w:line="242" w:lineRule="auto"/>
        <w:ind w:left="651" w:hanging="540"/>
      </w:pPr>
      <w:r>
        <w:rPr>
          <w:b/>
          <w:spacing w:val="-3"/>
        </w:rPr>
        <w:t>School-Based Health Center (SBHC) </w:t>
      </w:r>
      <w:r>
        <w:rPr>
          <w:b/>
        </w:rPr>
        <w:t>— </w:t>
      </w:r>
      <w:r>
        <w:rPr/>
        <w:t>a </w:t>
      </w:r>
      <w:r>
        <w:rPr>
          <w:spacing w:val="-3"/>
        </w:rPr>
        <w:t>center located </w:t>
      </w:r>
      <w:r>
        <w:rPr/>
        <w:t>in a </w:t>
      </w:r>
      <w:r>
        <w:rPr>
          <w:spacing w:val="-3"/>
        </w:rPr>
        <w:t>school setting which: </w:t>
      </w:r>
      <w:r>
        <w:rPr/>
        <w:t>(1) </w:t>
      </w:r>
      <w:r>
        <w:rPr>
          <w:spacing w:val="-3"/>
        </w:rPr>
        <w:t>provides health services </w:t>
      </w:r>
      <w:r>
        <w:rPr/>
        <w:t>to </w:t>
      </w:r>
      <w:r>
        <w:rPr>
          <w:spacing w:val="-3"/>
        </w:rPr>
        <w:t>MassHealth Members under </w:t>
      </w:r>
      <w:r>
        <w:rPr/>
        <w:t>the age of 21; (2) </w:t>
      </w:r>
      <w:r>
        <w:rPr>
          <w:spacing w:val="-3"/>
        </w:rPr>
        <w:t>operates under </w:t>
      </w:r>
      <w:r>
        <w:rPr/>
        <w:t>a </w:t>
      </w:r>
      <w:r>
        <w:rPr>
          <w:spacing w:val="-3"/>
        </w:rPr>
        <w:t>Hospital’s license; </w:t>
      </w:r>
      <w:r>
        <w:rPr/>
        <w:t>(3) </w:t>
      </w:r>
      <w:r>
        <w:rPr>
          <w:spacing w:val="-3"/>
        </w:rPr>
        <w:t>is subject </w:t>
      </w:r>
      <w:r>
        <w:rPr/>
        <w:t>to the </w:t>
      </w:r>
      <w:r>
        <w:rPr>
          <w:spacing w:val="-3"/>
        </w:rPr>
        <w:t>fiscal, administrative, </w:t>
      </w:r>
      <w:r>
        <w:rPr/>
        <w:t>and </w:t>
      </w:r>
      <w:r>
        <w:rPr>
          <w:spacing w:val="-3"/>
        </w:rPr>
        <w:t>clinical </w:t>
      </w:r>
      <w:r>
        <w:rPr>
          <w:spacing w:val="-4"/>
        </w:rPr>
        <w:t>management </w:t>
      </w:r>
      <w:r>
        <w:rPr/>
        <w:t>of a </w:t>
      </w:r>
      <w:r>
        <w:rPr>
          <w:spacing w:val="-3"/>
        </w:rPr>
        <w:t>Hospital Outpatient Department or HLHC; </w:t>
      </w:r>
      <w:r>
        <w:rPr/>
        <w:t>and (4) </w:t>
      </w:r>
      <w:r>
        <w:rPr>
          <w:spacing w:val="-3"/>
        </w:rPr>
        <w:t>provides services </w:t>
      </w:r>
      <w:r>
        <w:rPr/>
        <w:t>to </w:t>
      </w:r>
      <w:r>
        <w:rPr>
          <w:spacing w:val="-3"/>
        </w:rPr>
        <w:t>Members solely </w:t>
      </w:r>
      <w:r>
        <w:rPr/>
        <w:t>on an </w:t>
      </w:r>
      <w:r>
        <w:rPr>
          <w:spacing w:val="-3"/>
        </w:rPr>
        <w:t>outpatient basis.</w:t>
      </w:r>
    </w:p>
    <w:p>
      <w:pPr>
        <w:spacing w:after="0" w:line="242" w:lineRule="auto"/>
        <w:sectPr>
          <w:pgSz w:w="12240" w:h="15840"/>
          <w:pgMar w:header="0" w:footer="744" w:top="1380" w:bottom="940" w:left="1040" w:right="980"/>
        </w:sectPr>
      </w:pPr>
    </w:p>
    <w:p>
      <w:pPr>
        <w:pStyle w:val="BodyText"/>
        <w:spacing w:line="242" w:lineRule="auto" w:before="65"/>
        <w:ind w:left="651" w:right="361" w:hanging="540"/>
      </w:pPr>
      <w:r>
        <w:rPr>
          <w:b/>
          <w:spacing w:val="-3"/>
        </w:rPr>
        <w:t>SPAD Base Year </w:t>
      </w:r>
      <w:r>
        <w:rPr>
          <w:b/>
        </w:rPr>
        <w:t>— </w:t>
      </w:r>
      <w:r>
        <w:rPr/>
        <w:t>the </w:t>
      </w:r>
      <w:r>
        <w:rPr>
          <w:spacing w:val="-3"/>
        </w:rPr>
        <w:t>hospital-specific base year </w:t>
      </w:r>
      <w:r>
        <w:rPr/>
        <w:t>for the </w:t>
      </w:r>
      <w:r>
        <w:rPr>
          <w:spacing w:val="-3"/>
        </w:rPr>
        <w:t>Standard Payment Amount </w:t>
      </w:r>
      <w:r>
        <w:rPr/>
        <w:t>per </w:t>
      </w:r>
      <w:r>
        <w:rPr>
          <w:spacing w:val="-3"/>
        </w:rPr>
        <w:t>Discharge is FY11 using </w:t>
      </w:r>
      <w:r>
        <w:rPr/>
        <w:t>the </w:t>
      </w:r>
      <w:r>
        <w:rPr>
          <w:spacing w:val="-3"/>
        </w:rPr>
        <w:t>FY11 -403 cost report </w:t>
      </w:r>
      <w:r>
        <w:rPr/>
        <w:t>as </w:t>
      </w:r>
      <w:r>
        <w:rPr>
          <w:spacing w:val="-3"/>
        </w:rPr>
        <w:t>screened </w:t>
      </w:r>
      <w:r>
        <w:rPr/>
        <w:t>and </w:t>
      </w:r>
      <w:r>
        <w:rPr>
          <w:spacing w:val="-3"/>
        </w:rPr>
        <w:t>updated </w:t>
      </w:r>
      <w:r>
        <w:rPr/>
        <w:t>as of May 23, </w:t>
      </w:r>
      <w:r>
        <w:rPr>
          <w:spacing w:val="-3"/>
        </w:rPr>
        <w:t>2013.</w:t>
      </w:r>
    </w:p>
    <w:p>
      <w:pPr>
        <w:pStyle w:val="BodyText"/>
        <w:spacing w:before="8"/>
      </w:pPr>
    </w:p>
    <w:p>
      <w:pPr>
        <w:pStyle w:val="BodyText"/>
        <w:spacing w:line="242" w:lineRule="auto"/>
        <w:ind w:left="652" w:right="130" w:hanging="540"/>
      </w:pPr>
      <w:r>
        <w:rPr>
          <w:b/>
          <w:spacing w:val="-3"/>
        </w:rPr>
        <w:t>Standard Payment Amount </w:t>
      </w:r>
      <w:r>
        <w:rPr>
          <w:b/>
        </w:rPr>
        <w:t>Per </w:t>
      </w:r>
      <w:r>
        <w:rPr>
          <w:b/>
          <w:spacing w:val="-3"/>
        </w:rPr>
        <w:t>Discharge (SPAD) </w:t>
      </w:r>
      <w:r>
        <w:rPr>
          <w:b/>
        </w:rPr>
        <w:t>— </w:t>
      </w:r>
      <w:r>
        <w:rPr/>
        <w:t>a </w:t>
      </w:r>
      <w:r>
        <w:rPr>
          <w:spacing w:val="-3"/>
        </w:rPr>
        <w:t>Hospital-specific all-inclusive payment for the first twenty cumulative acute days </w:t>
      </w:r>
      <w:r>
        <w:rPr/>
        <w:t>of an </w:t>
      </w:r>
      <w:r>
        <w:rPr>
          <w:spacing w:val="-3"/>
        </w:rPr>
        <w:t>inpatient hospitalization, which </w:t>
      </w:r>
      <w:r>
        <w:rPr/>
        <w:t>is the </w:t>
      </w:r>
      <w:r>
        <w:rPr>
          <w:spacing w:val="-3"/>
        </w:rPr>
        <w:t>complete fee-for- service payment for </w:t>
      </w:r>
      <w:r>
        <w:rPr/>
        <w:t>an </w:t>
      </w:r>
      <w:r>
        <w:rPr>
          <w:spacing w:val="-3"/>
        </w:rPr>
        <w:t>acute episode </w:t>
      </w:r>
      <w:r>
        <w:rPr/>
        <w:t>of </w:t>
      </w:r>
      <w:r>
        <w:rPr>
          <w:spacing w:val="-3"/>
        </w:rPr>
        <w:t>illness, excluding </w:t>
      </w:r>
      <w:r>
        <w:rPr/>
        <w:t>the </w:t>
      </w:r>
      <w:r>
        <w:rPr>
          <w:spacing w:val="-3"/>
        </w:rPr>
        <w:t>additional payment </w:t>
      </w:r>
      <w:r>
        <w:rPr/>
        <w:t>of </w:t>
      </w:r>
      <w:r>
        <w:rPr>
          <w:spacing w:val="-3"/>
        </w:rPr>
        <w:t>Outlier Days, Transfer </w:t>
      </w:r>
      <w:r>
        <w:rPr/>
        <w:t>Per </w:t>
      </w:r>
      <w:r>
        <w:rPr>
          <w:spacing w:val="-3"/>
        </w:rPr>
        <w:t>Diems, Administrative Days </w:t>
      </w:r>
      <w:r>
        <w:rPr/>
        <w:t>and </w:t>
      </w:r>
      <w:r>
        <w:rPr>
          <w:spacing w:val="-3"/>
        </w:rPr>
        <w:t>Physician </w:t>
      </w:r>
      <w:r>
        <w:rPr>
          <w:spacing w:val="-4"/>
        </w:rPr>
        <w:t>Payments.</w:t>
      </w:r>
    </w:p>
    <w:p>
      <w:pPr>
        <w:pStyle w:val="BodyText"/>
        <w:spacing w:before="9"/>
      </w:pPr>
    </w:p>
    <w:p>
      <w:pPr>
        <w:pStyle w:val="BodyText"/>
        <w:spacing w:line="242" w:lineRule="auto"/>
        <w:ind w:left="652" w:right="43" w:hanging="540"/>
      </w:pPr>
      <w:r>
        <w:rPr>
          <w:b/>
          <w:spacing w:val="-3"/>
        </w:rPr>
        <w:t>Third-Party Insurance </w:t>
      </w:r>
      <w:r>
        <w:rPr>
          <w:b/>
        </w:rPr>
        <w:t>— </w:t>
      </w:r>
      <w:r>
        <w:rPr/>
        <w:t>any </w:t>
      </w:r>
      <w:r>
        <w:rPr>
          <w:spacing w:val="-3"/>
        </w:rPr>
        <w:t>insurance, including Medicare, that </w:t>
      </w:r>
      <w:r>
        <w:rPr/>
        <w:t>is or </w:t>
      </w:r>
      <w:r>
        <w:rPr>
          <w:spacing w:val="-3"/>
        </w:rPr>
        <w:t>may </w:t>
      </w:r>
      <w:r>
        <w:rPr/>
        <w:t>be </w:t>
      </w:r>
      <w:r>
        <w:rPr>
          <w:spacing w:val="-3"/>
        </w:rPr>
        <w:t>liable </w:t>
      </w:r>
      <w:r>
        <w:rPr/>
        <w:t>to pay all or </w:t>
      </w:r>
      <w:r>
        <w:rPr>
          <w:spacing w:val="-3"/>
        </w:rPr>
        <w:t>part of </w:t>
      </w:r>
      <w:r>
        <w:rPr/>
        <w:t>the </w:t>
      </w:r>
      <w:r>
        <w:rPr>
          <w:spacing w:val="-3"/>
        </w:rPr>
        <w:t>Member’s medical claims. Third-Party Insurance includes </w:t>
      </w:r>
      <w:r>
        <w:rPr/>
        <w:t>a </w:t>
      </w:r>
      <w:r>
        <w:rPr>
          <w:spacing w:val="-3"/>
        </w:rPr>
        <w:t>MassHealth Member’s own insurance.</w:t>
      </w:r>
    </w:p>
    <w:p>
      <w:pPr>
        <w:pStyle w:val="BodyText"/>
        <w:spacing w:before="7"/>
      </w:pPr>
    </w:p>
    <w:p>
      <w:pPr>
        <w:pStyle w:val="BodyText"/>
        <w:spacing w:line="242" w:lineRule="auto" w:before="1"/>
        <w:ind w:left="652" w:right="130" w:hanging="540"/>
      </w:pPr>
      <w:r>
        <w:rPr>
          <w:b/>
          <w:spacing w:val="-4"/>
        </w:rPr>
        <w:t>Title </w:t>
      </w:r>
      <w:r>
        <w:rPr>
          <w:b/>
          <w:spacing w:val="-3"/>
        </w:rPr>
        <w:t>XIX </w:t>
      </w:r>
      <w:r>
        <w:rPr/>
        <w:t>— </w:t>
      </w:r>
      <w:r>
        <w:rPr>
          <w:spacing w:val="-4"/>
        </w:rPr>
        <w:t>Title </w:t>
      </w:r>
      <w:r>
        <w:rPr>
          <w:spacing w:val="-3"/>
        </w:rPr>
        <w:t>XIX </w:t>
      </w:r>
      <w:r>
        <w:rPr/>
        <w:t>of </w:t>
      </w:r>
      <w:r>
        <w:rPr>
          <w:spacing w:val="-3"/>
        </w:rPr>
        <w:t>the </w:t>
      </w:r>
      <w:r>
        <w:rPr>
          <w:spacing w:val="-4"/>
        </w:rPr>
        <w:t>Social Security </w:t>
      </w:r>
      <w:r>
        <w:rPr>
          <w:spacing w:val="-3"/>
        </w:rPr>
        <w:t>Act, </w:t>
      </w:r>
      <w:r>
        <w:rPr/>
        <w:t>42 </w:t>
      </w:r>
      <w:r>
        <w:rPr>
          <w:spacing w:val="-4"/>
        </w:rPr>
        <w:t>U.S.C. </w:t>
      </w:r>
      <w:r>
        <w:rPr/>
        <w:t>§ </w:t>
      </w:r>
      <w:r>
        <w:rPr>
          <w:spacing w:val="-3"/>
        </w:rPr>
        <w:t>1396 </w:t>
      </w:r>
      <w:r>
        <w:rPr/>
        <w:t>et </w:t>
      </w:r>
      <w:r>
        <w:rPr>
          <w:spacing w:val="-4"/>
        </w:rPr>
        <w:t>seq., </w:t>
      </w:r>
      <w:r>
        <w:rPr/>
        <w:t>or </w:t>
      </w:r>
      <w:r>
        <w:rPr>
          <w:spacing w:val="-3"/>
        </w:rPr>
        <w:t>any </w:t>
      </w:r>
      <w:r>
        <w:rPr>
          <w:spacing w:val="-4"/>
        </w:rPr>
        <w:t>successor statute enacted </w:t>
      </w:r>
      <w:r>
        <w:rPr>
          <w:spacing w:val="-3"/>
        </w:rPr>
        <w:t>into </w:t>
      </w:r>
      <w:r>
        <w:rPr>
          <w:spacing w:val="-4"/>
        </w:rPr>
        <w:t>federal </w:t>
      </w:r>
      <w:r>
        <w:rPr>
          <w:spacing w:val="-3"/>
        </w:rPr>
        <w:t>law for the </w:t>
      </w:r>
      <w:r>
        <w:rPr>
          <w:spacing w:val="-4"/>
        </w:rPr>
        <w:t>same purposes </w:t>
      </w:r>
      <w:r>
        <w:rPr/>
        <w:t>as </w:t>
      </w:r>
      <w:r>
        <w:rPr>
          <w:spacing w:val="-4"/>
        </w:rPr>
        <w:t>Title XIX.</w:t>
      </w:r>
    </w:p>
    <w:p>
      <w:pPr>
        <w:pStyle w:val="BodyText"/>
        <w:spacing w:before="8"/>
      </w:pPr>
    </w:p>
    <w:p>
      <w:pPr>
        <w:pStyle w:val="BodyText"/>
        <w:spacing w:line="242" w:lineRule="auto"/>
        <w:ind w:left="652" w:right="130" w:hanging="540"/>
      </w:pPr>
      <w:r>
        <w:rPr>
          <w:b/>
          <w:spacing w:val="-3"/>
        </w:rPr>
        <w:t>Total EAPG Payment </w:t>
      </w:r>
      <w:r>
        <w:rPr/>
        <w:t>— an </w:t>
      </w:r>
      <w:r>
        <w:rPr>
          <w:spacing w:val="-3"/>
        </w:rPr>
        <w:t>adjusted calculation </w:t>
      </w:r>
      <w:r>
        <w:rPr/>
        <w:t>of </w:t>
      </w:r>
      <w:r>
        <w:rPr>
          <w:spacing w:val="-3"/>
        </w:rPr>
        <w:t>total payment </w:t>
      </w:r>
      <w:r>
        <w:rPr/>
        <w:t>for </w:t>
      </w:r>
      <w:r>
        <w:rPr>
          <w:spacing w:val="-3"/>
        </w:rPr>
        <w:t>PAPE Covered Services provided </w:t>
      </w:r>
      <w:r>
        <w:rPr/>
        <w:t>to </w:t>
      </w:r>
      <w:r>
        <w:rPr>
          <w:spacing w:val="-3"/>
        </w:rPr>
        <w:t>MassHealth Members </w:t>
      </w:r>
      <w:r>
        <w:rPr/>
        <w:t>in the </w:t>
      </w:r>
      <w:r>
        <w:rPr>
          <w:spacing w:val="-3"/>
        </w:rPr>
        <w:t>PAPE Base Year using </w:t>
      </w:r>
      <w:r>
        <w:rPr/>
        <w:t>the </w:t>
      </w:r>
      <w:r>
        <w:rPr>
          <w:spacing w:val="-3"/>
        </w:rPr>
        <w:t>EAPG grouper, </w:t>
      </w:r>
      <w:r>
        <w:rPr/>
        <w:t>and </w:t>
      </w:r>
      <w:r>
        <w:rPr>
          <w:spacing w:val="-3"/>
        </w:rPr>
        <w:t>calculating the Episode Cost using </w:t>
      </w:r>
      <w:r>
        <w:rPr/>
        <w:t>the </w:t>
      </w:r>
      <w:r>
        <w:rPr>
          <w:spacing w:val="-3"/>
        </w:rPr>
        <w:t>FY12 outpatient cost-to-charge ratio.</w:t>
      </w:r>
    </w:p>
    <w:p>
      <w:pPr>
        <w:pStyle w:val="BodyText"/>
        <w:spacing w:before="7"/>
      </w:pPr>
    </w:p>
    <w:p>
      <w:pPr>
        <w:pStyle w:val="BodyText"/>
        <w:spacing w:line="242" w:lineRule="auto" w:before="1"/>
        <w:ind w:left="652" w:right="116" w:hanging="540"/>
      </w:pPr>
      <w:r>
        <w:rPr>
          <w:b/>
          <w:spacing w:val="-3"/>
        </w:rPr>
        <w:t>Transfer Patient </w:t>
      </w:r>
      <w:r>
        <w:rPr>
          <w:b/>
        </w:rPr>
        <w:t>— </w:t>
      </w:r>
      <w:r>
        <w:rPr/>
        <w:t>any </w:t>
      </w:r>
      <w:r>
        <w:rPr>
          <w:spacing w:val="-3"/>
        </w:rPr>
        <w:t>inpatient </w:t>
      </w:r>
      <w:r>
        <w:rPr/>
        <w:t>who </w:t>
      </w:r>
      <w:r>
        <w:rPr>
          <w:spacing w:val="-3"/>
        </w:rPr>
        <w:t>meets </w:t>
      </w:r>
      <w:r>
        <w:rPr/>
        <w:t>any of the </w:t>
      </w:r>
      <w:r>
        <w:rPr>
          <w:spacing w:val="-3"/>
        </w:rPr>
        <w:t>following criteria: </w:t>
      </w:r>
      <w:r>
        <w:rPr/>
        <w:t>(1) is </w:t>
      </w:r>
      <w:r>
        <w:rPr>
          <w:spacing w:val="-3"/>
        </w:rPr>
        <w:t>transferred between Acute Hospitals; </w:t>
      </w:r>
      <w:r>
        <w:rPr/>
        <w:t>(2) is </w:t>
      </w:r>
      <w:r>
        <w:rPr>
          <w:spacing w:val="-3"/>
        </w:rPr>
        <w:t>transferred between </w:t>
      </w:r>
      <w:r>
        <w:rPr/>
        <w:t>a </w:t>
      </w:r>
      <w:r>
        <w:rPr>
          <w:spacing w:val="-3"/>
        </w:rPr>
        <w:t>DMH-Licensed </w:t>
      </w:r>
      <w:r>
        <w:rPr/>
        <w:t>Bed and a </w:t>
      </w:r>
      <w:r>
        <w:rPr>
          <w:spacing w:val="-3"/>
        </w:rPr>
        <w:t>medical/surgical unit </w:t>
      </w:r>
      <w:r>
        <w:rPr/>
        <w:t>in </w:t>
      </w:r>
      <w:r>
        <w:rPr>
          <w:spacing w:val="-3"/>
        </w:rPr>
        <w:t>an Acute Hospital; </w:t>
      </w:r>
      <w:r>
        <w:rPr/>
        <w:t>(3) is </w:t>
      </w:r>
      <w:r>
        <w:rPr>
          <w:spacing w:val="-3"/>
        </w:rPr>
        <w:t>receiving treatment </w:t>
      </w:r>
      <w:r>
        <w:rPr/>
        <w:t>for a </w:t>
      </w:r>
      <w:r>
        <w:rPr>
          <w:spacing w:val="-3"/>
        </w:rPr>
        <w:t>substance-related disorder </w:t>
      </w:r>
      <w:r>
        <w:rPr/>
        <w:t>or </w:t>
      </w:r>
      <w:r>
        <w:rPr>
          <w:spacing w:val="-3"/>
        </w:rPr>
        <w:t>mental health-related services </w:t>
      </w:r>
      <w:r>
        <w:rPr/>
        <w:t>and </w:t>
      </w:r>
      <w:r>
        <w:rPr>
          <w:spacing w:val="-3"/>
        </w:rPr>
        <w:t>whose enrollment status with </w:t>
      </w:r>
      <w:r>
        <w:rPr/>
        <w:t>the BH </w:t>
      </w:r>
      <w:r>
        <w:rPr>
          <w:spacing w:val="-3"/>
        </w:rPr>
        <w:t>Contractor changes; </w:t>
      </w:r>
      <w:r>
        <w:rPr/>
        <w:t>(4) who </w:t>
      </w:r>
      <w:r>
        <w:rPr>
          <w:spacing w:val="-3"/>
        </w:rPr>
        <w:t>becomes eligible for MassHealth after </w:t>
      </w:r>
      <w:r>
        <w:rPr/>
        <w:t>the </w:t>
      </w:r>
      <w:r>
        <w:rPr>
          <w:spacing w:val="-3"/>
        </w:rPr>
        <w:t>date </w:t>
      </w:r>
      <w:r>
        <w:rPr/>
        <w:t>of </w:t>
      </w:r>
      <w:r>
        <w:rPr>
          <w:spacing w:val="-3"/>
        </w:rPr>
        <w:t>admission </w:t>
      </w:r>
      <w:r>
        <w:rPr/>
        <w:t>and </w:t>
      </w:r>
      <w:r>
        <w:rPr>
          <w:spacing w:val="-3"/>
        </w:rPr>
        <w:t>prior </w:t>
      </w:r>
      <w:r>
        <w:rPr/>
        <w:t>to the </w:t>
      </w:r>
      <w:r>
        <w:rPr>
          <w:spacing w:val="-3"/>
        </w:rPr>
        <w:t>date </w:t>
      </w:r>
      <w:r>
        <w:rPr/>
        <w:t>of </w:t>
      </w:r>
      <w:r>
        <w:rPr>
          <w:spacing w:val="-3"/>
        </w:rPr>
        <w:t>discharge; </w:t>
      </w:r>
      <w:r>
        <w:rPr/>
        <w:t>(5) is a </w:t>
      </w:r>
      <w:r>
        <w:rPr>
          <w:spacing w:val="-3"/>
        </w:rPr>
        <w:t>Member who exhausts other insurance benefits after </w:t>
      </w:r>
      <w:r>
        <w:rPr/>
        <w:t>the </w:t>
      </w:r>
      <w:r>
        <w:rPr>
          <w:spacing w:val="-3"/>
        </w:rPr>
        <w:t>date </w:t>
      </w:r>
      <w:r>
        <w:rPr/>
        <w:t>of </w:t>
      </w:r>
      <w:r>
        <w:rPr>
          <w:spacing w:val="-3"/>
        </w:rPr>
        <w:t>admission </w:t>
      </w:r>
      <w:r>
        <w:rPr/>
        <w:t>and </w:t>
      </w:r>
      <w:r>
        <w:rPr>
          <w:spacing w:val="-3"/>
        </w:rPr>
        <w:t>prior </w:t>
      </w:r>
      <w:r>
        <w:rPr/>
        <w:t>to the </w:t>
      </w:r>
      <w:r>
        <w:rPr>
          <w:spacing w:val="-3"/>
        </w:rPr>
        <w:t>date </w:t>
      </w:r>
      <w:r>
        <w:rPr/>
        <w:t>of </w:t>
      </w:r>
      <w:r>
        <w:rPr>
          <w:spacing w:val="-3"/>
        </w:rPr>
        <w:t>discharge; (6) </w:t>
      </w:r>
      <w:r>
        <w:rPr/>
        <w:t>who </w:t>
      </w:r>
      <w:r>
        <w:rPr>
          <w:spacing w:val="-3"/>
        </w:rPr>
        <w:t>transfers, after </w:t>
      </w:r>
      <w:r>
        <w:rPr/>
        <w:t>the </w:t>
      </w:r>
      <w:r>
        <w:rPr>
          <w:spacing w:val="-3"/>
        </w:rPr>
        <w:t>date </w:t>
      </w:r>
      <w:r>
        <w:rPr/>
        <w:t>of </w:t>
      </w:r>
      <w:r>
        <w:rPr>
          <w:spacing w:val="-3"/>
        </w:rPr>
        <w:t>admission, from the </w:t>
      </w:r>
      <w:r>
        <w:rPr/>
        <w:t>PCC </w:t>
      </w:r>
      <w:r>
        <w:rPr>
          <w:spacing w:val="-3"/>
        </w:rPr>
        <w:t>Plan </w:t>
      </w:r>
      <w:r>
        <w:rPr/>
        <w:t>or </w:t>
      </w:r>
      <w:r>
        <w:rPr>
          <w:spacing w:val="-3"/>
        </w:rPr>
        <w:t>non-managed care </w:t>
      </w:r>
      <w:r>
        <w:rPr/>
        <w:t>to an </w:t>
      </w:r>
      <w:r>
        <w:rPr>
          <w:spacing w:val="-3"/>
        </w:rPr>
        <w:t>MCO, or from </w:t>
      </w:r>
      <w:r>
        <w:rPr/>
        <w:t>an MCO to the PCC </w:t>
      </w:r>
      <w:r>
        <w:rPr>
          <w:spacing w:val="-3"/>
        </w:rPr>
        <w:t>Plan </w:t>
      </w:r>
      <w:r>
        <w:rPr/>
        <w:t>or </w:t>
      </w:r>
      <w:r>
        <w:rPr>
          <w:spacing w:val="-3"/>
        </w:rPr>
        <w:t>non-managed care; </w:t>
      </w:r>
      <w:r>
        <w:rPr/>
        <w:t>or (7) has a </w:t>
      </w:r>
      <w:r>
        <w:rPr>
          <w:spacing w:val="-3"/>
        </w:rPr>
        <w:t>primary diagnosis </w:t>
      </w:r>
      <w:r>
        <w:rPr/>
        <w:t>of a </w:t>
      </w:r>
      <w:r>
        <w:rPr>
          <w:spacing w:val="-3"/>
        </w:rPr>
        <w:t>psychiatric disorder </w:t>
      </w:r>
      <w:r>
        <w:rPr/>
        <w:t>in a </w:t>
      </w:r>
      <w:r>
        <w:rPr>
          <w:spacing w:val="-3"/>
        </w:rPr>
        <w:t>non-DMH-Licensed Bed.</w:t>
      </w:r>
    </w:p>
    <w:p>
      <w:pPr>
        <w:pStyle w:val="BodyText"/>
        <w:spacing w:before="9"/>
      </w:pPr>
    </w:p>
    <w:p>
      <w:pPr>
        <w:spacing w:line="242" w:lineRule="auto" w:before="0"/>
        <w:ind w:left="652" w:right="252" w:hanging="540"/>
        <w:jc w:val="left"/>
        <w:rPr>
          <w:sz w:val="24"/>
        </w:rPr>
      </w:pPr>
      <w:r>
        <w:rPr>
          <w:b/>
          <w:spacing w:val="-3"/>
          <w:sz w:val="24"/>
        </w:rPr>
        <w:t>Usual </w:t>
      </w:r>
      <w:r>
        <w:rPr>
          <w:b/>
          <w:sz w:val="24"/>
        </w:rPr>
        <w:t>and </w:t>
      </w:r>
      <w:r>
        <w:rPr>
          <w:b/>
          <w:spacing w:val="-3"/>
          <w:sz w:val="24"/>
        </w:rPr>
        <w:t>Customary Charge </w:t>
      </w:r>
      <w:r>
        <w:rPr>
          <w:b/>
          <w:sz w:val="24"/>
        </w:rPr>
        <w:t>— </w:t>
      </w:r>
      <w:r>
        <w:rPr>
          <w:sz w:val="24"/>
        </w:rPr>
        <w:t>a </w:t>
      </w:r>
      <w:r>
        <w:rPr>
          <w:spacing w:val="-3"/>
          <w:sz w:val="24"/>
        </w:rPr>
        <w:t>routine </w:t>
      </w:r>
      <w:r>
        <w:rPr>
          <w:sz w:val="24"/>
        </w:rPr>
        <w:t>fee </w:t>
      </w:r>
      <w:r>
        <w:rPr>
          <w:spacing w:val="-3"/>
          <w:sz w:val="24"/>
        </w:rPr>
        <w:t>that Hospitals charge </w:t>
      </w:r>
      <w:r>
        <w:rPr>
          <w:sz w:val="24"/>
        </w:rPr>
        <w:t>for </w:t>
      </w:r>
      <w:r>
        <w:rPr>
          <w:spacing w:val="-3"/>
          <w:sz w:val="24"/>
        </w:rPr>
        <w:t>Acute Inpatient </w:t>
      </w:r>
      <w:r>
        <w:rPr>
          <w:sz w:val="24"/>
        </w:rPr>
        <w:t>and </w:t>
      </w:r>
      <w:r>
        <w:rPr>
          <w:spacing w:val="-3"/>
          <w:sz w:val="24"/>
        </w:rPr>
        <w:t>Outpatient Services, regardless </w:t>
      </w:r>
      <w:r>
        <w:rPr>
          <w:sz w:val="24"/>
        </w:rPr>
        <w:t>of </w:t>
      </w:r>
      <w:r>
        <w:rPr>
          <w:spacing w:val="-3"/>
          <w:sz w:val="24"/>
        </w:rPr>
        <w:t>payer source.</w:t>
      </w:r>
    </w:p>
    <w:p>
      <w:pPr>
        <w:spacing w:after="0" w:line="242" w:lineRule="auto"/>
        <w:jc w:val="left"/>
        <w:rPr>
          <w:sz w:val="24"/>
        </w:rPr>
        <w:sectPr>
          <w:pgSz w:w="12240" w:h="15840"/>
          <w:pgMar w:header="0" w:footer="744" w:top="1380" w:bottom="940" w:left="1040" w:right="980"/>
        </w:sectPr>
      </w:pPr>
    </w:p>
    <w:p>
      <w:pPr>
        <w:pStyle w:val="Heading1"/>
        <w:ind w:left="3096" w:right="0"/>
        <w:jc w:val="left"/>
      </w:pPr>
      <w:r>
        <w:rPr/>
        <w:t>Section 3:  Eligible Applicants</w:t>
      </w:r>
    </w:p>
    <w:p>
      <w:pPr>
        <w:pStyle w:val="BodyText"/>
        <w:spacing w:before="5"/>
        <w:rPr>
          <w:b/>
          <w:sz w:val="32"/>
        </w:rPr>
      </w:pPr>
    </w:p>
    <w:p>
      <w:pPr>
        <w:pStyle w:val="ListParagraph"/>
        <w:numPr>
          <w:ilvl w:val="0"/>
          <w:numId w:val="6"/>
        </w:numPr>
        <w:tabs>
          <w:tab w:pos="651" w:val="left" w:leader="none"/>
          <w:tab w:pos="652" w:val="left" w:leader="none"/>
        </w:tabs>
        <w:spacing w:line="240" w:lineRule="auto" w:before="1" w:after="0"/>
        <w:ind w:left="652" w:right="0" w:hanging="540"/>
        <w:jc w:val="left"/>
        <w:rPr>
          <w:sz w:val="24"/>
        </w:rPr>
      </w:pPr>
      <w:r>
        <w:rPr>
          <w:spacing w:val="-3"/>
          <w:sz w:val="24"/>
        </w:rPr>
        <w:t>In-state Acute Hospitals </w:t>
      </w:r>
      <w:r>
        <w:rPr>
          <w:sz w:val="24"/>
        </w:rPr>
        <w:t>are </w:t>
      </w:r>
      <w:r>
        <w:rPr>
          <w:spacing w:val="-3"/>
          <w:sz w:val="24"/>
        </w:rPr>
        <w:t>eligible </w:t>
      </w:r>
      <w:r>
        <w:rPr>
          <w:sz w:val="24"/>
        </w:rPr>
        <w:t>to </w:t>
      </w:r>
      <w:r>
        <w:rPr>
          <w:spacing w:val="-3"/>
          <w:sz w:val="24"/>
        </w:rPr>
        <w:t>apply for </w:t>
      </w:r>
      <w:r>
        <w:rPr>
          <w:sz w:val="24"/>
        </w:rPr>
        <w:t>a </w:t>
      </w:r>
      <w:r>
        <w:rPr>
          <w:spacing w:val="-3"/>
          <w:sz w:val="24"/>
        </w:rPr>
        <w:t>Contract pursuant </w:t>
      </w:r>
      <w:r>
        <w:rPr>
          <w:sz w:val="24"/>
        </w:rPr>
        <w:t>to </w:t>
      </w:r>
      <w:r>
        <w:rPr>
          <w:spacing w:val="-3"/>
          <w:sz w:val="24"/>
        </w:rPr>
        <w:t>this </w:t>
      </w:r>
      <w:r>
        <w:rPr>
          <w:sz w:val="24"/>
        </w:rPr>
        <w:t>RFA if</w:t>
      </w:r>
      <w:r>
        <w:rPr>
          <w:spacing w:val="-44"/>
          <w:sz w:val="24"/>
        </w:rPr>
        <w:t> </w:t>
      </w:r>
      <w:r>
        <w:rPr>
          <w:spacing w:val="-3"/>
          <w:sz w:val="24"/>
        </w:rPr>
        <w:t>they:</w:t>
      </w:r>
    </w:p>
    <w:p>
      <w:pPr>
        <w:pStyle w:val="BodyText"/>
        <w:rPr>
          <w:sz w:val="25"/>
        </w:rPr>
      </w:pPr>
    </w:p>
    <w:p>
      <w:pPr>
        <w:pStyle w:val="ListParagraph"/>
        <w:numPr>
          <w:ilvl w:val="1"/>
          <w:numId w:val="6"/>
        </w:numPr>
        <w:tabs>
          <w:tab w:pos="1191" w:val="left" w:leader="none"/>
          <w:tab w:pos="1192" w:val="left" w:leader="none"/>
        </w:tabs>
        <w:spacing w:line="242" w:lineRule="auto" w:before="0" w:after="0"/>
        <w:ind w:left="1192" w:right="506" w:hanging="540"/>
        <w:jc w:val="left"/>
        <w:rPr>
          <w:sz w:val="24"/>
        </w:rPr>
      </w:pPr>
      <w:r>
        <w:rPr>
          <w:spacing w:val="-3"/>
          <w:sz w:val="24"/>
        </w:rPr>
        <w:t>Operate under </w:t>
      </w:r>
      <w:r>
        <w:rPr>
          <w:sz w:val="24"/>
        </w:rPr>
        <w:t>a </w:t>
      </w:r>
      <w:r>
        <w:rPr>
          <w:spacing w:val="-3"/>
          <w:sz w:val="24"/>
        </w:rPr>
        <w:t>Hospital license issued </w:t>
      </w:r>
      <w:r>
        <w:rPr>
          <w:sz w:val="24"/>
        </w:rPr>
        <w:t>by the </w:t>
      </w:r>
      <w:r>
        <w:rPr>
          <w:spacing w:val="-3"/>
          <w:sz w:val="24"/>
        </w:rPr>
        <w:t>Massachusetts Department </w:t>
      </w:r>
      <w:r>
        <w:rPr>
          <w:sz w:val="24"/>
        </w:rPr>
        <w:t>of </w:t>
      </w:r>
      <w:r>
        <w:rPr>
          <w:spacing w:val="-3"/>
          <w:sz w:val="24"/>
        </w:rPr>
        <w:t>Public Health (DPH);</w:t>
      </w:r>
    </w:p>
    <w:p>
      <w:pPr>
        <w:pStyle w:val="BodyText"/>
        <w:spacing w:before="8"/>
      </w:pPr>
    </w:p>
    <w:p>
      <w:pPr>
        <w:pStyle w:val="ListParagraph"/>
        <w:numPr>
          <w:ilvl w:val="1"/>
          <w:numId w:val="6"/>
        </w:numPr>
        <w:tabs>
          <w:tab w:pos="1191" w:val="left" w:leader="none"/>
          <w:tab w:pos="1192" w:val="left" w:leader="none"/>
        </w:tabs>
        <w:spacing w:line="240" w:lineRule="auto" w:before="0" w:after="0"/>
        <w:ind w:left="1192" w:right="0" w:hanging="540"/>
        <w:jc w:val="left"/>
        <w:rPr>
          <w:sz w:val="24"/>
        </w:rPr>
      </w:pPr>
      <w:r>
        <w:rPr>
          <w:sz w:val="24"/>
        </w:rPr>
        <w:t>Are </w:t>
      </w:r>
      <w:r>
        <w:rPr>
          <w:spacing w:val="-3"/>
          <w:sz w:val="24"/>
        </w:rPr>
        <w:t>Medicare-certified </w:t>
      </w:r>
      <w:r>
        <w:rPr>
          <w:sz w:val="24"/>
        </w:rPr>
        <w:t>and </w:t>
      </w:r>
      <w:r>
        <w:rPr>
          <w:spacing w:val="-3"/>
          <w:sz w:val="24"/>
        </w:rPr>
        <w:t>participate </w:t>
      </w:r>
      <w:r>
        <w:rPr>
          <w:sz w:val="24"/>
        </w:rPr>
        <w:t>in the </w:t>
      </w:r>
      <w:r>
        <w:rPr>
          <w:spacing w:val="-3"/>
          <w:sz w:val="24"/>
        </w:rPr>
        <w:t>Medicare</w:t>
      </w:r>
      <w:r>
        <w:rPr>
          <w:spacing w:val="-40"/>
          <w:sz w:val="24"/>
        </w:rPr>
        <w:t> </w:t>
      </w:r>
      <w:r>
        <w:rPr>
          <w:spacing w:val="-3"/>
          <w:sz w:val="24"/>
        </w:rPr>
        <w:t>program;</w:t>
      </w:r>
    </w:p>
    <w:p>
      <w:pPr>
        <w:pStyle w:val="BodyText"/>
        <w:spacing w:before="11"/>
      </w:pPr>
    </w:p>
    <w:p>
      <w:pPr>
        <w:pStyle w:val="ListParagraph"/>
        <w:numPr>
          <w:ilvl w:val="1"/>
          <w:numId w:val="6"/>
        </w:numPr>
        <w:tabs>
          <w:tab w:pos="1192" w:val="left" w:leader="none"/>
        </w:tabs>
        <w:spacing w:line="242" w:lineRule="auto" w:before="0" w:after="0"/>
        <w:ind w:left="1192" w:right="226" w:hanging="540"/>
        <w:jc w:val="both"/>
        <w:rPr>
          <w:sz w:val="24"/>
        </w:rPr>
      </w:pPr>
      <w:r>
        <w:rPr>
          <w:spacing w:val="-3"/>
          <w:sz w:val="24"/>
        </w:rPr>
        <w:t>Have more than </w:t>
      </w:r>
      <w:r>
        <w:rPr>
          <w:sz w:val="24"/>
        </w:rPr>
        <w:t>50% of </w:t>
      </w:r>
      <w:r>
        <w:rPr>
          <w:spacing w:val="-3"/>
          <w:sz w:val="24"/>
        </w:rPr>
        <w:t>their beds licensed </w:t>
      </w:r>
      <w:r>
        <w:rPr>
          <w:sz w:val="24"/>
        </w:rPr>
        <w:t>as </w:t>
      </w:r>
      <w:r>
        <w:rPr>
          <w:spacing w:val="-3"/>
          <w:sz w:val="24"/>
        </w:rPr>
        <w:t>medical/surgical, intensive care, coronary care, burn, pediatric (Level </w:t>
      </w:r>
      <w:r>
        <w:rPr>
          <w:sz w:val="24"/>
        </w:rPr>
        <w:t>I or </w:t>
      </w:r>
      <w:r>
        <w:rPr>
          <w:spacing w:val="-3"/>
          <w:sz w:val="24"/>
        </w:rPr>
        <w:t>Level II), pediatric intensive care (Level III), maternal (Obstetrics), </w:t>
      </w:r>
      <w:r>
        <w:rPr>
          <w:sz w:val="24"/>
        </w:rPr>
        <w:t>or </w:t>
      </w:r>
      <w:r>
        <w:rPr>
          <w:spacing w:val="-3"/>
          <w:sz w:val="24"/>
        </w:rPr>
        <w:t>neonatal intensive care beds (Level III), </w:t>
      </w:r>
      <w:r>
        <w:rPr>
          <w:sz w:val="24"/>
        </w:rPr>
        <w:t>as </w:t>
      </w:r>
      <w:r>
        <w:rPr>
          <w:spacing w:val="-3"/>
          <w:sz w:val="24"/>
        </w:rPr>
        <w:t>determined </w:t>
      </w:r>
      <w:r>
        <w:rPr>
          <w:sz w:val="24"/>
        </w:rPr>
        <w:t>by </w:t>
      </w:r>
      <w:r>
        <w:rPr>
          <w:spacing w:val="-3"/>
          <w:sz w:val="24"/>
        </w:rPr>
        <w:t>DPH;</w:t>
      </w:r>
      <w:r>
        <w:rPr>
          <w:spacing w:val="-21"/>
          <w:sz w:val="24"/>
        </w:rPr>
        <w:t> </w:t>
      </w:r>
      <w:r>
        <w:rPr>
          <w:spacing w:val="-3"/>
          <w:sz w:val="24"/>
        </w:rPr>
        <w:t>and</w:t>
      </w:r>
    </w:p>
    <w:p>
      <w:pPr>
        <w:pStyle w:val="BodyText"/>
        <w:spacing w:before="9"/>
      </w:pPr>
    </w:p>
    <w:p>
      <w:pPr>
        <w:pStyle w:val="ListParagraph"/>
        <w:numPr>
          <w:ilvl w:val="1"/>
          <w:numId w:val="6"/>
        </w:numPr>
        <w:tabs>
          <w:tab w:pos="1191" w:val="left" w:leader="none"/>
          <w:tab w:pos="1192" w:val="left" w:leader="none"/>
        </w:tabs>
        <w:spacing w:line="242" w:lineRule="auto" w:before="0" w:after="0"/>
        <w:ind w:left="1192" w:right="220" w:hanging="540"/>
        <w:jc w:val="left"/>
        <w:rPr>
          <w:sz w:val="24"/>
        </w:rPr>
      </w:pPr>
      <w:r>
        <w:rPr>
          <w:spacing w:val="-3"/>
          <w:sz w:val="24"/>
        </w:rPr>
        <w:t>Currently utilize more than </w:t>
      </w:r>
      <w:r>
        <w:rPr>
          <w:sz w:val="24"/>
        </w:rPr>
        <w:t>50% of </w:t>
      </w:r>
      <w:r>
        <w:rPr>
          <w:spacing w:val="-3"/>
          <w:sz w:val="24"/>
        </w:rPr>
        <w:t>their beds exclusively </w:t>
      </w:r>
      <w:r>
        <w:rPr>
          <w:sz w:val="24"/>
        </w:rPr>
        <w:t>as </w:t>
      </w:r>
      <w:r>
        <w:rPr>
          <w:spacing w:val="-3"/>
          <w:sz w:val="24"/>
        </w:rPr>
        <w:t>either medical/surgical, intensive care, coronary care, burn, pediatric (Level </w:t>
      </w:r>
      <w:r>
        <w:rPr>
          <w:sz w:val="24"/>
        </w:rPr>
        <w:t>I or </w:t>
      </w:r>
      <w:r>
        <w:rPr>
          <w:spacing w:val="-3"/>
          <w:sz w:val="24"/>
        </w:rPr>
        <w:t>Level II), pediatric intensive care (Level III), maternal (Obstetrics), </w:t>
      </w:r>
      <w:r>
        <w:rPr>
          <w:sz w:val="24"/>
        </w:rPr>
        <w:t>or </w:t>
      </w:r>
      <w:r>
        <w:rPr>
          <w:spacing w:val="-3"/>
          <w:sz w:val="24"/>
        </w:rPr>
        <w:t>neonatal intensive care beds (Level III), </w:t>
      </w:r>
      <w:r>
        <w:rPr>
          <w:sz w:val="24"/>
        </w:rPr>
        <w:t>as </w:t>
      </w:r>
      <w:r>
        <w:rPr>
          <w:spacing w:val="-3"/>
          <w:sz w:val="24"/>
        </w:rPr>
        <w:t>determined </w:t>
      </w:r>
      <w:r>
        <w:rPr>
          <w:sz w:val="24"/>
        </w:rPr>
        <w:t>by</w:t>
      </w:r>
      <w:r>
        <w:rPr>
          <w:spacing w:val="-19"/>
          <w:sz w:val="24"/>
        </w:rPr>
        <w:t> </w:t>
      </w:r>
      <w:r>
        <w:rPr>
          <w:spacing w:val="-3"/>
          <w:sz w:val="24"/>
        </w:rPr>
        <w:t>EOHHS.</w:t>
      </w:r>
    </w:p>
    <w:p>
      <w:pPr>
        <w:pStyle w:val="BodyText"/>
        <w:spacing w:before="8"/>
      </w:pPr>
    </w:p>
    <w:p>
      <w:pPr>
        <w:pStyle w:val="BodyText"/>
        <w:spacing w:line="244" w:lineRule="auto"/>
        <w:ind w:left="652" w:right="130"/>
      </w:pPr>
      <w:r>
        <w:rPr/>
        <w:t>In </w:t>
      </w:r>
      <w:r>
        <w:rPr>
          <w:spacing w:val="-3"/>
        </w:rPr>
        <w:t>determining whether </w:t>
      </w:r>
      <w:r>
        <w:rPr/>
        <w:t>a </w:t>
      </w:r>
      <w:r>
        <w:rPr>
          <w:spacing w:val="-3"/>
        </w:rPr>
        <w:t>Hospital satisfies </w:t>
      </w:r>
      <w:r>
        <w:rPr/>
        <w:t>the </w:t>
      </w:r>
      <w:r>
        <w:rPr>
          <w:spacing w:val="-3"/>
        </w:rPr>
        <w:t>utilization requirement </w:t>
      </w:r>
      <w:r>
        <w:rPr/>
        <w:t>set </w:t>
      </w:r>
      <w:r>
        <w:rPr>
          <w:spacing w:val="-3"/>
        </w:rPr>
        <w:t>forth </w:t>
      </w:r>
      <w:r>
        <w:rPr/>
        <w:t>in </w:t>
      </w:r>
      <w:r>
        <w:rPr>
          <w:b/>
          <w:spacing w:val="-3"/>
        </w:rPr>
        <w:t>Section 3.A.4</w:t>
      </w:r>
      <w:r>
        <w:rPr>
          <w:spacing w:val="-3"/>
        </w:rPr>
        <w:t>, EOHHS may evaluate, pursuant </w:t>
      </w:r>
      <w:r>
        <w:rPr/>
        <w:t>to an </w:t>
      </w:r>
      <w:r>
        <w:rPr>
          <w:spacing w:val="-3"/>
        </w:rPr>
        <w:t>on-site audit </w:t>
      </w:r>
      <w:r>
        <w:rPr/>
        <w:t>or </w:t>
      </w:r>
      <w:r>
        <w:rPr>
          <w:spacing w:val="-3"/>
        </w:rPr>
        <w:t>otherwise, </w:t>
      </w:r>
      <w:r>
        <w:rPr/>
        <w:t>a </w:t>
      </w:r>
      <w:r>
        <w:rPr>
          <w:spacing w:val="-3"/>
        </w:rPr>
        <w:t>number </w:t>
      </w:r>
      <w:r>
        <w:rPr/>
        <w:t>of </w:t>
      </w:r>
      <w:r>
        <w:rPr>
          <w:spacing w:val="-3"/>
        </w:rPr>
        <w:t>factors including, but </w:t>
      </w:r>
      <w:r>
        <w:rPr/>
        <w:t>not </w:t>
      </w:r>
      <w:r>
        <w:rPr>
          <w:spacing w:val="-3"/>
        </w:rPr>
        <w:t>limited </w:t>
      </w:r>
      <w:r>
        <w:rPr/>
        <w:t>to, the </w:t>
      </w:r>
      <w:r>
        <w:rPr>
          <w:spacing w:val="-3"/>
        </w:rPr>
        <w:t>average length </w:t>
      </w:r>
      <w:r>
        <w:rPr/>
        <w:t>of </w:t>
      </w:r>
      <w:r>
        <w:rPr>
          <w:spacing w:val="-3"/>
        </w:rPr>
        <w:t>patient stay (see </w:t>
      </w:r>
      <w:r>
        <w:rPr>
          <w:b/>
          <w:spacing w:val="-3"/>
        </w:rPr>
        <w:t>Section 11.B.5</w:t>
      </w:r>
      <w:r>
        <w:rPr>
          <w:spacing w:val="-3"/>
        </w:rPr>
        <w:t>) </w:t>
      </w:r>
      <w:r>
        <w:rPr/>
        <w:t>at </w:t>
      </w:r>
      <w:r>
        <w:rPr>
          <w:spacing w:val="-3"/>
        </w:rPr>
        <w:t>that Hospital.</w:t>
      </w:r>
    </w:p>
    <w:p>
      <w:pPr>
        <w:pStyle w:val="BodyText"/>
        <w:spacing w:before="6"/>
      </w:pPr>
    </w:p>
    <w:p>
      <w:pPr>
        <w:pStyle w:val="ListParagraph"/>
        <w:numPr>
          <w:ilvl w:val="0"/>
          <w:numId w:val="6"/>
        </w:numPr>
        <w:tabs>
          <w:tab w:pos="651" w:val="left" w:leader="none"/>
          <w:tab w:pos="652" w:val="left" w:leader="none"/>
        </w:tabs>
        <w:spacing w:line="242" w:lineRule="auto" w:before="0" w:after="0"/>
        <w:ind w:left="652" w:right="1215" w:hanging="540"/>
        <w:jc w:val="left"/>
        <w:rPr>
          <w:sz w:val="24"/>
        </w:rPr>
      </w:pPr>
      <w:r>
        <w:rPr>
          <w:sz w:val="24"/>
        </w:rPr>
        <w:t>The </w:t>
      </w:r>
      <w:r>
        <w:rPr>
          <w:spacing w:val="-3"/>
          <w:sz w:val="24"/>
        </w:rPr>
        <w:t>Hospital shall apply </w:t>
      </w:r>
      <w:r>
        <w:rPr>
          <w:sz w:val="24"/>
        </w:rPr>
        <w:t>on </w:t>
      </w:r>
      <w:r>
        <w:rPr>
          <w:spacing w:val="-3"/>
          <w:sz w:val="24"/>
        </w:rPr>
        <w:t>behalf </w:t>
      </w:r>
      <w:r>
        <w:rPr>
          <w:sz w:val="24"/>
        </w:rPr>
        <w:t>of all </w:t>
      </w:r>
      <w:r>
        <w:rPr>
          <w:spacing w:val="-3"/>
          <w:sz w:val="24"/>
        </w:rPr>
        <w:t>Inpatient Departments, Outpatient </w:t>
      </w:r>
      <w:r>
        <w:rPr>
          <w:spacing w:val="-4"/>
          <w:sz w:val="24"/>
        </w:rPr>
        <w:t>Departments, </w:t>
      </w:r>
      <w:r>
        <w:rPr>
          <w:spacing w:val="-3"/>
          <w:sz w:val="24"/>
        </w:rPr>
        <w:t>Emergency Departments </w:t>
      </w:r>
      <w:r>
        <w:rPr>
          <w:sz w:val="24"/>
        </w:rPr>
        <w:t>and </w:t>
      </w:r>
      <w:r>
        <w:rPr>
          <w:spacing w:val="-3"/>
          <w:sz w:val="24"/>
        </w:rPr>
        <w:t>Satellite</w:t>
      </w:r>
      <w:r>
        <w:rPr>
          <w:spacing w:val="-15"/>
          <w:sz w:val="24"/>
        </w:rPr>
        <w:t> </w:t>
      </w:r>
      <w:r>
        <w:rPr>
          <w:spacing w:val="-3"/>
          <w:sz w:val="24"/>
        </w:rPr>
        <w:t>Clinics.</w:t>
      </w:r>
    </w:p>
    <w:p>
      <w:pPr>
        <w:pStyle w:val="BodyText"/>
        <w:spacing w:before="8"/>
      </w:pPr>
    </w:p>
    <w:p>
      <w:pPr>
        <w:pStyle w:val="ListParagraph"/>
        <w:numPr>
          <w:ilvl w:val="0"/>
          <w:numId w:val="6"/>
        </w:numPr>
        <w:tabs>
          <w:tab w:pos="651" w:val="left" w:leader="none"/>
          <w:tab w:pos="652" w:val="left" w:leader="none"/>
        </w:tabs>
        <w:spacing w:line="247" w:lineRule="auto" w:before="0" w:after="0"/>
        <w:ind w:left="652" w:right="271" w:hanging="540"/>
        <w:jc w:val="left"/>
        <w:rPr>
          <w:b/>
          <w:sz w:val="24"/>
        </w:rPr>
      </w:pPr>
      <w:r>
        <w:rPr>
          <w:sz w:val="24"/>
        </w:rPr>
        <w:t>The</w:t>
      </w:r>
      <w:r>
        <w:rPr>
          <w:spacing w:val="-7"/>
          <w:sz w:val="24"/>
        </w:rPr>
        <w:t> </w:t>
      </w:r>
      <w:r>
        <w:rPr>
          <w:spacing w:val="-3"/>
          <w:sz w:val="24"/>
        </w:rPr>
        <w:t>Hospital</w:t>
      </w:r>
      <w:r>
        <w:rPr>
          <w:spacing w:val="-7"/>
          <w:sz w:val="24"/>
        </w:rPr>
        <w:t> </w:t>
      </w:r>
      <w:r>
        <w:rPr>
          <w:sz w:val="24"/>
        </w:rPr>
        <w:t>is</w:t>
      </w:r>
      <w:r>
        <w:rPr>
          <w:spacing w:val="-7"/>
          <w:sz w:val="24"/>
        </w:rPr>
        <w:t> </w:t>
      </w:r>
      <w:r>
        <w:rPr>
          <w:sz w:val="24"/>
        </w:rPr>
        <w:t>not</w:t>
      </w:r>
      <w:r>
        <w:rPr>
          <w:spacing w:val="-7"/>
          <w:sz w:val="24"/>
        </w:rPr>
        <w:t> </w:t>
      </w:r>
      <w:r>
        <w:rPr>
          <w:spacing w:val="-3"/>
          <w:sz w:val="24"/>
        </w:rPr>
        <w:t>permitted</w:t>
      </w:r>
      <w:r>
        <w:rPr>
          <w:spacing w:val="-7"/>
          <w:sz w:val="24"/>
        </w:rPr>
        <w:t> </w:t>
      </w:r>
      <w:r>
        <w:rPr>
          <w:sz w:val="24"/>
        </w:rPr>
        <w:t>to</w:t>
      </w:r>
      <w:r>
        <w:rPr>
          <w:spacing w:val="-7"/>
          <w:sz w:val="24"/>
        </w:rPr>
        <w:t> </w:t>
      </w:r>
      <w:r>
        <w:rPr>
          <w:spacing w:val="-3"/>
          <w:sz w:val="24"/>
        </w:rPr>
        <w:t>apply</w:t>
      </w:r>
      <w:r>
        <w:rPr>
          <w:spacing w:val="-7"/>
          <w:sz w:val="24"/>
        </w:rPr>
        <w:t> </w:t>
      </w:r>
      <w:r>
        <w:rPr>
          <w:sz w:val="24"/>
        </w:rPr>
        <w:t>on</w:t>
      </w:r>
      <w:r>
        <w:rPr>
          <w:spacing w:val="-7"/>
          <w:sz w:val="24"/>
        </w:rPr>
        <w:t> </w:t>
      </w:r>
      <w:r>
        <w:rPr>
          <w:spacing w:val="-3"/>
          <w:sz w:val="24"/>
        </w:rPr>
        <w:t>behalf</w:t>
      </w:r>
      <w:r>
        <w:rPr>
          <w:spacing w:val="-7"/>
          <w:sz w:val="24"/>
        </w:rPr>
        <w:t> </w:t>
      </w:r>
      <w:r>
        <w:rPr>
          <w:sz w:val="24"/>
        </w:rPr>
        <w:t>of,</w:t>
      </w:r>
      <w:r>
        <w:rPr>
          <w:spacing w:val="-7"/>
          <w:sz w:val="24"/>
        </w:rPr>
        <w:t> </w:t>
      </w:r>
      <w:r>
        <w:rPr>
          <w:sz w:val="24"/>
        </w:rPr>
        <w:t>or</w:t>
      </w:r>
      <w:r>
        <w:rPr>
          <w:spacing w:val="-7"/>
          <w:sz w:val="24"/>
        </w:rPr>
        <w:t> </w:t>
      </w:r>
      <w:r>
        <w:rPr>
          <w:spacing w:val="-3"/>
          <w:sz w:val="24"/>
        </w:rPr>
        <w:t>claim</w:t>
      </w:r>
      <w:r>
        <w:rPr>
          <w:spacing w:val="-9"/>
          <w:sz w:val="24"/>
        </w:rPr>
        <w:t> </w:t>
      </w:r>
      <w:r>
        <w:rPr>
          <w:spacing w:val="-3"/>
          <w:sz w:val="24"/>
        </w:rPr>
        <w:t>payment</w:t>
      </w:r>
      <w:r>
        <w:rPr>
          <w:spacing w:val="-7"/>
          <w:sz w:val="24"/>
        </w:rPr>
        <w:t> </w:t>
      </w:r>
      <w:r>
        <w:rPr>
          <w:sz w:val="24"/>
        </w:rPr>
        <w:t>for</w:t>
      </w:r>
      <w:r>
        <w:rPr>
          <w:spacing w:val="-7"/>
          <w:sz w:val="24"/>
        </w:rPr>
        <w:t> </w:t>
      </w:r>
      <w:r>
        <w:rPr>
          <w:spacing w:val="-3"/>
          <w:sz w:val="24"/>
        </w:rPr>
        <w:t>services</w:t>
      </w:r>
      <w:r>
        <w:rPr>
          <w:spacing w:val="-7"/>
          <w:sz w:val="24"/>
        </w:rPr>
        <w:t> </w:t>
      </w:r>
      <w:r>
        <w:rPr>
          <w:spacing w:val="-3"/>
          <w:sz w:val="24"/>
        </w:rPr>
        <w:t>provided</w:t>
      </w:r>
      <w:r>
        <w:rPr>
          <w:spacing w:val="-7"/>
          <w:sz w:val="24"/>
        </w:rPr>
        <w:t> </w:t>
      </w:r>
      <w:r>
        <w:rPr>
          <w:sz w:val="24"/>
        </w:rPr>
        <w:t>by,</w:t>
      </w:r>
      <w:r>
        <w:rPr>
          <w:spacing w:val="-7"/>
          <w:sz w:val="24"/>
        </w:rPr>
        <w:t> </w:t>
      </w:r>
      <w:r>
        <w:rPr>
          <w:spacing w:val="-3"/>
          <w:sz w:val="24"/>
        </w:rPr>
        <w:t>any other related clinics, Provider groups, </w:t>
      </w:r>
      <w:r>
        <w:rPr>
          <w:sz w:val="24"/>
        </w:rPr>
        <w:t>or </w:t>
      </w:r>
      <w:r>
        <w:rPr>
          <w:spacing w:val="-3"/>
          <w:sz w:val="24"/>
        </w:rPr>
        <w:t>other entities, except </w:t>
      </w:r>
      <w:r>
        <w:rPr>
          <w:sz w:val="24"/>
        </w:rPr>
        <w:t>as </w:t>
      </w:r>
      <w:r>
        <w:rPr>
          <w:spacing w:val="-3"/>
          <w:sz w:val="24"/>
        </w:rPr>
        <w:t>otherwise provided </w:t>
      </w:r>
      <w:r>
        <w:rPr>
          <w:sz w:val="24"/>
        </w:rPr>
        <w:t>in</w:t>
      </w:r>
      <w:r>
        <w:rPr>
          <w:spacing w:val="-15"/>
          <w:sz w:val="24"/>
        </w:rPr>
        <w:t> </w:t>
      </w:r>
      <w:r>
        <w:rPr>
          <w:b/>
          <w:spacing w:val="-3"/>
          <w:sz w:val="24"/>
        </w:rPr>
        <w:t>Sections</w:t>
      </w:r>
    </w:p>
    <w:p>
      <w:pPr>
        <w:spacing w:line="275" w:lineRule="exact" w:before="0"/>
        <w:ind w:left="652" w:right="0" w:firstLine="0"/>
        <w:jc w:val="left"/>
        <w:rPr>
          <w:sz w:val="24"/>
        </w:rPr>
      </w:pPr>
      <w:r>
        <w:rPr>
          <w:b/>
          <w:sz w:val="24"/>
        </w:rPr>
        <w:t>5.B.10 </w:t>
      </w:r>
      <w:r>
        <w:rPr>
          <w:sz w:val="24"/>
        </w:rPr>
        <w:t>and </w:t>
      </w:r>
      <w:r>
        <w:rPr>
          <w:b/>
          <w:sz w:val="24"/>
        </w:rPr>
        <w:t>5.C</w:t>
      </w:r>
      <w:r>
        <w:rPr>
          <w:sz w:val="24"/>
        </w:rPr>
        <w:t>.</w:t>
      </w:r>
    </w:p>
    <w:p>
      <w:pPr>
        <w:spacing w:after="0" w:line="275" w:lineRule="exact"/>
        <w:jc w:val="left"/>
        <w:rPr>
          <w:sz w:val="24"/>
        </w:rPr>
        <w:sectPr>
          <w:pgSz w:w="12240" w:h="15840"/>
          <w:pgMar w:header="0" w:footer="744" w:top="1380" w:bottom="940" w:left="1040" w:right="980"/>
        </w:sectPr>
      </w:pPr>
    </w:p>
    <w:p>
      <w:pPr>
        <w:pStyle w:val="Heading1"/>
        <w:ind w:left="2849" w:right="238" w:hanging="2522"/>
        <w:jc w:val="left"/>
      </w:pPr>
      <w:r>
        <w:rPr/>
        <w:t>Section 4: Non-Covered Services, Program Initiatives and Ambulatory Services Not Covered by the RFA</w:t>
      </w:r>
    </w:p>
    <w:p>
      <w:pPr>
        <w:pStyle w:val="Heading2"/>
        <w:numPr>
          <w:ilvl w:val="0"/>
          <w:numId w:val="7"/>
        </w:numPr>
        <w:tabs>
          <w:tab w:pos="659" w:val="left" w:leader="none"/>
          <w:tab w:pos="660" w:val="left" w:leader="none"/>
        </w:tabs>
        <w:spacing w:line="240" w:lineRule="auto" w:before="304" w:after="0"/>
        <w:ind w:left="659" w:right="0" w:hanging="547"/>
        <w:jc w:val="left"/>
      </w:pPr>
      <w:r>
        <w:rPr>
          <w:spacing w:val="-3"/>
        </w:rPr>
        <w:t>Non-Covered</w:t>
      </w:r>
      <w:r>
        <w:rPr>
          <w:spacing w:val="-7"/>
        </w:rPr>
        <w:t> </w:t>
      </w:r>
      <w:r>
        <w:rPr>
          <w:spacing w:val="-3"/>
        </w:rPr>
        <w:t>Services</w:t>
      </w:r>
    </w:p>
    <w:p>
      <w:pPr>
        <w:pStyle w:val="BodyText"/>
        <w:spacing w:before="5"/>
        <w:rPr>
          <w:b/>
        </w:rPr>
      </w:pPr>
    </w:p>
    <w:p>
      <w:pPr>
        <w:pStyle w:val="BodyText"/>
        <w:spacing w:line="242" w:lineRule="auto"/>
        <w:ind w:left="659" w:right="130"/>
      </w:pPr>
      <w:r>
        <w:rPr>
          <w:spacing w:val="-3"/>
        </w:rPr>
        <w:t>EOHHS will reimburse MassHealth-participating Hospitals </w:t>
      </w:r>
      <w:r>
        <w:rPr/>
        <w:t>at the </w:t>
      </w:r>
      <w:r>
        <w:rPr>
          <w:spacing w:val="-3"/>
        </w:rPr>
        <w:t>rates established </w:t>
      </w:r>
      <w:r>
        <w:rPr/>
        <w:t>in </w:t>
      </w:r>
      <w:r>
        <w:rPr>
          <w:spacing w:val="-3"/>
        </w:rPr>
        <w:t>this </w:t>
      </w:r>
      <w:r>
        <w:rPr/>
        <w:t>RFA </w:t>
      </w:r>
      <w:r>
        <w:rPr>
          <w:spacing w:val="-3"/>
        </w:rPr>
        <w:t>and accompanying Contract </w:t>
      </w:r>
      <w:r>
        <w:rPr/>
        <w:t>for all </w:t>
      </w:r>
      <w:r>
        <w:rPr>
          <w:spacing w:val="-3"/>
        </w:rPr>
        <w:t>covered Inpatient, Outpatient, </w:t>
      </w:r>
      <w:r>
        <w:rPr/>
        <w:t>and </w:t>
      </w:r>
      <w:r>
        <w:rPr>
          <w:spacing w:val="-3"/>
        </w:rPr>
        <w:t>Emergency Services provided to MassHealth Members </w:t>
      </w:r>
      <w:r>
        <w:rPr>
          <w:i/>
          <w:spacing w:val="-3"/>
        </w:rPr>
        <w:t>except </w:t>
      </w:r>
      <w:r>
        <w:rPr>
          <w:spacing w:val="-3"/>
        </w:rPr>
        <w:t>for </w:t>
      </w:r>
      <w:r>
        <w:rPr/>
        <w:t>the </w:t>
      </w:r>
      <w:r>
        <w:rPr>
          <w:spacing w:val="-4"/>
        </w:rPr>
        <w:t>following:</w:t>
      </w:r>
    </w:p>
    <w:p>
      <w:pPr>
        <w:pStyle w:val="BodyText"/>
        <w:spacing w:before="7"/>
      </w:pPr>
    </w:p>
    <w:p>
      <w:pPr>
        <w:pStyle w:val="Heading3"/>
        <w:numPr>
          <w:ilvl w:val="1"/>
          <w:numId w:val="7"/>
        </w:numPr>
        <w:tabs>
          <w:tab w:pos="1192" w:val="left" w:leader="none"/>
          <w:tab w:pos="1193" w:val="left" w:leader="none"/>
        </w:tabs>
        <w:spacing w:line="240" w:lineRule="auto" w:before="0" w:after="0"/>
        <w:ind w:left="1192" w:right="0" w:hanging="540"/>
        <w:jc w:val="left"/>
      </w:pPr>
      <w:r>
        <w:rPr>
          <w:spacing w:val="-3"/>
        </w:rPr>
        <w:t>Behavioral Health Services </w:t>
      </w:r>
      <w:r>
        <w:rPr/>
        <w:t>for </w:t>
      </w:r>
      <w:r>
        <w:rPr>
          <w:spacing w:val="-3"/>
        </w:rPr>
        <w:t>Members Enrolled with </w:t>
      </w:r>
      <w:r>
        <w:rPr/>
        <w:t>the BH</w:t>
      </w:r>
      <w:r>
        <w:rPr>
          <w:spacing w:val="-25"/>
        </w:rPr>
        <w:t> </w:t>
      </w:r>
      <w:r>
        <w:rPr>
          <w:spacing w:val="-3"/>
        </w:rPr>
        <w:t>Contractor</w:t>
      </w:r>
    </w:p>
    <w:p>
      <w:pPr>
        <w:pStyle w:val="BodyText"/>
        <w:spacing w:before="10"/>
        <w:rPr>
          <w:b/>
          <w:sz w:val="20"/>
        </w:rPr>
      </w:pPr>
    </w:p>
    <w:p>
      <w:pPr>
        <w:pStyle w:val="BodyText"/>
        <w:spacing w:line="242" w:lineRule="auto"/>
        <w:ind w:left="1192" w:right="130"/>
      </w:pPr>
      <w:r>
        <w:rPr>
          <w:spacing w:val="-3"/>
        </w:rPr>
        <w:t>EOHHS’ </w:t>
      </w:r>
      <w:r>
        <w:rPr/>
        <w:t>BH </w:t>
      </w:r>
      <w:r>
        <w:rPr>
          <w:spacing w:val="-3"/>
        </w:rPr>
        <w:t>Contractor contracts with providers </w:t>
      </w:r>
      <w:r>
        <w:rPr/>
        <w:t>to </w:t>
      </w:r>
      <w:r>
        <w:rPr>
          <w:spacing w:val="-3"/>
        </w:rPr>
        <w:t>form </w:t>
      </w:r>
      <w:r>
        <w:rPr/>
        <w:t>a </w:t>
      </w:r>
      <w:r>
        <w:rPr>
          <w:spacing w:val="-3"/>
        </w:rPr>
        <w:t>network through which behavioral health services </w:t>
      </w:r>
      <w:r>
        <w:rPr/>
        <w:t>are </w:t>
      </w:r>
      <w:r>
        <w:rPr>
          <w:spacing w:val="-3"/>
        </w:rPr>
        <w:t>delivered </w:t>
      </w:r>
      <w:r>
        <w:rPr/>
        <w:t>to </w:t>
      </w:r>
      <w:r>
        <w:rPr>
          <w:spacing w:val="-3"/>
        </w:rPr>
        <w:t>MassHealth Members enrolled with </w:t>
      </w:r>
      <w:r>
        <w:rPr/>
        <w:t>the BH </w:t>
      </w:r>
      <w:r>
        <w:rPr>
          <w:spacing w:val="-3"/>
        </w:rPr>
        <w:t>Contractor.</w:t>
      </w:r>
    </w:p>
    <w:p>
      <w:pPr>
        <w:pStyle w:val="BodyText"/>
        <w:spacing w:line="242" w:lineRule="auto"/>
        <w:ind w:left="1192" w:right="132"/>
      </w:pPr>
      <w:r>
        <w:rPr>
          <w:spacing w:val="-3"/>
        </w:rPr>
        <w:t>Hospitals </w:t>
      </w:r>
      <w:r>
        <w:rPr/>
        <w:t>in the BH </w:t>
      </w:r>
      <w:r>
        <w:rPr>
          <w:spacing w:val="-3"/>
        </w:rPr>
        <w:t>Contractor’s network qualify </w:t>
      </w:r>
      <w:r>
        <w:rPr/>
        <w:t>for </w:t>
      </w:r>
      <w:r>
        <w:rPr>
          <w:spacing w:val="-3"/>
        </w:rPr>
        <w:t>fee-for-service payments solely </w:t>
      </w:r>
      <w:r>
        <w:rPr/>
        <w:t>by </w:t>
      </w:r>
      <w:r>
        <w:rPr>
          <w:spacing w:val="-3"/>
        </w:rPr>
        <w:t>the </w:t>
      </w:r>
      <w:r>
        <w:rPr/>
        <w:t>BH </w:t>
      </w:r>
      <w:r>
        <w:rPr>
          <w:spacing w:val="-3"/>
        </w:rPr>
        <w:t>Contractor </w:t>
      </w:r>
      <w:r>
        <w:rPr/>
        <w:t>for </w:t>
      </w:r>
      <w:r>
        <w:rPr>
          <w:spacing w:val="-3"/>
        </w:rPr>
        <w:t>services </w:t>
      </w:r>
      <w:r>
        <w:rPr/>
        <w:t>to </w:t>
      </w:r>
      <w:r>
        <w:rPr>
          <w:spacing w:val="-3"/>
        </w:rPr>
        <w:t>Members enrolled with </w:t>
      </w:r>
      <w:r>
        <w:rPr/>
        <w:t>the BH </w:t>
      </w:r>
      <w:r>
        <w:rPr>
          <w:spacing w:val="-3"/>
        </w:rPr>
        <w:t>Contractor, pursuant </w:t>
      </w:r>
      <w:r>
        <w:rPr/>
        <w:t>to </w:t>
      </w:r>
      <w:r>
        <w:rPr>
          <w:spacing w:val="-3"/>
        </w:rPr>
        <w:t>contracts between </w:t>
      </w:r>
      <w:r>
        <w:rPr/>
        <w:t>the BH </w:t>
      </w:r>
      <w:r>
        <w:rPr>
          <w:spacing w:val="-3"/>
        </w:rPr>
        <w:t>Contractor </w:t>
      </w:r>
      <w:r>
        <w:rPr/>
        <w:t>and </w:t>
      </w:r>
      <w:r>
        <w:rPr>
          <w:spacing w:val="-3"/>
        </w:rPr>
        <w:t>each contracting Hospital.</w:t>
      </w:r>
    </w:p>
    <w:p>
      <w:pPr>
        <w:pStyle w:val="BodyText"/>
        <w:spacing w:before="4"/>
      </w:pPr>
    </w:p>
    <w:p>
      <w:pPr>
        <w:pStyle w:val="BodyText"/>
        <w:spacing w:line="242" w:lineRule="auto"/>
        <w:ind w:left="1192" w:right="351"/>
      </w:pPr>
      <w:r>
        <w:rPr>
          <w:spacing w:val="-3"/>
        </w:rPr>
        <w:t>Hospitals that </w:t>
      </w:r>
      <w:r>
        <w:rPr/>
        <w:t>are not in the BH </w:t>
      </w:r>
      <w:r>
        <w:rPr>
          <w:spacing w:val="-3"/>
        </w:rPr>
        <w:t>Contractor’s network (hereinafter “non-network Hospitals”) </w:t>
      </w:r>
      <w:r>
        <w:rPr/>
        <w:t>do not </w:t>
      </w:r>
      <w:r>
        <w:rPr>
          <w:spacing w:val="-3"/>
        </w:rPr>
        <w:t>qualify </w:t>
      </w:r>
      <w:r>
        <w:rPr/>
        <w:t>for </w:t>
      </w:r>
      <w:r>
        <w:rPr>
          <w:spacing w:val="-3"/>
        </w:rPr>
        <w:t>MassHealth </w:t>
      </w:r>
      <w:r>
        <w:rPr>
          <w:spacing w:val="-4"/>
        </w:rPr>
        <w:t>reimbursement </w:t>
      </w:r>
      <w:r>
        <w:rPr/>
        <w:t>for </w:t>
      </w:r>
      <w:r>
        <w:rPr>
          <w:spacing w:val="-3"/>
        </w:rPr>
        <w:t>Members enrolled with </w:t>
      </w:r>
      <w:r>
        <w:rPr/>
        <w:t>the BH </w:t>
      </w:r>
      <w:r>
        <w:rPr>
          <w:spacing w:val="-3"/>
        </w:rPr>
        <w:t>Contractor </w:t>
      </w:r>
      <w:r>
        <w:rPr/>
        <w:t>who </w:t>
      </w:r>
      <w:r>
        <w:rPr>
          <w:spacing w:val="-3"/>
        </w:rPr>
        <w:t>receive non-Emergency </w:t>
      </w:r>
      <w:r>
        <w:rPr/>
        <w:t>or </w:t>
      </w:r>
      <w:r>
        <w:rPr>
          <w:spacing w:val="-3"/>
        </w:rPr>
        <w:t>Post-Stabilization Behavioral Health Services, except in accordance with </w:t>
      </w:r>
      <w:r>
        <w:rPr/>
        <w:t>a </w:t>
      </w:r>
      <w:r>
        <w:rPr>
          <w:spacing w:val="-3"/>
        </w:rPr>
        <w:t>service-specific agreement with </w:t>
      </w:r>
      <w:r>
        <w:rPr/>
        <w:t>the BH </w:t>
      </w:r>
      <w:r>
        <w:rPr>
          <w:spacing w:val="-3"/>
        </w:rPr>
        <w:t>Contractor.</w:t>
      </w:r>
    </w:p>
    <w:p>
      <w:pPr>
        <w:pStyle w:val="BodyText"/>
        <w:spacing w:before="4"/>
      </w:pPr>
    </w:p>
    <w:p>
      <w:pPr>
        <w:pStyle w:val="BodyText"/>
        <w:spacing w:line="242" w:lineRule="auto"/>
        <w:ind w:left="1191" w:right="109"/>
      </w:pPr>
      <w:r>
        <w:rPr>
          <w:spacing w:val="-3"/>
        </w:rPr>
        <w:t>Non-network Hospitals that provide medically necessary behavioral health Emergency and Post-Stabilization Services </w:t>
      </w:r>
      <w:r>
        <w:rPr/>
        <w:t>to </w:t>
      </w:r>
      <w:r>
        <w:rPr>
          <w:spacing w:val="-3"/>
        </w:rPr>
        <w:t>Members enrolled with </w:t>
      </w:r>
      <w:r>
        <w:rPr/>
        <w:t>the BH </w:t>
      </w:r>
      <w:r>
        <w:rPr>
          <w:spacing w:val="-3"/>
        </w:rPr>
        <w:t>Contractor qualify for </w:t>
      </w:r>
      <w:r>
        <w:rPr>
          <w:spacing w:val="-4"/>
        </w:rPr>
        <w:t>fee-for- </w:t>
      </w:r>
      <w:r>
        <w:rPr>
          <w:spacing w:val="-3"/>
        </w:rPr>
        <w:t>service </w:t>
      </w:r>
      <w:r>
        <w:rPr>
          <w:spacing w:val="-4"/>
        </w:rPr>
        <w:t>reimbursement </w:t>
      </w:r>
      <w:r>
        <w:rPr>
          <w:spacing w:val="-3"/>
        </w:rPr>
        <w:t>solely </w:t>
      </w:r>
      <w:r>
        <w:rPr/>
        <w:t>by the BH </w:t>
      </w:r>
      <w:r>
        <w:rPr>
          <w:spacing w:val="-3"/>
        </w:rPr>
        <w:t>Contractor. Such </w:t>
      </w:r>
      <w:r>
        <w:rPr>
          <w:spacing w:val="-4"/>
        </w:rPr>
        <w:t>reimbursement </w:t>
      </w:r>
      <w:r>
        <w:rPr/>
        <w:t>is </w:t>
      </w:r>
      <w:r>
        <w:rPr>
          <w:spacing w:val="-3"/>
        </w:rPr>
        <w:t>available only if </w:t>
      </w:r>
      <w:r>
        <w:rPr/>
        <w:t>the </w:t>
      </w:r>
      <w:r>
        <w:rPr>
          <w:spacing w:val="-3"/>
        </w:rPr>
        <w:t>Hospital complies with </w:t>
      </w:r>
      <w:r>
        <w:rPr/>
        <w:t>the BH </w:t>
      </w:r>
      <w:r>
        <w:rPr>
          <w:spacing w:val="-3"/>
        </w:rPr>
        <w:t>Contractor’s billing requirements </w:t>
      </w:r>
      <w:r>
        <w:rPr/>
        <w:t>and any </w:t>
      </w:r>
      <w:r>
        <w:rPr>
          <w:spacing w:val="-3"/>
        </w:rPr>
        <w:t>applicable service authorization requirements that </w:t>
      </w:r>
      <w:r>
        <w:rPr/>
        <w:t>are </w:t>
      </w:r>
      <w:r>
        <w:rPr>
          <w:spacing w:val="-3"/>
        </w:rPr>
        <w:t>permissible under federal </w:t>
      </w:r>
      <w:r>
        <w:rPr/>
        <w:t>law at 42 USC </w:t>
      </w:r>
      <w:r>
        <w:rPr>
          <w:spacing w:val="-3"/>
        </w:rPr>
        <w:t>1396u- 2(b)(2), </w:t>
      </w:r>
      <w:r>
        <w:rPr/>
        <w:t>42 CFR </w:t>
      </w:r>
      <w:r>
        <w:rPr>
          <w:spacing w:val="-3"/>
        </w:rPr>
        <w:t>438.114, </w:t>
      </w:r>
      <w:r>
        <w:rPr/>
        <w:t>and 42 CFR </w:t>
      </w:r>
      <w:r>
        <w:rPr>
          <w:spacing w:val="-3"/>
        </w:rPr>
        <w:t>422.113(c). </w:t>
      </w:r>
      <w:r>
        <w:rPr/>
        <w:t>In </w:t>
      </w:r>
      <w:r>
        <w:rPr>
          <w:spacing w:val="-3"/>
        </w:rPr>
        <w:t>accordance with </w:t>
      </w:r>
      <w:r>
        <w:rPr/>
        <w:t>the </w:t>
      </w:r>
      <w:r>
        <w:rPr>
          <w:spacing w:val="-3"/>
        </w:rPr>
        <w:t>preceding federal law, </w:t>
      </w:r>
      <w:r>
        <w:rPr/>
        <w:t>and </w:t>
      </w:r>
      <w:r>
        <w:rPr>
          <w:spacing w:val="-3"/>
        </w:rPr>
        <w:t>with </w:t>
      </w:r>
      <w:r>
        <w:rPr/>
        <w:t>42 CFR </w:t>
      </w:r>
      <w:r>
        <w:rPr>
          <w:spacing w:val="-3"/>
        </w:rPr>
        <w:t>422.214(b), </w:t>
      </w:r>
      <w:r>
        <w:rPr/>
        <w:t>if a </w:t>
      </w:r>
      <w:r>
        <w:rPr>
          <w:spacing w:val="-3"/>
        </w:rPr>
        <w:t>Member enrolled with </w:t>
      </w:r>
      <w:r>
        <w:rPr/>
        <w:t>the BH </w:t>
      </w:r>
      <w:r>
        <w:rPr>
          <w:spacing w:val="-3"/>
        </w:rPr>
        <w:t>Contractor receives inpatient </w:t>
      </w:r>
      <w:r>
        <w:rPr/>
        <w:t>or </w:t>
      </w:r>
      <w:r>
        <w:rPr>
          <w:spacing w:val="-3"/>
        </w:rPr>
        <w:t>outpatient behavioral health Emergency </w:t>
      </w:r>
      <w:r>
        <w:rPr/>
        <w:t>and </w:t>
      </w:r>
      <w:r>
        <w:rPr>
          <w:spacing w:val="-3"/>
        </w:rPr>
        <w:t>Post-Stabilization Services </w:t>
      </w:r>
      <w:r>
        <w:rPr/>
        <w:t>and </w:t>
      </w:r>
      <w:r>
        <w:rPr>
          <w:spacing w:val="-3"/>
        </w:rPr>
        <w:t>the </w:t>
      </w:r>
      <w:r>
        <w:rPr/>
        <w:t>BH </w:t>
      </w:r>
      <w:r>
        <w:rPr>
          <w:spacing w:val="-3"/>
        </w:rPr>
        <w:t>Contractor offers </w:t>
      </w:r>
      <w:r>
        <w:rPr/>
        <w:t>to pay the </w:t>
      </w:r>
      <w:r>
        <w:rPr>
          <w:spacing w:val="-3"/>
        </w:rPr>
        <w:t>non-network Hospital </w:t>
      </w:r>
      <w:r>
        <w:rPr/>
        <w:t>a </w:t>
      </w:r>
      <w:r>
        <w:rPr>
          <w:spacing w:val="-3"/>
        </w:rPr>
        <w:t>rate equal </w:t>
      </w:r>
      <w:r>
        <w:rPr/>
        <w:t>to </w:t>
      </w:r>
      <w:r>
        <w:rPr>
          <w:spacing w:val="-3"/>
        </w:rPr>
        <w:t>that Hospital’s applicable fee-for-service </w:t>
      </w:r>
      <w:r>
        <w:rPr/>
        <w:t>RFA </w:t>
      </w:r>
      <w:r>
        <w:rPr>
          <w:spacing w:val="-3"/>
        </w:rPr>
        <w:t>rate less </w:t>
      </w:r>
      <w:r>
        <w:rPr/>
        <w:t>any </w:t>
      </w:r>
      <w:r>
        <w:rPr>
          <w:spacing w:val="-3"/>
        </w:rPr>
        <w:t>amount </w:t>
      </w:r>
      <w:r>
        <w:rPr/>
        <w:t>for </w:t>
      </w:r>
      <w:r>
        <w:rPr>
          <w:spacing w:val="-3"/>
        </w:rPr>
        <w:t>graduate medical education, </w:t>
      </w:r>
      <w:r>
        <w:rPr/>
        <w:t>the </w:t>
      </w:r>
      <w:r>
        <w:rPr>
          <w:spacing w:val="-3"/>
        </w:rPr>
        <w:t>non-network Hospital must accept </w:t>
      </w:r>
      <w:r>
        <w:rPr/>
        <w:t>the BH </w:t>
      </w:r>
      <w:r>
        <w:rPr>
          <w:spacing w:val="-3"/>
        </w:rPr>
        <w:t>Contractor’s rate offer </w:t>
      </w:r>
      <w:r>
        <w:rPr/>
        <w:t>as </w:t>
      </w:r>
      <w:r>
        <w:rPr>
          <w:spacing w:val="-3"/>
        </w:rPr>
        <w:t>payment </w:t>
      </w:r>
      <w:r>
        <w:rPr/>
        <w:t>in </w:t>
      </w:r>
      <w:r>
        <w:rPr>
          <w:spacing w:val="-3"/>
        </w:rPr>
        <w:t>full </w:t>
      </w:r>
      <w:r>
        <w:rPr/>
        <w:t>for </w:t>
      </w:r>
      <w:r>
        <w:rPr>
          <w:spacing w:val="-3"/>
        </w:rPr>
        <w:t>such behavioral health Emergency </w:t>
      </w:r>
      <w:r>
        <w:rPr/>
        <w:t>and </w:t>
      </w:r>
      <w:r>
        <w:rPr>
          <w:spacing w:val="-3"/>
        </w:rPr>
        <w:t>Post-Stabilization Services. Nothing </w:t>
      </w:r>
      <w:r>
        <w:rPr/>
        <w:t>in </w:t>
      </w:r>
      <w:r>
        <w:rPr>
          <w:spacing w:val="-3"/>
        </w:rPr>
        <w:t>this paragraph prohibits </w:t>
      </w:r>
      <w:r>
        <w:rPr/>
        <w:t>the </w:t>
      </w:r>
      <w:r>
        <w:rPr>
          <w:spacing w:val="-3"/>
        </w:rPr>
        <w:t>BH Contractor from negotiating </w:t>
      </w:r>
      <w:r>
        <w:rPr/>
        <w:t>to pay any </w:t>
      </w:r>
      <w:r>
        <w:rPr>
          <w:spacing w:val="-3"/>
        </w:rPr>
        <w:t>non-network Hospital </w:t>
      </w:r>
      <w:r>
        <w:rPr/>
        <w:t>at </w:t>
      </w:r>
      <w:r>
        <w:rPr>
          <w:spacing w:val="-3"/>
        </w:rPr>
        <w:t>rates lower than </w:t>
      </w:r>
      <w:r>
        <w:rPr/>
        <w:t>the </w:t>
      </w:r>
      <w:r>
        <w:rPr>
          <w:spacing w:val="-3"/>
        </w:rPr>
        <w:t>non- network Hospital’s applicable fee-for-service </w:t>
      </w:r>
      <w:r>
        <w:rPr/>
        <w:t>RFA </w:t>
      </w:r>
      <w:r>
        <w:rPr>
          <w:spacing w:val="-3"/>
        </w:rPr>
        <w:t>rate less </w:t>
      </w:r>
      <w:r>
        <w:rPr/>
        <w:t>any </w:t>
      </w:r>
      <w:r>
        <w:rPr>
          <w:spacing w:val="-3"/>
        </w:rPr>
        <w:t>amount </w:t>
      </w:r>
      <w:r>
        <w:rPr/>
        <w:t>for </w:t>
      </w:r>
      <w:r>
        <w:rPr>
          <w:spacing w:val="-3"/>
        </w:rPr>
        <w:t>graduate </w:t>
      </w:r>
      <w:r>
        <w:rPr>
          <w:spacing w:val="-4"/>
        </w:rPr>
        <w:t>medical </w:t>
      </w:r>
      <w:r>
        <w:rPr>
          <w:spacing w:val="-3"/>
        </w:rPr>
        <w:t>education for Behavioral Health Emergency </w:t>
      </w:r>
      <w:r>
        <w:rPr/>
        <w:t>and </w:t>
      </w:r>
      <w:r>
        <w:rPr>
          <w:spacing w:val="-3"/>
        </w:rPr>
        <w:t>Post-Stabilization</w:t>
      </w:r>
      <w:r>
        <w:rPr>
          <w:spacing w:val="-11"/>
        </w:rPr>
        <w:t> </w:t>
      </w:r>
      <w:r>
        <w:rPr>
          <w:spacing w:val="-3"/>
        </w:rPr>
        <w:t>Services.</w:t>
      </w:r>
    </w:p>
    <w:p>
      <w:pPr>
        <w:pStyle w:val="BodyText"/>
        <w:spacing w:before="4"/>
      </w:pPr>
    </w:p>
    <w:p>
      <w:pPr>
        <w:pStyle w:val="BodyText"/>
        <w:spacing w:line="242" w:lineRule="auto"/>
        <w:ind w:left="1192" w:right="283"/>
      </w:pPr>
      <w:r>
        <w:rPr>
          <w:spacing w:val="-3"/>
        </w:rPr>
        <w:t>Hospitals </w:t>
      </w:r>
      <w:r>
        <w:rPr/>
        <w:t>are not </w:t>
      </w:r>
      <w:r>
        <w:rPr>
          <w:spacing w:val="-3"/>
        </w:rPr>
        <w:t>entitled </w:t>
      </w:r>
      <w:r>
        <w:rPr/>
        <w:t>to any </w:t>
      </w:r>
      <w:r>
        <w:rPr>
          <w:spacing w:val="-3"/>
        </w:rPr>
        <w:t>fee-for-service </w:t>
      </w:r>
      <w:r>
        <w:rPr>
          <w:spacing w:val="-4"/>
        </w:rPr>
        <w:t>reimbursement </w:t>
      </w:r>
      <w:r>
        <w:rPr>
          <w:spacing w:val="-3"/>
        </w:rPr>
        <w:t>from EOHHS, </w:t>
      </w:r>
      <w:r>
        <w:rPr/>
        <w:t>and </w:t>
      </w:r>
      <w:r>
        <w:rPr>
          <w:spacing w:val="-3"/>
        </w:rPr>
        <w:t>may not claim such </w:t>
      </w:r>
      <w:r>
        <w:rPr>
          <w:spacing w:val="-4"/>
        </w:rPr>
        <w:t>reimbursement </w:t>
      </w:r>
      <w:r>
        <w:rPr/>
        <w:t>for any </w:t>
      </w:r>
      <w:r>
        <w:rPr>
          <w:spacing w:val="-3"/>
        </w:rPr>
        <w:t>services that </w:t>
      </w:r>
      <w:r>
        <w:rPr/>
        <w:t>are BH </w:t>
      </w:r>
      <w:r>
        <w:rPr>
          <w:spacing w:val="-3"/>
        </w:rPr>
        <w:t>Contractor-covered services </w:t>
      </w:r>
      <w:r>
        <w:rPr/>
        <w:t>or </w:t>
      </w:r>
      <w:r>
        <w:rPr>
          <w:spacing w:val="-3"/>
        </w:rPr>
        <w:t>are otherwise reimbursable </w:t>
      </w:r>
      <w:r>
        <w:rPr/>
        <w:t>by the BH </w:t>
      </w:r>
      <w:r>
        <w:rPr>
          <w:spacing w:val="-3"/>
        </w:rPr>
        <w:t>Contractor. </w:t>
      </w:r>
      <w:r>
        <w:rPr/>
        <w:t>Any </w:t>
      </w:r>
      <w:r>
        <w:rPr>
          <w:spacing w:val="-3"/>
        </w:rPr>
        <w:t>such fee-for-service payment </w:t>
      </w:r>
      <w:r>
        <w:rPr/>
        <w:t>by </w:t>
      </w:r>
      <w:r>
        <w:rPr>
          <w:spacing w:val="-3"/>
        </w:rPr>
        <w:t>EOHHS shall constitute </w:t>
      </w:r>
      <w:r>
        <w:rPr/>
        <w:t>an </w:t>
      </w:r>
      <w:r>
        <w:rPr>
          <w:spacing w:val="-3"/>
        </w:rPr>
        <w:t>overpayment </w:t>
      </w:r>
      <w:r>
        <w:rPr/>
        <w:t>as </w:t>
      </w:r>
      <w:r>
        <w:rPr>
          <w:spacing w:val="-3"/>
        </w:rPr>
        <w:t>defined </w:t>
      </w:r>
      <w:r>
        <w:rPr/>
        <w:t>in 130 CMR </w:t>
      </w:r>
      <w:r>
        <w:rPr>
          <w:spacing w:val="-3"/>
        </w:rPr>
        <w:t>450.235. Under such </w:t>
      </w:r>
      <w:r>
        <w:rPr>
          <w:spacing w:val="-4"/>
        </w:rPr>
        <w:t>circumstances, </w:t>
      </w:r>
      <w:r>
        <w:rPr>
          <w:spacing w:val="-3"/>
        </w:rPr>
        <w:t>EOHHS may also exercise </w:t>
      </w:r>
      <w:r>
        <w:rPr/>
        <w:t>its </w:t>
      </w:r>
      <w:r>
        <w:rPr>
          <w:spacing w:val="-3"/>
        </w:rPr>
        <w:t>authority under </w:t>
      </w:r>
      <w:r>
        <w:rPr/>
        <w:t>130 CMR </w:t>
      </w:r>
      <w:r>
        <w:rPr>
          <w:spacing w:val="-3"/>
        </w:rPr>
        <w:t>450.238 </w:t>
      </w:r>
      <w:r>
        <w:rPr/>
        <w:t>et </w:t>
      </w:r>
      <w:r>
        <w:rPr>
          <w:spacing w:val="-3"/>
        </w:rPr>
        <w:t>seq. </w:t>
      </w:r>
      <w:r>
        <w:rPr/>
        <w:t>to </w:t>
      </w:r>
      <w:r>
        <w:rPr>
          <w:spacing w:val="-3"/>
        </w:rPr>
        <w:t>impose sanctions </w:t>
      </w:r>
      <w:r>
        <w:rPr/>
        <w:t>for </w:t>
      </w:r>
      <w:r>
        <w:rPr>
          <w:spacing w:val="-3"/>
        </w:rPr>
        <w:t>improper billing.</w:t>
      </w:r>
    </w:p>
    <w:p>
      <w:pPr>
        <w:spacing w:after="0" w:line="242" w:lineRule="auto"/>
        <w:sectPr>
          <w:pgSz w:w="12240" w:h="15840"/>
          <w:pgMar w:header="0" w:footer="744" w:top="1380" w:bottom="940" w:left="1040" w:right="980"/>
        </w:sectPr>
      </w:pPr>
    </w:p>
    <w:p>
      <w:pPr>
        <w:pStyle w:val="Heading3"/>
        <w:numPr>
          <w:ilvl w:val="1"/>
          <w:numId w:val="7"/>
        </w:numPr>
        <w:tabs>
          <w:tab w:pos="666" w:val="left" w:leader="none"/>
          <w:tab w:pos="667" w:val="left" w:leader="none"/>
        </w:tabs>
        <w:spacing w:line="240" w:lineRule="auto" w:before="65" w:after="0"/>
        <w:ind w:left="666" w:right="0" w:hanging="554"/>
        <w:jc w:val="left"/>
      </w:pPr>
      <w:r>
        <w:rPr/>
        <w:t>MCO</w:t>
      </w:r>
      <w:r>
        <w:rPr>
          <w:spacing w:val="-11"/>
        </w:rPr>
        <w:t> </w:t>
      </w:r>
      <w:r>
        <w:rPr>
          <w:spacing w:val="-3"/>
        </w:rPr>
        <w:t>Services</w:t>
      </w:r>
    </w:p>
    <w:p>
      <w:pPr>
        <w:pStyle w:val="BodyText"/>
        <w:spacing w:before="11"/>
        <w:rPr>
          <w:b/>
          <w:sz w:val="20"/>
        </w:rPr>
      </w:pPr>
    </w:p>
    <w:p>
      <w:pPr>
        <w:pStyle w:val="BodyText"/>
        <w:spacing w:line="242" w:lineRule="auto"/>
        <w:ind w:left="651" w:right="236" w:firstLine="7"/>
      </w:pPr>
      <w:r>
        <w:rPr>
          <w:spacing w:val="-3"/>
        </w:rPr>
        <w:t>Hospitals that provide medically necessary MCO-covered services, including Emergency and Post-Stabilization Services, qualify </w:t>
      </w:r>
      <w:r>
        <w:rPr/>
        <w:t>for </w:t>
      </w:r>
      <w:r>
        <w:rPr>
          <w:spacing w:val="-3"/>
        </w:rPr>
        <w:t>fee-for-service </w:t>
      </w:r>
      <w:r>
        <w:rPr>
          <w:spacing w:val="-4"/>
        </w:rPr>
        <w:t>reimbursement </w:t>
      </w:r>
      <w:r>
        <w:rPr>
          <w:spacing w:val="-3"/>
        </w:rPr>
        <w:t>solely </w:t>
      </w:r>
      <w:r>
        <w:rPr/>
        <w:t>by the </w:t>
      </w:r>
      <w:r>
        <w:rPr>
          <w:spacing w:val="-3"/>
        </w:rPr>
        <w:t>MCO.</w:t>
      </w:r>
    </w:p>
    <w:p>
      <w:pPr>
        <w:pStyle w:val="BodyText"/>
        <w:spacing w:before="4"/>
      </w:pPr>
    </w:p>
    <w:p>
      <w:pPr>
        <w:pStyle w:val="BodyText"/>
        <w:ind w:left="651"/>
      </w:pPr>
      <w:r>
        <w:rPr/>
        <w:t>In </w:t>
      </w:r>
      <w:r>
        <w:rPr>
          <w:spacing w:val="-3"/>
        </w:rPr>
        <w:t>accordance with </w:t>
      </w:r>
      <w:r>
        <w:rPr/>
        <w:t>42 USC </w:t>
      </w:r>
      <w:r>
        <w:rPr>
          <w:spacing w:val="-3"/>
        </w:rPr>
        <w:t>1396u-2(b)(2), </w:t>
      </w:r>
      <w:r>
        <w:rPr/>
        <w:t>42 CFR </w:t>
      </w:r>
      <w:r>
        <w:rPr>
          <w:spacing w:val="-3"/>
        </w:rPr>
        <w:t>438.114, </w:t>
      </w:r>
      <w:r>
        <w:rPr/>
        <w:t>42 CFR </w:t>
      </w:r>
      <w:r>
        <w:rPr>
          <w:spacing w:val="-3"/>
        </w:rPr>
        <w:t>422.113(c), </w:t>
      </w:r>
      <w:r>
        <w:rPr/>
        <w:t>and 42 </w:t>
      </w:r>
      <w:r>
        <w:rPr>
          <w:spacing w:val="-3"/>
        </w:rPr>
        <w:t>CFR</w:t>
      </w:r>
    </w:p>
    <w:p>
      <w:pPr>
        <w:pStyle w:val="BodyText"/>
        <w:spacing w:line="242" w:lineRule="auto" w:before="3"/>
        <w:ind w:left="651" w:right="303"/>
      </w:pPr>
      <w:r>
        <w:rPr>
          <w:spacing w:val="-3"/>
        </w:rPr>
        <w:t>422.214(b), </w:t>
      </w:r>
      <w:r>
        <w:rPr/>
        <w:t>if an MCO </w:t>
      </w:r>
      <w:r>
        <w:rPr>
          <w:spacing w:val="-3"/>
        </w:rPr>
        <w:t>offers </w:t>
      </w:r>
      <w:r>
        <w:rPr/>
        <w:t>to pay a </w:t>
      </w:r>
      <w:r>
        <w:rPr>
          <w:spacing w:val="-3"/>
        </w:rPr>
        <w:t>non-network Hospital </w:t>
      </w:r>
      <w:r>
        <w:rPr/>
        <w:t>a </w:t>
      </w:r>
      <w:r>
        <w:rPr>
          <w:spacing w:val="-3"/>
        </w:rPr>
        <w:t>rate equal </w:t>
      </w:r>
      <w:r>
        <w:rPr/>
        <w:t>to the </w:t>
      </w:r>
      <w:r>
        <w:rPr>
          <w:spacing w:val="-3"/>
        </w:rPr>
        <w:t>Hospital’s applicable fee-for-service </w:t>
      </w:r>
      <w:r>
        <w:rPr/>
        <w:t>RFA </w:t>
      </w:r>
      <w:r>
        <w:rPr>
          <w:spacing w:val="-3"/>
        </w:rPr>
        <w:t>rate less </w:t>
      </w:r>
      <w:r>
        <w:rPr/>
        <w:t>any </w:t>
      </w:r>
      <w:r>
        <w:rPr>
          <w:spacing w:val="-3"/>
        </w:rPr>
        <w:t>amount </w:t>
      </w:r>
      <w:r>
        <w:rPr/>
        <w:t>for </w:t>
      </w:r>
      <w:r>
        <w:rPr>
          <w:spacing w:val="-3"/>
        </w:rPr>
        <w:t>graduate medical education </w:t>
      </w:r>
      <w:r>
        <w:rPr/>
        <w:t>for </w:t>
      </w:r>
      <w:r>
        <w:rPr>
          <w:spacing w:val="-3"/>
        </w:rPr>
        <w:t>all Emergency </w:t>
      </w:r>
      <w:r>
        <w:rPr/>
        <w:t>and </w:t>
      </w:r>
      <w:r>
        <w:rPr>
          <w:spacing w:val="-3"/>
        </w:rPr>
        <w:t>Post-Stabilization Services for </w:t>
      </w:r>
      <w:r>
        <w:rPr/>
        <w:t>all of the </w:t>
      </w:r>
      <w:r>
        <w:rPr>
          <w:spacing w:val="-3"/>
        </w:rPr>
        <w:t>MCO’s MassHealth enrollees, that non-network Hospital must accept </w:t>
      </w:r>
      <w:r>
        <w:rPr/>
        <w:t>the </w:t>
      </w:r>
      <w:r>
        <w:rPr>
          <w:spacing w:val="-3"/>
        </w:rPr>
        <w:t>MCO’s rate offer </w:t>
      </w:r>
      <w:r>
        <w:rPr/>
        <w:t>as </w:t>
      </w:r>
      <w:r>
        <w:rPr>
          <w:spacing w:val="-3"/>
        </w:rPr>
        <w:t>payment </w:t>
      </w:r>
      <w:r>
        <w:rPr/>
        <w:t>in </w:t>
      </w:r>
      <w:r>
        <w:rPr>
          <w:spacing w:val="-3"/>
        </w:rPr>
        <w:t>full. This </w:t>
      </w:r>
      <w:r>
        <w:rPr>
          <w:spacing w:val="-4"/>
        </w:rPr>
        <w:t>requirement </w:t>
      </w:r>
      <w:r>
        <w:rPr>
          <w:spacing w:val="-3"/>
        </w:rPr>
        <w:t>does </w:t>
      </w:r>
      <w:r>
        <w:rPr/>
        <w:t>not </w:t>
      </w:r>
      <w:r>
        <w:rPr>
          <w:spacing w:val="-3"/>
        </w:rPr>
        <w:t>prohibit </w:t>
      </w:r>
      <w:r>
        <w:rPr/>
        <w:t>an MCO </w:t>
      </w:r>
      <w:r>
        <w:rPr>
          <w:spacing w:val="-3"/>
        </w:rPr>
        <w:t>from negotiating </w:t>
      </w:r>
      <w:r>
        <w:rPr/>
        <w:t>to pay any </w:t>
      </w:r>
      <w:r>
        <w:rPr>
          <w:spacing w:val="-3"/>
        </w:rPr>
        <w:t>non-network Hospital </w:t>
      </w:r>
      <w:r>
        <w:rPr/>
        <w:t>at </w:t>
      </w:r>
      <w:r>
        <w:rPr>
          <w:spacing w:val="-3"/>
        </w:rPr>
        <w:t>rates lower than </w:t>
      </w:r>
      <w:r>
        <w:rPr/>
        <w:t>the </w:t>
      </w:r>
      <w:r>
        <w:rPr>
          <w:spacing w:val="-3"/>
        </w:rPr>
        <w:t>non-network Hospital’s applicable fee-for-service </w:t>
      </w:r>
      <w:r>
        <w:rPr/>
        <w:t>RFA </w:t>
      </w:r>
      <w:r>
        <w:rPr>
          <w:spacing w:val="-3"/>
        </w:rPr>
        <w:t>rate less </w:t>
      </w:r>
      <w:r>
        <w:rPr/>
        <w:t>any </w:t>
      </w:r>
      <w:r>
        <w:rPr>
          <w:spacing w:val="-3"/>
        </w:rPr>
        <w:t>amount for graduate medical education for Emergency </w:t>
      </w:r>
      <w:r>
        <w:rPr/>
        <w:t>and </w:t>
      </w:r>
      <w:r>
        <w:rPr>
          <w:spacing w:val="-3"/>
        </w:rPr>
        <w:t>Post-Stabilization Services.</w:t>
      </w:r>
    </w:p>
    <w:p>
      <w:pPr>
        <w:pStyle w:val="BodyText"/>
        <w:spacing w:before="10"/>
        <w:rPr>
          <w:sz w:val="25"/>
        </w:rPr>
      </w:pPr>
    </w:p>
    <w:p>
      <w:pPr>
        <w:pStyle w:val="BodyText"/>
        <w:spacing w:line="242" w:lineRule="auto" w:before="1"/>
        <w:ind w:left="651" w:right="112"/>
      </w:pPr>
      <w:r>
        <w:rPr>
          <w:spacing w:val="-3"/>
        </w:rPr>
        <w:t>Hospitals </w:t>
      </w:r>
      <w:r>
        <w:rPr/>
        <w:t>are not </w:t>
      </w:r>
      <w:r>
        <w:rPr>
          <w:spacing w:val="-3"/>
        </w:rPr>
        <w:t>entitled </w:t>
      </w:r>
      <w:r>
        <w:rPr/>
        <w:t>to any </w:t>
      </w:r>
      <w:r>
        <w:rPr>
          <w:spacing w:val="-3"/>
        </w:rPr>
        <w:t>fee-for-service </w:t>
      </w:r>
      <w:r>
        <w:rPr>
          <w:spacing w:val="-4"/>
        </w:rPr>
        <w:t>reimbursement </w:t>
      </w:r>
      <w:r>
        <w:rPr>
          <w:spacing w:val="-3"/>
        </w:rPr>
        <w:t>from EOHHS, </w:t>
      </w:r>
      <w:r>
        <w:rPr/>
        <w:t>and </w:t>
      </w:r>
      <w:r>
        <w:rPr>
          <w:spacing w:val="-3"/>
        </w:rPr>
        <w:t>may not claim such </w:t>
      </w:r>
      <w:r>
        <w:rPr>
          <w:spacing w:val="-4"/>
        </w:rPr>
        <w:t>reimbursement </w:t>
      </w:r>
      <w:r>
        <w:rPr/>
        <w:t>for any </w:t>
      </w:r>
      <w:r>
        <w:rPr>
          <w:spacing w:val="-3"/>
        </w:rPr>
        <w:t>services that </w:t>
      </w:r>
      <w:r>
        <w:rPr/>
        <w:t>are </w:t>
      </w:r>
      <w:r>
        <w:rPr>
          <w:spacing w:val="-3"/>
        </w:rPr>
        <w:t>MCO-covered services </w:t>
      </w:r>
      <w:r>
        <w:rPr/>
        <w:t>or are </w:t>
      </w:r>
      <w:r>
        <w:rPr>
          <w:spacing w:val="-3"/>
        </w:rPr>
        <w:t>otherwise reimbursable </w:t>
      </w:r>
      <w:r>
        <w:rPr/>
        <w:t>by the </w:t>
      </w:r>
      <w:r>
        <w:rPr>
          <w:spacing w:val="-3"/>
        </w:rPr>
        <w:t>MCO. </w:t>
      </w:r>
      <w:r>
        <w:rPr/>
        <w:t>Any </w:t>
      </w:r>
      <w:r>
        <w:rPr>
          <w:spacing w:val="-3"/>
        </w:rPr>
        <w:t>such fee-for-service payment </w:t>
      </w:r>
      <w:r>
        <w:rPr/>
        <w:t>by </w:t>
      </w:r>
      <w:r>
        <w:rPr>
          <w:spacing w:val="-3"/>
        </w:rPr>
        <w:t>EOHHS shall constitute an overpayment </w:t>
      </w:r>
      <w:r>
        <w:rPr/>
        <w:t>as </w:t>
      </w:r>
      <w:r>
        <w:rPr>
          <w:spacing w:val="-3"/>
        </w:rPr>
        <w:t>defined </w:t>
      </w:r>
      <w:r>
        <w:rPr/>
        <w:t>in 130 CMR </w:t>
      </w:r>
      <w:r>
        <w:rPr>
          <w:spacing w:val="-3"/>
        </w:rPr>
        <w:t>450.235. Under such circumstances, EOHHS may also exercise </w:t>
      </w:r>
      <w:r>
        <w:rPr/>
        <w:t>its </w:t>
      </w:r>
      <w:r>
        <w:rPr>
          <w:spacing w:val="-3"/>
        </w:rPr>
        <w:t>authority under </w:t>
      </w:r>
      <w:r>
        <w:rPr/>
        <w:t>130 CMR </w:t>
      </w:r>
      <w:r>
        <w:rPr>
          <w:spacing w:val="-3"/>
        </w:rPr>
        <w:t>450.238 </w:t>
      </w:r>
      <w:r>
        <w:rPr/>
        <w:t>et </w:t>
      </w:r>
      <w:r>
        <w:rPr>
          <w:spacing w:val="-3"/>
        </w:rPr>
        <w:t>seq. </w:t>
      </w:r>
      <w:r>
        <w:rPr/>
        <w:t>to </w:t>
      </w:r>
      <w:r>
        <w:rPr>
          <w:spacing w:val="-3"/>
        </w:rPr>
        <w:t>impose sanctions </w:t>
      </w:r>
      <w:r>
        <w:rPr/>
        <w:t>for </w:t>
      </w:r>
      <w:r>
        <w:rPr>
          <w:spacing w:val="-3"/>
        </w:rPr>
        <w:t>improper billing.</w:t>
      </w:r>
    </w:p>
    <w:p>
      <w:pPr>
        <w:pStyle w:val="BodyText"/>
        <w:spacing w:before="8"/>
      </w:pPr>
    </w:p>
    <w:p>
      <w:pPr>
        <w:pStyle w:val="Heading3"/>
        <w:numPr>
          <w:ilvl w:val="1"/>
          <w:numId w:val="7"/>
        </w:numPr>
        <w:tabs>
          <w:tab w:pos="652" w:val="left" w:leader="none"/>
          <w:tab w:pos="653" w:val="left" w:leader="none"/>
        </w:tabs>
        <w:spacing w:line="240" w:lineRule="auto" w:before="0" w:after="0"/>
        <w:ind w:left="652" w:right="0" w:hanging="533"/>
        <w:jc w:val="left"/>
      </w:pPr>
      <w:r>
        <w:rPr>
          <w:spacing w:val="-3"/>
        </w:rPr>
        <w:t>Commonwealth Care </w:t>
      </w:r>
      <w:r>
        <w:rPr/>
        <w:t>MCO</w:t>
      </w:r>
      <w:r>
        <w:rPr>
          <w:spacing w:val="-11"/>
        </w:rPr>
        <w:t> </w:t>
      </w:r>
      <w:r>
        <w:rPr>
          <w:spacing w:val="-3"/>
        </w:rPr>
        <w:t>Services</w:t>
      </w:r>
    </w:p>
    <w:p>
      <w:pPr>
        <w:pStyle w:val="BodyText"/>
        <w:spacing w:before="4"/>
        <w:rPr>
          <w:b/>
        </w:rPr>
      </w:pPr>
    </w:p>
    <w:p>
      <w:pPr>
        <w:pStyle w:val="BodyText"/>
        <w:spacing w:line="242" w:lineRule="auto"/>
        <w:ind w:left="651" w:right="236" w:firstLine="7"/>
      </w:pPr>
      <w:r>
        <w:rPr>
          <w:spacing w:val="-3"/>
        </w:rPr>
        <w:t>Hospitals that provide medically necessary MCO-covered services, including Emergency and Post-Stabilization Services, qualify </w:t>
      </w:r>
      <w:r>
        <w:rPr/>
        <w:t>for </w:t>
      </w:r>
      <w:r>
        <w:rPr>
          <w:spacing w:val="-3"/>
        </w:rPr>
        <w:t>fee-for-service </w:t>
      </w:r>
      <w:r>
        <w:rPr>
          <w:spacing w:val="-4"/>
        </w:rPr>
        <w:t>reimbursement </w:t>
      </w:r>
      <w:r>
        <w:rPr>
          <w:spacing w:val="-3"/>
        </w:rPr>
        <w:t>solely </w:t>
      </w:r>
      <w:r>
        <w:rPr/>
        <w:t>by the </w:t>
      </w:r>
      <w:r>
        <w:rPr>
          <w:spacing w:val="-3"/>
        </w:rPr>
        <w:t>MCO.</w:t>
      </w:r>
    </w:p>
    <w:p>
      <w:pPr>
        <w:pStyle w:val="BodyText"/>
        <w:spacing w:before="3"/>
      </w:pPr>
    </w:p>
    <w:p>
      <w:pPr>
        <w:pStyle w:val="BodyText"/>
        <w:spacing w:line="242" w:lineRule="auto" w:before="1"/>
        <w:ind w:left="651" w:right="154"/>
        <w:rPr>
          <w:b/>
        </w:rPr>
      </w:pPr>
      <w:r>
        <w:rPr/>
        <w:t>If an MCO </w:t>
      </w:r>
      <w:r>
        <w:rPr>
          <w:spacing w:val="-3"/>
        </w:rPr>
        <w:t>under contract with </w:t>
      </w:r>
      <w:r>
        <w:rPr/>
        <w:t>the </w:t>
      </w:r>
      <w:r>
        <w:rPr>
          <w:spacing w:val="-3"/>
        </w:rPr>
        <w:t>Connector offers </w:t>
      </w:r>
      <w:r>
        <w:rPr/>
        <w:t>to pay a </w:t>
      </w:r>
      <w:r>
        <w:rPr>
          <w:spacing w:val="-3"/>
        </w:rPr>
        <w:t>non-network Hospital </w:t>
      </w:r>
      <w:r>
        <w:rPr/>
        <w:t>a </w:t>
      </w:r>
      <w:r>
        <w:rPr>
          <w:spacing w:val="-3"/>
        </w:rPr>
        <w:t>rate equal </w:t>
      </w:r>
      <w:r>
        <w:rPr/>
        <w:t>to the </w:t>
      </w:r>
      <w:r>
        <w:rPr>
          <w:spacing w:val="-3"/>
        </w:rPr>
        <w:t>Hospital’s applicable fee-for-service </w:t>
      </w:r>
      <w:r>
        <w:rPr/>
        <w:t>RFA </w:t>
      </w:r>
      <w:r>
        <w:rPr>
          <w:spacing w:val="-3"/>
        </w:rPr>
        <w:t>rate less </w:t>
      </w:r>
      <w:r>
        <w:rPr/>
        <w:t>any </w:t>
      </w:r>
      <w:r>
        <w:rPr>
          <w:spacing w:val="-3"/>
        </w:rPr>
        <w:t>amount </w:t>
      </w:r>
      <w:r>
        <w:rPr/>
        <w:t>for </w:t>
      </w:r>
      <w:r>
        <w:rPr>
          <w:spacing w:val="-3"/>
        </w:rPr>
        <w:t>graduate medical education </w:t>
      </w:r>
      <w:r>
        <w:rPr/>
        <w:t>for all </w:t>
      </w:r>
      <w:r>
        <w:rPr>
          <w:spacing w:val="-3"/>
        </w:rPr>
        <w:t>Emergency </w:t>
      </w:r>
      <w:r>
        <w:rPr/>
        <w:t>and </w:t>
      </w:r>
      <w:r>
        <w:rPr>
          <w:spacing w:val="-3"/>
        </w:rPr>
        <w:t>Post-Stabilization Services </w:t>
      </w:r>
      <w:r>
        <w:rPr/>
        <w:t>for all of the </w:t>
      </w:r>
      <w:r>
        <w:rPr>
          <w:spacing w:val="-3"/>
        </w:rPr>
        <w:t>MCO’s </w:t>
      </w:r>
      <w:r>
        <w:rPr>
          <w:spacing w:val="-4"/>
        </w:rPr>
        <w:t>Commonwealth </w:t>
      </w:r>
      <w:r>
        <w:rPr>
          <w:spacing w:val="-3"/>
        </w:rPr>
        <w:t>Care enrollees, that non-network Hospital </w:t>
      </w:r>
      <w:r>
        <w:rPr/>
        <w:t>is </w:t>
      </w:r>
      <w:r>
        <w:rPr>
          <w:spacing w:val="-3"/>
        </w:rPr>
        <w:t>required </w:t>
      </w:r>
      <w:r>
        <w:rPr/>
        <w:t>to </w:t>
      </w:r>
      <w:r>
        <w:rPr>
          <w:spacing w:val="-3"/>
        </w:rPr>
        <w:t>accept </w:t>
      </w:r>
      <w:r>
        <w:rPr/>
        <w:t>the </w:t>
      </w:r>
      <w:r>
        <w:rPr>
          <w:spacing w:val="-3"/>
        </w:rPr>
        <w:t>MCO’s rate offer </w:t>
      </w:r>
      <w:r>
        <w:rPr/>
        <w:t>as </w:t>
      </w:r>
      <w:r>
        <w:rPr>
          <w:spacing w:val="-3"/>
        </w:rPr>
        <w:t>payment </w:t>
      </w:r>
      <w:r>
        <w:rPr/>
        <w:t>in </w:t>
      </w:r>
      <w:r>
        <w:rPr>
          <w:spacing w:val="-3"/>
        </w:rPr>
        <w:t>full. This requirement does </w:t>
      </w:r>
      <w:r>
        <w:rPr/>
        <w:t>not </w:t>
      </w:r>
      <w:r>
        <w:rPr>
          <w:spacing w:val="-3"/>
        </w:rPr>
        <w:t>prohibit </w:t>
      </w:r>
      <w:r>
        <w:rPr/>
        <w:t>an MCO </w:t>
      </w:r>
      <w:r>
        <w:rPr>
          <w:spacing w:val="-3"/>
        </w:rPr>
        <w:t>from negotiating to </w:t>
      </w:r>
      <w:r>
        <w:rPr/>
        <w:t>pay any </w:t>
      </w:r>
      <w:r>
        <w:rPr>
          <w:spacing w:val="-3"/>
        </w:rPr>
        <w:t>non-network Hospital </w:t>
      </w:r>
      <w:r>
        <w:rPr/>
        <w:t>at </w:t>
      </w:r>
      <w:r>
        <w:rPr>
          <w:spacing w:val="-3"/>
        </w:rPr>
        <w:t>rates lower than </w:t>
      </w:r>
      <w:r>
        <w:rPr/>
        <w:t>the </w:t>
      </w:r>
      <w:r>
        <w:rPr>
          <w:spacing w:val="-3"/>
        </w:rPr>
        <w:t>non-network Hospital’s applicable fee- for-service </w:t>
      </w:r>
      <w:r>
        <w:rPr/>
        <w:t>RFA </w:t>
      </w:r>
      <w:r>
        <w:rPr>
          <w:spacing w:val="-3"/>
        </w:rPr>
        <w:t>rate less </w:t>
      </w:r>
      <w:r>
        <w:rPr/>
        <w:t>any </w:t>
      </w:r>
      <w:r>
        <w:rPr>
          <w:spacing w:val="-3"/>
        </w:rPr>
        <w:t>amount </w:t>
      </w:r>
      <w:r>
        <w:rPr/>
        <w:t>for </w:t>
      </w:r>
      <w:r>
        <w:rPr>
          <w:spacing w:val="-3"/>
        </w:rPr>
        <w:t>graduate medical education </w:t>
      </w:r>
      <w:r>
        <w:rPr/>
        <w:t>for </w:t>
      </w:r>
      <w:r>
        <w:rPr>
          <w:spacing w:val="-3"/>
        </w:rPr>
        <w:t>Emergency </w:t>
      </w:r>
      <w:r>
        <w:rPr/>
        <w:t>and </w:t>
      </w:r>
      <w:r>
        <w:rPr>
          <w:spacing w:val="-3"/>
        </w:rPr>
        <w:t>Post- Stabilization</w:t>
      </w:r>
      <w:r>
        <w:rPr>
          <w:spacing w:val="0"/>
        </w:rPr>
        <w:t> </w:t>
      </w:r>
      <w:r>
        <w:rPr>
          <w:spacing w:val="-3"/>
        </w:rPr>
        <w:t>Services</w:t>
      </w:r>
      <w:r>
        <w:rPr>
          <w:b/>
          <w:spacing w:val="-3"/>
        </w:rPr>
        <w:t>.</w:t>
      </w:r>
    </w:p>
    <w:p>
      <w:pPr>
        <w:pStyle w:val="BodyText"/>
        <w:spacing w:before="4"/>
        <w:rPr>
          <w:b/>
        </w:rPr>
      </w:pPr>
    </w:p>
    <w:p>
      <w:pPr>
        <w:pStyle w:val="BodyText"/>
        <w:spacing w:line="242" w:lineRule="auto"/>
        <w:ind w:left="652" w:right="377"/>
      </w:pPr>
      <w:r>
        <w:rPr/>
        <w:t>Hospitals are not entitled to any reimbursement from EOHHS, and may not claim such reimbursement for any services provided to Commonwealth Care enrollees. Any payment by EOHHS for such services shall constitute an overpayment as defined in 130 CMR</w:t>
      </w:r>
    </w:p>
    <w:p>
      <w:pPr>
        <w:pStyle w:val="BodyText"/>
        <w:spacing w:line="242" w:lineRule="auto"/>
        <w:ind w:left="652" w:right="236"/>
      </w:pPr>
      <w:r>
        <w:rPr/>
        <w:t>450.235. Under such circumstances, EOHHS may also exercise its authority under 130 CMR 450.238 et seq. to impose sanctions for improper billing.</w:t>
      </w:r>
    </w:p>
    <w:p>
      <w:pPr>
        <w:pStyle w:val="BodyText"/>
        <w:spacing w:before="7"/>
      </w:pPr>
    </w:p>
    <w:p>
      <w:pPr>
        <w:pStyle w:val="Heading3"/>
        <w:numPr>
          <w:ilvl w:val="1"/>
          <w:numId w:val="7"/>
        </w:numPr>
        <w:tabs>
          <w:tab w:pos="666" w:val="left" w:leader="none"/>
          <w:tab w:pos="667" w:val="left" w:leader="none"/>
        </w:tabs>
        <w:spacing w:line="240" w:lineRule="auto" w:before="1" w:after="0"/>
        <w:ind w:left="666" w:right="0" w:hanging="547"/>
        <w:jc w:val="left"/>
      </w:pPr>
      <w:r>
        <w:rPr>
          <w:spacing w:val="-3"/>
        </w:rPr>
        <w:t>Medical Security Plan Direct Coverage Health Plan</w:t>
      </w:r>
      <w:r>
        <w:rPr>
          <w:spacing w:val="3"/>
        </w:rPr>
        <w:t> </w:t>
      </w:r>
      <w:r>
        <w:rPr>
          <w:spacing w:val="-3"/>
        </w:rPr>
        <w:t>Services</w:t>
      </w:r>
    </w:p>
    <w:p>
      <w:pPr>
        <w:pStyle w:val="BodyText"/>
        <w:spacing w:before="6"/>
        <w:rPr>
          <w:b/>
        </w:rPr>
      </w:pPr>
    </w:p>
    <w:p>
      <w:pPr>
        <w:pStyle w:val="BodyText"/>
        <w:spacing w:line="242" w:lineRule="auto"/>
        <w:ind w:left="652" w:right="236"/>
      </w:pPr>
      <w:r>
        <w:rPr>
          <w:spacing w:val="-3"/>
        </w:rPr>
        <w:t>Hospitals that provide medically necessary Health Plan-covered services, including Emergency </w:t>
      </w:r>
      <w:r>
        <w:rPr/>
        <w:t>and </w:t>
      </w:r>
      <w:r>
        <w:rPr>
          <w:spacing w:val="-3"/>
        </w:rPr>
        <w:t>Post-Stabilization Services, qualify </w:t>
      </w:r>
      <w:r>
        <w:rPr/>
        <w:t>for </w:t>
      </w:r>
      <w:r>
        <w:rPr>
          <w:spacing w:val="-3"/>
        </w:rPr>
        <w:t>fee-for-service </w:t>
      </w:r>
      <w:r>
        <w:rPr>
          <w:spacing w:val="-4"/>
        </w:rPr>
        <w:t>reimbursement </w:t>
      </w:r>
      <w:r>
        <w:rPr>
          <w:spacing w:val="-3"/>
        </w:rPr>
        <w:t>solely </w:t>
      </w:r>
      <w:r>
        <w:rPr/>
        <w:t>by the </w:t>
      </w:r>
      <w:r>
        <w:rPr>
          <w:spacing w:val="-3"/>
        </w:rPr>
        <w:t>Health Plan.</w:t>
      </w:r>
    </w:p>
    <w:p>
      <w:pPr>
        <w:spacing w:after="0" w:line="242" w:lineRule="auto"/>
        <w:sectPr>
          <w:pgSz w:w="12240" w:h="15840"/>
          <w:pgMar w:header="0" w:footer="744" w:top="1380" w:bottom="940" w:left="1580" w:right="980"/>
        </w:sectPr>
      </w:pPr>
    </w:p>
    <w:p>
      <w:pPr>
        <w:pStyle w:val="BodyText"/>
        <w:spacing w:line="242" w:lineRule="auto" w:before="61"/>
        <w:ind w:left="651" w:right="107"/>
      </w:pPr>
      <w:r>
        <w:rPr/>
        <w:t>If a </w:t>
      </w:r>
      <w:r>
        <w:rPr>
          <w:spacing w:val="-3"/>
        </w:rPr>
        <w:t>Health Plan under contract with </w:t>
      </w:r>
      <w:r>
        <w:rPr/>
        <w:t>the </w:t>
      </w:r>
      <w:r>
        <w:rPr>
          <w:spacing w:val="-3"/>
        </w:rPr>
        <w:t>Connector </w:t>
      </w:r>
      <w:r>
        <w:rPr/>
        <w:t>or the </w:t>
      </w:r>
      <w:r>
        <w:rPr>
          <w:spacing w:val="-3"/>
        </w:rPr>
        <w:t>Department </w:t>
      </w:r>
      <w:r>
        <w:rPr/>
        <w:t>of </w:t>
      </w:r>
      <w:r>
        <w:rPr>
          <w:spacing w:val="-4"/>
        </w:rPr>
        <w:t>Unemployment </w:t>
      </w:r>
      <w:r>
        <w:rPr>
          <w:spacing w:val="-3"/>
        </w:rPr>
        <w:t>Assistance offers </w:t>
      </w:r>
      <w:r>
        <w:rPr/>
        <w:t>to pay a </w:t>
      </w:r>
      <w:r>
        <w:rPr>
          <w:spacing w:val="-3"/>
        </w:rPr>
        <w:t>non-network Hospital </w:t>
      </w:r>
      <w:r>
        <w:rPr/>
        <w:t>a </w:t>
      </w:r>
      <w:r>
        <w:rPr>
          <w:spacing w:val="-3"/>
        </w:rPr>
        <w:t>rate equal </w:t>
      </w:r>
      <w:r>
        <w:rPr/>
        <w:t>to the </w:t>
      </w:r>
      <w:r>
        <w:rPr>
          <w:spacing w:val="-3"/>
        </w:rPr>
        <w:t>Hospital’s applicable fee- for-service </w:t>
      </w:r>
      <w:r>
        <w:rPr/>
        <w:t>RFA </w:t>
      </w:r>
      <w:r>
        <w:rPr>
          <w:spacing w:val="-3"/>
        </w:rPr>
        <w:t>rate less </w:t>
      </w:r>
      <w:r>
        <w:rPr/>
        <w:t>any </w:t>
      </w:r>
      <w:r>
        <w:rPr>
          <w:spacing w:val="-3"/>
        </w:rPr>
        <w:t>amount </w:t>
      </w:r>
      <w:r>
        <w:rPr/>
        <w:t>for </w:t>
      </w:r>
      <w:r>
        <w:rPr>
          <w:spacing w:val="-3"/>
        </w:rPr>
        <w:t>graduate medical education </w:t>
      </w:r>
      <w:r>
        <w:rPr/>
        <w:t>for all </w:t>
      </w:r>
      <w:r>
        <w:rPr>
          <w:spacing w:val="-3"/>
        </w:rPr>
        <w:t>Emergency and Post-Stabilization Services for </w:t>
      </w:r>
      <w:r>
        <w:rPr/>
        <w:t>all of the </w:t>
      </w:r>
      <w:r>
        <w:rPr>
          <w:spacing w:val="-3"/>
        </w:rPr>
        <w:t>Health Plan’s Medical Security Plan Direct Coverage enrollees, that non-network Hospital </w:t>
      </w:r>
      <w:r>
        <w:rPr/>
        <w:t>is </w:t>
      </w:r>
      <w:r>
        <w:rPr>
          <w:spacing w:val="-3"/>
        </w:rPr>
        <w:t>required </w:t>
      </w:r>
      <w:r>
        <w:rPr/>
        <w:t>to </w:t>
      </w:r>
      <w:r>
        <w:rPr>
          <w:spacing w:val="-3"/>
        </w:rPr>
        <w:t>accept </w:t>
      </w:r>
      <w:r>
        <w:rPr/>
        <w:t>the </w:t>
      </w:r>
      <w:r>
        <w:rPr>
          <w:spacing w:val="-3"/>
        </w:rPr>
        <w:t>Health Plan’s rate offer as payment </w:t>
      </w:r>
      <w:r>
        <w:rPr/>
        <w:t>in </w:t>
      </w:r>
      <w:r>
        <w:rPr>
          <w:spacing w:val="-3"/>
        </w:rPr>
        <w:t>full. This requirement does </w:t>
      </w:r>
      <w:r>
        <w:rPr/>
        <w:t>not </w:t>
      </w:r>
      <w:r>
        <w:rPr>
          <w:spacing w:val="-3"/>
        </w:rPr>
        <w:t>prohibit </w:t>
      </w:r>
      <w:r>
        <w:rPr/>
        <w:t>a </w:t>
      </w:r>
      <w:r>
        <w:rPr>
          <w:spacing w:val="-3"/>
        </w:rPr>
        <w:t>Health Plan from negotiating </w:t>
      </w:r>
      <w:r>
        <w:rPr/>
        <w:t>to pay </w:t>
      </w:r>
      <w:r>
        <w:rPr>
          <w:spacing w:val="-3"/>
        </w:rPr>
        <w:t>any non-network Hospital </w:t>
      </w:r>
      <w:r>
        <w:rPr/>
        <w:t>at </w:t>
      </w:r>
      <w:r>
        <w:rPr>
          <w:spacing w:val="-3"/>
        </w:rPr>
        <w:t>rates lower than </w:t>
      </w:r>
      <w:r>
        <w:rPr/>
        <w:t>the </w:t>
      </w:r>
      <w:r>
        <w:rPr>
          <w:spacing w:val="-3"/>
        </w:rPr>
        <w:t>non-network Hospital’s applicable fee-for-service </w:t>
      </w:r>
      <w:r>
        <w:rPr/>
        <w:t>RFA </w:t>
      </w:r>
      <w:r>
        <w:rPr>
          <w:spacing w:val="-3"/>
        </w:rPr>
        <w:t>rate less </w:t>
      </w:r>
      <w:r>
        <w:rPr/>
        <w:t>any </w:t>
      </w:r>
      <w:r>
        <w:rPr>
          <w:spacing w:val="-3"/>
        </w:rPr>
        <w:t>amount </w:t>
      </w:r>
      <w:r>
        <w:rPr/>
        <w:t>for </w:t>
      </w:r>
      <w:r>
        <w:rPr>
          <w:spacing w:val="-3"/>
        </w:rPr>
        <w:t>graduate medical education </w:t>
      </w:r>
      <w:r>
        <w:rPr/>
        <w:t>for </w:t>
      </w:r>
      <w:r>
        <w:rPr>
          <w:spacing w:val="-3"/>
        </w:rPr>
        <w:t>Emergency </w:t>
      </w:r>
      <w:r>
        <w:rPr/>
        <w:t>and </w:t>
      </w:r>
      <w:r>
        <w:rPr>
          <w:spacing w:val="-3"/>
        </w:rPr>
        <w:t>Post- Stabilization Services.</w:t>
      </w:r>
    </w:p>
    <w:p>
      <w:pPr>
        <w:pStyle w:val="BodyText"/>
        <w:spacing w:before="4"/>
      </w:pPr>
    </w:p>
    <w:p>
      <w:pPr>
        <w:pStyle w:val="BodyText"/>
        <w:spacing w:line="242" w:lineRule="auto"/>
        <w:ind w:left="651" w:right="236"/>
      </w:pPr>
      <w:r>
        <w:rPr>
          <w:spacing w:val="-3"/>
        </w:rPr>
        <w:t>Hospitals </w:t>
      </w:r>
      <w:r>
        <w:rPr/>
        <w:t>are not </w:t>
      </w:r>
      <w:r>
        <w:rPr>
          <w:spacing w:val="-3"/>
        </w:rPr>
        <w:t>entitled </w:t>
      </w:r>
      <w:r>
        <w:rPr/>
        <w:t>to any </w:t>
      </w:r>
      <w:r>
        <w:rPr>
          <w:spacing w:val="-4"/>
        </w:rPr>
        <w:t>reimbursement </w:t>
      </w:r>
      <w:r>
        <w:rPr>
          <w:spacing w:val="-3"/>
        </w:rPr>
        <w:t>from EOHHS, </w:t>
      </w:r>
      <w:r>
        <w:rPr/>
        <w:t>and </w:t>
      </w:r>
      <w:r>
        <w:rPr>
          <w:spacing w:val="-3"/>
        </w:rPr>
        <w:t>may </w:t>
      </w:r>
      <w:r>
        <w:rPr/>
        <w:t>not </w:t>
      </w:r>
      <w:r>
        <w:rPr>
          <w:spacing w:val="-3"/>
        </w:rPr>
        <w:t>claim such </w:t>
      </w:r>
      <w:r>
        <w:rPr>
          <w:spacing w:val="-4"/>
        </w:rPr>
        <w:t>reimbursement </w:t>
      </w:r>
      <w:r>
        <w:rPr/>
        <w:t>for any </w:t>
      </w:r>
      <w:r>
        <w:rPr>
          <w:spacing w:val="-3"/>
        </w:rPr>
        <w:t>services provided </w:t>
      </w:r>
      <w:r>
        <w:rPr/>
        <w:t>to </w:t>
      </w:r>
      <w:r>
        <w:rPr>
          <w:spacing w:val="-3"/>
        </w:rPr>
        <w:t>Medical Security Plan Direct Coverage enrollees. </w:t>
      </w:r>
      <w:r>
        <w:rPr/>
        <w:t>Any </w:t>
      </w:r>
      <w:r>
        <w:rPr>
          <w:spacing w:val="-3"/>
        </w:rPr>
        <w:t>payment </w:t>
      </w:r>
      <w:r>
        <w:rPr/>
        <w:t>by </w:t>
      </w:r>
      <w:r>
        <w:rPr>
          <w:spacing w:val="-3"/>
        </w:rPr>
        <w:t>EOHHS </w:t>
      </w:r>
      <w:r>
        <w:rPr/>
        <w:t>for </w:t>
      </w:r>
      <w:r>
        <w:rPr>
          <w:spacing w:val="-3"/>
        </w:rPr>
        <w:t>such services shall constitute </w:t>
      </w:r>
      <w:r>
        <w:rPr/>
        <w:t>an </w:t>
      </w:r>
      <w:r>
        <w:rPr>
          <w:spacing w:val="-3"/>
        </w:rPr>
        <w:t>overpayment </w:t>
      </w:r>
      <w:r>
        <w:rPr/>
        <w:t>as </w:t>
      </w:r>
      <w:r>
        <w:rPr>
          <w:spacing w:val="-3"/>
        </w:rPr>
        <w:t>defined </w:t>
      </w:r>
      <w:r>
        <w:rPr/>
        <w:t>in </w:t>
      </w:r>
      <w:r>
        <w:rPr>
          <w:spacing w:val="-3"/>
        </w:rPr>
        <w:t>130 </w:t>
      </w:r>
      <w:r>
        <w:rPr/>
        <w:t>CMR </w:t>
      </w:r>
      <w:r>
        <w:rPr>
          <w:spacing w:val="-3"/>
        </w:rPr>
        <w:t>450.235. Under such circumstances, EOHHS may also exercise </w:t>
      </w:r>
      <w:r>
        <w:rPr/>
        <w:t>its </w:t>
      </w:r>
      <w:r>
        <w:rPr>
          <w:spacing w:val="-3"/>
        </w:rPr>
        <w:t>authority under 130 </w:t>
      </w:r>
      <w:r>
        <w:rPr/>
        <w:t>CMR </w:t>
      </w:r>
      <w:r>
        <w:rPr>
          <w:spacing w:val="-3"/>
        </w:rPr>
        <w:t>450.238 </w:t>
      </w:r>
      <w:r>
        <w:rPr/>
        <w:t>et </w:t>
      </w:r>
      <w:r>
        <w:rPr>
          <w:spacing w:val="-3"/>
        </w:rPr>
        <w:t>seq. </w:t>
      </w:r>
      <w:r>
        <w:rPr/>
        <w:t>to </w:t>
      </w:r>
      <w:r>
        <w:rPr>
          <w:spacing w:val="-3"/>
        </w:rPr>
        <w:t>impose sanctions </w:t>
      </w:r>
      <w:r>
        <w:rPr/>
        <w:t>for </w:t>
      </w:r>
      <w:r>
        <w:rPr>
          <w:spacing w:val="-3"/>
        </w:rPr>
        <w:t>improper billing.</w:t>
      </w:r>
    </w:p>
    <w:p>
      <w:pPr>
        <w:pStyle w:val="BodyText"/>
        <w:spacing w:before="8"/>
      </w:pPr>
    </w:p>
    <w:p>
      <w:pPr>
        <w:pStyle w:val="BodyText"/>
        <w:ind w:left="651"/>
      </w:pPr>
      <w:r>
        <w:rPr/>
        <w:t>For purposes of this </w:t>
      </w:r>
      <w:r>
        <w:rPr>
          <w:b/>
        </w:rPr>
        <w:t>Section 4.A.4</w:t>
      </w:r>
      <w:r>
        <w:rPr/>
        <w:t>, the following terms have the following meanings:</w:t>
      </w:r>
    </w:p>
    <w:p>
      <w:pPr>
        <w:pStyle w:val="BodyText"/>
        <w:spacing w:before="10"/>
      </w:pPr>
    </w:p>
    <w:p>
      <w:pPr>
        <w:pStyle w:val="BodyText"/>
        <w:spacing w:line="242" w:lineRule="auto"/>
        <w:ind w:left="651" w:right="145"/>
      </w:pPr>
      <w:r>
        <w:rPr>
          <w:b/>
        </w:rPr>
        <w:t>Health Plan </w:t>
      </w:r>
      <w:r>
        <w:rPr/>
        <w:t>– any entity that enters into a contract with the Connector or the Department of Unemployment Assistance for the provision of health insurance plans or the arrangement of health care services under the MSP Direct Coverage Health Insurance Program, as defined in M.G.L. c. 151A and 430 CMR 7.07(1)(b).</w:t>
      </w:r>
    </w:p>
    <w:p>
      <w:pPr>
        <w:pStyle w:val="BodyText"/>
        <w:spacing w:before="2"/>
        <w:rPr>
          <w:sz w:val="21"/>
        </w:rPr>
      </w:pPr>
    </w:p>
    <w:p>
      <w:pPr>
        <w:pStyle w:val="BodyText"/>
        <w:spacing w:line="242" w:lineRule="auto"/>
        <w:ind w:left="651" w:right="190"/>
      </w:pPr>
      <w:r>
        <w:rPr>
          <w:b/>
        </w:rPr>
        <w:t>Medical Security Plan Direct Coverage Enrollee </w:t>
      </w:r>
      <w:r>
        <w:rPr/>
        <w:t>– an individual, and any of the individual’s qualified dependents as defined in 430 CMR 7.00, determined by the Department of Unemployment Assistance to be eligible for participation in the MSP Direct Coverage Program, as defined in M.G.L. c. 151A and 430 CMR 7.07(1)(b), and enrolled by the Department of Unemployment Assistance or its designee in a health insurance plan offered by a Health Plan.</w:t>
      </w:r>
    </w:p>
    <w:p>
      <w:pPr>
        <w:pStyle w:val="BodyText"/>
        <w:spacing w:before="7"/>
      </w:pPr>
    </w:p>
    <w:p>
      <w:pPr>
        <w:pStyle w:val="Heading3"/>
        <w:numPr>
          <w:ilvl w:val="1"/>
          <w:numId w:val="7"/>
        </w:numPr>
        <w:tabs>
          <w:tab w:pos="666" w:val="left" w:leader="none"/>
          <w:tab w:pos="667" w:val="left" w:leader="none"/>
        </w:tabs>
        <w:spacing w:line="240" w:lineRule="auto" w:before="1" w:after="0"/>
        <w:ind w:left="666" w:right="0" w:hanging="547"/>
        <w:jc w:val="left"/>
      </w:pPr>
      <w:r>
        <w:rPr/>
        <w:t>One </w:t>
      </w:r>
      <w:r>
        <w:rPr>
          <w:spacing w:val="-3"/>
        </w:rPr>
        <w:t>Care Plan</w:t>
      </w:r>
      <w:r>
        <w:rPr>
          <w:spacing w:val="-12"/>
        </w:rPr>
        <w:t> </w:t>
      </w:r>
      <w:r>
        <w:rPr>
          <w:spacing w:val="-3"/>
        </w:rPr>
        <w:t>Services</w:t>
      </w:r>
    </w:p>
    <w:p>
      <w:pPr>
        <w:pStyle w:val="BodyText"/>
        <w:spacing w:before="5"/>
        <w:rPr>
          <w:b/>
        </w:rPr>
      </w:pPr>
    </w:p>
    <w:p>
      <w:pPr>
        <w:pStyle w:val="BodyText"/>
        <w:spacing w:line="242" w:lineRule="auto"/>
        <w:ind w:left="651" w:right="125"/>
      </w:pPr>
      <w:r>
        <w:rPr/>
        <w:t>Hospitals that provide medically necessary One Care plan-covered services, including Emergency and Post-Stabilization Services, qualify for fee-for-service reimbursement solely by the One Care plan.</w:t>
      </w:r>
    </w:p>
    <w:p>
      <w:pPr>
        <w:pStyle w:val="BodyText"/>
        <w:spacing w:before="4"/>
      </w:pPr>
    </w:p>
    <w:p>
      <w:pPr>
        <w:pStyle w:val="BodyText"/>
        <w:spacing w:line="242" w:lineRule="auto"/>
        <w:ind w:left="651" w:right="144"/>
      </w:pPr>
      <w:r>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w:t>
      </w:r>
      <w:r>
        <w:rPr>
          <w:spacing w:val="-2"/>
        </w:rPr>
        <w:t> </w:t>
      </w:r>
      <w:r>
        <w:rPr/>
        <w:t>Services.</w:t>
      </w:r>
    </w:p>
    <w:p>
      <w:pPr>
        <w:pStyle w:val="BodyText"/>
        <w:spacing w:before="4"/>
      </w:pPr>
    </w:p>
    <w:p>
      <w:pPr>
        <w:pStyle w:val="BodyText"/>
        <w:spacing w:line="242" w:lineRule="auto"/>
        <w:ind w:left="651" w:right="284"/>
      </w:pPr>
      <w:r>
        <w:rPr/>
        <w:t>Hospitals are not entitled to any fee-for-service reimbursement from EOHHS, and may not claim such reimbursement for any services that are One Care plan-covered services or are</w:t>
      </w:r>
    </w:p>
    <w:p>
      <w:pPr>
        <w:spacing w:after="0" w:line="242" w:lineRule="auto"/>
        <w:sectPr>
          <w:pgSz w:w="12240" w:h="15840"/>
          <w:pgMar w:header="0" w:footer="744" w:top="1380" w:bottom="940" w:left="1580" w:right="980"/>
        </w:sectPr>
      </w:pPr>
    </w:p>
    <w:p>
      <w:pPr>
        <w:pStyle w:val="BodyText"/>
        <w:spacing w:line="242" w:lineRule="auto" w:before="61"/>
        <w:ind w:left="1191" w:right="124"/>
      </w:pPr>
      <w:r>
        <w:rPr/>
        <w:t>otherwise reimbursable by the One Care plan. Any such fee-for-service payment by EOHHS shall constitute an overpayment as defined in 130 CMR 450.235.  Under such circumstances, EOHHS may also exercise its authority under 130 CMR 450.238 et seq. to impose sanctions for improper</w:t>
      </w:r>
      <w:r>
        <w:rPr>
          <w:spacing w:val="-4"/>
        </w:rPr>
        <w:t> </w:t>
      </w:r>
      <w:r>
        <w:rPr/>
        <w:t>billing.</w:t>
      </w:r>
    </w:p>
    <w:p>
      <w:pPr>
        <w:pStyle w:val="BodyText"/>
        <w:spacing w:before="7"/>
      </w:pPr>
    </w:p>
    <w:p>
      <w:pPr>
        <w:pStyle w:val="Heading3"/>
        <w:numPr>
          <w:ilvl w:val="1"/>
          <w:numId w:val="7"/>
        </w:numPr>
        <w:tabs>
          <w:tab w:pos="1206" w:val="left" w:leader="none"/>
          <w:tab w:pos="1207" w:val="left" w:leader="none"/>
        </w:tabs>
        <w:spacing w:line="240" w:lineRule="auto" w:before="0" w:after="0"/>
        <w:ind w:left="1206" w:right="0" w:hanging="547"/>
        <w:jc w:val="left"/>
      </w:pPr>
      <w:r>
        <w:rPr/>
        <w:t>Air </w:t>
      </w:r>
      <w:r>
        <w:rPr>
          <w:spacing w:val="-3"/>
        </w:rPr>
        <w:t>Ambulance</w:t>
      </w:r>
      <w:r>
        <w:rPr>
          <w:spacing w:val="-13"/>
        </w:rPr>
        <w:t> </w:t>
      </w:r>
      <w:r>
        <w:rPr>
          <w:spacing w:val="-3"/>
        </w:rPr>
        <w:t>Services</w:t>
      </w:r>
    </w:p>
    <w:p>
      <w:pPr>
        <w:pStyle w:val="BodyText"/>
        <w:spacing w:before="5"/>
        <w:rPr>
          <w:b/>
        </w:rPr>
      </w:pPr>
    </w:p>
    <w:p>
      <w:pPr>
        <w:pStyle w:val="BodyText"/>
        <w:spacing w:line="242" w:lineRule="auto"/>
        <w:ind w:left="1191" w:right="130"/>
      </w:pPr>
      <w:r>
        <w:rPr/>
        <w:t>In </w:t>
      </w:r>
      <w:r>
        <w:rPr>
          <w:spacing w:val="-3"/>
        </w:rPr>
        <w:t>order </w:t>
      </w:r>
      <w:r>
        <w:rPr/>
        <w:t>to </w:t>
      </w:r>
      <w:r>
        <w:rPr>
          <w:spacing w:val="-3"/>
        </w:rPr>
        <w:t>receive </w:t>
      </w:r>
      <w:r>
        <w:rPr>
          <w:spacing w:val="-4"/>
        </w:rPr>
        <w:t>reimbursement </w:t>
      </w:r>
      <w:r>
        <w:rPr/>
        <w:t>for air </w:t>
      </w:r>
      <w:r>
        <w:rPr>
          <w:spacing w:val="-3"/>
        </w:rPr>
        <w:t>ambulance services, Hospitals must have </w:t>
      </w:r>
      <w:r>
        <w:rPr/>
        <w:t>a </w:t>
      </w:r>
      <w:r>
        <w:rPr>
          <w:spacing w:val="-3"/>
        </w:rPr>
        <w:t>separate contract with EOHHS </w:t>
      </w:r>
      <w:r>
        <w:rPr/>
        <w:t>for </w:t>
      </w:r>
      <w:r>
        <w:rPr>
          <w:spacing w:val="-3"/>
        </w:rPr>
        <w:t>such services.</w:t>
      </w:r>
    </w:p>
    <w:p>
      <w:pPr>
        <w:pStyle w:val="BodyText"/>
        <w:spacing w:before="8"/>
      </w:pPr>
    </w:p>
    <w:p>
      <w:pPr>
        <w:pStyle w:val="Heading3"/>
        <w:numPr>
          <w:ilvl w:val="1"/>
          <w:numId w:val="7"/>
        </w:numPr>
        <w:tabs>
          <w:tab w:pos="1192" w:val="left" w:leader="none"/>
          <w:tab w:pos="1193" w:val="left" w:leader="none"/>
        </w:tabs>
        <w:spacing w:line="240" w:lineRule="auto" w:before="1" w:after="0"/>
        <w:ind w:left="1192" w:right="0" w:hanging="540"/>
        <w:jc w:val="left"/>
      </w:pPr>
      <w:r>
        <w:rPr>
          <w:spacing w:val="-3"/>
        </w:rPr>
        <w:t>Non-Acute Units </w:t>
      </w:r>
      <w:r>
        <w:rPr/>
        <w:t>and </w:t>
      </w:r>
      <w:r>
        <w:rPr>
          <w:spacing w:val="-3"/>
        </w:rPr>
        <w:t>Other Separately Licensed Units </w:t>
      </w:r>
      <w:r>
        <w:rPr/>
        <w:t>in </w:t>
      </w:r>
      <w:r>
        <w:rPr>
          <w:spacing w:val="-3"/>
        </w:rPr>
        <w:t>Acute</w:t>
      </w:r>
      <w:r>
        <w:rPr>
          <w:spacing w:val="-16"/>
        </w:rPr>
        <w:t> </w:t>
      </w:r>
      <w:r>
        <w:rPr>
          <w:spacing w:val="-3"/>
        </w:rPr>
        <w:t>Hospitals</w:t>
      </w:r>
    </w:p>
    <w:p>
      <w:pPr>
        <w:pStyle w:val="BodyText"/>
        <w:spacing w:before="11"/>
        <w:rPr>
          <w:b/>
          <w:sz w:val="25"/>
        </w:rPr>
      </w:pPr>
    </w:p>
    <w:p>
      <w:pPr>
        <w:pStyle w:val="BodyText"/>
        <w:spacing w:line="244" w:lineRule="auto"/>
        <w:ind w:left="1191" w:right="91"/>
      </w:pPr>
      <w:r>
        <w:rPr>
          <w:spacing w:val="-3"/>
        </w:rPr>
        <w:t>Unless otherwise specified </w:t>
      </w:r>
      <w:r>
        <w:rPr/>
        <w:t>in </w:t>
      </w:r>
      <w:r>
        <w:rPr>
          <w:spacing w:val="-3"/>
        </w:rPr>
        <w:t>this RFA, EOHHS shall </w:t>
      </w:r>
      <w:r>
        <w:rPr/>
        <w:t>not </w:t>
      </w:r>
      <w:r>
        <w:rPr>
          <w:spacing w:val="-3"/>
        </w:rPr>
        <w:t>reimburse Acute Hospitals through this </w:t>
      </w:r>
      <w:r>
        <w:rPr/>
        <w:t>RFA and the </w:t>
      </w:r>
      <w:r>
        <w:rPr>
          <w:spacing w:val="-3"/>
        </w:rPr>
        <w:t>accompanying contract </w:t>
      </w:r>
      <w:r>
        <w:rPr/>
        <w:t>for </w:t>
      </w:r>
      <w:r>
        <w:rPr>
          <w:spacing w:val="-3"/>
        </w:rPr>
        <w:t>services provided </w:t>
      </w:r>
      <w:r>
        <w:rPr/>
        <w:t>to </w:t>
      </w:r>
      <w:r>
        <w:rPr>
          <w:spacing w:val="-3"/>
        </w:rPr>
        <w:t>Members </w:t>
      </w:r>
      <w:r>
        <w:rPr/>
        <w:t>in </w:t>
      </w:r>
      <w:r>
        <w:rPr>
          <w:spacing w:val="-3"/>
        </w:rPr>
        <w:t>Non-Acute Units, other than Rehabilitation Units, </w:t>
      </w:r>
      <w:r>
        <w:rPr/>
        <w:t>and any </w:t>
      </w:r>
      <w:r>
        <w:rPr>
          <w:spacing w:val="-3"/>
        </w:rPr>
        <w:t>units which have </w:t>
      </w:r>
      <w:r>
        <w:rPr/>
        <w:t>a </w:t>
      </w:r>
      <w:r>
        <w:rPr>
          <w:spacing w:val="-3"/>
        </w:rPr>
        <w:t>separate license, such </w:t>
      </w:r>
      <w:r>
        <w:rPr/>
        <w:t>as a </w:t>
      </w:r>
      <w:r>
        <w:rPr>
          <w:spacing w:val="-3"/>
        </w:rPr>
        <w:t>skilled nursing unit, </w:t>
      </w:r>
      <w:r>
        <w:rPr/>
        <w:t>or any </w:t>
      </w:r>
      <w:r>
        <w:rPr>
          <w:spacing w:val="-3"/>
        </w:rPr>
        <w:t>unit which </w:t>
      </w:r>
      <w:r>
        <w:rPr/>
        <w:t>is </w:t>
      </w:r>
      <w:r>
        <w:rPr>
          <w:spacing w:val="-3"/>
        </w:rPr>
        <w:t>licensed </w:t>
      </w:r>
      <w:r>
        <w:rPr/>
        <w:t>to </w:t>
      </w:r>
      <w:r>
        <w:rPr>
          <w:spacing w:val="-3"/>
        </w:rPr>
        <w:t>provide services other than Acute Hospital services </w:t>
      </w:r>
      <w:r>
        <w:rPr/>
        <w:t>as </w:t>
      </w:r>
      <w:r>
        <w:rPr>
          <w:spacing w:val="-3"/>
        </w:rPr>
        <w:t>described </w:t>
      </w:r>
      <w:r>
        <w:rPr/>
        <w:t>in </w:t>
      </w:r>
      <w:r>
        <w:rPr>
          <w:b/>
          <w:spacing w:val="-3"/>
        </w:rPr>
        <w:t>Section 3.A.4</w:t>
      </w:r>
      <w:r>
        <w:rPr>
          <w:spacing w:val="-3"/>
        </w:rPr>
        <w:t>.</w:t>
      </w:r>
    </w:p>
    <w:p>
      <w:pPr>
        <w:pStyle w:val="BodyText"/>
        <w:spacing w:before="5"/>
      </w:pPr>
    </w:p>
    <w:p>
      <w:pPr>
        <w:pStyle w:val="Heading3"/>
        <w:numPr>
          <w:ilvl w:val="1"/>
          <w:numId w:val="7"/>
        </w:numPr>
        <w:tabs>
          <w:tab w:pos="1192" w:val="left" w:leader="none"/>
          <w:tab w:pos="1193" w:val="left" w:leader="none"/>
        </w:tabs>
        <w:spacing w:line="240" w:lineRule="auto" w:before="0" w:after="0"/>
        <w:ind w:left="1192" w:right="0" w:hanging="540"/>
        <w:jc w:val="left"/>
      </w:pPr>
      <w:r>
        <w:rPr>
          <w:spacing w:val="-3"/>
        </w:rPr>
        <w:t>Claims </w:t>
      </w:r>
      <w:r>
        <w:rPr/>
        <w:t>for </w:t>
      </w:r>
      <w:r>
        <w:rPr>
          <w:spacing w:val="-3"/>
        </w:rPr>
        <w:t>Outpatient Professional Services (Primary Care Payment Reform</w:t>
      </w:r>
      <w:r>
        <w:rPr>
          <w:spacing w:val="-6"/>
        </w:rPr>
        <w:t> </w:t>
      </w:r>
      <w:r>
        <w:rPr>
          <w:spacing w:val="-3"/>
        </w:rPr>
        <w:t>(PCPR)</w:t>
      </w:r>
    </w:p>
    <w:p>
      <w:pPr>
        <w:pStyle w:val="BodyText"/>
        <w:spacing w:before="5"/>
        <w:rPr>
          <w:b/>
        </w:rPr>
      </w:pPr>
    </w:p>
    <w:p>
      <w:pPr>
        <w:pStyle w:val="BodyText"/>
        <w:spacing w:line="242" w:lineRule="auto" w:before="1"/>
        <w:ind w:left="1176" w:right="282"/>
      </w:pPr>
      <w:r>
        <w:rPr/>
        <w:t>For any </w:t>
      </w:r>
      <w:r>
        <w:rPr>
          <w:spacing w:val="-3"/>
        </w:rPr>
        <w:t>Hospital Outpatient Department, HLHC, </w:t>
      </w:r>
      <w:r>
        <w:rPr/>
        <w:t>or </w:t>
      </w:r>
      <w:r>
        <w:rPr>
          <w:spacing w:val="-3"/>
        </w:rPr>
        <w:t>other Satellite Clinic site participating in </w:t>
      </w:r>
      <w:r>
        <w:rPr/>
        <w:t>the </w:t>
      </w:r>
      <w:r>
        <w:rPr>
          <w:spacing w:val="-3"/>
        </w:rPr>
        <w:t>Primary Care Payment Reform (PCPR) initiative, outpatient Hospital-Based Physician services </w:t>
      </w:r>
      <w:r>
        <w:rPr/>
        <w:t>are </w:t>
      </w:r>
      <w:r>
        <w:rPr>
          <w:spacing w:val="-3"/>
        </w:rPr>
        <w:t>governed </w:t>
      </w:r>
      <w:r>
        <w:rPr/>
        <w:t>by the </w:t>
      </w:r>
      <w:r>
        <w:rPr>
          <w:spacing w:val="-3"/>
        </w:rPr>
        <w:t>site’s executed MassHealth </w:t>
      </w:r>
      <w:r>
        <w:rPr/>
        <w:t>PCC </w:t>
      </w:r>
      <w:r>
        <w:rPr>
          <w:spacing w:val="-3"/>
        </w:rPr>
        <w:t>Plan Provider contract, </w:t>
      </w:r>
      <w:r>
        <w:rPr/>
        <w:t>and </w:t>
      </w:r>
      <w:r>
        <w:rPr>
          <w:spacing w:val="-3"/>
        </w:rPr>
        <w:t>are </w:t>
      </w:r>
      <w:r>
        <w:rPr/>
        <w:t>not </w:t>
      </w:r>
      <w:r>
        <w:rPr>
          <w:spacing w:val="-3"/>
        </w:rPr>
        <w:t>payable through this Acute Hospital </w:t>
      </w:r>
      <w:r>
        <w:rPr/>
        <w:t>RFA and </w:t>
      </w:r>
      <w:r>
        <w:rPr>
          <w:spacing w:val="-3"/>
        </w:rPr>
        <w:t>Contract.</w:t>
      </w:r>
    </w:p>
    <w:p>
      <w:pPr>
        <w:pStyle w:val="BodyText"/>
        <w:spacing w:before="9"/>
      </w:pPr>
    </w:p>
    <w:p>
      <w:pPr>
        <w:pStyle w:val="Heading2"/>
        <w:numPr>
          <w:ilvl w:val="0"/>
          <w:numId w:val="7"/>
        </w:numPr>
        <w:tabs>
          <w:tab w:pos="660" w:val="left" w:leader="none"/>
          <w:tab w:pos="661" w:val="left" w:leader="none"/>
        </w:tabs>
        <w:spacing w:line="240" w:lineRule="auto" w:before="0" w:after="0"/>
        <w:ind w:left="660" w:right="0" w:hanging="548"/>
        <w:jc w:val="left"/>
      </w:pPr>
      <w:r>
        <w:rPr>
          <w:spacing w:val="-3"/>
        </w:rPr>
        <w:t>Program</w:t>
      </w:r>
      <w:r>
        <w:rPr>
          <w:spacing w:val="-7"/>
        </w:rPr>
        <w:t> </w:t>
      </w:r>
      <w:r>
        <w:rPr>
          <w:spacing w:val="-3"/>
        </w:rPr>
        <w:t>Initiatives</w:t>
      </w:r>
    </w:p>
    <w:p>
      <w:pPr>
        <w:pStyle w:val="BodyText"/>
        <w:spacing w:before="9"/>
        <w:rPr>
          <w:b/>
          <w:sz w:val="28"/>
        </w:rPr>
      </w:pPr>
    </w:p>
    <w:p>
      <w:pPr>
        <w:pStyle w:val="Heading3"/>
        <w:numPr>
          <w:ilvl w:val="1"/>
          <w:numId w:val="7"/>
        </w:numPr>
        <w:tabs>
          <w:tab w:pos="1206" w:val="left" w:leader="none"/>
          <w:tab w:pos="1207" w:val="left" w:leader="none"/>
        </w:tabs>
        <w:spacing w:line="240" w:lineRule="auto" w:before="1" w:after="0"/>
        <w:ind w:left="1206" w:right="0" w:hanging="547"/>
        <w:jc w:val="left"/>
      </w:pPr>
      <w:r>
        <w:rPr>
          <w:spacing w:val="-3"/>
        </w:rPr>
        <w:t>Hospital Services Reimbursed through Other Contracts </w:t>
      </w:r>
      <w:r>
        <w:rPr/>
        <w:t>or</w:t>
      </w:r>
      <w:r>
        <w:rPr>
          <w:spacing w:val="-2"/>
        </w:rPr>
        <w:t> </w:t>
      </w:r>
      <w:r>
        <w:rPr>
          <w:spacing w:val="-3"/>
        </w:rPr>
        <w:t>Regulations</w:t>
      </w:r>
    </w:p>
    <w:p>
      <w:pPr>
        <w:pStyle w:val="BodyText"/>
        <w:spacing w:before="6"/>
        <w:rPr>
          <w:b/>
        </w:rPr>
      </w:pPr>
    </w:p>
    <w:p>
      <w:pPr>
        <w:pStyle w:val="BodyText"/>
        <w:spacing w:line="242" w:lineRule="auto"/>
        <w:ind w:left="1192" w:right="121"/>
      </w:pPr>
      <w:r>
        <w:rPr/>
        <w:t>The </w:t>
      </w:r>
      <w:r>
        <w:rPr>
          <w:spacing w:val="-4"/>
        </w:rPr>
        <w:t>Commonwealth </w:t>
      </w:r>
      <w:r>
        <w:rPr>
          <w:spacing w:val="-3"/>
        </w:rPr>
        <w:t>may institute special program initiatives, other than those </w:t>
      </w:r>
      <w:r>
        <w:rPr/>
        <w:t>in </w:t>
      </w:r>
      <w:r>
        <w:rPr>
          <w:spacing w:val="-3"/>
        </w:rPr>
        <w:t>this RFA, which provide, through contract </w:t>
      </w:r>
      <w:r>
        <w:rPr/>
        <w:t>or </w:t>
      </w:r>
      <w:r>
        <w:rPr>
          <w:spacing w:val="-3"/>
        </w:rPr>
        <w:t>regulation, alternative </w:t>
      </w:r>
      <w:r>
        <w:rPr>
          <w:spacing w:val="-4"/>
        </w:rPr>
        <w:t>reimbursement </w:t>
      </w:r>
      <w:r>
        <w:rPr>
          <w:spacing w:val="-3"/>
        </w:rPr>
        <w:t>methodologies for Hospital services </w:t>
      </w:r>
      <w:r>
        <w:rPr/>
        <w:t>or </w:t>
      </w:r>
      <w:r>
        <w:rPr>
          <w:spacing w:val="-3"/>
        </w:rPr>
        <w:t>certain Hospital services. </w:t>
      </w:r>
      <w:r>
        <w:rPr/>
        <w:t>In </w:t>
      </w:r>
      <w:r>
        <w:rPr>
          <w:spacing w:val="-3"/>
        </w:rPr>
        <w:t>such cases, payment for such services </w:t>
      </w:r>
      <w:r>
        <w:rPr/>
        <w:t>is </w:t>
      </w:r>
      <w:r>
        <w:rPr>
          <w:spacing w:val="-4"/>
        </w:rPr>
        <w:t>made </w:t>
      </w:r>
      <w:r>
        <w:rPr>
          <w:spacing w:val="-3"/>
        </w:rPr>
        <w:t>pursuant </w:t>
      </w:r>
      <w:r>
        <w:rPr/>
        <w:t>to the </w:t>
      </w:r>
      <w:r>
        <w:rPr>
          <w:spacing w:val="-3"/>
        </w:rPr>
        <w:t>contract </w:t>
      </w:r>
      <w:r>
        <w:rPr/>
        <w:t>or </w:t>
      </w:r>
      <w:r>
        <w:rPr>
          <w:spacing w:val="-3"/>
        </w:rPr>
        <w:t>regulations governing </w:t>
      </w:r>
      <w:r>
        <w:rPr/>
        <w:t>the </w:t>
      </w:r>
      <w:r>
        <w:rPr>
          <w:spacing w:val="-3"/>
        </w:rPr>
        <w:t>special program initiative, </w:t>
      </w:r>
      <w:r>
        <w:rPr/>
        <w:t>and </w:t>
      </w:r>
      <w:r>
        <w:rPr>
          <w:spacing w:val="-3"/>
        </w:rPr>
        <w:t>not through this </w:t>
      </w:r>
      <w:r>
        <w:rPr/>
        <w:t>RFA and </w:t>
      </w:r>
      <w:r>
        <w:rPr>
          <w:spacing w:val="-3"/>
        </w:rPr>
        <w:t>resulting</w:t>
      </w:r>
      <w:r>
        <w:rPr>
          <w:spacing w:val="-22"/>
        </w:rPr>
        <w:t> </w:t>
      </w:r>
      <w:r>
        <w:rPr>
          <w:spacing w:val="-3"/>
        </w:rPr>
        <w:t>Contract.</w:t>
      </w:r>
    </w:p>
    <w:p>
      <w:pPr>
        <w:pStyle w:val="BodyText"/>
        <w:spacing w:before="9"/>
      </w:pPr>
    </w:p>
    <w:p>
      <w:pPr>
        <w:pStyle w:val="Heading3"/>
        <w:numPr>
          <w:ilvl w:val="1"/>
          <w:numId w:val="7"/>
        </w:numPr>
        <w:tabs>
          <w:tab w:pos="1206" w:val="left" w:leader="none"/>
          <w:tab w:pos="1207" w:val="left" w:leader="none"/>
        </w:tabs>
        <w:spacing w:line="240" w:lineRule="auto" w:before="0" w:after="0"/>
        <w:ind w:left="1206" w:right="0" w:hanging="547"/>
        <w:jc w:val="left"/>
      </w:pPr>
      <w:r>
        <w:rPr>
          <w:spacing w:val="-3"/>
        </w:rPr>
        <w:t>Demonstration</w:t>
      </w:r>
      <w:r>
        <w:rPr>
          <w:spacing w:val="-2"/>
        </w:rPr>
        <w:t> </w:t>
      </w:r>
      <w:r>
        <w:rPr>
          <w:spacing w:val="-3"/>
        </w:rPr>
        <w:t>Projects</w:t>
      </w:r>
    </w:p>
    <w:p>
      <w:pPr>
        <w:pStyle w:val="BodyText"/>
        <w:spacing w:before="11"/>
        <w:rPr>
          <w:b/>
          <w:sz w:val="25"/>
        </w:rPr>
      </w:pPr>
    </w:p>
    <w:p>
      <w:pPr>
        <w:pStyle w:val="BodyText"/>
        <w:spacing w:line="242" w:lineRule="auto"/>
        <w:ind w:left="1189" w:right="150"/>
      </w:pPr>
      <w:r>
        <w:rPr/>
        <w:t>It is an </w:t>
      </w:r>
      <w:r>
        <w:rPr>
          <w:spacing w:val="-3"/>
        </w:rPr>
        <w:t>EOHHS priority </w:t>
      </w:r>
      <w:r>
        <w:rPr/>
        <w:t>to </w:t>
      </w:r>
      <w:r>
        <w:rPr>
          <w:spacing w:val="-3"/>
        </w:rPr>
        <w:t>ensure that MassHealth Members receive quality medical care at sites </w:t>
      </w:r>
      <w:r>
        <w:rPr/>
        <w:t>of </w:t>
      </w:r>
      <w:r>
        <w:rPr>
          <w:spacing w:val="-3"/>
        </w:rPr>
        <w:t>service that promote delivery </w:t>
      </w:r>
      <w:r>
        <w:rPr/>
        <w:t>of </w:t>
      </w:r>
      <w:r>
        <w:rPr>
          <w:spacing w:val="-3"/>
        </w:rPr>
        <w:t>such medical care </w:t>
      </w:r>
      <w:r>
        <w:rPr/>
        <w:t>in a </w:t>
      </w:r>
      <w:r>
        <w:rPr>
          <w:spacing w:val="-3"/>
        </w:rPr>
        <w:t>cost-effective </w:t>
      </w:r>
      <w:r>
        <w:rPr/>
        <w:t>and </w:t>
      </w:r>
      <w:r>
        <w:rPr>
          <w:spacing w:val="-3"/>
        </w:rPr>
        <w:t>efficient manner. </w:t>
      </w:r>
      <w:r>
        <w:rPr/>
        <w:t>In </w:t>
      </w:r>
      <w:r>
        <w:rPr>
          <w:spacing w:val="-3"/>
        </w:rPr>
        <w:t>furtherance </w:t>
      </w:r>
      <w:r>
        <w:rPr/>
        <w:t>of </w:t>
      </w:r>
      <w:r>
        <w:rPr>
          <w:spacing w:val="-3"/>
        </w:rPr>
        <w:t>this objective, </w:t>
      </w:r>
      <w:r>
        <w:rPr/>
        <w:t>and </w:t>
      </w:r>
      <w:r>
        <w:rPr>
          <w:spacing w:val="-3"/>
        </w:rPr>
        <w:t>subject </w:t>
      </w:r>
      <w:r>
        <w:rPr/>
        <w:t>to </w:t>
      </w:r>
      <w:r>
        <w:rPr>
          <w:spacing w:val="-3"/>
        </w:rPr>
        <w:t>state </w:t>
      </w:r>
      <w:r>
        <w:rPr/>
        <w:t>and </w:t>
      </w:r>
      <w:r>
        <w:rPr>
          <w:spacing w:val="-3"/>
        </w:rPr>
        <w:t>federal approval requirements, </w:t>
      </w:r>
      <w:r>
        <w:rPr/>
        <w:t>if </w:t>
      </w:r>
      <w:r>
        <w:rPr>
          <w:spacing w:val="-3"/>
        </w:rPr>
        <w:t>any, EOHHS may, through separate contracts </w:t>
      </w:r>
      <w:r>
        <w:rPr/>
        <w:t>or </w:t>
      </w:r>
      <w:r>
        <w:rPr>
          <w:spacing w:val="-3"/>
        </w:rPr>
        <w:t>through this RFA, institute demonstration projects with Hospitals </w:t>
      </w:r>
      <w:r>
        <w:rPr/>
        <w:t>to </w:t>
      </w:r>
      <w:r>
        <w:rPr>
          <w:spacing w:val="-3"/>
        </w:rPr>
        <w:t>develop innovative approaches </w:t>
      </w:r>
      <w:r>
        <w:rPr/>
        <w:t>to </w:t>
      </w:r>
      <w:r>
        <w:rPr>
          <w:spacing w:val="-3"/>
        </w:rPr>
        <w:t>delivery </w:t>
      </w:r>
      <w:r>
        <w:rPr/>
        <w:t>of </w:t>
      </w:r>
      <w:r>
        <w:rPr>
          <w:spacing w:val="-3"/>
        </w:rPr>
        <w:t>services </w:t>
      </w:r>
      <w:r>
        <w:rPr/>
        <w:t>and </w:t>
      </w:r>
      <w:r>
        <w:rPr>
          <w:spacing w:val="-3"/>
        </w:rPr>
        <w:t>payment for services. Such demonstration projects will </w:t>
      </w:r>
      <w:r>
        <w:rPr/>
        <w:t>be </w:t>
      </w:r>
      <w:r>
        <w:rPr>
          <w:spacing w:val="-3"/>
        </w:rPr>
        <w:t>designed </w:t>
      </w:r>
      <w:r>
        <w:rPr/>
        <w:t>to </w:t>
      </w:r>
      <w:r>
        <w:rPr>
          <w:spacing w:val="-3"/>
        </w:rPr>
        <w:t>focus </w:t>
      </w:r>
      <w:r>
        <w:rPr/>
        <w:t>on </w:t>
      </w:r>
      <w:r>
        <w:rPr>
          <w:spacing w:val="-3"/>
        </w:rPr>
        <w:t>ensuring that Hospitals provide </w:t>
      </w:r>
      <w:r>
        <w:rPr/>
        <w:t>or </w:t>
      </w:r>
      <w:r>
        <w:rPr>
          <w:spacing w:val="-3"/>
        </w:rPr>
        <w:t>facilitate </w:t>
      </w:r>
      <w:r>
        <w:rPr/>
        <w:t>the </w:t>
      </w:r>
      <w:r>
        <w:rPr>
          <w:spacing w:val="-3"/>
        </w:rPr>
        <w:t>provision </w:t>
      </w:r>
      <w:r>
        <w:rPr/>
        <w:t>of </w:t>
      </w:r>
      <w:r>
        <w:rPr>
          <w:spacing w:val="-3"/>
        </w:rPr>
        <w:t>quality services </w:t>
      </w:r>
      <w:r>
        <w:rPr/>
        <w:t>to </w:t>
      </w:r>
      <w:r>
        <w:rPr>
          <w:spacing w:val="-3"/>
        </w:rPr>
        <w:t>MassHealth Members</w:t>
      </w:r>
      <w:r>
        <w:rPr>
          <w:spacing w:val="-33"/>
        </w:rPr>
        <w:t> </w:t>
      </w:r>
      <w:r>
        <w:rPr>
          <w:spacing w:val="-3"/>
        </w:rPr>
        <w:t>in</w:t>
      </w:r>
    </w:p>
    <w:p>
      <w:pPr>
        <w:spacing w:after="0" w:line="242" w:lineRule="auto"/>
        <w:sectPr>
          <w:footerReference w:type="default" r:id="rId9"/>
          <w:pgSz w:w="12240" w:h="15840"/>
          <w:pgMar w:footer="744" w:header="0" w:top="1380" w:bottom="940" w:left="1040" w:right="980"/>
        </w:sectPr>
      </w:pPr>
    </w:p>
    <w:p>
      <w:pPr>
        <w:pStyle w:val="BodyText"/>
        <w:spacing w:line="242" w:lineRule="auto" w:before="61"/>
        <w:ind w:left="1189" w:right="130"/>
      </w:pPr>
      <w:r>
        <w:rPr/>
        <w:t>a </w:t>
      </w:r>
      <w:r>
        <w:rPr>
          <w:spacing w:val="-3"/>
        </w:rPr>
        <w:t>manner that </w:t>
      </w:r>
      <w:r>
        <w:rPr/>
        <w:t>is </w:t>
      </w:r>
      <w:r>
        <w:rPr>
          <w:spacing w:val="-3"/>
        </w:rPr>
        <w:t>efficient </w:t>
      </w:r>
      <w:r>
        <w:rPr/>
        <w:t>and </w:t>
      </w:r>
      <w:r>
        <w:rPr>
          <w:spacing w:val="-3"/>
        </w:rPr>
        <w:t>cost-effective </w:t>
      </w:r>
      <w:r>
        <w:rPr/>
        <w:t>and </w:t>
      </w:r>
      <w:r>
        <w:rPr>
          <w:spacing w:val="-3"/>
        </w:rPr>
        <w:t>that may include alternative </w:t>
      </w:r>
      <w:r>
        <w:rPr>
          <w:spacing w:val="-4"/>
        </w:rPr>
        <w:t>reimbursement </w:t>
      </w:r>
      <w:r>
        <w:rPr>
          <w:spacing w:val="-3"/>
        </w:rPr>
        <w:t>methodologies </w:t>
      </w:r>
      <w:r>
        <w:rPr/>
        <w:t>for </w:t>
      </w:r>
      <w:r>
        <w:rPr>
          <w:spacing w:val="-3"/>
        </w:rPr>
        <w:t>Hospital services </w:t>
      </w:r>
      <w:r>
        <w:rPr/>
        <w:t>or </w:t>
      </w:r>
      <w:r>
        <w:rPr>
          <w:spacing w:val="-3"/>
        </w:rPr>
        <w:t>certain Hospital services.</w:t>
      </w:r>
    </w:p>
    <w:p>
      <w:pPr>
        <w:pStyle w:val="BodyText"/>
        <w:spacing w:before="8"/>
      </w:pPr>
    </w:p>
    <w:p>
      <w:pPr>
        <w:pStyle w:val="Heading3"/>
        <w:numPr>
          <w:ilvl w:val="1"/>
          <w:numId w:val="7"/>
        </w:numPr>
        <w:tabs>
          <w:tab w:pos="1206" w:val="left" w:leader="none"/>
          <w:tab w:pos="1207" w:val="left" w:leader="none"/>
        </w:tabs>
        <w:spacing w:line="240" w:lineRule="auto" w:before="1" w:after="0"/>
        <w:ind w:left="1206" w:right="0" w:hanging="547"/>
        <w:jc w:val="left"/>
      </w:pPr>
      <w:r>
        <w:rPr>
          <w:spacing w:val="-3"/>
        </w:rPr>
        <w:t>MassHealth Drug</w:t>
      </w:r>
      <w:r>
        <w:rPr>
          <w:spacing w:val="-1"/>
        </w:rPr>
        <w:t> </w:t>
      </w:r>
      <w:r>
        <w:rPr>
          <w:spacing w:val="-3"/>
        </w:rPr>
        <w:t>List</w:t>
      </w:r>
    </w:p>
    <w:p>
      <w:pPr>
        <w:pStyle w:val="BodyText"/>
        <w:spacing w:before="4"/>
        <w:rPr>
          <w:b/>
        </w:rPr>
      </w:pPr>
    </w:p>
    <w:p>
      <w:pPr>
        <w:pStyle w:val="BodyText"/>
        <w:spacing w:line="242" w:lineRule="auto" w:before="1"/>
        <w:ind w:left="1191" w:right="157"/>
      </w:pPr>
      <w:r>
        <w:rPr/>
        <w:t>To </w:t>
      </w:r>
      <w:r>
        <w:rPr>
          <w:spacing w:val="-3"/>
        </w:rPr>
        <w:t>help ensure consistency </w:t>
      </w:r>
      <w:r>
        <w:rPr/>
        <w:t>in </w:t>
      </w:r>
      <w:r>
        <w:rPr>
          <w:spacing w:val="-3"/>
        </w:rPr>
        <w:t>medication regimens </w:t>
      </w:r>
      <w:r>
        <w:rPr/>
        <w:t>and </w:t>
      </w:r>
      <w:r>
        <w:rPr>
          <w:spacing w:val="-3"/>
        </w:rPr>
        <w:t>services, prescribers should conform </w:t>
      </w:r>
      <w:r>
        <w:rPr/>
        <w:t>to the </w:t>
      </w:r>
      <w:r>
        <w:rPr>
          <w:spacing w:val="-3"/>
        </w:rPr>
        <w:t>MassHealth Drug List (see </w:t>
      </w:r>
      <w:hyperlink r:id="rId11">
        <w:r>
          <w:rPr>
            <w:color w:val="0000FF"/>
            <w:spacing w:val="-3"/>
            <w:u w:val="single" w:color="0000FF"/>
          </w:rPr>
          <w:t>www.mass.gov/druglist</w:t>
        </w:r>
        <w:r>
          <w:rPr>
            <w:spacing w:val="-3"/>
          </w:rPr>
          <w:t>) </w:t>
        </w:r>
      </w:hyperlink>
      <w:r>
        <w:rPr>
          <w:spacing w:val="-3"/>
        </w:rPr>
        <w:t>whenever medically appropriate for inpatients, outpatients, </w:t>
      </w:r>
      <w:r>
        <w:rPr/>
        <w:t>and </w:t>
      </w:r>
      <w:r>
        <w:rPr>
          <w:spacing w:val="-3"/>
        </w:rPr>
        <w:t>upon</w:t>
      </w:r>
      <w:r>
        <w:rPr>
          <w:spacing w:val="-11"/>
        </w:rPr>
        <w:t> </w:t>
      </w:r>
      <w:r>
        <w:rPr>
          <w:spacing w:val="-3"/>
        </w:rPr>
        <w:t>discharge.</w:t>
      </w:r>
    </w:p>
    <w:p>
      <w:pPr>
        <w:pStyle w:val="BodyText"/>
        <w:spacing w:before="4"/>
        <w:rPr>
          <w:sz w:val="21"/>
        </w:rPr>
      </w:pPr>
    </w:p>
    <w:p>
      <w:pPr>
        <w:pStyle w:val="Heading2"/>
        <w:numPr>
          <w:ilvl w:val="0"/>
          <w:numId w:val="7"/>
        </w:numPr>
        <w:tabs>
          <w:tab w:pos="659" w:val="left" w:leader="none"/>
          <w:tab w:pos="660" w:val="left" w:leader="none"/>
        </w:tabs>
        <w:spacing w:line="240" w:lineRule="auto" w:before="0" w:after="0"/>
        <w:ind w:left="659" w:right="0" w:hanging="547"/>
        <w:jc w:val="left"/>
      </w:pPr>
      <w:r>
        <w:rPr>
          <w:spacing w:val="-3"/>
        </w:rPr>
        <w:t>Ambulatory Services </w:t>
      </w:r>
      <w:r>
        <w:rPr/>
        <w:t>Not </w:t>
      </w:r>
      <w:r>
        <w:rPr>
          <w:spacing w:val="-3"/>
        </w:rPr>
        <w:t>Covered </w:t>
      </w:r>
      <w:r>
        <w:rPr/>
        <w:t>by the</w:t>
      </w:r>
      <w:r>
        <w:rPr>
          <w:spacing w:val="-41"/>
        </w:rPr>
        <w:t> </w:t>
      </w:r>
      <w:r>
        <w:rPr>
          <w:spacing w:val="-3"/>
        </w:rPr>
        <w:t>RFA</w:t>
      </w:r>
    </w:p>
    <w:p>
      <w:pPr>
        <w:pStyle w:val="BodyText"/>
        <w:spacing w:before="4"/>
        <w:rPr>
          <w:b/>
        </w:rPr>
      </w:pPr>
    </w:p>
    <w:p>
      <w:pPr>
        <w:pStyle w:val="BodyText"/>
        <w:spacing w:line="242" w:lineRule="auto"/>
        <w:ind w:left="651" w:right="91"/>
      </w:pPr>
      <w:r>
        <w:rPr/>
        <w:t>The </w:t>
      </w:r>
      <w:r>
        <w:rPr>
          <w:spacing w:val="-3"/>
        </w:rPr>
        <w:t>following services provided </w:t>
      </w:r>
      <w:r>
        <w:rPr/>
        <w:t>by </w:t>
      </w:r>
      <w:r>
        <w:rPr>
          <w:spacing w:val="-3"/>
        </w:rPr>
        <w:t>Hospitals </w:t>
      </w:r>
      <w:r>
        <w:rPr/>
        <w:t>to </w:t>
      </w:r>
      <w:r>
        <w:rPr>
          <w:spacing w:val="-3"/>
        </w:rPr>
        <w:t>MassHealth Members </w:t>
      </w:r>
      <w:r>
        <w:rPr/>
        <w:t>on an </w:t>
      </w:r>
      <w:r>
        <w:rPr>
          <w:spacing w:val="-3"/>
        </w:rPr>
        <w:t>outpatient basis </w:t>
      </w:r>
      <w:r>
        <w:rPr/>
        <w:t>are </w:t>
      </w:r>
      <w:r>
        <w:rPr>
          <w:spacing w:val="-3"/>
        </w:rPr>
        <w:t>not paid pursuant </w:t>
      </w:r>
      <w:r>
        <w:rPr/>
        <w:t>to the </w:t>
      </w:r>
      <w:r>
        <w:rPr>
          <w:spacing w:val="-3"/>
        </w:rPr>
        <w:t>Acute Hospital </w:t>
      </w:r>
      <w:r>
        <w:rPr/>
        <w:t>RFA and </w:t>
      </w:r>
      <w:r>
        <w:rPr>
          <w:spacing w:val="-3"/>
        </w:rPr>
        <w:t>Contract: ambulance services, psychiatric day treatment, early intervention, home health, adult </w:t>
      </w:r>
      <w:r>
        <w:rPr/>
        <w:t>day </w:t>
      </w:r>
      <w:r>
        <w:rPr>
          <w:spacing w:val="-3"/>
        </w:rPr>
        <w:t>health </w:t>
      </w:r>
      <w:r>
        <w:rPr/>
        <w:t>and </w:t>
      </w:r>
      <w:r>
        <w:rPr>
          <w:spacing w:val="-3"/>
        </w:rPr>
        <w:t>adult foster care, </w:t>
      </w:r>
      <w:r>
        <w:rPr/>
        <w:t>and </w:t>
      </w:r>
      <w:r>
        <w:rPr>
          <w:spacing w:val="-3"/>
        </w:rPr>
        <w:t>outpatient covered drugs processed through </w:t>
      </w:r>
      <w:r>
        <w:rPr/>
        <w:t>the </w:t>
      </w:r>
      <w:r>
        <w:rPr>
          <w:spacing w:val="-3"/>
        </w:rPr>
        <w:t>Pharmacy On-Line Processing System (POPS). Hospitals </w:t>
      </w:r>
      <w:r>
        <w:rPr>
          <w:spacing w:val="-4"/>
        </w:rPr>
        <w:t>must </w:t>
      </w:r>
      <w:r>
        <w:rPr>
          <w:spacing w:val="-3"/>
        </w:rPr>
        <w:t>continue </w:t>
      </w:r>
      <w:r>
        <w:rPr/>
        <w:t>to </w:t>
      </w:r>
      <w:r>
        <w:rPr>
          <w:spacing w:val="-3"/>
        </w:rPr>
        <w:t>conform </w:t>
      </w:r>
      <w:r>
        <w:rPr/>
        <w:t>to the </w:t>
      </w:r>
      <w:r>
        <w:rPr>
          <w:spacing w:val="-3"/>
        </w:rPr>
        <w:t>separate provider participation </w:t>
      </w:r>
      <w:r>
        <w:rPr/>
        <w:t>and </w:t>
      </w:r>
      <w:r>
        <w:rPr>
          <w:spacing w:val="-4"/>
        </w:rPr>
        <w:t>reimbursement </w:t>
      </w:r>
      <w:r>
        <w:rPr>
          <w:spacing w:val="-3"/>
        </w:rPr>
        <w:t>requirements </w:t>
      </w:r>
      <w:r>
        <w:rPr/>
        <w:t>for </w:t>
      </w:r>
      <w:r>
        <w:rPr>
          <w:spacing w:val="-3"/>
        </w:rPr>
        <w:t>those MassHealth </w:t>
      </w:r>
      <w:r>
        <w:rPr>
          <w:spacing w:val="-4"/>
        </w:rPr>
        <w:t>programs.</w:t>
      </w:r>
    </w:p>
    <w:p>
      <w:pPr>
        <w:spacing w:after="0" w:line="242" w:lineRule="auto"/>
        <w:sectPr>
          <w:footerReference w:type="default" r:id="rId10"/>
          <w:pgSz w:w="12240" w:h="15840"/>
          <w:pgMar w:footer="744" w:header="0" w:top="1380" w:bottom="940" w:left="1040" w:right="980"/>
          <w:pgNumType w:start="21"/>
        </w:sectPr>
      </w:pPr>
    </w:p>
    <w:p>
      <w:pPr>
        <w:pStyle w:val="Heading1"/>
        <w:ind w:left="2777" w:right="0"/>
        <w:jc w:val="left"/>
      </w:pPr>
      <w:r>
        <w:rPr/>
        <w:t>Section 5:  Reimbursement System</w:t>
      </w:r>
    </w:p>
    <w:p>
      <w:pPr>
        <w:pStyle w:val="BodyText"/>
        <w:spacing w:before="6"/>
        <w:rPr>
          <w:b/>
          <w:sz w:val="32"/>
        </w:rPr>
      </w:pPr>
    </w:p>
    <w:p>
      <w:pPr>
        <w:pStyle w:val="Heading2"/>
        <w:numPr>
          <w:ilvl w:val="0"/>
          <w:numId w:val="8"/>
        </w:numPr>
        <w:tabs>
          <w:tab w:pos="659" w:val="left" w:leader="none"/>
          <w:tab w:pos="660" w:val="left" w:leader="none"/>
        </w:tabs>
        <w:spacing w:line="240" w:lineRule="auto" w:before="1" w:after="0"/>
        <w:ind w:left="652" w:right="0" w:hanging="540"/>
        <w:jc w:val="left"/>
      </w:pPr>
      <w:r>
        <w:rPr>
          <w:spacing w:val="-3"/>
        </w:rPr>
        <w:t>General</w:t>
      </w:r>
      <w:r>
        <w:rPr>
          <w:spacing w:val="-7"/>
        </w:rPr>
        <w:t> </w:t>
      </w:r>
      <w:r>
        <w:rPr>
          <w:spacing w:val="-3"/>
        </w:rPr>
        <w:t>Provisions</w:t>
      </w:r>
    </w:p>
    <w:p>
      <w:pPr>
        <w:pStyle w:val="BodyText"/>
        <w:spacing w:before="6"/>
        <w:rPr>
          <w:b/>
          <w:sz w:val="28"/>
        </w:rPr>
      </w:pPr>
    </w:p>
    <w:p>
      <w:pPr>
        <w:pStyle w:val="BodyText"/>
        <w:spacing w:line="242" w:lineRule="auto"/>
        <w:ind w:left="651" w:right="130"/>
      </w:pPr>
      <w:r>
        <w:rPr>
          <w:spacing w:val="-3"/>
        </w:rPr>
        <w:t>Acute Hospitals that participate </w:t>
      </w:r>
      <w:r>
        <w:rPr/>
        <w:t>in the </w:t>
      </w:r>
      <w:r>
        <w:rPr>
          <w:spacing w:val="-3"/>
        </w:rPr>
        <w:t>MassHealth program under </w:t>
      </w:r>
      <w:r>
        <w:rPr/>
        <w:t>the </w:t>
      </w:r>
      <w:r>
        <w:rPr>
          <w:spacing w:val="-3"/>
        </w:rPr>
        <w:t>terms </w:t>
      </w:r>
      <w:r>
        <w:rPr/>
        <w:t>of the </w:t>
      </w:r>
      <w:r>
        <w:rPr>
          <w:spacing w:val="-3"/>
        </w:rPr>
        <w:t>Hospital Contract </w:t>
      </w:r>
      <w:r>
        <w:rPr/>
        <w:t>and its </w:t>
      </w:r>
      <w:r>
        <w:rPr>
          <w:spacing w:val="-3"/>
        </w:rPr>
        <w:t>accompanying payment methodology shall accept payment </w:t>
      </w:r>
      <w:r>
        <w:rPr/>
        <w:t>at the </w:t>
      </w:r>
      <w:r>
        <w:rPr>
          <w:spacing w:val="-3"/>
        </w:rPr>
        <w:t>rates established </w:t>
      </w:r>
      <w:r>
        <w:rPr/>
        <w:t>in </w:t>
      </w:r>
      <w:r>
        <w:rPr>
          <w:spacing w:val="-3"/>
        </w:rPr>
        <w:t>this </w:t>
      </w:r>
      <w:r>
        <w:rPr/>
        <w:t>RFA as </w:t>
      </w:r>
      <w:r>
        <w:rPr>
          <w:spacing w:val="-3"/>
        </w:rPr>
        <w:t>payment </w:t>
      </w:r>
      <w:r>
        <w:rPr/>
        <w:t>in </w:t>
      </w:r>
      <w:r>
        <w:rPr>
          <w:spacing w:val="-3"/>
        </w:rPr>
        <w:t>full </w:t>
      </w:r>
      <w:r>
        <w:rPr/>
        <w:t>for </w:t>
      </w:r>
      <w:r>
        <w:rPr>
          <w:spacing w:val="-3"/>
        </w:rPr>
        <w:t>services reimbursable </w:t>
      </w:r>
      <w:r>
        <w:rPr/>
        <w:t>by </w:t>
      </w:r>
      <w:r>
        <w:rPr>
          <w:spacing w:val="-3"/>
        </w:rPr>
        <w:t>EOHHS that </w:t>
      </w:r>
      <w:r>
        <w:rPr/>
        <w:t>are </w:t>
      </w:r>
      <w:r>
        <w:rPr>
          <w:spacing w:val="-3"/>
        </w:rPr>
        <w:t>rendered </w:t>
      </w:r>
      <w:r>
        <w:rPr/>
        <w:t>to </w:t>
      </w:r>
      <w:r>
        <w:rPr>
          <w:spacing w:val="-3"/>
        </w:rPr>
        <w:t>MassHealth Members admitted </w:t>
      </w:r>
      <w:r>
        <w:rPr/>
        <w:t>as </w:t>
      </w:r>
      <w:r>
        <w:rPr>
          <w:spacing w:val="-3"/>
        </w:rPr>
        <w:t>inpatients </w:t>
      </w:r>
      <w:r>
        <w:rPr/>
        <w:t>or </w:t>
      </w:r>
      <w:r>
        <w:rPr>
          <w:spacing w:val="-3"/>
        </w:rPr>
        <w:t>treated </w:t>
      </w:r>
      <w:r>
        <w:rPr/>
        <w:t>as </w:t>
      </w:r>
      <w:r>
        <w:rPr>
          <w:spacing w:val="-3"/>
        </w:rPr>
        <w:t>outpatients </w:t>
      </w:r>
      <w:r>
        <w:rPr/>
        <w:t>on or </w:t>
      </w:r>
      <w:r>
        <w:rPr>
          <w:spacing w:val="-3"/>
        </w:rPr>
        <w:t>after October </w:t>
      </w:r>
      <w:r>
        <w:rPr/>
        <w:t>1, </w:t>
      </w:r>
      <w:r>
        <w:rPr>
          <w:spacing w:val="-3"/>
        </w:rPr>
        <w:t>2013.</w:t>
      </w:r>
    </w:p>
    <w:p>
      <w:pPr>
        <w:pStyle w:val="BodyText"/>
        <w:spacing w:before="3"/>
      </w:pPr>
    </w:p>
    <w:p>
      <w:pPr>
        <w:pStyle w:val="BodyText"/>
        <w:spacing w:line="242" w:lineRule="auto" w:before="1"/>
        <w:ind w:left="651" w:right="130"/>
      </w:pPr>
      <w:r>
        <w:rPr>
          <w:spacing w:val="-3"/>
        </w:rPr>
        <w:t>Non-acute units, other than Rehabilitation Units, </w:t>
      </w:r>
      <w:r>
        <w:rPr/>
        <w:t>and </w:t>
      </w:r>
      <w:r>
        <w:rPr>
          <w:spacing w:val="-3"/>
        </w:rPr>
        <w:t>units within Hospitals that operate under separate licenses, such </w:t>
      </w:r>
      <w:r>
        <w:rPr/>
        <w:t>as </w:t>
      </w:r>
      <w:r>
        <w:rPr>
          <w:spacing w:val="-3"/>
        </w:rPr>
        <w:t>skilled nursing units, will </w:t>
      </w:r>
      <w:r>
        <w:rPr/>
        <w:t>not be </w:t>
      </w:r>
      <w:r>
        <w:rPr>
          <w:spacing w:val="-3"/>
        </w:rPr>
        <w:t>affected </w:t>
      </w:r>
      <w:r>
        <w:rPr/>
        <w:t>by </w:t>
      </w:r>
      <w:r>
        <w:rPr>
          <w:spacing w:val="-3"/>
        </w:rPr>
        <w:t>this </w:t>
      </w:r>
      <w:r>
        <w:rPr>
          <w:spacing w:val="-4"/>
        </w:rPr>
        <w:t>methodology.</w:t>
      </w:r>
    </w:p>
    <w:p>
      <w:pPr>
        <w:pStyle w:val="BodyText"/>
        <w:spacing w:before="4"/>
      </w:pPr>
    </w:p>
    <w:p>
      <w:pPr>
        <w:pStyle w:val="BodyText"/>
        <w:spacing w:line="242" w:lineRule="auto"/>
        <w:ind w:left="651" w:right="184"/>
      </w:pPr>
      <w:r>
        <w:rPr/>
        <w:t>For </w:t>
      </w:r>
      <w:r>
        <w:rPr>
          <w:spacing w:val="-3"/>
        </w:rPr>
        <w:t>Inpatient Services paid </w:t>
      </w:r>
      <w:r>
        <w:rPr/>
        <w:t>on a per </w:t>
      </w:r>
      <w:r>
        <w:rPr>
          <w:spacing w:val="-3"/>
        </w:rPr>
        <w:t>diem basis, MassHealth pays </w:t>
      </w:r>
      <w:r>
        <w:rPr/>
        <w:t>the </w:t>
      </w:r>
      <w:r>
        <w:rPr>
          <w:spacing w:val="-3"/>
        </w:rPr>
        <w:t>lesser </w:t>
      </w:r>
      <w:r>
        <w:rPr/>
        <w:t>of (i) the per </w:t>
      </w:r>
      <w:r>
        <w:rPr>
          <w:spacing w:val="-3"/>
        </w:rPr>
        <w:t>diem rate </w:t>
      </w:r>
      <w:r>
        <w:rPr/>
        <w:t>or </w:t>
      </w:r>
      <w:r>
        <w:rPr>
          <w:spacing w:val="-3"/>
        </w:rPr>
        <w:t>(ii) 100% </w:t>
      </w:r>
      <w:r>
        <w:rPr/>
        <w:t>of the </w:t>
      </w:r>
      <w:r>
        <w:rPr>
          <w:spacing w:val="-3"/>
        </w:rPr>
        <w:t>Hospital’s actual charge </w:t>
      </w:r>
      <w:r>
        <w:rPr>
          <w:spacing w:val="-4"/>
        </w:rPr>
        <w:t>submitted.</w:t>
      </w:r>
    </w:p>
    <w:p>
      <w:pPr>
        <w:pStyle w:val="BodyText"/>
        <w:spacing w:before="3"/>
      </w:pPr>
    </w:p>
    <w:p>
      <w:pPr>
        <w:pStyle w:val="BodyText"/>
        <w:spacing w:line="242" w:lineRule="auto" w:before="1"/>
        <w:ind w:left="651" w:right="210"/>
      </w:pPr>
      <w:r>
        <w:rPr/>
        <w:t>Pursuant to M.G.L. c. 118E, §9 (as amended by c. 211 of the Acts of 2006), which describes pre- 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w:t>
      </w:r>
    </w:p>
    <w:p>
      <w:pPr>
        <w:pStyle w:val="BodyText"/>
        <w:spacing w:before="4"/>
      </w:pPr>
    </w:p>
    <w:p>
      <w:pPr>
        <w:pStyle w:val="BodyText"/>
        <w:spacing w:line="242" w:lineRule="auto"/>
        <w:ind w:left="651" w:right="130"/>
      </w:pPr>
      <w:r>
        <w:rPr/>
        <w:t>A </w:t>
      </w:r>
      <w:r>
        <w:rPr>
          <w:spacing w:val="-3"/>
        </w:rPr>
        <w:t>Hospital with </w:t>
      </w:r>
      <w:r>
        <w:rPr/>
        <w:t>a </w:t>
      </w:r>
      <w:r>
        <w:rPr>
          <w:spacing w:val="-3"/>
        </w:rPr>
        <w:t>DMH-licensed inpatient psychiatric unit must accept into </w:t>
      </w:r>
      <w:r>
        <w:rPr/>
        <w:t>its </w:t>
      </w:r>
      <w:r>
        <w:rPr>
          <w:spacing w:val="-3"/>
        </w:rPr>
        <w:t>DMH-licensed inpatient psychiatric unit </w:t>
      </w:r>
      <w:r>
        <w:rPr/>
        <w:t>all </w:t>
      </w:r>
      <w:r>
        <w:rPr>
          <w:spacing w:val="-3"/>
        </w:rPr>
        <w:t>referrals </w:t>
      </w:r>
      <w:r>
        <w:rPr/>
        <w:t>of </w:t>
      </w:r>
      <w:r>
        <w:rPr>
          <w:spacing w:val="-3"/>
        </w:rPr>
        <w:t>MassHealth </w:t>
      </w:r>
      <w:r>
        <w:rPr>
          <w:spacing w:val="-4"/>
        </w:rPr>
        <w:t>members </w:t>
      </w:r>
      <w:r>
        <w:rPr>
          <w:spacing w:val="-3"/>
        </w:rPr>
        <w:t>that meet </w:t>
      </w:r>
      <w:r>
        <w:rPr/>
        <w:t>the </w:t>
      </w:r>
      <w:r>
        <w:rPr>
          <w:spacing w:val="-3"/>
        </w:rPr>
        <w:t>established </w:t>
      </w:r>
      <w:r>
        <w:rPr>
          <w:spacing w:val="-4"/>
        </w:rPr>
        <w:t>admission </w:t>
      </w:r>
      <w:r>
        <w:rPr>
          <w:spacing w:val="-3"/>
        </w:rPr>
        <w:t>criteria </w:t>
      </w:r>
      <w:r>
        <w:rPr/>
        <w:t>of the </w:t>
      </w:r>
      <w:r>
        <w:rPr>
          <w:spacing w:val="-3"/>
        </w:rPr>
        <w:t>inpatient unit.</w:t>
      </w:r>
    </w:p>
    <w:p>
      <w:pPr>
        <w:pStyle w:val="BodyText"/>
        <w:spacing w:before="3"/>
        <w:rPr>
          <w:sz w:val="21"/>
        </w:rPr>
      </w:pPr>
    </w:p>
    <w:p>
      <w:pPr>
        <w:pStyle w:val="Heading2"/>
        <w:numPr>
          <w:ilvl w:val="0"/>
          <w:numId w:val="8"/>
        </w:numPr>
        <w:tabs>
          <w:tab w:pos="660" w:val="left" w:leader="none"/>
          <w:tab w:pos="661" w:val="left" w:leader="none"/>
        </w:tabs>
        <w:spacing w:line="240" w:lineRule="auto" w:before="0" w:after="0"/>
        <w:ind w:left="660" w:right="0" w:hanging="548"/>
        <w:jc w:val="left"/>
      </w:pPr>
      <w:r>
        <w:rPr>
          <w:spacing w:val="-3"/>
        </w:rPr>
        <w:t>Payment </w:t>
      </w:r>
      <w:r>
        <w:rPr/>
        <w:t>for </w:t>
      </w:r>
      <w:r>
        <w:rPr>
          <w:spacing w:val="-3"/>
        </w:rPr>
        <w:t>Inpatient</w:t>
      </w:r>
      <w:r>
        <w:rPr>
          <w:spacing w:val="-21"/>
        </w:rPr>
        <w:t> </w:t>
      </w:r>
      <w:r>
        <w:rPr>
          <w:spacing w:val="-3"/>
        </w:rPr>
        <w:t>Services</w:t>
      </w:r>
    </w:p>
    <w:p>
      <w:pPr>
        <w:pStyle w:val="BodyText"/>
        <w:spacing w:before="7"/>
        <w:rPr>
          <w:b/>
          <w:sz w:val="31"/>
        </w:rPr>
      </w:pPr>
    </w:p>
    <w:p>
      <w:pPr>
        <w:pStyle w:val="Heading3"/>
        <w:numPr>
          <w:ilvl w:val="1"/>
          <w:numId w:val="8"/>
        </w:numPr>
        <w:tabs>
          <w:tab w:pos="1206" w:val="left" w:leader="none"/>
          <w:tab w:pos="1207" w:val="left" w:leader="none"/>
        </w:tabs>
        <w:spacing w:line="240" w:lineRule="auto" w:before="0" w:after="0"/>
        <w:ind w:left="1206" w:right="0" w:hanging="547"/>
        <w:jc w:val="left"/>
      </w:pPr>
      <w:r>
        <w:rPr>
          <w:spacing w:val="-3"/>
        </w:rPr>
        <w:t>Overview</w:t>
      </w:r>
    </w:p>
    <w:p>
      <w:pPr>
        <w:pStyle w:val="BodyText"/>
        <w:spacing w:before="9"/>
        <w:rPr>
          <w:b/>
        </w:rPr>
      </w:pPr>
    </w:p>
    <w:p>
      <w:pPr>
        <w:pStyle w:val="BodyText"/>
        <w:spacing w:line="242" w:lineRule="auto"/>
        <w:ind w:left="1191" w:right="212"/>
        <w:rPr>
          <w:b/>
        </w:rPr>
      </w:pPr>
      <w:r>
        <w:rPr>
          <w:spacing w:val="-3"/>
        </w:rPr>
        <w:t>Except </w:t>
      </w:r>
      <w:r>
        <w:rPr/>
        <w:t>as </w:t>
      </w:r>
      <w:r>
        <w:rPr>
          <w:spacing w:val="-3"/>
        </w:rPr>
        <w:t>otherwise provided </w:t>
      </w:r>
      <w:r>
        <w:rPr/>
        <w:t>in </w:t>
      </w:r>
      <w:r>
        <w:rPr>
          <w:b/>
          <w:spacing w:val="-3"/>
        </w:rPr>
        <w:t>Sections 5.B.7 </w:t>
      </w:r>
      <w:r>
        <w:rPr>
          <w:spacing w:val="-3"/>
        </w:rPr>
        <w:t>through </w:t>
      </w:r>
      <w:r>
        <w:rPr>
          <w:b/>
          <w:spacing w:val="-3"/>
        </w:rPr>
        <w:t>5.B.13</w:t>
      </w:r>
      <w:r>
        <w:rPr>
          <w:spacing w:val="-3"/>
        </w:rPr>
        <w:t>, fee-for-service payments for Inpatient Services provided </w:t>
      </w:r>
      <w:r>
        <w:rPr/>
        <w:t>to </w:t>
      </w:r>
      <w:r>
        <w:rPr>
          <w:spacing w:val="-3"/>
        </w:rPr>
        <w:t>MassHealth Members </w:t>
      </w:r>
      <w:r>
        <w:rPr/>
        <w:t>not </w:t>
      </w:r>
      <w:r>
        <w:rPr>
          <w:spacing w:val="-3"/>
        </w:rPr>
        <w:t>enrolled </w:t>
      </w:r>
      <w:r>
        <w:rPr/>
        <w:t>in an MCO </w:t>
      </w:r>
      <w:r>
        <w:rPr>
          <w:spacing w:val="-3"/>
        </w:rPr>
        <w:t>will </w:t>
      </w:r>
      <w:r>
        <w:rPr/>
        <w:t>be a </w:t>
      </w:r>
      <w:r>
        <w:rPr>
          <w:spacing w:val="-3"/>
        </w:rPr>
        <w:t>Hospital-specific Standard Payment Amount </w:t>
      </w:r>
      <w:r>
        <w:rPr/>
        <w:t>per </w:t>
      </w:r>
      <w:r>
        <w:rPr>
          <w:spacing w:val="-3"/>
        </w:rPr>
        <w:t>Discharge (SPAD) which will consist </w:t>
      </w:r>
      <w:r>
        <w:rPr/>
        <w:t>of </w:t>
      </w:r>
      <w:r>
        <w:rPr>
          <w:spacing w:val="-3"/>
        </w:rPr>
        <w:t>the </w:t>
      </w:r>
      <w:r>
        <w:rPr/>
        <w:t>sum of (1) a </w:t>
      </w:r>
      <w:r>
        <w:rPr>
          <w:spacing w:val="-3"/>
        </w:rPr>
        <w:t>statewide average payment amount </w:t>
      </w:r>
      <w:r>
        <w:rPr/>
        <w:t>per </w:t>
      </w:r>
      <w:r>
        <w:rPr>
          <w:spacing w:val="-3"/>
        </w:rPr>
        <w:t>discharge that </w:t>
      </w:r>
      <w:r>
        <w:rPr/>
        <w:t>is </w:t>
      </w:r>
      <w:r>
        <w:rPr>
          <w:spacing w:val="-3"/>
        </w:rPr>
        <w:t>adjusted </w:t>
      </w:r>
      <w:r>
        <w:rPr/>
        <w:t>for </w:t>
      </w:r>
      <w:r>
        <w:rPr>
          <w:spacing w:val="-3"/>
        </w:rPr>
        <w:t>wage area differences </w:t>
      </w:r>
      <w:r>
        <w:rPr/>
        <w:t>and the </w:t>
      </w:r>
      <w:r>
        <w:rPr>
          <w:spacing w:val="-3"/>
        </w:rPr>
        <w:t>Hospital-specific MassHealth casemix; </w:t>
      </w:r>
      <w:r>
        <w:rPr/>
        <w:t>(2) a </w:t>
      </w:r>
      <w:r>
        <w:rPr>
          <w:spacing w:val="-3"/>
        </w:rPr>
        <w:t>per-discharge, Hospital- specific payment amount </w:t>
      </w:r>
      <w:r>
        <w:rPr/>
        <w:t>for </w:t>
      </w:r>
      <w:r>
        <w:rPr>
          <w:spacing w:val="-3"/>
        </w:rPr>
        <w:t>Hospital-specific expenses </w:t>
      </w:r>
      <w:r>
        <w:rPr/>
        <w:t>for </w:t>
      </w:r>
      <w:r>
        <w:rPr>
          <w:spacing w:val="-3"/>
        </w:rPr>
        <w:t>malpractice </w:t>
      </w:r>
      <w:r>
        <w:rPr/>
        <w:t>and </w:t>
      </w:r>
      <w:r>
        <w:rPr>
          <w:spacing w:val="-3"/>
        </w:rPr>
        <w:t>organ acquisition costs; </w:t>
      </w:r>
      <w:r>
        <w:rPr/>
        <w:t>and (3) a </w:t>
      </w:r>
      <w:r>
        <w:rPr>
          <w:spacing w:val="-3"/>
        </w:rPr>
        <w:t>per-discharge payment amount </w:t>
      </w:r>
      <w:r>
        <w:rPr/>
        <w:t>for the </w:t>
      </w:r>
      <w:r>
        <w:rPr>
          <w:spacing w:val="-3"/>
        </w:rPr>
        <w:t>capital cost allowance, adjusted </w:t>
      </w:r>
      <w:r>
        <w:rPr/>
        <w:t>by a </w:t>
      </w:r>
      <w:r>
        <w:rPr>
          <w:spacing w:val="-3"/>
        </w:rPr>
        <w:t>Hospital-specific casemix </w:t>
      </w:r>
      <w:r>
        <w:rPr/>
        <w:t>and by a </w:t>
      </w:r>
      <w:r>
        <w:rPr>
          <w:spacing w:val="-3"/>
        </w:rPr>
        <w:t>capital inflation factor, </w:t>
      </w:r>
      <w:r>
        <w:rPr/>
        <w:t>as </w:t>
      </w:r>
      <w:r>
        <w:rPr>
          <w:spacing w:val="-3"/>
        </w:rPr>
        <w:t>that </w:t>
      </w:r>
      <w:r>
        <w:rPr/>
        <w:t>sum </w:t>
      </w:r>
      <w:r>
        <w:rPr>
          <w:spacing w:val="-3"/>
        </w:rPr>
        <w:t>may </w:t>
      </w:r>
      <w:r>
        <w:rPr/>
        <w:t>be </w:t>
      </w:r>
      <w:r>
        <w:rPr>
          <w:spacing w:val="-3"/>
        </w:rPr>
        <w:t>adjusted pursuant </w:t>
      </w:r>
      <w:r>
        <w:rPr/>
        <w:t>to </w:t>
      </w:r>
      <w:r>
        <w:rPr>
          <w:b/>
          <w:spacing w:val="-3"/>
        </w:rPr>
        <w:t>Section </w:t>
      </w:r>
      <w:r>
        <w:rPr>
          <w:b/>
        </w:rPr>
        <w:t>8.1</w:t>
      </w:r>
      <w:r>
        <w:rPr/>
        <w:t>. </w:t>
      </w:r>
      <w:r>
        <w:rPr>
          <w:spacing w:val="-3"/>
        </w:rPr>
        <w:t>Each </w:t>
      </w:r>
      <w:r>
        <w:rPr/>
        <w:t>of the </w:t>
      </w:r>
      <w:r>
        <w:rPr>
          <w:spacing w:val="-3"/>
        </w:rPr>
        <w:t>elements making </w:t>
      </w:r>
      <w:r>
        <w:rPr/>
        <w:t>up the sum is </w:t>
      </w:r>
      <w:r>
        <w:rPr>
          <w:spacing w:val="-3"/>
        </w:rPr>
        <w:t>described </w:t>
      </w:r>
      <w:r>
        <w:rPr/>
        <w:t>in </w:t>
      </w:r>
      <w:r>
        <w:rPr>
          <w:b/>
          <w:spacing w:val="-3"/>
        </w:rPr>
        <w:t>Sections</w:t>
      </w:r>
    </w:p>
    <w:p>
      <w:pPr>
        <w:spacing w:before="4"/>
        <w:ind w:left="1191" w:right="0" w:firstLine="0"/>
        <w:jc w:val="left"/>
        <w:rPr>
          <w:sz w:val="24"/>
        </w:rPr>
      </w:pPr>
      <w:r>
        <w:rPr>
          <w:b/>
          <w:sz w:val="24"/>
        </w:rPr>
        <w:t>5.B.2 </w:t>
      </w:r>
      <w:r>
        <w:rPr>
          <w:sz w:val="24"/>
        </w:rPr>
        <w:t>through </w:t>
      </w:r>
      <w:r>
        <w:rPr>
          <w:b/>
          <w:sz w:val="24"/>
        </w:rPr>
        <w:t>5.B.4</w:t>
      </w:r>
      <w:r>
        <w:rPr>
          <w:sz w:val="24"/>
        </w:rPr>
        <w:t>.</w:t>
      </w:r>
    </w:p>
    <w:p>
      <w:pPr>
        <w:pStyle w:val="BodyText"/>
        <w:spacing w:before="6"/>
      </w:pPr>
    </w:p>
    <w:p>
      <w:pPr>
        <w:pStyle w:val="BodyText"/>
        <w:spacing w:line="242" w:lineRule="auto"/>
        <w:ind w:left="1191" w:right="92"/>
      </w:pPr>
      <w:r>
        <w:rPr>
          <w:spacing w:val="-3"/>
        </w:rPr>
        <w:t>For </w:t>
      </w:r>
      <w:r>
        <w:rPr>
          <w:spacing w:val="-4"/>
        </w:rPr>
        <w:t>Hospitals </w:t>
      </w:r>
      <w:r>
        <w:rPr>
          <w:spacing w:val="-3"/>
        </w:rPr>
        <w:t>with </w:t>
      </w:r>
      <w:r>
        <w:rPr>
          <w:spacing w:val="-4"/>
        </w:rPr>
        <w:t>Pediatric Specialty Units, payment </w:t>
      </w:r>
      <w:r>
        <w:rPr>
          <w:spacing w:val="-3"/>
        </w:rPr>
        <w:t>for </w:t>
      </w:r>
      <w:r>
        <w:rPr>
          <w:spacing w:val="-4"/>
        </w:rPr>
        <w:t>admissions </w:t>
      </w:r>
      <w:r>
        <w:rPr/>
        <w:t>to </w:t>
      </w:r>
      <w:r>
        <w:rPr>
          <w:spacing w:val="-3"/>
        </w:rPr>
        <w:t>the </w:t>
      </w:r>
      <w:r>
        <w:rPr>
          <w:spacing w:val="-4"/>
        </w:rPr>
        <w:t>Pediatric Specialty </w:t>
      </w:r>
      <w:r>
        <w:rPr>
          <w:spacing w:val="-3"/>
        </w:rPr>
        <w:t>Unit for </w:t>
      </w:r>
      <w:r>
        <w:rPr>
          <w:spacing w:val="-4"/>
        </w:rPr>
        <w:t>which </w:t>
      </w:r>
      <w:r>
        <w:rPr/>
        <w:t>a </w:t>
      </w:r>
      <w:r>
        <w:rPr>
          <w:spacing w:val="-3"/>
        </w:rPr>
        <w:t>SPAD </w:t>
      </w:r>
      <w:r>
        <w:rPr/>
        <w:t>is </w:t>
      </w:r>
      <w:r>
        <w:rPr>
          <w:spacing w:val="-4"/>
        </w:rPr>
        <w:t>otherwise payable </w:t>
      </w:r>
      <w:r>
        <w:rPr>
          <w:spacing w:val="-3"/>
        </w:rPr>
        <w:t>will </w:t>
      </w:r>
      <w:r>
        <w:rPr/>
        <w:t>be </w:t>
      </w:r>
      <w:r>
        <w:rPr>
          <w:spacing w:val="-4"/>
        </w:rPr>
        <w:t>made using </w:t>
      </w:r>
      <w:r>
        <w:rPr>
          <w:spacing w:val="-3"/>
        </w:rPr>
        <w:t>the </w:t>
      </w:r>
      <w:r>
        <w:rPr>
          <w:spacing w:val="-4"/>
        </w:rPr>
        <w:t>Pediatric SPAD. The Pediatric </w:t>
      </w:r>
      <w:r>
        <w:rPr>
          <w:spacing w:val="-3"/>
        </w:rPr>
        <w:t>SPAD </w:t>
      </w:r>
      <w:r>
        <w:rPr/>
        <w:t>is </w:t>
      </w:r>
      <w:r>
        <w:rPr>
          <w:spacing w:val="-4"/>
        </w:rPr>
        <w:t>calculated using </w:t>
      </w:r>
      <w:r>
        <w:rPr>
          <w:spacing w:val="-3"/>
        </w:rPr>
        <w:t>the </w:t>
      </w:r>
      <w:r>
        <w:rPr>
          <w:spacing w:val="-4"/>
        </w:rPr>
        <w:t>same methodology </w:t>
      </w:r>
      <w:r>
        <w:rPr/>
        <w:t>as </w:t>
      </w:r>
      <w:r>
        <w:rPr>
          <w:spacing w:val="-3"/>
        </w:rPr>
        <w:t>the </w:t>
      </w:r>
      <w:r>
        <w:rPr>
          <w:spacing w:val="-4"/>
        </w:rPr>
        <w:t>SPAD, except </w:t>
      </w:r>
      <w:r>
        <w:rPr>
          <w:spacing w:val="-3"/>
        </w:rPr>
        <w:t>that the </w:t>
      </w:r>
      <w:r>
        <w:rPr>
          <w:spacing w:val="-5"/>
        </w:rPr>
        <w:t>casemix </w:t>
      </w:r>
      <w:r>
        <w:rPr>
          <w:spacing w:val="-4"/>
        </w:rPr>
        <w:t>index, discharges, </w:t>
      </w:r>
      <w:r>
        <w:rPr>
          <w:spacing w:val="-3"/>
        </w:rPr>
        <w:t>and </w:t>
      </w:r>
      <w:r>
        <w:rPr>
          <w:spacing w:val="-4"/>
        </w:rPr>
        <w:t>average length </w:t>
      </w:r>
      <w:r>
        <w:rPr/>
        <w:t>of </w:t>
      </w:r>
      <w:r>
        <w:rPr>
          <w:spacing w:val="-3"/>
        </w:rPr>
        <w:t>stay are </w:t>
      </w:r>
      <w:r>
        <w:rPr>
          <w:spacing w:val="-4"/>
        </w:rPr>
        <w:t>based </w:t>
      </w:r>
      <w:r>
        <w:rPr/>
        <w:t>on </w:t>
      </w:r>
      <w:r>
        <w:rPr>
          <w:spacing w:val="-3"/>
        </w:rPr>
        <w:t>data from the </w:t>
      </w:r>
      <w:r>
        <w:rPr>
          <w:spacing w:val="-4"/>
        </w:rPr>
        <w:t>Pediatric Specialty</w:t>
      </w:r>
    </w:p>
    <w:p>
      <w:pPr>
        <w:spacing w:after="0" w:line="242" w:lineRule="auto"/>
        <w:sectPr>
          <w:pgSz w:w="12240" w:h="15840"/>
          <w:pgMar w:header="0" w:footer="744" w:top="1380" w:bottom="940" w:left="1040" w:right="980"/>
        </w:sectPr>
      </w:pPr>
    </w:p>
    <w:p>
      <w:pPr>
        <w:pStyle w:val="BodyText"/>
        <w:spacing w:line="244" w:lineRule="auto" w:before="61"/>
        <w:ind w:left="651" w:right="236"/>
        <w:rPr>
          <w:b/>
        </w:rPr>
      </w:pPr>
      <w:r>
        <w:rPr>
          <w:spacing w:val="-4"/>
        </w:rPr>
        <w:t>Unit. </w:t>
      </w:r>
      <w:r>
        <w:rPr/>
        <w:t>In </w:t>
      </w:r>
      <w:r>
        <w:rPr>
          <w:spacing w:val="-3"/>
        </w:rPr>
        <w:t>such </w:t>
      </w:r>
      <w:r>
        <w:rPr>
          <w:spacing w:val="-4"/>
        </w:rPr>
        <w:t>cases, </w:t>
      </w:r>
      <w:r>
        <w:rPr>
          <w:spacing w:val="-3"/>
        </w:rPr>
        <w:t>the </w:t>
      </w:r>
      <w:r>
        <w:rPr>
          <w:spacing w:val="-4"/>
        </w:rPr>
        <w:t>Hospital's </w:t>
      </w:r>
      <w:r>
        <w:rPr>
          <w:spacing w:val="-3"/>
        </w:rPr>
        <w:t>SPAD </w:t>
      </w:r>
      <w:r>
        <w:rPr/>
        <w:t>is </w:t>
      </w:r>
      <w:r>
        <w:rPr>
          <w:spacing w:val="-4"/>
        </w:rPr>
        <w:t>calculated </w:t>
      </w:r>
      <w:r>
        <w:rPr/>
        <w:t>by </w:t>
      </w:r>
      <w:r>
        <w:rPr>
          <w:spacing w:val="-4"/>
        </w:rPr>
        <w:t>excluding </w:t>
      </w:r>
      <w:r>
        <w:rPr>
          <w:spacing w:val="-3"/>
        </w:rPr>
        <w:t>data from the </w:t>
      </w:r>
      <w:r>
        <w:rPr>
          <w:spacing w:val="-4"/>
        </w:rPr>
        <w:t>Pediatric Specialty </w:t>
      </w:r>
      <w:r>
        <w:rPr>
          <w:spacing w:val="-3"/>
        </w:rPr>
        <w:t>Unit for </w:t>
      </w:r>
      <w:r>
        <w:rPr>
          <w:spacing w:val="-4"/>
        </w:rPr>
        <w:t>these components. Acute Hospitals </w:t>
      </w:r>
      <w:r>
        <w:rPr>
          <w:spacing w:val="-3"/>
        </w:rPr>
        <w:t>with </w:t>
      </w:r>
      <w:r>
        <w:rPr>
          <w:spacing w:val="-4"/>
        </w:rPr>
        <w:t>Pediatric Specialty Units </w:t>
      </w:r>
      <w:r>
        <w:rPr>
          <w:spacing w:val="-3"/>
        </w:rPr>
        <w:t>will </w:t>
      </w:r>
      <w:r>
        <w:rPr>
          <w:spacing w:val="-4"/>
        </w:rPr>
        <w:t>be identified </w:t>
      </w:r>
      <w:r>
        <w:rPr/>
        <w:t>in </w:t>
      </w:r>
      <w:r>
        <w:rPr>
          <w:spacing w:val="-3"/>
        </w:rPr>
        <w:t>the </w:t>
      </w:r>
      <w:r>
        <w:rPr>
          <w:spacing w:val="-4"/>
        </w:rPr>
        <w:t>qualifying Hospital’s </w:t>
      </w:r>
      <w:r>
        <w:rPr>
          <w:b/>
          <w:spacing w:val="-4"/>
        </w:rPr>
        <w:t>Appendix C.</w:t>
      </w:r>
    </w:p>
    <w:p>
      <w:pPr>
        <w:pStyle w:val="BodyText"/>
        <w:spacing w:before="6"/>
        <w:rPr>
          <w:b/>
        </w:rPr>
      </w:pPr>
    </w:p>
    <w:p>
      <w:pPr>
        <w:pStyle w:val="BodyText"/>
        <w:ind w:left="652"/>
      </w:pPr>
      <w:r>
        <w:rPr/>
        <w:t>For Critical Access Hospitals, payment is in accordance with </w:t>
      </w:r>
      <w:r>
        <w:rPr>
          <w:b/>
        </w:rPr>
        <w:t>Section 5.D.7</w:t>
      </w:r>
      <w:r>
        <w:rPr/>
        <w:t>.</w:t>
      </w:r>
    </w:p>
    <w:p>
      <w:pPr>
        <w:pStyle w:val="BodyText"/>
        <w:spacing w:before="7"/>
      </w:pPr>
    </w:p>
    <w:p>
      <w:pPr>
        <w:pStyle w:val="BodyText"/>
        <w:spacing w:line="247" w:lineRule="auto"/>
        <w:ind w:left="652" w:right="106"/>
        <w:rPr>
          <w:b/>
        </w:rPr>
      </w:pPr>
      <w:r>
        <w:rPr/>
        <w:t>For the two </w:t>
      </w:r>
      <w:r>
        <w:rPr>
          <w:spacing w:val="-3"/>
        </w:rPr>
        <w:t>Hospitals first enrolled </w:t>
      </w:r>
      <w:r>
        <w:rPr/>
        <w:t>in </w:t>
      </w:r>
      <w:r>
        <w:rPr>
          <w:spacing w:val="-3"/>
        </w:rPr>
        <w:t>November 2012 with unique circumstances, payment for Inpatient Services </w:t>
      </w:r>
      <w:r>
        <w:rPr/>
        <w:t>is </w:t>
      </w:r>
      <w:r>
        <w:rPr>
          <w:spacing w:val="-3"/>
        </w:rPr>
        <w:t>described </w:t>
      </w:r>
      <w:r>
        <w:rPr/>
        <w:t>in </w:t>
      </w:r>
      <w:r>
        <w:rPr>
          <w:b/>
          <w:spacing w:val="-3"/>
        </w:rPr>
        <w:t>Section 5.D.8.</w:t>
      </w:r>
    </w:p>
    <w:p>
      <w:pPr>
        <w:pStyle w:val="BodyText"/>
        <w:spacing w:before="10"/>
        <w:rPr>
          <w:b/>
          <w:sz w:val="23"/>
        </w:rPr>
      </w:pPr>
    </w:p>
    <w:p>
      <w:pPr>
        <w:pStyle w:val="BodyText"/>
        <w:spacing w:line="244" w:lineRule="auto"/>
        <w:ind w:left="652" w:right="236"/>
      </w:pPr>
      <w:r>
        <w:rPr>
          <w:spacing w:val="-3"/>
        </w:rPr>
        <w:t>Payment </w:t>
      </w:r>
      <w:r>
        <w:rPr/>
        <w:t>for </w:t>
      </w:r>
      <w:r>
        <w:rPr>
          <w:spacing w:val="-3"/>
        </w:rPr>
        <w:t>psychiatric services provided </w:t>
      </w:r>
      <w:r>
        <w:rPr/>
        <w:t>in </w:t>
      </w:r>
      <w:r>
        <w:rPr>
          <w:spacing w:val="-3"/>
        </w:rPr>
        <w:t>DMH-Licensed Beds </w:t>
      </w:r>
      <w:r>
        <w:rPr/>
        <w:t>to </w:t>
      </w:r>
      <w:r>
        <w:rPr>
          <w:spacing w:val="-3"/>
        </w:rPr>
        <w:t>MassHealth </w:t>
      </w:r>
      <w:r>
        <w:rPr>
          <w:spacing w:val="-4"/>
        </w:rPr>
        <w:t>Members </w:t>
      </w:r>
      <w:r>
        <w:rPr/>
        <w:t>who are not </w:t>
      </w:r>
      <w:r>
        <w:rPr>
          <w:spacing w:val="-3"/>
        </w:rPr>
        <w:t>served either through </w:t>
      </w:r>
      <w:r>
        <w:rPr/>
        <w:t>a </w:t>
      </w:r>
      <w:r>
        <w:rPr>
          <w:spacing w:val="-3"/>
        </w:rPr>
        <w:t>contract between EOHHS </w:t>
      </w:r>
      <w:r>
        <w:rPr/>
        <w:t>and its BH </w:t>
      </w:r>
      <w:r>
        <w:rPr>
          <w:spacing w:val="-3"/>
        </w:rPr>
        <w:t>Contractor </w:t>
      </w:r>
      <w:r>
        <w:rPr/>
        <w:t>or </w:t>
      </w:r>
      <w:r>
        <w:rPr>
          <w:spacing w:val="-3"/>
        </w:rPr>
        <w:t>an </w:t>
      </w:r>
      <w:r>
        <w:rPr/>
        <w:t>MCO </w:t>
      </w:r>
      <w:r>
        <w:rPr>
          <w:spacing w:val="-3"/>
        </w:rPr>
        <w:t>shall </w:t>
      </w:r>
      <w:r>
        <w:rPr/>
        <w:t>be </w:t>
      </w:r>
      <w:r>
        <w:rPr>
          <w:spacing w:val="-3"/>
        </w:rPr>
        <w:t>made through </w:t>
      </w:r>
      <w:r>
        <w:rPr/>
        <w:t>an </w:t>
      </w:r>
      <w:r>
        <w:rPr>
          <w:spacing w:val="-3"/>
        </w:rPr>
        <w:t>all-inclusive Psychiatric </w:t>
      </w:r>
      <w:r>
        <w:rPr/>
        <w:t>Per </w:t>
      </w:r>
      <w:r>
        <w:rPr>
          <w:spacing w:val="-3"/>
        </w:rPr>
        <w:t>Diem (see </w:t>
      </w:r>
      <w:r>
        <w:rPr>
          <w:b/>
          <w:spacing w:val="-3"/>
        </w:rPr>
        <w:t>Section 5.B.7</w:t>
      </w:r>
      <w:r>
        <w:rPr>
          <w:spacing w:val="-3"/>
        </w:rPr>
        <w:t>).</w:t>
      </w:r>
    </w:p>
    <w:p>
      <w:pPr>
        <w:pStyle w:val="BodyText"/>
        <w:spacing w:before="1"/>
      </w:pPr>
    </w:p>
    <w:p>
      <w:pPr>
        <w:pStyle w:val="BodyText"/>
        <w:spacing w:line="247" w:lineRule="auto"/>
        <w:ind w:left="652" w:right="396"/>
        <w:jc w:val="both"/>
      </w:pPr>
      <w:r>
        <w:rPr>
          <w:spacing w:val="-3"/>
        </w:rPr>
        <w:t>Payment </w:t>
      </w:r>
      <w:r>
        <w:rPr/>
        <w:t>for </w:t>
      </w:r>
      <w:r>
        <w:rPr>
          <w:spacing w:val="-3"/>
        </w:rPr>
        <w:t>psychiatric services provided </w:t>
      </w:r>
      <w:r>
        <w:rPr/>
        <w:t>in </w:t>
      </w:r>
      <w:r>
        <w:rPr>
          <w:spacing w:val="-3"/>
        </w:rPr>
        <w:t>beds that </w:t>
      </w:r>
      <w:r>
        <w:rPr/>
        <w:t>are not </w:t>
      </w:r>
      <w:r>
        <w:rPr>
          <w:spacing w:val="-3"/>
        </w:rPr>
        <w:t>DMH-Licensed Beds shall be made </w:t>
      </w:r>
      <w:r>
        <w:rPr/>
        <w:t>at the </w:t>
      </w:r>
      <w:r>
        <w:rPr>
          <w:spacing w:val="-3"/>
        </w:rPr>
        <w:t>Transfer </w:t>
      </w:r>
      <w:r>
        <w:rPr/>
        <w:t>Per </w:t>
      </w:r>
      <w:r>
        <w:rPr>
          <w:spacing w:val="-3"/>
        </w:rPr>
        <w:t>Diem rate, capped </w:t>
      </w:r>
      <w:r>
        <w:rPr/>
        <w:t>at the </w:t>
      </w:r>
      <w:r>
        <w:rPr>
          <w:spacing w:val="-3"/>
        </w:rPr>
        <w:t>Hospital’s SPAD (see </w:t>
      </w:r>
      <w:r>
        <w:rPr>
          <w:b/>
          <w:spacing w:val="-3"/>
        </w:rPr>
        <w:t>Sections 5.B.7 </w:t>
      </w:r>
      <w:r>
        <w:rPr>
          <w:spacing w:val="-3"/>
        </w:rPr>
        <w:t>and </w:t>
      </w:r>
      <w:r>
        <w:rPr>
          <w:b/>
          <w:spacing w:val="-3"/>
        </w:rPr>
        <w:t>5.B.8</w:t>
      </w:r>
      <w:r>
        <w:rPr>
          <w:spacing w:val="-3"/>
        </w:rPr>
        <w:t>).</w:t>
      </w:r>
    </w:p>
    <w:p>
      <w:pPr>
        <w:pStyle w:val="BodyText"/>
        <w:spacing w:before="10"/>
        <w:rPr>
          <w:sz w:val="23"/>
        </w:rPr>
      </w:pPr>
    </w:p>
    <w:p>
      <w:pPr>
        <w:pStyle w:val="BodyText"/>
        <w:spacing w:line="247" w:lineRule="auto"/>
        <w:ind w:left="652" w:right="236"/>
      </w:pPr>
      <w:r>
        <w:rPr>
          <w:spacing w:val="-3"/>
        </w:rPr>
        <w:t>Payment </w:t>
      </w:r>
      <w:r>
        <w:rPr/>
        <w:t>for </w:t>
      </w:r>
      <w:r>
        <w:rPr>
          <w:spacing w:val="-3"/>
        </w:rPr>
        <w:t>physician services rendered </w:t>
      </w:r>
      <w:r>
        <w:rPr/>
        <w:t>by </w:t>
      </w:r>
      <w:r>
        <w:rPr>
          <w:spacing w:val="-3"/>
        </w:rPr>
        <w:t>Hospital-Based Physicians will </w:t>
      </w:r>
      <w:r>
        <w:rPr/>
        <w:t>be </w:t>
      </w:r>
      <w:r>
        <w:rPr>
          <w:spacing w:val="-3"/>
        </w:rPr>
        <w:t>made as described </w:t>
      </w:r>
      <w:r>
        <w:rPr/>
        <w:t>in </w:t>
      </w:r>
      <w:r>
        <w:rPr>
          <w:b/>
          <w:spacing w:val="-3"/>
        </w:rPr>
        <w:t>Section 5.B.10</w:t>
      </w:r>
      <w:r>
        <w:rPr>
          <w:spacing w:val="-3"/>
        </w:rPr>
        <w:t>.</w:t>
      </w:r>
    </w:p>
    <w:p>
      <w:pPr>
        <w:pStyle w:val="BodyText"/>
        <w:spacing w:before="2"/>
      </w:pPr>
    </w:p>
    <w:p>
      <w:pPr>
        <w:pStyle w:val="Heading3"/>
        <w:numPr>
          <w:ilvl w:val="1"/>
          <w:numId w:val="8"/>
        </w:numPr>
        <w:tabs>
          <w:tab w:pos="652" w:val="left" w:leader="none"/>
          <w:tab w:pos="653" w:val="left" w:leader="none"/>
        </w:tabs>
        <w:spacing w:line="240" w:lineRule="auto" w:before="0" w:after="0"/>
        <w:ind w:left="652" w:right="0" w:hanging="540"/>
        <w:jc w:val="left"/>
      </w:pPr>
      <w:r>
        <w:rPr>
          <w:spacing w:val="-3"/>
        </w:rPr>
        <w:t>Calculation </w:t>
      </w:r>
      <w:r>
        <w:rPr/>
        <w:t>of the </w:t>
      </w:r>
      <w:r>
        <w:rPr>
          <w:spacing w:val="-3"/>
        </w:rPr>
        <w:t>Standard Payment Amount </w:t>
      </w:r>
      <w:r>
        <w:rPr/>
        <w:t>Per </w:t>
      </w:r>
      <w:r>
        <w:rPr>
          <w:spacing w:val="-3"/>
        </w:rPr>
        <w:t>Discharge</w:t>
      </w:r>
      <w:r>
        <w:rPr>
          <w:spacing w:val="-29"/>
        </w:rPr>
        <w:t> </w:t>
      </w:r>
      <w:r>
        <w:rPr>
          <w:spacing w:val="-3"/>
        </w:rPr>
        <w:t>(SPAD)</w:t>
      </w:r>
    </w:p>
    <w:p>
      <w:pPr>
        <w:pStyle w:val="BodyText"/>
        <w:spacing w:before="4"/>
        <w:rPr>
          <w:b/>
        </w:rPr>
      </w:pPr>
    </w:p>
    <w:p>
      <w:pPr>
        <w:pStyle w:val="BodyText"/>
        <w:spacing w:line="242" w:lineRule="auto"/>
        <w:ind w:left="652" w:right="158"/>
      </w:pPr>
      <w:r>
        <w:rPr/>
        <w:t>In the </w:t>
      </w:r>
      <w:r>
        <w:rPr>
          <w:spacing w:val="-3"/>
        </w:rPr>
        <w:t>development </w:t>
      </w:r>
      <w:r>
        <w:rPr/>
        <w:t>of </w:t>
      </w:r>
      <w:r>
        <w:rPr>
          <w:spacing w:val="-3"/>
        </w:rPr>
        <w:t>each Hospital’s RY14 standard payment amount </w:t>
      </w:r>
      <w:r>
        <w:rPr/>
        <w:t>per </w:t>
      </w:r>
      <w:r>
        <w:rPr>
          <w:spacing w:val="-3"/>
        </w:rPr>
        <w:t>discharge (SPAD), EOHHS used </w:t>
      </w:r>
      <w:r>
        <w:rPr/>
        <w:t>the </w:t>
      </w:r>
      <w:r>
        <w:rPr>
          <w:spacing w:val="-3"/>
        </w:rPr>
        <w:t>SPAD Base Year costs from </w:t>
      </w:r>
      <w:r>
        <w:rPr/>
        <w:t>the </w:t>
      </w:r>
      <w:r>
        <w:rPr>
          <w:spacing w:val="-3"/>
        </w:rPr>
        <w:t>FY11 -403 cost report </w:t>
      </w:r>
      <w:r>
        <w:rPr/>
        <w:t>as </w:t>
      </w:r>
      <w:r>
        <w:rPr>
          <w:spacing w:val="-3"/>
        </w:rPr>
        <w:t>screened and updated </w:t>
      </w:r>
      <w:r>
        <w:rPr/>
        <w:t>by </w:t>
      </w:r>
      <w:r>
        <w:rPr>
          <w:spacing w:val="-3"/>
        </w:rPr>
        <w:t>CHIA </w:t>
      </w:r>
      <w:r>
        <w:rPr/>
        <w:t>as of May 23, </w:t>
      </w:r>
      <w:r>
        <w:rPr>
          <w:spacing w:val="-3"/>
        </w:rPr>
        <w:t>2013, </w:t>
      </w:r>
      <w:r>
        <w:rPr/>
        <w:t>and </w:t>
      </w:r>
      <w:r>
        <w:rPr>
          <w:spacing w:val="-3"/>
        </w:rPr>
        <w:t>FY11 </w:t>
      </w:r>
      <w:r>
        <w:rPr/>
        <w:t>HDD as the </w:t>
      </w:r>
      <w:r>
        <w:rPr>
          <w:spacing w:val="-3"/>
        </w:rPr>
        <w:t>primary sources </w:t>
      </w:r>
      <w:r>
        <w:rPr/>
        <w:t>of </w:t>
      </w:r>
      <w:r>
        <w:rPr>
          <w:spacing w:val="-3"/>
        </w:rPr>
        <w:t>data to develop base operating costs </w:t>
      </w:r>
      <w:r>
        <w:rPr/>
        <w:t>per </w:t>
      </w:r>
      <w:r>
        <w:rPr>
          <w:spacing w:val="-3"/>
        </w:rPr>
        <w:t>discharge.</w:t>
      </w:r>
    </w:p>
    <w:p>
      <w:pPr>
        <w:pStyle w:val="BodyText"/>
        <w:spacing w:before="5"/>
      </w:pPr>
    </w:p>
    <w:p>
      <w:pPr>
        <w:pStyle w:val="BodyText"/>
        <w:spacing w:line="242" w:lineRule="auto"/>
        <w:ind w:left="652" w:right="192"/>
      </w:pPr>
      <w:r>
        <w:rPr/>
        <w:t>The </w:t>
      </w:r>
      <w:r>
        <w:rPr>
          <w:spacing w:val="-3"/>
        </w:rPr>
        <w:t>statewide average payment amount </w:t>
      </w:r>
      <w:r>
        <w:rPr/>
        <w:t>per </w:t>
      </w:r>
      <w:r>
        <w:rPr>
          <w:spacing w:val="-3"/>
        </w:rPr>
        <w:t>discharge </w:t>
      </w:r>
      <w:r>
        <w:rPr/>
        <w:t>is </w:t>
      </w:r>
      <w:r>
        <w:rPr>
          <w:spacing w:val="-3"/>
        </w:rPr>
        <w:t>based </w:t>
      </w:r>
      <w:r>
        <w:rPr/>
        <w:t>on the </w:t>
      </w:r>
      <w:r>
        <w:rPr>
          <w:spacing w:val="-3"/>
        </w:rPr>
        <w:t>actual statewide costs of providing Inpatient Services </w:t>
      </w:r>
      <w:r>
        <w:rPr/>
        <w:t>as </w:t>
      </w:r>
      <w:r>
        <w:rPr>
          <w:spacing w:val="-3"/>
        </w:rPr>
        <w:t>reflected </w:t>
      </w:r>
      <w:r>
        <w:rPr/>
        <w:t>in the </w:t>
      </w:r>
      <w:r>
        <w:rPr>
          <w:spacing w:val="-3"/>
        </w:rPr>
        <w:t>SPAD Base Year cost report. </w:t>
      </w:r>
      <w:r>
        <w:rPr/>
        <w:t>The </w:t>
      </w:r>
      <w:r>
        <w:rPr>
          <w:spacing w:val="-3"/>
        </w:rPr>
        <w:t>average payment amount </w:t>
      </w:r>
      <w:r>
        <w:rPr/>
        <w:t>per </w:t>
      </w:r>
      <w:r>
        <w:rPr>
          <w:spacing w:val="-3"/>
        </w:rPr>
        <w:t>discharge </w:t>
      </w:r>
      <w:r>
        <w:rPr/>
        <w:t>for </w:t>
      </w:r>
      <w:r>
        <w:rPr>
          <w:spacing w:val="-3"/>
        </w:rPr>
        <w:t>each Hospital </w:t>
      </w:r>
      <w:r>
        <w:rPr/>
        <w:t>was </w:t>
      </w:r>
      <w:r>
        <w:rPr>
          <w:spacing w:val="-3"/>
        </w:rPr>
        <w:t>derived </w:t>
      </w:r>
      <w:r>
        <w:rPr/>
        <w:t>by </w:t>
      </w:r>
      <w:r>
        <w:rPr>
          <w:spacing w:val="-3"/>
        </w:rPr>
        <w:t>dividing total inpatient Hospital costs </w:t>
      </w:r>
      <w:r>
        <w:rPr/>
        <w:t>by </w:t>
      </w:r>
      <w:r>
        <w:rPr>
          <w:spacing w:val="-3"/>
        </w:rPr>
        <w:t>total inpatient Hospital discharges, omitting those costs </w:t>
      </w:r>
      <w:r>
        <w:rPr/>
        <w:t>and </w:t>
      </w:r>
      <w:r>
        <w:rPr>
          <w:spacing w:val="-3"/>
        </w:rPr>
        <w:t>discharges from Excluded Units. Routine outpatient costs associated with admissions from </w:t>
      </w:r>
      <w:r>
        <w:rPr/>
        <w:t>the </w:t>
      </w:r>
      <w:r>
        <w:rPr>
          <w:spacing w:val="-4"/>
        </w:rPr>
        <w:t>Emergency </w:t>
      </w:r>
      <w:r>
        <w:rPr>
          <w:spacing w:val="-3"/>
        </w:rPr>
        <w:t>Department </w:t>
      </w:r>
      <w:r>
        <w:rPr/>
        <w:t>and </w:t>
      </w:r>
      <w:r>
        <w:rPr>
          <w:spacing w:val="-3"/>
        </w:rPr>
        <w:t>routine </w:t>
      </w:r>
      <w:r>
        <w:rPr/>
        <w:t>and </w:t>
      </w:r>
      <w:r>
        <w:rPr>
          <w:spacing w:val="-3"/>
        </w:rPr>
        <w:t>ancillary outpatient costs resulting from admissions from observation status were included. </w:t>
      </w:r>
      <w:r>
        <w:rPr/>
        <w:t>The </w:t>
      </w:r>
      <w:r>
        <w:rPr>
          <w:spacing w:val="-3"/>
        </w:rPr>
        <w:t>cost centers which </w:t>
      </w:r>
      <w:r>
        <w:rPr/>
        <w:t>are </w:t>
      </w:r>
      <w:r>
        <w:rPr>
          <w:spacing w:val="-3"/>
        </w:rPr>
        <w:t>identified </w:t>
      </w:r>
      <w:r>
        <w:rPr/>
        <w:t>as the </w:t>
      </w:r>
      <w:r>
        <w:rPr>
          <w:spacing w:val="-3"/>
        </w:rPr>
        <w:t>supervision component </w:t>
      </w:r>
      <w:r>
        <w:rPr/>
        <w:t>of </w:t>
      </w:r>
      <w:r>
        <w:rPr>
          <w:spacing w:val="-3"/>
        </w:rPr>
        <w:t>physician compensation </w:t>
      </w:r>
      <w:r>
        <w:rPr/>
        <w:t>and </w:t>
      </w:r>
      <w:r>
        <w:rPr>
          <w:spacing w:val="-3"/>
        </w:rPr>
        <w:t>other direct physician costs were included; professional services were excluded. </w:t>
      </w:r>
      <w:r>
        <w:rPr/>
        <w:t>All </w:t>
      </w:r>
      <w:r>
        <w:rPr>
          <w:spacing w:val="-3"/>
        </w:rPr>
        <w:t>other medical </w:t>
      </w:r>
      <w:r>
        <w:rPr/>
        <w:t>and </w:t>
      </w:r>
      <w:r>
        <w:rPr>
          <w:spacing w:val="-3"/>
        </w:rPr>
        <w:t>non-medical patient care-related staff expenses were included.</w:t>
      </w:r>
    </w:p>
    <w:p>
      <w:pPr>
        <w:pStyle w:val="BodyText"/>
        <w:spacing w:before="4"/>
      </w:pPr>
    </w:p>
    <w:p>
      <w:pPr>
        <w:pStyle w:val="BodyText"/>
        <w:spacing w:line="242" w:lineRule="auto"/>
        <w:ind w:left="652" w:right="236"/>
      </w:pPr>
      <w:r>
        <w:rPr>
          <w:spacing w:val="-3"/>
        </w:rPr>
        <w:t>Malpractice costs, organ acquisition costs, capital costs, </w:t>
      </w:r>
      <w:r>
        <w:rPr/>
        <w:t>and </w:t>
      </w:r>
      <w:r>
        <w:rPr>
          <w:spacing w:val="-3"/>
        </w:rPr>
        <w:t>direct medical education costs were excluded from </w:t>
      </w:r>
      <w:r>
        <w:rPr/>
        <w:t>the </w:t>
      </w:r>
      <w:r>
        <w:rPr>
          <w:spacing w:val="-3"/>
        </w:rPr>
        <w:t>calculation </w:t>
      </w:r>
      <w:r>
        <w:rPr/>
        <w:t>of the </w:t>
      </w:r>
      <w:r>
        <w:rPr>
          <w:spacing w:val="-3"/>
        </w:rPr>
        <w:t>statewide average payment amount </w:t>
      </w:r>
      <w:r>
        <w:rPr/>
        <w:t>per </w:t>
      </w:r>
      <w:r>
        <w:rPr>
          <w:spacing w:val="-3"/>
        </w:rPr>
        <w:t>discharge.</w:t>
      </w:r>
    </w:p>
    <w:p>
      <w:pPr>
        <w:pStyle w:val="BodyText"/>
        <w:spacing w:before="4"/>
      </w:pPr>
    </w:p>
    <w:p>
      <w:pPr>
        <w:pStyle w:val="BodyText"/>
        <w:spacing w:line="242" w:lineRule="auto"/>
        <w:ind w:left="652" w:right="127"/>
      </w:pPr>
      <w:r>
        <w:rPr/>
        <w:t>The </w:t>
      </w:r>
      <w:r>
        <w:rPr>
          <w:spacing w:val="-3"/>
        </w:rPr>
        <w:t>average payment amount </w:t>
      </w:r>
      <w:r>
        <w:rPr/>
        <w:t>per </w:t>
      </w:r>
      <w:r>
        <w:rPr>
          <w:spacing w:val="-3"/>
        </w:rPr>
        <w:t>discharge </w:t>
      </w:r>
      <w:r>
        <w:rPr/>
        <w:t>for </w:t>
      </w:r>
      <w:r>
        <w:rPr>
          <w:spacing w:val="-3"/>
        </w:rPr>
        <w:t>each Hospital </w:t>
      </w:r>
      <w:r>
        <w:rPr/>
        <w:t>was </w:t>
      </w:r>
      <w:r>
        <w:rPr>
          <w:spacing w:val="-3"/>
        </w:rPr>
        <w:t>then adjusted </w:t>
      </w:r>
      <w:r>
        <w:rPr/>
        <w:t>by </w:t>
      </w:r>
      <w:r>
        <w:rPr>
          <w:spacing w:val="-3"/>
        </w:rPr>
        <w:t>the Hospital’s Massachusetts-specific wage area index </w:t>
      </w:r>
      <w:r>
        <w:rPr/>
        <w:t>and by the </w:t>
      </w:r>
      <w:r>
        <w:rPr>
          <w:spacing w:val="-3"/>
        </w:rPr>
        <w:t>Hospital-specific FY11 all- payer Casemix Index that </w:t>
      </w:r>
      <w:r>
        <w:rPr/>
        <w:t>was </w:t>
      </w:r>
      <w:r>
        <w:rPr>
          <w:spacing w:val="-3"/>
        </w:rPr>
        <w:t>determined </w:t>
      </w:r>
      <w:r>
        <w:rPr/>
        <w:t>by </w:t>
      </w:r>
      <w:r>
        <w:rPr>
          <w:spacing w:val="-3"/>
        </w:rPr>
        <w:t>using FY11 discharges </w:t>
      </w:r>
      <w:r>
        <w:rPr/>
        <w:t>and </w:t>
      </w:r>
      <w:r>
        <w:rPr>
          <w:spacing w:val="-3"/>
        </w:rPr>
        <w:t>using APR-DRG version </w:t>
      </w:r>
      <w:r>
        <w:rPr/>
        <w:t>26 of the 3M </w:t>
      </w:r>
      <w:r>
        <w:rPr>
          <w:spacing w:val="-3"/>
        </w:rPr>
        <w:t>grouper </w:t>
      </w:r>
      <w:r>
        <w:rPr/>
        <w:t>and </w:t>
      </w:r>
      <w:r>
        <w:rPr>
          <w:spacing w:val="-3"/>
        </w:rPr>
        <w:t>Massachusetts weights. Massachusetts Hospitals’ wages and</w:t>
      </w:r>
    </w:p>
    <w:p>
      <w:pPr>
        <w:spacing w:after="0" w:line="242" w:lineRule="auto"/>
        <w:sectPr>
          <w:pgSz w:w="12240" w:h="15840"/>
          <w:pgMar w:header="0" w:footer="744" w:top="1380" w:bottom="940" w:left="1580" w:right="980"/>
        </w:sectPr>
      </w:pPr>
    </w:p>
    <w:p>
      <w:pPr>
        <w:pStyle w:val="BodyText"/>
        <w:spacing w:line="242" w:lineRule="auto" w:before="61"/>
        <w:ind w:left="511" w:right="73"/>
      </w:pPr>
      <w:r>
        <w:rPr>
          <w:spacing w:val="-3"/>
        </w:rPr>
        <w:t>hours were determined based </w:t>
      </w:r>
      <w:r>
        <w:rPr/>
        <w:t>on </w:t>
      </w:r>
      <w:r>
        <w:rPr>
          <w:spacing w:val="-3"/>
        </w:rPr>
        <w:t>CMS’s FY_2014_Proposed_Rule_Wage_Index_PUFs file, downloaded </w:t>
      </w:r>
      <w:r>
        <w:rPr/>
        <w:t>May 10, </w:t>
      </w:r>
      <w:r>
        <w:rPr>
          <w:spacing w:val="-3"/>
        </w:rPr>
        <w:t>2013, from </w:t>
      </w:r>
      <w:r>
        <w:rPr/>
        <w:t>the CMS web </w:t>
      </w:r>
      <w:r>
        <w:rPr>
          <w:spacing w:val="-3"/>
        </w:rPr>
        <w:t>site </w:t>
      </w:r>
      <w:r>
        <w:rPr/>
        <w:t>at </w:t>
      </w:r>
      <w:hyperlink r:id="rId12">
        <w:r>
          <w:rPr>
            <w:color w:val="0000FF"/>
            <w:spacing w:val="-3"/>
            <w:u w:val="single" w:color="0000FF"/>
          </w:rPr>
          <w:t>www.cms.hhs.gov</w:t>
        </w:r>
        <w:r>
          <w:rPr>
            <w:spacing w:val="-3"/>
          </w:rPr>
          <w:t>.</w:t>
        </w:r>
      </w:hyperlink>
    </w:p>
    <w:p>
      <w:pPr>
        <w:pStyle w:val="BodyText"/>
        <w:spacing w:before="6"/>
        <w:rPr>
          <w:sz w:val="16"/>
        </w:rPr>
      </w:pPr>
    </w:p>
    <w:p>
      <w:pPr>
        <w:pStyle w:val="BodyText"/>
        <w:spacing w:line="242" w:lineRule="auto" w:before="90"/>
        <w:ind w:left="511" w:right="73"/>
      </w:pPr>
      <w:r>
        <w:rPr>
          <w:spacing w:val="-3"/>
        </w:rPr>
        <w:t>Wage areas were assigned according </w:t>
      </w:r>
      <w:r>
        <w:rPr/>
        <w:t>to the </w:t>
      </w:r>
      <w:r>
        <w:rPr>
          <w:spacing w:val="-3"/>
        </w:rPr>
        <w:t>same </w:t>
      </w:r>
      <w:r>
        <w:rPr/>
        <w:t>CMS </w:t>
      </w:r>
      <w:r>
        <w:rPr>
          <w:spacing w:val="-3"/>
        </w:rPr>
        <w:t>file unless redesignated </w:t>
      </w:r>
      <w:r>
        <w:rPr/>
        <w:t>in a </w:t>
      </w:r>
      <w:r>
        <w:rPr>
          <w:spacing w:val="-3"/>
        </w:rPr>
        <w:t>written decision from </w:t>
      </w:r>
      <w:r>
        <w:rPr/>
        <w:t>CMS to the </w:t>
      </w:r>
      <w:r>
        <w:rPr>
          <w:spacing w:val="-3"/>
        </w:rPr>
        <w:t>Hospital provided </w:t>
      </w:r>
      <w:r>
        <w:rPr/>
        <w:t>to </w:t>
      </w:r>
      <w:r>
        <w:rPr>
          <w:spacing w:val="-3"/>
        </w:rPr>
        <w:t>EOHHS </w:t>
      </w:r>
      <w:r>
        <w:rPr/>
        <w:t>by May 31, </w:t>
      </w:r>
      <w:r>
        <w:rPr>
          <w:spacing w:val="-3"/>
        </w:rPr>
        <w:t>2013. Each area’s average hourly wage </w:t>
      </w:r>
      <w:r>
        <w:rPr/>
        <w:t>was </w:t>
      </w:r>
      <w:r>
        <w:rPr>
          <w:spacing w:val="-3"/>
        </w:rPr>
        <w:t>then divided </w:t>
      </w:r>
      <w:r>
        <w:rPr/>
        <w:t>by the </w:t>
      </w:r>
      <w:r>
        <w:rPr>
          <w:spacing w:val="-3"/>
        </w:rPr>
        <w:t>statewide average hourly wage </w:t>
      </w:r>
      <w:r>
        <w:rPr/>
        <w:t>to </w:t>
      </w:r>
      <w:r>
        <w:rPr>
          <w:spacing w:val="-3"/>
        </w:rPr>
        <w:t>determine </w:t>
      </w:r>
      <w:r>
        <w:rPr/>
        <w:t>the </w:t>
      </w:r>
      <w:r>
        <w:rPr>
          <w:spacing w:val="-3"/>
        </w:rPr>
        <w:t>area’s wage index. </w:t>
      </w:r>
      <w:r>
        <w:rPr/>
        <w:t>For the </w:t>
      </w:r>
      <w:r>
        <w:rPr>
          <w:spacing w:val="-3"/>
        </w:rPr>
        <w:t>calculation </w:t>
      </w:r>
      <w:r>
        <w:rPr/>
        <w:t>of the </w:t>
      </w:r>
      <w:r>
        <w:rPr>
          <w:spacing w:val="-3"/>
        </w:rPr>
        <w:t>Springfield area index, Baystate Medical Center’s wages and hours were included. This step results </w:t>
      </w:r>
      <w:r>
        <w:rPr/>
        <w:t>in the </w:t>
      </w:r>
      <w:r>
        <w:rPr>
          <w:spacing w:val="-3"/>
        </w:rPr>
        <w:t>calculation </w:t>
      </w:r>
      <w:r>
        <w:rPr/>
        <w:t>of the </w:t>
      </w:r>
      <w:r>
        <w:rPr>
          <w:spacing w:val="-3"/>
        </w:rPr>
        <w:t>standardized costs </w:t>
      </w:r>
      <w:r>
        <w:rPr/>
        <w:t>per </w:t>
      </w:r>
      <w:r>
        <w:rPr>
          <w:spacing w:val="-3"/>
        </w:rPr>
        <w:t>discharge for each Hospital.</w:t>
      </w:r>
    </w:p>
    <w:p>
      <w:pPr>
        <w:pStyle w:val="BodyText"/>
        <w:spacing w:before="4"/>
      </w:pPr>
    </w:p>
    <w:p>
      <w:pPr>
        <w:pStyle w:val="BodyText"/>
        <w:spacing w:line="242" w:lineRule="auto"/>
        <w:ind w:left="511" w:right="519"/>
      </w:pPr>
      <w:r>
        <w:rPr/>
        <w:t>All </w:t>
      </w:r>
      <w:r>
        <w:rPr>
          <w:spacing w:val="-3"/>
        </w:rPr>
        <w:t>Hospitals were then ranked from lowest </w:t>
      </w:r>
      <w:r>
        <w:rPr/>
        <w:t>to </w:t>
      </w:r>
      <w:r>
        <w:rPr>
          <w:spacing w:val="-3"/>
        </w:rPr>
        <w:t>highest with respect </w:t>
      </w:r>
      <w:r>
        <w:rPr/>
        <w:t>to </w:t>
      </w:r>
      <w:r>
        <w:rPr>
          <w:spacing w:val="-3"/>
        </w:rPr>
        <w:t>their standardized costs </w:t>
      </w:r>
      <w:r>
        <w:rPr/>
        <w:t>per </w:t>
      </w:r>
      <w:r>
        <w:rPr>
          <w:spacing w:val="-3"/>
        </w:rPr>
        <w:t>discharge; </w:t>
      </w:r>
      <w:r>
        <w:rPr/>
        <w:t>a </w:t>
      </w:r>
      <w:r>
        <w:rPr>
          <w:spacing w:val="-3"/>
        </w:rPr>
        <w:t>cumulative frequency </w:t>
      </w:r>
      <w:r>
        <w:rPr/>
        <w:t>of </w:t>
      </w:r>
      <w:r>
        <w:rPr>
          <w:spacing w:val="-3"/>
        </w:rPr>
        <w:t>MassHealth discharges where MassHealth </w:t>
      </w:r>
      <w:r>
        <w:rPr/>
        <w:t>is </w:t>
      </w:r>
      <w:r>
        <w:rPr>
          <w:spacing w:val="-3"/>
        </w:rPr>
        <w:t>the primary payer </w:t>
      </w:r>
      <w:r>
        <w:rPr/>
        <w:t>for the </w:t>
      </w:r>
      <w:r>
        <w:rPr>
          <w:spacing w:val="-3"/>
        </w:rPr>
        <w:t>Hospitals </w:t>
      </w:r>
      <w:r>
        <w:rPr/>
        <w:t>was </w:t>
      </w:r>
      <w:r>
        <w:rPr>
          <w:spacing w:val="-3"/>
        </w:rPr>
        <w:t>produced from </w:t>
      </w:r>
      <w:r>
        <w:rPr/>
        <w:t>the </w:t>
      </w:r>
      <w:r>
        <w:rPr>
          <w:spacing w:val="-3"/>
        </w:rPr>
        <w:t>casemix data described below. The efficiency standard </w:t>
      </w:r>
      <w:r>
        <w:rPr/>
        <w:t>was </w:t>
      </w:r>
      <w:r>
        <w:rPr>
          <w:spacing w:val="-3"/>
        </w:rPr>
        <w:t>established </w:t>
      </w:r>
      <w:r>
        <w:rPr/>
        <w:t>at the </w:t>
      </w:r>
      <w:r>
        <w:rPr>
          <w:spacing w:val="-3"/>
        </w:rPr>
        <w:t>cost </w:t>
      </w:r>
      <w:r>
        <w:rPr/>
        <w:t>per </w:t>
      </w:r>
      <w:r>
        <w:rPr>
          <w:spacing w:val="-3"/>
        </w:rPr>
        <w:t>discharge corresponding </w:t>
      </w:r>
      <w:r>
        <w:rPr/>
        <w:t>to the </w:t>
      </w:r>
      <w:r>
        <w:rPr>
          <w:spacing w:val="-3"/>
        </w:rPr>
        <w:t>position on </w:t>
      </w:r>
      <w:r>
        <w:rPr/>
        <w:t>the </w:t>
      </w:r>
      <w:r>
        <w:rPr>
          <w:spacing w:val="-3"/>
        </w:rPr>
        <w:t>cumulative frequency </w:t>
      </w:r>
      <w:r>
        <w:rPr/>
        <w:t>of </w:t>
      </w:r>
      <w:r>
        <w:rPr>
          <w:spacing w:val="-3"/>
        </w:rPr>
        <w:t>discharges that represents </w:t>
      </w:r>
      <w:r>
        <w:rPr/>
        <w:t>65% of the </w:t>
      </w:r>
      <w:r>
        <w:rPr>
          <w:spacing w:val="-3"/>
        </w:rPr>
        <w:t>total number </w:t>
      </w:r>
      <w:r>
        <w:rPr/>
        <w:t>of </w:t>
      </w:r>
      <w:r>
        <w:rPr>
          <w:spacing w:val="-3"/>
        </w:rPr>
        <w:t>statewide discharges </w:t>
      </w:r>
      <w:r>
        <w:rPr/>
        <w:t>in the </w:t>
      </w:r>
      <w:r>
        <w:rPr>
          <w:spacing w:val="-3"/>
        </w:rPr>
        <w:t>MMIS. </w:t>
      </w:r>
      <w:r>
        <w:rPr/>
        <w:t>The </w:t>
      </w:r>
      <w:r>
        <w:rPr>
          <w:spacing w:val="-3"/>
        </w:rPr>
        <w:t>RY14 efficiency standard </w:t>
      </w:r>
      <w:r>
        <w:rPr/>
        <w:t>is $ </w:t>
      </w:r>
      <w:r>
        <w:rPr>
          <w:spacing w:val="-3"/>
        </w:rPr>
        <w:t>10,359.89.</w:t>
      </w:r>
    </w:p>
    <w:p>
      <w:pPr>
        <w:pStyle w:val="BodyText"/>
        <w:spacing w:before="10"/>
        <w:rPr>
          <w:sz w:val="25"/>
        </w:rPr>
      </w:pPr>
    </w:p>
    <w:p>
      <w:pPr>
        <w:pStyle w:val="BodyText"/>
        <w:spacing w:line="242" w:lineRule="auto"/>
        <w:ind w:left="511" w:right="519"/>
      </w:pPr>
      <w:r>
        <w:rPr/>
        <w:t>The </w:t>
      </w:r>
      <w:r>
        <w:rPr>
          <w:spacing w:val="-3"/>
        </w:rPr>
        <w:t>statewide average payment amount </w:t>
      </w:r>
      <w:r>
        <w:rPr/>
        <w:t>per </w:t>
      </w:r>
      <w:r>
        <w:rPr>
          <w:spacing w:val="-3"/>
        </w:rPr>
        <w:t>discharge </w:t>
      </w:r>
      <w:r>
        <w:rPr/>
        <w:t>was </w:t>
      </w:r>
      <w:r>
        <w:rPr>
          <w:spacing w:val="-3"/>
        </w:rPr>
        <w:t>then determined </w:t>
      </w:r>
      <w:r>
        <w:rPr/>
        <w:t>by </w:t>
      </w:r>
      <w:r>
        <w:rPr>
          <w:spacing w:val="-3"/>
        </w:rPr>
        <w:t>multiplying (a) </w:t>
      </w:r>
      <w:r>
        <w:rPr/>
        <w:t>the </w:t>
      </w:r>
      <w:r>
        <w:rPr>
          <w:spacing w:val="-3"/>
        </w:rPr>
        <w:t>weighted mean </w:t>
      </w:r>
      <w:r>
        <w:rPr/>
        <w:t>of the </w:t>
      </w:r>
      <w:r>
        <w:rPr>
          <w:spacing w:val="-3"/>
        </w:rPr>
        <w:t>standardized cost </w:t>
      </w:r>
      <w:r>
        <w:rPr/>
        <w:t>per </w:t>
      </w:r>
      <w:r>
        <w:rPr>
          <w:spacing w:val="-3"/>
        </w:rPr>
        <w:t>discharge, </w:t>
      </w:r>
      <w:r>
        <w:rPr/>
        <w:t>as </w:t>
      </w:r>
      <w:r>
        <w:rPr>
          <w:spacing w:val="-3"/>
        </w:rPr>
        <w:t>limited </w:t>
      </w:r>
      <w:r>
        <w:rPr/>
        <w:t>by the </w:t>
      </w:r>
      <w:r>
        <w:rPr>
          <w:spacing w:val="-3"/>
        </w:rPr>
        <w:t>efficiency standard; </w:t>
      </w:r>
      <w:r>
        <w:rPr/>
        <w:t>by (b) the </w:t>
      </w:r>
      <w:r>
        <w:rPr>
          <w:spacing w:val="-3"/>
        </w:rPr>
        <w:t>outlier adjustment factor </w:t>
      </w:r>
      <w:r>
        <w:rPr/>
        <w:t>of </w:t>
      </w:r>
      <w:r>
        <w:rPr>
          <w:spacing w:val="-3"/>
        </w:rPr>
        <w:t>93%; </w:t>
      </w:r>
      <w:r>
        <w:rPr/>
        <w:t>and by (c) the </w:t>
      </w:r>
      <w:r>
        <w:rPr>
          <w:spacing w:val="-3"/>
        </w:rPr>
        <w:t>Inflation Factors for Operating Costs between RY11 </w:t>
      </w:r>
      <w:r>
        <w:rPr/>
        <w:t>and </w:t>
      </w:r>
      <w:r>
        <w:rPr>
          <w:spacing w:val="-3"/>
        </w:rPr>
        <w:t>RY14. </w:t>
      </w:r>
      <w:r>
        <w:rPr/>
        <w:t>The </w:t>
      </w:r>
      <w:r>
        <w:rPr>
          <w:spacing w:val="-3"/>
        </w:rPr>
        <w:t>resulting RY14 statewide average </w:t>
      </w:r>
      <w:r>
        <w:rPr>
          <w:spacing w:val="-4"/>
        </w:rPr>
        <w:t>payment </w:t>
      </w:r>
      <w:r>
        <w:rPr>
          <w:spacing w:val="-3"/>
        </w:rPr>
        <w:t>amount </w:t>
      </w:r>
      <w:r>
        <w:rPr/>
        <w:t>per </w:t>
      </w:r>
      <w:r>
        <w:rPr>
          <w:spacing w:val="-3"/>
        </w:rPr>
        <w:t>discharge </w:t>
      </w:r>
      <w:r>
        <w:rPr/>
        <w:t>is $ </w:t>
      </w:r>
      <w:r>
        <w:rPr>
          <w:spacing w:val="-3"/>
        </w:rPr>
        <w:t>8,940.32.</w:t>
      </w:r>
    </w:p>
    <w:p>
      <w:pPr>
        <w:pStyle w:val="BodyText"/>
        <w:spacing w:before="5"/>
      </w:pPr>
    </w:p>
    <w:p>
      <w:pPr>
        <w:pStyle w:val="BodyText"/>
        <w:spacing w:line="242" w:lineRule="auto"/>
        <w:ind w:left="511" w:right="412"/>
      </w:pPr>
      <w:r>
        <w:rPr/>
        <w:t>The </w:t>
      </w:r>
      <w:r>
        <w:rPr>
          <w:spacing w:val="-3"/>
        </w:rPr>
        <w:t>statewide average payment amount </w:t>
      </w:r>
      <w:r>
        <w:rPr/>
        <w:t>per </w:t>
      </w:r>
      <w:r>
        <w:rPr>
          <w:spacing w:val="-3"/>
        </w:rPr>
        <w:t>discharge </w:t>
      </w:r>
      <w:r>
        <w:rPr/>
        <w:t>was </w:t>
      </w:r>
      <w:r>
        <w:rPr>
          <w:spacing w:val="-3"/>
        </w:rPr>
        <w:t>then multiplied </w:t>
      </w:r>
      <w:r>
        <w:rPr/>
        <w:t>by the </w:t>
      </w:r>
      <w:r>
        <w:rPr>
          <w:spacing w:val="-3"/>
        </w:rPr>
        <w:t>Hospital’s MassHealth Casemix Index (using APR-DRG version </w:t>
      </w:r>
      <w:r>
        <w:rPr/>
        <w:t>26 of the 3M </w:t>
      </w:r>
      <w:r>
        <w:rPr>
          <w:spacing w:val="-3"/>
        </w:rPr>
        <w:t>Grouper and Massachusetts weights) </w:t>
      </w:r>
      <w:r>
        <w:rPr/>
        <w:t>and </w:t>
      </w:r>
      <w:r>
        <w:rPr>
          <w:spacing w:val="-3"/>
        </w:rPr>
        <w:t>adjusted </w:t>
      </w:r>
      <w:r>
        <w:rPr/>
        <w:t>to the </w:t>
      </w:r>
      <w:r>
        <w:rPr>
          <w:spacing w:val="-3"/>
        </w:rPr>
        <w:t>Hospital’s Massachusetts-specific wage area index </w:t>
      </w:r>
      <w:r>
        <w:rPr/>
        <w:t>to </w:t>
      </w:r>
      <w:r>
        <w:rPr>
          <w:spacing w:val="-3"/>
        </w:rPr>
        <w:t>derive </w:t>
      </w:r>
      <w:r>
        <w:rPr/>
        <w:t>the </w:t>
      </w:r>
      <w:r>
        <w:rPr>
          <w:spacing w:val="-3"/>
        </w:rPr>
        <w:t>Hospital-specific standard payment amount </w:t>
      </w:r>
      <w:r>
        <w:rPr/>
        <w:t>per </w:t>
      </w:r>
      <w:r>
        <w:rPr>
          <w:spacing w:val="-3"/>
        </w:rPr>
        <w:t>discharge (SPAD).</w:t>
      </w:r>
    </w:p>
    <w:p>
      <w:pPr>
        <w:pStyle w:val="BodyText"/>
        <w:spacing w:before="4"/>
      </w:pPr>
    </w:p>
    <w:p>
      <w:pPr>
        <w:pStyle w:val="BodyText"/>
        <w:spacing w:line="242" w:lineRule="auto"/>
        <w:ind w:left="511" w:right="484"/>
      </w:pPr>
      <w:r>
        <w:rPr/>
        <w:t>To </w:t>
      </w:r>
      <w:r>
        <w:rPr>
          <w:spacing w:val="-3"/>
        </w:rPr>
        <w:t>develop </w:t>
      </w:r>
      <w:r>
        <w:rPr/>
        <w:t>the </w:t>
      </w:r>
      <w:r>
        <w:rPr>
          <w:spacing w:val="-3"/>
        </w:rPr>
        <w:t>Hospital’s RY14 Casemix Index, EOHHS used MassHealth SPAD, transfer, </w:t>
      </w:r>
      <w:r>
        <w:rPr/>
        <w:t>and </w:t>
      </w:r>
      <w:r>
        <w:rPr>
          <w:spacing w:val="-3"/>
        </w:rPr>
        <w:t>outlier claims </w:t>
      </w:r>
      <w:r>
        <w:rPr/>
        <w:t>for </w:t>
      </w:r>
      <w:r>
        <w:rPr>
          <w:spacing w:val="-3"/>
        </w:rPr>
        <w:t>MassHealth discharges residing </w:t>
      </w:r>
      <w:r>
        <w:rPr/>
        <w:t>in </w:t>
      </w:r>
      <w:r>
        <w:rPr>
          <w:spacing w:val="-3"/>
        </w:rPr>
        <w:t>MMIS </w:t>
      </w:r>
      <w:r>
        <w:rPr/>
        <w:t>as of May 11, </w:t>
      </w:r>
      <w:r>
        <w:rPr>
          <w:spacing w:val="-3"/>
        </w:rPr>
        <w:t>2013, </w:t>
      </w:r>
      <w:r>
        <w:rPr/>
        <w:t>for </w:t>
      </w:r>
      <w:r>
        <w:rPr>
          <w:spacing w:val="-3"/>
        </w:rPr>
        <w:t>the period October </w:t>
      </w:r>
      <w:r>
        <w:rPr/>
        <w:t>1, </w:t>
      </w:r>
      <w:r>
        <w:rPr>
          <w:spacing w:val="-3"/>
        </w:rPr>
        <w:t>2011 through September </w:t>
      </w:r>
      <w:r>
        <w:rPr/>
        <w:t>30, </w:t>
      </w:r>
      <w:r>
        <w:rPr>
          <w:spacing w:val="-3"/>
        </w:rPr>
        <w:t>2012, with </w:t>
      </w:r>
      <w:r>
        <w:rPr/>
        <w:t>a </w:t>
      </w:r>
      <w:r>
        <w:rPr>
          <w:spacing w:val="-3"/>
        </w:rPr>
        <w:t>status </w:t>
      </w:r>
      <w:r>
        <w:rPr/>
        <w:t>of </w:t>
      </w:r>
      <w:r>
        <w:rPr>
          <w:spacing w:val="-3"/>
        </w:rPr>
        <w:t>adjudicated </w:t>
      </w:r>
      <w:r>
        <w:rPr/>
        <w:t>and </w:t>
      </w:r>
      <w:r>
        <w:rPr>
          <w:spacing w:val="-3"/>
        </w:rPr>
        <w:t>paid and </w:t>
      </w:r>
      <w:r>
        <w:rPr/>
        <w:t>for </w:t>
      </w:r>
      <w:r>
        <w:rPr>
          <w:spacing w:val="-3"/>
        </w:rPr>
        <w:t>which MassHealth </w:t>
      </w:r>
      <w:r>
        <w:rPr/>
        <w:t>is the </w:t>
      </w:r>
      <w:r>
        <w:rPr>
          <w:spacing w:val="-3"/>
        </w:rPr>
        <w:t>primary payer. </w:t>
      </w:r>
      <w:r>
        <w:rPr/>
        <w:t>The </w:t>
      </w:r>
      <w:r>
        <w:rPr>
          <w:spacing w:val="-3"/>
        </w:rPr>
        <w:t>casemix data </w:t>
      </w:r>
      <w:r>
        <w:rPr/>
        <w:t>did not </w:t>
      </w:r>
      <w:r>
        <w:rPr>
          <w:spacing w:val="-3"/>
        </w:rPr>
        <w:t>include discharges from Excluded Units. Calculations </w:t>
      </w:r>
      <w:r>
        <w:rPr/>
        <w:t>of the </w:t>
      </w:r>
      <w:r>
        <w:rPr>
          <w:spacing w:val="-3"/>
        </w:rPr>
        <w:t>wage area indexes were derived from </w:t>
      </w:r>
      <w:r>
        <w:rPr/>
        <w:t>the CMS </w:t>
      </w:r>
      <w:r>
        <w:rPr>
          <w:spacing w:val="-3"/>
        </w:rPr>
        <w:t>data file.</w:t>
      </w:r>
    </w:p>
    <w:p>
      <w:pPr>
        <w:pStyle w:val="BodyText"/>
        <w:spacing w:before="4"/>
      </w:pPr>
    </w:p>
    <w:p>
      <w:pPr>
        <w:pStyle w:val="BodyText"/>
        <w:spacing w:line="242" w:lineRule="auto"/>
        <w:ind w:left="512" w:right="519"/>
      </w:pPr>
      <w:r>
        <w:rPr>
          <w:spacing w:val="-3"/>
        </w:rPr>
        <w:t>Costs for outpatient ancillary services for Members admitted from observation status are included </w:t>
      </w:r>
      <w:r>
        <w:rPr/>
        <w:t>in </w:t>
      </w:r>
      <w:r>
        <w:rPr>
          <w:spacing w:val="-3"/>
        </w:rPr>
        <w:t>Hospital-specific SPADs.</w:t>
      </w:r>
    </w:p>
    <w:p>
      <w:pPr>
        <w:pStyle w:val="BodyText"/>
        <w:spacing w:before="7"/>
      </w:pPr>
    </w:p>
    <w:p>
      <w:pPr>
        <w:pStyle w:val="BodyText"/>
        <w:spacing w:line="247" w:lineRule="auto" w:before="1"/>
        <w:ind w:left="512" w:right="471"/>
      </w:pPr>
      <w:r>
        <w:rPr/>
        <w:t>An </w:t>
      </w:r>
      <w:r>
        <w:rPr>
          <w:spacing w:val="-3"/>
        </w:rPr>
        <w:t>outlier adjustment </w:t>
      </w:r>
      <w:r>
        <w:rPr/>
        <w:t>is </w:t>
      </w:r>
      <w:r>
        <w:rPr>
          <w:spacing w:val="-3"/>
        </w:rPr>
        <w:t>used for </w:t>
      </w:r>
      <w:r>
        <w:rPr/>
        <w:t>the </w:t>
      </w:r>
      <w:r>
        <w:rPr>
          <w:spacing w:val="-3"/>
        </w:rPr>
        <w:t>payment </w:t>
      </w:r>
      <w:r>
        <w:rPr/>
        <w:t>of </w:t>
      </w:r>
      <w:r>
        <w:rPr>
          <w:spacing w:val="-3"/>
        </w:rPr>
        <w:t>covered Outlier Days </w:t>
      </w:r>
      <w:r>
        <w:rPr/>
        <w:t>as </w:t>
      </w:r>
      <w:r>
        <w:rPr>
          <w:spacing w:val="-3"/>
        </w:rPr>
        <w:t>described </w:t>
      </w:r>
      <w:r>
        <w:rPr/>
        <w:t>in </w:t>
      </w:r>
      <w:r>
        <w:rPr>
          <w:b/>
          <w:spacing w:val="-3"/>
        </w:rPr>
        <w:t>Section 5.B.9</w:t>
      </w:r>
      <w:r>
        <w:rPr>
          <w:spacing w:val="-3"/>
        </w:rPr>
        <w:t>.</w:t>
      </w:r>
    </w:p>
    <w:p>
      <w:pPr>
        <w:pStyle w:val="BodyText"/>
        <w:spacing w:before="10"/>
        <w:rPr>
          <w:sz w:val="23"/>
        </w:rPr>
      </w:pPr>
    </w:p>
    <w:p>
      <w:pPr>
        <w:pStyle w:val="BodyText"/>
        <w:spacing w:line="242" w:lineRule="auto" w:before="1"/>
        <w:ind w:left="512" w:right="396"/>
      </w:pPr>
      <w:r>
        <w:rPr>
          <w:spacing w:val="-3"/>
        </w:rPr>
        <w:t>When groupers </w:t>
      </w:r>
      <w:r>
        <w:rPr/>
        <w:t>are </w:t>
      </w:r>
      <w:r>
        <w:rPr>
          <w:spacing w:val="-3"/>
        </w:rPr>
        <w:t>changed </w:t>
      </w:r>
      <w:r>
        <w:rPr/>
        <w:t>and </w:t>
      </w:r>
      <w:r>
        <w:rPr>
          <w:spacing w:val="-3"/>
        </w:rPr>
        <w:t>modernized, </w:t>
      </w:r>
      <w:r>
        <w:rPr/>
        <w:t>it </w:t>
      </w:r>
      <w:r>
        <w:rPr>
          <w:spacing w:val="-3"/>
        </w:rPr>
        <w:t>may </w:t>
      </w:r>
      <w:r>
        <w:rPr/>
        <w:t>be </w:t>
      </w:r>
      <w:r>
        <w:rPr>
          <w:spacing w:val="-3"/>
        </w:rPr>
        <w:t>necessary </w:t>
      </w:r>
      <w:r>
        <w:rPr/>
        <w:t>to </w:t>
      </w:r>
      <w:r>
        <w:rPr>
          <w:spacing w:val="-3"/>
        </w:rPr>
        <w:t>adjust </w:t>
      </w:r>
      <w:r>
        <w:rPr/>
        <w:t>the </w:t>
      </w:r>
      <w:r>
        <w:rPr>
          <w:spacing w:val="-3"/>
        </w:rPr>
        <w:t>base </w:t>
      </w:r>
      <w:r>
        <w:rPr>
          <w:spacing w:val="-4"/>
        </w:rPr>
        <w:t>payment </w:t>
      </w:r>
      <w:r>
        <w:rPr>
          <w:spacing w:val="-3"/>
        </w:rPr>
        <w:t>rate </w:t>
      </w:r>
      <w:r>
        <w:rPr/>
        <w:t>so </w:t>
      </w:r>
      <w:r>
        <w:rPr>
          <w:spacing w:val="-3"/>
        </w:rPr>
        <w:t>that overall payment levels </w:t>
      </w:r>
      <w:r>
        <w:rPr/>
        <w:t>are not </w:t>
      </w:r>
      <w:r>
        <w:rPr>
          <w:spacing w:val="-3"/>
        </w:rPr>
        <w:t>affected solely </w:t>
      </w:r>
      <w:r>
        <w:rPr/>
        <w:t>by the </w:t>
      </w:r>
      <w:r>
        <w:rPr>
          <w:spacing w:val="-3"/>
        </w:rPr>
        <w:t>grouper change. This aspect of “budget neutrality” </w:t>
      </w:r>
      <w:r>
        <w:rPr/>
        <w:t>is an </w:t>
      </w:r>
      <w:r>
        <w:rPr>
          <w:spacing w:val="-3"/>
        </w:rPr>
        <w:t>approach that EOHHS </w:t>
      </w:r>
      <w:r>
        <w:rPr/>
        <w:t>is </w:t>
      </w:r>
      <w:r>
        <w:rPr>
          <w:spacing w:val="-3"/>
        </w:rPr>
        <w:t>following, </w:t>
      </w:r>
      <w:r>
        <w:rPr/>
        <w:t>and one </w:t>
      </w:r>
      <w:r>
        <w:rPr>
          <w:spacing w:val="-3"/>
        </w:rPr>
        <w:t>that </w:t>
      </w:r>
      <w:r>
        <w:rPr/>
        <w:t>has </w:t>
      </w:r>
      <w:r>
        <w:rPr>
          <w:spacing w:val="-3"/>
        </w:rPr>
        <w:t>been </w:t>
      </w:r>
      <w:r>
        <w:rPr/>
        <w:t>a </w:t>
      </w:r>
      <w:r>
        <w:rPr>
          <w:spacing w:val="-3"/>
        </w:rPr>
        <w:t>feature of </w:t>
      </w:r>
      <w:r>
        <w:rPr/>
        <w:t>the </w:t>
      </w:r>
      <w:r>
        <w:rPr>
          <w:spacing w:val="-3"/>
        </w:rPr>
        <w:t>Medicare Diagnosis-Related Group (DRG) program since </w:t>
      </w:r>
      <w:r>
        <w:rPr/>
        <w:t>its </w:t>
      </w:r>
      <w:r>
        <w:rPr>
          <w:spacing w:val="-3"/>
        </w:rPr>
        <w:t>inception. EOHHS reserves </w:t>
      </w:r>
      <w:r>
        <w:rPr/>
        <w:t>the </w:t>
      </w:r>
      <w:r>
        <w:rPr>
          <w:spacing w:val="-3"/>
        </w:rPr>
        <w:t>right </w:t>
      </w:r>
      <w:r>
        <w:rPr/>
        <w:t>to </w:t>
      </w:r>
      <w:r>
        <w:rPr>
          <w:spacing w:val="-3"/>
        </w:rPr>
        <w:t>update </w:t>
      </w:r>
      <w:r>
        <w:rPr/>
        <w:t>to a new </w:t>
      </w:r>
      <w:r>
        <w:rPr>
          <w:spacing w:val="-3"/>
        </w:rPr>
        <w:t>grouper.</w:t>
      </w:r>
    </w:p>
    <w:p>
      <w:pPr>
        <w:spacing w:after="0" w:line="242" w:lineRule="auto"/>
        <w:sectPr>
          <w:pgSz w:w="12240" w:h="15840"/>
          <w:pgMar w:header="0" w:footer="744" w:top="1380" w:bottom="940" w:left="1720" w:right="680"/>
        </w:sectPr>
      </w:pPr>
    </w:p>
    <w:p>
      <w:pPr>
        <w:pStyle w:val="Heading3"/>
        <w:numPr>
          <w:ilvl w:val="1"/>
          <w:numId w:val="8"/>
        </w:numPr>
        <w:tabs>
          <w:tab w:pos="666" w:val="left" w:leader="none"/>
          <w:tab w:pos="667" w:val="left" w:leader="none"/>
        </w:tabs>
        <w:spacing w:line="240" w:lineRule="auto" w:before="65" w:after="0"/>
        <w:ind w:left="666" w:right="0" w:hanging="547"/>
        <w:jc w:val="left"/>
      </w:pPr>
      <w:r>
        <w:rPr>
          <w:spacing w:val="-3"/>
        </w:rPr>
        <w:t>Calculation </w:t>
      </w:r>
      <w:r>
        <w:rPr/>
        <w:t>of the </w:t>
      </w:r>
      <w:r>
        <w:rPr>
          <w:spacing w:val="-3"/>
        </w:rPr>
        <w:t>Pass-Through Amounts </w:t>
      </w:r>
      <w:r>
        <w:rPr/>
        <w:t>per</w:t>
      </w:r>
      <w:r>
        <w:rPr>
          <w:spacing w:val="-28"/>
        </w:rPr>
        <w:t> </w:t>
      </w:r>
      <w:r>
        <w:rPr>
          <w:spacing w:val="-3"/>
        </w:rPr>
        <w:t>Discharge</w:t>
      </w:r>
    </w:p>
    <w:p>
      <w:pPr>
        <w:pStyle w:val="BodyText"/>
        <w:spacing w:before="5"/>
        <w:rPr>
          <w:b/>
        </w:rPr>
      </w:pPr>
    </w:p>
    <w:p>
      <w:pPr>
        <w:pStyle w:val="BodyText"/>
        <w:spacing w:line="242" w:lineRule="auto" w:before="1"/>
        <w:ind w:left="651" w:right="251"/>
      </w:pPr>
      <w:r>
        <w:rPr/>
        <w:t>The </w:t>
      </w:r>
      <w:r>
        <w:rPr>
          <w:spacing w:val="-3"/>
        </w:rPr>
        <w:t>inpatient portion </w:t>
      </w:r>
      <w:r>
        <w:rPr/>
        <w:t>of </w:t>
      </w:r>
      <w:r>
        <w:rPr>
          <w:spacing w:val="-3"/>
        </w:rPr>
        <w:t>malpractice insurance </w:t>
      </w:r>
      <w:r>
        <w:rPr/>
        <w:t>and </w:t>
      </w:r>
      <w:r>
        <w:rPr>
          <w:spacing w:val="-3"/>
        </w:rPr>
        <w:t>organ acquisition costs </w:t>
      </w:r>
      <w:r>
        <w:rPr/>
        <w:t>was </w:t>
      </w:r>
      <w:r>
        <w:rPr>
          <w:spacing w:val="-3"/>
        </w:rPr>
        <w:t>derived from each Hospital’s FY12 -403 cost report </w:t>
      </w:r>
      <w:r>
        <w:rPr/>
        <w:t>as </w:t>
      </w:r>
      <w:r>
        <w:rPr>
          <w:spacing w:val="-3"/>
        </w:rPr>
        <w:t>screened </w:t>
      </w:r>
      <w:r>
        <w:rPr/>
        <w:t>and </w:t>
      </w:r>
      <w:r>
        <w:rPr>
          <w:spacing w:val="-3"/>
        </w:rPr>
        <w:t>updated </w:t>
      </w:r>
      <w:r>
        <w:rPr/>
        <w:t>by </w:t>
      </w:r>
      <w:r>
        <w:rPr>
          <w:spacing w:val="-3"/>
        </w:rPr>
        <w:t>CHIA </w:t>
      </w:r>
      <w:r>
        <w:rPr/>
        <w:t>as of </w:t>
      </w:r>
      <w:r>
        <w:rPr>
          <w:spacing w:val="-3"/>
        </w:rPr>
        <w:t>June </w:t>
      </w:r>
      <w:r>
        <w:rPr/>
        <w:t>11, </w:t>
      </w:r>
      <w:r>
        <w:rPr>
          <w:spacing w:val="-3"/>
        </w:rPr>
        <w:t>2013. This portion </w:t>
      </w:r>
      <w:r>
        <w:rPr/>
        <w:t>of the </w:t>
      </w:r>
      <w:r>
        <w:rPr>
          <w:spacing w:val="-3"/>
        </w:rPr>
        <w:t>Pass-Through amount </w:t>
      </w:r>
      <w:r>
        <w:rPr/>
        <w:t>per </w:t>
      </w:r>
      <w:r>
        <w:rPr>
          <w:spacing w:val="-3"/>
        </w:rPr>
        <w:t>discharge </w:t>
      </w:r>
      <w:r>
        <w:rPr/>
        <w:t>is the sum of the </w:t>
      </w:r>
      <w:r>
        <w:rPr>
          <w:spacing w:val="-3"/>
        </w:rPr>
        <w:t>Hospital’s per- discharge costs </w:t>
      </w:r>
      <w:r>
        <w:rPr/>
        <w:t>of </w:t>
      </w:r>
      <w:r>
        <w:rPr>
          <w:spacing w:val="-3"/>
        </w:rPr>
        <w:t>malpractice </w:t>
      </w:r>
      <w:r>
        <w:rPr/>
        <w:t>and </w:t>
      </w:r>
      <w:r>
        <w:rPr>
          <w:spacing w:val="-3"/>
        </w:rPr>
        <w:t>organ acquisition costs. </w:t>
      </w:r>
      <w:r>
        <w:rPr/>
        <w:t>In </w:t>
      </w:r>
      <w:r>
        <w:rPr>
          <w:spacing w:val="-3"/>
        </w:rPr>
        <w:t>each case, </w:t>
      </w:r>
      <w:r>
        <w:rPr/>
        <w:t>the </w:t>
      </w:r>
      <w:r>
        <w:rPr>
          <w:spacing w:val="-3"/>
        </w:rPr>
        <w:t>amount is calculated </w:t>
      </w:r>
      <w:r>
        <w:rPr/>
        <w:t>by </w:t>
      </w:r>
      <w:r>
        <w:rPr>
          <w:spacing w:val="-3"/>
        </w:rPr>
        <w:t>dividing </w:t>
      </w:r>
      <w:r>
        <w:rPr/>
        <w:t>the </w:t>
      </w:r>
      <w:r>
        <w:rPr>
          <w:spacing w:val="-3"/>
        </w:rPr>
        <w:t>Hospital’s inpatient portion </w:t>
      </w:r>
      <w:r>
        <w:rPr/>
        <w:t>of </w:t>
      </w:r>
      <w:r>
        <w:rPr>
          <w:spacing w:val="-3"/>
        </w:rPr>
        <w:t>expenses </w:t>
      </w:r>
      <w:r>
        <w:rPr/>
        <w:t>by the </w:t>
      </w:r>
      <w:r>
        <w:rPr>
          <w:spacing w:val="-3"/>
        </w:rPr>
        <w:t>number </w:t>
      </w:r>
      <w:r>
        <w:rPr/>
        <w:t>of </w:t>
      </w:r>
      <w:r>
        <w:rPr>
          <w:spacing w:val="-3"/>
        </w:rPr>
        <w:t>total, all- payer days for </w:t>
      </w:r>
      <w:r>
        <w:rPr/>
        <w:t>the </w:t>
      </w:r>
      <w:r>
        <w:rPr>
          <w:spacing w:val="-3"/>
        </w:rPr>
        <w:t>SPAD Base Year </w:t>
      </w:r>
      <w:r>
        <w:rPr/>
        <w:t>and </w:t>
      </w:r>
      <w:r>
        <w:rPr>
          <w:spacing w:val="-3"/>
        </w:rPr>
        <w:t>then multiplying </w:t>
      </w:r>
      <w:r>
        <w:rPr/>
        <w:t>the </w:t>
      </w:r>
      <w:r>
        <w:rPr>
          <w:spacing w:val="-3"/>
        </w:rPr>
        <w:t>cost </w:t>
      </w:r>
      <w:r>
        <w:rPr/>
        <w:t>per </w:t>
      </w:r>
      <w:r>
        <w:rPr>
          <w:spacing w:val="-3"/>
        </w:rPr>
        <w:t>diem </w:t>
      </w:r>
      <w:r>
        <w:rPr/>
        <w:t>by the </w:t>
      </w:r>
      <w:r>
        <w:rPr>
          <w:spacing w:val="-3"/>
        </w:rPr>
        <w:t>Hospital- specific MassHealth Average Length </w:t>
      </w:r>
      <w:r>
        <w:rPr/>
        <w:t>of </w:t>
      </w:r>
      <w:r>
        <w:rPr>
          <w:spacing w:val="-3"/>
        </w:rPr>
        <w:t>Stay. </w:t>
      </w:r>
      <w:r>
        <w:rPr/>
        <w:t>The </w:t>
      </w:r>
      <w:r>
        <w:rPr>
          <w:spacing w:val="-3"/>
        </w:rPr>
        <w:t>costs </w:t>
      </w:r>
      <w:r>
        <w:rPr/>
        <w:t>and </w:t>
      </w:r>
      <w:r>
        <w:rPr>
          <w:spacing w:val="-3"/>
        </w:rPr>
        <w:t>days associated with Excluded Units </w:t>
      </w:r>
      <w:r>
        <w:rPr/>
        <w:t>are</w:t>
      </w:r>
      <w:r>
        <w:rPr>
          <w:spacing w:val="-4"/>
        </w:rPr>
        <w:t> omitted.</w:t>
      </w:r>
    </w:p>
    <w:p>
      <w:pPr>
        <w:pStyle w:val="BodyText"/>
        <w:spacing w:before="5"/>
      </w:pPr>
    </w:p>
    <w:p>
      <w:pPr>
        <w:pStyle w:val="Heading3"/>
        <w:numPr>
          <w:ilvl w:val="1"/>
          <w:numId w:val="8"/>
        </w:numPr>
        <w:tabs>
          <w:tab w:pos="666" w:val="left" w:leader="none"/>
          <w:tab w:pos="667" w:val="left" w:leader="none"/>
        </w:tabs>
        <w:spacing w:line="240" w:lineRule="auto" w:before="1" w:after="0"/>
        <w:ind w:left="666" w:right="0" w:hanging="547"/>
        <w:jc w:val="left"/>
      </w:pPr>
      <w:r>
        <w:rPr>
          <w:spacing w:val="-3"/>
        </w:rPr>
        <w:t>Capital Payment Amount </w:t>
      </w:r>
      <w:r>
        <w:rPr/>
        <w:t>per</w:t>
      </w:r>
      <w:r>
        <w:rPr>
          <w:spacing w:val="-9"/>
        </w:rPr>
        <w:t> </w:t>
      </w:r>
      <w:r>
        <w:rPr>
          <w:spacing w:val="-3"/>
        </w:rPr>
        <w:t>Discharge</w:t>
      </w:r>
    </w:p>
    <w:p>
      <w:pPr>
        <w:pStyle w:val="BodyText"/>
        <w:spacing w:before="6"/>
        <w:rPr>
          <w:b/>
        </w:rPr>
      </w:pPr>
    </w:p>
    <w:p>
      <w:pPr>
        <w:pStyle w:val="BodyText"/>
        <w:spacing w:line="242" w:lineRule="auto"/>
        <w:ind w:left="652" w:right="218"/>
      </w:pPr>
      <w:r>
        <w:rPr/>
        <w:t>The </w:t>
      </w:r>
      <w:r>
        <w:rPr>
          <w:spacing w:val="-3"/>
        </w:rPr>
        <w:t>capital payment </w:t>
      </w:r>
      <w:r>
        <w:rPr/>
        <w:t>per </w:t>
      </w:r>
      <w:r>
        <w:rPr>
          <w:spacing w:val="-3"/>
        </w:rPr>
        <w:t>discharge </w:t>
      </w:r>
      <w:r>
        <w:rPr/>
        <w:t>is a </w:t>
      </w:r>
      <w:r>
        <w:rPr>
          <w:spacing w:val="-3"/>
        </w:rPr>
        <w:t>standard, prospective payment.  </w:t>
      </w:r>
      <w:r>
        <w:rPr/>
        <w:t>The </w:t>
      </w:r>
      <w:r>
        <w:rPr>
          <w:spacing w:val="-3"/>
        </w:rPr>
        <w:t>capital payment is </w:t>
      </w:r>
      <w:r>
        <w:rPr/>
        <w:t>a </w:t>
      </w:r>
      <w:r>
        <w:rPr>
          <w:spacing w:val="-3"/>
        </w:rPr>
        <w:t>casemix-adjusted capital cost limit, based </w:t>
      </w:r>
      <w:r>
        <w:rPr/>
        <w:t>on the </w:t>
      </w:r>
      <w:r>
        <w:rPr>
          <w:spacing w:val="-3"/>
        </w:rPr>
        <w:t>SPAD Base Year costs updated </w:t>
      </w:r>
      <w:r>
        <w:rPr/>
        <w:t>by </w:t>
      </w:r>
      <w:r>
        <w:rPr>
          <w:spacing w:val="-3"/>
        </w:rPr>
        <w:t>the Inflation Factors </w:t>
      </w:r>
      <w:r>
        <w:rPr/>
        <w:t>for </w:t>
      </w:r>
      <w:r>
        <w:rPr>
          <w:spacing w:val="-3"/>
        </w:rPr>
        <w:t>Capital Costs between RY11 </w:t>
      </w:r>
      <w:r>
        <w:rPr/>
        <w:t>and </w:t>
      </w:r>
      <w:r>
        <w:rPr>
          <w:spacing w:val="-3"/>
        </w:rPr>
        <w:t>RY14.</w:t>
      </w:r>
    </w:p>
    <w:p>
      <w:pPr>
        <w:pStyle w:val="BodyText"/>
        <w:spacing w:before="4"/>
      </w:pPr>
    </w:p>
    <w:p>
      <w:pPr>
        <w:pStyle w:val="BodyText"/>
        <w:spacing w:line="242" w:lineRule="auto"/>
        <w:ind w:left="652" w:right="294"/>
      </w:pPr>
      <w:r>
        <w:rPr/>
        <w:t>For </w:t>
      </w:r>
      <w:r>
        <w:rPr>
          <w:spacing w:val="-3"/>
        </w:rPr>
        <w:t>each Hospital, </w:t>
      </w:r>
      <w:r>
        <w:rPr/>
        <w:t>the </w:t>
      </w:r>
      <w:r>
        <w:rPr>
          <w:spacing w:val="-3"/>
        </w:rPr>
        <w:t>total inpatient capital costs include building </w:t>
      </w:r>
      <w:r>
        <w:rPr/>
        <w:t>and </w:t>
      </w:r>
      <w:r>
        <w:rPr>
          <w:spacing w:val="-3"/>
        </w:rPr>
        <w:t>fixed </w:t>
      </w:r>
      <w:r>
        <w:rPr>
          <w:spacing w:val="-4"/>
        </w:rPr>
        <w:t>equipment </w:t>
      </w:r>
      <w:r>
        <w:rPr>
          <w:spacing w:val="-3"/>
        </w:rPr>
        <w:t>depreciation, major moveable equipment depreciation, major moveable equipment, </w:t>
      </w:r>
      <w:r>
        <w:rPr/>
        <w:t>and </w:t>
      </w:r>
      <w:r>
        <w:rPr>
          <w:spacing w:val="-3"/>
        </w:rPr>
        <w:t>long- </w:t>
      </w:r>
      <w:r>
        <w:rPr/>
        <w:t>and </w:t>
      </w:r>
      <w:r>
        <w:rPr>
          <w:spacing w:val="-3"/>
        </w:rPr>
        <w:t>short-term interest. Total capital costs </w:t>
      </w:r>
      <w:r>
        <w:rPr/>
        <w:t>are </w:t>
      </w:r>
      <w:r>
        <w:rPr>
          <w:spacing w:val="-3"/>
        </w:rPr>
        <w:t>allocated </w:t>
      </w:r>
      <w:r>
        <w:rPr/>
        <w:t>to </w:t>
      </w:r>
      <w:r>
        <w:rPr>
          <w:spacing w:val="-3"/>
        </w:rPr>
        <w:t>Inpatient Services through the square-footage-based allocation formula </w:t>
      </w:r>
      <w:r>
        <w:rPr/>
        <w:t>of the </w:t>
      </w:r>
      <w:r>
        <w:rPr>
          <w:spacing w:val="-3"/>
        </w:rPr>
        <w:t>FY11 -403 cost report. Capital costs for Excluded Units were omitted </w:t>
      </w:r>
      <w:r>
        <w:rPr/>
        <w:t>to </w:t>
      </w:r>
      <w:r>
        <w:rPr>
          <w:spacing w:val="-3"/>
        </w:rPr>
        <w:t>derive </w:t>
      </w:r>
      <w:r>
        <w:rPr/>
        <w:t>net </w:t>
      </w:r>
      <w:r>
        <w:rPr>
          <w:spacing w:val="-3"/>
        </w:rPr>
        <w:t>inpatient capital costs. </w:t>
      </w:r>
      <w:r>
        <w:rPr/>
        <w:t>The </w:t>
      </w:r>
      <w:r>
        <w:rPr>
          <w:spacing w:val="-3"/>
        </w:rPr>
        <w:t>capital cost per discharge </w:t>
      </w:r>
      <w:r>
        <w:rPr/>
        <w:t>was </w:t>
      </w:r>
      <w:r>
        <w:rPr>
          <w:spacing w:val="-3"/>
        </w:rPr>
        <w:t>calculated </w:t>
      </w:r>
      <w:r>
        <w:rPr/>
        <w:t>by </w:t>
      </w:r>
      <w:r>
        <w:rPr>
          <w:spacing w:val="-3"/>
        </w:rPr>
        <w:t>dividing total </w:t>
      </w:r>
      <w:r>
        <w:rPr/>
        <w:t>net </w:t>
      </w:r>
      <w:r>
        <w:rPr>
          <w:spacing w:val="-3"/>
        </w:rPr>
        <w:t>inpatient capital costs </w:t>
      </w:r>
      <w:r>
        <w:rPr/>
        <w:t>by </w:t>
      </w:r>
      <w:r>
        <w:rPr>
          <w:spacing w:val="-3"/>
        </w:rPr>
        <w:t>FY11 total inpatient hospital discharges </w:t>
      </w:r>
      <w:r>
        <w:rPr/>
        <w:t>net of </w:t>
      </w:r>
      <w:r>
        <w:rPr>
          <w:spacing w:val="-3"/>
        </w:rPr>
        <w:t>Excluded Unit discharges.</w:t>
      </w:r>
    </w:p>
    <w:p>
      <w:pPr>
        <w:pStyle w:val="BodyText"/>
        <w:spacing w:before="4"/>
      </w:pPr>
    </w:p>
    <w:p>
      <w:pPr>
        <w:pStyle w:val="BodyText"/>
        <w:spacing w:line="242" w:lineRule="auto"/>
        <w:ind w:left="652" w:right="357"/>
      </w:pPr>
      <w:r>
        <w:rPr/>
        <w:t>The </w:t>
      </w:r>
      <w:r>
        <w:rPr>
          <w:spacing w:val="-3"/>
        </w:rPr>
        <w:t>casemix-adjusted capital cost standard </w:t>
      </w:r>
      <w:r>
        <w:rPr/>
        <w:t>was </w:t>
      </w:r>
      <w:r>
        <w:rPr>
          <w:spacing w:val="-3"/>
        </w:rPr>
        <w:t>determined </w:t>
      </w:r>
      <w:r>
        <w:rPr/>
        <w:t>by (a) </w:t>
      </w:r>
      <w:r>
        <w:rPr>
          <w:spacing w:val="-3"/>
        </w:rPr>
        <w:t>dividing </w:t>
      </w:r>
      <w:r>
        <w:rPr/>
        <w:t>the </w:t>
      </w:r>
      <w:r>
        <w:rPr>
          <w:spacing w:val="-3"/>
        </w:rPr>
        <w:t>cost per discharge </w:t>
      </w:r>
      <w:r>
        <w:rPr/>
        <w:t>by the </w:t>
      </w:r>
      <w:r>
        <w:rPr>
          <w:spacing w:val="-3"/>
        </w:rPr>
        <w:t>All-Payer APR-DRG version </w:t>
      </w:r>
      <w:r>
        <w:rPr/>
        <w:t>26 </w:t>
      </w:r>
      <w:r>
        <w:rPr>
          <w:spacing w:val="-3"/>
        </w:rPr>
        <w:t>Casemix Index; </w:t>
      </w:r>
      <w:r>
        <w:rPr/>
        <w:t>(b) </w:t>
      </w:r>
      <w:r>
        <w:rPr>
          <w:spacing w:val="-3"/>
        </w:rPr>
        <w:t>sorting these adjusted costs </w:t>
      </w:r>
      <w:r>
        <w:rPr/>
        <w:t>in </w:t>
      </w:r>
      <w:r>
        <w:rPr>
          <w:spacing w:val="-3"/>
        </w:rPr>
        <w:t>ascending order; </w:t>
      </w:r>
      <w:r>
        <w:rPr/>
        <w:t>and (c) </w:t>
      </w:r>
      <w:r>
        <w:rPr>
          <w:spacing w:val="-3"/>
        </w:rPr>
        <w:t>producing </w:t>
      </w:r>
      <w:r>
        <w:rPr/>
        <w:t>a </w:t>
      </w:r>
      <w:r>
        <w:rPr>
          <w:spacing w:val="-3"/>
        </w:rPr>
        <w:t>cumulative frequency </w:t>
      </w:r>
      <w:r>
        <w:rPr/>
        <w:t>of </w:t>
      </w:r>
      <w:r>
        <w:rPr>
          <w:spacing w:val="-3"/>
        </w:rPr>
        <w:t>discharges. The casemix-adjusted efficiency standard </w:t>
      </w:r>
      <w:r>
        <w:rPr/>
        <w:t>was </w:t>
      </w:r>
      <w:r>
        <w:rPr>
          <w:spacing w:val="-3"/>
        </w:rPr>
        <w:t>established </w:t>
      </w:r>
      <w:r>
        <w:rPr/>
        <w:t>at the </w:t>
      </w:r>
      <w:r>
        <w:rPr>
          <w:spacing w:val="-3"/>
        </w:rPr>
        <w:t>capital cost </w:t>
      </w:r>
      <w:r>
        <w:rPr/>
        <w:t>per </w:t>
      </w:r>
      <w:r>
        <w:rPr>
          <w:spacing w:val="-3"/>
        </w:rPr>
        <w:t>discharge corresponding </w:t>
      </w:r>
      <w:r>
        <w:rPr/>
        <w:t>to the </w:t>
      </w:r>
      <w:r>
        <w:rPr>
          <w:spacing w:val="-3"/>
        </w:rPr>
        <w:t>position </w:t>
      </w:r>
      <w:r>
        <w:rPr/>
        <w:t>on the </w:t>
      </w:r>
      <w:r>
        <w:rPr>
          <w:spacing w:val="-3"/>
        </w:rPr>
        <w:t>cumulative frequency </w:t>
      </w:r>
      <w:r>
        <w:rPr/>
        <w:t>of </w:t>
      </w:r>
      <w:r>
        <w:rPr>
          <w:spacing w:val="-3"/>
        </w:rPr>
        <w:t>discharges that represents 50% </w:t>
      </w:r>
      <w:r>
        <w:rPr/>
        <w:t>of the </w:t>
      </w:r>
      <w:r>
        <w:rPr>
          <w:spacing w:val="-3"/>
        </w:rPr>
        <w:t>total number </w:t>
      </w:r>
      <w:r>
        <w:rPr/>
        <w:t>of </w:t>
      </w:r>
      <w:r>
        <w:rPr>
          <w:spacing w:val="-3"/>
        </w:rPr>
        <w:t>discharges.</w:t>
      </w:r>
    </w:p>
    <w:p>
      <w:pPr>
        <w:pStyle w:val="BodyText"/>
        <w:spacing w:before="4"/>
      </w:pPr>
    </w:p>
    <w:p>
      <w:pPr>
        <w:pStyle w:val="BodyText"/>
        <w:spacing w:line="242" w:lineRule="auto"/>
        <w:ind w:left="652" w:right="117"/>
      </w:pPr>
      <w:r>
        <w:rPr>
          <w:spacing w:val="-3"/>
        </w:rPr>
        <w:t>Each Hospital’s capital cost </w:t>
      </w:r>
      <w:r>
        <w:rPr/>
        <w:t>per </w:t>
      </w:r>
      <w:r>
        <w:rPr>
          <w:spacing w:val="-3"/>
        </w:rPr>
        <w:t>discharge </w:t>
      </w:r>
      <w:r>
        <w:rPr/>
        <w:t>was </w:t>
      </w:r>
      <w:r>
        <w:rPr>
          <w:spacing w:val="-3"/>
        </w:rPr>
        <w:t>then held </w:t>
      </w:r>
      <w:r>
        <w:rPr/>
        <w:t>to the </w:t>
      </w:r>
      <w:r>
        <w:rPr>
          <w:spacing w:val="-3"/>
        </w:rPr>
        <w:t>lower </w:t>
      </w:r>
      <w:r>
        <w:rPr/>
        <w:t>of its </w:t>
      </w:r>
      <w:r>
        <w:rPr>
          <w:spacing w:val="-3"/>
        </w:rPr>
        <w:t>capital cost per discharge </w:t>
      </w:r>
      <w:r>
        <w:rPr/>
        <w:t>or the </w:t>
      </w:r>
      <w:r>
        <w:rPr>
          <w:spacing w:val="-3"/>
        </w:rPr>
        <w:t>casemix-adjusted efficiency standard, </w:t>
      </w:r>
      <w:r>
        <w:rPr/>
        <w:t>to </w:t>
      </w:r>
      <w:r>
        <w:rPr>
          <w:spacing w:val="-3"/>
        </w:rPr>
        <w:t>arrive </w:t>
      </w:r>
      <w:r>
        <w:rPr/>
        <w:t>at a </w:t>
      </w:r>
      <w:r>
        <w:rPr>
          <w:spacing w:val="-3"/>
        </w:rPr>
        <w:t>capped capital cost per discharge. Each Hospital’s capped capital cost </w:t>
      </w:r>
      <w:r>
        <w:rPr/>
        <w:t>per </w:t>
      </w:r>
      <w:r>
        <w:rPr>
          <w:spacing w:val="-3"/>
        </w:rPr>
        <w:t>discharge </w:t>
      </w:r>
      <w:r>
        <w:rPr/>
        <w:t>is </w:t>
      </w:r>
      <w:r>
        <w:rPr>
          <w:spacing w:val="-3"/>
        </w:rPr>
        <w:t>then multiplied </w:t>
      </w:r>
      <w:r>
        <w:rPr/>
        <w:t>by </w:t>
      </w:r>
      <w:r>
        <w:rPr>
          <w:spacing w:val="-3"/>
        </w:rPr>
        <w:t>the Hospital’s FY12 number </w:t>
      </w:r>
      <w:r>
        <w:rPr/>
        <w:t>of </w:t>
      </w:r>
      <w:r>
        <w:rPr>
          <w:spacing w:val="-3"/>
        </w:rPr>
        <w:t>MassHealth discharges </w:t>
      </w:r>
      <w:r>
        <w:rPr/>
        <w:t>. The </w:t>
      </w:r>
      <w:r>
        <w:rPr>
          <w:spacing w:val="-3"/>
        </w:rPr>
        <w:t>product </w:t>
      </w:r>
      <w:r>
        <w:rPr/>
        <w:t>of the </w:t>
      </w:r>
      <w:r>
        <w:rPr>
          <w:spacing w:val="-3"/>
        </w:rPr>
        <w:t>capped capital cost per discharge </w:t>
      </w:r>
      <w:r>
        <w:rPr/>
        <w:t>and the </w:t>
      </w:r>
      <w:r>
        <w:rPr>
          <w:spacing w:val="-3"/>
        </w:rPr>
        <w:t>number </w:t>
      </w:r>
      <w:r>
        <w:rPr/>
        <w:t>of </w:t>
      </w:r>
      <w:r>
        <w:rPr>
          <w:spacing w:val="-3"/>
        </w:rPr>
        <w:t>MassHealth discharges </w:t>
      </w:r>
      <w:r>
        <w:rPr/>
        <w:t>for </w:t>
      </w:r>
      <w:r>
        <w:rPr>
          <w:spacing w:val="-3"/>
        </w:rPr>
        <w:t>each Hospital </w:t>
      </w:r>
      <w:r>
        <w:rPr/>
        <w:t>was </w:t>
      </w:r>
      <w:r>
        <w:rPr>
          <w:spacing w:val="-3"/>
        </w:rPr>
        <w:t>then </w:t>
      </w:r>
      <w:r>
        <w:rPr>
          <w:spacing w:val="-4"/>
        </w:rPr>
        <w:t>summed </w:t>
      </w:r>
      <w:r>
        <w:rPr>
          <w:spacing w:val="-3"/>
        </w:rPr>
        <w:t>and divided </w:t>
      </w:r>
      <w:r>
        <w:rPr/>
        <w:t>by the </w:t>
      </w:r>
      <w:r>
        <w:rPr>
          <w:spacing w:val="-3"/>
        </w:rPr>
        <w:t>total number </w:t>
      </w:r>
      <w:r>
        <w:rPr/>
        <w:t>of </w:t>
      </w:r>
      <w:r>
        <w:rPr>
          <w:spacing w:val="-3"/>
        </w:rPr>
        <w:t>MassHealth discharges statewide, </w:t>
      </w:r>
      <w:r>
        <w:rPr/>
        <w:t>to </w:t>
      </w:r>
      <w:r>
        <w:rPr>
          <w:spacing w:val="-3"/>
        </w:rPr>
        <w:t>arrive </w:t>
      </w:r>
      <w:r>
        <w:rPr/>
        <w:t>at a </w:t>
      </w:r>
      <w:r>
        <w:rPr>
          <w:spacing w:val="-3"/>
        </w:rPr>
        <w:t>statewide weighted average capital cost </w:t>
      </w:r>
      <w:r>
        <w:rPr/>
        <w:t>per</w:t>
      </w:r>
      <w:r>
        <w:rPr>
          <w:spacing w:val="-7"/>
        </w:rPr>
        <w:t> </w:t>
      </w:r>
      <w:r>
        <w:rPr>
          <w:spacing w:val="-3"/>
        </w:rPr>
        <w:t>discharge.</w:t>
      </w:r>
    </w:p>
    <w:p>
      <w:pPr>
        <w:pStyle w:val="BodyText"/>
        <w:spacing w:before="4"/>
      </w:pPr>
    </w:p>
    <w:p>
      <w:pPr>
        <w:pStyle w:val="BodyText"/>
        <w:spacing w:line="242" w:lineRule="auto"/>
        <w:ind w:left="652" w:right="405"/>
        <w:jc w:val="both"/>
      </w:pPr>
      <w:r>
        <w:rPr/>
        <w:t>The </w:t>
      </w:r>
      <w:r>
        <w:rPr>
          <w:spacing w:val="-3"/>
        </w:rPr>
        <w:t>statewide weighted average capital cost </w:t>
      </w:r>
      <w:r>
        <w:rPr/>
        <w:t>per </w:t>
      </w:r>
      <w:r>
        <w:rPr>
          <w:spacing w:val="-3"/>
        </w:rPr>
        <w:t>discharge </w:t>
      </w:r>
      <w:r>
        <w:rPr/>
        <w:t>was </w:t>
      </w:r>
      <w:r>
        <w:rPr>
          <w:spacing w:val="-3"/>
        </w:rPr>
        <w:t>then updated </w:t>
      </w:r>
      <w:r>
        <w:rPr/>
        <w:t>by the </w:t>
      </w:r>
      <w:r>
        <w:rPr>
          <w:spacing w:val="-3"/>
        </w:rPr>
        <w:t>Inflation Factors </w:t>
      </w:r>
      <w:r>
        <w:rPr/>
        <w:t>for </w:t>
      </w:r>
      <w:r>
        <w:rPr>
          <w:spacing w:val="-3"/>
        </w:rPr>
        <w:t>Capital Costs between RY11 </w:t>
      </w:r>
      <w:r>
        <w:rPr/>
        <w:t>and </w:t>
      </w:r>
      <w:r>
        <w:rPr>
          <w:spacing w:val="-3"/>
        </w:rPr>
        <w:t>RY14. </w:t>
      </w:r>
      <w:r>
        <w:rPr/>
        <w:t>The </w:t>
      </w:r>
      <w:r>
        <w:rPr>
          <w:spacing w:val="-3"/>
        </w:rPr>
        <w:t>statewide weighted average capital cost </w:t>
      </w:r>
      <w:r>
        <w:rPr/>
        <w:t>per </w:t>
      </w:r>
      <w:r>
        <w:rPr>
          <w:spacing w:val="-3"/>
        </w:rPr>
        <w:t>discharge </w:t>
      </w:r>
      <w:r>
        <w:rPr/>
        <w:t>for </w:t>
      </w:r>
      <w:r>
        <w:rPr>
          <w:spacing w:val="-3"/>
        </w:rPr>
        <w:t>RY14 </w:t>
      </w:r>
      <w:r>
        <w:rPr/>
        <w:t>is </w:t>
      </w:r>
      <w:r>
        <w:rPr>
          <w:spacing w:val="-3"/>
        </w:rPr>
        <w:t>$581.76.</w:t>
      </w:r>
    </w:p>
    <w:p>
      <w:pPr>
        <w:spacing w:after="0" w:line="242" w:lineRule="auto"/>
        <w:jc w:val="both"/>
        <w:sectPr>
          <w:pgSz w:w="12240" w:h="15840"/>
          <w:pgMar w:header="0" w:footer="744" w:top="1380" w:bottom="940" w:left="1580" w:right="960"/>
        </w:sectPr>
      </w:pPr>
    </w:p>
    <w:p>
      <w:pPr>
        <w:pStyle w:val="BodyText"/>
        <w:spacing w:line="244" w:lineRule="auto" w:before="61"/>
        <w:ind w:left="651" w:right="236"/>
      </w:pPr>
      <w:r>
        <w:rPr/>
        <w:t>The </w:t>
      </w:r>
      <w:r>
        <w:rPr>
          <w:spacing w:val="-3"/>
        </w:rPr>
        <w:t>Hospital-specific capital payment </w:t>
      </w:r>
      <w:r>
        <w:rPr/>
        <w:t>per </w:t>
      </w:r>
      <w:r>
        <w:rPr>
          <w:spacing w:val="-3"/>
        </w:rPr>
        <w:t>discharge </w:t>
      </w:r>
      <w:r>
        <w:rPr/>
        <w:t>was </w:t>
      </w:r>
      <w:r>
        <w:rPr>
          <w:spacing w:val="-3"/>
        </w:rPr>
        <w:t>determined </w:t>
      </w:r>
      <w:r>
        <w:rPr/>
        <w:t>by </w:t>
      </w:r>
      <w:r>
        <w:rPr>
          <w:spacing w:val="-3"/>
        </w:rPr>
        <w:t>multiplying the statewide weighted average capital cost </w:t>
      </w:r>
      <w:r>
        <w:rPr/>
        <w:t>per </w:t>
      </w:r>
      <w:r>
        <w:rPr>
          <w:spacing w:val="-3"/>
        </w:rPr>
        <w:t>discharge </w:t>
      </w:r>
      <w:r>
        <w:rPr/>
        <w:t>by the </w:t>
      </w:r>
      <w:r>
        <w:rPr>
          <w:spacing w:val="-3"/>
        </w:rPr>
        <w:t>Hospital’s RY14 Casemix Index </w:t>
      </w:r>
      <w:r>
        <w:rPr/>
        <w:t>as </w:t>
      </w:r>
      <w:r>
        <w:rPr>
          <w:spacing w:val="-3"/>
        </w:rPr>
        <w:t>determined </w:t>
      </w:r>
      <w:r>
        <w:rPr/>
        <w:t>in </w:t>
      </w:r>
      <w:r>
        <w:rPr>
          <w:b/>
          <w:spacing w:val="-3"/>
        </w:rPr>
        <w:t>Section 5.B.2 </w:t>
      </w:r>
      <w:r>
        <w:rPr>
          <w:spacing w:val="-3"/>
        </w:rPr>
        <w:t>above.</w:t>
      </w:r>
    </w:p>
    <w:p>
      <w:pPr>
        <w:pStyle w:val="BodyText"/>
        <w:spacing w:before="4"/>
      </w:pPr>
    </w:p>
    <w:p>
      <w:pPr>
        <w:pStyle w:val="Heading3"/>
        <w:numPr>
          <w:ilvl w:val="1"/>
          <w:numId w:val="8"/>
        </w:numPr>
        <w:tabs>
          <w:tab w:pos="666" w:val="left" w:leader="none"/>
          <w:tab w:pos="667" w:val="left" w:leader="none"/>
        </w:tabs>
        <w:spacing w:line="240" w:lineRule="auto" w:before="1" w:after="0"/>
        <w:ind w:left="666" w:right="0" w:hanging="547"/>
        <w:jc w:val="left"/>
      </w:pPr>
      <w:r>
        <w:rPr>
          <w:spacing w:val="-3"/>
        </w:rPr>
        <w:t>[Reserved]</w:t>
      </w:r>
    </w:p>
    <w:p>
      <w:pPr>
        <w:pStyle w:val="BodyText"/>
        <w:rPr>
          <w:b/>
          <w:sz w:val="26"/>
        </w:rPr>
      </w:pPr>
    </w:p>
    <w:p>
      <w:pPr>
        <w:pStyle w:val="ListParagraph"/>
        <w:numPr>
          <w:ilvl w:val="1"/>
          <w:numId w:val="8"/>
        </w:numPr>
        <w:tabs>
          <w:tab w:pos="666" w:val="left" w:leader="none"/>
          <w:tab w:pos="667" w:val="left" w:leader="none"/>
        </w:tabs>
        <w:spacing w:line="240" w:lineRule="auto" w:before="225" w:after="0"/>
        <w:ind w:left="666" w:right="0" w:hanging="547"/>
        <w:jc w:val="left"/>
        <w:rPr>
          <w:b/>
          <w:sz w:val="24"/>
        </w:rPr>
      </w:pPr>
      <w:r>
        <w:rPr>
          <w:b/>
          <w:spacing w:val="-3"/>
          <w:sz w:val="24"/>
        </w:rPr>
        <w:t>Maternity </w:t>
      </w:r>
      <w:r>
        <w:rPr>
          <w:b/>
          <w:sz w:val="24"/>
        </w:rPr>
        <w:t>and </w:t>
      </w:r>
      <w:r>
        <w:rPr>
          <w:b/>
          <w:spacing w:val="-3"/>
          <w:sz w:val="24"/>
        </w:rPr>
        <w:t>Newborn</w:t>
      </w:r>
      <w:r>
        <w:rPr>
          <w:b/>
          <w:spacing w:val="-15"/>
          <w:sz w:val="24"/>
        </w:rPr>
        <w:t> </w:t>
      </w:r>
      <w:r>
        <w:rPr>
          <w:b/>
          <w:spacing w:val="-3"/>
          <w:sz w:val="24"/>
        </w:rPr>
        <w:t>Rates</w:t>
      </w:r>
    </w:p>
    <w:p>
      <w:pPr>
        <w:pStyle w:val="BodyText"/>
        <w:spacing w:before="5"/>
        <w:rPr>
          <w:b/>
        </w:rPr>
      </w:pPr>
    </w:p>
    <w:p>
      <w:pPr>
        <w:pStyle w:val="BodyText"/>
        <w:spacing w:line="242" w:lineRule="auto"/>
        <w:ind w:left="651" w:right="154"/>
      </w:pPr>
      <w:r>
        <w:rPr>
          <w:spacing w:val="-3"/>
        </w:rPr>
        <w:t>Maternity cases </w:t>
      </w:r>
      <w:r>
        <w:rPr/>
        <w:t>in </w:t>
      </w:r>
      <w:r>
        <w:rPr>
          <w:spacing w:val="-3"/>
        </w:rPr>
        <w:t>which delivery occurs will </w:t>
      </w:r>
      <w:r>
        <w:rPr/>
        <w:t>be </w:t>
      </w:r>
      <w:r>
        <w:rPr>
          <w:spacing w:val="-3"/>
        </w:rPr>
        <w:t>paid </w:t>
      </w:r>
      <w:r>
        <w:rPr/>
        <w:t>on a </w:t>
      </w:r>
      <w:r>
        <w:rPr>
          <w:spacing w:val="-3"/>
        </w:rPr>
        <w:t>SPAD basis with </w:t>
      </w:r>
      <w:r>
        <w:rPr/>
        <w:t>one </w:t>
      </w:r>
      <w:r>
        <w:rPr>
          <w:spacing w:val="-3"/>
        </w:rPr>
        <w:t>SPAD paid </w:t>
      </w:r>
      <w:r>
        <w:rPr/>
        <w:t>for the </w:t>
      </w:r>
      <w:r>
        <w:rPr>
          <w:spacing w:val="-3"/>
        </w:rPr>
        <w:t>mother </w:t>
      </w:r>
      <w:r>
        <w:rPr/>
        <w:t>and one </w:t>
      </w:r>
      <w:r>
        <w:rPr>
          <w:spacing w:val="-3"/>
        </w:rPr>
        <w:t>SPAD paid </w:t>
      </w:r>
      <w:r>
        <w:rPr/>
        <w:t>for </w:t>
      </w:r>
      <w:r>
        <w:rPr>
          <w:spacing w:val="-3"/>
        </w:rPr>
        <w:t>each newborn. Payment </w:t>
      </w:r>
      <w:r>
        <w:rPr/>
        <w:t>for </w:t>
      </w:r>
      <w:r>
        <w:rPr>
          <w:i/>
        </w:rPr>
        <w:t>all </w:t>
      </w:r>
      <w:r>
        <w:rPr>
          <w:spacing w:val="-3"/>
        </w:rPr>
        <w:t>services (except physician services) provided </w:t>
      </w:r>
      <w:r>
        <w:rPr/>
        <w:t>in </w:t>
      </w:r>
      <w:r>
        <w:rPr>
          <w:spacing w:val="-3"/>
        </w:rPr>
        <w:t>connection with such </w:t>
      </w:r>
      <w:r>
        <w:rPr/>
        <w:t>a </w:t>
      </w:r>
      <w:r>
        <w:rPr>
          <w:spacing w:val="-3"/>
        </w:rPr>
        <w:t>maternity stay </w:t>
      </w:r>
      <w:r>
        <w:rPr/>
        <w:t>is </w:t>
      </w:r>
      <w:r>
        <w:rPr>
          <w:spacing w:val="-3"/>
        </w:rPr>
        <w:t>included </w:t>
      </w:r>
      <w:r>
        <w:rPr/>
        <w:t>in the </w:t>
      </w:r>
      <w:r>
        <w:rPr>
          <w:spacing w:val="-3"/>
        </w:rPr>
        <w:t>SPAD </w:t>
      </w:r>
      <w:r>
        <w:rPr>
          <w:spacing w:val="-4"/>
        </w:rPr>
        <w:t>amount.</w:t>
      </w:r>
    </w:p>
    <w:p>
      <w:pPr>
        <w:pStyle w:val="BodyText"/>
        <w:spacing w:before="7"/>
      </w:pPr>
    </w:p>
    <w:p>
      <w:pPr>
        <w:pStyle w:val="Heading3"/>
        <w:numPr>
          <w:ilvl w:val="1"/>
          <w:numId w:val="8"/>
        </w:numPr>
        <w:tabs>
          <w:tab w:pos="659" w:val="left" w:leader="none"/>
          <w:tab w:pos="660" w:val="left" w:leader="none"/>
        </w:tabs>
        <w:spacing w:line="240" w:lineRule="auto" w:before="0" w:after="0"/>
        <w:ind w:left="659" w:right="0" w:hanging="540"/>
        <w:jc w:val="left"/>
      </w:pPr>
      <w:r>
        <w:rPr>
          <w:spacing w:val="-3"/>
        </w:rPr>
        <w:t>Payments </w:t>
      </w:r>
      <w:r>
        <w:rPr/>
        <w:t>for </w:t>
      </w:r>
      <w:r>
        <w:rPr>
          <w:spacing w:val="-3"/>
        </w:rPr>
        <w:t>Psychiatric</w:t>
      </w:r>
      <w:r>
        <w:rPr>
          <w:spacing w:val="-12"/>
        </w:rPr>
        <w:t> </w:t>
      </w:r>
      <w:r>
        <w:rPr>
          <w:spacing w:val="-3"/>
        </w:rPr>
        <w:t>Services</w:t>
      </w:r>
    </w:p>
    <w:p>
      <w:pPr>
        <w:pStyle w:val="BodyText"/>
        <w:spacing w:before="10"/>
        <w:rPr>
          <w:b/>
          <w:sz w:val="25"/>
        </w:rPr>
      </w:pPr>
    </w:p>
    <w:p>
      <w:pPr>
        <w:pStyle w:val="BodyText"/>
        <w:spacing w:line="244" w:lineRule="auto"/>
        <w:ind w:left="652" w:right="186"/>
        <w:rPr>
          <w:b/>
        </w:rPr>
      </w:pPr>
      <w:r>
        <w:rPr>
          <w:spacing w:val="-3"/>
        </w:rPr>
        <w:t>Services provided </w:t>
      </w:r>
      <w:r>
        <w:rPr/>
        <w:t>to </w:t>
      </w:r>
      <w:r>
        <w:rPr>
          <w:spacing w:val="-3"/>
        </w:rPr>
        <w:t>MassHealth Members </w:t>
      </w:r>
      <w:r>
        <w:rPr/>
        <w:t>in </w:t>
      </w:r>
      <w:r>
        <w:rPr>
          <w:spacing w:val="-3"/>
        </w:rPr>
        <w:t>DMH-Licensed Beds </w:t>
      </w:r>
      <w:r>
        <w:rPr/>
        <w:t>who are not </w:t>
      </w:r>
      <w:r>
        <w:rPr>
          <w:spacing w:val="-3"/>
        </w:rPr>
        <w:t>enrolled with </w:t>
      </w:r>
      <w:r>
        <w:rPr/>
        <w:t>the BH </w:t>
      </w:r>
      <w:r>
        <w:rPr>
          <w:spacing w:val="-3"/>
        </w:rPr>
        <w:t>Contractor </w:t>
      </w:r>
      <w:r>
        <w:rPr/>
        <w:t>or an MCO </w:t>
      </w:r>
      <w:r>
        <w:rPr>
          <w:spacing w:val="-3"/>
        </w:rPr>
        <w:t>shall </w:t>
      </w:r>
      <w:r>
        <w:rPr/>
        <w:t>be </w:t>
      </w:r>
      <w:r>
        <w:rPr>
          <w:spacing w:val="-3"/>
        </w:rPr>
        <w:t>paid through </w:t>
      </w:r>
      <w:r>
        <w:rPr/>
        <w:t>an </w:t>
      </w:r>
      <w:r>
        <w:rPr>
          <w:spacing w:val="-3"/>
        </w:rPr>
        <w:t>all-inclusive psychiatric </w:t>
      </w:r>
      <w:r>
        <w:rPr/>
        <w:t>per </w:t>
      </w:r>
      <w:r>
        <w:rPr>
          <w:spacing w:val="-3"/>
        </w:rPr>
        <w:t>diem, as described below. This payment mechanism does </w:t>
      </w:r>
      <w:r>
        <w:rPr/>
        <w:t>not </w:t>
      </w:r>
      <w:r>
        <w:rPr>
          <w:spacing w:val="-3"/>
        </w:rPr>
        <w:t>apply </w:t>
      </w:r>
      <w:r>
        <w:rPr/>
        <w:t>to </w:t>
      </w:r>
      <w:r>
        <w:rPr>
          <w:spacing w:val="-3"/>
        </w:rPr>
        <w:t>cases </w:t>
      </w:r>
      <w:r>
        <w:rPr/>
        <w:t>in </w:t>
      </w:r>
      <w:r>
        <w:rPr>
          <w:spacing w:val="-3"/>
        </w:rPr>
        <w:t>which psychiatric services </w:t>
      </w:r>
      <w:r>
        <w:rPr/>
        <w:t>are </w:t>
      </w:r>
      <w:r>
        <w:rPr>
          <w:spacing w:val="-3"/>
        </w:rPr>
        <w:t>provided </w:t>
      </w:r>
      <w:r>
        <w:rPr/>
        <w:t>to </w:t>
      </w:r>
      <w:r>
        <w:rPr>
          <w:spacing w:val="-3"/>
        </w:rPr>
        <w:t>Members enrolled with </w:t>
      </w:r>
      <w:r>
        <w:rPr/>
        <w:t>the BH </w:t>
      </w:r>
      <w:r>
        <w:rPr>
          <w:spacing w:val="-3"/>
        </w:rPr>
        <w:t>Contractor </w:t>
      </w:r>
      <w:r>
        <w:rPr/>
        <w:t>or an </w:t>
      </w:r>
      <w:r>
        <w:rPr>
          <w:spacing w:val="-3"/>
        </w:rPr>
        <w:t>MCO, except </w:t>
      </w:r>
      <w:r>
        <w:rPr/>
        <w:t>as </w:t>
      </w:r>
      <w:r>
        <w:rPr>
          <w:spacing w:val="-3"/>
        </w:rPr>
        <w:t>set forth </w:t>
      </w:r>
      <w:r>
        <w:rPr/>
        <w:t>in </w:t>
      </w:r>
      <w:r>
        <w:rPr>
          <w:b/>
          <w:spacing w:val="-3"/>
        </w:rPr>
        <w:t>Sections 4.A.1 </w:t>
      </w:r>
      <w:r>
        <w:rPr/>
        <w:t>and </w:t>
      </w:r>
      <w:r>
        <w:rPr>
          <w:b/>
          <w:spacing w:val="-3"/>
        </w:rPr>
        <w:t>4.A.2.</w:t>
      </w:r>
    </w:p>
    <w:p>
      <w:pPr>
        <w:pStyle w:val="BodyText"/>
        <w:spacing w:before="4"/>
        <w:rPr>
          <w:b/>
        </w:rPr>
      </w:pPr>
    </w:p>
    <w:p>
      <w:pPr>
        <w:pStyle w:val="Heading3"/>
        <w:numPr>
          <w:ilvl w:val="2"/>
          <w:numId w:val="8"/>
        </w:numPr>
        <w:tabs>
          <w:tab w:pos="1012" w:val="left" w:leader="none"/>
        </w:tabs>
        <w:spacing w:line="240" w:lineRule="auto" w:before="0" w:after="0"/>
        <w:ind w:left="872" w:right="0" w:hanging="220"/>
        <w:jc w:val="left"/>
      </w:pPr>
      <w:r>
        <w:rPr>
          <w:spacing w:val="-3"/>
        </w:rPr>
        <w:t>Statewide Standard Psychiatric </w:t>
      </w:r>
      <w:r>
        <w:rPr/>
        <w:t>Per</w:t>
      </w:r>
      <w:r>
        <w:rPr>
          <w:spacing w:val="-10"/>
        </w:rPr>
        <w:t> </w:t>
      </w:r>
      <w:r>
        <w:rPr>
          <w:spacing w:val="-3"/>
        </w:rPr>
        <w:t>Diem</w:t>
      </w:r>
    </w:p>
    <w:p>
      <w:pPr>
        <w:pStyle w:val="BodyText"/>
        <w:spacing w:before="4"/>
        <w:rPr>
          <w:b/>
        </w:rPr>
      </w:pPr>
    </w:p>
    <w:p>
      <w:pPr>
        <w:pStyle w:val="BodyText"/>
        <w:spacing w:line="242" w:lineRule="auto"/>
        <w:ind w:left="1012"/>
      </w:pPr>
      <w:r>
        <w:rPr/>
        <w:t>The </w:t>
      </w:r>
      <w:r>
        <w:rPr>
          <w:spacing w:val="-3"/>
        </w:rPr>
        <w:t>Statewide Standard Psychiatric </w:t>
      </w:r>
      <w:r>
        <w:rPr/>
        <w:t>Per </w:t>
      </w:r>
      <w:r>
        <w:rPr>
          <w:spacing w:val="-3"/>
        </w:rPr>
        <w:t>Diem Rate </w:t>
      </w:r>
      <w:r>
        <w:rPr/>
        <w:t>is </w:t>
      </w:r>
      <w:r>
        <w:rPr>
          <w:spacing w:val="-3"/>
        </w:rPr>
        <w:t>derived using </w:t>
      </w:r>
      <w:r>
        <w:rPr/>
        <w:t>the sum of </w:t>
      </w:r>
      <w:r>
        <w:rPr>
          <w:spacing w:val="-3"/>
        </w:rPr>
        <w:t>the following: </w:t>
      </w:r>
      <w:r>
        <w:rPr/>
        <w:t>the </w:t>
      </w:r>
      <w:r>
        <w:rPr>
          <w:spacing w:val="-3"/>
        </w:rPr>
        <w:t>Acute Hospital Psychiatric Standard </w:t>
      </w:r>
      <w:r>
        <w:rPr/>
        <w:t>for </w:t>
      </w:r>
      <w:r>
        <w:rPr>
          <w:spacing w:val="-3"/>
        </w:rPr>
        <w:t>Overhead Costs, </w:t>
      </w:r>
      <w:r>
        <w:rPr/>
        <w:t>the </w:t>
      </w:r>
      <w:r>
        <w:rPr>
          <w:spacing w:val="-3"/>
        </w:rPr>
        <w:t>Acute Hospital Psychiatric Standard </w:t>
      </w:r>
      <w:r>
        <w:rPr/>
        <w:t>for </w:t>
      </w:r>
      <w:r>
        <w:rPr>
          <w:spacing w:val="-3"/>
        </w:rPr>
        <w:t>Direct Routine Costs, </w:t>
      </w:r>
      <w:r>
        <w:rPr/>
        <w:t>the </w:t>
      </w:r>
      <w:r>
        <w:rPr>
          <w:spacing w:val="-3"/>
        </w:rPr>
        <w:t>Acute Hospital Psychiatric Standard for Direct Ancillary Costs, </w:t>
      </w:r>
      <w:r>
        <w:rPr/>
        <w:t>the </w:t>
      </w:r>
      <w:r>
        <w:rPr>
          <w:spacing w:val="-3"/>
        </w:rPr>
        <w:t>Acute Hospital Psychiatric Standard for Capital Costs, plus the Adjustment </w:t>
      </w:r>
      <w:r>
        <w:rPr/>
        <w:t>to </w:t>
      </w:r>
      <w:r>
        <w:rPr>
          <w:spacing w:val="-3"/>
        </w:rPr>
        <w:t>Base Year Costs.</w:t>
      </w:r>
    </w:p>
    <w:p>
      <w:pPr>
        <w:pStyle w:val="BodyText"/>
        <w:spacing w:before="8"/>
      </w:pPr>
    </w:p>
    <w:p>
      <w:pPr>
        <w:pStyle w:val="Heading3"/>
        <w:numPr>
          <w:ilvl w:val="2"/>
          <w:numId w:val="8"/>
        </w:numPr>
        <w:tabs>
          <w:tab w:pos="1012" w:val="left" w:leader="none"/>
        </w:tabs>
        <w:spacing w:line="240" w:lineRule="auto" w:before="0" w:after="0"/>
        <w:ind w:left="872" w:right="0" w:hanging="220"/>
        <w:jc w:val="left"/>
      </w:pPr>
      <w:r>
        <w:rPr>
          <w:spacing w:val="-3"/>
        </w:rPr>
        <w:t>Data</w:t>
      </w:r>
      <w:r>
        <w:rPr>
          <w:spacing w:val="-2"/>
        </w:rPr>
        <w:t> </w:t>
      </w:r>
      <w:r>
        <w:rPr>
          <w:spacing w:val="-3"/>
        </w:rPr>
        <w:t>Sources</w:t>
      </w:r>
    </w:p>
    <w:p>
      <w:pPr>
        <w:pStyle w:val="BodyText"/>
        <w:spacing w:before="5"/>
        <w:rPr>
          <w:b/>
        </w:rPr>
      </w:pPr>
    </w:p>
    <w:p>
      <w:pPr>
        <w:pStyle w:val="BodyText"/>
        <w:spacing w:line="242" w:lineRule="auto" w:before="1"/>
        <w:ind w:left="1012"/>
      </w:pPr>
      <w:r>
        <w:rPr/>
        <w:t>The </w:t>
      </w:r>
      <w:r>
        <w:rPr>
          <w:spacing w:val="-3"/>
        </w:rPr>
        <w:t>Psychiatric </w:t>
      </w:r>
      <w:r>
        <w:rPr/>
        <w:t>Per </w:t>
      </w:r>
      <w:r>
        <w:rPr>
          <w:spacing w:val="-3"/>
        </w:rPr>
        <w:t>Diem Base Year </w:t>
      </w:r>
      <w:r>
        <w:rPr/>
        <w:t>is </w:t>
      </w:r>
      <w:r>
        <w:rPr>
          <w:spacing w:val="-3"/>
        </w:rPr>
        <w:t>FY04. MassHealth utilizes </w:t>
      </w:r>
      <w:r>
        <w:rPr/>
        <w:t>the </w:t>
      </w:r>
      <w:r>
        <w:rPr>
          <w:spacing w:val="-3"/>
        </w:rPr>
        <w:t>costs, statistics, and revenue reported </w:t>
      </w:r>
      <w:r>
        <w:rPr/>
        <w:t>in the </w:t>
      </w:r>
      <w:r>
        <w:rPr>
          <w:spacing w:val="-3"/>
        </w:rPr>
        <w:t>FY04 -403 cost reports, </w:t>
      </w:r>
      <w:r>
        <w:rPr/>
        <w:t>as </w:t>
      </w:r>
      <w:r>
        <w:rPr>
          <w:spacing w:val="-3"/>
        </w:rPr>
        <w:t>screened </w:t>
      </w:r>
      <w:r>
        <w:rPr/>
        <w:t>and </w:t>
      </w:r>
      <w:r>
        <w:rPr>
          <w:spacing w:val="-3"/>
        </w:rPr>
        <w:t>updated </w:t>
      </w:r>
      <w:r>
        <w:rPr/>
        <w:t>as of </w:t>
      </w:r>
      <w:r>
        <w:rPr>
          <w:spacing w:val="-3"/>
        </w:rPr>
        <w:t>March 10, 2006.</w:t>
      </w:r>
    </w:p>
    <w:p>
      <w:pPr>
        <w:pStyle w:val="BodyText"/>
        <w:spacing w:before="8"/>
      </w:pPr>
    </w:p>
    <w:p>
      <w:pPr>
        <w:pStyle w:val="Heading3"/>
        <w:numPr>
          <w:ilvl w:val="2"/>
          <w:numId w:val="8"/>
        </w:numPr>
        <w:tabs>
          <w:tab w:pos="1012" w:val="left" w:leader="none"/>
        </w:tabs>
        <w:spacing w:line="240" w:lineRule="auto" w:before="0" w:after="0"/>
        <w:ind w:left="872" w:right="0" w:hanging="220"/>
        <w:jc w:val="left"/>
      </w:pPr>
      <w:r>
        <w:rPr>
          <w:spacing w:val="-3"/>
        </w:rPr>
        <w:t>Determination </w:t>
      </w:r>
      <w:r>
        <w:rPr/>
        <w:t>of </w:t>
      </w:r>
      <w:r>
        <w:rPr>
          <w:spacing w:val="-3"/>
        </w:rPr>
        <w:t>Base Year Operating</w:t>
      </w:r>
      <w:r>
        <w:rPr>
          <w:spacing w:val="-7"/>
        </w:rPr>
        <w:t> </w:t>
      </w:r>
      <w:r>
        <w:rPr>
          <w:spacing w:val="-3"/>
        </w:rPr>
        <w:t>Standards</w:t>
      </w:r>
    </w:p>
    <w:p>
      <w:pPr>
        <w:pStyle w:val="BodyText"/>
        <w:spacing w:before="8"/>
        <w:rPr>
          <w:b/>
        </w:rPr>
      </w:pPr>
    </w:p>
    <w:p>
      <w:pPr>
        <w:pStyle w:val="ListParagraph"/>
        <w:numPr>
          <w:ilvl w:val="3"/>
          <w:numId w:val="8"/>
        </w:numPr>
        <w:tabs>
          <w:tab w:pos="1372" w:val="left" w:leader="none"/>
        </w:tabs>
        <w:spacing w:line="242" w:lineRule="auto" w:before="0" w:after="0"/>
        <w:ind w:left="1372" w:right="179" w:hanging="360"/>
        <w:jc w:val="left"/>
        <w:rPr>
          <w:sz w:val="24"/>
        </w:rPr>
      </w:pPr>
      <w:r>
        <w:rPr>
          <w:sz w:val="24"/>
        </w:rPr>
        <w:t>The </w:t>
      </w:r>
      <w:r>
        <w:rPr>
          <w:spacing w:val="-3"/>
          <w:sz w:val="24"/>
        </w:rPr>
        <w:t>Standard </w:t>
      </w:r>
      <w:r>
        <w:rPr>
          <w:sz w:val="24"/>
        </w:rPr>
        <w:t>for </w:t>
      </w:r>
      <w:r>
        <w:rPr>
          <w:spacing w:val="-3"/>
          <w:sz w:val="24"/>
        </w:rPr>
        <w:t>Inpatient Psychiatric Overhead Costs </w:t>
      </w:r>
      <w:r>
        <w:rPr>
          <w:sz w:val="24"/>
        </w:rPr>
        <w:t>is the </w:t>
      </w:r>
      <w:r>
        <w:rPr>
          <w:spacing w:val="-3"/>
          <w:sz w:val="24"/>
        </w:rPr>
        <w:t>median </w:t>
      </w:r>
      <w:r>
        <w:rPr>
          <w:sz w:val="24"/>
        </w:rPr>
        <w:t>of the </w:t>
      </w:r>
      <w:r>
        <w:rPr>
          <w:spacing w:val="-3"/>
          <w:sz w:val="24"/>
        </w:rPr>
        <w:t>Inpatient Psychiatric Overhead Costs </w:t>
      </w:r>
      <w:r>
        <w:rPr>
          <w:sz w:val="24"/>
        </w:rPr>
        <w:t>Per Day for the </w:t>
      </w:r>
      <w:r>
        <w:rPr>
          <w:spacing w:val="-3"/>
          <w:sz w:val="24"/>
        </w:rPr>
        <w:t>array </w:t>
      </w:r>
      <w:r>
        <w:rPr>
          <w:sz w:val="24"/>
        </w:rPr>
        <w:t>of </w:t>
      </w:r>
      <w:r>
        <w:rPr>
          <w:spacing w:val="-3"/>
          <w:sz w:val="24"/>
        </w:rPr>
        <w:t>acute hospitals providing </w:t>
      </w:r>
      <w:r>
        <w:rPr>
          <w:spacing w:val="-4"/>
          <w:sz w:val="24"/>
        </w:rPr>
        <w:t>mental </w:t>
      </w:r>
      <w:r>
        <w:rPr>
          <w:spacing w:val="-3"/>
          <w:sz w:val="24"/>
        </w:rPr>
        <w:t>health services </w:t>
      </w:r>
      <w:r>
        <w:rPr>
          <w:sz w:val="24"/>
        </w:rPr>
        <w:t>in </w:t>
      </w:r>
      <w:r>
        <w:rPr>
          <w:spacing w:val="-3"/>
          <w:sz w:val="24"/>
        </w:rPr>
        <w:t>DMH-licensed beds. </w:t>
      </w:r>
      <w:r>
        <w:rPr>
          <w:sz w:val="24"/>
        </w:rPr>
        <w:t>The </w:t>
      </w:r>
      <w:r>
        <w:rPr>
          <w:spacing w:val="-3"/>
          <w:sz w:val="24"/>
        </w:rPr>
        <w:t>median </w:t>
      </w:r>
      <w:r>
        <w:rPr>
          <w:sz w:val="24"/>
        </w:rPr>
        <w:t>is </w:t>
      </w:r>
      <w:r>
        <w:rPr>
          <w:spacing w:val="-3"/>
          <w:sz w:val="24"/>
        </w:rPr>
        <w:t>determined based upon inpatient psychiatric</w:t>
      </w:r>
      <w:r>
        <w:rPr>
          <w:spacing w:val="-2"/>
          <w:sz w:val="24"/>
        </w:rPr>
        <w:t> </w:t>
      </w:r>
      <w:r>
        <w:rPr>
          <w:spacing w:val="-3"/>
          <w:sz w:val="24"/>
        </w:rPr>
        <w:t>days.</w:t>
      </w:r>
    </w:p>
    <w:p>
      <w:pPr>
        <w:pStyle w:val="BodyText"/>
        <w:spacing w:before="8"/>
      </w:pPr>
    </w:p>
    <w:p>
      <w:pPr>
        <w:pStyle w:val="ListParagraph"/>
        <w:numPr>
          <w:ilvl w:val="3"/>
          <w:numId w:val="8"/>
        </w:numPr>
        <w:tabs>
          <w:tab w:pos="1372" w:val="left" w:leader="none"/>
        </w:tabs>
        <w:spacing w:line="242" w:lineRule="auto" w:before="0" w:after="0"/>
        <w:ind w:left="1372" w:right="544" w:hanging="360"/>
        <w:jc w:val="left"/>
        <w:rPr>
          <w:sz w:val="24"/>
        </w:rPr>
      </w:pPr>
      <w:r>
        <w:rPr>
          <w:sz w:val="24"/>
        </w:rPr>
        <w:t>The </w:t>
      </w:r>
      <w:r>
        <w:rPr>
          <w:spacing w:val="-3"/>
          <w:sz w:val="24"/>
        </w:rPr>
        <w:t>Standard </w:t>
      </w:r>
      <w:r>
        <w:rPr>
          <w:sz w:val="24"/>
        </w:rPr>
        <w:t>for </w:t>
      </w:r>
      <w:r>
        <w:rPr>
          <w:spacing w:val="-3"/>
          <w:sz w:val="24"/>
        </w:rPr>
        <w:t>Inpatient Psychiatric Direct Routine Costs </w:t>
      </w:r>
      <w:r>
        <w:rPr>
          <w:sz w:val="24"/>
        </w:rPr>
        <w:t>is the </w:t>
      </w:r>
      <w:r>
        <w:rPr>
          <w:spacing w:val="-3"/>
          <w:sz w:val="24"/>
        </w:rPr>
        <w:t>median </w:t>
      </w:r>
      <w:r>
        <w:rPr>
          <w:sz w:val="24"/>
        </w:rPr>
        <w:t>of </w:t>
      </w:r>
      <w:r>
        <w:rPr>
          <w:spacing w:val="-3"/>
          <w:sz w:val="24"/>
        </w:rPr>
        <w:t>the Inpatient Psychiatric Direct Routine Costs </w:t>
      </w:r>
      <w:r>
        <w:rPr>
          <w:sz w:val="24"/>
        </w:rPr>
        <w:t>Per Day </w:t>
      </w:r>
      <w:r>
        <w:rPr>
          <w:spacing w:val="-3"/>
          <w:sz w:val="24"/>
        </w:rPr>
        <w:t>(minus direct routine</w:t>
      </w:r>
      <w:r>
        <w:rPr>
          <w:spacing w:val="-19"/>
          <w:sz w:val="24"/>
        </w:rPr>
        <w:t> </w:t>
      </w:r>
      <w:r>
        <w:rPr>
          <w:spacing w:val="-3"/>
          <w:sz w:val="24"/>
        </w:rPr>
        <w:t>physician</w:t>
      </w:r>
    </w:p>
    <w:p>
      <w:pPr>
        <w:spacing w:after="0" w:line="242" w:lineRule="auto"/>
        <w:jc w:val="left"/>
        <w:rPr>
          <w:sz w:val="24"/>
        </w:rPr>
        <w:sectPr>
          <w:pgSz w:w="12240" w:h="15840"/>
          <w:pgMar w:header="0" w:footer="744" w:top="1380" w:bottom="940" w:left="1580" w:right="980"/>
        </w:sectPr>
      </w:pPr>
    </w:p>
    <w:p>
      <w:pPr>
        <w:pStyle w:val="BodyText"/>
        <w:spacing w:line="242" w:lineRule="auto" w:before="61"/>
        <w:ind w:left="1231" w:right="808"/>
      </w:pPr>
      <w:r>
        <w:rPr>
          <w:spacing w:val="-3"/>
        </w:rPr>
        <w:t>costs) </w:t>
      </w:r>
      <w:r>
        <w:rPr/>
        <w:t>for the </w:t>
      </w:r>
      <w:r>
        <w:rPr>
          <w:spacing w:val="-3"/>
        </w:rPr>
        <w:t>array </w:t>
      </w:r>
      <w:r>
        <w:rPr/>
        <w:t>of </w:t>
      </w:r>
      <w:r>
        <w:rPr>
          <w:spacing w:val="-3"/>
        </w:rPr>
        <w:t>acute hospitals providing mental health services </w:t>
      </w:r>
      <w:r>
        <w:rPr/>
        <w:t>in </w:t>
      </w:r>
      <w:r>
        <w:rPr>
          <w:spacing w:val="-3"/>
        </w:rPr>
        <w:t>DMH- licensed beds. </w:t>
      </w:r>
      <w:r>
        <w:rPr/>
        <w:t>The </w:t>
      </w:r>
      <w:r>
        <w:rPr>
          <w:spacing w:val="-3"/>
        </w:rPr>
        <w:t>median </w:t>
      </w:r>
      <w:r>
        <w:rPr/>
        <w:t>is </w:t>
      </w:r>
      <w:r>
        <w:rPr>
          <w:spacing w:val="-3"/>
        </w:rPr>
        <w:t>determined based upon inpatient psychiatric days.</w:t>
      </w:r>
    </w:p>
    <w:p>
      <w:pPr>
        <w:pStyle w:val="BodyText"/>
        <w:spacing w:before="7"/>
      </w:pPr>
    </w:p>
    <w:p>
      <w:pPr>
        <w:pStyle w:val="ListParagraph"/>
        <w:numPr>
          <w:ilvl w:val="3"/>
          <w:numId w:val="8"/>
        </w:numPr>
        <w:tabs>
          <w:tab w:pos="1232" w:val="left" w:leader="none"/>
        </w:tabs>
        <w:spacing w:line="242" w:lineRule="auto" w:before="0" w:after="0"/>
        <w:ind w:left="1232" w:right="472" w:hanging="360"/>
        <w:jc w:val="left"/>
        <w:rPr>
          <w:sz w:val="24"/>
        </w:rPr>
      </w:pPr>
      <w:r>
        <w:rPr>
          <w:sz w:val="24"/>
        </w:rPr>
        <w:t>The </w:t>
      </w:r>
      <w:r>
        <w:rPr>
          <w:spacing w:val="-3"/>
          <w:sz w:val="24"/>
        </w:rPr>
        <w:t>Standard for Inpatient Psychiatric Direct Ancillary Costs </w:t>
      </w:r>
      <w:r>
        <w:rPr>
          <w:sz w:val="24"/>
        </w:rPr>
        <w:t>is the </w:t>
      </w:r>
      <w:r>
        <w:rPr>
          <w:spacing w:val="-3"/>
          <w:sz w:val="24"/>
        </w:rPr>
        <w:t>median </w:t>
      </w:r>
      <w:r>
        <w:rPr>
          <w:sz w:val="24"/>
        </w:rPr>
        <w:t>of </w:t>
      </w:r>
      <w:r>
        <w:rPr>
          <w:spacing w:val="-3"/>
          <w:sz w:val="24"/>
        </w:rPr>
        <w:t>the Inpatient Psychiatric Direct Ancillary Costs </w:t>
      </w:r>
      <w:r>
        <w:rPr>
          <w:sz w:val="24"/>
        </w:rPr>
        <w:t>Per Day </w:t>
      </w:r>
      <w:r>
        <w:rPr>
          <w:spacing w:val="-3"/>
          <w:sz w:val="24"/>
        </w:rPr>
        <w:t>for </w:t>
      </w:r>
      <w:r>
        <w:rPr>
          <w:sz w:val="24"/>
        </w:rPr>
        <w:t>the </w:t>
      </w:r>
      <w:r>
        <w:rPr>
          <w:spacing w:val="-3"/>
          <w:sz w:val="24"/>
        </w:rPr>
        <w:t>array </w:t>
      </w:r>
      <w:r>
        <w:rPr>
          <w:sz w:val="24"/>
        </w:rPr>
        <w:t>of </w:t>
      </w:r>
      <w:r>
        <w:rPr>
          <w:spacing w:val="-3"/>
          <w:sz w:val="24"/>
        </w:rPr>
        <w:t>acute hospitals providing mental health services </w:t>
      </w:r>
      <w:r>
        <w:rPr>
          <w:sz w:val="24"/>
        </w:rPr>
        <w:t>in </w:t>
      </w:r>
      <w:r>
        <w:rPr>
          <w:spacing w:val="-3"/>
          <w:sz w:val="24"/>
        </w:rPr>
        <w:t>DMH-licensed beds. </w:t>
      </w:r>
      <w:r>
        <w:rPr>
          <w:sz w:val="24"/>
        </w:rPr>
        <w:t>The </w:t>
      </w:r>
      <w:r>
        <w:rPr>
          <w:spacing w:val="-3"/>
          <w:sz w:val="24"/>
        </w:rPr>
        <w:t>median </w:t>
      </w:r>
      <w:r>
        <w:rPr>
          <w:sz w:val="24"/>
        </w:rPr>
        <w:t>is </w:t>
      </w:r>
      <w:r>
        <w:rPr>
          <w:spacing w:val="-4"/>
          <w:sz w:val="24"/>
        </w:rPr>
        <w:t>determined </w:t>
      </w:r>
      <w:r>
        <w:rPr>
          <w:spacing w:val="-3"/>
          <w:sz w:val="24"/>
        </w:rPr>
        <w:t>based upon inpatient psychiatric</w:t>
      </w:r>
      <w:r>
        <w:rPr>
          <w:spacing w:val="0"/>
          <w:sz w:val="24"/>
        </w:rPr>
        <w:t> </w:t>
      </w:r>
      <w:r>
        <w:rPr>
          <w:spacing w:val="-3"/>
          <w:sz w:val="24"/>
        </w:rPr>
        <w:t>days.</w:t>
      </w:r>
    </w:p>
    <w:p>
      <w:pPr>
        <w:pStyle w:val="BodyText"/>
        <w:spacing w:before="7"/>
      </w:pPr>
    </w:p>
    <w:p>
      <w:pPr>
        <w:pStyle w:val="Heading3"/>
        <w:numPr>
          <w:ilvl w:val="2"/>
          <w:numId w:val="8"/>
        </w:numPr>
        <w:tabs>
          <w:tab w:pos="872" w:val="left" w:leader="none"/>
        </w:tabs>
        <w:spacing w:line="240" w:lineRule="auto" w:before="0" w:after="0"/>
        <w:ind w:left="872" w:right="0" w:hanging="360"/>
        <w:jc w:val="left"/>
      </w:pPr>
      <w:r>
        <w:rPr/>
        <w:t>Determination of Base Year Capital</w:t>
      </w:r>
      <w:r>
        <w:rPr>
          <w:spacing w:val="-1"/>
        </w:rPr>
        <w:t> </w:t>
      </w:r>
      <w:r>
        <w:rPr/>
        <w:t>Standard</w:t>
      </w:r>
    </w:p>
    <w:p>
      <w:pPr>
        <w:pStyle w:val="BodyText"/>
        <w:spacing w:before="7"/>
        <w:rPr>
          <w:b/>
        </w:rPr>
      </w:pPr>
    </w:p>
    <w:p>
      <w:pPr>
        <w:pStyle w:val="ListParagraph"/>
        <w:numPr>
          <w:ilvl w:val="3"/>
          <w:numId w:val="8"/>
        </w:numPr>
        <w:tabs>
          <w:tab w:pos="1232" w:val="left" w:leader="none"/>
        </w:tabs>
        <w:spacing w:line="242" w:lineRule="auto" w:before="1" w:after="0"/>
        <w:ind w:left="1232" w:right="135" w:hanging="360"/>
        <w:jc w:val="left"/>
        <w:rPr>
          <w:sz w:val="24"/>
        </w:rPr>
      </w:pPr>
      <w:r>
        <w:rPr>
          <w:sz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pPr>
        <w:pStyle w:val="BodyText"/>
        <w:spacing w:before="8"/>
      </w:pPr>
    </w:p>
    <w:p>
      <w:pPr>
        <w:pStyle w:val="ListParagraph"/>
        <w:numPr>
          <w:ilvl w:val="3"/>
          <w:numId w:val="8"/>
        </w:numPr>
        <w:tabs>
          <w:tab w:pos="1232" w:val="left" w:leader="none"/>
        </w:tabs>
        <w:spacing w:line="242" w:lineRule="auto" w:before="0" w:after="0"/>
        <w:ind w:left="1232" w:right="493" w:hanging="360"/>
        <w:jc w:val="left"/>
        <w:rPr>
          <w:sz w:val="24"/>
        </w:rPr>
      </w:pPr>
      <w:r>
        <w:rPr>
          <w:sz w:val="24"/>
        </w:rPr>
        <w:t>Each hospital’s base year Psychiatric Capital Cost Per Day equals the base year psychiatric capital cost divided by the greater of: the actual base year psychiatric days or eighty-five percent (85%) of the base year maximum licensed psychiatric bed capacity, measured in</w:t>
      </w:r>
      <w:r>
        <w:rPr>
          <w:spacing w:val="-2"/>
          <w:sz w:val="24"/>
        </w:rPr>
        <w:t> </w:t>
      </w:r>
      <w:r>
        <w:rPr>
          <w:sz w:val="24"/>
        </w:rPr>
        <w:t>days.</w:t>
      </w:r>
    </w:p>
    <w:p>
      <w:pPr>
        <w:pStyle w:val="BodyText"/>
        <w:spacing w:before="7"/>
      </w:pPr>
    </w:p>
    <w:p>
      <w:pPr>
        <w:pStyle w:val="ListParagraph"/>
        <w:numPr>
          <w:ilvl w:val="3"/>
          <w:numId w:val="8"/>
        </w:numPr>
        <w:tabs>
          <w:tab w:pos="1232" w:val="left" w:leader="none"/>
        </w:tabs>
        <w:spacing w:line="242" w:lineRule="auto" w:before="1" w:after="0"/>
        <w:ind w:left="1232" w:right="349" w:hanging="360"/>
        <w:jc w:val="left"/>
        <w:rPr>
          <w:sz w:val="24"/>
        </w:rPr>
      </w:pPr>
      <w:r>
        <w:rPr>
          <w:sz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pPr>
        <w:pStyle w:val="BodyText"/>
        <w:spacing w:before="8"/>
      </w:pPr>
    </w:p>
    <w:p>
      <w:pPr>
        <w:pStyle w:val="ListParagraph"/>
        <w:numPr>
          <w:ilvl w:val="2"/>
          <w:numId w:val="8"/>
        </w:numPr>
        <w:tabs>
          <w:tab w:pos="872" w:val="left" w:leader="none"/>
        </w:tabs>
        <w:spacing w:line="242" w:lineRule="auto" w:before="0" w:after="0"/>
        <w:ind w:left="872" w:right="415" w:hanging="360"/>
        <w:jc w:val="left"/>
        <w:rPr>
          <w:sz w:val="24"/>
        </w:rPr>
      </w:pPr>
      <w:r>
        <w:rPr>
          <w:b/>
          <w:sz w:val="24"/>
        </w:rPr>
        <w:t>Adjustment to Base Year Costs: </w:t>
      </w:r>
      <w:r>
        <w:rPr>
          <w:sz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w:t>
      </w:r>
      <w:r>
        <w:rPr>
          <w:spacing w:val="-3"/>
          <w:sz w:val="24"/>
        </w:rPr>
        <w:t> </w:t>
      </w:r>
      <w:r>
        <w:rPr>
          <w:sz w:val="24"/>
        </w:rPr>
        <w:t>RY07.</w:t>
      </w:r>
    </w:p>
    <w:p>
      <w:pPr>
        <w:pStyle w:val="BodyText"/>
        <w:spacing w:before="4"/>
      </w:pPr>
    </w:p>
    <w:p>
      <w:pPr>
        <w:pStyle w:val="BodyText"/>
        <w:spacing w:line="242" w:lineRule="auto"/>
        <w:ind w:left="872" w:right="236"/>
      </w:pPr>
      <w:r>
        <w:rPr/>
        <w:t>The Inflation Factors for Operating Costs between RY08 and RY10 and between RY12 and RY14 were applied to the rate calculated above to determine the RY14 Statewide Standard Psychiatric Per Diem rate.</w:t>
      </w:r>
    </w:p>
    <w:p>
      <w:pPr>
        <w:pStyle w:val="BodyText"/>
        <w:spacing w:before="4"/>
      </w:pPr>
    </w:p>
    <w:p>
      <w:pPr>
        <w:pStyle w:val="BodyText"/>
        <w:spacing w:line="244" w:lineRule="auto"/>
        <w:ind w:left="512" w:right="112"/>
      </w:pPr>
      <w:r>
        <w:rPr>
          <w:spacing w:val="-3"/>
        </w:rPr>
        <w:t>Payment </w:t>
      </w:r>
      <w:r>
        <w:rPr/>
        <w:t>for </w:t>
      </w:r>
      <w:r>
        <w:rPr>
          <w:spacing w:val="-3"/>
        </w:rPr>
        <w:t>psychiatric services provided </w:t>
      </w:r>
      <w:r>
        <w:rPr/>
        <w:t>in beds </w:t>
      </w:r>
      <w:r>
        <w:rPr>
          <w:spacing w:val="-3"/>
        </w:rPr>
        <w:t>that </w:t>
      </w:r>
      <w:r>
        <w:rPr/>
        <w:t>are not </w:t>
      </w:r>
      <w:r>
        <w:rPr>
          <w:spacing w:val="-3"/>
        </w:rPr>
        <w:t>DMH-Licensed Beds shall be made </w:t>
      </w:r>
      <w:r>
        <w:rPr/>
        <w:t>at the </w:t>
      </w:r>
      <w:r>
        <w:rPr>
          <w:spacing w:val="-3"/>
        </w:rPr>
        <w:t>Transfer </w:t>
      </w:r>
      <w:r>
        <w:rPr/>
        <w:t>per </w:t>
      </w:r>
      <w:r>
        <w:rPr>
          <w:spacing w:val="-3"/>
        </w:rPr>
        <w:t>diem rate, capped </w:t>
      </w:r>
      <w:r>
        <w:rPr/>
        <w:t>at the </w:t>
      </w:r>
      <w:r>
        <w:rPr>
          <w:spacing w:val="-3"/>
        </w:rPr>
        <w:t>Hospital’s SPAD. </w:t>
      </w:r>
      <w:r>
        <w:rPr/>
        <w:t>See </w:t>
      </w:r>
      <w:r>
        <w:rPr>
          <w:b/>
          <w:spacing w:val="-3"/>
        </w:rPr>
        <w:t>Sections 5.B.8.b(4) </w:t>
      </w:r>
      <w:r>
        <w:rPr/>
        <w:t>and </w:t>
      </w:r>
      <w:r>
        <w:rPr>
          <w:b/>
          <w:spacing w:val="-3"/>
        </w:rPr>
        <w:t>5.B.8.b(5) </w:t>
      </w:r>
      <w:r>
        <w:rPr/>
        <w:t>for </w:t>
      </w:r>
      <w:r>
        <w:rPr>
          <w:spacing w:val="-3"/>
        </w:rPr>
        <w:t>payment rules involving transfers </w:t>
      </w:r>
      <w:r>
        <w:rPr/>
        <w:t>to and </w:t>
      </w:r>
      <w:r>
        <w:rPr>
          <w:spacing w:val="-3"/>
        </w:rPr>
        <w:t>from DMH-Licensed Beds </w:t>
      </w:r>
      <w:r>
        <w:rPr/>
        <w:t>and </w:t>
      </w:r>
      <w:r>
        <w:rPr>
          <w:spacing w:val="-3"/>
        </w:rPr>
        <w:t>BH managed care status.</w:t>
      </w:r>
    </w:p>
    <w:p>
      <w:pPr>
        <w:spacing w:after="0" w:line="244" w:lineRule="auto"/>
        <w:sectPr>
          <w:pgSz w:w="12240" w:h="15840"/>
          <w:pgMar w:header="0" w:footer="744" w:top="1380" w:bottom="940" w:left="1720" w:right="980"/>
        </w:sectPr>
      </w:pPr>
    </w:p>
    <w:p>
      <w:pPr>
        <w:pStyle w:val="Heading3"/>
        <w:numPr>
          <w:ilvl w:val="1"/>
          <w:numId w:val="8"/>
        </w:numPr>
        <w:tabs>
          <w:tab w:pos="652" w:val="left" w:leader="none"/>
          <w:tab w:pos="653" w:val="left" w:leader="none"/>
        </w:tabs>
        <w:spacing w:line="240" w:lineRule="auto" w:before="65" w:after="0"/>
        <w:ind w:left="652" w:right="0" w:hanging="533"/>
        <w:jc w:val="left"/>
      </w:pPr>
      <w:r>
        <w:rPr>
          <w:spacing w:val="-3"/>
        </w:rPr>
        <w:t>Transfer </w:t>
      </w:r>
      <w:r>
        <w:rPr/>
        <w:t>Per </w:t>
      </w:r>
      <w:r>
        <w:rPr>
          <w:spacing w:val="-3"/>
        </w:rPr>
        <w:t>Diem</w:t>
      </w:r>
      <w:r>
        <w:rPr>
          <w:spacing w:val="-12"/>
        </w:rPr>
        <w:t> </w:t>
      </w:r>
      <w:r>
        <w:rPr>
          <w:spacing w:val="-3"/>
        </w:rPr>
        <w:t>Payments</w:t>
      </w:r>
    </w:p>
    <w:p>
      <w:pPr>
        <w:pStyle w:val="BodyText"/>
        <w:spacing w:before="9"/>
        <w:rPr>
          <w:b/>
        </w:rPr>
      </w:pPr>
    </w:p>
    <w:p>
      <w:pPr>
        <w:pStyle w:val="ListParagraph"/>
        <w:numPr>
          <w:ilvl w:val="2"/>
          <w:numId w:val="8"/>
        </w:numPr>
        <w:tabs>
          <w:tab w:pos="1192" w:val="left" w:leader="none"/>
          <w:tab w:pos="1193" w:val="left" w:leader="none"/>
        </w:tabs>
        <w:spacing w:line="240" w:lineRule="auto" w:before="0" w:after="0"/>
        <w:ind w:left="1192" w:right="0" w:hanging="526"/>
        <w:jc w:val="left"/>
        <w:rPr>
          <w:b/>
          <w:sz w:val="24"/>
        </w:rPr>
      </w:pPr>
      <w:r>
        <w:rPr>
          <w:b/>
          <w:spacing w:val="-3"/>
          <w:sz w:val="24"/>
        </w:rPr>
        <w:t>Transfer Between Hospitals</w:t>
      </w:r>
    </w:p>
    <w:p>
      <w:pPr>
        <w:pStyle w:val="BodyText"/>
        <w:spacing w:before="5"/>
        <w:rPr>
          <w:b/>
        </w:rPr>
      </w:pPr>
    </w:p>
    <w:p>
      <w:pPr>
        <w:pStyle w:val="BodyText"/>
        <w:spacing w:line="242" w:lineRule="auto"/>
        <w:ind w:left="1191"/>
      </w:pPr>
      <w:r>
        <w:rPr/>
        <w:t>In </w:t>
      </w:r>
      <w:r>
        <w:rPr>
          <w:spacing w:val="-3"/>
        </w:rPr>
        <w:t>general, payments for patients transferred from </w:t>
      </w:r>
      <w:r>
        <w:rPr/>
        <w:t>one </w:t>
      </w:r>
      <w:r>
        <w:rPr>
          <w:spacing w:val="-3"/>
        </w:rPr>
        <w:t>Acute Hospital </w:t>
      </w:r>
      <w:r>
        <w:rPr/>
        <w:t>to </w:t>
      </w:r>
      <w:r>
        <w:rPr>
          <w:spacing w:val="-3"/>
        </w:rPr>
        <w:t>another will be made </w:t>
      </w:r>
      <w:r>
        <w:rPr/>
        <w:t>on a </w:t>
      </w:r>
      <w:r>
        <w:rPr>
          <w:spacing w:val="-3"/>
        </w:rPr>
        <w:t>transfer </w:t>
      </w:r>
      <w:r>
        <w:rPr/>
        <w:t>per </w:t>
      </w:r>
      <w:r>
        <w:rPr>
          <w:spacing w:val="-3"/>
        </w:rPr>
        <w:t>diem basis, capped </w:t>
      </w:r>
      <w:r>
        <w:rPr/>
        <w:t>at the </w:t>
      </w:r>
      <w:r>
        <w:rPr>
          <w:spacing w:val="-3"/>
        </w:rPr>
        <w:t>Hospital-specific SPAD </w:t>
      </w:r>
      <w:r>
        <w:rPr/>
        <w:t>for the </w:t>
      </w:r>
      <w:r>
        <w:rPr>
          <w:spacing w:val="-3"/>
        </w:rPr>
        <w:t>Hospital that </w:t>
      </w:r>
      <w:r>
        <w:rPr/>
        <w:t>is </w:t>
      </w:r>
      <w:r>
        <w:rPr>
          <w:spacing w:val="-3"/>
        </w:rPr>
        <w:t>transferring </w:t>
      </w:r>
      <w:r>
        <w:rPr/>
        <w:t>the </w:t>
      </w:r>
      <w:r>
        <w:rPr>
          <w:spacing w:val="-3"/>
        </w:rPr>
        <w:t>patient.</w:t>
      </w:r>
    </w:p>
    <w:p>
      <w:pPr>
        <w:pStyle w:val="BodyText"/>
        <w:spacing w:before="4"/>
      </w:pPr>
    </w:p>
    <w:p>
      <w:pPr>
        <w:pStyle w:val="BodyText"/>
        <w:spacing w:line="244" w:lineRule="auto"/>
        <w:ind w:left="1191" w:right="106"/>
      </w:pPr>
      <w:r>
        <w:rPr/>
        <w:t>In </w:t>
      </w:r>
      <w:r>
        <w:rPr>
          <w:spacing w:val="-3"/>
        </w:rPr>
        <w:t>general, </w:t>
      </w:r>
      <w:r>
        <w:rPr/>
        <w:t>the </w:t>
      </w:r>
      <w:r>
        <w:rPr>
          <w:spacing w:val="-3"/>
        </w:rPr>
        <w:t>Hospital that </w:t>
      </w:r>
      <w:r>
        <w:rPr/>
        <w:t>is </w:t>
      </w:r>
      <w:r>
        <w:rPr>
          <w:spacing w:val="-3"/>
        </w:rPr>
        <w:t>receiving </w:t>
      </w:r>
      <w:r>
        <w:rPr/>
        <w:t>the </w:t>
      </w:r>
      <w:r>
        <w:rPr>
          <w:spacing w:val="-3"/>
        </w:rPr>
        <w:t>patient will </w:t>
      </w:r>
      <w:r>
        <w:rPr/>
        <w:t>be </w:t>
      </w:r>
      <w:r>
        <w:rPr>
          <w:spacing w:val="-3"/>
        </w:rPr>
        <w:t>paid </w:t>
      </w:r>
      <w:r>
        <w:rPr/>
        <w:t>on a </w:t>
      </w:r>
      <w:r>
        <w:rPr>
          <w:spacing w:val="-3"/>
        </w:rPr>
        <w:t>per-discharge basis </w:t>
      </w:r>
      <w:r>
        <w:rPr/>
        <w:t>in </w:t>
      </w:r>
      <w:r>
        <w:rPr>
          <w:spacing w:val="-3"/>
        </w:rPr>
        <w:t>accordance with </w:t>
      </w:r>
      <w:r>
        <w:rPr/>
        <w:t>the </w:t>
      </w:r>
      <w:r>
        <w:rPr>
          <w:spacing w:val="-3"/>
        </w:rPr>
        <w:t>standard RY14 SPAD methodology specified </w:t>
      </w:r>
      <w:r>
        <w:rPr/>
        <w:t>in </w:t>
      </w:r>
      <w:r>
        <w:rPr>
          <w:b/>
          <w:spacing w:val="-3"/>
        </w:rPr>
        <w:t>Sections 5.B.2 </w:t>
      </w:r>
      <w:r>
        <w:rPr>
          <w:spacing w:val="-3"/>
        </w:rPr>
        <w:t>through </w:t>
      </w:r>
      <w:r>
        <w:rPr>
          <w:b/>
          <w:spacing w:val="-3"/>
        </w:rPr>
        <w:t>5.B.4</w:t>
      </w:r>
      <w:r>
        <w:rPr>
          <w:spacing w:val="-3"/>
        </w:rPr>
        <w:t>, </w:t>
      </w:r>
      <w:r>
        <w:rPr/>
        <w:t>if the </w:t>
      </w:r>
      <w:r>
        <w:rPr>
          <w:spacing w:val="-3"/>
        </w:rPr>
        <w:t>patient </w:t>
      </w:r>
      <w:r>
        <w:rPr/>
        <w:t>is </w:t>
      </w:r>
      <w:r>
        <w:rPr>
          <w:spacing w:val="-3"/>
        </w:rPr>
        <w:t>actually discharged from that Hospital.  This includes when </w:t>
      </w:r>
      <w:r>
        <w:rPr/>
        <w:t>a </w:t>
      </w:r>
      <w:r>
        <w:rPr>
          <w:spacing w:val="-3"/>
        </w:rPr>
        <w:t>patient </w:t>
      </w:r>
      <w:r>
        <w:rPr/>
        <w:t>is </w:t>
      </w:r>
      <w:r>
        <w:rPr>
          <w:spacing w:val="-3"/>
        </w:rPr>
        <w:t>transferred back </w:t>
      </w:r>
      <w:r>
        <w:rPr/>
        <w:t>and is </w:t>
      </w:r>
      <w:r>
        <w:rPr>
          <w:spacing w:val="-3"/>
        </w:rPr>
        <w:t>subsequently discharged from </w:t>
      </w:r>
      <w:r>
        <w:rPr/>
        <w:t>the </w:t>
      </w:r>
      <w:r>
        <w:rPr>
          <w:spacing w:val="-3"/>
        </w:rPr>
        <w:t>original Hospital. </w:t>
      </w:r>
      <w:r>
        <w:rPr/>
        <w:t>If the </w:t>
      </w:r>
      <w:r>
        <w:rPr>
          <w:spacing w:val="-3"/>
        </w:rPr>
        <w:t>patient </w:t>
      </w:r>
      <w:r>
        <w:rPr/>
        <w:t>is </w:t>
      </w:r>
      <w:r>
        <w:rPr>
          <w:spacing w:val="-3"/>
        </w:rPr>
        <w:t>transferred </w:t>
      </w:r>
      <w:r>
        <w:rPr/>
        <w:t>to </w:t>
      </w:r>
      <w:r>
        <w:rPr>
          <w:spacing w:val="-3"/>
        </w:rPr>
        <w:t>another Hospital, then </w:t>
      </w:r>
      <w:r>
        <w:rPr/>
        <w:t>the </w:t>
      </w:r>
      <w:r>
        <w:rPr>
          <w:spacing w:val="-3"/>
        </w:rPr>
        <w:t>transferring Hospital will </w:t>
      </w:r>
      <w:r>
        <w:rPr/>
        <w:t>be </w:t>
      </w:r>
      <w:r>
        <w:rPr>
          <w:spacing w:val="-3"/>
        </w:rPr>
        <w:t>paid </w:t>
      </w:r>
      <w:r>
        <w:rPr/>
        <w:t>at the </w:t>
      </w:r>
      <w:r>
        <w:rPr>
          <w:spacing w:val="-3"/>
        </w:rPr>
        <w:t>Hospital-specific transfer </w:t>
      </w:r>
      <w:r>
        <w:rPr/>
        <w:t>per </w:t>
      </w:r>
      <w:r>
        <w:rPr>
          <w:spacing w:val="-3"/>
        </w:rPr>
        <w:t>diem rate, capped </w:t>
      </w:r>
      <w:r>
        <w:rPr/>
        <w:t>at the </w:t>
      </w:r>
      <w:r>
        <w:rPr>
          <w:spacing w:val="-3"/>
        </w:rPr>
        <w:t>Hospital- specific SPAD, </w:t>
      </w:r>
      <w:r>
        <w:rPr/>
        <w:t>as </w:t>
      </w:r>
      <w:r>
        <w:rPr>
          <w:spacing w:val="-3"/>
        </w:rPr>
        <w:t>adjusted </w:t>
      </w:r>
      <w:r>
        <w:rPr/>
        <w:t>in </w:t>
      </w:r>
      <w:r>
        <w:rPr>
          <w:b/>
          <w:spacing w:val="-3"/>
        </w:rPr>
        <w:t>Section 8.1</w:t>
      </w:r>
      <w:r>
        <w:rPr>
          <w:spacing w:val="-3"/>
        </w:rPr>
        <w:t>. Additionally, “back-transferring” Hospitals (Hospitals </w:t>
      </w:r>
      <w:r>
        <w:rPr/>
        <w:t>to </w:t>
      </w:r>
      <w:r>
        <w:rPr>
          <w:spacing w:val="-3"/>
        </w:rPr>
        <w:t>which </w:t>
      </w:r>
      <w:r>
        <w:rPr/>
        <w:t>a </w:t>
      </w:r>
      <w:r>
        <w:rPr>
          <w:spacing w:val="-3"/>
        </w:rPr>
        <w:t>patient </w:t>
      </w:r>
      <w:r>
        <w:rPr/>
        <w:t>is </w:t>
      </w:r>
      <w:r>
        <w:rPr>
          <w:spacing w:val="-3"/>
        </w:rPr>
        <w:t>first admitted </w:t>
      </w:r>
      <w:r>
        <w:rPr/>
        <w:t>and </w:t>
      </w:r>
      <w:r>
        <w:rPr>
          <w:spacing w:val="-3"/>
        </w:rPr>
        <w:t>then transferred back after having been transferred </w:t>
      </w:r>
      <w:r>
        <w:rPr/>
        <w:t>to </w:t>
      </w:r>
      <w:r>
        <w:rPr>
          <w:spacing w:val="-3"/>
        </w:rPr>
        <w:t>another Acute Hospital) will </w:t>
      </w:r>
      <w:r>
        <w:rPr/>
        <w:t>be </w:t>
      </w:r>
      <w:r>
        <w:rPr>
          <w:spacing w:val="-3"/>
        </w:rPr>
        <w:t>eligible for outlier payments </w:t>
      </w:r>
      <w:r>
        <w:rPr/>
        <w:t>as </w:t>
      </w:r>
      <w:r>
        <w:rPr>
          <w:spacing w:val="-3"/>
        </w:rPr>
        <w:t>specified in </w:t>
      </w:r>
      <w:r>
        <w:rPr>
          <w:b/>
          <w:spacing w:val="-3"/>
        </w:rPr>
        <w:t>Section</w:t>
      </w:r>
      <w:r>
        <w:rPr>
          <w:b/>
          <w:spacing w:val="0"/>
        </w:rPr>
        <w:t> </w:t>
      </w:r>
      <w:r>
        <w:rPr>
          <w:b/>
          <w:spacing w:val="-3"/>
        </w:rPr>
        <w:t>5.B.9</w:t>
      </w:r>
      <w:r>
        <w:rPr>
          <w:spacing w:val="-3"/>
        </w:rPr>
        <w:t>.</w:t>
      </w:r>
    </w:p>
    <w:p>
      <w:pPr>
        <w:pStyle w:val="BodyText"/>
        <w:spacing w:before="1"/>
      </w:pPr>
    </w:p>
    <w:p>
      <w:pPr>
        <w:pStyle w:val="BodyText"/>
        <w:spacing w:line="242" w:lineRule="auto" w:before="1"/>
        <w:ind w:left="1192" w:right="157"/>
      </w:pPr>
      <w:r>
        <w:rPr/>
        <w:t>The </w:t>
      </w:r>
      <w:r>
        <w:rPr>
          <w:spacing w:val="-3"/>
        </w:rPr>
        <w:t>RY14 payment </w:t>
      </w:r>
      <w:r>
        <w:rPr/>
        <w:t>per day for </w:t>
      </w:r>
      <w:r>
        <w:rPr>
          <w:spacing w:val="-3"/>
        </w:rPr>
        <w:t>Transfer Patients shall equal </w:t>
      </w:r>
      <w:r>
        <w:rPr/>
        <w:t>the </w:t>
      </w:r>
      <w:r>
        <w:rPr>
          <w:spacing w:val="-3"/>
        </w:rPr>
        <w:t>statewide average payment amount </w:t>
      </w:r>
      <w:r>
        <w:rPr/>
        <w:t>per </w:t>
      </w:r>
      <w:r>
        <w:rPr>
          <w:spacing w:val="-3"/>
        </w:rPr>
        <w:t>discharge adjusted </w:t>
      </w:r>
      <w:r>
        <w:rPr/>
        <w:t>by the </w:t>
      </w:r>
      <w:r>
        <w:rPr>
          <w:spacing w:val="-3"/>
        </w:rPr>
        <w:t>hospital-specific casemix </w:t>
      </w:r>
      <w:r>
        <w:rPr/>
        <w:t>and </w:t>
      </w:r>
      <w:r>
        <w:rPr>
          <w:spacing w:val="-3"/>
        </w:rPr>
        <w:t>wage index divided </w:t>
      </w:r>
      <w:r>
        <w:rPr/>
        <w:t>by the </w:t>
      </w:r>
      <w:r>
        <w:rPr>
          <w:spacing w:val="-3"/>
        </w:rPr>
        <w:t>SPAD Base Year average all-payer length </w:t>
      </w:r>
      <w:r>
        <w:rPr/>
        <w:t>of </w:t>
      </w:r>
      <w:r>
        <w:rPr>
          <w:spacing w:val="-3"/>
        </w:rPr>
        <w:t>stay </w:t>
      </w:r>
      <w:r>
        <w:rPr/>
        <w:t>of  </w:t>
      </w:r>
      <w:r>
        <w:rPr>
          <w:spacing w:val="-3"/>
        </w:rPr>
        <w:t>4.31 days, </w:t>
      </w:r>
      <w:r>
        <w:rPr/>
        <w:t>to </w:t>
      </w:r>
      <w:r>
        <w:rPr>
          <w:spacing w:val="-3"/>
        </w:rPr>
        <w:t>which </w:t>
      </w:r>
      <w:r>
        <w:rPr/>
        <w:t>is </w:t>
      </w:r>
      <w:r>
        <w:rPr>
          <w:spacing w:val="-3"/>
        </w:rPr>
        <w:t>added </w:t>
      </w:r>
      <w:r>
        <w:rPr/>
        <w:t>the </w:t>
      </w:r>
      <w:r>
        <w:rPr>
          <w:spacing w:val="-3"/>
        </w:rPr>
        <w:t>Hospital-specific capital </w:t>
      </w:r>
      <w:r>
        <w:rPr/>
        <w:t>and </w:t>
      </w:r>
      <w:r>
        <w:rPr>
          <w:spacing w:val="-3"/>
        </w:rPr>
        <w:t>Pass-Through </w:t>
      </w:r>
      <w:r>
        <w:rPr/>
        <w:t>per </w:t>
      </w:r>
      <w:r>
        <w:rPr>
          <w:spacing w:val="-3"/>
        </w:rPr>
        <w:t>diem payments which are derived </w:t>
      </w:r>
      <w:r>
        <w:rPr/>
        <w:t>by </w:t>
      </w:r>
      <w:r>
        <w:rPr>
          <w:spacing w:val="-3"/>
        </w:rPr>
        <w:t>dividing </w:t>
      </w:r>
      <w:r>
        <w:rPr/>
        <w:t>the </w:t>
      </w:r>
      <w:r>
        <w:rPr>
          <w:spacing w:val="-3"/>
        </w:rPr>
        <w:t>per-discharge amount </w:t>
      </w:r>
      <w:r>
        <w:rPr/>
        <w:t>for </w:t>
      </w:r>
      <w:r>
        <w:rPr>
          <w:spacing w:val="-3"/>
        </w:rPr>
        <w:t>each </w:t>
      </w:r>
      <w:r>
        <w:rPr/>
        <w:t>of </w:t>
      </w:r>
      <w:r>
        <w:rPr>
          <w:spacing w:val="-3"/>
        </w:rPr>
        <w:t>these components </w:t>
      </w:r>
      <w:r>
        <w:rPr/>
        <w:t>by </w:t>
      </w:r>
      <w:r>
        <w:rPr>
          <w:spacing w:val="-3"/>
        </w:rPr>
        <w:t>the Hospital-specific MassHealth Average Length </w:t>
      </w:r>
      <w:r>
        <w:rPr/>
        <w:t>of </w:t>
      </w:r>
      <w:r>
        <w:rPr>
          <w:spacing w:val="-3"/>
        </w:rPr>
        <w:t>Stay.</w:t>
      </w:r>
    </w:p>
    <w:p>
      <w:pPr>
        <w:pStyle w:val="BodyText"/>
        <w:spacing w:before="8"/>
      </w:pPr>
    </w:p>
    <w:p>
      <w:pPr>
        <w:pStyle w:val="Heading3"/>
        <w:numPr>
          <w:ilvl w:val="2"/>
          <w:numId w:val="8"/>
        </w:numPr>
        <w:tabs>
          <w:tab w:pos="1213" w:val="left" w:leader="none"/>
          <w:tab w:pos="1215" w:val="left" w:leader="none"/>
        </w:tabs>
        <w:spacing w:line="240" w:lineRule="auto" w:before="0" w:after="0"/>
        <w:ind w:left="1214" w:right="0" w:hanging="548"/>
        <w:jc w:val="left"/>
      </w:pPr>
      <w:r>
        <w:rPr>
          <w:spacing w:val="-3"/>
        </w:rPr>
        <w:t>Transfers within </w:t>
      </w:r>
      <w:r>
        <w:rPr/>
        <w:t>a</w:t>
      </w:r>
      <w:r>
        <w:rPr>
          <w:spacing w:val="-5"/>
        </w:rPr>
        <w:t> </w:t>
      </w:r>
      <w:r>
        <w:rPr>
          <w:spacing w:val="-3"/>
        </w:rPr>
        <w:t>Hospital</w:t>
      </w:r>
    </w:p>
    <w:p>
      <w:pPr>
        <w:pStyle w:val="BodyText"/>
        <w:spacing w:before="2"/>
        <w:rPr>
          <w:b/>
          <w:sz w:val="25"/>
        </w:rPr>
      </w:pPr>
    </w:p>
    <w:p>
      <w:pPr>
        <w:pStyle w:val="BodyText"/>
        <w:spacing w:line="244" w:lineRule="auto"/>
        <w:ind w:left="1192" w:right="123"/>
      </w:pPr>
      <w:r>
        <w:rPr/>
        <w:t>In </w:t>
      </w:r>
      <w:r>
        <w:rPr>
          <w:spacing w:val="-3"/>
        </w:rPr>
        <w:t>general, </w:t>
      </w:r>
      <w:r>
        <w:rPr/>
        <w:t>a </w:t>
      </w:r>
      <w:r>
        <w:rPr>
          <w:spacing w:val="-3"/>
        </w:rPr>
        <w:t>transfer within </w:t>
      </w:r>
      <w:r>
        <w:rPr/>
        <w:t>a </w:t>
      </w:r>
      <w:r>
        <w:rPr>
          <w:spacing w:val="-3"/>
        </w:rPr>
        <w:t>Hospital </w:t>
      </w:r>
      <w:r>
        <w:rPr/>
        <w:t>is not </w:t>
      </w:r>
      <w:r>
        <w:rPr>
          <w:spacing w:val="-3"/>
        </w:rPr>
        <w:t>considered </w:t>
      </w:r>
      <w:r>
        <w:rPr/>
        <w:t>a </w:t>
      </w:r>
      <w:r>
        <w:rPr>
          <w:spacing w:val="-3"/>
        </w:rPr>
        <w:t>discharge. Consequently, in most cases </w:t>
      </w:r>
      <w:r>
        <w:rPr/>
        <w:t>a </w:t>
      </w:r>
      <w:r>
        <w:rPr>
          <w:spacing w:val="-3"/>
        </w:rPr>
        <w:t>transfer between units within </w:t>
      </w:r>
      <w:r>
        <w:rPr/>
        <w:t>a </w:t>
      </w:r>
      <w:r>
        <w:rPr>
          <w:spacing w:val="-3"/>
        </w:rPr>
        <w:t>Hospital will </w:t>
      </w:r>
      <w:r>
        <w:rPr/>
        <w:t>be </w:t>
      </w:r>
      <w:r>
        <w:rPr>
          <w:spacing w:val="-3"/>
        </w:rPr>
        <w:t>reimbursed </w:t>
      </w:r>
      <w:r>
        <w:rPr/>
        <w:t>on a </w:t>
      </w:r>
      <w:r>
        <w:rPr>
          <w:spacing w:val="-3"/>
        </w:rPr>
        <w:t>transfer per diem basis capped </w:t>
      </w:r>
      <w:r>
        <w:rPr/>
        <w:t>at the </w:t>
      </w:r>
      <w:r>
        <w:rPr>
          <w:spacing w:val="-3"/>
        </w:rPr>
        <w:t>Hospital-specific SPAD, </w:t>
      </w:r>
      <w:r>
        <w:rPr/>
        <w:t>as </w:t>
      </w:r>
      <w:r>
        <w:rPr>
          <w:spacing w:val="-3"/>
        </w:rPr>
        <w:t>adjusted </w:t>
      </w:r>
      <w:r>
        <w:rPr/>
        <w:t>in </w:t>
      </w:r>
      <w:r>
        <w:rPr>
          <w:b/>
          <w:spacing w:val="-3"/>
        </w:rPr>
        <w:t>Section </w:t>
      </w:r>
      <w:r>
        <w:rPr>
          <w:b/>
        </w:rPr>
        <w:t>8.1</w:t>
      </w:r>
      <w:r>
        <w:rPr/>
        <w:t>. </w:t>
      </w:r>
      <w:r>
        <w:rPr>
          <w:spacing w:val="-3"/>
        </w:rPr>
        <w:t>This section outlines </w:t>
      </w:r>
      <w:r>
        <w:rPr>
          <w:spacing w:val="-4"/>
        </w:rPr>
        <w:t>reimbursement </w:t>
      </w:r>
      <w:r>
        <w:rPr>
          <w:spacing w:val="-3"/>
        </w:rPr>
        <w:t>under some specific transfer</w:t>
      </w:r>
      <w:r>
        <w:rPr>
          <w:spacing w:val="23"/>
        </w:rPr>
        <w:t> </w:t>
      </w:r>
      <w:r>
        <w:rPr>
          <w:spacing w:val="-4"/>
        </w:rPr>
        <w:t>circumstances.</w:t>
      </w:r>
    </w:p>
    <w:p>
      <w:pPr>
        <w:pStyle w:val="BodyText"/>
        <w:spacing w:before="1"/>
      </w:pPr>
    </w:p>
    <w:p>
      <w:pPr>
        <w:pStyle w:val="BodyText"/>
        <w:ind w:left="1192"/>
      </w:pPr>
      <w:r>
        <w:rPr/>
        <w:t>Hospitals receiving a transfer per diem may be eligible for outlier payments specified in</w:t>
      </w:r>
    </w:p>
    <w:p>
      <w:pPr>
        <w:pStyle w:val="BodyText"/>
        <w:spacing w:before="7"/>
        <w:ind w:left="1192"/>
      </w:pPr>
      <w:r>
        <w:rPr>
          <w:b/>
        </w:rPr>
        <w:t>Section 5.B.9</w:t>
      </w:r>
      <w:r>
        <w:rPr/>
        <w:t>, subject to all of the conditions set forth therein.</w:t>
      </w:r>
    </w:p>
    <w:p>
      <w:pPr>
        <w:pStyle w:val="BodyText"/>
        <w:spacing w:before="10"/>
      </w:pPr>
    </w:p>
    <w:p>
      <w:pPr>
        <w:pStyle w:val="Heading3"/>
        <w:numPr>
          <w:ilvl w:val="3"/>
          <w:numId w:val="8"/>
        </w:numPr>
        <w:tabs>
          <w:tab w:pos="1745" w:val="left" w:leader="none"/>
          <w:tab w:pos="1746" w:val="left" w:leader="none"/>
        </w:tabs>
        <w:spacing w:line="244" w:lineRule="auto" w:before="1" w:after="0"/>
        <w:ind w:left="1732" w:right="232" w:hanging="519"/>
        <w:jc w:val="left"/>
      </w:pPr>
      <w:r>
        <w:rPr>
          <w:spacing w:val="-3"/>
        </w:rPr>
        <w:t>Transfer to/from </w:t>
      </w:r>
      <w:r>
        <w:rPr/>
        <w:t>a </w:t>
      </w:r>
      <w:r>
        <w:rPr>
          <w:spacing w:val="-3"/>
        </w:rPr>
        <w:t>Non-Acute, Skilled Nursing, </w:t>
      </w:r>
      <w:r>
        <w:rPr/>
        <w:t>or </w:t>
      </w:r>
      <w:r>
        <w:rPr>
          <w:spacing w:val="-3"/>
        </w:rPr>
        <w:t>other Separately Licensed Unit within </w:t>
      </w:r>
      <w:r>
        <w:rPr/>
        <w:t>the </w:t>
      </w:r>
      <w:r>
        <w:rPr>
          <w:spacing w:val="-3"/>
        </w:rPr>
        <w:t>Same</w:t>
      </w:r>
      <w:r>
        <w:rPr>
          <w:spacing w:val="-12"/>
        </w:rPr>
        <w:t> </w:t>
      </w:r>
      <w:r>
        <w:rPr>
          <w:spacing w:val="-3"/>
        </w:rPr>
        <w:t>Hospital</w:t>
      </w:r>
    </w:p>
    <w:p>
      <w:pPr>
        <w:pStyle w:val="BodyText"/>
        <w:rPr>
          <w:b/>
        </w:rPr>
      </w:pPr>
    </w:p>
    <w:p>
      <w:pPr>
        <w:pStyle w:val="BodyText"/>
        <w:spacing w:line="242" w:lineRule="auto" w:before="1"/>
        <w:ind w:left="1732" w:right="730"/>
      </w:pPr>
      <w:r>
        <w:rPr/>
        <w:t>If a </w:t>
      </w:r>
      <w:r>
        <w:rPr>
          <w:spacing w:val="-3"/>
        </w:rPr>
        <w:t>patient </w:t>
      </w:r>
      <w:r>
        <w:rPr/>
        <w:t>is </w:t>
      </w:r>
      <w:r>
        <w:rPr>
          <w:spacing w:val="-3"/>
        </w:rPr>
        <w:t>transferred from </w:t>
      </w:r>
      <w:r>
        <w:rPr/>
        <w:t>an </w:t>
      </w:r>
      <w:r>
        <w:rPr>
          <w:spacing w:val="-3"/>
        </w:rPr>
        <w:t>acute </w:t>
      </w:r>
      <w:r>
        <w:rPr/>
        <w:t>bed to a </w:t>
      </w:r>
      <w:r>
        <w:rPr>
          <w:spacing w:val="-3"/>
        </w:rPr>
        <w:t>Non-Acute bed, except </w:t>
      </w:r>
      <w:r>
        <w:rPr/>
        <w:t>for a </w:t>
      </w:r>
      <w:r>
        <w:rPr>
          <w:spacing w:val="-3"/>
        </w:rPr>
        <w:t>DMH-licensed </w:t>
      </w:r>
      <w:r>
        <w:rPr/>
        <w:t>bed or any </w:t>
      </w:r>
      <w:r>
        <w:rPr>
          <w:spacing w:val="-3"/>
        </w:rPr>
        <w:t>separately licensed unit </w:t>
      </w:r>
      <w:r>
        <w:rPr/>
        <w:t>in the </w:t>
      </w:r>
      <w:r>
        <w:rPr>
          <w:spacing w:val="-3"/>
        </w:rPr>
        <w:t>same Hospital, the</w:t>
      </w:r>
    </w:p>
    <w:p>
      <w:pPr>
        <w:pStyle w:val="BodyText"/>
        <w:spacing w:line="242" w:lineRule="auto" w:before="1"/>
        <w:ind w:left="1732"/>
      </w:pPr>
      <w:r>
        <w:rPr>
          <w:spacing w:val="-3"/>
        </w:rPr>
        <w:t>transfer </w:t>
      </w:r>
      <w:r>
        <w:rPr/>
        <w:t>is </w:t>
      </w:r>
      <w:r>
        <w:rPr>
          <w:spacing w:val="-3"/>
        </w:rPr>
        <w:t>considered </w:t>
      </w:r>
      <w:r>
        <w:rPr/>
        <w:t>a </w:t>
      </w:r>
      <w:r>
        <w:rPr>
          <w:spacing w:val="-3"/>
        </w:rPr>
        <w:t>discharge. EOHHS will </w:t>
      </w:r>
      <w:r>
        <w:rPr/>
        <w:t>pay the </w:t>
      </w:r>
      <w:r>
        <w:rPr>
          <w:spacing w:val="-3"/>
        </w:rPr>
        <w:t>Hospital-specific SPAD for </w:t>
      </w:r>
      <w:r>
        <w:rPr/>
        <w:t>the </w:t>
      </w:r>
      <w:r>
        <w:rPr>
          <w:spacing w:val="-3"/>
        </w:rPr>
        <w:t>portion </w:t>
      </w:r>
      <w:r>
        <w:rPr/>
        <w:t>of the </w:t>
      </w:r>
      <w:r>
        <w:rPr>
          <w:spacing w:val="-3"/>
        </w:rPr>
        <w:t>stay before </w:t>
      </w:r>
      <w:r>
        <w:rPr/>
        <w:t>the </w:t>
      </w:r>
      <w:r>
        <w:rPr>
          <w:spacing w:val="-3"/>
        </w:rPr>
        <w:t>patient </w:t>
      </w:r>
      <w:r>
        <w:rPr/>
        <w:t>is </w:t>
      </w:r>
      <w:r>
        <w:rPr>
          <w:spacing w:val="-3"/>
        </w:rPr>
        <w:t>discharged </w:t>
      </w:r>
      <w:r>
        <w:rPr/>
        <w:t>to any </w:t>
      </w:r>
      <w:r>
        <w:rPr>
          <w:spacing w:val="-3"/>
        </w:rPr>
        <w:t>such unit.</w:t>
      </w:r>
    </w:p>
    <w:p>
      <w:pPr>
        <w:spacing w:after="0" w:line="242" w:lineRule="auto"/>
        <w:sectPr>
          <w:pgSz w:w="12240" w:h="15840"/>
          <w:pgMar w:header="0" w:footer="744" w:top="1380" w:bottom="940" w:left="1580" w:right="980"/>
        </w:sectPr>
      </w:pPr>
    </w:p>
    <w:p>
      <w:pPr>
        <w:pStyle w:val="Heading3"/>
        <w:numPr>
          <w:ilvl w:val="3"/>
          <w:numId w:val="8"/>
        </w:numPr>
        <w:tabs>
          <w:tab w:pos="1591" w:val="left" w:leader="none"/>
          <w:tab w:pos="1592" w:val="left" w:leader="none"/>
        </w:tabs>
        <w:spacing w:line="244" w:lineRule="auto" w:before="65" w:after="0"/>
        <w:ind w:left="1592" w:right="243" w:hanging="540"/>
        <w:jc w:val="left"/>
      </w:pPr>
      <w:r>
        <w:rPr>
          <w:spacing w:val="-3"/>
        </w:rPr>
        <w:t>MassHealth Payments </w:t>
      </w:r>
      <w:r>
        <w:rPr/>
        <w:t>for </w:t>
      </w:r>
      <w:r>
        <w:rPr>
          <w:spacing w:val="-3"/>
        </w:rPr>
        <w:t>Newly Eligible Members, Members </w:t>
      </w:r>
      <w:r>
        <w:rPr/>
        <w:t>Who </w:t>
      </w:r>
      <w:r>
        <w:rPr>
          <w:spacing w:val="-3"/>
        </w:rPr>
        <w:t>Change Enrollment</w:t>
      </w:r>
      <w:r>
        <w:rPr>
          <w:spacing w:val="-6"/>
        </w:rPr>
        <w:t> </w:t>
      </w:r>
      <w:r>
        <w:rPr/>
        <w:t>in</w:t>
      </w:r>
      <w:r>
        <w:rPr>
          <w:spacing w:val="-6"/>
        </w:rPr>
        <w:t> </w:t>
      </w:r>
      <w:r>
        <w:rPr/>
        <w:t>the</w:t>
      </w:r>
      <w:r>
        <w:rPr>
          <w:spacing w:val="-6"/>
        </w:rPr>
        <w:t> </w:t>
      </w:r>
      <w:r>
        <w:rPr/>
        <w:t>PCC</w:t>
      </w:r>
      <w:r>
        <w:rPr>
          <w:spacing w:val="-6"/>
        </w:rPr>
        <w:t> </w:t>
      </w:r>
      <w:r>
        <w:rPr>
          <w:spacing w:val="-3"/>
        </w:rPr>
        <w:t>Plan,</w:t>
      </w:r>
      <w:r>
        <w:rPr>
          <w:spacing w:val="-6"/>
        </w:rPr>
        <w:t> </w:t>
      </w:r>
      <w:r>
        <w:rPr>
          <w:spacing w:val="-3"/>
        </w:rPr>
        <w:t>Fee-for-Service</w:t>
      </w:r>
      <w:r>
        <w:rPr>
          <w:spacing w:val="-6"/>
        </w:rPr>
        <w:t> </w:t>
      </w:r>
      <w:r>
        <w:rPr/>
        <w:t>or</w:t>
      </w:r>
      <w:r>
        <w:rPr>
          <w:spacing w:val="-6"/>
        </w:rPr>
        <w:t> </w:t>
      </w:r>
      <w:r>
        <w:rPr/>
        <w:t>MCO</w:t>
      </w:r>
      <w:r>
        <w:rPr>
          <w:spacing w:val="-6"/>
        </w:rPr>
        <w:t> </w:t>
      </w:r>
      <w:r>
        <w:rPr>
          <w:spacing w:val="-3"/>
        </w:rPr>
        <w:t>during</w:t>
      </w:r>
      <w:r>
        <w:rPr>
          <w:spacing w:val="-6"/>
        </w:rPr>
        <w:t> </w:t>
      </w:r>
      <w:r>
        <w:rPr/>
        <w:t>a</w:t>
      </w:r>
      <w:r>
        <w:rPr>
          <w:spacing w:val="-6"/>
        </w:rPr>
        <w:t> </w:t>
      </w:r>
      <w:r>
        <w:rPr>
          <w:spacing w:val="-3"/>
        </w:rPr>
        <w:t>Hospital</w:t>
      </w:r>
      <w:r>
        <w:rPr>
          <w:spacing w:val="-6"/>
        </w:rPr>
        <w:t> </w:t>
      </w:r>
      <w:r>
        <w:rPr>
          <w:spacing w:val="-3"/>
        </w:rPr>
        <w:t>Stay; </w:t>
      </w:r>
      <w:r>
        <w:rPr/>
        <w:t>or in the </w:t>
      </w:r>
      <w:r>
        <w:rPr>
          <w:spacing w:val="-3"/>
        </w:rPr>
        <w:t>Event </w:t>
      </w:r>
      <w:r>
        <w:rPr/>
        <w:t>of </w:t>
      </w:r>
      <w:r>
        <w:rPr>
          <w:spacing w:val="-3"/>
        </w:rPr>
        <w:t>Exhaustion </w:t>
      </w:r>
      <w:r>
        <w:rPr/>
        <w:t>of </w:t>
      </w:r>
      <w:r>
        <w:rPr>
          <w:spacing w:val="-3"/>
        </w:rPr>
        <w:t>Other</w:t>
      </w:r>
      <w:r>
        <w:rPr>
          <w:spacing w:val="-44"/>
        </w:rPr>
        <w:t> </w:t>
      </w:r>
      <w:r>
        <w:rPr>
          <w:spacing w:val="-3"/>
        </w:rPr>
        <w:t>Insurance</w:t>
      </w:r>
    </w:p>
    <w:p>
      <w:pPr>
        <w:pStyle w:val="BodyText"/>
        <w:spacing w:before="10"/>
        <w:rPr>
          <w:b/>
          <w:sz w:val="23"/>
        </w:rPr>
      </w:pPr>
    </w:p>
    <w:p>
      <w:pPr>
        <w:pStyle w:val="BodyText"/>
        <w:spacing w:line="244" w:lineRule="auto" w:before="1"/>
        <w:ind w:left="1591"/>
      </w:pPr>
      <w:r>
        <w:rPr>
          <w:spacing w:val="-3"/>
        </w:rPr>
        <w:t>When </w:t>
      </w:r>
      <w:r>
        <w:rPr/>
        <w:t>a </w:t>
      </w:r>
      <w:r>
        <w:rPr>
          <w:spacing w:val="-3"/>
        </w:rPr>
        <w:t>patient becomes MassHealth-eligible, </w:t>
      </w:r>
      <w:r>
        <w:rPr/>
        <w:t>is </w:t>
      </w:r>
      <w:r>
        <w:rPr>
          <w:spacing w:val="-3"/>
        </w:rPr>
        <w:t>enrolled </w:t>
      </w:r>
      <w:r>
        <w:rPr/>
        <w:t>in or </w:t>
      </w:r>
      <w:r>
        <w:rPr>
          <w:spacing w:val="-3"/>
        </w:rPr>
        <w:t>disenrolled from an </w:t>
      </w:r>
      <w:r>
        <w:rPr/>
        <w:t>MCO </w:t>
      </w:r>
      <w:r>
        <w:rPr>
          <w:spacing w:val="-3"/>
        </w:rPr>
        <w:t>during </w:t>
      </w:r>
      <w:r>
        <w:rPr/>
        <w:t>the </w:t>
      </w:r>
      <w:r>
        <w:rPr>
          <w:spacing w:val="-3"/>
        </w:rPr>
        <w:t>course </w:t>
      </w:r>
      <w:r>
        <w:rPr/>
        <w:t>of a </w:t>
      </w:r>
      <w:r>
        <w:rPr>
          <w:spacing w:val="-3"/>
        </w:rPr>
        <w:t>Hospital stay, </w:t>
      </w:r>
      <w:r>
        <w:rPr/>
        <w:t>or </w:t>
      </w:r>
      <w:r>
        <w:rPr>
          <w:spacing w:val="-3"/>
        </w:rPr>
        <w:t>exhausts other insurance benefits after </w:t>
      </w:r>
      <w:r>
        <w:rPr/>
        <w:t>the </w:t>
      </w:r>
      <w:r>
        <w:rPr>
          <w:spacing w:val="-3"/>
        </w:rPr>
        <w:t>date </w:t>
      </w:r>
      <w:r>
        <w:rPr/>
        <w:t>of </w:t>
      </w:r>
      <w:r>
        <w:rPr>
          <w:spacing w:val="-3"/>
        </w:rPr>
        <w:t>admission </w:t>
      </w:r>
      <w:r>
        <w:rPr/>
        <w:t>and </w:t>
      </w:r>
      <w:r>
        <w:rPr>
          <w:spacing w:val="-3"/>
        </w:rPr>
        <w:t>prior </w:t>
      </w:r>
      <w:r>
        <w:rPr/>
        <w:t>to the </w:t>
      </w:r>
      <w:r>
        <w:rPr>
          <w:spacing w:val="-3"/>
        </w:rPr>
        <w:t>date </w:t>
      </w:r>
      <w:r>
        <w:rPr/>
        <w:t>of </w:t>
      </w:r>
      <w:r>
        <w:rPr>
          <w:spacing w:val="-3"/>
        </w:rPr>
        <w:t>discharge, </w:t>
      </w:r>
      <w:r>
        <w:rPr/>
        <w:t>the </w:t>
      </w:r>
      <w:r>
        <w:rPr>
          <w:spacing w:val="-3"/>
        </w:rPr>
        <w:t>MassHealth-covered portion </w:t>
      </w:r>
      <w:r>
        <w:rPr/>
        <w:t>of the </w:t>
      </w:r>
      <w:r>
        <w:rPr>
          <w:spacing w:val="-3"/>
        </w:rPr>
        <w:t>acute stay will </w:t>
      </w:r>
      <w:r>
        <w:rPr/>
        <w:t>be </w:t>
      </w:r>
      <w:r>
        <w:rPr>
          <w:spacing w:val="-3"/>
        </w:rPr>
        <w:t>paid </w:t>
      </w:r>
      <w:r>
        <w:rPr/>
        <w:t>at the </w:t>
      </w:r>
      <w:r>
        <w:rPr>
          <w:spacing w:val="-3"/>
        </w:rPr>
        <w:t>transfer </w:t>
      </w:r>
      <w:r>
        <w:rPr/>
        <w:t>per </w:t>
      </w:r>
      <w:r>
        <w:rPr>
          <w:spacing w:val="-3"/>
        </w:rPr>
        <w:t>diem rate, </w:t>
      </w:r>
      <w:r>
        <w:rPr/>
        <w:t>up to the </w:t>
      </w:r>
      <w:r>
        <w:rPr>
          <w:spacing w:val="-3"/>
        </w:rPr>
        <w:t>Hospital- specific SPAD </w:t>
      </w:r>
      <w:r>
        <w:rPr/>
        <w:t>as </w:t>
      </w:r>
      <w:r>
        <w:rPr>
          <w:spacing w:val="-3"/>
        </w:rPr>
        <w:t>adjusted </w:t>
      </w:r>
      <w:r>
        <w:rPr/>
        <w:t>in </w:t>
      </w:r>
      <w:r>
        <w:rPr>
          <w:b/>
          <w:spacing w:val="-3"/>
        </w:rPr>
        <w:t>Section </w:t>
      </w:r>
      <w:r>
        <w:rPr>
          <w:b/>
        </w:rPr>
        <w:t>8.1</w:t>
      </w:r>
      <w:r>
        <w:rPr/>
        <w:t>, or, if the </w:t>
      </w:r>
      <w:r>
        <w:rPr>
          <w:spacing w:val="-3"/>
        </w:rPr>
        <w:t>patient </w:t>
      </w:r>
      <w:r>
        <w:rPr/>
        <w:t>is at the </w:t>
      </w:r>
      <w:r>
        <w:rPr>
          <w:spacing w:val="-4"/>
        </w:rPr>
        <w:t>Administrative </w:t>
      </w:r>
      <w:r>
        <w:rPr/>
        <w:t>Day </w:t>
      </w:r>
      <w:r>
        <w:rPr>
          <w:spacing w:val="-3"/>
        </w:rPr>
        <w:t>level </w:t>
      </w:r>
      <w:r>
        <w:rPr/>
        <w:t>of </w:t>
      </w:r>
      <w:r>
        <w:rPr>
          <w:spacing w:val="-3"/>
        </w:rPr>
        <w:t>care, </w:t>
      </w:r>
      <w:r>
        <w:rPr/>
        <w:t>at the AD per </w:t>
      </w:r>
      <w:r>
        <w:rPr>
          <w:spacing w:val="-3"/>
        </w:rPr>
        <w:t>diem rate, </w:t>
      </w:r>
      <w:r>
        <w:rPr/>
        <w:t>in </w:t>
      </w:r>
      <w:r>
        <w:rPr>
          <w:spacing w:val="-3"/>
        </w:rPr>
        <w:t>accordance with </w:t>
      </w:r>
      <w:r>
        <w:rPr>
          <w:b/>
          <w:spacing w:val="-3"/>
        </w:rPr>
        <w:t>Section 5.B.11</w:t>
      </w:r>
      <w:r>
        <w:rPr>
          <w:spacing w:val="-3"/>
        </w:rPr>
        <w:t>.</w:t>
      </w:r>
    </w:p>
    <w:p>
      <w:pPr>
        <w:pStyle w:val="BodyText"/>
        <w:spacing w:line="244" w:lineRule="auto"/>
        <w:ind w:left="1591"/>
      </w:pPr>
      <w:r>
        <w:rPr>
          <w:spacing w:val="-3"/>
        </w:rPr>
        <w:t>When </w:t>
      </w:r>
      <w:r>
        <w:rPr/>
        <w:t>a </w:t>
      </w:r>
      <w:r>
        <w:rPr>
          <w:spacing w:val="-3"/>
        </w:rPr>
        <w:t>patient </w:t>
      </w:r>
      <w:r>
        <w:rPr/>
        <w:t>is </w:t>
      </w:r>
      <w:r>
        <w:rPr>
          <w:spacing w:val="-3"/>
        </w:rPr>
        <w:t>enrolled </w:t>
      </w:r>
      <w:r>
        <w:rPr/>
        <w:t>in or </w:t>
      </w:r>
      <w:r>
        <w:rPr>
          <w:spacing w:val="-3"/>
        </w:rPr>
        <w:t>disenrolled from </w:t>
      </w:r>
      <w:r>
        <w:rPr/>
        <w:t>an MCO </w:t>
      </w:r>
      <w:r>
        <w:rPr>
          <w:spacing w:val="-3"/>
        </w:rPr>
        <w:t>during </w:t>
      </w:r>
      <w:r>
        <w:rPr/>
        <w:t>the </w:t>
      </w:r>
      <w:r>
        <w:rPr>
          <w:spacing w:val="-3"/>
        </w:rPr>
        <w:t>Hospital stay, </w:t>
      </w:r>
      <w:r>
        <w:rPr/>
        <w:t>the </w:t>
      </w:r>
      <w:r>
        <w:rPr>
          <w:spacing w:val="-3"/>
        </w:rPr>
        <w:t>non-MCO days will </w:t>
      </w:r>
      <w:r>
        <w:rPr/>
        <w:t>be </w:t>
      </w:r>
      <w:r>
        <w:rPr>
          <w:spacing w:val="-3"/>
        </w:rPr>
        <w:t>paid </w:t>
      </w:r>
      <w:r>
        <w:rPr/>
        <w:t>at the </w:t>
      </w:r>
      <w:r>
        <w:rPr>
          <w:spacing w:val="-3"/>
        </w:rPr>
        <w:t>transfer </w:t>
      </w:r>
      <w:r>
        <w:rPr/>
        <w:t>per </w:t>
      </w:r>
      <w:r>
        <w:rPr>
          <w:spacing w:val="-3"/>
        </w:rPr>
        <w:t>diem rate </w:t>
      </w:r>
      <w:r>
        <w:rPr/>
        <w:t>up to the </w:t>
      </w:r>
      <w:r>
        <w:rPr>
          <w:spacing w:val="-3"/>
        </w:rPr>
        <w:t>SPAD, as adjusted </w:t>
      </w:r>
      <w:r>
        <w:rPr/>
        <w:t>in </w:t>
      </w:r>
      <w:r>
        <w:rPr>
          <w:b/>
          <w:spacing w:val="-3"/>
        </w:rPr>
        <w:t>Section </w:t>
      </w:r>
      <w:r>
        <w:rPr>
          <w:b/>
        </w:rPr>
        <w:t>8.1</w:t>
      </w:r>
      <w:r>
        <w:rPr/>
        <w:t>.</w:t>
      </w:r>
    </w:p>
    <w:p>
      <w:pPr>
        <w:pStyle w:val="BodyText"/>
        <w:spacing w:before="7"/>
      </w:pPr>
    </w:p>
    <w:p>
      <w:pPr>
        <w:pStyle w:val="Heading3"/>
        <w:numPr>
          <w:ilvl w:val="3"/>
          <w:numId w:val="8"/>
        </w:numPr>
        <w:tabs>
          <w:tab w:pos="1605" w:val="left" w:leader="none"/>
          <w:tab w:pos="1606" w:val="left" w:leader="none"/>
        </w:tabs>
        <w:spacing w:line="240" w:lineRule="auto" w:before="0" w:after="0"/>
        <w:ind w:left="1605" w:right="0" w:hanging="546"/>
        <w:jc w:val="left"/>
      </w:pPr>
      <w:r>
        <w:rPr>
          <w:spacing w:val="-3"/>
        </w:rPr>
        <w:t>Admissions Following Outpatient Surgery </w:t>
      </w:r>
      <w:r>
        <w:rPr/>
        <w:t>or</w:t>
      </w:r>
      <w:r>
        <w:rPr>
          <w:spacing w:val="-5"/>
        </w:rPr>
        <w:t> </w:t>
      </w:r>
      <w:r>
        <w:rPr>
          <w:spacing w:val="-3"/>
        </w:rPr>
        <w:t>Procedure</w:t>
      </w:r>
    </w:p>
    <w:p>
      <w:pPr>
        <w:pStyle w:val="BodyText"/>
        <w:spacing w:before="4"/>
        <w:rPr>
          <w:b/>
        </w:rPr>
      </w:pPr>
    </w:p>
    <w:p>
      <w:pPr>
        <w:pStyle w:val="BodyText"/>
        <w:spacing w:line="244" w:lineRule="auto"/>
        <w:ind w:left="1591" w:right="353"/>
      </w:pPr>
      <w:r>
        <w:rPr/>
        <w:t>If a </w:t>
      </w:r>
      <w:r>
        <w:rPr>
          <w:spacing w:val="-3"/>
        </w:rPr>
        <w:t>patient </w:t>
      </w:r>
      <w:r>
        <w:rPr/>
        <w:t>who </w:t>
      </w:r>
      <w:r>
        <w:rPr>
          <w:spacing w:val="-3"/>
        </w:rPr>
        <w:t>requires Inpatient Hospital Services </w:t>
      </w:r>
      <w:r>
        <w:rPr/>
        <w:t>is </w:t>
      </w:r>
      <w:r>
        <w:rPr>
          <w:spacing w:val="-3"/>
        </w:rPr>
        <w:t>admitted following an outpatient surgery </w:t>
      </w:r>
      <w:r>
        <w:rPr/>
        <w:t>or </w:t>
      </w:r>
      <w:r>
        <w:rPr>
          <w:spacing w:val="-3"/>
        </w:rPr>
        <w:t>procedure, </w:t>
      </w:r>
      <w:r>
        <w:rPr/>
        <w:t>the </w:t>
      </w:r>
      <w:r>
        <w:rPr>
          <w:spacing w:val="-3"/>
        </w:rPr>
        <w:t>Hospital shall </w:t>
      </w:r>
      <w:r>
        <w:rPr/>
        <w:t>be </w:t>
      </w:r>
      <w:r>
        <w:rPr>
          <w:spacing w:val="-3"/>
        </w:rPr>
        <w:t>paid </w:t>
      </w:r>
      <w:r>
        <w:rPr/>
        <w:t>at the </w:t>
      </w:r>
      <w:r>
        <w:rPr>
          <w:spacing w:val="-3"/>
        </w:rPr>
        <w:t>transfer </w:t>
      </w:r>
      <w:r>
        <w:rPr/>
        <w:t>per </w:t>
      </w:r>
      <w:r>
        <w:rPr>
          <w:spacing w:val="-3"/>
        </w:rPr>
        <w:t>diem rate </w:t>
      </w:r>
      <w:r>
        <w:rPr/>
        <w:t>up to the </w:t>
      </w:r>
      <w:r>
        <w:rPr>
          <w:spacing w:val="-3"/>
        </w:rPr>
        <w:t>Hospital-specific SPAD, </w:t>
      </w:r>
      <w:r>
        <w:rPr/>
        <w:t>as </w:t>
      </w:r>
      <w:r>
        <w:rPr>
          <w:spacing w:val="-3"/>
        </w:rPr>
        <w:t>adjusted </w:t>
      </w:r>
      <w:r>
        <w:rPr/>
        <w:t>in </w:t>
      </w:r>
      <w:r>
        <w:rPr>
          <w:b/>
          <w:spacing w:val="-3"/>
        </w:rPr>
        <w:t>Section </w:t>
      </w:r>
      <w:r>
        <w:rPr>
          <w:b/>
        </w:rPr>
        <w:t>8.1</w:t>
      </w:r>
      <w:r>
        <w:rPr/>
        <w:t>.</w:t>
      </w:r>
    </w:p>
    <w:p>
      <w:pPr>
        <w:pStyle w:val="BodyText"/>
        <w:spacing w:before="4"/>
      </w:pPr>
    </w:p>
    <w:p>
      <w:pPr>
        <w:pStyle w:val="Heading3"/>
        <w:numPr>
          <w:ilvl w:val="3"/>
          <w:numId w:val="8"/>
        </w:numPr>
        <w:tabs>
          <w:tab w:pos="1605" w:val="left" w:leader="none"/>
          <w:tab w:pos="1606" w:val="left" w:leader="none"/>
        </w:tabs>
        <w:spacing w:line="244" w:lineRule="auto" w:before="1" w:after="0"/>
        <w:ind w:left="1606" w:right="337" w:hanging="547"/>
        <w:jc w:val="left"/>
      </w:pPr>
      <w:r>
        <w:rPr>
          <w:spacing w:val="-3"/>
        </w:rPr>
        <w:t>Transfer</w:t>
      </w:r>
      <w:r>
        <w:rPr>
          <w:spacing w:val="-7"/>
        </w:rPr>
        <w:t> </w:t>
      </w:r>
      <w:r>
        <w:rPr>
          <w:spacing w:val="-3"/>
        </w:rPr>
        <w:t>between</w:t>
      </w:r>
      <w:r>
        <w:rPr>
          <w:spacing w:val="-7"/>
        </w:rPr>
        <w:t> </w:t>
      </w:r>
      <w:r>
        <w:rPr/>
        <w:t>a</w:t>
      </w:r>
      <w:r>
        <w:rPr>
          <w:spacing w:val="-7"/>
        </w:rPr>
        <w:t> </w:t>
      </w:r>
      <w:r>
        <w:rPr>
          <w:spacing w:val="-3"/>
        </w:rPr>
        <w:t>DMH-Licensed</w:t>
      </w:r>
      <w:r>
        <w:rPr>
          <w:spacing w:val="-7"/>
        </w:rPr>
        <w:t> </w:t>
      </w:r>
      <w:r>
        <w:rPr/>
        <w:t>Bed</w:t>
      </w:r>
      <w:r>
        <w:rPr>
          <w:spacing w:val="-7"/>
        </w:rPr>
        <w:t> </w:t>
      </w:r>
      <w:r>
        <w:rPr/>
        <w:t>and</w:t>
      </w:r>
      <w:r>
        <w:rPr>
          <w:spacing w:val="-7"/>
        </w:rPr>
        <w:t> </w:t>
      </w:r>
      <w:r>
        <w:rPr/>
        <w:t>Any</w:t>
      </w:r>
      <w:r>
        <w:rPr>
          <w:spacing w:val="-7"/>
        </w:rPr>
        <w:t> </w:t>
      </w:r>
      <w:r>
        <w:rPr>
          <w:spacing w:val="-3"/>
        </w:rPr>
        <w:t>Other</w:t>
      </w:r>
      <w:r>
        <w:rPr>
          <w:spacing w:val="-7"/>
        </w:rPr>
        <w:t> </w:t>
      </w:r>
      <w:r>
        <w:rPr/>
        <w:t>Bed</w:t>
      </w:r>
      <w:r>
        <w:rPr>
          <w:spacing w:val="-7"/>
        </w:rPr>
        <w:t> </w:t>
      </w:r>
      <w:r>
        <w:rPr>
          <w:spacing w:val="-3"/>
        </w:rPr>
        <w:t>within</w:t>
      </w:r>
      <w:r>
        <w:rPr>
          <w:spacing w:val="-7"/>
        </w:rPr>
        <w:t> </w:t>
      </w:r>
      <w:r>
        <w:rPr/>
        <w:t>the</w:t>
      </w:r>
      <w:r>
        <w:rPr>
          <w:spacing w:val="-7"/>
        </w:rPr>
        <w:t> </w:t>
      </w:r>
      <w:r>
        <w:rPr>
          <w:spacing w:val="-3"/>
        </w:rPr>
        <w:t>Same Hospital</w:t>
      </w:r>
    </w:p>
    <w:p>
      <w:pPr>
        <w:pStyle w:val="BodyText"/>
        <w:spacing w:before="11"/>
        <w:rPr>
          <w:b/>
          <w:sz w:val="23"/>
        </w:rPr>
      </w:pPr>
    </w:p>
    <w:p>
      <w:pPr>
        <w:pStyle w:val="BodyText"/>
        <w:spacing w:line="244" w:lineRule="auto"/>
        <w:ind w:left="1591" w:right="419"/>
        <w:rPr>
          <w:b/>
        </w:rPr>
      </w:pPr>
      <w:r>
        <w:rPr>
          <w:spacing w:val="-4"/>
        </w:rPr>
        <w:t>Reimbursement </w:t>
      </w:r>
      <w:r>
        <w:rPr/>
        <w:t>for a </w:t>
      </w:r>
      <w:r>
        <w:rPr>
          <w:spacing w:val="-3"/>
        </w:rPr>
        <w:t>transfer between </w:t>
      </w:r>
      <w:r>
        <w:rPr/>
        <w:t>a </w:t>
      </w:r>
      <w:r>
        <w:rPr>
          <w:spacing w:val="-3"/>
        </w:rPr>
        <w:t>DMH-Licensed </w:t>
      </w:r>
      <w:r>
        <w:rPr/>
        <w:t>Bed and any </w:t>
      </w:r>
      <w:r>
        <w:rPr>
          <w:spacing w:val="-3"/>
        </w:rPr>
        <w:t>other bed within </w:t>
      </w:r>
      <w:r>
        <w:rPr/>
        <w:t>a </w:t>
      </w:r>
      <w:r>
        <w:rPr>
          <w:spacing w:val="-3"/>
        </w:rPr>
        <w:t>Hospital will vary depending </w:t>
      </w:r>
      <w:r>
        <w:rPr/>
        <w:t>on the </w:t>
      </w:r>
      <w:r>
        <w:rPr>
          <w:spacing w:val="-3"/>
        </w:rPr>
        <w:t>circumstances involved, such as managed care status, </w:t>
      </w:r>
      <w:r>
        <w:rPr/>
        <w:t>BH </w:t>
      </w:r>
      <w:r>
        <w:rPr>
          <w:spacing w:val="-3"/>
        </w:rPr>
        <w:t>network </w:t>
      </w:r>
      <w:r>
        <w:rPr/>
        <w:t>or </w:t>
      </w:r>
      <w:r>
        <w:rPr>
          <w:spacing w:val="-3"/>
        </w:rPr>
        <w:t>non-network Hospital, </w:t>
      </w:r>
      <w:r>
        <w:rPr/>
        <w:t>or the </w:t>
      </w:r>
      <w:r>
        <w:rPr>
          <w:spacing w:val="-3"/>
        </w:rPr>
        <w:t>type </w:t>
      </w:r>
      <w:r>
        <w:rPr/>
        <w:t>of </w:t>
      </w:r>
      <w:r>
        <w:rPr>
          <w:spacing w:val="-3"/>
        </w:rPr>
        <w:t>service provided. </w:t>
      </w:r>
      <w:r>
        <w:rPr/>
        <w:t>See </w:t>
      </w:r>
      <w:r>
        <w:rPr>
          <w:spacing w:val="-3"/>
        </w:rPr>
        <w:t>also </w:t>
      </w:r>
      <w:r>
        <w:rPr>
          <w:b/>
          <w:spacing w:val="-3"/>
        </w:rPr>
        <w:t>Section 5.B.8.b(5).</w:t>
      </w:r>
    </w:p>
    <w:p>
      <w:pPr>
        <w:pStyle w:val="BodyText"/>
        <w:spacing w:before="1"/>
        <w:rPr>
          <w:b/>
        </w:rPr>
      </w:pPr>
    </w:p>
    <w:p>
      <w:pPr>
        <w:pStyle w:val="BodyText"/>
        <w:spacing w:line="244" w:lineRule="auto"/>
        <w:ind w:left="1591" w:right="192"/>
      </w:pPr>
      <w:r>
        <w:rPr>
          <w:spacing w:val="-3"/>
        </w:rPr>
        <w:t>When </w:t>
      </w:r>
      <w:r>
        <w:rPr/>
        <w:t>a </w:t>
      </w:r>
      <w:r>
        <w:rPr>
          <w:spacing w:val="-3"/>
        </w:rPr>
        <w:t>Member </w:t>
      </w:r>
      <w:r>
        <w:rPr/>
        <w:t>who is not </w:t>
      </w:r>
      <w:r>
        <w:rPr>
          <w:spacing w:val="-3"/>
        </w:rPr>
        <w:t>enrolled with </w:t>
      </w:r>
      <w:r>
        <w:rPr/>
        <w:t>the BH </w:t>
      </w:r>
      <w:r>
        <w:rPr>
          <w:spacing w:val="-3"/>
        </w:rPr>
        <w:t>Contractor transfers between </w:t>
      </w:r>
      <w:r>
        <w:rPr/>
        <w:t>a </w:t>
      </w:r>
      <w:r>
        <w:rPr>
          <w:spacing w:val="-3"/>
        </w:rPr>
        <w:t>DMH-Licensed </w:t>
      </w:r>
      <w:r>
        <w:rPr/>
        <w:t>Bed and a </w:t>
      </w:r>
      <w:r>
        <w:rPr>
          <w:spacing w:val="-3"/>
        </w:rPr>
        <w:t>non-DMH-Licensed </w:t>
      </w:r>
      <w:r>
        <w:rPr/>
        <w:t>Bed in the </w:t>
      </w:r>
      <w:r>
        <w:rPr>
          <w:spacing w:val="-3"/>
        </w:rPr>
        <w:t>same Hospital during </w:t>
      </w:r>
      <w:r>
        <w:rPr/>
        <w:t>a </w:t>
      </w:r>
      <w:r>
        <w:rPr>
          <w:spacing w:val="-3"/>
        </w:rPr>
        <w:t>single admission, EOHHS will </w:t>
      </w:r>
      <w:r>
        <w:rPr/>
        <w:t>pay the </w:t>
      </w:r>
      <w:r>
        <w:rPr>
          <w:spacing w:val="-3"/>
        </w:rPr>
        <w:t>Hospital </w:t>
      </w:r>
      <w:r>
        <w:rPr/>
        <w:t>at the </w:t>
      </w:r>
      <w:r>
        <w:rPr>
          <w:spacing w:val="-3"/>
        </w:rPr>
        <w:t>transfer </w:t>
      </w:r>
      <w:r>
        <w:rPr/>
        <w:t>per </w:t>
      </w:r>
      <w:r>
        <w:rPr>
          <w:spacing w:val="-3"/>
        </w:rPr>
        <w:t>diem capped at </w:t>
      </w:r>
      <w:r>
        <w:rPr/>
        <w:t>the </w:t>
      </w:r>
      <w:r>
        <w:rPr>
          <w:spacing w:val="-3"/>
        </w:rPr>
        <w:t>Hospital-specific SPAD </w:t>
      </w:r>
      <w:r>
        <w:rPr/>
        <w:t>as </w:t>
      </w:r>
      <w:r>
        <w:rPr>
          <w:spacing w:val="-3"/>
        </w:rPr>
        <w:t>adjusted </w:t>
      </w:r>
      <w:r>
        <w:rPr/>
        <w:t>in </w:t>
      </w:r>
      <w:r>
        <w:rPr>
          <w:b/>
          <w:spacing w:val="-3"/>
        </w:rPr>
        <w:t>Section </w:t>
      </w:r>
      <w:r>
        <w:rPr>
          <w:b/>
        </w:rPr>
        <w:t>8.1 </w:t>
      </w:r>
      <w:r>
        <w:rPr/>
        <w:t>for the </w:t>
      </w:r>
      <w:r>
        <w:rPr>
          <w:spacing w:val="-3"/>
        </w:rPr>
        <w:t>non-DMH-Licensed </w:t>
      </w:r>
      <w:r>
        <w:rPr/>
        <w:t>Bed </w:t>
      </w:r>
      <w:r>
        <w:rPr>
          <w:spacing w:val="-3"/>
        </w:rPr>
        <w:t>portion </w:t>
      </w:r>
      <w:r>
        <w:rPr/>
        <w:t>of the </w:t>
      </w:r>
      <w:r>
        <w:rPr>
          <w:spacing w:val="-3"/>
        </w:rPr>
        <w:t>stay, </w:t>
      </w:r>
      <w:r>
        <w:rPr/>
        <w:t>and at the </w:t>
      </w:r>
      <w:r>
        <w:rPr>
          <w:spacing w:val="-3"/>
        </w:rPr>
        <w:t>psychiatric </w:t>
      </w:r>
      <w:r>
        <w:rPr/>
        <w:t>per </w:t>
      </w:r>
      <w:r>
        <w:rPr>
          <w:spacing w:val="-3"/>
        </w:rPr>
        <w:t>diem </w:t>
      </w:r>
      <w:r>
        <w:rPr/>
        <w:t>for the </w:t>
      </w:r>
      <w:r>
        <w:rPr>
          <w:spacing w:val="-3"/>
        </w:rPr>
        <w:t>DMH-Licensed Bed portion </w:t>
      </w:r>
      <w:r>
        <w:rPr/>
        <w:t>of the </w:t>
      </w:r>
      <w:r>
        <w:rPr>
          <w:spacing w:val="-3"/>
        </w:rPr>
        <w:t>stay (see </w:t>
      </w:r>
      <w:r>
        <w:rPr>
          <w:b/>
          <w:spacing w:val="-3"/>
        </w:rPr>
        <w:t>Section 5.B.7</w:t>
      </w:r>
      <w:r>
        <w:rPr>
          <w:spacing w:val="-3"/>
        </w:rPr>
        <w:t>).</w:t>
      </w:r>
    </w:p>
    <w:p>
      <w:pPr>
        <w:pStyle w:val="BodyText"/>
        <w:spacing w:before="1"/>
      </w:pPr>
    </w:p>
    <w:p>
      <w:pPr>
        <w:pStyle w:val="BodyText"/>
        <w:spacing w:line="244" w:lineRule="auto"/>
        <w:ind w:left="1591" w:right="400"/>
      </w:pPr>
      <w:r>
        <w:rPr/>
        <w:t>If the </w:t>
      </w:r>
      <w:r>
        <w:rPr>
          <w:spacing w:val="-3"/>
        </w:rPr>
        <w:t>Member </w:t>
      </w:r>
      <w:r>
        <w:rPr/>
        <w:t>is </w:t>
      </w:r>
      <w:r>
        <w:rPr>
          <w:spacing w:val="-3"/>
        </w:rPr>
        <w:t>enrolled with </w:t>
      </w:r>
      <w:r>
        <w:rPr/>
        <w:t>the BH </w:t>
      </w:r>
      <w:r>
        <w:rPr>
          <w:spacing w:val="-3"/>
        </w:rPr>
        <w:t>Contractor, EOHHS will </w:t>
      </w:r>
      <w:r>
        <w:rPr/>
        <w:t>pay for the </w:t>
      </w:r>
      <w:r>
        <w:rPr>
          <w:spacing w:val="-3"/>
        </w:rPr>
        <w:t>non- DMH-Licensed </w:t>
      </w:r>
      <w:r>
        <w:rPr/>
        <w:t>Bed </w:t>
      </w:r>
      <w:r>
        <w:rPr>
          <w:spacing w:val="-3"/>
        </w:rPr>
        <w:t>portion </w:t>
      </w:r>
      <w:r>
        <w:rPr/>
        <w:t>of the </w:t>
      </w:r>
      <w:r>
        <w:rPr>
          <w:spacing w:val="-3"/>
        </w:rPr>
        <w:t>stay, </w:t>
      </w:r>
      <w:r>
        <w:rPr/>
        <w:t>and </w:t>
      </w:r>
      <w:r>
        <w:rPr>
          <w:spacing w:val="-3"/>
        </w:rPr>
        <w:t>only </w:t>
      </w:r>
      <w:r>
        <w:rPr/>
        <w:t>if it is for </w:t>
      </w:r>
      <w:r>
        <w:rPr>
          <w:spacing w:val="-3"/>
        </w:rPr>
        <w:t>medical (i.e., non- psychiatric/substance-related disorder) treatment. </w:t>
      </w:r>
      <w:r>
        <w:rPr/>
        <w:t>In </w:t>
      </w:r>
      <w:r>
        <w:rPr>
          <w:spacing w:val="-3"/>
        </w:rPr>
        <w:t>that case, such payment will </w:t>
      </w:r>
      <w:r>
        <w:rPr/>
        <w:t>be at the </w:t>
      </w:r>
      <w:r>
        <w:rPr>
          <w:spacing w:val="-3"/>
        </w:rPr>
        <w:t>transfer </w:t>
      </w:r>
      <w:r>
        <w:rPr/>
        <w:t>per </w:t>
      </w:r>
      <w:r>
        <w:rPr>
          <w:spacing w:val="-3"/>
        </w:rPr>
        <w:t>diem rate capped </w:t>
      </w:r>
      <w:r>
        <w:rPr/>
        <w:t>at the </w:t>
      </w:r>
      <w:r>
        <w:rPr>
          <w:spacing w:val="-3"/>
        </w:rPr>
        <w:t>Hospital-specific SPAD, </w:t>
      </w:r>
      <w:r>
        <w:rPr/>
        <w:t>as </w:t>
      </w:r>
      <w:r>
        <w:rPr>
          <w:spacing w:val="-3"/>
        </w:rPr>
        <w:t>adjusted </w:t>
      </w:r>
      <w:r>
        <w:rPr/>
        <w:t>in </w:t>
      </w:r>
      <w:r>
        <w:rPr>
          <w:b/>
          <w:spacing w:val="-3"/>
        </w:rPr>
        <w:t>Section </w:t>
      </w:r>
      <w:r>
        <w:rPr>
          <w:b/>
        </w:rPr>
        <w:t>8.1</w:t>
      </w:r>
      <w:r>
        <w:rPr/>
        <w:t>.</w:t>
      </w:r>
    </w:p>
    <w:p>
      <w:pPr>
        <w:spacing w:after="0" w:line="244" w:lineRule="auto"/>
        <w:sectPr>
          <w:pgSz w:w="12240" w:h="15840"/>
          <w:pgMar w:header="0" w:footer="744" w:top="1380" w:bottom="940" w:left="1720" w:right="880"/>
        </w:sectPr>
      </w:pPr>
    </w:p>
    <w:p>
      <w:pPr>
        <w:pStyle w:val="Heading3"/>
        <w:numPr>
          <w:ilvl w:val="3"/>
          <w:numId w:val="8"/>
        </w:numPr>
        <w:tabs>
          <w:tab w:pos="1591" w:val="left" w:leader="none"/>
          <w:tab w:pos="1592" w:val="left" w:leader="none"/>
        </w:tabs>
        <w:spacing w:line="244" w:lineRule="auto" w:before="65" w:after="0"/>
        <w:ind w:left="1592" w:right="1477" w:hanging="540"/>
        <w:jc w:val="left"/>
      </w:pPr>
      <w:r>
        <w:rPr>
          <w:spacing w:val="-3"/>
        </w:rPr>
        <w:t>Change </w:t>
      </w:r>
      <w:r>
        <w:rPr/>
        <w:t>of BH </w:t>
      </w:r>
      <w:r>
        <w:rPr>
          <w:spacing w:val="-3"/>
        </w:rPr>
        <w:t>Managed Care Status during </w:t>
      </w:r>
      <w:r>
        <w:rPr/>
        <w:t>a </w:t>
      </w:r>
      <w:r>
        <w:rPr>
          <w:spacing w:val="-3"/>
        </w:rPr>
        <w:t>Behavioral Health </w:t>
      </w:r>
      <w:r>
        <w:rPr>
          <w:spacing w:val="-4"/>
        </w:rPr>
        <w:t>Hospitalization</w:t>
      </w:r>
    </w:p>
    <w:p>
      <w:pPr>
        <w:pStyle w:val="BodyText"/>
        <w:spacing w:before="4"/>
        <w:rPr>
          <w:b/>
        </w:rPr>
      </w:pPr>
    </w:p>
    <w:p>
      <w:pPr>
        <w:pStyle w:val="ListParagraph"/>
        <w:numPr>
          <w:ilvl w:val="4"/>
          <w:numId w:val="8"/>
        </w:numPr>
        <w:tabs>
          <w:tab w:pos="2138" w:val="left" w:leader="none"/>
          <w:tab w:pos="2139" w:val="left" w:leader="none"/>
        </w:tabs>
        <w:spacing w:line="244" w:lineRule="auto" w:before="0" w:after="0"/>
        <w:ind w:left="2139" w:right="696" w:hanging="547"/>
        <w:jc w:val="left"/>
        <w:rPr>
          <w:b/>
          <w:sz w:val="24"/>
        </w:rPr>
      </w:pPr>
      <w:r>
        <w:rPr>
          <w:b/>
          <w:spacing w:val="-3"/>
          <w:sz w:val="24"/>
        </w:rPr>
        <w:t>Payments </w:t>
      </w:r>
      <w:r>
        <w:rPr>
          <w:b/>
          <w:sz w:val="24"/>
        </w:rPr>
        <w:t>to </w:t>
      </w:r>
      <w:r>
        <w:rPr>
          <w:b/>
          <w:spacing w:val="-3"/>
          <w:sz w:val="24"/>
        </w:rPr>
        <w:t>Hospitals without Network Provider Agreements </w:t>
      </w:r>
      <w:r>
        <w:rPr>
          <w:b/>
          <w:spacing w:val="-4"/>
          <w:sz w:val="24"/>
        </w:rPr>
        <w:t>with </w:t>
      </w:r>
      <w:r>
        <w:rPr>
          <w:b/>
          <w:spacing w:val="-3"/>
          <w:sz w:val="24"/>
        </w:rPr>
        <w:t>EOHHS’ </w:t>
      </w:r>
      <w:r>
        <w:rPr>
          <w:b/>
          <w:sz w:val="24"/>
        </w:rPr>
        <w:t>BH</w:t>
      </w:r>
      <w:r>
        <w:rPr>
          <w:b/>
          <w:spacing w:val="-7"/>
          <w:sz w:val="24"/>
        </w:rPr>
        <w:t> </w:t>
      </w:r>
      <w:r>
        <w:rPr>
          <w:b/>
          <w:spacing w:val="-3"/>
          <w:sz w:val="24"/>
        </w:rPr>
        <w:t>Contractor</w:t>
      </w:r>
    </w:p>
    <w:p>
      <w:pPr>
        <w:pStyle w:val="BodyText"/>
        <w:spacing w:before="5"/>
        <w:rPr>
          <w:b/>
          <w:sz w:val="25"/>
        </w:rPr>
      </w:pPr>
    </w:p>
    <w:p>
      <w:pPr>
        <w:pStyle w:val="BodyText"/>
        <w:spacing w:line="242" w:lineRule="auto" w:before="1"/>
        <w:ind w:left="2131" w:right="147"/>
      </w:pPr>
      <w:r>
        <w:rPr>
          <w:spacing w:val="-3"/>
        </w:rPr>
        <w:t>When </w:t>
      </w:r>
      <w:r>
        <w:rPr/>
        <w:t>a </w:t>
      </w:r>
      <w:r>
        <w:rPr>
          <w:spacing w:val="-3"/>
        </w:rPr>
        <w:t>Member </w:t>
      </w:r>
      <w:r>
        <w:rPr/>
        <w:t>is </w:t>
      </w:r>
      <w:r>
        <w:rPr>
          <w:spacing w:val="-3"/>
        </w:rPr>
        <w:t>enrolled with </w:t>
      </w:r>
      <w:r>
        <w:rPr/>
        <w:t>the BH </w:t>
      </w:r>
      <w:r>
        <w:rPr>
          <w:spacing w:val="-3"/>
        </w:rPr>
        <w:t>Contractor during </w:t>
      </w:r>
      <w:r>
        <w:rPr/>
        <w:t>an </w:t>
      </w:r>
      <w:r>
        <w:rPr>
          <w:spacing w:val="-3"/>
        </w:rPr>
        <w:t>Emergency or Post-Stabilization behavioral health admission </w:t>
      </w:r>
      <w:r>
        <w:rPr/>
        <w:t>at a </w:t>
      </w:r>
      <w:r>
        <w:rPr>
          <w:spacing w:val="-3"/>
        </w:rPr>
        <w:t>non-network Hospital, the portion </w:t>
      </w:r>
      <w:r>
        <w:rPr/>
        <w:t>of the </w:t>
      </w:r>
      <w:r>
        <w:rPr>
          <w:spacing w:val="-3"/>
        </w:rPr>
        <w:t>Hospital stay during which </w:t>
      </w:r>
      <w:r>
        <w:rPr/>
        <w:t>the </w:t>
      </w:r>
      <w:r>
        <w:rPr>
          <w:spacing w:val="-3"/>
        </w:rPr>
        <w:t>Member </w:t>
      </w:r>
      <w:r>
        <w:rPr/>
        <w:t>is </w:t>
      </w:r>
      <w:r>
        <w:rPr>
          <w:spacing w:val="-3"/>
        </w:rPr>
        <w:t>enrolled with the </w:t>
      </w:r>
      <w:r>
        <w:rPr/>
        <w:t>BH </w:t>
      </w:r>
      <w:r>
        <w:rPr>
          <w:spacing w:val="-3"/>
        </w:rPr>
        <w:t>Contractor shall </w:t>
      </w:r>
      <w:r>
        <w:rPr/>
        <w:t>be </w:t>
      </w:r>
      <w:r>
        <w:rPr>
          <w:spacing w:val="-3"/>
        </w:rPr>
        <w:t>paid </w:t>
      </w:r>
      <w:r>
        <w:rPr/>
        <w:t>by the BH </w:t>
      </w:r>
      <w:r>
        <w:rPr>
          <w:spacing w:val="-3"/>
        </w:rPr>
        <w:t>Contractor provided that </w:t>
      </w:r>
      <w:r>
        <w:rPr/>
        <w:t>the </w:t>
      </w:r>
      <w:r>
        <w:rPr>
          <w:spacing w:val="-3"/>
        </w:rPr>
        <w:t>Hospital complies with </w:t>
      </w:r>
      <w:r>
        <w:rPr/>
        <w:t>the BH </w:t>
      </w:r>
      <w:r>
        <w:rPr>
          <w:spacing w:val="-3"/>
        </w:rPr>
        <w:t>Contractor’s billing requirements </w:t>
      </w:r>
      <w:r>
        <w:rPr/>
        <w:t>and any </w:t>
      </w:r>
      <w:r>
        <w:rPr>
          <w:spacing w:val="-3"/>
        </w:rPr>
        <w:t>applicable service authorization requirements that </w:t>
      </w:r>
      <w:r>
        <w:rPr/>
        <w:t>are </w:t>
      </w:r>
      <w:r>
        <w:rPr>
          <w:spacing w:val="-3"/>
        </w:rPr>
        <w:t>permissible under federal </w:t>
      </w:r>
      <w:r>
        <w:rPr/>
        <w:t>law </w:t>
      </w:r>
      <w:r>
        <w:rPr>
          <w:spacing w:val="-3"/>
        </w:rPr>
        <w:t>at </w:t>
      </w:r>
      <w:r>
        <w:rPr/>
        <w:t>42</w:t>
      </w:r>
      <w:r>
        <w:rPr>
          <w:spacing w:val="-8"/>
        </w:rPr>
        <w:t> </w:t>
      </w:r>
      <w:r>
        <w:rPr/>
        <w:t>USC</w:t>
      </w:r>
      <w:r>
        <w:rPr>
          <w:spacing w:val="-8"/>
        </w:rPr>
        <w:t> </w:t>
      </w:r>
      <w:r>
        <w:rPr>
          <w:spacing w:val="-3"/>
        </w:rPr>
        <w:t>1396u-2(b)(2),</w:t>
      </w:r>
      <w:r>
        <w:rPr>
          <w:spacing w:val="-8"/>
        </w:rPr>
        <w:t> </w:t>
      </w:r>
      <w:r>
        <w:rPr/>
        <w:t>42</w:t>
      </w:r>
      <w:r>
        <w:rPr>
          <w:spacing w:val="-8"/>
        </w:rPr>
        <w:t> </w:t>
      </w:r>
      <w:r>
        <w:rPr/>
        <w:t>CFR</w:t>
      </w:r>
      <w:r>
        <w:rPr>
          <w:spacing w:val="-8"/>
        </w:rPr>
        <w:t> </w:t>
      </w:r>
      <w:r>
        <w:rPr>
          <w:spacing w:val="-3"/>
        </w:rPr>
        <w:t>438.114,</w:t>
      </w:r>
      <w:r>
        <w:rPr>
          <w:spacing w:val="-8"/>
        </w:rPr>
        <w:t> </w:t>
      </w:r>
      <w:r>
        <w:rPr/>
        <w:t>and</w:t>
      </w:r>
      <w:r>
        <w:rPr>
          <w:spacing w:val="-8"/>
        </w:rPr>
        <w:t> </w:t>
      </w:r>
      <w:r>
        <w:rPr/>
        <w:t>42</w:t>
      </w:r>
      <w:r>
        <w:rPr>
          <w:spacing w:val="-8"/>
        </w:rPr>
        <w:t> </w:t>
      </w:r>
      <w:r>
        <w:rPr/>
        <w:t>CFR</w:t>
      </w:r>
      <w:r>
        <w:rPr>
          <w:spacing w:val="-8"/>
        </w:rPr>
        <w:t> </w:t>
      </w:r>
      <w:r>
        <w:rPr>
          <w:spacing w:val="-3"/>
        </w:rPr>
        <w:t>422.113(c).</w:t>
      </w:r>
    </w:p>
    <w:p>
      <w:pPr>
        <w:pStyle w:val="BodyText"/>
        <w:spacing w:before="4"/>
      </w:pPr>
    </w:p>
    <w:p>
      <w:pPr>
        <w:pStyle w:val="BodyText"/>
        <w:spacing w:line="242" w:lineRule="auto"/>
        <w:ind w:left="2131" w:right="109"/>
      </w:pPr>
      <w:r>
        <w:rPr/>
        <w:t>In </w:t>
      </w:r>
      <w:r>
        <w:rPr>
          <w:spacing w:val="-3"/>
        </w:rPr>
        <w:t>accordance with </w:t>
      </w:r>
      <w:r>
        <w:rPr/>
        <w:t>the </w:t>
      </w:r>
      <w:r>
        <w:rPr>
          <w:spacing w:val="-3"/>
        </w:rPr>
        <w:t>preceding federal law, </w:t>
      </w:r>
      <w:r>
        <w:rPr/>
        <w:t>and </w:t>
      </w:r>
      <w:r>
        <w:rPr>
          <w:spacing w:val="-3"/>
        </w:rPr>
        <w:t>with </w:t>
      </w:r>
      <w:r>
        <w:rPr/>
        <w:t>42 CFR </w:t>
      </w:r>
      <w:r>
        <w:rPr>
          <w:spacing w:val="-3"/>
        </w:rPr>
        <w:t>422.214(b), if </w:t>
      </w:r>
      <w:r>
        <w:rPr/>
        <w:t>the BH </w:t>
      </w:r>
      <w:r>
        <w:rPr>
          <w:spacing w:val="-3"/>
        </w:rPr>
        <w:t>Contractor offers </w:t>
      </w:r>
      <w:r>
        <w:rPr/>
        <w:t>to pay the </w:t>
      </w:r>
      <w:r>
        <w:rPr>
          <w:spacing w:val="-3"/>
        </w:rPr>
        <w:t>Hospital </w:t>
      </w:r>
      <w:r>
        <w:rPr/>
        <w:t>a </w:t>
      </w:r>
      <w:r>
        <w:rPr>
          <w:spacing w:val="-3"/>
        </w:rPr>
        <w:t>rate equal </w:t>
      </w:r>
      <w:r>
        <w:rPr/>
        <w:t>to the </w:t>
      </w:r>
      <w:r>
        <w:rPr>
          <w:spacing w:val="-3"/>
        </w:rPr>
        <w:t>applicable </w:t>
      </w:r>
      <w:r>
        <w:rPr/>
        <w:t>RFA </w:t>
      </w:r>
      <w:r>
        <w:rPr>
          <w:spacing w:val="-3"/>
        </w:rPr>
        <w:t>rate less </w:t>
      </w:r>
      <w:r>
        <w:rPr/>
        <w:t>any </w:t>
      </w:r>
      <w:r>
        <w:rPr>
          <w:spacing w:val="-3"/>
        </w:rPr>
        <w:t>amount </w:t>
      </w:r>
      <w:r>
        <w:rPr/>
        <w:t>for </w:t>
      </w:r>
      <w:r>
        <w:rPr>
          <w:spacing w:val="-3"/>
        </w:rPr>
        <w:t>graduate medical education </w:t>
      </w:r>
      <w:r>
        <w:rPr/>
        <w:t>for </w:t>
      </w:r>
      <w:r>
        <w:rPr>
          <w:spacing w:val="-3"/>
        </w:rPr>
        <w:t>Emergency and Post-Stabilization psychiatric </w:t>
      </w:r>
      <w:r>
        <w:rPr/>
        <w:t>or </w:t>
      </w:r>
      <w:r>
        <w:rPr>
          <w:spacing w:val="-3"/>
        </w:rPr>
        <w:t>substance-related disorder services, the Hospital must accept </w:t>
      </w:r>
      <w:r>
        <w:rPr/>
        <w:t>the BH </w:t>
      </w:r>
      <w:r>
        <w:rPr>
          <w:spacing w:val="-3"/>
        </w:rPr>
        <w:t>Contractor’s rate offer </w:t>
      </w:r>
      <w:r>
        <w:rPr/>
        <w:t>as </w:t>
      </w:r>
      <w:r>
        <w:rPr>
          <w:spacing w:val="-3"/>
        </w:rPr>
        <w:t>payment </w:t>
      </w:r>
      <w:r>
        <w:rPr/>
        <w:t>in </w:t>
      </w:r>
      <w:r>
        <w:rPr>
          <w:spacing w:val="-3"/>
        </w:rPr>
        <w:t>full </w:t>
      </w:r>
      <w:r>
        <w:rPr/>
        <w:t>for </w:t>
      </w:r>
      <w:r>
        <w:rPr>
          <w:spacing w:val="-3"/>
        </w:rPr>
        <w:t>all such </w:t>
      </w:r>
      <w:r>
        <w:rPr>
          <w:spacing w:val="-4"/>
        </w:rPr>
        <w:t>Members.</w:t>
      </w:r>
    </w:p>
    <w:p>
      <w:pPr>
        <w:pStyle w:val="BodyText"/>
        <w:spacing w:before="3"/>
      </w:pPr>
    </w:p>
    <w:p>
      <w:pPr>
        <w:pStyle w:val="BodyText"/>
        <w:spacing w:line="242" w:lineRule="auto" w:before="1"/>
        <w:ind w:left="2131" w:right="171"/>
      </w:pPr>
      <w:r>
        <w:rPr>
          <w:spacing w:val="-3"/>
        </w:rPr>
        <w:t>This requirement does </w:t>
      </w:r>
      <w:r>
        <w:rPr/>
        <w:t>not </w:t>
      </w:r>
      <w:r>
        <w:rPr>
          <w:spacing w:val="-3"/>
        </w:rPr>
        <w:t>prohibit </w:t>
      </w:r>
      <w:r>
        <w:rPr/>
        <w:t>the BH </w:t>
      </w:r>
      <w:r>
        <w:rPr>
          <w:spacing w:val="-3"/>
        </w:rPr>
        <w:t>Contractor from negotiating to </w:t>
      </w:r>
      <w:r>
        <w:rPr/>
        <w:t>pay at a </w:t>
      </w:r>
      <w:r>
        <w:rPr>
          <w:spacing w:val="-3"/>
        </w:rPr>
        <w:t>lower rate than </w:t>
      </w:r>
      <w:r>
        <w:rPr/>
        <w:t>the </w:t>
      </w:r>
      <w:r>
        <w:rPr>
          <w:spacing w:val="-3"/>
        </w:rPr>
        <w:t>non-network Hospital’s applicable </w:t>
      </w:r>
      <w:r>
        <w:rPr/>
        <w:t>RFA </w:t>
      </w:r>
      <w:r>
        <w:rPr>
          <w:spacing w:val="-3"/>
        </w:rPr>
        <w:t>rate less </w:t>
      </w:r>
      <w:r>
        <w:rPr/>
        <w:t>any</w:t>
      </w:r>
      <w:r>
        <w:rPr>
          <w:spacing w:val="-7"/>
        </w:rPr>
        <w:t> </w:t>
      </w:r>
      <w:r>
        <w:rPr>
          <w:spacing w:val="-3"/>
        </w:rPr>
        <w:t>amount</w:t>
      </w:r>
      <w:r>
        <w:rPr>
          <w:spacing w:val="-7"/>
        </w:rPr>
        <w:t> </w:t>
      </w:r>
      <w:r>
        <w:rPr/>
        <w:t>for</w:t>
      </w:r>
      <w:r>
        <w:rPr>
          <w:spacing w:val="-7"/>
        </w:rPr>
        <w:t> </w:t>
      </w:r>
      <w:r>
        <w:rPr>
          <w:spacing w:val="-3"/>
        </w:rPr>
        <w:t>graduate</w:t>
      </w:r>
      <w:r>
        <w:rPr>
          <w:spacing w:val="-7"/>
        </w:rPr>
        <w:t> </w:t>
      </w:r>
      <w:r>
        <w:rPr>
          <w:spacing w:val="-3"/>
        </w:rPr>
        <w:t>medical</w:t>
      </w:r>
      <w:r>
        <w:rPr>
          <w:spacing w:val="-7"/>
        </w:rPr>
        <w:t> </w:t>
      </w:r>
      <w:r>
        <w:rPr>
          <w:spacing w:val="-3"/>
        </w:rPr>
        <w:t>education</w:t>
      </w:r>
      <w:r>
        <w:rPr>
          <w:spacing w:val="-7"/>
        </w:rPr>
        <w:t> </w:t>
      </w:r>
      <w:r>
        <w:rPr/>
        <w:t>for</w:t>
      </w:r>
      <w:r>
        <w:rPr>
          <w:spacing w:val="-7"/>
        </w:rPr>
        <w:t> </w:t>
      </w:r>
      <w:r>
        <w:rPr/>
        <w:t>all</w:t>
      </w:r>
      <w:r>
        <w:rPr>
          <w:spacing w:val="-7"/>
        </w:rPr>
        <w:t> </w:t>
      </w:r>
      <w:r>
        <w:rPr>
          <w:spacing w:val="-3"/>
        </w:rPr>
        <w:t>such</w:t>
      </w:r>
      <w:r>
        <w:rPr>
          <w:spacing w:val="-7"/>
        </w:rPr>
        <w:t> </w:t>
      </w:r>
      <w:r>
        <w:rPr>
          <w:spacing w:val="-3"/>
        </w:rPr>
        <w:t>Emergency</w:t>
      </w:r>
      <w:r>
        <w:rPr>
          <w:spacing w:val="-7"/>
        </w:rPr>
        <w:t> </w:t>
      </w:r>
      <w:r>
        <w:rPr/>
        <w:t>and</w:t>
      </w:r>
      <w:r>
        <w:rPr>
          <w:spacing w:val="-7"/>
        </w:rPr>
        <w:t> </w:t>
      </w:r>
      <w:r>
        <w:rPr>
          <w:spacing w:val="-3"/>
        </w:rPr>
        <w:t>Post- Stabilization psychiatric </w:t>
      </w:r>
      <w:r>
        <w:rPr/>
        <w:t>or </w:t>
      </w:r>
      <w:r>
        <w:rPr>
          <w:spacing w:val="-3"/>
        </w:rPr>
        <w:t>substance abuse-related disorder services provided </w:t>
      </w:r>
      <w:r>
        <w:rPr/>
        <w:t>at a </w:t>
      </w:r>
      <w:r>
        <w:rPr>
          <w:spacing w:val="-3"/>
        </w:rPr>
        <w:t>non-network</w:t>
      </w:r>
      <w:r>
        <w:rPr>
          <w:spacing w:val="-14"/>
        </w:rPr>
        <w:t> </w:t>
      </w:r>
      <w:r>
        <w:rPr>
          <w:spacing w:val="-3"/>
        </w:rPr>
        <w:t>hospital.</w:t>
      </w:r>
    </w:p>
    <w:p>
      <w:pPr>
        <w:pStyle w:val="BodyText"/>
        <w:spacing w:before="3"/>
      </w:pPr>
    </w:p>
    <w:p>
      <w:pPr>
        <w:pStyle w:val="BodyText"/>
        <w:spacing w:line="244" w:lineRule="auto"/>
        <w:ind w:left="2131" w:right="267"/>
      </w:pPr>
      <w:r>
        <w:rPr/>
        <w:t>The </w:t>
      </w:r>
      <w:r>
        <w:rPr>
          <w:spacing w:val="-3"/>
        </w:rPr>
        <w:t>portion </w:t>
      </w:r>
      <w:r>
        <w:rPr/>
        <w:t>of the </w:t>
      </w:r>
      <w:r>
        <w:rPr>
          <w:spacing w:val="-3"/>
        </w:rPr>
        <w:t>Hospital stay during which </w:t>
      </w:r>
      <w:r>
        <w:rPr/>
        <w:t>the </w:t>
      </w:r>
      <w:r>
        <w:rPr>
          <w:spacing w:val="-3"/>
        </w:rPr>
        <w:t>Member </w:t>
      </w:r>
      <w:r>
        <w:rPr/>
        <w:t>was not </w:t>
      </w:r>
      <w:r>
        <w:rPr>
          <w:spacing w:val="-3"/>
        </w:rPr>
        <w:t>enrolled with </w:t>
      </w:r>
      <w:r>
        <w:rPr/>
        <w:t>the BH </w:t>
      </w:r>
      <w:r>
        <w:rPr>
          <w:spacing w:val="-3"/>
        </w:rPr>
        <w:t>Contractor will </w:t>
      </w:r>
      <w:r>
        <w:rPr/>
        <w:t>be </w:t>
      </w:r>
      <w:r>
        <w:rPr>
          <w:spacing w:val="-3"/>
        </w:rPr>
        <w:t>paid </w:t>
      </w:r>
      <w:r>
        <w:rPr/>
        <w:t>by </w:t>
      </w:r>
      <w:r>
        <w:rPr>
          <w:spacing w:val="-3"/>
        </w:rPr>
        <w:t>EOHHS </w:t>
      </w:r>
      <w:r>
        <w:rPr/>
        <w:t>at the </w:t>
      </w:r>
      <w:r>
        <w:rPr>
          <w:spacing w:val="-3"/>
        </w:rPr>
        <w:t>psychiatric </w:t>
      </w:r>
      <w:r>
        <w:rPr/>
        <w:t>per </w:t>
      </w:r>
      <w:r>
        <w:rPr>
          <w:spacing w:val="-3"/>
        </w:rPr>
        <w:t>diem rate </w:t>
      </w:r>
      <w:r>
        <w:rPr/>
        <w:t>for </w:t>
      </w:r>
      <w:r>
        <w:rPr>
          <w:spacing w:val="-3"/>
        </w:rPr>
        <w:t>psychiatric services </w:t>
      </w:r>
      <w:r>
        <w:rPr/>
        <w:t>in a </w:t>
      </w:r>
      <w:r>
        <w:rPr>
          <w:spacing w:val="-3"/>
        </w:rPr>
        <w:t>DMH-Licensed </w:t>
      </w:r>
      <w:r>
        <w:rPr/>
        <w:t>Bed or at the </w:t>
      </w:r>
      <w:r>
        <w:rPr>
          <w:spacing w:val="-3"/>
        </w:rPr>
        <w:t>transfer per diem rate, capped </w:t>
      </w:r>
      <w:r>
        <w:rPr/>
        <w:t>at the </w:t>
      </w:r>
      <w:r>
        <w:rPr>
          <w:spacing w:val="-3"/>
        </w:rPr>
        <w:t>Hospital-specific SPAD, </w:t>
      </w:r>
      <w:r>
        <w:rPr/>
        <w:t>as </w:t>
      </w:r>
      <w:r>
        <w:rPr>
          <w:spacing w:val="-3"/>
        </w:rPr>
        <w:t>adjusted </w:t>
      </w:r>
      <w:r>
        <w:rPr/>
        <w:t>in </w:t>
      </w:r>
      <w:r>
        <w:rPr>
          <w:b/>
          <w:spacing w:val="-3"/>
        </w:rPr>
        <w:t>Section </w:t>
      </w:r>
      <w:r>
        <w:rPr>
          <w:b/>
        </w:rPr>
        <w:t>8.1</w:t>
      </w:r>
      <w:r>
        <w:rPr/>
        <w:t>, for </w:t>
      </w:r>
      <w:r>
        <w:rPr>
          <w:spacing w:val="-3"/>
        </w:rPr>
        <w:t>substance-related disorder services </w:t>
      </w:r>
      <w:r>
        <w:rPr/>
        <w:t>and for </w:t>
      </w:r>
      <w:r>
        <w:rPr>
          <w:spacing w:val="-3"/>
        </w:rPr>
        <w:t>psychiatric services </w:t>
      </w:r>
      <w:r>
        <w:rPr/>
        <w:t>in a </w:t>
      </w:r>
      <w:r>
        <w:rPr>
          <w:spacing w:val="-3"/>
        </w:rPr>
        <w:t>non- DMH-Licensed Bed.</w:t>
      </w:r>
    </w:p>
    <w:p>
      <w:pPr>
        <w:pStyle w:val="BodyText"/>
        <w:spacing w:before="4"/>
      </w:pPr>
    </w:p>
    <w:p>
      <w:pPr>
        <w:pStyle w:val="Heading3"/>
        <w:numPr>
          <w:ilvl w:val="4"/>
          <w:numId w:val="8"/>
        </w:numPr>
        <w:tabs>
          <w:tab w:pos="2138" w:val="left" w:leader="none"/>
          <w:tab w:pos="2139" w:val="left" w:leader="none"/>
        </w:tabs>
        <w:spacing w:line="244" w:lineRule="auto" w:before="1" w:after="0"/>
        <w:ind w:left="2139" w:right="1000" w:hanging="547"/>
        <w:jc w:val="left"/>
      </w:pPr>
      <w:r>
        <w:rPr>
          <w:spacing w:val="-3"/>
        </w:rPr>
        <w:t>Payments </w:t>
      </w:r>
      <w:r>
        <w:rPr/>
        <w:t>to </w:t>
      </w:r>
      <w:r>
        <w:rPr>
          <w:spacing w:val="-3"/>
        </w:rPr>
        <w:t>Hospitals that </w:t>
      </w:r>
      <w:r>
        <w:rPr/>
        <w:t>are in the BH</w:t>
      </w:r>
      <w:r>
        <w:rPr>
          <w:spacing w:val="-42"/>
        </w:rPr>
        <w:t> </w:t>
      </w:r>
      <w:r>
        <w:rPr>
          <w:spacing w:val="-3"/>
        </w:rPr>
        <w:t>Contractor’s Provider Network</w:t>
      </w:r>
    </w:p>
    <w:p>
      <w:pPr>
        <w:pStyle w:val="BodyText"/>
        <w:rPr>
          <w:b/>
        </w:rPr>
      </w:pPr>
    </w:p>
    <w:p>
      <w:pPr>
        <w:pStyle w:val="BodyText"/>
        <w:spacing w:line="242" w:lineRule="auto"/>
        <w:ind w:left="2131" w:right="154"/>
      </w:pPr>
      <w:r>
        <w:rPr>
          <w:spacing w:val="-3"/>
        </w:rPr>
        <w:t>When </w:t>
      </w:r>
      <w:r>
        <w:rPr/>
        <w:t>a </w:t>
      </w:r>
      <w:r>
        <w:rPr>
          <w:spacing w:val="-3"/>
        </w:rPr>
        <w:t>Member </w:t>
      </w:r>
      <w:r>
        <w:rPr/>
        <w:t>is </w:t>
      </w:r>
      <w:r>
        <w:rPr>
          <w:spacing w:val="-3"/>
        </w:rPr>
        <w:t>enrolled with </w:t>
      </w:r>
      <w:r>
        <w:rPr/>
        <w:t>the BH </w:t>
      </w:r>
      <w:r>
        <w:rPr>
          <w:spacing w:val="-3"/>
        </w:rPr>
        <w:t>Contractor during </w:t>
      </w:r>
      <w:r>
        <w:rPr/>
        <w:t>an </w:t>
      </w:r>
      <w:r>
        <w:rPr>
          <w:spacing w:val="-3"/>
        </w:rPr>
        <w:t>emergency or non-emergency behavioral health Hospital admission, </w:t>
      </w:r>
      <w:r>
        <w:rPr/>
        <w:t>the </w:t>
      </w:r>
      <w:r>
        <w:rPr>
          <w:spacing w:val="-3"/>
        </w:rPr>
        <w:t>portion </w:t>
      </w:r>
      <w:r>
        <w:rPr/>
        <w:t>of </w:t>
      </w:r>
      <w:r>
        <w:rPr>
          <w:spacing w:val="-3"/>
        </w:rPr>
        <w:t>the Hospital stay during which </w:t>
      </w:r>
      <w:r>
        <w:rPr/>
        <w:t>the </w:t>
      </w:r>
      <w:r>
        <w:rPr>
          <w:spacing w:val="-3"/>
        </w:rPr>
        <w:t>Member </w:t>
      </w:r>
      <w:r>
        <w:rPr/>
        <w:t>was </w:t>
      </w:r>
      <w:r>
        <w:rPr>
          <w:spacing w:val="-3"/>
        </w:rPr>
        <w:t>enrolled with </w:t>
      </w:r>
      <w:r>
        <w:rPr/>
        <w:t>the BH </w:t>
      </w:r>
      <w:r>
        <w:rPr>
          <w:spacing w:val="-3"/>
        </w:rPr>
        <w:t>Contractor shall </w:t>
      </w:r>
      <w:r>
        <w:rPr/>
        <w:t>be </w:t>
      </w:r>
      <w:r>
        <w:rPr>
          <w:spacing w:val="-3"/>
        </w:rPr>
        <w:t>paid </w:t>
      </w:r>
      <w:r>
        <w:rPr/>
        <w:t>by the BH </w:t>
      </w:r>
      <w:r>
        <w:rPr>
          <w:spacing w:val="-3"/>
        </w:rPr>
        <w:t>Contractor </w:t>
      </w:r>
      <w:r>
        <w:rPr/>
        <w:t>at the </w:t>
      </w:r>
      <w:r>
        <w:rPr>
          <w:spacing w:val="-3"/>
        </w:rPr>
        <w:t>rates agreed upon </w:t>
      </w:r>
      <w:r>
        <w:rPr/>
        <w:t>by the </w:t>
      </w:r>
      <w:r>
        <w:rPr>
          <w:spacing w:val="-3"/>
        </w:rPr>
        <w:t>Hospital </w:t>
      </w:r>
      <w:r>
        <w:rPr/>
        <w:t>and the BH </w:t>
      </w:r>
      <w:r>
        <w:rPr>
          <w:spacing w:val="-3"/>
        </w:rPr>
        <w:t>Contractor provided that </w:t>
      </w:r>
      <w:r>
        <w:rPr/>
        <w:t>the </w:t>
      </w:r>
      <w:r>
        <w:rPr>
          <w:spacing w:val="-3"/>
        </w:rPr>
        <w:t>Hospital complies with </w:t>
      </w:r>
      <w:r>
        <w:rPr/>
        <w:t>the </w:t>
      </w:r>
      <w:r>
        <w:rPr>
          <w:spacing w:val="-3"/>
        </w:rPr>
        <w:t>BH Contractor’s service authorization </w:t>
      </w:r>
      <w:r>
        <w:rPr/>
        <w:t>and </w:t>
      </w:r>
      <w:r>
        <w:rPr>
          <w:spacing w:val="-3"/>
        </w:rPr>
        <w:t>billing policies </w:t>
      </w:r>
      <w:r>
        <w:rPr/>
        <w:t>and </w:t>
      </w:r>
      <w:r>
        <w:rPr>
          <w:spacing w:val="-3"/>
        </w:rPr>
        <w:t>procedures.</w:t>
      </w:r>
    </w:p>
    <w:p>
      <w:pPr>
        <w:pStyle w:val="BodyText"/>
        <w:spacing w:before="3"/>
      </w:pPr>
    </w:p>
    <w:p>
      <w:pPr>
        <w:pStyle w:val="BodyText"/>
        <w:spacing w:line="242" w:lineRule="auto" w:before="1"/>
        <w:ind w:left="2131" w:right="112"/>
      </w:pPr>
      <w:r>
        <w:rPr/>
        <w:t>The </w:t>
      </w:r>
      <w:r>
        <w:rPr>
          <w:spacing w:val="-3"/>
        </w:rPr>
        <w:t>portion </w:t>
      </w:r>
      <w:r>
        <w:rPr/>
        <w:t>of the </w:t>
      </w:r>
      <w:r>
        <w:rPr>
          <w:spacing w:val="-3"/>
        </w:rPr>
        <w:t>Hospital stay during which </w:t>
      </w:r>
      <w:r>
        <w:rPr/>
        <w:t>the </w:t>
      </w:r>
      <w:r>
        <w:rPr>
          <w:spacing w:val="-3"/>
        </w:rPr>
        <w:t>Member </w:t>
      </w:r>
      <w:r>
        <w:rPr/>
        <w:t>was not </w:t>
      </w:r>
      <w:r>
        <w:rPr>
          <w:spacing w:val="-3"/>
        </w:rPr>
        <w:t>enrolled with </w:t>
      </w:r>
      <w:r>
        <w:rPr/>
        <w:t>the BH </w:t>
      </w:r>
      <w:r>
        <w:rPr>
          <w:spacing w:val="-3"/>
        </w:rPr>
        <w:t>Contractor will </w:t>
      </w:r>
      <w:r>
        <w:rPr/>
        <w:t>be </w:t>
      </w:r>
      <w:r>
        <w:rPr>
          <w:spacing w:val="-3"/>
        </w:rPr>
        <w:t>paid </w:t>
      </w:r>
      <w:r>
        <w:rPr/>
        <w:t>by </w:t>
      </w:r>
      <w:r>
        <w:rPr>
          <w:spacing w:val="-3"/>
        </w:rPr>
        <w:t>EOHHS </w:t>
      </w:r>
      <w:r>
        <w:rPr/>
        <w:t>at the </w:t>
      </w:r>
      <w:r>
        <w:rPr>
          <w:spacing w:val="-3"/>
        </w:rPr>
        <w:t>Psychiatric </w:t>
      </w:r>
      <w:r>
        <w:rPr/>
        <w:t>Per </w:t>
      </w:r>
      <w:r>
        <w:rPr>
          <w:spacing w:val="-3"/>
        </w:rPr>
        <w:t>Diem</w:t>
      </w:r>
    </w:p>
    <w:p>
      <w:pPr>
        <w:spacing w:after="0" w:line="242" w:lineRule="auto"/>
        <w:sectPr>
          <w:footerReference w:type="default" r:id="rId13"/>
          <w:pgSz w:w="12240" w:h="15840"/>
          <w:pgMar w:footer="744" w:header="0" w:top="1380" w:bottom="940" w:left="1720" w:right="980"/>
        </w:sectPr>
      </w:pPr>
    </w:p>
    <w:p>
      <w:pPr>
        <w:pStyle w:val="BodyText"/>
        <w:spacing w:line="244" w:lineRule="auto" w:before="61"/>
        <w:ind w:left="2331" w:right="267"/>
      </w:pPr>
      <w:r>
        <w:rPr>
          <w:spacing w:val="-3"/>
        </w:rPr>
        <w:t>rate </w:t>
      </w:r>
      <w:r>
        <w:rPr/>
        <w:t>for </w:t>
      </w:r>
      <w:r>
        <w:rPr>
          <w:spacing w:val="-3"/>
        </w:rPr>
        <w:t>psychiatric services </w:t>
      </w:r>
      <w:r>
        <w:rPr/>
        <w:t>in a </w:t>
      </w:r>
      <w:r>
        <w:rPr>
          <w:spacing w:val="-3"/>
        </w:rPr>
        <w:t>DMH-Licensed Bed; </w:t>
      </w:r>
      <w:r>
        <w:rPr/>
        <w:t>or at the </w:t>
      </w:r>
      <w:r>
        <w:rPr>
          <w:spacing w:val="-3"/>
        </w:rPr>
        <w:t>transfer per diem rate, capped </w:t>
      </w:r>
      <w:r>
        <w:rPr/>
        <w:t>at the </w:t>
      </w:r>
      <w:r>
        <w:rPr>
          <w:spacing w:val="-3"/>
        </w:rPr>
        <w:t>Hospital-specific SPAD, </w:t>
      </w:r>
      <w:r>
        <w:rPr/>
        <w:t>as </w:t>
      </w:r>
      <w:r>
        <w:rPr>
          <w:spacing w:val="-3"/>
        </w:rPr>
        <w:t>adjusted </w:t>
      </w:r>
      <w:r>
        <w:rPr/>
        <w:t>in </w:t>
      </w:r>
      <w:r>
        <w:rPr>
          <w:b/>
          <w:spacing w:val="-3"/>
        </w:rPr>
        <w:t>Section </w:t>
      </w:r>
      <w:r>
        <w:rPr>
          <w:b/>
        </w:rPr>
        <w:t>8.1</w:t>
      </w:r>
      <w:r>
        <w:rPr/>
        <w:t>, for </w:t>
      </w:r>
      <w:r>
        <w:rPr>
          <w:spacing w:val="-3"/>
        </w:rPr>
        <w:t>substance-related disorder services </w:t>
      </w:r>
      <w:r>
        <w:rPr/>
        <w:t>and for </w:t>
      </w:r>
      <w:r>
        <w:rPr>
          <w:spacing w:val="-3"/>
        </w:rPr>
        <w:t>psychiatric services </w:t>
      </w:r>
      <w:r>
        <w:rPr/>
        <w:t>in a </w:t>
      </w:r>
      <w:r>
        <w:rPr>
          <w:spacing w:val="-3"/>
        </w:rPr>
        <w:t>non- DMH-Licensed Bed.</w:t>
      </w:r>
    </w:p>
    <w:p>
      <w:pPr>
        <w:pStyle w:val="BodyText"/>
        <w:spacing w:before="4"/>
      </w:pPr>
    </w:p>
    <w:p>
      <w:pPr>
        <w:pStyle w:val="Heading3"/>
        <w:numPr>
          <w:ilvl w:val="1"/>
          <w:numId w:val="8"/>
        </w:numPr>
        <w:tabs>
          <w:tab w:pos="726" w:val="left" w:leader="none"/>
          <w:tab w:pos="727" w:val="left" w:leader="none"/>
        </w:tabs>
        <w:spacing w:line="240" w:lineRule="auto" w:before="1" w:after="0"/>
        <w:ind w:left="726" w:right="0" w:hanging="619"/>
        <w:jc w:val="left"/>
      </w:pPr>
      <w:r>
        <w:rPr>
          <w:spacing w:val="-3"/>
        </w:rPr>
        <w:t>Outlier</w:t>
      </w:r>
      <w:r>
        <w:rPr>
          <w:spacing w:val="-2"/>
        </w:rPr>
        <w:t> </w:t>
      </w:r>
      <w:r>
        <w:rPr>
          <w:spacing w:val="-3"/>
        </w:rPr>
        <w:t>Payments</w:t>
      </w:r>
    </w:p>
    <w:p>
      <w:pPr>
        <w:pStyle w:val="BodyText"/>
        <w:spacing w:before="4"/>
        <w:rPr>
          <w:b/>
        </w:rPr>
      </w:pPr>
    </w:p>
    <w:p>
      <w:pPr>
        <w:pStyle w:val="BodyText"/>
        <w:spacing w:line="244" w:lineRule="auto" w:before="1"/>
        <w:ind w:left="711" w:right="405"/>
      </w:pPr>
      <w:r>
        <w:rPr/>
        <w:t>A </w:t>
      </w:r>
      <w:r>
        <w:rPr>
          <w:spacing w:val="-3"/>
        </w:rPr>
        <w:t>Hospital qualifies for </w:t>
      </w:r>
      <w:r>
        <w:rPr/>
        <w:t>an </w:t>
      </w:r>
      <w:r>
        <w:rPr>
          <w:spacing w:val="-3"/>
        </w:rPr>
        <w:t>outlier </w:t>
      </w:r>
      <w:r>
        <w:rPr/>
        <w:t>per </w:t>
      </w:r>
      <w:r>
        <w:rPr>
          <w:spacing w:val="-3"/>
        </w:rPr>
        <w:t>diem payment equal </w:t>
      </w:r>
      <w:r>
        <w:rPr/>
        <w:t>to 75% of the </w:t>
      </w:r>
      <w:r>
        <w:rPr>
          <w:spacing w:val="-3"/>
        </w:rPr>
        <w:t>Hospital’s </w:t>
      </w:r>
      <w:r>
        <w:rPr>
          <w:spacing w:val="-4"/>
        </w:rPr>
        <w:t>transfer </w:t>
      </w:r>
      <w:r>
        <w:rPr/>
        <w:t>per </w:t>
      </w:r>
      <w:r>
        <w:rPr>
          <w:spacing w:val="-3"/>
        </w:rPr>
        <w:t>diem </w:t>
      </w:r>
      <w:r>
        <w:rPr/>
        <w:t>in </w:t>
      </w:r>
      <w:r>
        <w:rPr>
          <w:spacing w:val="-3"/>
        </w:rPr>
        <w:t>addition </w:t>
      </w:r>
      <w:r>
        <w:rPr/>
        <w:t>to the </w:t>
      </w:r>
      <w:r>
        <w:rPr>
          <w:spacing w:val="-3"/>
        </w:rPr>
        <w:t>Hospital-specific standard payment amount </w:t>
      </w:r>
      <w:r>
        <w:rPr/>
        <w:t>per </w:t>
      </w:r>
      <w:r>
        <w:rPr>
          <w:spacing w:val="-3"/>
        </w:rPr>
        <w:t>discharge or transfer </w:t>
      </w:r>
      <w:r>
        <w:rPr/>
        <w:t>per </w:t>
      </w:r>
      <w:r>
        <w:rPr>
          <w:spacing w:val="-3"/>
        </w:rPr>
        <w:t>diem payment </w:t>
      </w:r>
      <w:r>
        <w:rPr/>
        <w:t>if </w:t>
      </w:r>
      <w:r>
        <w:rPr>
          <w:b/>
          <w:i/>
        </w:rPr>
        <w:t>all </w:t>
      </w:r>
      <w:r>
        <w:rPr/>
        <w:t>of the </w:t>
      </w:r>
      <w:r>
        <w:rPr>
          <w:spacing w:val="-3"/>
        </w:rPr>
        <w:t>following conditions </w:t>
      </w:r>
      <w:r>
        <w:rPr/>
        <w:t>are </w:t>
      </w:r>
      <w:r>
        <w:rPr>
          <w:spacing w:val="-4"/>
        </w:rPr>
        <w:t>met:</w:t>
      </w:r>
    </w:p>
    <w:p>
      <w:pPr>
        <w:pStyle w:val="BodyText"/>
        <w:spacing w:before="5"/>
      </w:pPr>
    </w:p>
    <w:p>
      <w:pPr>
        <w:pStyle w:val="ListParagraph"/>
        <w:numPr>
          <w:ilvl w:val="2"/>
          <w:numId w:val="8"/>
        </w:numPr>
        <w:tabs>
          <w:tab w:pos="1251" w:val="left" w:leader="none"/>
          <w:tab w:pos="1252" w:val="left" w:leader="none"/>
        </w:tabs>
        <w:spacing w:line="242" w:lineRule="auto" w:before="0" w:after="0"/>
        <w:ind w:left="1252" w:right="403" w:hanging="540"/>
        <w:jc w:val="left"/>
        <w:rPr>
          <w:sz w:val="24"/>
        </w:rPr>
      </w:pPr>
      <w:r>
        <w:rPr>
          <w:sz w:val="24"/>
        </w:rPr>
        <w:t>The </w:t>
      </w:r>
      <w:r>
        <w:rPr>
          <w:spacing w:val="-3"/>
          <w:sz w:val="24"/>
        </w:rPr>
        <w:t>Medicaid non-managed care length </w:t>
      </w:r>
      <w:r>
        <w:rPr>
          <w:sz w:val="24"/>
        </w:rPr>
        <w:t>of </w:t>
      </w:r>
      <w:r>
        <w:rPr>
          <w:spacing w:val="-3"/>
          <w:sz w:val="24"/>
        </w:rPr>
        <w:t>stay </w:t>
      </w:r>
      <w:r>
        <w:rPr>
          <w:sz w:val="24"/>
        </w:rPr>
        <w:t>for the </w:t>
      </w:r>
      <w:r>
        <w:rPr>
          <w:spacing w:val="-3"/>
          <w:sz w:val="24"/>
        </w:rPr>
        <w:t>hospitalization exceeds 20 cumulative </w:t>
      </w:r>
      <w:r>
        <w:rPr>
          <w:i/>
          <w:spacing w:val="-3"/>
          <w:sz w:val="24"/>
        </w:rPr>
        <w:t>acute </w:t>
      </w:r>
      <w:r>
        <w:rPr>
          <w:spacing w:val="-3"/>
          <w:sz w:val="24"/>
        </w:rPr>
        <w:t>days </w:t>
      </w:r>
      <w:r>
        <w:rPr>
          <w:sz w:val="24"/>
        </w:rPr>
        <w:t>at </w:t>
      </w:r>
      <w:r>
        <w:rPr>
          <w:spacing w:val="-3"/>
          <w:sz w:val="24"/>
        </w:rPr>
        <w:t>that Hospital (not including days </w:t>
      </w:r>
      <w:r>
        <w:rPr>
          <w:sz w:val="24"/>
        </w:rPr>
        <w:t>in a </w:t>
      </w:r>
      <w:r>
        <w:rPr>
          <w:spacing w:val="-3"/>
          <w:sz w:val="24"/>
        </w:rPr>
        <w:t>DMH-Licensed </w:t>
      </w:r>
      <w:r>
        <w:rPr>
          <w:sz w:val="24"/>
        </w:rPr>
        <w:t>Bed </w:t>
      </w:r>
      <w:r>
        <w:rPr>
          <w:spacing w:val="-3"/>
          <w:sz w:val="24"/>
        </w:rPr>
        <w:t>or days paid </w:t>
      </w:r>
      <w:r>
        <w:rPr>
          <w:sz w:val="24"/>
        </w:rPr>
        <w:t>by a </w:t>
      </w:r>
      <w:r>
        <w:rPr>
          <w:spacing w:val="-3"/>
          <w:sz w:val="24"/>
        </w:rPr>
        <w:t>third</w:t>
      </w:r>
      <w:r>
        <w:rPr>
          <w:spacing w:val="-13"/>
          <w:sz w:val="24"/>
        </w:rPr>
        <w:t> </w:t>
      </w:r>
      <w:r>
        <w:rPr>
          <w:spacing w:val="-3"/>
          <w:sz w:val="24"/>
        </w:rPr>
        <w:t>party);</w:t>
      </w:r>
    </w:p>
    <w:p>
      <w:pPr>
        <w:pStyle w:val="BodyText"/>
        <w:spacing w:before="7"/>
      </w:pPr>
    </w:p>
    <w:p>
      <w:pPr>
        <w:pStyle w:val="ListParagraph"/>
        <w:numPr>
          <w:ilvl w:val="2"/>
          <w:numId w:val="8"/>
        </w:numPr>
        <w:tabs>
          <w:tab w:pos="1251" w:val="left" w:leader="none"/>
          <w:tab w:pos="1252" w:val="left" w:leader="none"/>
        </w:tabs>
        <w:spacing w:line="242" w:lineRule="auto" w:before="0" w:after="0"/>
        <w:ind w:left="1252" w:right="232" w:hanging="540"/>
        <w:jc w:val="left"/>
        <w:rPr>
          <w:sz w:val="24"/>
        </w:rPr>
      </w:pPr>
      <w:r>
        <w:rPr>
          <w:sz w:val="24"/>
        </w:rPr>
        <w:t>The </w:t>
      </w:r>
      <w:r>
        <w:rPr>
          <w:spacing w:val="-3"/>
          <w:sz w:val="24"/>
        </w:rPr>
        <w:t>Hospital continues </w:t>
      </w:r>
      <w:r>
        <w:rPr>
          <w:sz w:val="24"/>
        </w:rPr>
        <w:t>to </w:t>
      </w:r>
      <w:r>
        <w:rPr>
          <w:spacing w:val="-3"/>
          <w:sz w:val="24"/>
        </w:rPr>
        <w:t>fulfill </w:t>
      </w:r>
      <w:r>
        <w:rPr>
          <w:sz w:val="24"/>
        </w:rPr>
        <w:t>its </w:t>
      </w:r>
      <w:r>
        <w:rPr>
          <w:spacing w:val="-3"/>
          <w:sz w:val="24"/>
        </w:rPr>
        <w:t>discharge planning duties </w:t>
      </w:r>
      <w:r>
        <w:rPr>
          <w:sz w:val="24"/>
        </w:rPr>
        <w:t>as </w:t>
      </w:r>
      <w:r>
        <w:rPr>
          <w:spacing w:val="-3"/>
          <w:sz w:val="24"/>
        </w:rPr>
        <w:t>required </w:t>
      </w:r>
      <w:r>
        <w:rPr>
          <w:sz w:val="24"/>
        </w:rPr>
        <w:t>in </w:t>
      </w:r>
      <w:r>
        <w:rPr>
          <w:spacing w:val="-3"/>
          <w:sz w:val="24"/>
        </w:rPr>
        <w:t>MassHealth regulations;</w:t>
      </w:r>
    </w:p>
    <w:p>
      <w:pPr>
        <w:pStyle w:val="BodyText"/>
        <w:spacing w:before="7"/>
      </w:pPr>
    </w:p>
    <w:p>
      <w:pPr>
        <w:pStyle w:val="ListParagraph"/>
        <w:numPr>
          <w:ilvl w:val="2"/>
          <w:numId w:val="8"/>
        </w:numPr>
        <w:tabs>
          <w:tab w:pos="1251" w:val="left" w:leader="none"/>
          <w:tab w:pos="1252" w:val="left" w:leader="none"/>
        </w:tabs>
        <w:spacing w:line="242" w:lineRule="auto" w:before="0" w:after="0"/>
        <w:ind w:left="1252" w:right="116" w:hanging="540"/>
        <w:jc w:val="left"/>
        <w:rPr>
          <w:sz w:val="24"/>
        </w:rPr>
      </w:pPr>
      <w:r>
        <w:rPr>
          <w:sz w:val="24"/>
        </w:rPr>
        <w:t>The </w:t>
      </w:r>
      <w:r>
        <w:rPr>
          <w:spacing w:val="-3"/>
          <w:sz w:val="24"/>
        </w:rPr>
        <w:t>patient continues </w:t>
      </w:r>
      <w:r>
        <w:rPr>
          <w:sz w:val="24"/>
        </w:rPr>
        <w:t>to </w:t>
      </w:r>
      <w:r>
        <w:rPr>
          <w:spacing w:val="-3"/>
          <w:sz w:val="24"/>
        </w:rPr>
        <w:t>need acute level care </w:t>
      </w:r>
      <w:r>
        <w:rPr>
          <w:sz w:val="24"/>
        </w:rPr>
        <w:t>and is </w:t>
      </w:r>
      <w:r>
        <w:rPr>
          <w:spacing w:val="-3"/>
          <w:sz w:val="24"/>
        </w:rPr>
        <w:t>therefore </w:t>
      </w:r>
      <w:r>
        <w:rPr>
          <w:b/>
          <w:i/>
          <w:sz w:val="24"/>
        </w:rPr>
        <w:t>not </w:t>
      </w:r>
      <w:r>
        <w:rPr>
          <w:sz w:val="24"/>
        </w:rPr>
        <w:t>on </w:t>
      </w:r>
      <w:r>
        <w:rPr>
          <w:spacing w:val="-3"/>
          <w:sz w:val="24"/>
        </w:rPr>
        <w:t>Administrative Day status </w:t>
      </w:r>
      <w:r>
        <w:rPr>
          <w:sz w:val="24"/>
        </w:rPr>
        <w:t>on any day </w:t>
      </w:r>
      <w:r>
        <w:rPr>
          <w:spacing w:val="-3"/>
          <w:sz w:val="24"/>
        </w:rPr>
        <w:t>for which </w:t>
      </w:r>
      <w:r>
        <w:rPr>
          <w:sz w:val="24"/>
        </w:rPr>
        <w:t>an </w:t>
      </w:r>
      <w:r>
        <w:rPr>
          <w:spacing w:val="-3"/>
          <w:sz w:val="24"/>
        </w:rPr>
        <w:t>outlier payment </w:t>
      </w:r>
      <w:r>
        <w:rPr>
          <w:sz w:val="24"/>
        </w:rPr>
        <w:t>is</w:t>
      </w:r>
      <w:r>
        <w:rPr>
          <w:spacing w:val="-38"/>
          <w:sz w:val="24"/>
        </w:rPr>
        <w:t> </w:t>
      </w:r>
      <w:r>
        <w:rPr>
          <w:spacing w:val="-4"/>
          <w:sz w:val="24"/>
        </w:rPr>
        <w:t>claimed;</w:t>
      </w:r>
    </w:p>
    <w:p>
      <w:pPr>
        <w:pStyle w:val="BodyText"/>
        <w:spacing w:before="7"/>
      </w:pPr>
    </w:p>
    <w:p>
      <w:pPr>
        <w:pStyle w:val="ListParagraph"/>
        <w:numPr>
          <w:ilvl w:val="2"/>
          <w:numId w:val="8"/>
        </w:numPr>
        <w:tabs>
          <w:tab w:pos="1251" w:val="left" w:leader="none"/>
          <w:tab w:pos="1252" w:val="left" w:leader="none"/>
        </w:tabs>
        <w:spacing w:line="242" w:lineRule="auto" w:before="0" w:after="0"/>
        <w:ind w:left="1252" w:right="621" w:hanging="540"/>
        <w:jc w:val="left"/>
        <w:rPr>
          <w:sz w:val="24"/>
        </w:rPr>
      </w:pPr>
      <w:r>
        <w:rPr>
          <w:sz w:val="24"/>
        </w:rPr>
        <w:t>The</w:t>
      </w:r>
      <w:r>
        <w:rPr>
          <w:spacing w:val="-7"/>
          <w:sz w:val="24"/>
        </w:rPr>
        <w:t> </w:t>
      </w:r>
      <w:r>
        <w:rPr>
          <w:spacing w:val="-3"/>
          <w:sz w:val="24"/>
        </w:rPr>
        <w:t>patient</w:t>
      </w:r>
      <w:r>
        <w:rPr>
          <w:spacing w:val="-7"/>
          <w:sz w:val="24"/>
        </w:rPr>
        <w:t> </w:t>
      </w:r>
      <w:r>
        <w:rPr>
          <w:sz w:val="24"/>
        </w:rPr>
        <w:t>is</w:t>
      </w:r>
      <w:r>
        <w:rPr>
          <w:spacing w:val="-7"/>
          <w:sz w:val="24"/>
        </w:rPr>
        <w:t> </w:t>
      </w:r>
      <w:r>
        <w:rPr>
          <w:sz w:val="24"/>
        </w:rPr>
        <w:t>not</w:t>
      </w:r>
      <w:r>
        <w:rPr>
          <w:spacing w:val="-7"/>
          <w:sz w:val="24"/>
        </w:rPr>
        <w:t> </w:t>
      </w:r>
      <w:r>
        <w:rPr>
          <w:sz w:val="24"/>
        </w:rPr>
        <w:t>a</w:t>
      </w:r>
      <w:r>
        <w:rPr>
          <w:spacing w:val="-7"/>
          <w:sz w:val="24"/>
        </w:rPr>
        <w:t> </w:t>
      </w:r>
      <w:r>
        <w:rPr>
          <w:spacing w:val="-3"/>
          <w:sz w:val="24"/>
        </w:rPr>
        <w:t>patient</w:t>
      </w:r>
      <w:r>
        <w:rPr>
          <w:spacing w:val="-7"/>
          <w:sz w:val="24"/>
        </w:rPr>
        <w:t> </w:t>
      </w:r>
      <w:r>
        <w:rPr>
          <w:sz w:val="24"/>
        </w:rPr>
        <w:t>in</w:t>
      </w:r>
      <w:r>
        <w:rPr>
          <w:spacing w:val="-7"/>
          <w:sz w:val="24"/>
        </w:rPr>
        <w:t> </w:t>
      </w:r>
      <w:r>
        <w:rPr>
          <w:sz w:val="24"/>
        </w:rPr>
        <w:t>a</w:t>
      </w:r>
      <w:r>
        <w:rPr>
          <w:spacing w:val="-7"/>
          <w:sz w:val="24"/>
        </w:rPr>
        <w:t> </w:t>
      </w:r>
      <w:r>
        <w:rPr>
          <w:spacing w:val="-3"/>
          <w:sz w:val="24"/>
        </w:rPr>
        <w:t>DMH-Licensed</w:t>
      </w:r>
      <w:r>
        <w:rPr>
          <w:spacing w:val="-7"/>
          <w:sz w:val="24"/>
        </w:rPr>
        <w:t> </w:t>
      </w:r>
      <w:r>
        <w:rPr>
          <w:sz w:val="24"/>
        </w:rPr>
        <w:t>Bed</w:t>
      </w:r>
      <w:r>
        <w:rPr>
          <w:spacing w:val="-7"/>
          <w:sz w:val="24"/>
        </w:rPr>
        <w:t> </w:t>
      </w:r>
      <w:r>
        <w:rPr>
          <w:sz w:val="24"/>
        </w:rPr>
        <w:t>on</w:t>
      </w:r>
      <w:r>
        <w:rPr>
          <w:spacing w:val="-7"/>
          <w:sz w:val="24"/>
        </w:rPr>
        <w:t> </w:t>
      </w:r>
      <w:r>
        <w:rPr>
          <w:sz w:val="24"/>
        </w:rPr>
        <w:t>any</w:t>
      </w:r>
      <w:r>
        <w:rPr>
          <w:spacing w:val="-7"/>
          <w:sz w:val="24"/>
        </w:rPr>
        <w:t> </w:t>
      </w:r>
      <w:r>
        <w:rPr>
          <w:sz w:val="24"/>
        </w:rPr>
        <w:t>day</w:t>
      </w:r>
      <w:r>
        <w:rPr>
          <w:spacing w:val="-7"/>
          <w:sz w:val="24"/>
        </w:rPr>
        <w:t> </w:t>
      </w:r>
      <w:r>
        <w:rPr>
          <w:spacing w:val="-3"/>
          <w:sz w:val="24"/>
        </w:rPr>
        <w:t>for</w:t>
      </w:r>
      <w:r>
        <w:rPr>
          <w:spacing w:val="-7"/>
          <w:sz w:val="24"/>
        </w:rPr>
        <w:t> </w:t>
      </w:r>
      <w:r>
        <w:rPr>
          <w:spacing w:val="-3"/>
          <w:sz w:val="24"/>
        </w:rPr>
        <w:t>which</w:t>
      </w:r>
      <w:r>
        <w:rPr>
          <w:spacing w:val="-7"/>
          <w:sz w:val="24"/>
        </w:rPr>
        <w:t> </w:t>
      </w:r>
      <w:r>
        <w:rPr>
          <w:sz w:val="24"/>
        </w:rPr>
        <w:t>an</w:t>
      </w:r>
      <w:r>
        <w:rPr>
          <w:spacing w:val="-7"/>
          <w:sz w:val="24"/>
        </w:rPr>
        <w:t> </w:t>
      </w:r>
      <w:r>
        <w:rPr>
          <w:spacing w:val="-3"/>
          <w:sz w:val="24"/>
        </w:rPr>
        <w:t>outlier payment </w:t>
      </w:r>
      <w:r>
        <w:rPr>
          <w:sz w:val="24"/>
        </w:rPr>
        <w:t>is</w:t>
      </w:r>
      <w:r>
        <w:rPr>
          <w:spacing w:val="-3"/>
          <w:sz w:val="24"/>
        </w:rPr>
        <w:t> </w:t>
      </w:r>
      <w:r>
        <w:rPr>
          <w:spacing w:val="-4"/>
          <w:sz w:val="24"/>
        </w:rPr>
        <w:t>claimed;</w:t>
      </w:r>
    </w:p>
    <w:p>
      <w:pPr>
        <w:pStyle w:val="BodyText"/>
        <w:spacing w:before="2"/>
        <w:rPr>
          <w:sz w:val="21"/>
        </w:rPr>
      </w:pPr>
    </w:p>
    <w:p>
      <w:pPr>
        <w:pStyle w:val="ListParagraph"/>
        <w:numPr>
          <w:ilvl w:val="2"/>
          <w:numId w:val="8"/>
        </w:numPr>
        <w:tabs>
          <w:tab w:pos="1259" w:val="left" w:leader="none"/>
          <w:tab w:pos="1260" w:val="left" w:leader="none"/>
        </w:tabs>
        <w:spacing w:line="240" w:lineRule="auto" w:before="0" w:after="0"/>
        <w:ind w:left="1259" w:right="0" w:hanging="547"/>
        <w:jc w:val="left"/>
        <w:rPr>
          <w:sz w:val="24"/>
        </w:rPr>
      </w:pPr>
      <w:r>
        <w:rPr>
          <w:sz w:val="24"/>
        </w:rPr>
        <w:t>The</w:t>
      </w:r>
      <w:r>
        <w:rPr>
          <w:spacing w:val="-6"/>
          <w:sz w:val="24"/>
        </w:rPr>
        <w:t> </w:t>
      </w:r>
      <w:r>
        <w:rPr>
          <w:spacing w:val="-3"/>
          <w:sz w:val="24"/>
        </w:rPr>
        <w:t>patient</w:t>
      </w:r>
      <w:r>
        <w:rPr>
          <w:spacing w:val="-6"/>
          <w:sz w:val="24"/>
        </w:rPr>
        <w:t> </w:t>
      </w:r>
      <w:r>
        <w:rPr>
          <w:sz w:val="24"/>
        </w:rPr>
        <w:t>is</w:t>
      </w:r>
      <w:r>
        <w:rPr>
          <w:spacing w:val="-6"/>
          <w:sz w:val="24"/>
        </w:rPr>
        <w:t> </w:t>
      </w:r>
      <w:r>
        <w:rPr>
          <w:sz w:val="24"/>
        </w:rPr>
        <w:t>not</w:t>
      </w:r>
      <w:r>
        <w:rPr>
          <w:spacing w:val="-6"/>
          <w:sz w:val="24"/>
        </w:rPr>
        <w:t> </w:t>
      </w:r>
      <w:r>
        <w:rPr>
          <w:sz w:val="24"/>
        </w:rPr>
        <w:t>a</w:t>
      </w:r>
      <w:r>
        <w:rPr>
          <w:spacing w:val="-6"/>
          <w:sz w:val="24"/>
        </w:rPr>
        <w:t> </w:t>
      </w:r>
      <w:r>
        <w:rPr>
          <w:spacing w:val="-3"/>
          <w:sz w:val="24"/>
        </w:rPr>
        <w:t>patient</w:t>
      </w:r>
      <w:r>
        <w:rPr>
          <w:spacing w:val="-6"/>
          <w:sz w:val="24"/>
        </w:rPr>
        <w:t> </w:t>
      </w:r>
      <w:r>
        <w:rPr>
          <w:sz w:val="24"/>
        </w:rPr>
        <w:t>in</w:t>
      </w:r>
      <w:r>
        <w:rPr>
          <w:spacing w:val="-6"/>
          <w:sz w:val="24"/>
        </w:rPr>
        <w:t> </w:t>
      </w:r>
      <w:r>
        <w:rPr>
          <w:sz w:val="24"/>
        </w:rPr>
        <w:t>an</w:t>
      </w:r>
      <w:r>
        <w:rPr>
          <w:spacing w:val="-6"/>
          <w:sz w:val="24"/>
        </w:rPr>
        <w:t> </w:t>
      </w:r>
      <w:r>
        <w:rPr>
          <w:spacing w:val="-3"/>
          <w:sz w:val="24"/>
        </w:rPr>
        <w:t>Excluded</w:t>
      </w:r>
      <w:r>
        <w:rPr>
          <w:spacing w:val="-6"/>
          <w:sz w:val="24"/>
        </w:rPr>
        <w:t> </w:t>
      </w:r>
      <w:r>
        <w:rPr>
          <w:spacing w:val="-3"/>
          <w:sz w:val="24"/>
        </w:rPr>
        <w:t>Unit</w:t>
      </w:r>
      <w:r>
        <w:rPr>
          <w:spacing w:val="-6"/>
          <w:sz w:val="24"/>
        </w:rPr>
        <w:t> </w:t>
      </w:r>
      <w:r>
        <w:rPr>
          <w:spacing w:val="-3"/>
          <w:sz w:val="24"/>
        </w:rPr>
        <w:t>within</w:t>
      </w:r>
      <w:r>
        <w:rPr>
          <w:spacing w:val="-6"/>
          <w:sz w:val="24"/>
        </w:rPr>
        <w:t> </w:t>
      </w:r>
      <w:r>
        <w:rPr>
          <w:sz w:val="24"/>
        </w:rPr>
        <w:t>an</w:t>
      </w:r>
      <w:r>
        <w:rPr>
          <w:spacing w:val="-6"/>
          <w:sz w:val="24"/>
        </w:rPr>
        <w:t> </w:t>
      </w:r>
      <w:r>
        <w:rPr>
          <w:spacing w:val="-3"/>
          <w:sz w:val="24"/>
        </w:rPr>
        <w:t>Acute</w:t>
      </w:r>
      <w:r>
        <w:rPr>
          <w:spacing w:val="-6"/>
          <w:sz w:val="24"/>
        </w:rPr>
        <w:t> </w:t>
      </w:r>
      <w:r>
        <w:rPr>
          <w:spacing w:val="-3"/>
          <w:sz w:val="24"/>
        </w:rPr>
        <w:t>Hospital;</w:t>
      </w:r>
      <w:r>
        <w:rPr>
          <w:spacing w:val="-6"/>
          <w:sz w:val="24"/>
        </w:rPr>
        <w:t> </w:t>
      </w:r>
      <w:r>
        <w:rPr>
          <w:spacing w:val="-3"/>
          <w:sz w:val="24"/>
        </w:rPr>
        <w:t>and</w:t>
      </w:r>
    </w:p>
    <w:p>
      <w:pPr>
        <w:pStyle w:val="BodyText"/>
        <w:spacing w:before="10"/>
      </w:pPr>
    </w:p>
    <w:p>
      <w:pPr>
        <w:pStyle w:val="ListParagraph"/>
        <w:numPr>
          <w:ilvl w:val="2"/>
          <w:numId w:val="8"/>
        </w:numPr>
        <w:tabs>
          <w:tab w:pos="1251" w:val="left" w:leader="none"/>
          <w:tab w:pos="1252" w:val="left" w:leader="none"/>
        </w:tabs>
        <w:spacing w:line="240" w:lineRule="auto" w:before="0" w:after="0"/>
        <w:ind w:left="1252" w:right="0" w:hanging="540"/>
        <w:jc w:val="left"/>
        <w:rPr>
          <w:sz w:val="24"/>
        </w:rPr>
      </w:pPr>
      <w:r>
        <w:rPr>
          <w:sz w:val="24"/>
        </w:rPr>
        <w:t>The </w:t>
      </w:r>
      <w:r>
        <w:rPr>
          <w:spacing w:val="-3"/>
          <w:sz w:val="24"/>
        </w:rPr>
        <w:t>patient </w:t>
      </w:r>
      <w:r>
        <w:rPr>
          <w:sz w:val="24"/>
        </w:rPr>
        <w:t>is </w:t>
      </w:r>
      <w:r>
        <w:rPr>
          <w:spacing w:val="-3"/>
          <w:sz w:val="24"/>
        </w:rPr>
        <w:t>under </w:t>
      </w:r>
      <w:r>
        <w:rPr>
          <w:sz w:val="24"/>
        </w:rPr>
        <w:t>21 </w:t>
      </w:r>
      <w:r>
        <w:rPr>
          <w:spacing w:val="-3"/>
          <w:sz w:val="24"/>
        </w:rPr>
        <w:t>years </w:t>
      </w:r>
      <w:r>
        <w:rPr>
          <w:sz w:val="24"/>
        </w:rPr>
        <w:t>of</w:t>
      </w:r>
      <w:r>
        <w:rPr>
          <w:spacing w:val="-32"/>
          <w:sz w:val="24"/>
        </w:rPr>
        <w:t> </w:t>
      </w:r>
      <w:r>
        <w:rPr>
          <w:spacing w:val="-3"/>
          <w:sz w:val="24"/>
        </w:rPr>
        <w:t>age.</w:t>
      </w:r>
    </w:p>
    <w:p>
      <w:pPr>
        <w:pStyle w:val="BodyText"/>
        <w:spacing w:before="5"/>
        <w:rPr>
          <w:sz w:val="26"/>
        </w:rPr>
      </w:pPr>
    </w:p>
    <w:p>
      <w:pPr>
        <w:pStyle w:val="Heading3"/>
        <w:numPr>
          <w:ilvl w:val="1"/>
          <w:numId w:val="8"/>
        </w:numPr>
        <w:tabs>
          <w:tab w:pos="726" w:val="left" w:leader="none"/>
          <w:tab w:pos="727" w:val="left" w:leader="none"/>
        </w:tabs>
        <w:spacing w:line="240" w:lineRule="auto" w:before="0" w:after="0"/>
        <w:ind w:left="726" w:right="0" w:hanging="547"/>
        <w:jc w:val="left"/>
      </w:pPr>
      <w:r>
        <w:rPr>
          <w:spacing w:val="-3"/>
        </w:rPr>
        <w:t>Physician</w:t>
      </w:r>
      <w:r>
        <w:rPr>
          <w:spacing w:val="-2"/>
        </w:rPr>
        <w:t> </w:t>
      </w:r>
      <w:r>
        <w:rPr>
          <w:spacing w:val="-3"/>
        </w:rPr>
        <w:t>Payment</w:t>
      </w:r>
    </w:p>
    <w:p>
      <w:pPr>
        <w:pStyle w:val="BodyText"/>
        <w:spacing w:before="5"/>
        <w:rPr>
          <w:b/>
        </w:rPr>
      </w:pPr>
    </w:p>
    <w:p>
      <w:pPr>
        <w:pStyle w:val="BodyText"/>
        <w:spacing w:line="242" w:lineRule="auto"/>
        <w:ind w:left="711" w:right="159"/>
      </w:pPr>
      <w:r>
        <w:rPr/>
        <w:t>For </w:t>
      </w:r>
      <w:r>
        <w:rPr>
          <w:spacing w:val="-3"/>
        </w:rPr>
        <w:t>physician services provided </w:t>
      </w:r>
      <w:r>
        <w:rPr/>
        <w:t>by </w:t>
      </w:r>
      <w:r>
        <w:rPr>
          <w:spacing w:val="-3"/>
        </w:rPr>
        <w:t>Hospital-Based Physicians </w:t>
      </w:r>
      <w:r>
        <w:rPr/>
        <w:t>to </w:t>
      </w:r>
      <w:r>
        <w:rPr>
          <w:spacing w:val="-3"/>
        </w:rPr>
        <w:t>MassHealth patients, the Hospital will </w:t>
      </w:r>
      <w:r>
        <w:rPr/>
        <w:t>be </w:t>
      </w:r>
      <w:r>
        <w:rPr>
          <w:spacing w:val="-3"/>
        </w:rPr>
        <w:t>reimbursed </w:t>
      </w:r>
      <w:r>
        <w:rPr/>
        <w:t>for the </w:t>
      </w:r>
      <w:r>
        <w:rPr>
          <w:spacing w:val="-3"/>
        </w:rPr>
        <w:t>professional component </w:t>
      </w:r>
      <w:r>
        <w:rPr/>
        <w:t>of </w:t>
      </w:r>
      <w:r>
        <w:rPr>
          <w:spacing w:val="-3"/>
        </w:rPr>
        <w:t>physician services in accordance with, </w:t>
      </w:r>
      <w:r>
        <w:rPr/>
        <w:t>and </w:t>
      </w:r>
      <w:r>
        <w:rPr>
          <w:spacing w:val="-3"/>
        </w:rPr>
        <w:t>subject </w:t>
      </w:r>
      <w:r>
        <w:rPr/>
        <w:t>to, the </w:t>
      </w:r>
      <w:r>
        <w:rPr>
          <w:spacing w:val="-3"/>
        </w:rPr>
        <w:t>Physician regulations </w:t>
      </w:r>
      <w:r>
        <w:rPr/>
        <w:t>at 130 CMR </w:t>
      </w:r>
      <w:r>
        <w:rPr>
          <w:spacing w:val="-3"/>
        </w:rPr>
        <w:t>433.000 </w:t>
      </w:r>
      <w:r>
        <w:rPr/>
        <w:t>et </w:t>
      </w:r>
      <w:r>
        <w:rPr>
          <w:spacing w:val="-3"/>
        </w:rPr>
        <w:t>seq. Such </w:t>
      </w:r>
      <w:r>
        <w:rPr>
          <w:spacing w:val="-4"/>
        </w:rPr>
        <w:t>reimbursement </w:t>
      </w:r>
      <w:r>
        <w:rPr>
          <w:spacing w:val="-3"/>
        </w:rPr>
        <w:t>shall </w:t>
      </w:r>
      <w:r>
        <w:rPr/>
        <w:t>be at the </w:t>
      </w:r>
      <w:r>
        <w:rPr>
          <w:spacing w:val="-3"/>
        </w:rPr>
        <w:t>lower </w:t>
      </w:r>
      <w:r>
        <w:rPr/>
        <w:t>of (1) the fee </w:t>
      </w:r>
      <w:r>
        <w:rPr>
          <w:spacing w:val="-3"/>
        </w:rPr>
        <w:t>established </w:t>
      </w:r>
      <w:r>
        <w:rPr/>
        <w:t>in 101 CMR </w:t>
      </w:r>
      <w:r>
        <w:rPr>
          <w:spacing w:val="-3"/>
        </w:rPr>
        <w:t>317.00 (Medicine),</w:t>
      </w:r>
    </w:p>
    <w:p>
      <w:pPr>
        <w:pStyle w:val="BodyText"/>
        <w:ind w:left="711"/>
      </w:pPr>
      <w:r>
        <w:rPr/>
        <w:t>114.3 CMR 16.00 (Surgery and Anesthesia), 114.3 CMR 18.00 (Radiology) and 114.3 CMR</w:t>
      </w:r>
    </w:p>
    <w:p>
      <w:pPr>
        <w:pStyle w:val="BodyText"/>
        <w:spacing w:line="242" w:lineRule="auto" w:before="3"/>
        <w:ind w:left="711" w:right="267"/>
      </w:pPr>
      <w:r>
        <w:rPr>
          <w:spacing w:val="-3"/>
        </w:rPr>
        <w:t>20.00 (Clinical Laboratory Services), </w:t>
      </w:r>
      <w:r>
        <w:rPr/>
        <w:t>or </w:t>
      </w:r>
      <w:r>
        <w:rPr>
          <w:spacing w:val="-3"/>
        </w:rPr>
        <w:t>successor regulations </w:t>
      </w:r>
      <w:r>
        <w:rPr/>
        <w:t>as </w:t>
      </w:r>
      <w:r>
        <w:rPr>
          <w:spacing w:val="-3"/>
        </w:rPr>
        <w:t>applicable (including the applicable facility fee for </w:t>
      </w:r>
      <w:r>
        <w:rPr/>
        <w:t>all </w:t>
      </w:r>
      <w:r>
        <w:rPr>
          <w:spacing w:val="-3"/>
        </w:rPr>
        <w:t>services where such facility fee </w:t>
      </w:r>
      <w:r>
        <w:rPr/>
        <w:t>has </w:t>
      </w:r>
      <w:r>
        <w:rPr>
          <w:spacing w:val="-3"/>
        </w:rPr>
        <w:t>been established); </w:t>
      </w:r>
      <w:r>
        <w:rPr/>
        <w:t>(2) </w:t>
      </w:r>
      <w:r>
        <w:rPr>
          <w:spacing w:val="-3"/>
        </w:rPr>
        <w:t>the Hospital’s Usual </w:t>
      </w:r>
      <w:r>
        <w:rPr/>
        <w:t>and </w:t>
      </w:r>
      <w:r>
        <w:rPr>
          <w:spacing w:val="-3"/>
        </w:rPr>
        <w:t>Customary Charge; </w:t>
      </w:r>
      <w:r>
        <w:rPr/>
        <w:t>or (3) </w:t>
      </w:r>
      <w:r>
        <w:rPr>
          <w:spacing w:val="-3"/>
        </w:rPr>
        <w:t>100% </w:t>
      </w:r>
      <w:r>
        <w:rPr/>
        <w:t>of the </w:t>
      </w:r>
      <w:r>
        <w:rPr>
          <w:spacing w:val="-3"/>
        </w:rPr>
        <w:t>Hospital’s actual charge </w:t>
      </w:r>
      <w:r>
        <w:rPr>
          <w:spacing w:val="-4"/>
        </w:rPr>
        <w:t>submitted.</w:t>
      </w:r>
    </w:p>
    <w:p>
      <w:pPr>
        <w:pStyle w:val="BodyText"/>
        <w:spacing w:before="4"/>
      </w:pPr>
    </w:p>
    <w:p>
      <w:pPr>
        <w:pStyle w:val="BodyText"/>
        <w:spacing w:line="242" w:lineRule="auto"/>
        <w:ind w:left="711" w:right="159"/>
      </w:pPr>
      <w:r>
        <w:rPr>
          <w:spacing w:val="-3"/>
        </w:rPr>
        <w:t>Hospitals will </w:t>
      </w:r>
      <w:r>
        <w:rPr/>
        <w:t>be </w:t>
      </w:r>
      <w:r>
        <w:rPr>
          <w:spacing w:val="-3"/>
        </w:rPr>
        <w:t>reimbursed </w:t>
      </w:r>
      <w:r>
        <w:rPr/>
        <w:t>for </w:t>
      </w:r>
      <w:r>
        <w:rPr>
          <w:spacing w:val="-3"/>
        </w:rPr>
        <w:t>such physician services only </w:t>
      </w:r>
      <w:r>
        <w:rPr/>
        <w:t>if the </w:t>
      </w:r>
      <w:r>
        <w:rPr>
          <w:spacing w:val="-3"/>
        </w:rPr>
        <w:t>Hospital-Based Physician took </w:t>
      </w:r>
      <w:r>
        <w:rPr/>
        <w:t>an </w:t>
      </w:r>
      <w:r>
        <w:rPr>
          <w:spacing w:val="-3"/>
        </w:rPr>
        <w:t>active patient care role, </w:t>
      </w:r>
      <w:r>
        <w:rPr/>
        <w:t>as </w:t>
      </w:r>
      <w:r>
        <w:rPr>
          <w:spacing w:val="-3"/>
        </w:rPr>
        <w:t>opposed </w:t>
      </w:r>
      <w:r>
        <w:rPr/>
        <w:t>to a </w:t>
      </w:r>
      <w:r>
        <w:rPr>
          <w:spacing w:val="-3"/>
        </w:rPr>
        <w:t>supervisory role, </w:t>
      </w:r>
      <w:r>
        <w:rPr/>
        <w:t>in </w:t>
      </w:r>
      <w:r>
        <w:rPr>
          <w:spacing w:val="-3"/>
        </w:rPr>
        <w:t>providing </w:t>
      </w:r>
      <w:r>
        <w:rPr/>
        <w:t>the </w:t>
      </w:r>
      <w:r>
        <w:rPr>
          <w:spacing w:val="-3"/>
        </w:rPr>
        <w:t>Inpatient Service(s) </w:t>
      </w:r>
      <w:r>
        <w:rPr/>
        <w:t>on the </w:t>
      </w:r>
      <w:r>
        <w:rPr>
          <w:spacing w:val="-3"/>
        </w:rPr>
        <w:t>billed date(s) </w:t>
      </w:r>
      <w:r>
        <w:rPr/>
        <w:t>of </w:t>
      </w:r>
      <w:r>
        <w:rPr>
          <w:spacing w:val="-3"/>
        </w:rPr>
        <w:t>service. Physician services provided </w:t>
      </w:r>
      <w:r>
        <w:rPr/>
        <w:t>by </w:t>
      </w:r>
      <w:r>
        <w:rPr>
          <w:spacing w:val="-3"/>
        </w:rPr>
        <w:t>residents </w:t>
      </w:r>
      <w:r>
        <w:rPr/>
        <w:t>and </w:t>
      </w:r>
      <w:r>
        <w:rPr>
          <w:spacing w:val="-3"/>
        </w:rPr>
        <w:t>interns </w:t>
      </w:r>
      <w:r>
        <w:rPr/>
        <w:t>are not </w:t>
      </w:r>
      <w:r>
        <w:rPr>
          <w:spacing w:val="-3"/>
        </w:rPr>
        <w:t>reimbursable separately. </w:t>
      </w:r>
      <w:r>
        <w:rPr/>
        <w:t>The </w:t>
      </w:r>
      <w:r>
        <w:rPr>
          <w:spacing w:val="-3"/>
        </w:rPr>
        <w:t>Hospital-Based Physician may </w:t>
      </w:r>
      <w:r>
        <w:rPr/>
        <w:t>not </w:t>
      </w:r>
      <w:r>
        <w:rPr>
          <w:spacing w:val="-3"/>
        </w:rPr>
        <w:t>bill for any professional component </w:t>
      </w:r>
      <w:r>
        <w:rPr/>
        <w:t>of the </w:t>
      </w:r>
      <w:r>
        <w:rPr>
          <w:spacing w:val="-3"/>
        </w:rPr>
        <w:t>service that </w:t>
      </w:r>
      <w:r>
        <w:rPr/>
        <w:t>is </w:t>
      </w:r>
      <w:r>
        <w:rPr>
          <w:spacing w:val="-3"/>
        </w:rPr>
        <w:t>billed </w:t>
      </w:r>
      <w:r>
        <w:rPr/>
        <w:t>by the </w:t>
      </w:r>
      <w:r>
        <w:rPr>
          <w:spacing w:val="-3"/>
        </w:rPr>
        <w:t>hospital.</w:t>
      </w:r>
    </w:p>
    <w:p>
      <w:pPr>
        <w:spacing w:after="0" w:line="242" w:lineRule="auto"/>
        <w:sectPr>
          <w:footerReference w:type="default" r:id="rId14"/>
          <w:pgSz w:w="12240" w:h="15840"/>
          <w:pgMar w:footer="744" w:header="0" w:top="1380" w:bottom="940" w:left="1520" w:right="980"/>
          <w:pgNumType w:start="31"/>
        </w:sectPr>
      </w:pPr>
    </w:p>
    <w:p>
      <w:pPr>
        <w:pStyle w:val="BodyText"/>
        <w:spacing w:line="242" w:lineRule="auto" w:before="61"/>
        <w:ind w:left="711" w:right="267"/>
      </w:pPr>
      <w:r>
        <w:rPr>
          <w:spacing w:val="-3"/>
        </w:rPr>
        <w:t>Hospitals shall </w:t>
      </w:r>
      <w:r>
        <w:rPr/>
        <w:t>not be </w:t>
      </w:r>
      <w:r>
        <w:rPr>
          <w:spacing w:val="-3"/>
        </w:rPr>
        <w:t>reimbursed </w:t>
      </w:r>
      <w:r>
        <w:rPr/>
        <w:t>for </w:t>
      </w:r>
      <w:r>
        <w:rPr>
          <w:spacing w:val="-3"/>
        </w:rPr>
        <w:t>inpatient physician services provided </w:t>
      </w:r>
      <w:r>
        <w:rPr/>
        <w:t>by </w:t>
      </w:r>
      <w:r>
        <w:rPr>
          <w:spacing w:val="-4"/>
        </w:rPr>
        <w:t>community- </w:t>
      </w:r>
      <w:r>
        <w:rPr>
          <w:spacing w:val="-3"/>
        </w:rPr>
        <w:t>based physicians.</w:t>
      </w:r>
    </w:p>
    <w:p>
      <w:pPr>
        <w:pStyle w:val="BodyText"/>
        <w:spacing w:before="4"/>
      </w:pPr>
    </w:p>
    <w:p>
      <w:pPr>
        <w:pStyle w:val="BodyText"/>
        <w:spacing w:line="242" w:lineRule="auto"/>
        <w:ind w:left="711" w:right="188"/>
      </w:pPr>
      <w:r>
        <w:rPr>
          <w:spacing w:val="-3"/>
        </w:rPr>
        <w:t>Physician </w:t>
      </w:r>
      <w:r>
        <w:rPr/>
        <w:t>fee </w:t>
      </w:r>
      <w:r>
        <w:rPr>
          <w:spacing w:val="-3"/>
        </w:rPr>
        <w:t>schedules </w:t>
      </w:r>
      <w:r>
        <w:rPr/>
        <w:t>are </w:t>
      </w:r>
      <w:r>
        <w:rPr>
          <w:spacing w:val="-3"/>
        </w:rPr>
        <w:t>available </w:t>
      </w:r>
      <w:r>
        <w:rPr/>
        <w:t>at the </w:t>
      </w:r>
      <w:r>
        <w:rPr>
          <w:spacing w:val="-3"/>
        </w:rPr>
        <w:t>State House Bookstore </w:t>
      </w:r>
      <w:r>
        <w:rPr/>
        <w:t>and </w:t>
      </w:r>
      <w:r>
        <w:rPr>
          <w:spacing w:val="-3"/>
        </w:rPr>
        <w:t>at </w:t>
      </w:r>
      <w:hyperlink r:id="rId15">
        <w:r>
          <w:rPr>
            <w:color w:val="0000FF"/>
            <w:spacing w:val="-4"/>
            <w:u w:val="single" w:color="0000FF"/>
          </w:rPr>
          <w:t>http://www.mass.gov/eohhs/gov/laws-regs/hhs/community-health-care-providers-ambulatory-</w:t>
        </w:r>
      </w:hyperlink>
      <w:r>
        <w:rPr>
          <w:color w:val="0000FF"/>
          <w:spacing w:val="-4"/>
        </w:rPr>
        <w:t> </w:t>
      </w:r>
      <w:r>
        <w:rPr>
          <w:color w:val="0000FF"/>
          <w:spacing w:val="-3"/>
          <w:u w:val="single" w:color="0000FF"/>
        </w:rPr>
        <w:t>care.html</w:t>
      </w:r>
      <w:r>
        <w:rPr>
          <w:spacing w:val="-3"/>
        </w:rPr>
        <w:t>.</w:t>
      </w:r>
    </w:p>
    <w:p>
      <w:pPr>
        <w:pStyle w:val="BodyText"/>
        <w:spacing w:before="10"/>
        <w:rPr>
          <w:sz w:val="16"/>
        </w:rPr>
      </w:pPr>
    </w:p>
    <w:p>
      <w:pPr>
        <w:pStyle w:val="Heading3"/>
        <w:numPr>
          <w:ilvl w:val="1"/>
          <w:numId w:val="8"/>
        </w:numPr>
        <w:tabs>
          <w:tab w:pos="726" w:val="left" w:leader="none"/>
          <w:tab w:pos="727" w:val="left" w:leader="none"/>
        </w:tabs>
        <w:spacing w:line="240" w:lineRule="auto" w:before="90" w:after="0"/>
        <w:ind w:left="726" w:right="0" w:hanging="547"/>
        <w:jc w:val="left"/>
      </w:pPr>
      <w:r>
        <w:rPr>
          <w:spacing w:val="-3"/>
        </w:rPr>
        <w:t>Payments </w:t>
      </w:r>
      <w:r>
        <w:rPr/>
        <w:t>for </w:t>
      </w:r>
      <w:r>
        <w:rPr>
          <w:spacing w:val="-3"/>
        </w:rPr>
        <w:t>Administrative</w:t>
      </w:r>
      <w:r>
        <w:rPr>
          <w:spacing w:val="-12"/>
        </w:rPr>
        <w:t> </w:t>
      </w:r>
      <w:r>
        <w:rPr>
          <w:spacing w:val="-3"/>
        </w:rPr>
        <w:t>Days</w:t>
      </w:r>
    </w:p>
    <w:p>
      <w:pPr>
        <w:pStyle w:val="BodyText"/>
        <w:spacing w:before="5"/>
        <w:rPr>
          <w:b/>
        </w:rPr>
      </w:pPr>
    </w:p>
    <w:p>
      <w:pPr>
        <w:pStyle w:val="BodyText"/>
        <w:spacing w:line="242" w:lineRule="auto" w:before="1"/>
        <w:ind w:left="711" w:right="122"/>
        <w:jc w:val="both"/>
      </w:pPr>
      <w:r>
        <w:rPr>
          <w:spacing w:val="-3"/>
        </w:rPr>
        <w:t>Payments for Administrative Days will </w:t>
      </w:r>
      <w:r>
        <w:rPr/>
        <w:t>be </w:t>
      </w:r>
      <w:r>
        <w:rPr>
          <w:spacing w:val="-3"/>
        </w:rPr>
        <w:t>made </w:t>
      </w:r>
      <w:r>
        <w:rPr/>
        <w:t>on a per </w:t>
      </w:r>
      <w:r>
        <w:rPr>
          <w:spacing w:val="-3"/>
        </w:rPr>
        <w:t>diem basis </w:t>
      </w:r>
      <w:r>
        <w:rPr/>
        <w:t>as </w:t>
      </w:r>
      <w:r>
        <w:rPr>
          <w:spacing w:val="-3"/>
        </w:rPr>
        <w:t>described below. These </w:t>
      </w:r>
      <w:r>
        <w:rPr/>
        <w:t>per </w:t>
      </w:r>
      <w:r>
        <w:rPr>
          <w:spacing w:val="-3"/>
        </w:rPr>
        <w:t>diem rates </w:t>
      </w:r>
      <w:r>
        <w:rPr/>
        <w:t>are </w:t>
      </w:r>
      <w:r>
        <w:rPr>
          <w:spacing w:val="-3"/>
        </w:rPr>
        <w:t>all-inclusive </w:t>
      </w:r>
      <w:r>
        <w:rPr/>
        <w:t>and </w:t>
      </w:r>
      <w:r>
        <w:rPr>
          <w:spacing w:val="-3"/>
        </w:rPr>
        <w:t>represent payment </w:t>
      </w:r>
      <w:r>
        <w:rPr/>
        <w:t>in </w:t>
      </w:r>
      <w:r>
        <w:rPr>
          <w:spacing w:val="-3"/>
        </w:rPr>
        <w:t>full for </w:t>
      </w:r>
      <w:r>
        <w:rPr/>
        <w:t>all </w:t>
      </w:r>
      <w:r>
        <w:rPr>
          <w:spacing w:val="-3"/>
        </w:rPr>
        <w:t>Administrative Days </w:t>
      </w:r>
      <w:r>
        <w:rPr/>
        <w:t>in </w:t>
      </w:r>
      <w:r>
        <w:rPr>
          <w:spacing w:val="-3"/>
        </w:rPr>
        <w:t>all Acute Care Hospitals.</w:t>
      </w:r>
    </w:p>
    <w:p>
      <w:pPr>
        <w:pStyle w:val="BodyText"/>
        <w:spacing w:before="4"/>
      </w:pPr>
    </w:p>
    <w:p>
      <w:pPr>
        <w:pStyle w:val="BodyText"/>
        <w:ind w:left="711"/>
      </w:pPr>
      <w:r>
        <w:rPr/>
        <w:t>The AD rate is a base per diem payment and an ancillary add-on.</w:t>
      </w:r>
    </w:p>
    <w:p>
      <w:pPr>
        <w:pStyle w:val="BodyText"/>
        <w:spacing w:before="6"/>
      </w:pPr>
    </w:p>
    <w:p>
      <w:pPr>
        <w:pStyle w:val="BodyText"/>
        <w:spacing w:line="242" w:lineRule="auto"/>
        <w:ind w:left="711" w:right="267"/>
      </w:pPr>
      <w:r>
        <w:rPr/>
        <w:t>The </w:t>
      </w:r>
      <w:r>
        <w:rPr>
          <w:spacing w:val="-3"/>
        </w:rPr>
        <w:t>base </w:t>
      </w:r>
      <w:r>
        <w:rPr/>
        <w:t>per </w:t>
      </w:r>
      <w:r>
        <w:rPr>
          <w:spacing w:val="-3"/>
        </w:rPr>
        <w:t>diem payment </w:t>
      </w:r>
      <w:r>
        <w:rPr/>
        <w:t>is </w:t>
      </w:r>
      <w:r>
        <w:rPr>
          <w:spacing w:val="-3"/>
        </w:rPr>
        <w:t>$199.89, which represents </w:t>
      </w:r>
      <w:r>
        <w:rPr/>
        <w:t>the </w:t>
      </w:r>
      <w:r>
        <w:rPr>
          <w:spacing w:val="-3"/>
        </w:rPr>
        <w:t>median nursing facility rate that </w:t>
      </w:r>
      <w:r>
        <w:rPr/>
        <w:t>was </w:t>
      </w:r>
      <w:r>
        <w:rPr>
          <w:spacing w:val="-3"/>
        </w:rPr>
        <w:t>effective March </w:t>
      </w:r>
      <w:r>
        <w:rPr/>
        <w:t>1, </w:t>
      </w:r>
      <w:r>
        <w:rPr>
          <w:spacing w:val="-3"/>
        </w:rPr>
        <w:t>2013 </w:t>
      </w:r>
      <w:r>
        <w:rPr/>
        <w:t>for all </w:t>
      </w:r>
      <w:r>
        <w:rPr>
          <w:spacing w:val="-3"/>
        </w:rPr>
        <w:t>nursing home rate categories, </w:t>
      </w:r>
      <w:r>
        <w:rPr/>
        <w:t>as </w:t>
      </w:r>
      <w:r>
        <w:rPr>
          <w:spacing w:val="-3"/>
        </w:rPr>
        <w:t>determined </w:t>
      </w:r>
      <w:r>
        <w:rPr/>
        <w:t>by </w:t>
      </w:r>
      <w:r>
        <w:rPr>
          <w:spacing w:val="-3"/>
        </w:rPr>
        <w:t>EOHHS.</w:t>
      </w:r>
    </w:p>
    <w:p>
      <w:pPr>
        <w:pStyle w:val="BodyText"/>
        <w:spacing w:before="4"/>
      </w:pPr>
    </w:p>
    <w:p>
      <w:pPr>
        <w:pStyle w:val="BodyText"/>
        <w:spacing w:line="242" w:lineRule="auto"/>
        <w:ind w:left="711" w:right="159"/>
      </w:pPr>
      <w:r>
        <w:rPr/>
        <w:t>The </w:t>
      </w:r>
      <w:r>
        <w:rPr>
          <w:spacing w:val="-3"/>
        </w:rPr>
        <w:t>ancillary add-on </w:t>
      </w:r>
      <w:r>
        <w:rPr/>
        <w:t>is </w:t>
      </w:r>
      <w:r>
        <w:rPr>
          <w:spacing w:val="-3"/>
        </w:rPr>
        <w:t>based </w:t>
      </w:r>
      <w:r>
        <w:rPr/>
        <w:t>on the </w:t>
      </w:r>
      <w:r>
        <w:rPr>
          <w:spacing w:val="-3"/>
        </w:rPr>
        <w:t>ratio </w:t>
      </w:r>
      <w:r>
        <w:rPr/>
        <w:t>of </w:t>
      </w:r>
      <w:r>
        <w:rPr>
          <w:spacing w:val="-3"/>
        </w:rPr>
        <w:t>ancillary charges </w:t>
      </w:r>
      <w:r>
        <w:rPr/>
        <w:t>to </w:t>
      </w:r>
      <w:r>
        <w:rPr>
          <w:spacing w:val="-3"/>
        </w:rPr>
        <w:t>routine charges, calculated separately </w:t>
      </w:r>
      <w:r>
        <w:rPr/>
        <w:t>for </w:t>
      </w:r>
      <w:r>
        <w:rPr>
          <w:spacing w:val="-3"/>
        </w:rPr>
        <w:t>Medicaid/Medicare Part B-eligible patients </w:t>
      </w:r>
      <w:r>
        <w:rPr/>
        <w:t>and </w:t>
      </w:r>
      <w:r>
        <w:rPr>
          <w:spacing w:val="-3"/>
        </w:rPr>
        <w:t>Medicaid-only eligible patients </w:t>
      </w:r>
      <w:r>
        <w:rPr/>
        <w:t>on AD </w:t>
      </w:r>
      <w:r>
        <w:rPr>
          <w:spacing w:val="-3"/>
        </w:rPr>
        <w:t>status, using MassHealth paid claims </w:t>
      </w:r>
      <w:r>
        <w:rPr/>
        <w:t>for the </w:t>
      </w:r>
      <w:r>
        <w:rPr>
          <w:spacing w:val="-3"/>
        </w:rPr>
        <w:t>period October </w:t>
      </w:r>
      <w:r>
        <w:rPr/>
        <w:t>1, </w:t>
      </w:r>
      <w:r>
        <w:rPr>
          <w:spacing w:val="-3"/>
        </w:rPr>
        <w:t>1997 </w:t>
      </w:r>
      <w:r>
        <w:rPr/>
        <w:t>to </w:t>
      </w:r>
      <w:r>
        <w:rPr>
          <w:spacing w:val="-3"/>
        </w:rPr>
        <w:t>September 30, 1998. These ratios </w:t>
      </w:r>
      <w:r>
        <w:rPr/>
        <w:t>are </w:t>
      </w:r>
      <w:r>
        <w:rPr>
          <w:spacing w:val="-3"/>
        </w:rPr>
        <w:t>0.278 </w:t>
      </w:r>
      <w:r>
        <w:rPr/>
        <w:t>and </w:t>
      </w:r>
      <w:r>
        <w:rPr>
          <w:spacing w:val="-3"/>
        </w:rPr>
        <w:t>0.382, respectively.</w:t>
      </w:r>
    </w:p>
    <w:p>
      <w:pPr>
        <w:pStyle w:val="BodyText"/>
        <w:spacing w:before="4"/>
      </w:pPr>
    </w:p>
    <w:p>
      <w:pPr>
        <w:pStyle w:val="BodyText"/>
        <w:spacing w:line="242" w:lineRule="auto"/>
        <w:ind w:left="711" w:right="267"/>
      </w:pPr>
      <w:r>
        <w:rPr/>
        <w:t>The </w:t>
      </w:r>
      <w:r>
        <w:rPr>
          <w:spacing w:val="-3"/>
        </w:rPr>
        <w:t>resulting </w:t>
      </w:r>
      <w:r>
        <w:rPr/>
        <w:t>AD </w:t>
      </w:r>
      <w:r>
        <w:rPr>
          <w:spacing w:val="-3"/>
        </w:rPr>
        <w:t>rates (base </w:t>
      </w:r>
      <w:r>
        <w:rPr/>
        <w:t>and </w:t>
      </w:r>
      <w:r>
        <w:rPr>
          <w:spacing w:val="-3"/>
        </w:rPr>
        <w:t>ancillary) were then updated </w:t>
      </w:r>
      <w:r>
        <w:rPr/>
        <w:t>by the </w:t>
      </w:r>
      <w:r>
        <w:rPr>
          <w:spacing w:val="-3"/>
        </w:rPr>
        <w:t>Inflation Factor for Administrative Days. </w:t>
      </w:r>
      <w:r>
        <w:rPr/>
        <w:t>The </w:t>
      </w:r>
      <w:r>
        <w:rPr>
          <w:spacing w:val="-3"/>
        </w:rPr>
        <w:t>resulting </w:t>
      </w:r>
      <w:r>
        <w:rPr/>
        <w:t>AD </w:t>
      </w:r>
      <w:r>
        <w:rPr>
          <w:spacing w:val="-3"/>
        </w:rPr>
        <w:t>rates </w:t>
      </w:r>
      <w:r>
        <w:rPr/>
        <w:t>for </w:t>
      </w:r>
      <w:r>
        <w:rPr>
          <w:spacing w:val="-3"/>
        </w:rPr>
        <w:t>RY14 </w:t>
      </w:r>
      <w:r>
        <w:rPr/>
        <w:t>are </w:t>
      </w:r>
      <w:r>
        <w:rPr>
          <w:spacing w:val="-3"/>
        </w:rPr>
        <w:t>$258.90 </w:t>
      </w:r>
      <w:r>
        <w:rPr/>
        <w:t>for </w:t>
      </w:r>
      <w:r>
        <w:rPr>
          <w:spacing w:val="-3"/>
        </w:rPr>
        <w:t>Medicaid/Medicare Part B-eligible patients </w:t>
      </w:r>
      <w:r>
        <w:rPr/>
        <w:t>and </w:t>
      </w:r>
      <w:r>
        <w:rPr>
          <w:spacing w:val="-3"/>
        </w:rPr>
        <w:t>$279.97 </w:t>
      </w:r>
      <w:r>
        <w:rPr/>
        <w:t>for </w:t>
      </w:r>
      <w:r>
        <w:rPr>
          <w:spacing w:val="-3"/>
        </w:rPr>
        <w:t>Medicaid-only eligible patients.</w:t>
      </w:r>
    </w:p>
    <w:p>
      <w:pPr>
        <w:pStyle w:val="BodyText"/>
        <w:spacing w:before="2"/>
      </w:pPr>
    </w:p>
    <w:p>
      <w:pPr>
        <w:pStyle w:val="BodyText"/>
        <w:spacing w:line="242" w:lineRule="auto" w:before="1"/>
        <w:ind w:left="711" w:right="1"/>
      </w:pPr>
      <w:r>
        <w:rPr>
          <w:spacing w:val="-3"/>
        </w:rPr>
        <w:t>MassHealth rules </w:t>
      </w:r>
      <w:r>
        <w:rPr/>
        <w:t>and </w:t>
      </w:r>
      <w:r>
        <w:rPr>
          <w:spacing w:val="-3"/>
        </w:rPr>
        <w:t>regulations </w:t>
      </w:r>
      <w:r>
        <w:rPr/>
        <w:t>do not </w:t>
      </w:r>
      <w:r>
        <w:rPr>
          <w:spacing w:val="-3"/>
        </w:rPr>
        <w:t>allow </w:t>
      </w:r>
      <w:r>
        <w:rPr/>
        <w:t>a </w:t>
      </w:r>
      <w:r>
        <w:rPr>
          <w:spacing w:val="-3"/>
        </w:rPr>
        <w:t>patient </w:t>
      </w:r>
      <w:r>
        <w:rPr/>
        <w:t>to be </w:t>
      </w:r>
      <w:r>
        <w:rPr>
          <w:spacing w:val="-3"/>
        </w:rPr>
        <w:t>admitted </w:t>
      </w:r>
      <w:r>
        <w:rPr/>
        <w:t>at an AD </w:t>
      </w:r>
      <w:r>
        <w:rPr>
          <w:spacing w:val="-3"/>
        </w:rPr>
        <w:t>status, except </w:t>
      </w:r>
      <w:r>
        <w:rPr/>
        <w:t>in </w:t>
      </w:r>
      <w:r>
        <w:rPr>
          <w:spacing w:val="-3"/>
        </w:rPr>
        <w:t>limited circumstances outlined </w:t>
      </w:r>
      <w:r>
        <w:rPr/>
        <w:t>in </w:t>
      </w:r>
      <w:r>
        <w:rPr>
          <w:spacing w:val="-3"/>
        </w:rPr>
        <w:t>EOHHS regulations. </w:t>
      </w:r>
      <w:r>
        <w:rPr/>
        <w:t>In </w:t>
      </w:r>
      <w:r>
        <w:rPr>
          <w:spacing w:val="-3"/>
        </w:rPr>
        <w:t>most cases, therefore, Administrative Days will follow </w:t>
      </w:r>
      <w:r>
        <w:rPr/>
        <w:t>an </w:t>
      </w:r>
      <w:r>
        <w:rPr>
          <w:spacing w:val="-3"/>
        </w:rPr>
        <w:t>acute stay </w:t>
      </w:r>
      <w:r>
        <w:rPr/>
        <w:t>in the </w:t>
      </w:r>
      <w:r>
        <w:rPr>
          <w:spacing w:val="-3"/>
        </w:rPr>
        <w:t>Hospital.</w:t>
      </w:r>
    </w:p>
    <w:p>
      <w:pPr>
        <w:pStyle w:val="BodyText"/>
        <w:spacing w:before="8"/>
      </w:pPr>
    </w:p>
    <w:p>
      <w:pPr>
        <w:pStyle w:val="BodyText"/>
        <w:spacing w:line="242" w:lineRule="auto"/>
        <w:ind w:left="711" w:right="153"/>
      </w:pPr>
      <w:r>
        <w:rPr/>
        <w:t>A </w:t>
      </w:r>
      <w:r>
        <w:rPr>
          <w:spacing w:val="-3"/>
        </w:rPr>
        <w:t>Hospital may receive outlier payments under </w:t>
      </w:r>
      <w:r>
        <w:rPr>
          <w:b/>
          <w:spacing w:val="-3"/>
        </w:rPr>
        <w:t>Section 5.B.9 </w:t>
      </w:r>
      <w:r>
        <w:rPr/>
        <w:t>for </w:t>
      </w:r>
      <w:r>
        <w:rPr>
          <w:spacing w:val="-3"/>
        </w:rPr>
        <w:t>patients </w:t>
      </w:r>
      <w:r>
        <w:rPr/>
        <w:t>who </w:t>
      </w:r>
      <w:r>
        <w:rPr>
          <w:spacing w:val="-3"/>
        </w:rPr>
        <w:t>return </w:t>
      </w:r>
      <w:r>
        <w:rPr/>
        <w:t>to </w:t>
      </w:r>
      <w:r>
        <w:rPr>
          <w:spacing w:val="-3"/>
        </w:rPr>
        <w:t>acute status from </w:t>
      </w:r>
      <w:r>
        <w:rPr/>
        <w:t>AD </w:t>
      </w:r>
      <w:r>
        <w:rPr>
          <w:spacing w:val="-3"/>
        </w:rPr>
        <w:t>status after </w:t>
      </w:r>
      <w:r>
        <w:rPr/>
        <w:t>20 </w:t>
      </w:r>
      <w:r>
        <w:rPr>
          <w:spacing w:val="-3"/>
        </w:rPr>
        <w:t>cumulative MassHealth non-managed care acute days </w:t>
      </w:r>
      <w:r>
        <w:rPr/>
        <w:t>in a </w:t>
      </w:r>
      <w:r>
        <w:rPr>
          <w:spacing w:val="-3"/>
        </w:rPr>
        <w:t>single hospitalization. That </w:t>
      </w:r>
      <w:r>
        <w:rPr/>
        <w:t>is, if a </w:t>
      </w:r>
      <w:r>
        <w:rPr>
          <w:spacing w:val="-3"/>
        </w:rPr>
        <w:t>patient returns </w:t>
      </w:r>
      <w:r>
        <w:rPr/>
        <w:t>to </w:t>
      </w:r>
      <w:r>
        <w:rPr>
          <w:spacing w:val="-3"/>
        </w:rPr>
        <w:t>acute status after being </w:t>
      </w:r>
      <w:r>
        <w:rPr/>
        <w:t>on AD </w:t>
      </w:r>
      <w:r>
        <w:rPr>
          <w:spacing w:val="-3"/>
        </w:rPr>
        <w:t>status, the Hospital must </w:t>
      </w:r>
      <w:r>
        <w:rPr/>
        <w:t>add the </w:t>
      </w:r>
      <w:r>
        <w:rPr>
          <w:spacing w:val="-3"/>
        </w:rPr>
        <w:t>acute days preceding </w:t>
      </w:r>
      <w:r>
        <w:rPr/>
        <w:t>the AD </w:t>
      </w:r>
      <w:r>
        <w:rPr>
          <w:spacing w:val="-3"/>
        </w:rPr>
        <w:t>status </w:t>
      </w:r>
      <w:r>
        <w:rPr/>
        <w:t>to the </w:t>
      </w:r>
      <w:r>
        <w:rPr>
          <w:spacing w:val="-3"/>
        </w:rPr>
        <w:t>acute days following </w:t>
      </w:r>
      <w:r>
        <w:rPr/>
        <w:t>the </w:t>
      </w:r>
      <w:r>
        <w:rPr>
          <w:spacing w:val="-3"/>
        </w:rPr>
        <w:t>AD status</w:t>
      </w:r>
      <w:r>
        <w:rPr>
          <w:spacing w:val="-6"/>
        </w:rPr>
        <w:t> </w:t>
      </w:r>
      <w:r>
        <w:rPr/>
        <w:t>to</w:t>
      </w:r>
      <w:r>
        <w:rPr>
          <w:spacing w:val="-6"/>
        </w:rPr>
        <w:t> </w:t>
      </w:r>
      <w:r>
        <w:rPr>
          <w:spacing w:val="-3"/>
        </w:rPr>
        <w:t>determine</w:t>
      </w:r>
      <w:r>
        <w:rPr>
          <w:spacing w:val="-6"/>
        </w:rPr>
        <w:t> </w:t>
      </w:r>
      <w:r>
        <w:rPr/>
        <w:t>the</w:t>
      </w:r>
      <w:r>
        <w:rPr>
          <w:spacing w:val="-6"/>
        </w:rPr>
        <w:t> </w:t>
      </w:r>
      <w:r>
        <w:rPr/>
        <w:t>day</w:t>
      </w:r>
      <w:r>
        <w:rPr>
          <w:spacing w:val="-6"/>
        </w:rPr>
        <w:t> </w:t>
      </w:r>
      <w:r>
        <w:rPr/>
        <w:t>on</w:t>
      </w:r>
      <w:r>
        <w:rPr>
          <w:spacing w:val="-6"/>
        </w:rPr>
        <w:t> </w:t>
      </w:r>
      <w:r>
        <w:rPr>
          <w:spacing w:val="-3"/>
        </w:rPr>
        <w:t>which</w:t>
      </w:r>
      <w:r>
        <w:rPr>
          <w:spacing w:val="-6"/>
        </w:rPr>
        <w:t> </w:t>
      </w:r>
      <w:r>
        <w:rPr/>
        <w:t>the</w:t>
      </w:r>
      <w:r>
        <w:rPr>
          <w:spacing w:val="-6"/>
        </w:rPr>
        <w:t> </w:t>
      </w:r>
      <w:r>
        <w:rPr>
          <w:spacing w:val="-3"/>
        </w:rPr>
        <w:t>Hospital</w:t>
      </w:r>
      <w:r>
        <w:rPr>
          <w:spacing w:val="-6"/>
        </w:rPr>
        <w:t> </w:t>
      </w:r>
      <w:r>
        <w:rPr/>
        <w:t>is</w:t>
      </w:r>
      <w:r>
        <w:rPr>
          <w:spacing w:val="-6"/>
        </w:rPr>
        <w:t> </w:t>
      </w:r>
      <w:r>
        <w:rPr>
          <w:spacing w:val="-3"/>
        </w:rPr>
        <w:t>eligible</w:t>
      </w:r>
      <w:r>
        <w:rPr>
          <w:spacing w:val="-6"/>
        </w:rPr>
        <w:t> </w:t>
      </w:r>
      <w:r>
        <w:rPr>
          <w:spacing w:val="-3"/>
        </w:rPr>
        <w:t>for</w:t>
      </w:r>
      <w:r>
        <w:rPr>
          <w:spacing w:val="-6"/>
        </w:rPr>
        <w:t> </w:t>
      </w:r>
      <w:r>
        <w:rPr>
          <w:spacing w:val="-3"/>
        </w:rPr>
        <w:t>outlier</w:t>
      </w:r>
      <w:r>
        <w:rPr>
          <w:spacing w:val="-6"/>
        </w:rPr>
        <w:t> </w:t>
      </w:r>
      <w:r>
        <w:rPr>
          <w:spacing w:val="-3"/>
        </w:rPr>
        <w:t>payments.</w:t>
      </w:r>
      <w:r>
        <w:rPr>
          <w:spacing w:val="-6"/>
        </w:rPr>
        <w:t> </w:t>
      </w:r>
      <w:r>
        <w:rPr/>
        <w:t>The</w:t>
      </w:r>
      <w:r>
        <w:rPr>
          <w:spacing w:val="-6"/>
        </w:rPr>
        <w:t> </w:t>
      </w:r>
      <w:r>
        <w:rPr>
          <w:spacing w:val="-3"/>
        </w:rPr>
        <w:t>Hospital may </w:t>
      </w:r>
      <w:r>
        <w:rPr/>
        <w:t>not </w:t>
      </w:r>
      <w:r>
        <w:rPr>
          <w:spacing w:val="-3"/>
        </w:rPr>
        <w:t>bill for more than </w:t>
      </w:r>
      <w:r>
        <w:rPr/>
        <w:t>one </w:t>
      </w:r>
      <w:r>
        <w:rPr>
          <w:spacing w:val="-3"/>
        </w:rPr>
        <w:t>SPAD </w:t>
      </w:r>
      <w:r>
        <w:rPr/>
        <w:t>if the </w:t>
      </w:r>
      <w:r>
        <w:rPr>
          <w:spacing w:val="-3"/>
        </w:rPr>
        <w:t>patient fluctuates between acute status </w:t>
      </w:r>
      <w:r>
        <w:rPr/>
        <w:t>and </w:t>
      </w:r>
      <w:r>
        <w:rPr>
          <w:spacing w:val="-3"/>
        </w:rPr>
        <w:t>AD status; </w:t>
      </w:r>
      <w:r>
        <w:rPr/>
        <w:t>the </w:t>
      </w:r>
      <w:r>
        <w:rPr>
          <w:spacing w:val="-3"/>
        </w:rPr>
        <w:t>Hospital may only bill </w:t>
      </w:r>
      <w:r>
        <w:rPr/>
        <w:t>for one </w:t>
      </w:r>
      <w:r>
        <w:rPr>
          <w:spacing w:val="-3"/>
        </w:rPr>
        <w:t>SPAD (covering </w:t>
      </w:r>
      <w:r>
        <w:rPr/>
        <w:t>20 </w:t>
      </w:r>
      <w:r>
        <w:rPr>
          <w:spacing w:val="-3"/>
        </w:rPr>
        <w:t>cumulative MassHealth non- managed care acute days), </w:t>
      </w:r>
      <w:r>
        <w:rPr/>
        <w:t>and </w:t>
      </w:r>
      <w:r>
        <w:rPr>
          <w:spacing w:val="-3"/>
        </w:rPr>
        <w:t>then </w:t>
      </w:r>
      <w:r>
        <w:rPr/>
        <w:t>for </w:t>
      </w:r>
      <w:r>
        <w:rPr>
          <w:spacing w:val="-3"/>
        </w:rPr>
        <w:t>Outlier Days, </w:t>
      </w:r>
      <w:r>
        <w:rPr/>
        <w:t>as </w:t>
      </w:r>
      <w:r>
        <w:rPr>
          <w:spacing w:val="-3"/>
        </w:rPr>
        <w:t>described</w:t>
      </w:r>
      <w:r>
        <w:rPr>
          <w:spacing w:val="-27"/>
        </w:rPr>
        <w:t> </w:t>
      </w:r>
      <w:r>
        <w:rPr>
          <w:spacing w:val="-3"/>
        </w:rPr>
        <w:t>above.</w:t>
      </w:r>
    </w:p>
    <w:p>
      <w:pPr>
        <w:pStyle w:val="BodyText"/>
        <w:spacing w:before="2"/>
        <w:rPr>
          <w:sz w:val="21"/>
        </w:rPr>
      </w:pPr>
    </w:p>
    <w:p>
      <w:pPr>
        <w:pStyle w:val="Heading3"/>
        <w:numPr>
          <w:ilvl w:val="1"/>
          <w:numId w:val="8"/>
        </w:numPr>
        <w:tabs>
          <w:tab w:pos="726" w:val="left" w:leader="none"/>
          <w:tab w:pos="727" w:val="left" w:leader="none"/>
        </w:tabs>
        <w:spacing w:line="240" w:lineRule="auto" w:before="0" w:after="0"/>
        <w:ind w:left="726" w:right="0" w:hanging="619"/>
        <w:jc w:val="left"/>
      </w:pPr>
      <w:r>
        <w:rPr>
          <w:spacing w:val="-3"/>
        </w:rPr>
        <w:t>Rehabilitation Unit Services </w:t>
      </w:r>
      <w:r>
        <w:rPr/>
        <w:t>in </w:t>
      </w:r>
      <w:r>
        <w:rPr>
          <w:spacing w:val="-3"/>
        </w:rPr>
        <w:t>Acute</w:t>
      </w:r>
      <w:r>
        <w:rPr>
          <w:spacing w:val="-8"/>
        </w:rPr>
        <w:t> </w:t>
      </w:r>
      <w:r>
        <w:rPr>
          <w:spacing w:val="-3"/>
        </w:rPr>
        <w:t>Hospitals</w:t>
      </w:r>
    </w:p>
    <w:p>
      <w:pPr>
        <w:pStyle w:val="BodyText"/>
        <w:spacing w:before="5"/>
        <w:rPr>
          <w:b/>
        </w:rPr>
      </w:pPr>
    </w:p>
    <w:p>
      <w:pPr>
        <w:pStyle w:val="BodyText"/>
        <w:spacing w:line="242" w:lineRule="auto"/>
        <w:ind w:left="711" w:right="267"/>
      </w:pPr>
      <w:r>
        <w:rPr/>
        <w:t>A </w:t>
      </w:r>
      <w:r>
        <w:rPr>
          <w:spacing w:val="-3"/>
        </w:rPr>
        <w:t>DPH-licensed Acute Hospital with </w:t>
      </w:r>
      <w:r>
        <w:rPr/>
        <w:t>a </w:t>
      </w:r>
      <w:r>
        <w:rPr>
          <w:spacing w:val="-3"/>
        </w:rPr>
        <w:t>Rehabilitation Unit may bill </w:t>
      </w:r>
      <w:r>
        <w:rPr/>
        <w:t>a per </w:t>
      </w:r>
      <w:r>
        <w:rPr>
          <w:spacing w:val="-3"/>
        </w:rPr>
        <w:t>diem rate for Rehabilitation Services provided </w:t>
      </w:r>
      <w:r>
        <w:rPr/>
        <w:t>at an </w:t>
      </w:r>
      <w:r>
        <w:rPr>
          <w:spacing w:val="-3"/>
        </w:rPr>
        <w:t>Acute Hospital.</w:t>
      </w:r>
    </w:p>
    <w:p>
      <w:pPr>
        <w:spacing w:after="0" w:line="242" w:lineRule="auto"/>
        <w:sectPr>
          <w:pgSz w:w="12240" w:h="15840"/>
          <w:pgMar w:header="0" w:footer="744" w:top="1380" w:bottom="940" w:left="1520" w:right="980"/>
        </w:sectPr>
      </w:pPr>
    </w:p>
    <w:p>
      <w:pPr>
        <w:pStyle w:val="BodyText"/>
        <w:spacing w:line="244" w:lineRule="auto" w:before="61"/>
        <w:ind w:left="711" w:right="235"/>
      </w:pPr>
      <w:r>
        <w:rPr/>
        <w:t>The per </w:t>
      </w:r>
      <w:r>
        <w:rPr>
          <w:spacing w:val="-3"/>
        </w:rPr>
        <w:t>diem rate for such Rehabilitation Services equals </w:t>
      </w:r>
      <w:r>
        <w:rPr/>
        <w:t>the </w:t>
      </w:r>
      <w:r>
        <w:rPr>
          <w:spacing w:val="-3"/>
        </w:rPr>
        <w:t>median MassHealth RY14 Rehabilitation Hospital rate for Chronic Disease </w:t>
      </w:r>
      <w:r>
        <w:rPr/>
        <w:t>and </w:t>
      </w:r>
      <w:r>
        <w:rPr>
          <w:spacing w:val="-3"/>
        </w:rPr>
        <w:t>Rehabilitation (CDR) Hospitals. Acute Hospital Administrative </w:t>
      </w:r>
      <w:r>
        <w:rPr/>
        <w:t>Day </w:t>
      </w:r>
      <w:r>
        <w:rPr>
          <w:spacing w:val="-3"/>
        </w:rPr>
        <w:t>rates will </w:t>
      </w:r>
      <w:r>
        <w:rPr/>
        <w:t>be </w:t>
      </w:r>
      <w:r>
        <w:rPr>
          <w:spacing w:val="-3"/>
        </w:rPr>
        <w:t>paid </w:t>
      </w:r>
      <w:r>
        <w:rPr/>
        <w:t>in </w:t>
      </w:r>
      <w:r>
        <w:rPr>
          <w:spacing w:val="-3"/>
        </w:rPr>
        <w:t>accordance with </w:t>
      </w:r>
      <w:r>
        <w:rPr>
          <w:b/>
          <w:spacing w:val="-3"/>
        </w:rPr>
        <w:t>Section 5.B.11 </w:t>
      </w:r>
      <w:r>
        <w:rPr/>
        <w:t>for all </w:t>
      </w:r>
      <w:r>
        <w:rPr>
          <w:spacing w:val="-3"/>
        </w:rPr>
        <w:t>days that </w:t>
      </w:r>
      <w:r>
        <w:rPr/>
        <w:t>a </w:t>
      </w:r>
      <w:r>
        <w:rPr>
          <w:spacing w:val="-3"/>
        </w:rPr>
        <w:t>patient remains </w:t>
      </w:r>
      <w:r>
        <w:rPr/>
        <w:t>in the </w:t>
      </w:r>
      <w:r>
        <w:rPr>
          <w:spacing w:val="-3"/>
        </w:rPr>
        <w:t>Rehabilitation Unit while </w:t>
      </w:r>
      <w:r>
        <w:rPr/>
        <w:t>not at </w:t>
      </w:r>
      <w:r>
        <w:rPr>
          <w:spacing w:val="-3"/>
        </w:rPr>
        <w:t>Hospital level </w:t>
      </w:r>
      <w:r>
        <w:rPr/>
        <w:t>of </w:t>
      </w:r>
      <w:r>
        <w:rPr>
          <w:spacing w:val="-3"/>
        </w:rPr>
        <w:t>care. Such units shall </w:t>
      </w:r>
      <w:r>
        <w:rPr/>
        <w:t>be </w:t>
      </w:r>
      <w:r>
        <w:rPr>
          <w:spacing w:val="-3"/>
        </w:rPr>
        <w:t>subject </w:t>
      </w:r>
      <w:r>
        <w:rPr/>
        <w:t>to </w:t>
      </w:r>
      <w:r>
        <w:rPr>
          <w:spacing w:val="-3"/>
        </w:rPr>
        <w:t>EOHHS’ screening program </w:t>
      </w:r>
      <w:r>
        <w:rPr/>
        <w:t>for </w:t>
      </w:r>
      <w:r>
        <w:rPr>
          <w:spacing w:val="-3"/>
        </w:rPr>
        <w:t>chronic </w:t>
      </w:r>
      <w:r>
        <w:rPr/>
        <w:t>and </w:t>
      </w:r>
      <w:r>
        <w:rPr>
          <w:spacing w:val="-3"/>
        </w:rPr>
        <w:t>rehabilitation hospitals as detailed </w:t>
      </w:r>
      <w:r>
        <w:rPr/>
        <w:t>in 130 CMR </w:t>
      </w:r>
      <w:r>
        <w:rPr>
          <w:spacing w:val="-3"/>
        </w:rPr>
        <w:t>435.408 </w:t>
      </w:r>
      <w:r>
        <w:rPr/>
        <w:t>and </w:t>
      </w:r>
      <w:r>
        <w:rPr>
          <w:spacing w:val="-3"/>
        </w:rPr>
        <w:t>requirements detailed </w:t>
      </w:r>
      <w:r>
        <w:rPr/>
        <w:t>in 130 CMR </w:t>
      </w:r>
      <w:r>
        <w:rPr>
          <w:spacing w:val="-3"/>
        </w:rPr>
        <w:t>435.410 </w:t>
      </w:r>
      <w:r>
        <w:rPr/>
        <w:t>– </w:t>
      </w:r>
      <w:r>
        <w:rPr>
          <w:spacing w:val="-3"/>
        </w:rPr>
        <w:t>411.</w:t>
      </w:r>
    </w:p>
    <w:p>
      <w:pPr>
        <w:pStyle w:val="BodyText"/>
        <w:spacing w:before="11"/>
        <w:rPr>
          <w:sz w:val="20"/>
        </w:rPr>
      </w:pPr>
    </w:p>
    <w:p>
      <w:pPr>
        <w:pStyle w:val="Heading3"/>
        <w:numPr>
          <w:ilvl w:val="1"/>
          <w:numId w:val="8"/>
        </w:numPr>
        <w:tabs>
          <w:tab w:pos="726" w:val="left" w:leader="none"/>
          <w:tab w:pos="727" w:val="left" w:leader="none"/>
        </w:tabs>
        <w:spacing w:line="240" w:lineRule="auto" w:before="0" w:after="0"/>
        <w:ind w:left="726" w:right="0" w:hanging="619"/>
        <w:jc w:val="left"/>
      </w:pPr>
      <w:r>
        <w:rPr>
          <w:spacing w:val="-3"/>
        </w:rPr>
        <w:t>Infant </w:t>
      </w:r>
      <w:r>
        <w:rPr/>
        <w:t>and </w:t>
      </w:r>
      <w:r>
        <w:rPr>
          <w:spacing w:val="-3"/>
        </w:rPr>
        <w:t>Pediatric Outlier Payment</w:t>
      </w:r>
      <w:r>
        <w:rPr>
          <w:spacing w:val="-10"/>
        </w:rPr>
        <w:t> </w:t>
      </w:r>
      <w:r>
        <w:rPr>
          <w:spacing w:val="-3"/>
        </w:rPr>
        <w:t>Adjustments</w:t>
      </w:r>
    </w:p>
    <w:p>
      <w:pPr>
        <w:pStyle w:val="BodyText"/>
        <w:spacing w:before="9"/>
        <w:rPr>
          <w:b/>
        </w:rPr>
      </w:pPr>
    </w:p>
    <w:p>
      <w:pPr>
        <w:pStyle w:val="ListParagraph"/>
        <w:numPr>
          <w:ilvl w:val="2"/>
          <w:numId w:val="8"/>
        </w:numPr>
        <w:tabs>
          <w:tab w:pos="1252" w:val="left" w:leader="none"/>
          <w:tab w:pos="1253" w:val="left" w:leader="none"/>
        </w:tabs>
        <w:spacing w:line="240" w:lineRule="auto" w:before="0" w:after="0"/>
        <w:ind w:left="1252" w:right="0" w:hanging="540"/>
        <w:jc w:val="left"/>
        <w:rPr>
          <w:b/>
          <w:sz w:val="24"/>
        </w:rPr>
      </w:pPr>
      <w:r>
        <w:rPr>
          <w:b/>
          <w:spacing w:val="-3"/>
          <w:sz w:val="24"/>
        </w:rPr>
        <w:t>Infant Outlier Payment</w:t>
      </w:r>
      <w:r>
        <w:rPr>
          <w:b/>
          <w:spacing w:val="-1"/>
          <w:sz w:val="24"/>
        </w:rPr>
        <w:t> </w:t>
      </w:r>
      <w:r>
        <w:rPr>
          <w:b/>
          <w:spacing w:val="-3"/>
          <w:sz w:val="24"/>
        </w:rPr>
        <w:t>Adjustment</w:t>
      </w:r>
    </w:p>
    <w:p>
      <w:pPr>
        <w:pStyle w:val="BodyText"/>
        <w:spacing w:before="5"/>
        <w:rPr>
          <w:b/>
        </w:rPr>
      </w:pPr>
    </w:p>
    <w:p>
      <w:pPr>
        <w:pStyle w:val="BodyText"/>
        <w:spacing w:line="242" w:lineRule="auto"/>
        <w:ind w:left="1251" w:right="232"/>
      </w:pPr>
      <w:r>
        <w:rPr/>
        <w:t>In </w:t>
      </w:r>
      <w:r>
        <w:rPr>
          <w:spacing w:val="-3"/>
        </w:rPr>
        <w:t>accordance with </w:t>
      </w:r>
      <w:r>
        <w:rPr/>
        <w:t>42 </w:t>
      </w:r>
      <w:r>
        <w:rPr>
          <w:spacing w:val="-3"/>
        </w:rPr>
        <w:t>U.S.C. </w:t>
      </w:r>
      <w:r>
        <w:rPr/>
        <w:t>§ </w:t>
      </w:r>
      <w:r>
        <w:rPr>
          <w:spacing w:val="-3"/>
        </w:rPr>
        <w:t>1396a(s), EOHHS will make </w:t>
      </w:r>
      <w:r>
        <w:rPr/>
        <w:t>an </w:t>
      </w:r>
      <w:r>
        <w:rPr>
          <w:spacing w:val="-3"/>
        </w:rPr>
        <w:t>annual infant outlier payment adjustment </w:t>
      </w:r>
      <w:r>
        <w:rPr/>
        <w:t>to </w:t>
      </w:r>
      <w:r>
        <w:rPr>
          <w:spacing w:val="-3"/>
        </w:rPr>
        <w:t>Acute Hospitals </w:t>
      </w:r>
      <w:r>
        <w:rPr/>
        <w:t>for </w:t>
      </w:r>
      <w:r>
        <w:rPr>
          <w:spacing w:val="-3"/>
        </w:rPr>
        <w:t>Inpatient Services furnished </w:t>
      </w:r>
      <w:r>
        <w:rPr/>
        <w:t>to </w:t>
      </w:r>
      <w:r>
        <w:rPr>
          <w:spacing w:val="-3"/>
        </w:rPr>
        <w:t>infants under </w:t>
      </w:r>
      <w:r>
        <w:rPr/>
        <w:t>one </w:t>
      </w:r>
      <w:r>
        <w:rPr>
          <w:spacing w:val="-3"/>
        </w:rPr>
        <w:t>year </w:t>
      </w:r>
      <w:r>
        <w:rPr/>
        <w:t>of age </w:t>
      </w:r>
      <w:r>
        <w:rPr>
          <w:spacing w:val="-3"/>
        </w:rPr>
        <w:t>involving exceptionally high costs </w:t>
      </w:r>
      <w:r>
        <w:rPr/>
        <w:t>or </w:t>
      </w:r>
      <w:r>
        <w:rPr>
          <w:spacing w:val="-3"/>
        </w:rPr>
        <w:t>exceptionally long lengths </w:t>
      </w:r>
      <w:r>
        <w:rPr/>
        <w:t>of </w:t>
      </w:r>
      <w:r>
        <w:rPr>
          <w:spacing w:val="-3"/>
        </w:rPr>
        <w:t>stay.</w:t>
      </w:r>
    </w:p>
    <w:p>
      <w:pPr>
        <w:pStyle w:val="BodyText"/>
        <w:spacing w:before="3"/>
      </w:pPr>
    </w:p>
    <w:p>
      <w:pPr>
        <w:pStyle w:val="BodyText"/>
        <w:ind w:left="1252"/>
      </w:pPr>
      <w:r>
        <w:rPr/>
        <w:t>The Infant Outlier Payment is calculated using the data and methodology as follows:</w:t>
      </w:r>
    </w:p>
    <w:p>
      <w:pPr>
        <w:pStyle w:val="BodyText"/>
        <w:spacing w:before="4"/>
        <w:rPr>
          <w:sz w:val="21"/>
        </w:rPr>
      </w:pPr>
    </w:p>
    <w:p>
      <w:pPr>
        <w:pStyle w:val="ListParagraph"/>
        <w:numPr>
          <w:ilvl w:val="3"/>
          <w:numId w:val="8"/>
        </w:numPr>
        <w:tabs>
          <w:tab w:pos="1641" w:val="left" w:leader="none"/>
        </w:tabs>
        <w:spacing w:line="242" w:lineRule="auto" w:before="1" w:after="0"/>
        <w:ind w:left="1612" w:right="479" w:hanging="360"/>
        <w:jc w:val="left"/>
        <w:rPr>
          <w:sz w:val="24"/>
        </w:rPr>
      </w:pPr>
      <w:r>
        <w:rPr>
          <w:b/>
          <w:spacing w:val="-3"/>
          <w:sz w:val="24"/>
        </w:rPr>
        <w:t>Data Source: </w:t>
      </w:r>
      <w:r>
        <w:rPr>
          <w:sz w:val="24"/>
        </w:rPr>
        <w:t>The </w:t>
      </w:r>
      <w:r>
        <w:rPr>
          <w:spacing w:val="-3"/>
          <w:sz w:val="24"/>
        </w:rPr>
        <w:t>prior year's claims data residing </w:t>
      </w:r>
      <w:r>
        <w:rPr>
          <w:sz w:val="24"/>
        </w:rPr>
        <w:t>on </w:t>
      </w:r>
      <w:r>
        <w:rPr>
          <w:spacing w:val="-3"/>
          <w:sz w:val="24"/>
        </w:rPr>
        <w:t>EOHHS’ MMIS </w:t>
      </w:r>
      <w:r>
        <w:rPr>
          <w:sz w:val="24"/>
        </w:rPr>
        <w:t>is </w:t>
      </w:r>
      <w:r>
        <w:rPr>
          <w:spacing w:val="-3"/>
          <w:sz w:val="24"/>
        </w:rPr>
        <w:t>used to determine exceptionally high costs </w:t>
      </w:r>
      <w:r>
        <w:rPr>
          <w:sz w:val="24"/>
        </w:rPr>
        <w:t>and </w:t>
      </w:r>
      <w:r>
        <w:rPr>
          <w:spacing w:val="-3"/>
          <w:sz w:val="24"/>
        </w:rPr>
        <w:t>exceptionally long lengths </w:t>
      </w:r>
      <w:r>
        <w:rPr>
          <w:sz w:val="24"/>
        </w:rPr>
        <w:t>of</w:t>
      </w:r>
      <w:r>
        <w:rPr>
          <w:spacing w:val="-14"/>
          <w:sz w:val="24"/>
        </w:rPr>
        <w:t> </w:t>
      </w:r>
      <w:r>
        <w:rPr>
          <w:spacing w:val="-3"/>
          <w:sz w:val="24"/>
        </w:rPr>
        <w:t>stay.</w:t>
      </w:r>
    </w:p>
    <w:p>
      <w:pPr>
        <w:pStyle w:val="BodyText"/>
        <w:spacing w:before="3"/>
        <w:rPr>
          <w:sz w:val="21"/>
        </w:rPr>
      </w:pPr>
    </w:p>
    <w:p>
      <w:pPr>
        <w:pStyle w:val="ListParagraph"/>
        <w:numPr>
          <w:ilvl w:val="3"/>
          <w:numId w:val="8"/>
        </w:numPr>
        <w:tabs>
          <w:tab w:pos="1641" w:val="left" w:leader="none"/>
        </w:tabs>
        <w:spacing w:line="240" w:lineRule="auto" w:before="0" w:after="0"/>
        <w:ind w:left="1640" w:right="0" w:hanging="388"/>
        <w:jc w:val="left"/>
        <w:rPr>
          <w:sz w:val="24"/>
        </w:rPr>
      </w:pPr>
      <w:r>
        <w:rPr>
          <w:b/>
          <w:spacing w:val="-3"/>
          <w:sz w:val="24"/>
        </w:rPr>
        <w:t>Eligibility:  </w:t>
      </w:r>
      <w:r>
        <w:rPr>
          <w:spacing w:val="-3"/>
          <w:sz w:val="24"/>
        </w:rPr>
        <w:t>Eligibility for </w:t>
      </w:r>
      <w:r>
        <w:rPr>
          <w:sz w:val="24"/>
        </w:rPr>
        <w:t>the </w:t>
      </w:r>
      <w:r>
        <w:rPr>
          <w:spacing w:val="-3"/>
          <w:sz w:val="24"/>
        </w:rPr>
        <w:t>adjustment </w:t>
      </w:r>
      <w:r>
        <w:rPr>
          <w:sz w:val="24"/>
        </w:rPr>
        <w:t>is </w:t>
      </w:r>
      <w:r>
        <w:rPr>
          <w:spacing w:val="-3"/>
          <w:sz w:val="24"/>
        </w:rPr>
        <w:t>determined </w:t>
      </w:r>
      <w:r>
        <w:rPr>
          <w:sz w:val="24"/>
        </w:rPr>
        <w:t>as</w:t>
      </w:r>
      <w:r>
        <w:rPr>
          <w:spacing w:val="-19"/>
          <w:sz w:val="24"/>
        </w:rPr>
        <w:t> </w:t>
      </w:r>
      <w:r>
        <w:rPr>
          <w:spacing w:val="-4"/>
          <w:sz w:val="24"/>
        </w:rPr>
        <w:t>follows:</w:t>
      </w:r>
    </w:p>
    <w:p>
      <w:pPr>
        <w:pStyle w:val="ListParagraph"/>
        <w:numPr>
          <w:ilvl w:val="4"/>
          <w:numId w:val="8"/>
        </w:numPr>
        <w:tabs>
          <w:tab w:pos="2001" w:val="left" w:leader="none"/>
        </w:tabs>
        <w:spacing w:line="242" w:lineRule="auto" w:before="127" w:after="0"/>
        <w:ind w:left="1972" w:right="122" w:hanging="360"/>
        <w:jc w:val="left"/>
        <w:rPr>
          <w:sz w:val="24"/>
        </w:rPr>
      </w:pPr>
      <w:r>
        <w:rPr>
          <w:b/>
          <w:spacing w:val="-3"/>
          <w:sz w:val="24"/>
        </w:rPr>
        <w:t>Exceptionally Long Lengths </w:t>
      </w:r>
      <w:r>
        <w:rPr>
          <w:b/>
          <w:sz w:val="24"/>
        </w:rPr>
        <w:t>of </w:t>
      </w:r>
      <w:r>
        <w:rPr>
          <w:b/>
          <w:spacing w:val="-3"/>
          <w:sz w:val="24"/>
        </w:rPr>
        <w:t>Stay: </w:t>
      </w:r>
      <w:r>
        <w:rPr>
          <w:spacing w:val="-3"/>
          <w:sz w:val="24"/>
        </w:rPr>
        <w:t>First, </w:t>
      </w:r>
      <w:r>
        <w:rPr>
          <w:sz w:val="24"/>
        </w:rPr>
        <w:t>the </w:t>
      </w:r>
      <w:r>
        <w:rPr>
          <w:spacing w:val="-3"/>
          <w:sz w:val="24"/>
        </w:rPr>
        <w:t>statewide weighted average Medicaid inpatient length </w:t>
      </w:r>
      <w:r>
        <w:rPr>
          <w:sz w:val="24"/>
        </w:rPr>
        <w:t>of </w:t>
      </w:r>
      <w:r>
        <w:rPr>
          <w:spacing w:val="-3"/>
          <w:sz w:val="24"/>
        </w:rPr>
        <w:t>stay </w:t>
      </w:r>
      <w:r>
        <w:rPr>
          <w:sz w:val="24"/>
        </w:rPr>
        <w:t>is </w:t>
      </w:r>
      <w:r>
        <w:rPr>
          <w:spacing w:val="-3"/>
          <w:sz w:val="24"/>
        </w:rPr>
        <w:t>determined </w:t>
      </w:r>
      <w:r>
        <w:rPr>
          <w:sz w:val="24"/>
        </w:rPr>
        <w:t>by </w:t>
      </w:r>
      <w:r>
        <w:rPr>
          <w:spacing w:val="-3"/>
          <w:sz w:val="24"/>
        </w:rPr>
        <w:t>dividing </w:t>
      </w:r>
      <w:r>
        <w:rPr>
          <w:sz w:val="24"/>
        </w:rPr>
        <w:t>the sum of </w:t>
      </w:r>
      <w:r>
        <w:rPr>
          <w:spacing w:val="-3"/>
          <w:sz w:val="24"/>
        </w:rPr>
        <w:t>Medicaid days</w:t>
      </w:r>
      <w:r>
        <w:rPr>
          <w:spacing w:val="-7"/>
          <w:sz w:val="24"/>
        </w:rPr>
        <w:t> </w:t>
      </w:r>
      <w:r>
        <w:rPr>
          <w:sz w:val="24"/>
        </w:rPr>
        <w:t>for</w:t>
      </w:r>
      <w:r>
        <w:rPr>
          <w:spacing w:val="-7"/>
          <w:sz w:val="24"/>
        </w:rPr>
        <w:t> </w:t>
      </w:r>
      <w:r>
        <w:rPr>
          <w:sz w:val="24"/>
        </w:rPr>
        <w:t>all</w:t>
      </w:r>
      <w:r>
        <w:rPr>
          <w:spacing w:val="-7"/>
          <w:sz w:val="24"/>
        </w:rPr>
        <w:t> </w:t>
      </w:r>
      <w:r>
        <w:rPr>
          <w:spacing w:val="-3"/>
          <w:sz w:val="24"/>
        </w:rPr>
        <w:t>Acute</w:t>
      </w:r>
      <w:r>
        <w:rPr>
          <w:spacing w:val="-7"/>
          <w:sz w:val="24"/>
        </w:rPr>
        <w:t> </w:t>
      </w:r>
      <w:r>
        <w:rPr>
          <w:spacing w:val="-3"/>
          <w:sz w:val="24"/>
        </w:rPr>
        <w:t>Hospitals</w:t>
      </w:r>
      <w:r>
        <w:rPr>
          <w:spacing w:val="-7"/>
          <w:sz w:val="24"/>
        </w:rPr>
        <w:t> </w:t>
      </w:r>
      <w:r>
        <w:rPr>
          <w:sz w:val="24"/>
        </w:rPr>
        <w:t>in</w:t>
      </w:r>
      <w:r>
        <w:rPr>
          <w:spacing w:val="-7"/>
          <w:sz w:val="24"/>
        </w:rPr>
        <w:t> </w:t>
      </w:r>
      <w:r>
        <w:rPr>
          <w:sz w:val="24"/>
        </w:rPr>
        <w:t>the</w:t>
      </w:r>
      <w:r>
        <w:rPr>
          <w:spacing w:val="-7"/>
          <w:sz w:val="24"/>
        </w:rPr>
        <w:t> </w:t>
      </w:r>
      <w:r>
        <w:rPr>
          <w:spacing w:val="-3"/>
          <w:sz w:val="24"/>
        </w:rPr>
        <w:t>state</w:t>
      </w:r>
      <w:r>
        <w:rPr>
          <w:spacing w:val="-7"/>
          <w:sz w:val="24"/>
        </w:rPr>
        <w:t> </w:t>
      </w:r>
      <w:r>
        <w:rPr>
          <w:sz w:val="24"/>
        </w:rPr>
        <w:t>by</w:t>
      </w:r>
      <w:r>
        <w:rPr>
          <w:spacing w:val="-7"/>
          <w:sz w:val="24"/>
        </w:rPr>
        <w:t> </w:t>
      </w:r>
      <w:r>
        <w:rPr>
          <w:sz w:val="24"/>
        </w:rPr>
        <w:t>the</w:t>
      </w:r>
      <w:r>
        <w:rPr>
          <w:spacing w:val="-7"/>
          <w:sz w:val="24"/>
        </w:rPr>
        <w:t> </w:t>
      </w:r>
      <w:r>
        <w:rPr>
          <w:sz w:val="24"/>
        </w:rPr>
        <w:t>sum</w:t>
      </w:r>
      <w:r>
        <w:rPr>
          <w:spacing w:val="-9"/>
          <w:sz w:val="24"/>
        </w:rPr>
        <w:t> </w:t>
      </w:r>
      <w:r>
        <w:rPr>
          <w:sz w:val="24"/>
        </w:rPr>
        <w:t>of</w:t>
      </w:r>
      <w:r>
        <w:rPr>
          <w:spacing w:val="-7"/>
          <w:sz w:val="24"/>
        </w:rPr>
        <w:t> </w:t>
      </w:r>
      <w:r>
        <w:rPr>
          <w:spacing w:val="-3"/>
          <w:sz w:val="24"/>
        </w:rPr>
        <w:t>Medicaid</w:t>
      </w:r>
      <w:r>
        <w:rPr>
          <w:spacing w:val="-7"/>
          <w:sz w:val="24"/>
        </w:rPr>
        <w:t> </w:t>
      </w:r>
      <w:r>
        <w:rPr>
          <w:spacing w:val="-3"/>
          <w:sz w:val="24"/>
        </w:rPr>
        <w:t>discharges</w:t>
      </w:r>
      <w:r>
        <w:rPr>
          <w:spacing w:val="-7"/>
          <w:sz w:val="24"/>
        </w:rPr>
        <w:t> </w:t>
      </w:r>
      <w:r>
        <w:rPr>
          <w:sz w:val="24"/>
        </w:rPr>
        <w:t>for</w:t>
      </w:r>
      <w:r>
        <w:rPr>
          <w:spacing w:val="-7"/>
          <w:sz w:val="24"/>
        </w:rPr>
        <w:t> </w:t>
      </w:r>
      <w:r>
        <w:rPr>
          <w:spacing w:val="-3"/>
          <w:sz w:val="24"/>
        </w:rPr>
        <w:t>all Acute Hospitals </w:t>
      </w:r>
      <w:r>
        <w:rPr>
          <w:sz w:val="24"/>
        </w:rPr>
        <w:t>in the </w:t>
      </w:r>
      <w:r>
        <w:rPr>
          <w:spacing w:val="-3"/>
          <w:sz w:val="24"/>
        </w:rPr>
        <w:t>state. </w:t>
      </w:r>
      <w:r>
        <w:rPr>
          <w:sz w:val="24"/>
        </w:rPr>
        <w:t>The </w:t>
      </w:r>
      <w:r>
        <w:rPr>
          <w:spacing w:val="-3"/>
          <w:sz w:val="24"/>
        </w:rPr>
        <w:t>statewide weighted standard deviation for Medicaid inpatient length </w:t>
      </w:r>
      <w:r>
        <w:rPr>
          <w:sz w:val="24"/>
        </w:rPr>
        <w:t>of </w:t>
      </w:r>
      <w:r>
        <w:rPr>
          <w:spacing w:val="-3"/>
          <w:sz w:val="24"/>
        </w:rPr>
        <w:t>stay </w:t>
      </w:r>
      <w:r>
        <w:rPr>
          <w:sz w:val="24"/>
        </w:rPr>
        <w:t>is </w:t>
      </w:r>
      <w:r>
        <w:rPr>
          <w:spacing w:val="-3"/>
          <w:sz w:val="24"/>
        </w:rPr>
        <w:t>also calculated. </w:t>
      </w:r>
      <w:r>
        <w:rPr>
          <w:sz w:val="24"/>
        </w:rPr>
        <w:t>The </w:t>
      </w:r>
      <w:r>
        <w:rPr>
          <w:spacing w:val="-3"/>
          <w:sz w:val="24"/>
        </w:rPr>
        <w:t>statewide weighted standard deviation for </w:t>
      </w:r>
      <w:r>
        <w:rPr>
          <w:sz w:val="24"/>
        </w:rPr>
        <w:t>the </w:t>
      </w:r>
      <w:r>
        <w:rPr>
          <w:spacing w:val="-3"/>
          <w:sz w:val="24"/>
        </w:rPr>
        <w:t>Medicaid inpatient length </w:t>
      </w:r>
      <w:r>
        <w:rPr>
          <w:sz w:val="24"/>
        </w:rPr>
        <w:t>of </w:t>
      </w:r>
      <w:r>
        <w:rPr>
          <w:spacing w:val="-3"/>
          <w:sz w:val="24"/>
        </w:rPr>
        <w:t>stay </w:t>
      </w:r>
      <w:r>
        <w:rPr>
          <w:sz w:val="24"/>
        </w:rPr>
        <w:t>is </w:t>
      </w:r>
      <w:r>
        <w:rPr>
          <w:spacing w:val="-3"/>
          <w:sz w:val="24"/>
        </w:rPr>
        <w:t>multiplied </w:t>
      </w:r>
      <w:r>
        <w:rPr>
          <w:sz w:val="24"/>
        </w:rPr>
        <w:t>by </w:t>
      </w:r>
      <w:r>
        <w:rPr>
          <w:spacing w:val="-3"/>
          <w:sz w:val="24"/>
        </w:rPr>
        <w:t>two, </w:t>
      </w:r>
      <w:r>
        <w:rPr>
          <w:sz w:val="24"/>
        </w:rPr>
        <w:t>and </w:t>
      </w:r>
      <w:r>
        <w:rPr>
          <w:spacing w:val="-3"/>
          <w:sz w:val="24"/>
        </w:rPr>
        <w:t>added </w:t>
      </w:r>
      <w:r>
        <w:rPr>
          <w:sz w:val="24"/>
        </w:rPr>
        <w:t>to the </w:t>
      </w:r>
      <w:r>
        <w:rPr>
          <w:spacing w:val="-3"/>
          <w:sz w:val="24"/>
        </w:rPr>
        <w:t>statewide weighted average Medicaid inpatient length </w:t>
      </w:r>
      <w:r>
        <w:rPr>
          <w:sz w:val="24"/>
        </w:rPr>
        <w:t>of </w:t>
      </w:r>
      <w:r>
        <w:rPr>
          <w:spacing w:val="-3"/>
          <w:sz w:val="24"/>
        </w:rPr>
        <w:t>stay. </w:t>
      </w:r>
      <w:r>
        <w:rPr>
          <w:sz w:val="24"/>
        </w:rPr>
        <w:t>The sum of </w:t>
      </w:r>
      <w:r>
        <w:rPr>
          <w:spacing w:val="-3"/>
          <w:sz w:val="24"/>
        </w:rPr>
        <w:t>these </w:t>
      </w:r>
      <w:r>
        <w:rPr>
          <w:sz w:val="24"/>
        </w:rPr>
        <w:t>two </w:t>
      </w:r>
      <w:r>
        <w:rPr>
          <w:spacing w:val="-3"/>
          <w:sz w:val="24"/>
        </w:rPr>
        <w:t>numbers </w:t>
      </w:r>
      <w:r>
        <w:rPr>
          <w:sz w:val="24"/>
        </w:rPr>
        <w:t>is the </w:t>
      </w:r>
      <w:r>
        <w:rPr>
          <w:spacing w:val="-3"/>
          <w:sz w:val="24"/>
        </w:rPr>
        <w:t>threshold figure </w:t>
      </w:r>
      <w:r>
        <w:rPr>
          <w:sz w:val="24"/>
        </w:rPr>
        <w:t>for </w:t>
      </w:r>
      <w:r>
        <w:rPr>
          <w:spacing w:val="-3"/>
          <w:sz w:val="24"/>
        </w:rPr>
        <w:t>Medicaid exceptionally long length </w:t>
      </w:r>
      <w:r>
        <w:rPr>
          <w:sz w:val="24"/>
        </w:rPr>
        <w:t>of</w:t>
      </w:r>
      <w:r>
        <w:rPr>
          <w:spacing w:val="-6"/>
          <w:sz w:val="24"/>
        </w:rPr>
        <w:t> </w:t>
      </w:r>
      <w:r>
        <w:rPr>
          <w:spacing w:val="-3"/>
          <w:sz w:val="24"/>
        </w:rPr>
        <w:t>stay.</w:t>
      </w:r>
    </w:p>
    <w:p>
      <w:pPr>
        <w:pStyle w:val="ListParagraph"/>
        <w:numPr>
          <w:ilvl w:val="4"/>
          <w:numId w:val="8"/>
        </w:numPr>
        <w:tabs>
          <w:tab w:pos="2014" w:val="left" w:leader="none"/>
        </w:tabs>
        <w:spacing w:line="242" w:lineRule="auto" w:before="124" w:after="0"/>
        <w:ind w:left="1972" w:right="377" w:hanging="360"/>
        <w:jc w:val="left"/>
        <w:rPr>
          <w:sz w:val="24"/>
        </w:rPr>
      </w:pPr>
      <w:r>
        <w:rPr>
          <w:b/>
          <w:spacing w:val="-3"/>
          <w:sz w:val="24"/>
        </w:rPr>
        <w:t>Exceptionally High Cost: </w:t>
      </w:r>
      <w:r>
        <w:rPr>
          <w:spacing w:val="-3"/>
          <w:sz w:val="24"/>
        </w:rPr>
        <w:t>Exceptionally high cost </w:t>
      </w:r>
      <w:r>
        <w:rPr>
          <w:sz w:val="24"/>
        </w:rPr>
        <w:t>is </w:t>
      </w:r>
      <w:r>
        <w:rPr>
          <w:spacing w:val="-3"/>
          <w:sz w:val="24"/>
        </w:rPr>
        <w:t>calculated for Hospitals providing services </w:t>
      </w:r>
      <w:r>
        <w:rPr>
          <w:sz w:val="24"/>
        </w:rPr>
        <w:t>to </w:t>
      </w:r>
      <w:r>
        <w:rPr>
          <w:spacing w:val="-3"/>
          <w:sz w:val="24"/>
        </w:rPr>
        <w:t>infants less than </w:t>
      </w:r>
      <w:r>
        <w:rPr>
          <w:sz w:val="24"/>
        </w:rPr>
        <w:t>one </w:t>
      </w:r>
      <w:r>
        <w:rPr>
          <w:spacing w:val="-3"/>
          <w:sz w:val="24"/>
        </w:rPr>
        <w:t>year </w:t>
      </w:r>
      <w:r>
        <w:rPr>
          <w:sz w:val="24"/>
        </w:rPr>
        <w:t>of age as</w:t>
      </w:r>
      <w:r>
        <w:rPr>
          <w:spacing w:val="-40"/>
          <w:sz w:val="24"/>
        </w:rPr>
        <w:t> </w:t>
      </w:r>
      <w:r>
        <w:rPr>
          <w:spacing w:val="-3"/>
          <w:sz w:val="24"/>
        </w:rPr>
        <w:t>follows:</w:t>
      </w:r>
    </w:p>
    <w:p>
      <w:pPr>
        <w:pStyle w:val="ListParagraph"/>
        <w:numPr>
          <w:ilvl w:val="5"/>
          <w:numId w:val="8"/>
        </w:numPr>
        <w:tabs>
          <w:tab w:pos="2333" w:val="left" w:leader="none"/>
        </w:tabs>
        <w:spacing w:line="242" w:lineRule="auto" w:before="120" w:after="0"/>
        <w:ind w:left="2332" w:right="789" w:hanging="360"/>
        <w:jc w:val="left"/>
        <w:rPr>
          <w:sz w:val="24"/>
        </w:rPr>
      </w:pPr>
      <w:r>
        <w:rPr>
          <w:sz w:val="24"/>
        </w:rPr>
        <w:t>The </w:t>
      </w:r>
      <w:r>
        <w:rPr>
          <w:spacing w:val="-3"/>
          <w:sz w:val="24"/>
        </w:rPr>
        <w:t>average cost </w:t>
      </w:r>
      <w:r>
        <w:rPr>
          <w:sz w:val="24"/>
        </w:rPr>
        <w:t>per </w:t>
      </w:r>
      <w:r>
        <w:rPr>
          <w:spacing w:val="-3"/>
          <w:sz w:val="24"/>
        </w:rPr>
        <w:t>Medicaid inpatient discharge </w:t>
      </w:r>
      <w:r>
        <w:rPr>
          <w:sz w:val="24"/>
        </w:rPr>
        <w:t>for </w:t>
      </w:r>
      <w:r>
        <w:rPr>
          <w:spacing w:val="-3"/>
          <w:sz w:val="24"/>
        </w:rPr>
        <w:t>each Hospital is calculated;</w:t>
      </w:r>
    </w:p>
    <w:p>
      <w:pPr>
        <w:pStyle w:val="ListParagraph"/>
        <w:numPr>
          <w:ilvl w:val="5"/>
          <w:numId w:val="8"/>
        </w:numPr>
        <w:tabs>
          <w:tab w:pos="2333" w:val="left" w:leader="none"/>
        </w:tabs>
        <w:spacing w:line="242" w:lineRule="auto" w:before="120" w:after="0"/>
        <w:ind w:left="2332" w:right="186" w:hanging="360"/>
        <w:jc w:val="left"/>
        <w:rPr>
          <w:sz w:val="24"/>
        </w:rPr>
      </w:pPr>
      <w:r>
        <w:rPr>
          <w:sz w:val="24"/>
        </w:rPr>
        <w:t>The </w:t>
      </w:r>
      <w:r>
        <w:rPr>
          <w:spacing w:val="-3"/>
          <w:sz w:val="24"/>
        </w:rPr>
        <w:t>standard deviation </w:t>
      </w:r>
      <w:r>
        <w:rPr>
          <w:sz w:val="24"/>
        </w:rPr>
        <w:t>for the </w:t>
      </w:r>
      <w:r>
        <w:rPr>
          <w:spacing w:val="-3"/>
          <w:sz w:val="24"/>
        </w:rPr>
        <w:t>cost </w:t>
      </w:r>
      <w:r>
        <w:rPr>
          <w:sz w:val="24"/>
        </w:rPr>
        <w:t>per </w:t>
      </w:r>
      <w:r>
        <w:rPr>
          <w:spacing w:val="-3"/>
          <w:sz w:val="24"/>
        </w:rPr>
        <w:t>Medicaid inpatient discharge </w:t>
      </w:r>
      <w:r>
        <w:rPr>
          <w:sz w:val="24"/>
        </w:rPr>
        <w:t>for </w:t>
      </w:r>
      <w:r>
        <w:rPr>
          <w:spacing w:val="-3"/>
          <w:sz w:val="24"/>
        </w:rPr>
        <w:t>each Hospital </w:t>
      </w:r>
      <w:r>
        <w:rPr>
          <w:sz w:val="24"/>
        </w:rPr>
        <w:t>is</w:t>
      </w:r>
      <w:r>
        <w:rPr>
          <w:spacing w:val="-7"/>
          <w:sz w:val="24"/>
        </w:rPr>
        <w:t> </w:t>
      </w:r>
      <w:r>
        <w:rPr>
          <w:spacing w:val="-3"/>
          <w:sz w:val="24"/>
        </w:rPr>
        <w:t>calculated;</w:t>
      </w:r>
    </w:p>
    <w:p>
      <w:pPr>
        <w:pStyle w:val="ListParagraph"/>
        <w:numPr>
          <w:ilvl w:val="5"/>
          <w:numId w:val="8"/>
        </w:numPr>
        <w:tabs>
          <w:tab w:pos="2333" w:val="left" w:leader="none"/>
        </w:tabs>
        <w:spacing w:line="242" w:lineRule="auto" w:before="120" w:after="0"/>
        <w:ind w:left="2332" w:right="536" w:hanging="360"/>
        <w:jc w:val="left"/>
        <w:rPr>
          <w:sz w:val="24"/>
        </w:rPr>
      </w:pPr>
      <w:r>
        <w:rPr>
          <w:sz w:val="24"/>
        </w:rPr>
        <w:t>The </w:t>
      </w:r>
      <w:r>
        <w:rPr>
          <w:spacing w:val="-3"/>
          <w:sz w:val="24"/>
        </w:rPr>
        <w:t>Hospital's standard deviation </w:t>
      </w:r>
      <w:r>
        <w:rPr>
          <w:sz w:val="24"/>
        </w:rPr>
        <w:t>for the </w:t>
      </w:r>
      <w:r>
        <w:rPr>
          <w:spacing w:val="-3"/>
          <w:sz w:val="24"/>
        </w:rPr>
        <w:t>cost </w:t>
      </w:r>
      <w:r>
        <w:rPr>
          <w:sz w:val="24"/>
        </w:rPr>
        <w:t>per </w:t>
      </w:r>
      <w:r>
        <w:rPr>
          <w:spacing w:val="-3"/>
          <w:sz w:val="24"/>
        </w:rPr>
        <w:t>Medicaid inpatient discharge</w:t>
      </w:r>
      <w:r>
        <w:rPr>
          <w:spacing w:val="-6"/>
          <w:sz w:val="24"/>
        </w:rPr>
        <w:t> </w:t>
      </w:r>
      <w:r>
        <w:rPr>
          <w:sz w:val="24"/>
        </w:rPr>
        <w:t>is</w:t>
      </w:r>
      <w:r>
        <w:rPr>
          <w:spacing w:val="-6"/>
          <w:sz w:val="24"/>
        </w:rPr>
        <w:t> </w:t>
      </w:r>
      <w:r>
        <w:rPr>
          <w:spacing w:val="-3"/>
          <w:sz w:val="24"/>
        </w:rPr>
        <w:t>multiplied</w:t>
      </w:r>
      <w:r>
        <w:rPr>
          <w:spacing w:val="-6"/>
          <w:sz w:val="24"/>
        </w:rPr>
        <w:t> </w:t>
      </w:r>
      <w:r>
        <w:rPr>
          <w:sz w:val="24"/>
        </w:rPr>
        <w:t>by</w:t>
      </w:r>
      <w:r>
        <w:rPr>
          <w:spacing w:val="-6"/>
          <w:sz w:val="24"/>
        </w:rPr>
        <w:t> </w:t>
      </w:r>
      <w:r>
        <w:rPr>
          <w:spacing w:val="-3"/>
          <w:sz w:val="24"/>
        </w:rPr>
        <w:t>two,</w:t>
      </w:r>
      <w:r>
        <w:rPr>
          <w:spacing w:val="-6"/>
          <w:sz w:val="24"/>
        </w:rPr>
        <w:t> </w:t>
      </w:r>
      <w:r>
        <w:rPr>
          <w:sz w:val="24"/>
        </w:rPr>
        <w:t>and</w:t>
      </w:r>
      <w:r>
        <w:rPr>
          <w:spacing w:val="-6"/>
          <w:sz w:val="24"/>
        </w:rPr>
        <w:t> </w:t>
      </w:r>
      <w:r>
        <w:rPr>
          <w:spacing w:val="-3"/>
          <w:sz w:val="24"/>
        </w:rPr>
        <w:t>that</w:t>
      </w:r>
      <w:r>
        <w:rPr>
          <w:spacing w:val="-6"/>
          <w:sz w:val="24"/>
        </w:rPr>
        <w:t> </w:t>
      </w:r>
      <w:r>
        <w:rPr>
          <w:spacing w:val="-3"/>
          <w:sz w:val="24"/>
        </w:rPr>
        <w:t>amount</w:t>
      </w:r>
      <w:r>
        <w:rPr>
          <w:spacing w:val="-6"/>
          <w:sz w:val="24"/>
        </w:rPr>
        <w:t> </w:t>
      </w:r>
      <w:r>
        <w:rPr>
          <w:sz w:val="24"/>
        </w:rPr>
        <w:t>is</w:t>
      </w:r>
      <w:r>
        <w:rPr>
          <w:spacing w:val="-6"/>
          <w:sz w:val="24"/>
        </w:rPr>
        <w:t> </w:t>
      </w:r>
      <w:r>
        <w:rPr>
          <w:spacing w:val="-3"/>
          <w:sz w:val="24"/>
        </w:rPr>
        <w:t>added</w:t>
      </w:r>
      <w:r>
        <w:rPr>
          <w:spacing w:val="-6"/>
          <w:sz w:val="24"/>
        </w:rPr>
        <w:t> </w:t>
      </w:r>
      <w:r>
        <w:rPr>
          <w:sz w:val="24"/>
        </w:rPr>
        <w:t>to</w:t>
      </w:r>
      <w:r>
        <w:rPr>
          <w:spacing w:val="-6"/>
          <w:sz w:val="24"/>
        </w:rPr>
        <w:t> </w:t>
      </w:r>
      <w:r>
        <w:rPr>
          <w:sz w:val="24"/>
        </w:rPr>
        <w:t>the</w:t>
      </w:r>
      <w:r>
        <w:rPr>
          <w:spacing w:val="-6"/>
          <w:sz w:val="24"/>
        </w:rPr>
        <w:t> </w:t>
      </w:r>
      <w:r>
        <w:rPr>
          <w:spacing w:val="-3"/>
          <w:sz w:val="24"/>
        </w:rPr>
        <w:t>Hospital's average cost </w:t>
      </w:r>
      <w:r>
        <w:rPr>
          <w:sz w:val="24"/>
        </w:rPr>
        <w:t>per </w:t>
      </w:r>
      <w:r>
        <w:rPr>
          <w:spacing w:val="-3"/>
          <w:sz w:val="24"/>
        </w:rPr>
        <w:t>Medicaid inpatient discharge. </w:t>
      </w:r>
      <w:r>
        <w:rPr>
          <w:sz w:val="24"/>
        </w:rPr>
        <w:t>The sum of </w:t>
      </w:r>
      <w:r>
        <w:rPr>
          <w:spacing w:val="-3"/>
          <w:sz w:val="24"/>
        </w:rPr>
        <w:t>these two numbers </w:t>
      </w:r>
      <w:r>
        <w:rPr>
          <w:sz w:val="24"/>
        </w:rPr>
        <w:t>is </w:t>
      </w:r>
      <w:r>
        <w:rPr>
          <w:spacing w:val="-3"/>
          <w:sz w:val="24"/>
        </w:rPr>
        <w:t>each Hospital's threshold Medicaid exceptionally high</w:t>
      </w:r>
      <w:r>
        <w:rPr>
          <w:spacing w:val="-7"/>
          <w:sz w:val="24"/>
        </w:rPr>
        <w:t> </w:t>
      </w:r>
      <w:r>
        <w:rPr>
          <w:spacing w:val="-3"/>
          <w:sz w:val="24"/>
        </w:rPr>
        <w:t>cost.</w:t>
      </w:r>
    </w:p>
    <w:p>
      <w:pPr>
        <w:pStyle w:val="ListParagraph"/>
        <w:numPr>
          <w:ilvl w:val="4"/>
          <w:numId w:val="8"/>
        </w:numPr>
        <w:tabs>
          <w:tab w:pos="1988" w:val="left" w:leader="none"/>
        </w:tabs>
        <w:spacing w:line="242" w:lineRule="auto" w:before="124" w:after="0"/>
        <w:ind w:left="1972" w:right="389" w:hanging="360"/>
        <w:jc w:val="left"/>
        <w:rPr>
          <w:sz w:val="24"/>
        </w:rPr>
      </w:pPr>
      <w:r>
        <w:rPr>
          <w:b/>
          <w:spacing w:val="-3"/>
          <w:sz w:val="24"/>
        </w:rPr>
        <w:t>Eligibility </w:t>
      </w:r>
      <w:r>
        <w:rPr>
          <w:b/>
          <w:sz w:val="24"/>
        </w:rPr>
        <w:t>for an </w:t>
      </w:r>
      <w:r>
        <w:rPr>
          <w:b/>
          <w:spacing w:val="-3"/>
          <w:sz w:val="24"/>
        </w:rPr>
        <w:t>Infant Outlier Payment: </w:t>
      </w:r>
      <w:r>
        <w:rPr>
          <w:spacing w:val="-3"/>
          <w:sz w:val="24"/>
        </w:rPr>
        <w:t>First, </w:t>
      </w:r>
      <w:r>
        <w:rPr>
          <w:sz w:val="24"/>
        </w:rPr>
        <w:t>for </w:t>
      </w:r>
      <w:r>
        <w:rPr>
          <w:spacing w:val="-3"/>
          <w:sz w:val="24"/>
        </w:rPr>
        <w:t>each Hospital providing services </w:t>
      </w:r>
      <w:r>
        <w:rPr>
          <w:sz w:val="24"/>
        </w:rPr>
        <w:t>to </w:t>
      </w:r>
      <w:r>
        <w:rPr>
          <w:spacing w:val="-3"/>
          <w:sz w:val="24"/>
        </w:rPr>
        <w:t>infants less than </w:t>
      </w:r>
      <w:r>
        <w:rPr>
          <w:sz w:val="24"/>
        </w:rPr>
        <w:t>one </w:t>
      </w:r>
      <w:r>
        <w:rPr>
          <w:spacing w:val="-3"/>
          <w:sz w:val="24"/>
        </w:rPr>
        <w:t>year </w:t>
      </w:r>
      <w:r>
        <w:rPr>
          <w:sz w:val="24"/>
        </w:rPr>
        <w:t>of </w:t>
      </w:r>
      <w:r>
        <w:rPr>
          <w:spacing w:val="-3"/>
          <w:sz w:val="24"/>
        </w:rPr>
        <w:t>age, </w:t>
      </w:r>
      <w:r>
        <w:rPr>
          <w:sz w:val="24"/>
        </w:rPr>
        <w:t>the </w:t>
      </w:r>
      <w:r>
        <w:rPr>
          <w:spacing w:val="-3"/>
          <w:sz w:val="24"/>
        </w:rPr>
        <w:t>average Medicaid inpatient length </w:t>
      </w:r>
      <w:r>
        <w:rPr>
          <w:sz w:val="24"/>
        </w:rPr>
        <w:t>of </w:t>
      </w:r>
      <w:r>
        <w:rPr>
          <w:spacing w:val="-3"/>
          <w:sz w:val="24"/>
        </w:rPr>
        <w:t>stay involving individuals less than </w:t>
      </w:r>
      <w:r>
        <w:rPr>
          <w:sz w:val="24"/>
        </w:rPr>
        <w:t>one </w:t>
      </w:r>
      <w:r>
        <w:rPr>
          <w:spacing w:val="-3"/>
          <w:sz w:val="24"/>
        </w:rPr>
        <w:t>year </w:t>
      </w:r>
      <w:r>
        <w:rPr>
          <w:sz w:val="24"/>
        </w:rPr>
        <w:t>of age is </w:t>
      </w:r>
      <w:r>
        <w:rPr>
          <w:spacing w:val="-3"/>
          <w:sz w:val="24"/>
        </w:rPr>
        <w:t>determined. If this Hospital-specific average Medicaid inpatient length </w:t>
      </w:r>
      <w:r>
        <w:rPr>
          <w:sz w:val="24"/>
        </w:rPr>
        <w:t>of </w:t>
      </w:r>
      <w:r>
        <w:rPr>
          <w:spacing w:val="-3"/>
          <w:sz w:val="24"/>
        </w:rPr>
        <w:t>stay </w:t>
      </w:r>
      <w:r>
        <w:rPr>
          <w:sz w:val="24"/>
        </w:rPr>
        <w:t>for </w:t>
      </w:r>
      <w:r>
        <w:rPr>
          <w:spacing w:val="-3"/>
          <w:sz w:val="24"/>
        </w:rPr>
        <w:t>infants</w:t>
      </w:r>
      <w:r>
        <w:rPr>
          <w:spacing w:val="-14"/>
          <w:sz w:val="24"/>
        </w:rPr>
        <w:t> </w:t>
      </w:r>
      <w:r>
        <w:rPr>
          <w:spacing w:val="-3"/>
          <w:sz w:val="24"/>
        </w:rPr>
        <w:t>less</w:t>
      </w:r>
    </w:p>
    <w:p>
      <w:pPr>
        <w:spacing w:after="0" w:line="242" w:lineRule="auto"/>
        <w:jc w:val="left"/>
        <w:rPr>
          <w:sz w:val="24"/>
        </w:rPr>
        <w:sectPr>
          <w:pgSz w:w="12240" w:h="15840"/>
          <w:pgMar w:header="0" w:footer="744" w:top="1380" w:bottom="940" w:left="1520" w:right="980"/>
        </w:sectPr>
      </w:pPr>
    </w:p>
    <w:p>
      <w:pPr>
        <w:pStyle w:val="BodyText"/>
        <w:spacing w:line="247" w:lineRule="auto" w:before="65"/>
        <w:ind w:left="1772" w:right="236"/>
      </w:pPr>
      <w:r>
        <w:rPr/>
        <w:t>than one year of age equals or exceeds the threshold defined in </w:t>
      </w:r>
      <w:r>
        <w:rPr>
          <w:b/>
        </w:rPr>
        <w:t>Section 5.B.13.a(2)(a)</w:t>
      </w:r>
      <w:r>
        <w:rPr/>
        <w:t>, then the Hospital is eligible for an infant outlier payment.</w:t>
      </w:r>
    </w:p>
    <w:p>
      <w:pPr>
        <w:pStyle w:val="BodyText"/>
        <w:spacing w:line="244" w:lineRule="auto" w:before="115"/>
        <w:ind w:left="1772" w:right="176"/>
      </w:pPr>
      <w:r>
        <w:rPr>
          <w:spacing w:val="-3"/>
        </w:rPr>
        <w:t>Second, </w:t>
      </w:r>
      <w:r>
        <w:rPr/>
        <w:t>the </w:t>
      </w:r>
      <w:r>
        <w:rPr>
          <w:spacing w:val="-3"/>
        </w:rPr>
        <w:t>cost </w:t>
      </w:r>
      <w:r>
        <w:rPr/>
        <w:t>per </w:t>
      </w:r>
      <w:r>
        <w:rPr>
          <w:spacing w:val="-3"/>
        </w:rPr>
        <w:t>inpatient Medicaid case involving infants less than </w:t>
      </w:r>
      <w:r>
        <w:rPr/>
        <w:t>one </w:t>
      </w:r>
      <w:r>
        <w:rPr>
          <w:spacing w:val="-3"/>
        </w:rPr>
        <w:t>year </w:t>
      </w:r>
      <w:r>
        <w:rPr/>
        <w:t>of age is </w:t>
      </w:r>
      <w:r>
        <w:rPr>
          <w:spacing w:val="-3"/>
        </w:rPr>
        <w:t>calculated. </w:t>
      </w:r>
      <w:r>
        <w:rPr/>
        <w:t>If a </w:t>
      </w:r>
      <w:r>
        <w:rPr>
          <w:spacing w:val="-3"/>
        </w:rPr>
        <w:t>Hospital </w:t>
      </w:r>
      <w:r>
        <w:rPr/>
        <w:t>has a </w:t>
      </w:r>
      <w:r>
        <w:rPr>
          <w:spacing w:val="-3"/>
        </w:rPr>
        <w:t>Medicaid inpatient case with </w:t>
      </w:r>
      <w:r>
        <w:rPr/>
        <w:t>a </w:t>
      </w:r>
      <w:r>
        <w:rPr>
          <w:spacing w:val="-3"/>
        </w:rPr>
        <w:t>cost that equals </w:t>
      </w:r>
      <w:r>
        <w:rPr/>
        <w:t>or </w:t>
      </w:r>
      <w:r>
        <w:rPr>
          <w:spacing w:val="-3"/>
        </w:rPr>
        <w:t>exceeds </w:t>
      </w:r>
      <w:r>
        <w:rPr/>
        <w:t>the </w:t>
      </w:r>
      <w:r>
        <w:rPr>
          <w:spacing w:val="-3"/>
        </w:rPr>
        <w:t>Hospital's </w:t>
      </w:r>
      <w:r>
        <w:rPr/>
        <w:t>own </w:t>
      </w:r>
      <w:r>
        <w:rPr>
          <w:spacing w:val="-3"/>
        </w:rPr>
        <w:t>threshold defined </w:t>
      </w:r>
      <w:r>
        <w:rPr/>
        <w:t>in </w:t>
      </w:r>
      <w:r>
        <w:rPr>
          <w:b/>
          <w:spacing w:val="-3"/>
        </w:rPr>
        <w:t>Section 5.B.13.a(2)(b) </w:t>
      </w:r>
      <w:r>
        <w:rPr>
          <w:spacing w:val="-3"/>
        </w:rPr>
        <w:t>above, then </w:t>
      </w:r>
      <w:r>
        <w:rPr/>
        <w:t>the </w:t>
      </w:r>
      <w:r>
        <w:rPr>
          <w:spacing w:val="-3"/>
        </w:rPr>
        <w:t>Hospital </w:t>
      </w:r>
      <w:r>
        <w:rPr/>
        <w:t>is </w:t>
      </w:r>
      <w:r>
        <w:rPr>
          <w:spacing w:val="-3"/>
        </w:rPr>
        <w:t>eligible </w:t>
      </w:r>
      <w:r>
        <w:rPr/>
        <w:t>for an </w:t>
      </w:r>
      <w:r>
        <w:rPr>
          <w:spacing w:val="-3"/>
        </w:rPr>
        <w:t>infant outlier </w:t>
      </w:r>
      <w:r>
        <w:rPr>
          <w:spacing w:val="-4"/>
        </w:rPr>
        <w:t>payment.</w:t>
      </w:r>
    </w:p>
    <w:p>
      <w:pPr>
        <w:pStyle w:val="ListParagraph"/>
        <w:numPr>
          <w:ilvl w:val="4"/>
          <w:numId w:val="8"/>
        </w:numPr>
        <w:tabs>
          <w:tab w:pos="1814" w:val="left" w:leader="none"/>
        </w:tabs>
        <w:spacing w:line="242" w:lineRule="auto" w:before="121" w:after="0"/>
        <w:ind w:left="1772" w:right="227" w:hanging="360"/>
        <w:jc w:val="left"/>
        <w:rPr>
          <w:sz w:val="24"/>
        </w:rPr>
      </w:pPr>
      <w:r>
        <w:rPr>
          <w:b/>
          <w:spacing w:val="-3"/>
          <w:sz w:val="24"/>
        </w:rPr>
        <w:t>Payment </w:t>
      </w:r>
      <w:r>
        <w:rPr>
          <w:b/>
          <w:sz w:val="24"/>
        </w:rPr>
        <w:t>to </w:t>
      </w:r>
      <w:r>
        <w:rPr>
          <w:b/>
          <w:spacing w:val="-3"/>
          <w:sz w:val="24"/>
        </w:rPr>
        <w:t>Hospitals: </w:t>
      </w:r>
      <w:r>
        <w:rPr>
          <w:spacing w:val="-3"/>
          <w:sz w:val="24"/>
        </w:rPr>
        <w:t>Annually, each Hospital that qualifies </w:t>
      </w:r>
      <w:r>
        <w:rPr>
          <w:sz w:val="24"/>
        </w:rPr>
        <w:t>for an </w:t>
      </w:r>
      <w:r>
        <w:rPr>
          <w:spacing w:val="-3"/>
          <w:sz w:val="24"/>
        </w:rPr>
        <w:t>infant outlier adjustment receives </w:t>
      </w:r>
      <w:r>
        <w:rPr>
          <w:sz w:val="24"/>
        </w:rPr>
        <w:t>an </w:t>
      </w:r>
      <w:r>
        <w:rPr>
          <w:spacing w:val="-3"/>
          <w:sz w:val="24"/>
        </w:rPr>
        <w:t>equal portion </w:t>
      </w:r>
      <w:r>
        <w:rPr>
          <w:sz w:val="24"/>
        </w:rPr>
        <w:t>of </w:t>
      </w:r>
      <w:r>
        <w:rPr>
          <w:spacing w:val="-3"/>
          <w:sz w:val="24"/>
        </w:rPr>
        <w:t>$50,000. </w:t>
      </w:r>
      <w:r>
        <w:rPr>
          <w:sz w:val="24"/>
        </w:rPr>
        <w:t>For </w:t>
      </w:r>
      <w:r>
        <w:rPr>
          <w:spacing w:val="-3"/>
          <w:sz w:val="24"/>
        </w:rPr>
        <w:t>example, </w:t>
      </w:r>
      <w:r>
        <w:rPr>
          <w:sz w:val="24"/>
        </w:rPr>
        <w:t>if </w:t>
      </w:r>
      <w:r>
        <w:rPr>
          <w:spacing w:val="-3"/>
          <w:sz w:val="24"/>
        </w:rPr>
        <w:t>two Hospitals qualify </w:t>
      </w:r>
      <w:r>
        <w:rPr>
          <w:sz w:val="24"/>
        </w:rPr>
        <w:t>for an </w:t>
      </w:r>
      <w:r>
        <w:rPr>
          <w:spacing w:val="-3"/>
          <w:sz w:val="24"/>
        </w:rPr>
        <w:t>outlier adjustment, then each Hospital receives</w:t>
      </w:r>
      <w:r>
        <w:rPr>
          <w:spacing w:val="-16"/>
          <w:sz w:val="24"/>
        </w:rPr>
        <w:t> </w:t>
      </w:r>
      <w:r>
        <w:rPr>
          <w:spacing w:val="-3"/>
          <w:sz w:val="24"/>
        </w:rPr>
        <w:t>$25,000.</w:t>
      </w:r>
    </w:p>
    <w:p>
      <w:pPr>
        <w:pStyle w:val="BodyText"/>
        <w:spacing w:before="8"/>
      </w:pPr>
    </w:p>
    <w:p>
      <w:pPr>
        <w:pStyle w:val="Heading3"/>
        <w:numPr>
          <w:ilvl w:val="2"/>
          <w:numId w:val="8"/>
        </w:numPr>
        <w:tabs>
          <w:tab w:pos="1059" w:val="left" w:leader="none"/>
          <w:tab w:pos="1060" w:val="left" w:leader="none"/>
        </w:tabs>
        <w:spacing w:line="240" w:lineRule="auto" w:before="1" w:after="0"/>
        <w:ind w:left="1059" w:right="0" w:hanging="547"/>
        <w:jc w:val="left"/>
      </w:pPr>
      <w:r>
        <w:rPr>
          <w:spacing w:val="-3"/>
        </w:rPr>
        <w:t>Pediatric Outlier Payment</w:t>
      </w:r>
      <w:r>
        <w:rPr/>
        <w:t> </w:t>
      </w:r>
      <w:r>
        <w:rPr>
          <w:spacing w:val="-3"/>
        </w:rPr>
        <w:t>Adjustment</w:t>
      </w:r>
    </w:p>
    <w:p>
      <w:pPr>
        <w:pStyle w:val="BodyText"/>
        <w:spacing w:before="4"/>
        <w:rPr>
          <w:b/>
        </w:rPr>
      </w:pPr>
    </w:p>
    <w:p>
      <w:pPr>
        <w:pStyle w:val="BodyText"/>
        <w:spacing w:line="242" w:lineRule="auto" w:before="1"/>
        <w:ind w:left="1052" w:right="236"/>
      </w:pPr>
      <w:r>
        <w:rPr/>
        <w:t>In </w:t>
      </w:r>
      <w:r>
        <w:rPr>
          <w:spacing w:val="-4"/>
        </w:rPr>
        <w:t>accordance </w:t>
      </w:r>
      <w:r>
        <w:rPr>
          <w:spacing w:val="-3"/>
        </w:rPr>
        <w:t>with </w:t>
      </w:r>
      <w:r>
        <w:rPr/>
        <w:t>42 </w:t>
      </w:r>
      <w:r>
        <w:rPr>
          <w:spacing w:val="-4"/>
        </w:rPr>
        <w:t>U.S.C. §1396a(s), EOHHS </w:t>
      </w:r>
      <w:r>
        <w:rPr>
          <w:spacing w:val="-3"/>
        </w:rPr>
        <w:t>will </w:t>
      </w:r>
      <w:r>
        <w:rPr>
          <w:spacing w:val="-4"/>
        </w:rPr>
        <w:t>make </w:t>
      </w:r>
      <w:r>
        <w:rPr/>
        <w:t>an </w:t>
      </w:r>
      <w:r>
        <w:rPr>
          <w:spacing w:val="-4"/>
        </w:rPr>
        <w:t>annual pediatric outlier payment adjustment </w:t>
      </w:r>
      <w:r>
        <w:rPr/>
        <w:t>to </w:t>
      </w:r>
      <w:r>
        <w:rPr>
          <w:spacing w:val="-4"/>
        </w:rPr>
        <w:t>Acute Hospitals </w:t>
      </w:r>
      <w:r>
        <w:rPr>
          <w:spacing w:val="-3"/>
        </w:rPr>
        <w:t>for </w:t>
      </w:r>
      <w:r>
        <w:rPr>
          <w:spacing w:val="-4"/>
        </w:rPr>
        <w:t>Inpatient Services furnished </w:t>
      </w:r>
      <w:r>
        <w:rPr/>
        <w:t>to </w:t>
      </w:r>
      <w:r>
        <w:rPr>
          <w:spacing w:val="-4"/>
        </w:rPr>
        <w:t>children </w:t>
      </w:r>
      <w:r>
        <w:rPr>
          <w:spacing w:val="-5"/>
        </w:rPr>
        <w:t>more </w:t>
      </w:r>
      <w:r>
        <w:rPr>
          <w:spacing w:val="-3"/>
        </w:rPr>
        <w:t>than one year </w:t>
      </w:r>
      <w:r>
        <w:rPr/>
        <w:t>of </w:t>
      </w:r>
      <w:r>
        <w:rPr>
          <w:spacing w:val="-3"/>
        </w:rPr>
        <w:t>age and less than six </w:t>
      </w:r>
      <w:r>
        <w:rPr>
          <w:spacing w:val="-4"/>
        </w:rPr>
        <w:t>years </w:t>
      </w:r>
      <w:r>
        <w:rPr/>
        <w:t>of </w:t>
      </w:r>
      <w:r>
        <w:rPr>
          <w:spacing w:val="-3"/>
        </w:rPr>
        <w:t>age </w:t>
      </w:r>
      <w:r>
        <w:rPr>
          <w:spacing w:val="-4"/>
        </w:rPr>
        <w:t>involving exceptionally </w:t>
      </w:r>
      <w:r>
        <w:rPr>
          <w:spacing w:val="-3"/>
        </w:rPr>
        <w:t>high </w:t>
      </w:r>
      <w:r>
        <w:rPr>
          <w:spacing w:val="-4"/>
        </w:rPr>
        <w:t>costs or exceptionally </w:t>
      </w:r>
      <w:r>
        <w:rPr>
          <w:spacing w:val="-3"/>
        </w:rPr>
        <w:t>long </w:t>
      </w:r>
      <w:r>
        <w:rPr>
          <w:spacing w:val="-4"/>
        </w:rPr>
        <w:t>lengths </w:t>
      </w:r>
      <w:r>
        <w:rPr/>
        <w:t>of </w:t>
      </w:r>
      <w:r>
        <w:rPr>
          <w:spacing w:val="-4"/>
        </w:rPr>
        <w:t>stay.</w:t>
      </w:r>
    </w:p>
    <w:p>
      <w:pPr>
        <w:pStyle w:val="BodyText"/>
        <w:spacing w:before="4"/>
      </w:pPr>
    </w:p>
    <w:p>
      <w:pPr>
        <w:pStyle w:val="BodyText"/>
        <w:ind w:left="1052"/>
      </w:pPr>
      <w:r>
        <w:rPr/>
        <w:t>The Pediatric Outlier Payment is calculated using the data and methodology as follows:</w:t>
      </w:r>
    </w:p>
    <w:p>
      <w:pPr>
        <w:pStyle w:val="BodyText"/>
        <w:spacing w:before="5"/>
        <w:rPr>
          <w:sz w:val="21"/>
        </w:rPr>
      </w:pPr>
    </w:p>
    <w:p>
      <w:pPr>
        <w:pStyle w:val="ListParagraph"/>
        <w:numPr>
          <w:ilvl w:val="3"/>
          <w:numId w:val="8"/>
        </w:numPr>
        <w:tabs>
          <w:tab w:pos="1419" w:val="left" w:leader="none"/>
        </w:tabs>
        <w:spacing w:line="242" w:lineRule="auto" w:before="0" w:after="0"/>
        <w:ind w:left="1419" w:right="268" w:hanging="360"/>
        <w:jc w:val="left"/>
        <w:rPr>
          <w:sz w:val="24"/>
        </w:rPr>
      </w:pPr>
      <w:r>
        <w:rPr>
          <w:b/>
          <w:spacing w:val="-3"/>
          <w:sz w:val="24"/>
        </w:rPr>
        <w:t>Data</w:t>
      </w:r>
      <w:r>
        <w:rPr>
          <w:b/>
          <w:spacing w:val="-7"/>
          <w:sz w:val="24"/>
        </w:rPr>
        <w:t> </w:t>
      </w:r>
      <w:r>
        <w:rPr>
          <w:b/>
          <w:spacing w:val="-4"/>
          <w:sz w:val="24"/>
        </w:rPr>
        <w:t>Source:</w:t>
      </w:r>
      <w:r>
        <w:rPr>
          <w:b/>
          <w:spacing w:val="-6"/>
          <w:sz w:val="24"/>
        </w:rPr>
        <w:t> </w:t>
      </w:r>
      <w:r>
        <w:rPr>
          <w:spacing w:val="-3"/>
          <w:sz w:val="24"/>
        </w:rPr>
        <w:t>The</w:t>
      </w:r>
      <w:r>
        <w:rPr>
          <w:spacing w:val="-6"/>
          <w:sz w:val="24"/>
        </w:rPr>
        <w:t> </w:t>
      </w:r>
      <w:r>
        <w:rPr>
          <w:spacing w:val="-4"/>
          <w:sz w:val="24"/>
        </w:rPr>
        <w:t>prior</w:t>
      </w:r>
      <w:r>
        <w:rPr>
          <w:spacing w:val="-7"/>
          <w:sz w:val="24"/>
        </w:rPr>
        <w:t> </w:t>
      </w:r>
      <w:r>
        <w:rPr>
          <w:spacing w:val="-4"/>
          <w:sz w:val="24"/>
        </w:rPr>
        <w:t>year’s</w:t>
      </w:r>
      <w:r>
        <w:rPr>
          <w:spacing w:val="-7"/>
          <w:sz w:val="24"/>
        </w:rPr>
        <w:t> </w:t>
      </w:r>
      <w:r>
        <w:rPr>
          <w:spacing w:val="-4"/>
          <w:sz w:val="24"/>
        </w:rPr>
        <w:t>discharge</w:t>
      </w:r>
      <w:r>
        <w:rPr>
          <w:spacing w:val="-7"/>
          <w:sz w:val="24"/>
        </w:rPr>
        <w:t> </w:t>
      </w:r>
      <w:r>
        <w:rPr>
          <w:spacing w:val="-3"/>
          <w:sz w:val="24"/>
        </w:rPr>
        <w:t>data</w:t>
      </w:r>
      <w:r>
        <w:rPr>
          <w:spacing w:val="-7"/>
          <w:sz w:val="24"/>
        </w:rPr>
        <w:t> </w:t>
      </w:r>
      <w:r>
        <w:rPr>
          <w:spacing w:val="-4"/>
          <w:sz w:val="24"/>
        </w:rPr>
        <w:t>residing</w:t>
      </w:r>
      <w:r>
        <w:rPr>
          <w:spacing w:val="-7"/>
          <w:sz w:val="24"/>
        </w:rPr>
        <w:t> </w:t>
      </w:r>
      <w:r>
        <w:rPr>
          <w:sz w:val="24"/>
        </w:rPr>
        <w:t>on</w:t>
      </w:r>
      <w:r>
        <w:rPr>
          <w:spacing w:val="-7"/>
          <w:sz w:val="24"/>
        </w:rPr>
        <w:t> </w:t>
      </w:r>
      <w:r>
        <w:rPr>
          <w:spacing w:val="-4"/>
          <w:sz w:val="24"/>
        </w:rPr>
        <w:t>EOHHS’</w:t>
      </w:r>
      <w:r>
        <w:rPr>
          <w:spacing w:val="-6"/>
          <w:sz w:val="24"/>
        </w:rPr>
        <w:t> </w:t>
      </w:r>
      <w:r>
        <w:rPr>
          <w:spacing w:val="-3"/>
          <w:sz w:val="24"/>
        </w:rPr>
        <w:t>MMIS</w:t>
      </w:r>
      <w:r>
        <w:rPr>
          <w:spacing w:val="-7"/>
          <w:sz w:val="24"/>
        </w:rPr>
        <w:t> </w:t>
      </w:r>
      <w:r>
        <w:rPr>
          <w:sz w:val="24"/>
        </w:rPr>
        <w:t>is</w:t>
      </w:r>
      <w:r>
        <w:rPr>
          <w:spacing w:val="-6"/>
          <w:sz w:val="24"/>
        </w:rPr>
        <w:t> </w:t>
      </w:r>
      <w:r>
        <w:rPr>
          <w:spacing w:val="-3"/>
          <w:sz w:val="24"/>
        </w:rPr>
        <w:t>used</w:t>
      </w:r>
      <w:r>
        <w:rPr>
          <w:spacing w:val="-7"/>
          <w:sz w:val="24"/>
        </w:rPr>
        <w:t> </w:t>
      </w:r>
      <w:r>
        <w:rPr>
          <w:spacing w:val="-4"/>
          <w:sz w:val="24"/>
        </w:rPr>
        <w:t>to determine exceptionally </w:t>
      </w:r>
      <w:r>
        <w:rPr>
          <w:spacing w:val="-3"/>
          <w:sz w:val="24"/>
        </w:rPr>
        <w:t>high </w:t>
      </w:r>
      <w:r>
        <w:rPr>
          <w:spacing w:val="-4"/>
          <w:sz w:val="24"/>
        </w:rPr>
        <w:t>costs </w:t>
      </w:r>
      <w:r>
        <w:rPr>
          <w:spacing w:val="-3"/>
          <w:sz w:val="24"/>
        </w:rPr>
        <w:t>and </w:t>
      </w:r>
      <w:r>
        <w:rPr>
          <w:spacing w:val="-4"/>
          <w:sz w:val="24"/>
        </w:rPr>
        <w:t>exceptionally </w:t>
      </w:r>
      <w:r>
        <w:rPr>
          <w:spacing w:val="-3"/>
          <w:sz w:val="24"/>
        </w:rPr>
        <w:t>long </w:t>
      </w:r>
      <w:r>
        <w:rPr>
          <w:spacing w:val="-4"/>
          <w:sz w:val="24"/>
        </w:rPr>
        <w:t>lengths </w:t>
      </w:r>
      <w:r>
        <w:rPr>
          <w:sz w:val="24"/>
        </w:rPr>
        <w:t>of</w:t>
      </w:r>
      <w:r>
        <w:rPr>
          <w:spacing w:val="-28"/>
          <w:sz w:val="24"/>
        </w:rPr>
        <w:t> </w:t>
      </w:r>
      <w:r>
        <w:rPr>
          <w:spacing w:val="-4"/>
          <w:sz w:val="24"/>
        </w:rPr>
        <w:t>stay.</w:t>
      </w:r>
    </w:p>
    <w:p>
      <w:pPr>
        <w:pStyle w:val="BodyText"/>
        <w:spacing w:before="3"/>
        <w:rPr>
          <w:sz w:val="21"/>
        </w:rPr>
      </w:pPr>
    </w:p>
    <w:p>
      <w:pPr>
        <w:pStyle w:val="ListParagraph"/>
        <w:numPr>
          <w:ilvl w:val="3"/>
          <w:numId w:val="8"/>
        </w:numPr>
        <w:tabs>
          <w:tab w:pos="1420" w:val="left" w:leader="none"/>
        </w:tabs>
        <w:spacing w:line="240" w:lineRule="auto" w:before="0" w:after="0"/>
        <w:ind w:left="1419" w:right="0" w:hanging="360"/>
        <w:jc w:val="left"/>
        <w:rPr>
          <w:sz w:val="24"/>
        </w:rPr>
      </w:pPr>
      <w:r>
        <w:rPr>
          <w:b/>
          <w:spacing w:val="-4"/>
          <w:sz w:val="24"/>
        </w:rPr>
        <w:t>Eligibility:  </w:t>
      </w:r>
      <w:r>
        <w:rPr>
          <w:spacing w:val="-4"/>
          <w:sz w:val="24"/>
        </w:rPr>
        <w:t>Eligibility </w:t>
      </w:r>
      <w:r>
        <w:rPr>
          <w:spacing w:val="-3"/>
          <w:sz w:val="24"/>
        </w:rPr>
        <w:t>for the </w:t>
      </w:r>
      <w:r>
        <w:rPr>
          <w:spacing w:val="-4"/>
          <w:sz w:val="24"/>
        </w:rPr>
        <w:t>adjustment </w:t>
      </w:r>
      <w:r>
        <w:rPr>
          <w:sz w:val="24"/>
        </w:rPr>
        <w:t>is </w:t>
      </w:r>
      <w:r>
        <w:rPr>
          <w:spacing w:val="-4"/>
          <w:sz w:val="24"/>
        </w:rPr>
        <w:t>determined </w:t>
      </w:r>
      <w:r>
        <w:rPr>
          <w:sz w:val="24"/>
        </w:rPr>
        <w:t>as</w:t>
      </w:r>
      <w:r>
        <w:rPr>
          <w:spacing w:val="-22"/>
          <w:sz w:val="24"/>
        </w:rPr>
        <w:t> </w:t>
      </w:r>
      <w:r>
        <w:rPr>
          <w:spacing w:val="-5"/>
          <w:sz w:val="24"/>
        </w:rPr>
        <w:t>follows:</w:t>
      </w:r>
    </w:p>
    <w:p>
      <w:pPr>
        <w:pStyle w:val="ListParagraph"/>
        <w:numPr>
          <w:ilvl w:val="4"/>
          <w:numId w:val="8"/>
        </w:numPr>
        <w:tabs>
          <w:tab w:pos="1772" w:val="left" w:leader="none"/>
        </w:tabs>
        <w:spacing w:line="242" w:lineRule="auto" w:before="127" w:after="0"/>
        <w:ind w:left="1772" w:right="115" w:hanging="360"/>
        <w:jc w:val="left"/>
        <w:rPr>
          <w:sz w:val="24"/>
        </w:rPr>
      </w:pPr>
      <w:r>
        <w:rPr>
          <w:b/>
          <w:spacing w:val="-4"/>
          <w:sz w:val="24"/>
        </w:rPr>
        <w:t>Exceptionally </w:t>
      </w:r>
      <w:r>
        <w:rPr>
          <w:b/>
          <w:spacing w:val="-3"/>
          <w:sz w:val="24"/>
        </w:rPr>
        <w:t>Long </w:t>
      </w:r>
      <w:r>
        <w:rPr>
          <w:b/>
          <w:spacing w:val="-4"/>
          <w:sz w:val="24"/>
        </w:rPr>
        <w:t>Lengths </w:t>
      </w:r>
      <w:r>
        <w:rPr>
          <w:b/>
          <w:sz w:val="24"/>
        </w:rPr>
        <w:t>of </w:t>
      </w:r>
      <w:r>
        <w:rPr>
          <w:b/>
          <w:spacing w:val="-4"/>
          <w:sz w:val="24"/>
        </w:rPr>
        <w:t>Stay: </w:t>
      </w:r>
      <w:r>
        <w:rPr>
          <w:spacing w:val="-4"/>
          <w:sz w:val="24"/>
        </w:rPr>
        <w:t>First, </w:t>
      </w:r>
      <w:r>
        <w:rPr>
          <w:sz w:val="24"/>
        </w:rPr>
        <w:t>a </w:t>
      </w:r>
      <w:r>
        <w:rPr>
          <w:spacing w:val="-4"/>
          <w:sz w:val="24"/>
        </w:rPr>
        <w:t>statewide weighted average Medicaid inpatient length </w:t>
      </w:r>
      <w:r>
        <w:rPr>
          <w:sz w:val="24"/>
        </w:rPr>
        <w:t>of </w:t>
      </w:r>
      <w:r>
        <w:rPr>
          <w:spacing w:val="-3"/>
          <w:sz w:val="24"/>
        </w:rPr>
        <w:t>stay </w:t>
      </w:r>
      <w:r>
        <w:rPr>
          <w:sz w:val="24"/>
        </w:rPr>
        <w:t>is </w:t>
      </w:r>
      <w:r>
        <w:rPr>
          <w:spacing w:val="-4"/>
          <w:sz w:val="24"/>
        </w:rPr>
        <w:t>calculated. </w:t>
      </w:r>
      <w:r>
        <w:rPr>
          <w:spacing w:val="-3"/>
          <w:sz w:val="24"/>
        </w:rPr>
        <w:t>This </w:t>
      </w:r>
      <w:r>
        <w:rPr>
          <w:sz w:val="24"/>
        </w:rPr>
        <w:t>is </w:t>
      </w:r>
      <w:r>
        <w:rPr>
          <w:spacing w:val="-4"/>
          <w:sz w:val="24"/>
        </w:rPr>
        <w:t>determined </w:t>
      </w:r>
      <w:r>
        <w:rPr>
          <w:sz w:val="24"/>
        </w:rPr>
        <w:t>by </w:t>
      </w:r>
      <w:r>
        <w:rPr>
          <w:spacing w:val="-4"/>
          <w:sz w:val="24"/>
        </w:rPr>
        <w:t>dividing the </w:t>
      </w:r>
      <w:r>
        <w:rPr>
          <w:spacing w:val="-3"/>
          <w:sz w:val="24"/>
        </w:rPr>
        <w:t>sum </w:t>
      </w:r>
      <w:r>
        <w:rPr>
          <w:sz w:val="24"/>
        </w:rPr>
        <w:t>of </w:t>
      </w:r>
      <w:r>
        <w:rPr>
          <w:spacing w:val="-4"/>
          <w:sz w:val="24"/>
        </w:rPr>
        <w:t>Medicaid </w:t>
      </w:r>
      <w:r>
        <w:rPr>
          <w:spacing w:val="-3"/>
          <w:sz w:val="24"/>
        </w:rPr>
        <w:t>days for all </w:t>
      </w:r>
      <w:r>
        <w:rPr>
          <w:spacing w:val="-4"/>
          <w:sz w:val="24"/>
        </w:rPr>
        <w:t>Acute Hospitals </w:t>
      </w:r>
      <w:r>
        <w:rPr>
          <w:sz w:val="24"/>
        </w:rPr>
        <w:t>in </w:t>
      </w:r>
      <w:r>
        <w:rPr>
          <w:spacing w:val="-3"/>
          <w:sz w:val="24"/>
        </w:rPr>
        <w:t>the </w:t>
      </w:r>
      <w:r>
        <w:rPr>
          <w:spacing w:val="-4"/>
          <w:sz w:val="24"/>
        </w:rPr>
        <w:t>state </w:t>
      </w:r>
      <w:r>
        <w:rPr>
          <w:sz w:val="24"/>
        </w:rPr>
        <w:t>by </w:t>
      </w:r>
      <w:r>
        <w:rPr>
          <w:spacing w:val="-3"/>
          <w:sz w:val="24"/>
        </w:rPr>
        <w:t>the sum </w:t>
      </w:r>
      <w:r>
        <w:rPr>
          <w:sz w:val="24"/>
        </w:rPr>
        <w:t>of </w:t>
      </w:r>
      <w:r>
        <w:rPr>
          <w:spacing w:val="-4"/>
          <w:sz w:val="24"/>
        </w:rPr>
        <w:t>Medicaid discharges </w:t>
      </w:r>
      <w:r>
        <w:rPr>
          <w:spacing w:val="-3"/>
          <w:sz w:val="24"/>
        </w:rPr>
        <w:t>for all </w:t>
      </w:r>
      <w:r>
        <w:rPr>
          <w:spacing w:val="-4"/>
          <w:sz w:val="24"/>
        </w:rPr>
        <w:t>Acute Hospitals </w:t>
      </w:r>
      <w:r>
        <w:rPr>
          <w:sz w:val="24"/>
        </w:rPr>
        <w:t>in </w:t>
      </w:r>
      <w:r>
        <w:rPr>
          <w:spacing w:val="-3"/>
          <w:sz w:val="24"/>
        </w:rPr>
        <w:t>the </w:t>
      </w:r>
      <w:r>
        <w:rPr>
          <w:spacing w:val="-4"/>
          <w:sz w:val="24"/>
        </w:rPr>
        <w:t>state. Second, </w:t>
      </w:r>
      <w:r>
        <w:rPr>
          <w:spacing w:val="-3"/>
          <w:sz w:val="24"/>
        </w:rPr>
        <w:t>the </w:t>
      </w:r>
      <w:r>
        <w:rPr>
          <w:spacing w:val="-4"/>
          <w:sz w:val="24"/>
        </w:rPr>
        <w:t>statewide weighted standard deviation </w:t>
      </w:r>
      <w:r>
        <w:rPr>
          <w:spacing w:val="-3"/>
          <w:sz w:val="24"/>
        </w:rPr>
        <w:t>for </w:t>
      </w:r>
      <w:r>
        <w:rPr>
          <w:spacing w:val="-4"/>
          <w:sz w:val="24"/>
        </w:rPr>
        <w:t>Medicaid inpatient </w:t>
      </w:r>
      <w:r>
        <w:rPr>
          <w:spacing w:val="-3"/>
          <w:sz w:val="24"/>
        </w:rPr>
        <w:t>length </w:t>
      </w:r>
      <w:r>
        <w:rPr>
          <w:sz w:val="24"/>
        </w:rPr>
        <w:t>of </w:t>
      </w:r>
      <w:r>
        <w:rPr>
          <w:spacing w:val="-3"/>
          <w:sz w:val="24"/>
        </w:rPr>
        <w:t>stay </w:t>
      </w:r>
      <w:r>
        <w:rPr>
          <w:sz w:val="24"/>
        </w:rPr>
        <w:t>is </w:t>
      </w:r>
      <w:r>
        <w:rPr>
          <w:spacing w:val="-4"/>
          <w:sz w:val="24"/>
        </w:rPr>
        <w:t>calculated. Third, the statewide weighted standard deviation </w:t>
      </w:r>
      <w:r>
        <w:rPr>
          <w:spacing w:val="-3"/>
          <w:sz w:val="24"/>
        </w:rPr>
        <w:t>for </w:t>
      </w:r>
      <w:r>
        <w:rPr>
          <w:spacing w:val="-4"/>
          <w:sz w:val="24"/>
        </w:rPr>
        <w:t>Medicaid inpatient length </w:t>
      </w:r>
      <w:r>
        <w:rPr>
          <w:sz w:val="24"/>
        </w:rPr>
        <w:t>of </w:t>
      </w:r>
      <w:r>
        <w:rPr>
          <w:spacing w:val="-3"/>
          <w:sz w:val="24"/>
        </w:rPr>
        <w:t>stay </w:t>
      </w:r>
      <w:r>
        <w:rPr>
          <w:spacing w:val="-4"/>
          <w:sz w:val="24"/>
        </w:rPr>
        <w:t>is multiplied </w:t>
      </w:r>
      <w:r>
        <w:rPr>
          <w:sz w:val="24"/>
        </w:rPr>
        <w:t>by </w:t>
      </w:r>
      <w:r>
        <w:rPr>
          <w:spacing w:val="-3"/>
          <w:sz w:val="24"/>
        </w:rPr>
        <w:t>two and </w:t>
      </w:r>
      <w:r>
        <w:rPr>
          <w:spacing w:val="-4"/>
          <w:sz w:val="24"/>
        </w:rPr>
        <w:t>added </w:t>
      </w:r>
      <w:r>
        <w:rPr>
          <w:sz w:val="24"/>
        </w:rPr>
        <w:t>to </w:t>
      </w:r>
      <w:r>
        <w:rPr>
          <w:spacing w:val="-3"/>
          <w:sz w:val="24"/>
        </w:rPr>
        <w:t>the </w:t>
      </w:r>
      <w:r>
        <w:rPr>
          <w:spacing w:val="-4"/>
          <w:sz w:val="24"/>
        </w:rPr>
        <w:t>statewide weighted average Medicaid inpatient length </w:t>
      </w:r>
      <w:r>
        <w:rPr>
          <w:sz w:val="24"/>
        </w:rPr>
        <w:t>of </w:t>
      </w:r>
      <w:r>
        <w:rPr>
          <w:spacing w:val="-4"/>
          <w:sz w:val="24"/>
        </w:rPr>
        <w:t>stay. </w:t>
      </w:r>
      <w:r>
        <w:rPr>
          <w:spacing w:val="-3"/>
          <w:sz w:val="24"/>
        </w:rPr>
        <w:t>The sum </w:t>
      </w:r>
      <w:r>
        <w:rPr>
          <w:sz w:val="24"/>
        </w:rPr>
        <w:t>of </w:t>
      </w:r>
      <w:r>
        <w:rPr>
          <w:spacing w:val="-4"/>
          <w:sz w:val="24"/>
        </w:rPr>
        <w:t>these </w:t>
      </w:r>
      <w:r>
        <w:rPr>
          <w:spacing w:val="-3"/>
          <w:sz w:val="24"/>
        </w:rPr>
        <w:t>two </w:t>
      </w:r>
      <w:r>
        <w:rPr>
          <w:spacing w:val="-4"/>
          <w:sz w:val="24"/>
        </w:rPr>
        <w:t>numbers </w:t>
      </w:r>
      <w:r>
        <w:rPr>
          <w:sz w:val="24"/>
        </w:rPr>
        <w:t>is </w:t>
      </w:r>
      <w:r>
        <w:rPr>
          <w:spacing w:val="-3"/>
          <w:sz w:val="24"/>
        </w:rPr>
        <w:t>the </w:t>
      </w:r>
      <w:r>
        <w:rPr>
          <w:spacing w:val="-4"/>
          <w:sz w:val="24"/>
        </w:rPr>
        <w:t>threshold Medicaid exceptionally </w:t>
      </w:r>
      <w:r>
        <w:rPr>
          <w:spacing w:val="-3"/>
          <w:sz w:val="24"/>
        </w:rPr>
        <w:t>long </w:t>
      </w:r>
      <w:r>
        <w:rPr>
          <w:spacing w:val="-4"/>
          <w:sz w:val="24"/>
        </w:rPr>
        <w:t>length </w:t>
      </w:r>
      <w:r>
        <w:rPr>
          <w:sz w:val="24"/>
        </w:rPr>
        <w:t>of</w:t>
      </w:r>
      <w:r>
        <w:rPr>
          <w:spacing w:val="-17"/>
          <w:sz w:val="24"/>
        </w:rPr>
        <w:t> </w:t>
      </w:r>
      <w:r>
        <w:rPr>
          <w:spacing w:val="-4"/>
          <w:sz w:val="24"/>
        </w:rPr>
        <w:t>stay.</w:t>
      </w:r>
    </w:p>
    <w:p>
      <w:pPr>
        <w:pStyle w:val="ListParagraph"/>
        <w:numPr>
          <w:ilvl w:val="4"/>
          <w:numId w:val="8"/>
        </w:numPr>
        <w:tabs>
          <w:tab w:pos="1772" w:val="left" w:leader="none"/>
        </w:tabs>
        <w:spacing w:line="242" w:lineRule="auto" w:before="124" w:after="0"/>
        <w:ind w:left="1772" w:right="251" w:hanging="360"/>
        <w:jc w:val="left"/>
        <w:rPr>
          <w:sz w:val="24"/>
        </w:rPr>
      </w:pPr>
      <w:r>
        <w:rPr>
          <w:b/>
          <w:spacing w:val="-4"/>
          <w:sz w:val="24"/>
        </w:rPr>
        <w:t>Exceptionally </w:t>
      </w:r>
      <w:r>
        <w:rPr>
          <w:b/>
          <w:spacing w:val="-3"/>
          <w:sz w:val="24"/>
        </w:rPr>
        <w:t>High </w:t>
      </w:r>
      <w:r>
        <w:rPr>
          <w:b/>
          <w:spacing w:val="-4"/>
          <w:sz w:val="24"/>
        </w:rPr>
        <w:t>Cost: </w:t>
      </w:r>
      <w:r>
        <w:rPr>
          <w:spacing w:val="-4"/>
          <w:sz w:val="24"/>
        </w:rPr>
        <w:t>Exceptionally </w:t>
      </w:r>
      <w:r>
        <w:rPr>
          <w:spacing w:val="-3"/>
          <w:sz w:val="24"/>
        </w:rPr>
        <w:t>high cost </w:t>
      </w:r>
      <w:r>
        <w:rPr>
          <w:sz w:val="24"/>
        </w:rPr>
        <w:t>is </w:t>
      </w:r>
      <w:r>
        <w:rPr>
          <w:spacing w:val="-4"/>
          <w:sz w:val="24"/>
        </w:rPr>
        <w:t>calculated </w:t>
      </w:r>
      <w:r>
        <w:rPr>
          <w:spacing w:val="-3"/>
          <w:sz w:val="24"/>
        </w:rPr>
        <w:t>for </w:t>
      </w:r>
      <w:r>
        <w:rPr>
          <w:spacing w:val="-4"/>
          <w:sz w:val="24"/>
        </w:rPr>
        <w:t>Hospitals providing</w:t>
      </w:r>
      <w:r>
        <w:rPr>
          <w:spacing w:val="-7"/>
          <w:sz w:val="24"/>
        </w:rPr>
        <w:t> </w:t>
      </w:r>
      <w:r>
        <w:rPr>
          <w:spacing w:val="-4"/>
          <w:sz w:val="24"/>
        </w:rPr>
        <w:t>services</w:t>
      </w:r>
      <w:r>
        <w:rPr>
          <w:spacing w:val="-7"/>
          <w:sz w:val="24"/>
        </w:rPr>
        <w:t> </w:t>
      </w:r>
      <w:r>
        <w:rPr>
          <w:sz w:val="24"/>
        </w:rPr>
        <w:t>to</w:t>
      </w:r>
      <w:r>
        <w:rPr>
          <w:spacing w:val="-7"/>
          <w:sz w:val="24"/>
        </w:rPr>
        <w:t> </w:t>
      </w:r>
      <w:r>
        <w:rPr>
          <w:spacing w:val="-4"/>
          <w:sz w:val="24"/>
        </w:rPr>
        <w:t>children</w:t>
      </w:r>
      <w:r>
        <w:rPr>
          <w:spacing w:val="-7"/>
          <w:sz w:val="24"/>
        </w:rPr>
        <w:t> </w:t>
      </w:r>
      <w:r>
        <w:rPr>
          <w:spacing w:val="-4"/>
          <w:sz w:val="24"/>
        </w:rPr>
        <w:t>greater</w:t>
      </w:r>
      <w:r>
        <w:rPr>
          <w:spacing w:val="-7"/>
          <w:sz w:val="24"/>
        </w:rPr>
        <w:t> </w:t>
      </w:r>
      <w:r>
        <w:rPr>
          <w:spacing w:val="-3"/>
          <w:sz w:val="24"/>
        </w:rPr>
        <w:t>than</w:t>
      </w:r>
      <w:r>
        <w:rPr>
          <w:spacing w:val="-7"/>
          <w:sz w:val="24"/>
        </w:rPr>
        <w:t> </w:t>
      </w:r>
      <w:r>
        <w:rPr>
          <w:spacing w:val="-3"/>
          <w:sz w:val="24"/>
        </w:rPr>
        <w:t>one</w:t>
      </w:r>
      <w:r>
        <w:rPr>
          <w:spacing w:val="-7"/>
          <w:sz w:val="24"/>
        </w:rPr>
        <w:t> </w:t>
      </w:r>
      <w:r>
        <w:rPr>
          <w:spacing w:val="-3"/>
          <w:sz w:val="24"/>
        </w:rPr>
        <w:t>year</w:t>
      </w:r>
      <w:r>
        <w:rPr>
          <w:spacing w:val="-7"/>
          <w:sz w:val="24"/>
        </w:rPr>
        <w:t> </w:t>
      </w:r>
      <w:r>
        <w:rPr>
          <w:sz w:val="24"/>
        </w:rPr>
        <w:t>of</w:t>
      </w:r>
      <w:r>
        <w:rPr>
          <w:spacing w:val="-7"/>
          <w:sz w:val="24"/>
        </w:rPr>
        <w:t> </w:t>
      </w:r>
      <w:r>
        <w:rPr>
          <w:spacing w:val="-3"/>
          <w:sz w:val="24"/>
        </w:rPr>
        <w:t>age</w:t>
      </w:r>
      <w:r>
        <w:rPr>
          <w:spacing w:val="-7"/>
          <w:sz w:val="24"/>
        </w:rPr>
        <w:t> </w:t>
      </w:r>
      <w:r>
        <w:rPr>
          <w:spacing w:val="-3"/>
          <w:sz w:val="24"/>
        </w:rPr>
        <w:t>and</w:t>
      </w:r>
      <w:r>
        <w:rPr>
          <w:spacing w:val="-7"/>
          <w:sz w:val="24"/>
        </w:rPr>
        <w:t> </w:t>
      </w:r>
      <w:r>
        <w:rPr>
          <w:spacing w:val="-3"/>
          <w:sz w:val="24"/>
        </w:rPr>
        <w:t>less</w:t>
      </w:r>
      <w:r>
        <w:rPr>
          <w:spacing w:val="-7"/>
          <w:sz w:val="24"/>
        </w:rPr>
        <w:t> </w:t>
      </w:r>
      <w:r>
        <w:rPr>
          <w:spacing w:val="-3"/>
          <w:sz w:val="24"/>
        </w:rPr>
        <w:t>than</w:t>
      </w:r>
      <w:r>
        <w:rPr>
          <w:spacing w:val="-7"/>
          <w:sz w:val="24"/>
        </w:rPr>
        <w:t> </w:t>
      </w:r>
      <w:r>
        <w:rPr>
          <w:spacing w:val="-3"/>
          <w:sz w:val="24"/>
        </w:rPr>
        <w:t>six</w:t>
      </w:r>
      <w:r>
        <w:rPr>
          <w:spacing w:val="-7"/>
          <w:sz w:val="24"/>
        </w:rPr>
        <w:t> </w:t>
      </w:r>
      <w:r>
        <w:rPr>
          <w:spacing w:val="-4"/>
          <w:sz w:val="24"/>
        </w:rPr>
        <w:t>years </w:t>
      </w:r>
      <w:r>
        <w:rPr>
          <w:sz w:val="24"/>
        </w:rPr>
        <w:t>of </w:t>
      </w:r>
      <w:r>
        <w:rPr>
          <w:spacing w:val="-3"/>
          <w:sz w:val="24"/>
        </w:rPr>
        <w:t>age </w:t>
      </w:r>
      <w:r>
        <w:rPr>
          <w:sz w:val="24"/>
        </w:rPr>
        <w:t>as</w:t>
      </w:r>
      <w:r>
        <w:rPr>
          <w:spacing w:val="-28"/>
          <w:sz w:val="24"/>
        </w:rPr>
        <w:t> </w:t>
      </w:r>
      <w:r>
        <w:rPr>
          <w:spacing w:val="-4"/>
          <w:sz w:val="24"/>
        </w:rPr>
        <w:t>follows:</w:t>
      </w:r>
    </w:p>
    <w:p>
      <w:pPr>
        <w:pStyle w:val="ListParagraph"/>
        <w:numPr>
          <w:ilvl w:val="5"/>
          <w:numId w:val="8"/>
        </w:numPr>
        <w:tabs>
          <w:tab w:pos="2115" w:val="left" w:leader="none"/>
        </w:tabs>
        <w:spacing w:line="242" w:lineRule="auto" w:before="120" w:after="0"/>
        <w:ind w:left="2132" w:right="891" w:hanging="360"/>
        <w:jc w:val="left"/>
        <w:rPr>
          <w:sz w:val="24"/>
        </w:rPr>
      </w:pPr>
      <w:r>
        <w:rPr>
          <w:spacing w:val="-3"/>
          <w:sz w:val="24"/>
        </w:rPr>
        <w:t>The </w:t>
      </w:r>
      <w:r>
        <w:rPr>
          <w:spacing w:val="-4"/>
          <w:sz w:val="24"/>
        </w:rPr>
        <w:t>average </w:t>
      </w:r>
      <w:r>
        <w:rPr>
          <w:spacing w:val="-3"/>
          <w:sz w:val="24"/>
        </w:rPr>
        <w:t>cost per </w:t>
      </w:r>
      <w:r>
        <w:rPr>
          <w:spacing w:val="-4"/>
          <w:sz w:val="24"/>
        </w:rPr>
        <w:t>Medicaid inpatient discharge </w:t>
      </w:r>
      <w:r>
        <w:rPr>
          <w:spacing w:val="-3"/>
          <w:sz w:val="24"/>
        </w:rPr>
        <w:t>for each </w:t>
      </w:r>
      <w:r>
        <w:rPr>
          <w:spacing w:val="-4"/>
          <w:sz w:val="24"/>
        </w:rPr>
        <w:t>Hospital is calculated.</w:t>
      </w:r>
    </w:p>
    <w:p>
      <w:pPr>
        <w:pStyle w:val="ListParagraph"/>
        <w:numPr>
          <w:ilvl w:val="5"/>
          <w:numId w:val="8"/>
        </w:numPr>
        <w:tabs>
          <w:tab w:pos="2115" w:val="left" w:leader="none"/>
        </w:tabs>
        <w:spacing w:line="242" w:lineRule="auto" w:before="120" w:after="0"/>
        <w:ind w:left="2132" w:right="295" w:hanging="360"/>
        <w:jc w:val="left"/>
        <w:rPr>
          <w:sz w:val="24"/>
        </w:rPr>
      </w:pPr>
      <w:r>
        <w:rPr>
          <w:spacing w:val="-3"/>
          <w:sz w:val="24"/>
        </w:rPr>
        <w:t>The </w:t>
      </w:r>
      <w:r>
        <w:rPr>
          <w:spacing w:val="-4"/>
          <w:sz w:val="24"/>
        </w:rPr>
        <w:t>standard deviation </w:t>
      </w:r>
      <w:r>
        <w:rPr>
          <w:spacing w:val="-3"/>
          <w:sz w:val="24"/>
        </w:rPr>
        <w:t>for the cost per </w:t>
      </w:r>
      <w:r>
        <w:rPr>
          <w:spacing w:val="-4"/>
          <w:sz w:val="24"/>
        </w:rPr>
        <w:t>Medicaid inpatient discharge </w:t>
      </w:r>
      <w:r>
        <w:rPr>
          <w:spacing w:val="-3"/>
          <w:sz w:val="24"/>
        </w:rPr>
        <w:t>for </w:t>
      </w:r>
      <w:r>
        <w:rPr>
          <w:spacing w:val="-4"/>
          <w:sz w:val="24"/>
        </w:rPr>
        <w:t>each Hospital </w:t>
      </w:r>
      <w:r>
        <w:rPr>
          <w:sz w:val="24"/>
        </w:rPr>
        <w:t>is</w:t>
      </w:r>
      <w:r>
        <w:rPr>
          <w:spacing w:val="-11"/>
          <w:sz w:val="24"/>
        </w:rPr>
        <w:t> </w:t>
      </w:r>
      <w:r>
        <w:rPr>
          <w:spacing w:val="-4"/>
          <w:sz w:val="24"/>
        </w:rPr>
        <w:t>calculated.</w:t>
      </w:r>
    </w:p>
    <w:p>
      <w:pPr>
        <w:pStyle w:val="ListParagraph"/>
        <w:numPr>
          <w:ilvl w:val="5"/>
          <w:numId w:val="8"/>
        </w:numPr>
        <w:tabs>
          <w:tab w:pos="2115" w:val="left" w:leader="none"/>
        </w:tabs>
        <w:spacing w:line="242" w:lineRule="auto" w:before="120" w:after="0"/>
        <w:ind w:left="2132" w:right="105" w:hanging="360"/>
        <w:jc w:val="left"/>
        <w:rPr>
          <w:sz w:val="24"/>
        </w:rPr>
      </w:pPr>
      <w:r>
        <w:rPr>
          <w:spacing w:val="-3"/>
          <w:sz w:val="24"/>
        </w:rPr>
        <w:t>The </w:t>
      </w:r>
      <w:r>
        <w:rPr>
          <w:spacing w:val="-4"/>
          <w:sz w:val="24"/>
        </w:rPr>
        <w:t>Hospital's standard deviation </w:t>
      </w:r>
      <w:r>
        <w:rPr>
          <w:spacing w:val="-3"/>
          <w:sz w:val="24"/>
        </w:rPr>
        <w:t>for the cost per </w:t>
      </w:r>
      <w:r>
        <w:rPr>
          <w:spacing w:val="-4"/>
          <w:sz w:val="24"/>
        </w:rPr>
        <w:t>Medicaid inpatient discharge </w:t>
      </w:r>
      <w:r>
        <w:rPr>
          <w:sz w:val="24"/>
        </w:rPr>
        <w:t>is </w:t>
      </w:r>
      <w:r>
        <w:rPr>
          <w:spacing w:val="-4"/>
          <w:sz w:val="24"/>
        </w:rPr>
        <w:t>multiplied </w:t>
      </w:r>
      <w:r>
        <w:rPr>
          <w:sz w:val="24"/>
        </w:rPr>
        <w:t>by </w:t>
      </w:r>
      <w:r>
        <w:rPr>
          <w:spacing w:val="-3"/>
          <w:sz w:val="24"/>
        </w:rPr>
        <w:t>two and </w:t>
      </w:r>
      <w:r>
        <w:rPr>
          <w:spacing w:val="-4"/>
          <w:sz w:val="24"/>
        </w:rPr>
        <w:t>added </w:t>
      </w:r>
      <w:r>
        <w:rPr>
          <w:sz w:val="24"/>
        </w:rPr>
        <w:t>to </w:t>
      </w:r>
      <w:r>
        <w:rPr>
          <w:spacing w:val="-3"/>
          <w:sz w:val="24"/>
        </w:rPr>
        <w:t>the </w:t>
      </w:r>
      <w:r>
        <w:rPr>
          <w:spacing w:val="-4"/>
          <w:sz w:val="24"/>
        </w:rPr>
        <w:t>hospital's average </w:t>
      </w:r>
      <w:r>
        <w:rPr>
          <w:spacing w:val="-3"/>
          <w:sz w:val="24"/>
        </w:rPr>
        <w:t>cost per </w:t>
      </w:r>
      <w:r>
        <w:rPr>
          <w:spacing w:val="-4"/>
          <w:sz w:val="24"/>
        </w:rPr>
        <w:t>Medicaid inpatient discharge. </w:t>
      </w:r>
      <w:r>
        <w:rPr>
          <w:spacing w:val="-3"/>
          <w:sz w:val="24"/>
        </w:rPr>
        <w:t>The sum </w:t>
      </w:r>
      <w:r>
        <w:rPr>
          <w:sz w:val="24"/>
        </w:rPr>
        <w:t>of </w:t>
      </w:r>
      <w:r>
        <w:rPr>
          <w:spacing w:val="-4"/>
          <w:sz w:val="24"/>
        </w:rPr>
        <w:t>these </w:t>
      </w:r>
      <w:r>
        <w:rPr>
          <w:spacing w:val="-3"/>
          <w:sz w:val="24"/>
        </w:rPr>
        <w:t>two </w:t>
      </w:r>
      <w:r>
        <w:rPr>
          <w:spacing w:val="-4"/>
          <w:sz w:val="24"/>
        </w:rPr>
        <w:t>numbers </w:t>
      </w:r>
      <w:r>
        <w:rPr>
          <w:sz w:val="24"/>
        </w:rPr>
        <w:t>is </w:t>
      </w:r>
      <w:r>
        <w:rPr>
          <w:spacing w:val="-3"/>
          <w:sz w:val="24"/>
        </w:rPr>
        <w:t>each</w:t>
      </w:r>
      <w:r>
        <w:rPr>
          <w:spacing w:val="-44"/>
          <w:sz w:val="24"/>
        </w:rPr>
        <w:t> </w:t>
      </w:r>
      <w:r>
        <w:rPr>
          <w:spacing w:val="-4"/>
          <w:sz w:val="24"/>
        </w:rPr>
        <w:t>Hospital's threshold Medicaid exceptionally </w:t>
      </w:r>
      <w:r>
        <w:rPr>
          <w:spacing w:val="-3"/>
          <w:sz w:val="24"/>
        </w:rPr>
        <w:t>high</w:t>
      </w:r>
      <w:r>
        <w:rPr>
          <w:spacing w:val="-8"/>
          <w:sz w:val="24"/>
        </w:rPr>
        <w:t> </w:t>
      </w:r>
      <w:r>
        <w:rPr>
          <w:spacing w:val="-4"/>
          <w:sz w:val="24"/>
        </w:rPr>
        <w:t>cost.</w:t>
      </w:r>
    </w:p>
    <w:p>
      <w:pPr>
        <w:spacing w:after="0" w:line="242" w:lineRule="auto"/>
        <w:jc w:val="left"/>
        <w:rPr>
          <w:sz w:val="24"/>
        </w:rPr>
        <w:sectPr>
          <w:pgSz w:w="12240" w:h="15840"/>
          <w:pgMar w:header="0" w:footer="744" w:top="1380" w:bottom="940" w:left="1720" w:right="980"/>
        </w:sectPr>
      </w:pPr>
    </w:p>
    <w:p>
      <w:pPr>
        <w:pStyle w:val="ListParagraph"/>
        <w:numPr>
          <w:ilvl w:val="4"/>
          <w:numId w:val="8"/>
        </w:numPr>
        <w:tabs>
          <w:tab w:pos="2452" w:val="left" w:leader="none"/>
        </w:tabs>
        <w:spacing w:line="242" w:lineRule="auto" w:before="65" w:after="0"/>
        <w:ind w:left="2452" w:right="530" w:hanging="360"/>
        <w:jc w:val="left"/>
        <w:rPr>
          <w:sz w:val="24"/>
        </w:rPr>
      </w:pPr>
      <w:r>
        <w:rPr>
          <w:b/>
          <w:spacing w:val="-4"/>
          <w:sz w:val="24"/>
        </w:rPr>
        <w:t>Eligibility </w:t>
      </w:r>
      <w:r>
        <w:rPr>
          <w:b/>
          <w:spacing w:val="-3"/>
          <w:sz w:val="24"/>
        </w:rPr>
        <w:t>for </w:t>
      </w:r>
      <w:r>
        <w:rPr>
          <w:b/>
          <w:sz w:val="24"/>
        </w:rPr>
        <w:t>a </w:t>
      </w:r>
      <w:r>
        <w:rPr>
          <w:b/>
          <w:spacing w:val="-4"/>
          <w:sz w:val="24"/>
        </w:rPr>
        <w:t>Pediatric Outlier Payment: </w:t>
      </w:r>
      <w:r>
        <w:rPr>
          <w:spacing w:val="-3"/>
          <w:sz w:val="24"/>
        </w:rPr>
        <w:t>For </w:t>
      </w:r>
      <w:r>
        <w:rPr>
          <w:spacing w:val="-4"/>
          <w:sz w:val="24"/>
        </w:rPr>
        <w:t>Acute Hospitals providing services</w:t>
      </w:r>
      <w:r>
        <w:rPr>
          <w:spacing w:val="-8"/>
          <w:sz w:val="24"/>
        </w:rPr>
        <w:t> </w:t>
      </w:r>
      <w:r>
        <w:rPr>
          <w:sz w:val="24"/>
        </w:rPr>
        <w:t>to</w:t>
      </w:r>
      <w:r>
        <w:rPr>
          <w:spacing w:val="-8"/>
          <w:sz w:val="24"/>
        </w:rPr>
        <w:t> </w:t>
      </w:r>
      <w:r>
        <w:rPr>
          <w:spacing w:val="-4"/>
          <w:sz w:val="24"/>
        </w:rPr>
        <w:t>children</w:t>
      </w:r>
      <w:r>
        <w:rPr>
          <w:spacing w:val="-8"/>
          <w:sz w:val="24"/>
        </w:rPr>
        <w:t> </w:t>
      </w:r>
      <w:r>
        <w:rPr>
          <w:spacing w:val="-4"/>
          <w:sz w:val="24"/>
        </w:rPr>
        <w:t>greater</w:t>
      </w:r>
      <w:r>
        <w:rPr>
          <w:spacing w:val="-8"/>
          <w:sz w:val="24"/>
        </w:rPr>
        <w:t> </w:t>
      </w:r>
      <w:r>
        <w:rPr>
          <w:spacing w:val="-3"/>
          <w:sz w:val="24"/>
        </w:rPr>
        <w:t>than</w:t>
      </w:r>
      <w:r>
        <w:rPr>
          <w:spacing w:val="-8"/>
          <w:sz w:val="24"/>
        </w:rPr>
        <w:t> </w:t>
      </w:r>
      <w:r>
        <w:rPr>
          <w:spacing w:val="-3"/>
          <w:sz w:val="24"/>
        </w:rPr>
        <w:t>one</w:t>
      </w:r>
      <w:r>
        <w:rPr>
          <w:spacing w:val="-8"/>
          <w:sz w:val="24"/>
        </w:rPr>
        <w:t> </w:t>
      </w:r>
      <w:r>
        <w:rPr>
          <w:spacing w:val="-3"/>
          <w:sz w:val="24"/>
        </w:rPr>
        <w:t>year</w:t>
      </w:r>
      <w:r>
        <w:rPr>
          <w:spacing w:val="-8"/>
          <w:sz w:val="24"/>
        </w:rPr>
        <w:t> </w:t>
      </w:r>
      <w:r>
        <w:rPr>
          <w:sz w:val="24"/>
        </w:rPr>
        <w:t>of</w:t>
      </w:r>
      <w:r>
        <w:rPr>
          <w:spacing w:val="-8"/>
          <w:sz w:val="24"/>
        </w:rPr>
        <w:t> </w:t>
      </w:r>
      <w:r>
        <w:rPr>
          <w:spacing w:val="-3"/>
          <w:sz w:val="24"/>
        </w:rPr>
        <w:t>age</w:t>
      </w:r>
      <w:r>
        <w:rPr>
          <w:spacing w:val="-8"/>
          <w:sz w:val="24"/>
        </w:rPr>
        <w:t> </w:t>
      </w:r>
      <w:r>
        <w:rPr>
          <w:spacing w:val="-3"/>
          <w:sz w:val="24"/>
        </w:rPr>
        <w:t>and</w:t>
      </w:r>
      <w:r>
        <w:rPr>
          <w:spacing w:val="-8"/>
          <w:sz w:val="24"/>
        </w:rPr>
        <w:t> </w:t>
      </w:r>
      <w:r>
        <w:rPr>
          <w:spacing w:val="-3"/>
          <w:sz w:val="24"/>
        </w:rPr>
        <w:t>less</w:t>
      </w:r>
      <w:r>
        <w:rPr>
          <w:spacing w:val="-8"/>
          <w:sz w:val="24"/>
        </w:rPr>
        <w:t> </w:t>
      </w:r>
      <w:r>
        <w:rPr>
          <w:spacing w:val="-3"/>
          <w:sz w:val="24"/>
        </w:rPr>
        <w:t>than</w:t>
      </w:r>
      <w:r>
        <w:rPr>
          <w:spacing w:val="-8"/>
          <w:sz w:val="24"/>
        </w:rPr>
        <w:t> </w:t>
      </w:r>
      <w:r>
        <w:rPr>
          <w:spacing w:val="-3"/>
          <w:sz w:val="24"/>
        </w:rPr>
        <w:t>six</w:t>
      </w:r>
      <w:r>
        <w:rPr>
          <w:spacing w:val="-8"/>
          <w:sz w:val="24"/>
        </w:rPr>
        <w:t> </w:t>
      </w:r>
      <w:r>
        <w:rPr>
          <w:spacing w:val="-4"/>
          <w:sz w:val="24"/>
        </w:rPr>
        <w:t>years</w:t>
      </w:r>
      <w:r>
        <w:rPr>
          <w:spacing w:val="-8"/>
          <w:sz w:val="24"/>
        </w:rPr>
        <w:t> </w:t>
      </w:r>
      <w:r>
        <w:rPr>
          <w:sz w:val="24"/>
        </w:rPr>
        <w:t>of</w:t>
      </w:r>
      <w:r>
        <w:rPr>
          <w:spacing w:val="-8"/>
          <w:sz w:val="24"/>
        </w:rPr>
        <w:t> </w:t>
      </w:r>
      <w:r>
        <w:rPr>
          <w:spacing w:val="-4"/>
          <w:sz w:val="24"/>
        </w:rPr>
        <w:t>age, eligibility </w:t>
      </w:r>
      <w:r>
        <w:rPr>
          <w:spacing w:val="-3"/>
          <w:sz w:val="24"/>
        </w:rPr>
        <w:t>for </w:t>
      </w:r>
      <w:r>
        <w:rPr>
          <w:sz w:val="24"/>
        </w:rPr>
        <w:t>a </w:t>
      </w:r>
      <w:r>
        <w:rPr>
          <w:spacing w:val="-4"/>
          <w:sz w:val="24"/>
        </w:rPr>
        <w:t>pediatric outlier payment </w:t>
      </w:r>
      <w:r>
        <w:rPr>
          <w:sz w:val="24"/>
        </w:rPr>
        <w:t>is </w:t>
      </w:r>
      <w:r>
        <w:rPr>
          <w:spacing w:val="-4"/>
          <w:sz w:val="24"/>
        </w:rPr>
        <w:t>calculated </w:t>
      </w:r>
      <w:r>
        <w:rPr>
          <w:sz w:val="24"/>
        </w:rPr>
        <w:t>as</w:t>
      </w:r>
      <w:r>
        <w:rPr>
          <w:spacing w:val="-23"/>
          <w:sz w:val="24"/>
        </w:rPr>
        <w:t> </w:t>
      </w:r>
      <w:r>
        <w:rPr>
          <w:spacing w:val="-5"/>
          <w:sz w:val="24"/>
        </w:rPr>
        <w:t>follows:</w:t>
      </w:r>
    </w:p>
    <w:p>
      <w:pPr>
        <w:pStyle w:val="ListParagraph"/>
        <w:numPr>
          <w:ilvl w:val="5"/>
          <w:numId w:val="8"/>
        </w:numPr>
        <w:tabs>
          <w:tab w:pos="2813" w:val="left" w:leader="none"/>
        </w:tabs>
        <w:spacing w:line="244" w:lineRule="auto" w:before="121" w:after="0"/>
        <w:ind w:left="2812" w:right="163" w:hanging="360"/>
        <w:jc w:val="left"/>
        <w:rPr>
          <w:sz w:val="24"/>
        </w:rPr>
      </w:pPr>
      <w:r>
        <w:rPr>
          <w:spacing w:val="-3"/>
          <w:sz w:val="24"/>
        </w:rPr>
        <w:t>The </w:t>
      </w:r>
      <w:r>
        <w:rPr>
          <w:spacing w:val="-4"/>
          <w:sz w:val="24"/>
        </w:rPr>
        <w:t>average Medicaid inpatient length </w:t>
      </w:r>
      <w:r>
        <w:rPr>
          <w:sz w:val="24"/>
        </w:rPr>
        <w:t>of </w:t>
      </w:r>
      <w:r>
        <w:rPr>
          <w:spacing w:val="-3"/>
          <w:sz w:val="24"/>
        </w:rPr>
        <w:t>stay </w:t>
      </w:r>
      <w:r>
        <w:rPr>
          <w:spacing w:val="-4"/>
          <w:sz w:val="24"/>
        </w:rPr>
        <w:t>involving children greater than </w:t>
      </w:r>
      <w:r>
        <w:rPr>
          <w:spacing w:val="-3"/>
          <w:sz w:val="24"/>
        </w:rPr>
        <w:t>one</w:t>
      </w:r>
      <w:r>
        <w:rPr>
          <w:spacing w:val="-8"/>
          <w:sz w:val="24"/>
        </w:rPr>
        <w:t> </w:t>
      </w:r>
      <w:r>
        <w:rPr>
          <w:spacing w:val="-3"/>
          <w:sz w:val="24"/>
        </w:rPr>
        <w:t>year</w:t>
      </w:r>
      <w:r>
        <w:rPr>
          <w:spacing w:val="-8"/>
          <w:sz w:val="24"/>
        </w:rPr>
        <w:t> </w:t>
      </w:r>
      <w:r>
        <w:rPr>
          <w:sz w:val="24"/>
        </w:rPr>
        <w:t>of</w:t>
      </w:r>
      <w:r>
        <w:rPr>
          <w:spacing w:val="-8"/>
          <w:sz w:val="24"/>
        </w:rPr>
        <w:t> </w:t>
      </w:r>
      <w:r>
        <w:rPr>
          <w:spacing w:val="-3"/>
          <w:sz w:val="24"/>
        </w:rPr>
        <w:t>age</w:t>
      </w:r>
      <w:r>
        <w:rPr>
          <w:spacing w:val="-8"/>
          <w:sz w:val="24"/>
        </w:rPr>
        <w:t> </w:t>
      </w:r>
      <w:r>
        <w:rPr>
          <w:spacing w:val="-3"/>
          <w:sz w:val="24"/>
        </w:rPr>
        <w:t>and</w:t>
      </w:r>
      <w:r>
        <w:rPr>
          <w:spacing w:val="-8"/>
          <w:sz w:val="24"/>
        </w:rPr>
        <w:t> </w:t>
      </w:r>
      <w:r>
        <w:rPr>
          <w:spacing w:val="-3"/>
          <w:sz w:val="24"/>
        </w:rPr>
        <w:t>less</w:t>
      </w:r>
      <w:r>
        <w:rPr>
          <w:spacing w:val="-8"/>
          <w:sz w:val="24"/>
        </w:rPr>
        <w:t> </w:t>
      </w:r>
      <w:r>
        <w:rPr>
          <w:spacing w:val="-3"/>
          <w:sz w:val="24"/>
        </w:rPr>
        <w:t>than</w:t>
      </w:r>
      <w:r>
        <w:rPr>
          <w:spacing w:val="-8"/>
          <w:sz w:val="24"/>
        </w:rPr>
        <w:t> </w:t>
      </w:r>
      <w:r>
        <w:rPr>
          <w:spacing w:val="-3"/>
          <w:sz w:val="24"/>
        </w:rPr>
        <w:t>six</w:t>
      </w:r>
      <w:r>
        <w:rPr>
          <w:spacing w:val="-8"/>
          <w:sz w:val="24"/>
        </w:rPr>
        <w:t> </w:t>
      </w:r>
      <w:r>
        <w:rPr>
          <w:spacing w:val="-4"/>
          <w:sz w:val="24"/>
        </w:rPr>
        <w:t>years</w:t>
      </w:r>
      <w:r>
        <w:rPr>
          <w:spacing w:val="-8"/>
          <w:sz w:val="24"/>
        </w:rPr>
        <w:t> </w:t>
      </w:r>
      <w:r>
        <w:rPr>
          <w:sz w:val="24"/>
        </w:rPr>
        <w:t>of</w:t>
      </w:r>
      <w:r>
        <w:rPr>
          <w:spacing w:val="-8"/>
          <w:sz w:val="24"/>
        </w:rPr>
        <w:t> </w:t>
      </w:r>
      <w:r>
        <w:rPr>
          <w:spacing w:val="-3"/>
          <w:sz w:val="24"/>
        </w:rPr>
        <w:t>age.</w:t>
      </w:r>
      <w:r>
        <w:rPr>
          <w:spacing w:val="-8"/>
          <w:sz w:val="24"/>
        </w:rPr>
        <w:t> </w:t>
      </w:r>
      <w:r>
        <w:rPr>
          <w:sz w:val="24"/>
        </w:rPr>
        <w:t>If</w:t>
      </w:r>
      <w:r>
        <w:rPr>
          <w:spacing w:val="-8"/>
          <w:sz w:val="24"/>
        </w:rPr>
        <w:t> </w:t>
      </w:r>
      <w:r>
        <w:rPr>
          <w:spacing w:val="-3"/>
          <w:sz w:val="24"/>
        </w:rPr>
        <w:t>this</w:t>
      </w:r>
      <w:r>
        <w:rPr>
          <w:spacing w:val="-8"/>
          <w:sz w:val="24"/>
        </w:rPr>
        <w:t> </w:t>
      </w:r>
      <w:r>
        <w:rPr>
          <w:spacing w:val="-4"/>
          <w:sz w:val="24"/>
        </w:rPr>
        <w:t>Hospital-specific</w:t>
      </w:r>
      <w:r>
        <w:rPr>
          <w:spacing w:val="-8"/>
          <w:sz w:val="24"/>
        </w:rPr>
        <w:t> </w:t>
      </w:r>
      <w:r>
        <w:rPr>
          <w:spacing w:val="-4"/>
          <w:sz w:val="24"/>
        </w:rPr>
        <w:t>average Medicaid inpatient length </w:t>
      </w:r>
      <w:r>
        <w:rPr>
          <w:sz w:val="24"/>
        </w:rPr>
        <w:t>of </w:t>
      </w:r>
      <w:r>
        <w:rPr>
          <w:spacing w:val="-3"/>
          <w:sz w:val="24"/>
        </w:rPr>
        <w:t>stay </w:t>
      </w:r>
      <w:r>
        <w:rPr>
          <w:spacing w:val="-4"/>
          <w:sz w:val="24"/>
        </w:rPr>
        <w:t>equals </w:t>
      </w:r>
      <w:r>
        <w:rPr>
          <w:sz w:val="24"/>
        </w:rPr>
        <w:t>or </w:t>
      </w:r>
      <w:r>
        <w:rPr>
          <w:spacing w:val="-4"/>
          <w:sz w:val="24"/>
        </w:rPr>
        <w:t>exceeds </w:t>
      </w:r>
      <w:r>
        <w:rPr>
          <w:spacing w:val="-3"/>
          <w:sz w:val="24"/>
        </w:rPr>
        <w:t>the </w:t>
      </w:r>
      <w:r>
        <w:rPr>
          <w:spacing w:val="-4"/>
          <w:sz w:val="24"/>
        </w:rPr>
        <w:t>threshold defined in </w:t>
      </w:r>
      <w:r>
        <w:rPr>
          <w:b/>
          <w:spacing w:val="-4"/>
          <w:sz w:val="24"/>
        </w:rPr>
        <w:t>Section 5.B.13.b(2)(a)</w:t>
      </w:r>
      <w:r>
        <w:rPr>
          <w:spacing w:val="-4"/>
          <w:sz w:val="24"/>
        </w:rPr>
        <w:t>, </w:t>
      </w:r>
      <w:r>
        <w:rPr>
          <w:spacing w:val="-3"/>
          <w:sz w:val="24"/>
        </w:rPr>
        <w:t>then the </w:t>
      </w:r>
      <w:r>
        <w:rPr>
          <w:spacing w:val="-4"/>
          <w:sz w:val="24"/>
        </w:rPr>
        <w:t>hospital </w:t>
      </w:r>
      <w:r>
        <w:rPr>
          <w:sz w:val="24"/>
        </w:rPr>
        <w:t>is </w:t>
      </w:r>
      <w:r>
        <w:rPr>
          <w:spacing w:val="-4"/>
          <w:sz w:val="24"/>
        </w:rPr>
        <w:t>eligible </w:t>
      </w:r>
      <w:r>
        <w:rPr>
          <w:spacing w:val="-3"/>
          <w:sz w:val="24"/>
        </w:rPr>
        <w:t>for </w:t>
      </w:r>
      <w:r>
        <w:rPr>
          <w:sz w:val="24"/>
        </w:rPr>
        <w:t>a </w:t>
      </w:r>
      <w:r>
        <w:rPr>
          <w:spacing w:val="-4"/>
          <w:sz w:val="24"/>
        </w:rPr>
        <w:t>Pediatric Outlier </w:t>
      </w:r>
      <w:r>
        <w:rPr>
          <w:spacing w:val="-5"/>
          <w:sz w:val="24"/>
        </w:rPr>
        <w:t>Payment.</w:t>
      </w:r>
    </w:p>
    <w:p>
      <w:pPr>
        <w:pStyle w:val="ListParagraph"/>
        <w:numPr>
          <w:ilvl w:val="5"/>
          <w:numId w:val="8"/>
        </w:numPr>
        <w:tabs>
          <w:tab w:pos="2795" w:val="left" w:leader="none"/>
        </w:tabs>
        <w:spacing w:line="244" w:lineRule="auto" w:before="118" w:after="0"/>
        <w:ind w:left="2812" w:right="254" w:hanging="360"/>
        <w:jc w:val="left"/>
        <w:rPr>
          <w:sz w:val="24"/>
        </w:rPr>
      </w:pPr>
      <w:r>
        <w:rPr>
          <w:spacing w:val="-3"/>
          <w:sz w:val="24"/>
        </w:rPr>
        <w:t>The cost per </w:t>
      </w:r>
      <w:r>
        <w:rPr>
          <w:spacing w:val="-4"/>
          <w:sz w:val="24"/>
        </w:rPr>
        <w:t>inpatient Medicaid </w:t>
      </w:r>
      <w:r>
        <w:rPr>
          <w:spacing w:val="-3"/>
          <w:sz w:val="24"/>
        </w:rPr>
        <w:t>case </w:t>
      </w:r>
      <w:r>
        <w:rPr>
          <w:spacing w:val="-4"/>
          <w:sz w:val="24"/>
        </w:rPr>
        <w:t>involving children greater </w:t>
      </w:r>
      <w:r>
        <w:rPr>
          <w:spacing w:val="-3"/>
          <w:sz w:val="24"/>
        </w:rPr>
        <w:t>than one </w:t>
      </w:r>
      <w:r>
        <w:rPr>
          <w:spacing w:val="-4"/>
          <w:sz w:val="24"/>
        </w:rPr>
        <w:t>year </w:t>
      </w:r>
      <w:r>
        <w:rPr>
          <w:sz w:val="24"/>
        </w:rPr>
        <w:t>of </w:t>
      </w:r>
      <w:r>
        <w:rPr>
          <w:spacing w:val="-3"/>
          <w:sz w:val="24"/>
        </w:rPr>
        <w:t>age and less than six </w:t>
      </w:r>
      <w:r>
        <w:rPr>
          <w:spacing w:val="-4"/>
          <w:sz w:val="24"/>
        </w:rPr>
        <w:t>years </w:t>
      </w:r>
      <w:r>
        <w:rPr>
          <w:sz w:val="24"/>
        </w:rPr>
        <w:t>of </w:t>
      </w:r>
      <w:r>
        <w:rPr>
          <w:spacing w:val="-3"/>
          <w:sz w:val="24"/>
        </w:rPr>
        <w:t>age. </w:t>
      </w:r>
      <w:r>
        <w:rPr>
          <w:sz w:val="24"/>
        </w:rPr>
        <w:t>If </w:t>
      </w:r>
      <w:r>
        <w:rPr>
          <w:spacing w:val="-3"/>
          <w:sz w:val="24"/>
        </w:rPr>
        <w:t>this </w:t>
      </w:r>
      <w:r>
        <w:rPr>
          <w:spacing w:val="-4"/>
          <w:sz w:val="24"/>
        </w:rPr>
        <w:t>Hospital-specific Medicaid inpatient </w:t>
      </w:r>
      <w:r>
        <w:rPr>
          <w:spacing w:val="-3"/>
          <w:sz w:val="24"/>
        </w:rPr>
        <w:t>cost </w:t>
      </w:r>
      <w:r>
        <w:rPr>
          <w:spacing w:val="-4"/>
          <w:sz w:val="24"/>
        </w:rPr>
        <w:t>equals </w:t>
      </w:r>
      <w:r>
        <w:rPr>
          <w:sz w:val="24"/>
        </w:rPr>
        <w:t>or </w:t>
      </w:r>
      <w:r>
        <w:rPr>
          <w:spacing w:val="-4"/>
          <w:sz w:val="24"/>
        </w:rPr>
        <w:t>exceeds </w:t>
      </w:r>
      <w:r>
        <w:rPr>
          <w:spacing w:val="-3"/>
          <w:sz w:val="24"/>
        </w:rPr>
        <w:t>the </w:t>
      </w:r>
      <w:r>
        <w:rPr>
          <w:spacing w:val="-4"/>
          <w:sz w:val="24"/>
        </w:rPr>
        <w:t>threshold defined </w:t>
      </w:r>
      <w:r>
        <w:rPr>
          <w:sz w:val="24"/>
        </w:rPr>
        <w:t>in </w:t>
      </w:r>
      <w:r>
        <w:rPr>
          <w:b/>
          <w:spacing w:val="-4"/>
          <w:sz w:val="24"/>
        </w:rPr>
        <w:t>Section 5.B.13.b(2)(b)</w:t>
      </w:r>
      <w:r>
        <w:rPr>
          <w:spacing w:val="-4"/>
          <w:sz w:val="24"/>
        </w:rPr>
        <w:t>, </w:t>
      </w:r>
      <w:r>
        <w:rPr>
          <w:spacing w:val="-3"/>
          <w:sz w:val="24"/>
        </w:rPr>
        <w:t>then the </w:t>
      </w:r>
      <w:r>
        <w:rPr>
          <w:spacing w:val="-4"/>
          <w:sz w:val="24"/>
        </w:rPr>
        <w:t>Hospital </w:t>
      </w:r>
      <w:r>
        <w:rPr>
          <w:sz w:val="24"/>
        </w:rPr>
        <w:t>is </w:t>
      </w:r>
      <w:r>
        <w:rPr>
          <w:spacing w:val="-4"/>
          <w:sz w:val="24"/>
        </w:rPr>
        <w:t>eligible </w:t>
      </w:r>
      <w:r>
        <w:rPr>
          <w:spacing w:val="-3"/>
          <w:sz w:val="24"/>
        </w:rPr>
        <w:t>for </w:t>
      </w:r>
      <w:r>
        <w:rPr>
          <w:sz w:val="24"/>
        </w:rPr>
        <w:t>a </w:t>
      </w:r>
      <w:r>
        <w:rPr>
          <w:spacing w:val="-4"/>
          <w:sz w:val="24"/>
        </w:rPr>
        <w:t>Pediatric Outlier</w:t>
      </w:r>
      <w:r>
        <w:rPr>
          <w:spacing w:val="-21"/>
          <w:sz w:val="24"/>
        </w:rPr>
        <w:t> </w:t>
      </w:r>
      <w:r>
        <w:rPr>
          <w:spacing w:val="-5"/>
          <w:sz w:val="24"/>
        </w:rPr>
        <w:t>Payment.</w:t>
      </w:r>
    </w:p>
    <w:p>
      <w:pPr>
        <w:pStyle w:val="ListParagraph"/>
        <w:numPr>
          <w:ilvl w:val="5"/>
          <w:numId w:val="8"/>
        </w:numPr>
        <w:tabs>
          <w:tab w:pos="2795" w:val="left" w:leader="none"/>
        </w:tabs>
        <w:spacing w:line="242" w:lineRule="auto" w:before="118" w:after="0"/>
        <w:ind w:left="2812" w:right="910" w:hanging="360"/>
        <w:jc w:val="left"/>
        <w:rPr>
          <w:sz w:val="24"/>
        </w:rPr>
      </w:pPr>
      <w:r>
        <w:rPr>
          <w:spacing w:val="-4"/>
          <w:sz w:val="24"/>
        </w:rPr>
        <w:t>Payment </w:t>
      </w:r>
      <w:r>
        <w:rPr>
          <w:sz w:val="24"/>
        </w:rPr>
        <w:t>to </w:t>
      </w:r>
      <w:r>
        <w:rPr>
          <w:spacing w:val="-4"/>
          <w:sz w:val="24"/>
        </w:rPr>
        <w:t>Hospitals: Annually, </w:t>
      </w:r>
      <w:r>
        <w:rPr>
          <w:spacing w:val="-3"/>
          <w:sz w:val="24"/>
        </w:rPr>
        <w:t>each </w:t>
      </w:r>
      <w:r>
        <w:rPr>
          <w:spacing w:val="-4"/>
          <w:sz w:val="24"/>
        </w:rPr>
        <w:t>Acute Hospital qualifying </w:t>
      </w:r>
      <w:r>
        <w:rPr>
          <w:spacing w:val="-3"/>
          <w:sz w:val="24"/>
        </w:rPr>
        <w:t>for </w:t>
      </w:r>
      <w:r>
        <w:rPr>
          <w:sz w:val="24"/>
        </w:rPr>
        <w:t>a </w:t>
      </w:r>
      <w:r>
        <w:rPr>
          <w:spacing w:val="-4"/>
          <w:sz w:val="24"/>
        </w:rPr>
        <w:t>pediatric outlier adjustment </w:t>
      </w:r>
      <w:r>
        <w:rPr>
          <w:spacing w:val="-3"/>
          <w:sz w:val="24"/>
        </w:rPr>
        <w:t>will </w:t>
      </w:r>
      <w:r>
        <w:rPr>
          <w:spacing w:val="-4"/>
          <w:sz w:val="24"/>
        </w:rPr>
        <w:t>receive</w:t>
      </w:r>
      <w:r>
        <w:rPr>
          <w:spacing w:val="-6"/>
          <w:sz w:val="24"/>
        </w:rPr>
        <w:t> </w:t>
      </w:r>
      <w:r>
        <w:rPr>
          <w:spacing w:val="-4"/>
          <w:sz w:val="24"/>
        </w:rPr>
        <w:t>$1,000.</w:t>
      </w:r>
    </w:p>
    <w:p>
      <w:pPr>
        <w:pStyle w:val="BodyText"/>
        <w:spacing w:before="9"/>
      </w:pPr>
    </w:p>
    <w:p>
      <w:pPr>
        <w:pStyle w:val="Heading2"/>
        <w:numPr>
          <w:ilvl w:val="0"/>
          <w:numId w:val="8"/>
        </w:numPr>
        <w:tabs>
          <w:tab w:pos="652" w:val="left" w:leader="none"/>
          <w:tab w:pos="653" w:val="left" w:leader="none"/>
        </w:tabs>
        <w:spacing w:line="240" w:lineRule="auto" w:before="0" w:after="0"/>
        <w:ind w:left="652" w:right="0" w:hanging="540"/>
        <w:jc w:val="left"/>
      </w:pPr>
      <w:r>
        <w:rPr>
          <w:spacing w:val="-3"/>
        </w:rPr>
        <w:t>Outpatient Hospital</w:t>
      </w:r>
      <w:r>
        <w:rPr>
          <w:spacing w:val="-8"/>
        </w:rPr>
        <w:t> </w:t>
      </w:r>
      <w:r>
        <w:rPr>
          <w:spacing w:val="-3"/>
        </w:rPr>
        <w:t>Services</w:t>
      </w:r>
    </w:p>
    <w:p>
      <w:pPr>
        <w:pStyle w:val="BodyText"/>
        <w:spacing w:before="3"/>
        <w:rPr>
          <w:b/>
          <w:sz w:val="28"/>
        </w:rPr>
      </w:pPr>
    </w:p>
    <w:p>
      <w:pPr>
        <w:spacing w:line="242" w:lineRule="auto" w:before="0"/>
        <w:ind w:left="651" w:right="185" w:firstLine="0"/>
        <w:jc w:val="left"/>
        <w:rPr>
          <w:sz w:val="24"/>
        </w:rPr>
      </w:pPr>
      <w:r>
        <w:rPr>
          <w:b/>
          <w:i/>
          <w:spacing w:val="-3"/>
          <w:sz w:val="24"/>
        </w:rPr>
        <w:t>Note: </w:t>
      </w:r>
      <w:r>
        <w:rPr>
          <w:i/>
          <w:spacing w:val="-3"/>
          <w:sz w:val="24"/>
        </w:rPr>
        <w:t>Rates </w:t>
      </w:r>
      <w:r>
        <w:rPr>
          <w:i/>
          <w:sz w:val="24"/>
        </w:rPr>
        <w:t>for all </w:t>
      </w:r>
      <w:r>
        <w:rPr>
          <w:i/>
          <w:spacing w:val="-3"/>
          <w:sz w:val="24"/>
        </w:rPr>
        <w:t>Outpatient Hospital Services (including Emergency Department services) that </w:t>
      </w:r>
      <w:r>
        <w:rPr>
          <w:i/>
          <w:sz w:val="24"/>
        </w:rPr>
        <w:t>are </w:t>
      </w:r>
      <w:r>
        <w:rPr>
          <w:i/>
          <w:spacing w:val="-3"/>
          <w:sz w:val="24"/>
        </w:rPr>
        <w:t>covered under </w:t>
      </w:r>
      <w:r>
        <w:rPr>
          <w:i/>
          <w:sz w:val="24"/>
        </w:rPr>
        <w:t>a </w:t>
      </w:r>
      <w:r>
        <w:rPr>
          <w:i/>
          <w:spacing w:val="-3"/>
          <w:sz w:val="24"/>
        </w:rPr>
        <w:t>contract between </w:t>
      </w:r>
      <w:r>
        <w:rPr>
          <w:i/>
          <w:sz w:val="24"/>
        </w:rPr>
        <w:t>the </w:t>
      </w:r>
      <w:r>
        <w:rPr>
          <w:i/>
          <w:spacing w:val="-3"/>
          <w:sz w:val="24"/>
        </w:rPr>
        <w:t>Acute Hospital </w:t>
      </w:r>
      <w:r>
        <w:rPr>
          <w:i/>
          <w:sz w:val="24"/>
        </w:rPr>
        <w:t>and </w:t>
      </w:r>
      <w:r>
        <w:rPr>
          <w:i/>
          <w:spacing w:val="-3"/>
          <w:sz w:val="24"/>
        </w:rPr>
        <w:t>EOHHS’ </w:t>
      </w:r>
      <w:r>
        <w:rPr>
          <w:i/>
          <w:sz w:val="24"/>
        </w:rPr>
        <w:t>BH </w:t>
      </w:r>
      <w:r>
        <w:rPr>
          <w:i/>
          <w:spacing w:val="-3"/>
          <w:sz w:val="24"/>
        </w:rPr>
        <w:t>Contractor </w:t>
      </w:r>
      <w:r>
        <w:rPr>
          <w:i/>
          <w:sz w:val="24"/>
        </w:rPr>
        <w:t>and </w:t>
      </w:r>
      <w:r>
        <w:rPr>
          <w:i/>
          <w:spacing w:val="-3"/>
          <w:sz w:val="24"/>
        </w:rPr>
        <w:t>that are provided </w:t>
      </w:r>
      <w:r>
        <w:rPr>
          <w:i/>
          <w:sz w:val="24"/>
        </w:rPr>
        <w:t>to </w:t>
      </w:r>
      <w:r>
        <w:rPr>
          <w:i/>
          <w:spacing w:val="-3"/>
          <w:sz w:val="24"/>
        </w:rPr>
        <w:t>MassHealth Members enrolled with EOHHS’ </w:t>
      </w:r>
      <w:r>
        <w:rPr>
          <w:i/>
          <w:sz w:val="24"/>
        </w:rPr>
        <w:t>BH </w:t>
      </w:r>
      <w:r>
        <w:rPr>
          <w:i/>
          <w:spacing w:val="-3"/>
          <w:sz w:val="24"/>
        </w:rPr>
        <w:t>Contractor, shall </w:t>
      </w:r>
      <w:r>
        <w:rPr>
          <w:i/>
          <w:sz w:val="24"/>
        </w:rPr>
        <w:t>be </w:t>
      </w:r>
      <w:r>
        <w:rPr>
          <w:i/>
          <w:spacing w:val="-3"/>
          <w:sz w:val="24"/>
        </w:rPr>
        <w:t>governed by terms agreed upon between </w:t>
      </w:r>
      <w:r>
        <w:rPr>
          <w:i/>
          <w:sz w:val="24"/>
        </w:rPr>
        <w:t>the </w:t>
      </w:r>
      <w:r>
        <w:rPr>
          <w:i/>
          <w:spacing w:val="-3"/>
          <w:sz w:val="24"/>
        </w:rPr>
        <w:t>Acute Hospital </w:t>
      </w:r>
      <w:r>
        <w:rPr>
          <w:i/>
          <w:sz w:val="24"/>
        </w:rPr>
        <w:t>and the BH </w:t>
      </w:r>
      <w:r>
        <w:rPr>
          <w:i/>
          <w:spacing w:val="-3"/>
          <w:sz w:val="24"/>
        </w:rPr>
        <w:t>Contractor </w:t>
      </w:r>
      <w:r>
        <w:rPr>
          <w:i/>
          <w:sz w:val="24"/>
        </w:rPr>
        <w:t>as set </w:t>
      </w:r>
      <w:r>
        <w:rPr>
          <w:i/>
          <w:spacing w:val="-3"/>
          <w:sz w:val="24"/>
        </w:rPr>
        <w:t>forth </w:t>
      </w:r>
      <w:r>
        <w:rPr>
          <w:i/>
          <w:sz w:val="24"/>
        </w:rPr>
        <w:t>in </w:t>
      </w:r>
      <w:r>
        <w:rPr>
          <w:b/>
          <w:i/>
          <w:spacing w:val="-3"/>
          <w:sz w:val="24"/>
        </w:rPr>
        <w:t>Section 4.A.1 </w:t>
      </w:r>
      <w:r>
        <w:rPr>
          <w:i/>
          <w:sz w:val="24"/>
        </w:rPr>
        <w:t>of </w:t>
      </w:r>
      <w:r>
        <w:rPr>
          <w:i/>
          <w:spacing w:val="-3"/>
          <w:sz w:val="24"/>
        </w:rPr>
        <w:t>this RFA</w:t>
      </w:r>
      <w:r>
        <w:rPr>
          <w:spacing w:val="-3"/>
          <w:sz w:val="24"/>
        </w:rPr>
        <w:t>.</w:t>
      </w:r>
    </w:p>
    <w:p>
      <w:pPr>
        <w:pStyle w:val="BodyText"/>
        <w:spacing w:before="7"/>
      </w:pPr>
    </w:p>
    <w:p>
      <w:pPr>
        <w:pStyle w:val="BodyText"/>
        <w:spacing w:line="242" w:lineRule="auto"/>
        <w:ind w:left="652" w:right="130"/>
      </w:pPr>
      <w:r>
        <w:rPr/>
        <w:t>A </w:t>
      </w:r>
      <w:r>
        <w:rPr>
          <w:spacing w:val="-3"/>
        </w:rPr>
        <w:t>Hospital will </w:t>
      </w:r>
      <w:r>
        <w:rPr/>
        <w:t>be </w:t>
      </w:r>
      <w:r>
        <w:rPr>
          <w:spacing w:val="-3"/>
        </w:rPr>
        <w:t>reimbursed </w:t>
      </w:r>
      <w:r>
        <w:rPr/>
        <w:t>in </w:t>
      </w:r>
      <w:r>
        <w:rPr>
          <w:spacing w:val="-3"/>
        </w:rPr>
        <w:t>accordance with </w:t>
      </w:r>
      <w:r>
        <w:rPr>
          <w:b/>
          <w:spacing w:val="-3"/>
        </w:rPr>
        <w:t>Section </w:t>
      </w:r>
      <w:r>
        <w:rPr>
          <w:b/>
        </w:rPr>
        <w:t>5.C </w:t>
      </w:r>
      <w:r>
        <w:rPr/>
        <w:t>for </w:t>
      </w:r>
      <w:r>
        <w:rPr>
          <w:spacing w:val="-3"/>
        </w:rPr>
        <w:t>Outpatient Services provided by Hospital Outpatient Departments </w:t>
      </w:r>
      <w:r>
        <w:rPr/>
        <w:t>and </w:t>
      </w:r>
      <w:r>
        <w:rPr>
          <w:spacing w:val="-3"/>
        </w:rPr>
        <w:t>Satellite Clinics.</w:t>
      </w:r>
    </w:p>
    <w:p>
      <w:pPr>
        <w:pStyle w:val="BodyText"/>
        <w:spacing w:before="7"/>
      </w:pPr>
    </w:p>
    <w:p>
      <w:pPr>
        <w:pStyle w:val="BodyText"/>
        <w:spacing w:line="242" w:lineRule="auto"/>
        <w:ind w:left="652" w:right="130"/>
      </w:pPr>
      <w:r>
        <w:rPr>
          <w:spacing w:val="-3"/>
        </w:rPr>
        <w:t>Except </w:t>
      </w:r>
      <w:r>
        <w:rPr/>
        <w:t>as </w:t>
      </w:r>
      <w:r>
        <w:rPr>
          <w:spacing w:val="-3"/>
        </w:rPr>
        <w:t>otherwise provided </w:t>
      </w:r>
      <w:r>
        <w:rPr/>
        <w:t>for </w:t>
      </w:r>
      <w:r>
        <w:rPr>
          <w:spacing w:val="-3"/>
        </w:rPr>
        <w:t>Outpatient Services specified </w:t>
      </w:r>
      <w:r>
        <w:rPr/>
        <w:t>in </w:t>
      </w:r>
      <w:r>
        <w:rPr>
          <w:b/>
          <w:spacing w:val="-3"/>
        </w:rPr>
        <w:t>Sections 5.C.3 </w:t>
      </w:r>
      <w:r>
        <w:rPr>
          <w:spacing w:val="-3"/>
        </w:rPr>
        <w:t>through </w:t>
      </w:r>
      <w:r>
        <w:rPr>
          <w:b/>
          <w:spacing w:val="-3"/>
        </w:rPr>
        <w:t>5.C.8</w:t>
      </w:r>
      <w:r>
        <w:rPr>
          <w:spacing w:val="-3"/>
        </w:rPr>
        <w:t>, Hospitals will receive </w:t>
      </w:r>
      <w:r>
        <w:rPr/>
        <w:t>a </w:t>
      </w:r>
      <w:r>
        <w:rPr>
          <w:spacing w:val="-3"/>
        </w:rPr>
        <w:t>Hospital-specific payment </w:t>
      </w:r>
      <w:r>
        <w:rPr/>
        <w:t>for </w:t>
      </w:r>
      <w:r>
        <w:rPr>
          <w:spacing w:val="-3"/>
        </w:rPr>
        <w:t>each Episode, known </w:t>
      </w:r>
      <w:r>
        <w:rPr/>
        <w:t>as the </w:t>
      </w:r>
      <w:r>
        <w:rPr>
          <w:spacing w:val="-3"/>
        </w:rPr>
        <w:t>Payment </w:t>
      </w:r>
      <w:r>
        <w:rPr>
          <w:spacing w:val="-4"/>
        </w:rPr>
        <w:t>Amount </w:t>
      </w:r>
      <w:r>
        <w:rPr/>
        <w:t>Per </w:t>
      </w:r>
      <w:r>
        <w:rPr>
          <w:spacing w:val="-3"/>
        </w:rPr>
        <w:t>Episode (PAPE).</w:t>
      </w:r>
    </w:p>
    <w:p>
      <w:pPr>
        <w:pStyle w:val="BodyText"/>
        <w:spacing w:before="3"/>
      </w:pPr>
    </w:p>
    <w:p>
      <w:pPr>
        <w:pStyle w:val="BodyText"/>
        <w:spacing w:line="242" w:lineRule="auto" w:before="1"/>
        <w:ind w:left="651" w:right="130"/>
      </w:pPr>
      <w:r>
        <w:rPr>
          <w:spacing w:val="-3"/>
        </w:rPr>
        <w:t>Hospitals will </w:t>
      </w:r>
      <w:r>
        <w:rPr/>
        <w:t>not be </w:t>
      </w:r>
      <w:r>
        <w:rPr>
          <w:spacing w:val="-3"/>
        </w:rPr>
        <w:t>reimbursed </w:t>
      </w:r>
      <w:r>
        <w:rPr/>
        <w:t>for </w:t>
      </w:r>
      <w:r>
        <w:rPr>
          <w:spacing w:val="-3"/>
        </w:rPr>
        <w:t>Hospital services specified </w:t>
      </w:r>
      <w:r>
        <w:rPr/>
        <w:t>as </w:t>
      </w:r>
      <w:r>
        <w:rPr>
          <w:spacing w:val="-3"/>
        </w:rPr>
        <w:t>non-payable </w:t>
      </w:r>
      <w:r>
        <w:rPr/>
        <w:t>in </w:t>
      </w:r>
      <w:r>
        <w:rPr>
          <w:spacing w:val="-3"/>
        </w:rPr>
        <w:t>Subchapter </w:t>
      </w:r>
      <w:r>
        <w:rPr/>
        <w:t>6 </w:t>
      </w:r>
      <w:r>
        <w:rPr>
          <w:spacing w:val="-3"/>
        </w:rPr>
        <w:t>of </w:t>
      </w:r>
      <w:r>
        <w:rPr/>
        <w:t>the </w:t>
      </w:r>
      <w:r>
        <w:rPr>
          <w:spacing w:val="-3"/>
        </w:rPr>
        <w:t>MassHealth Acute Outpatient Hospital Manual, unless such services </w:t>
      </w:r>
      <w:r>
        <w:rPr/>
        <w:t>are </w:t>
      </w:r>
      <w:r>
        <w:rPr>
          <w:spacing w:val="-3"/>
        </w:rPr>
        <w:t>medically necessary services provided </w:t>
      </w:r>
      <w:r>
        <w:rPr/>
        <w:t>to a </w:t>
      </w:r>
      <w:r>
        <w:rPr>
          <w:spacing w:val="-3"/>
        </w:rPr>
        <w:t>MassHealth Standard </w:t>
      </w:r>
      <w:r>
        <w:rPr/>
        <w:t>or </w:t>
      </w:r>
      <w:r>
        <w:rPr>
          <w:spacing w:val="-4"/>
        </w:rPr>
        <w:t>CommonHealth </w:t>
      </w:r>
      <w:r>
        <w:rPr>
          <w:spacing w:val="-3"/>
        </w:rPr>
        <w:t>Member under </w:t>
      </w:r>
      <w:r>
        <w:rPr/>
        <w:t>21 </w:t>
      </w:r>
      <w:r>
        <w:rPr>
          <w:spacing w:val="-3"/>
        </w:rPr>
        <w:t>years. Providers should refer </w:t>
      </w:r>
      <w:r>
        <w:rPr/>
        <w:t>to the </w:t>
      </w:r>
      <w:r>
        <w:rPr>
          <w:spacing w:val="-3"/>
        </w:rPr>
        <w:t>Early </w:t>
      </w:r>
      <w:r>
        <w:rPr/>
        <w:t>and </w:t>
      </w:r>
      <w:r>
        <w:rPr>
          <w:spacing w:val="-3"/>
        </w:rPr>
        <w:t>Periodic Screening, Diagnosis </w:t>
      </w:r>
      <w:r>
        <w:rPr/>
        <w:t>and </w:t>
      </w:r>
      <w:r>
        <w:rPr>
          <w:spacing w:val="-3"/>
        </w:rPr>
        <w:t>Treatment (EPSDT) regulations at </w:t>
      </w:r>
      <w:r>
        <w:rPr/>
        <w:t>130 CMR </w:t>
      </w:r>
      <w:r>
        <w:rPr>
          <w:spacing w:val="-3"/>
        </w:rPr>
        <w:t>450.140 </w:t>
      </w:r>
      <w:r>
        <w:rPr/>
        <w:t>et </w:t>
      </w:r>
      <w:r>
        <w:rPr>
          <w:spacing w:val="-3"/>
        </w:rPr>
        <w:t>seq., regarding provision </w:t>
      </w:r>
      <w:r>
        <w:rPr/>
        <w:t>of </w:t>
      </w:r>
      <w:r>
        <w:rPr>
          <w:spacing w:val="-3"/>
        </w:rPr>
        <w:t>EPSDT services </w:t>
      </w:r>
      <w:r>
        <w:rPr/>
        <w:t>to </w:t>
      </w:r>
      <w:r>
        <w:rPr>
          <w:spacing w:val="-3"/>
        </w:rPr>
        <w:t>MassHealth Standard or </w:t>
      </w:r>
      <w:r>
        <w:rPr>
          <w:spacing w:val="-4"/>
        </w:rPr>
        <w:t>CommonHealth </w:t>
      </w:r>
      <w:r>
        <w:rPr>
          <w:spacing w:val="-3"/>
        </w:rPr>
        <w:t>Members under </w:t>
      </w:r>
      <w:r>
        <w:rPr/>
        <w:t>21 </w:t>
      </w:r>
      <w:r>
        <w:rPr>
          <w:spacing w:val="-3"/>
        </w:rPr>
        <w:t>years.</w:t>
      </w:r>
    </w:p>
    <w:p>
      <w:pPr>
        <w:pStyle w:val="BodyText"/>
        <w:spacing w:before="8"/>
      </w:pPr>
    </w:p>
    <w:p>
      <w:pPr>
        <w:pStyle w:val="BodyText"/>
        <w:ind w:left="643"/>
      </w:pPr>
      <w:r>
        <w:rPr/>
        <w:t>For Critical Access Hospitals, payment is in accordance with </w:t>
      </w:r>
      <w:r>
        <w:rPr>
          <w:b/>
        </w:rPr>
        <w:t>Section 5.D.7</w:t>
      </w:r>
      <w:r>
        <w:rPr/>
        <w:t>.</w:t>
      </w:r>
    </w:p>
    <w:p>
      <w:pPr>
        <w:pStyle w:val="BodyText"/>
        <w:spacing w:before="6"/>
      </w:pPr>
    </w:p>
    <w:p>
      <w:pPr>
        <w:pStyle w:val="BodyText"/>
        <w:spacing w:line="247" w:lineRule="auto" w:before="1"/>
        <w:ind w:left="643" w:right="655"/>
      </w:pPr>
      <w:r>
        <w:rPr/>
        <w:t>For the two </w:t>
      </w:r>
      <w:r>
        <w:rPr>
          <w:spacing w:val="-3"/>
        </w:rPr>
        <w:t>Hospitals first enrolled </w:t>
      </w:r>
      <w:r>
        <w:rPr/>
        <w:t>in </w:t>
      </w:r>
      <w:r>
        <w:rPr>
          <w:spacing w:val="-3"/>
        </w:rPr>
        <w:t>November 2012 with unique circumstances, payment for Outpatient Services </w:t>
      </w:r>
      <w:r>
        <w:rPr/>
        <w:t>is </w:t>
      </w:r>
      <w:r>
        <w:rPr>
          <w:spacing w:val="-3"/>
        </w:rPr>
        <w:t>described </w:t>
      </w:r>
      <w:r>
        <w:rPr/>
        <w:t>in </w:t>
      </w:r>
      <w:r>
        <w:rPr>
          <w:b/>
          <w:spacing w:val="-3"/>
        </w:rPr>
        <w:t>Section 5.D.8</w:t>
      </w:r>
      <w:r>
        <w:rPr>
          <w:spacing w:val="-3"/>
        </w:rPr>
        <w:t>.</w:t>
      </w:r>
    </w:p>
    <w:p>
      <w:pPr>
        <w:pStyle w:val="BodyText"/>
        <w:spacing w:before="9"/>
        <w:rPr>
          <w:sz w:val="20"/>
        </w:rPr>
      </w:pPr>
    </w:p>
    <w:p>
      <w:pPr>
        <w:pStyle w:val="Heading3"/>
        <w:numPr>
          <w:ilvl w:val="1"/>
          <w:numId w:val="8"/>
        </w:numPr>
        <w:tabs>
          <w:tab w:pos="1191" w:val="left" w:leader="none"/>
          <w:tab w:pos="1193" w:val="left" w:leader="none"/>
        </w:tabs>
        <w:spacing w:line="240" w:lineRule="auto" w:before="0" w:after="0"/>
        <w:ind w:left="652" w:right="0" w:firstLine="0"/>
        <w:jc w:val="left"/>
      </w:pPr>
      <w:r>
        <w:rPr>
          <w:spacing w:val="-3"/>
        </w:rPr>
        <w:t>Payment Amount </w:t>
      </w:r>
      <w:r>
        <w:rPr/>
        <w:t>Per </w:t>
      </w:r>
      <w:r>
        <w:rPr>
          <w:spacing w:val="-3"/>
        </w:rPr>
        <w:t>Episode</w:t>
      </w:r>
      <w:r>
        <w:rPr>
          <w:spacing w:val="-11"/>
        </w:rPr>
        <w:t> </w:t>
      </w:r>
      <w:r>
        <w:rPr>
          <w:spacing w:val="-3"/>
        </w:rPr>
        <w:t>(PAPE)</w:t>
      </w:r>
    </w:p>
    <w:p>
      <w:pPr>
        <w:spacing w:after="0" w:line="240" w:lineRule="auto"/>
        <w:jc w:val="left"/>
        <w:sectPr>
          <w:pgSz w:w="12240" w:h="15840"/>
          <w:pgMar w:header="0" w:footer="744" w:top="1380" w:bottom="940" w:left="1040" w:right="980"/>
        </w:sectPr>
      </w:pPr>
    </w:p>
    <w:p>
      <w:pPr>
        <w:pStyle w:val="ListParagraph"/>
        <w:numPr>
          <w:ilvl w:val="0"/>
          <w:numId w:val="9"/>
        </w:numPr>
        <w:tabs>
          <w:tab w:pos="1051" w:val="left" w:leader="none"/>
          <w:tab w:pos="1053" w:val="left" w:leader="none"/>
        </w:tabs>
        <w:spacing w:line="240" w:lineRule="auto" w:before="65" w:after="0"/>
        <w:ind w:left="1052" w:right="0" w:hanging="526"/>
        <w:jc w:val="left"/>
        <w:rPr>
          <w:b/>
          <w:sz w:val="24"/>
        </w:rPr>
      </w:pPr>
      <w:r>
        <w:rPr>
          <w:b/>
          <w:spacing w:val="-3"/>
          <w:sz w:val="24"/>
        </w:rPr>
        <w:t>PAPE Rate</w:t>
      </w:r>
      <w:r>
        <w:rPr>
          <w:b/>
          <w:spacing w:val="-1"/>
          <w:sz w:val="24"/>
        </w:rPr>
        <w:t> </w:t>
      </w:r>
      <w:r>
        <w:rPr>
          <w:b/>
          <w:spacing w:val="-3"/>
          <w:sz w:val="24"/>
        </w:rPr>
        <w:t>Development</w:t>
      </w:r>
    </w:p>
    <w:p>
      <w:pPr>
        <w:pStyle w:val="BodyText"/>
        <w:spacing w:before="4"/>
        <w:rPr>
          <w:b/>
        </w:rPr>
      </w:pPr>
    </w:p>
    <w:p>
      <w:pPr>
        <w:pStyle w:val="BodyText"/>
        <w:spacing w:line="244" w:lineRule="auto"/>
        <w:ind w:left="1051" w:right="136"/>
      </w:pPr>
      <w:r>
        <w:rPr/>
        <w:t>Each Hospital’s RY14 PAPE is a blended rate that equally weights the Hospital’s RY13 PAPE and the preliminary RY14 PAPE determined as calculated in this </w:t>
      </w:r>
      <w:r>
        <w:rPr>
          <w:b/>
        </w:rPr>
        <w:t>Section 5.C.1.a</w:t>
      </w:r>
      <w:r>
        <w:rPr/>
        <w:t>, provided, however, that no Hospital’s RY14 PAPE shall be less than 90% of the Hospital’s RY13 PAPE in effect on September 30, 2013.</w:t>
      </w:r>
    </w:p>
    <w:p>
      <w:pPr>
        <w:pStyle w:val="BodyText"/>
        <w:spacing w:before="1"/>
      </w:pPr>
    </w:p>
    <w:p>
      <w:pPr>
        <w:pStyle w:val="BodyText"/>
        <w:spacing w:line="244" w:lineRule="auto"/>
        <w:ind w:left="1051" w:right="130"/>
      </w:pPr>
      <w:r>
        <w:rPr/>
        <w:t>The preliminary RY14 PAPE is the product of the Hospital-Specific Outpatient Casemix Index and the Outpatient Statewide Standard. These components are further described in subsections (1) and (2) of this </w:t>
      </w:r>
      <w:r>
        <w:rPr>
          <w:b/>
        </w:rPr>
        <w:t>Section 5.C.1.a</w:t>
      </w:r>
      <w:r>
        <w:rPr/>
        <w:t>, below. Components of the calculation that were based on data from all Hospitals did not include data from the two </w:t>
      </w:r>
      <w:r>
        <w:rPr>
          <w:spacing w:val="-3"/>
        </w:rPr>
        <w:t>Hospitals first enrolled </w:t>
      </w:r>
      <w:r>
        <w:rPr/>
        <w:t>in </w:t>
      </w:r>
      <w:r>
        <w:rPr>
          <w:spacing w:val="-3"/>
        </w:rPr>
        <w:t>November 2012 </w:t>
      </w:r>
      <w:r>
        <w:rPr/>
        <w:t>with unique</w:t>
      </w:r>
      <w:r>
        <w:rPr>
          <w:spacing w:val="-9"/>
        </w:rPr>
        <w:t> </w:t>
      </w:r>
      <w:r>
        <w:rPr/>
        <w:t>circumstances.</w:t>
      </w:r>
    </w:p>
    <w:p>
      <w:pPr>
        <w:pStyle w:val="BodyText"/>
        <w:rPr>
          <w:sz w:val="26"/>
        </w:rPr>
      </w:pPr>
    </w:p>
    <w:p>
      <w:pPr>
        <w:pStyle w:val="ListParagraph"/>
        <w:numPr>
          <w:ilvl w:val="1"/>
          <w:numId w:val="9"/>
        </w:numPr>
        <w:tabs>
          <w:tab w:pos="1591" w:val="left" w:leader="none"/>
          <w:tab w:pos="1592" w:val="left" w:leader="none"/>
        </w:tabs>
        <w:spacing w:line="242" w:lineRule="auto" w:before="0" w:after="0"/>
        <w:ind w:left="1592" w:right="287" w:hanging="540"/>
        <w:jc w:val="left"/>
        <w:rPr>
          <w:sz w:val="24"/>
        </w:rPr>
      </w:pPr>
      <w:r>
        <w:rPr>
          <w:b/>
          <w:spacing w:val="-3"/>
          <w:sz w:val="24"/>
        </w:rPr>
        <w:t>Hospital-Specific Outpatient Casemix Index: </w:t>
      </w:r>
      <w:r>
        <w:rPr>
          <w:sz w:val="24"/>
        </w:rPr>
        <w:t>The hospital-specific outpatient casemix index for the current Rate Year is an average of the monthly Average EAPG Weights per Episode for the PAPE Base Year for each</w:t>
      </w:r>
      <w:r>
        <w:rPr>
          <w:spacing w:val="-4"/>
          <w:sz w:val="24"/>
        </w:rPr>
        <w:t> </w:t>
      </w:r>
      <w:r>
        <w:rPr>
          <w:sz w:val="24"/>
        </w:rPr>
        <w:t>hospital.</w:t>
      </w:r>
    </w:p>
    <w:p>
      <w:pPr>
        <w:pStyle w:val="BodyText"/>
        <w:spacing w:before="4"/>
      </w:pPr>
    </w:p>
    <w:p>
      <w:pPr>
        <w:pStyle w:val="BodyText"/>
        <w:spacing w:line="242" w:lineRule="auto"/>
        <w:ind w:left="1591" w:right="104"/>
      </w:pPr>
      <w:r>
        <w:rPr/>
        <w:t>The monthly Average EAPG Weight per Episode for each month is the hospital’s PAPE payments divided by the number of Episodes, then divided by the applicable conversion factor.  PAPE payments are based on claims </w:t>
      </w:r>
      <w:r>
        <w:rPr>
          <w:spacing w:val="-3"/>
        </w:rPr>
        <w:t>for MassHealth Episodes residing </w:t>
      </w:r>
      <w:r>
        <w:rPr/>
        <w:t>in </w:t>
      </w:r>
      <w:r>
        <w:rPr>
          <w:spacing w:val="-3"/>
        </w:rPr>
        <w:t>MMIS </w:t>
      </w:r>
      <w:r>
        <w:rPr/>
        <w:t>as of </w:t>
      </w:r>
      <w:r>
        <w:rPr>
          <w:spacing w:val="-3"/>
        </w:rPr>
        <w:t>April </w:t>
      </w:r>
      <w:r>
        <w:rPr/>
        <w:t>30, </w:t>
      </w:r>
      <w:r>
        <w:rPr>
          <w:spacing w:val="-3"/>
        </w:rPr>
        <w:t>2013, </w:t>
      </w:r>
      <w:r>
        <w:rPr/>
        <w:t>for the </w:t>
      </w:r>
      <w:r>
        <w:rPr>
          <w:spacing w:val="-3"/>
        </w:rPr>
        <w:t>PAPE Base Year, with </w:t>
      </w:r>
      <w:r>
        <w:rPr/>
        <w:t>a </w:t>
      </w:r>
      <w:r>
        <w:rPr>
          <w:spacing w:val="-3"/>
        </w:rPr>
        <w:t>status </w:t>
      </w:r>
      <w:r>
        <w:rPr/>
        <w:t>of </w:t>
      </w:r>
      <w:r>
        <w:rPr>
          <w:spacing w:val="-3"/>
        </w:rPr>
        <w:t>adjudicated </w:t>
      </w:r>
      <w:r>
        <w:rPr/>
        <w:t>and </w:t>
      </w:r>
      <w:r>
        <w:rPr>
          <w:spacing w:val="-3"/>
        </w:rPr>
        <w:t>paid </w:t>
      </w:r>
      <w:r>
        <w:rPr/>
        <w:t>and for </w:t>
      </w:r>
      <w:r>
        <w:rPr>
          <w:spacing w:val="-3"/>
        </w:rPr>
        <w:t>which MassHealth </w:t>
      </w:r>
      <w:r>
        <w:rPr/>
        <w:t>is </w:t>
      </w:r>
      <w:r>
        <w:rPr>
          <w:spacing w:val="-3"/>
        </w:rPr>
        <w:t>the primary</w:t>
      </w:r>
      <w:r>
        <w:rPr>
          <w:spacing w:val="-4"/>
        </w:rPr>
        <w:t> </w:t>
      </w:r>
      <w:r>
        <w:rPr>
          <w:spacing w:val="-3"/>
        </w:rPr>
        <w:t>payer.</w:t>
      </w:r>
    </w:p>
    <w:p>
      <w:pPr>
        <w:pStyle w:val="BodyText"/>
        <w:spacing w:before="4"/>
      </w:pPr>
    </w:p>
    <w:p>
      <w:pPr>
        <w:pStyle w:val="BodyText"/>
        <w:spacing w:line="242" w:lineRule="auto"/>
        <w:ind w:left="1591" w:right="624"/>
      </w:pPr>
      <w:r>
        <w:rPr/>
        <w:t>The applicable conversion factor is: October 1, 2011 through September 30, 2012 — $136.12.</w:t>
      </w:r>
    </w:p>
    <w:p>
      <w:pPr>
        <w:pStyle w:val="BodyText"/>
        <w:spacing w:before="4"/>
      </w:pPr>
    </w:p>
    <w:p>
      <w:pPr>
        <w:pStyle w:val="BodyText"/>
        <w:spacing w:line="242" w:lineRule="auto"/>
        <w:ind w:left="1591" w:right="123"/>
      </w:pPr>
      <w:r>
        <w:rPr/>
        <w:t>The sum of the monthly Average EAPG Weights Per Episode for the PAPE Base Year divided by 12 is the Hospital-Specific Outpatient Casemix Index for the current Rate Year.</w:t>
      </w:r>
    </w:p>
    <w:p>
      <w:pPr>
        <w:pStyle w:val="BodyText"/>
        <w:spacing w:before="7"/>
      </w:pPr>
    </w:p>
    <w:p>
      <w:pPr>
        <w:pStyle w:val="ListParagraph"/>
        <w:numPr>
          <w:ilvl w:val="1"/>
          <w:numId w:val="9"/>
        </w:numPr>
        <w:tabs>
          <w:tab w:pos="1591" w:val="left" w:leader="none"/>
          <w:tab w:pos="1592" w:val="left" w:leader="none"/>
        </w:tabs>
        <w:spacing w:line="242" w:lineRule="auto" w:before="1" w:after="0"/>
        <w:ind w:left="1592" w:right="131" w:hanging="540"/>
        <w:jc w:val="left"/>
        <w:rPr>
          <w:sz w:val="24"/>
        </w:rPr>
      </w:pPr>
      <w:r>
        <w:rPr>
          <w:b/>
          <w:spacing w:val="-3"/>
          <w:sz w:val="24"/>
        </w:rPr>
        <w:t>Outpatient Statewide Standard </w:t>
      </w:r>
      <w:r>
        <w:rPr>
          <w:sz w:val="24"/>
        </w:rPr>
        <w:t>— the </w:t>
      </w:r>
      <w:r>
        <w:rPr>
          <w:spacing w:val="-3"/>
          <w:sz w:val="24"/>
        </w:rPr>
        <w:t>PAPE Base Year Outpatient Statewide Standard </w:t>
      </w:r>
      <w:r>
        <w:rPr>
          <w:sz w:val="24"/>
        </w:rPr>
        <w:t>is </w:t>
      </w:r>
      <w:r>
        <w:rPr>
          <w:spacing w:val="-3"/>
          <w:sz w:val="24"/>
        </w:rPr>
        <w:t>adjusted </w:t>
      </w:r>
      <w:r>
        <w:rPr>
          <w:sz w:val="24"/>
        </w:rPr>
        <w:t>so </w:t>
      </w:r>
      <w:r>
        <w:rPr>
          <w:spacing w:val="-3"/>
          <w:sz w:val="24"/>
        </w:rPr>
        <w:t>that </w:t>
      </w:r>
      <w:r>
        <w:rPr>
          <w:sz w:val="24"/>
        </w:rPr>
        <w:t>the </w:t>
      </w:r>
      <w:r>
        <w:rPr>
          <w:spacing w:val="-3"/>
          <w:sz w:val="24"/>
        </w:rPr>
        <w:t>total payment </w:t>
      </w:r>
      <w:r>
        <w:rPr>
          <w:sz w:val="24"/>
        </w:rPr>
        <w:t>for </w:t>
      </w:r>
      <w:r>
        <w:rPr>
          <w:spacing w:val="-3"/>
          <w:sz w:val="24"/>
        </w:rPr>
        <w:t>PAPE Covered Services provided </w:t>
      </w:r>
      <w:r>
        <w:rPr>
          <w:sz w:val="24"/>
        </w:rPr>
        <w:t>in the </w:t>
      </w:r>
      <w:r>
        <w:rPr>
          <w:spacing w:val="-3"/>
          <w:sz w:val="24"/>
        </w:rPr>
        <w:t>PAPE Base Year equals </w:t>
      </w:r>
      <w:r>
        <w:rPr>
          <w:sz w:val="24"/>
        </w:rPr>
        <w:t>the </w:t>
      </w:r>
      <w:r>
        <w:rPr>
          <w:spacing w:val="-3"/>
          <w:sz w:val="24"/>
        </w:rPr>
        <w:t>Total EAPG Payment </w:t>
      </w:r>
      <w:r>
        <w:rPr>
          <w:sz w:val="24"/>
        </w:rPr>
        <w:t>in the </w:t>
      </w:r>
      <w:r>
        <w:rPr>
          <w:spacing w:val="-3"/>
          <w:sz w:val="24"/>
        </w:rPr>
        <w:t>PAPE Base Year. </w:t>
      </w:r>
      <w:r>
        <w:rPr>
          <w:sz w:val="24"/>
        </w:rPr>
        <w:t>The </w:t>
      </w:r>
      <w:r>
        <w:rPr>
          <w:spacing w:val="-3"/>
          <w:sz w:val="24"/>
        </w:rPr>
        <w:t>result </w:t>
      </w:r>
      <w:r>
        <w:rPr>
          <w:sz w:val="24"/>
        </w:rPr>
        <w:t>of </w:t>
      </w:r>
      <w:r>
        <w:rPr>
          <w:spacing w:val="-3"/>
          <w:sz w:val="24"/>
        </w:rPr>
        <w:t>this calculation </w:t>
      </w:r>
      <w:r>
        <w:rPr>
          <w:sz w:val="24"/>
        </w:rPr>
        <w:t>is a </w:t>
      </w:r>
      <w:r>
        <w:rPr>
          <w:spacing w:val="-3"/>
          <w:sz w:val="24"/>
        </w:rPr>
        <w:t>PAPE Base Year Outpatient Statewide Standard </w:t>
      </w:r>
      <w:r>
        <w:rPr>
          <w:sz w:val="24"/>
        </w:rPr>
        <w:t>of</w:t>
      </w:r>
      <w:r>
        <w:rPr>
          <w:spacing w:val="-8"/>
          <w:sz w:val="24"/>
        </w:rPr>
        <w:t> </w:t>
      </w:r>
      <w:r>
        <w:rPr>
          <w:spacing w:val="-3"/>
          <w:sz w:val="24"/>
        </w:rPr>
        <w:t>$127.28.</w:t>
      </w:r>
    </w:p>
    <w:p>
      <w:pPr>
        <w:pStyle w:val="BodyText"/>
        <w:spacing w:before="4"/>
      </w:pPr>
    </w:p>
    <w:p>
      <w:pPr>
        <w:pStyle w:val="BodyText"/>
        <w:spacing w:line="242" w:lineRule="auto"/>
        <w:ind w:left="1591" w:right="116"/>
      </w:pPr>
      <w:r>
        <w:rPr/>
        <w:t>The </w:t>
      </w:r>
      <w:r>
        <w:rPr>
          <w:spacing w:val="-3"/>
        </w:rPr>
        <w:t>PAPE Base Year Outpatient Statewide Standard </w:t>
      </w:r>
      <w:r>
        <w:rPr/>
        <w:t>is </w:t>
      </w:r>
      <w:r>
        <w:rPr>
          <w:spacing w:val="-3"/>
        </w:rPr>
        <w:t>then adjusted </w:t>
      </w:r>
      <w:r>
        <w:rPr/>
        <w:t>to </w:t>
      </w:r>
      <w:r>
        <w:rPr>
          <w:spacing w:val="-3"/>
        </w:rPr>
        <w:t>account for volume </w:t>
      </w:r>
      <w:r>
        <w:rPr/>
        <w:t>and </w:t>
      </w:r>
      <w:r>
        <w:rPr>
          <w:spacing w:val="-3"/>
        </w:rPr>
        <w:t>casemix changes between </w:t>
      </w:r>
      <w:r>
        <w:rPr/>
        <w:t>the </w:t>
      </w:r>
      <w:r>
        <w:rPr>
          <w:spacing w:val="-3"/>
        </w:rPr>
        <w:t>PAPE Base Year </w:t>
      </w:r>
      <w:r>
        <w:rPr/>
        <w:t>and the </w:t>
      </w:r>
      <w:r>
        <w:rPr>
          <w:spacing w:val="-3"/>
        </w:rPr>
        <w:t>current Rate Year.  This adjusted amount </w:t>
      </w:r>
      <w:r>
        <w:rPr/>
        <w:t>is </w:t>
      </w:r>
      <w:r>
        <w:rPr>
          <w:spacing w:val="-3"/>
        </w:rPr>
        <w:t>then multiplied </w:t>
      </w:r>
      <w:r>
        <w:rPr/>
        <w:t>by the </w:t>
      </w:r>
      <w:r>
        <w:rPr>
          <w:spacing w:val="-3"/>
        </w:rPr>
        <w:t>Inflation Factors for Operating Costs between RY13 </w:t>
      </w:r>
      <w:r>
        <w:rPr/>
        <w:t>and </w:t>
      </w:r>
      <w:r>
        <w:rPr>
          <w:spacing w:val="-3"/>
        </w:rPr>
        <w:t>RY14. </w:t>
      </w:r>
      <w:r>
        <w:rPr/>
        <w:t>The </w:t>
      </w:r>
      <w:r>
        <w:rPr>
          <w:spacing w:val="-3"/>
        </w:rPr>
        <w:t>resulting RY14 Outpatient Statewide Standard </w:t>
      </w:r>
      <w:r>
        <w:rPr/>
        <w:t>is </w:t>
      </w:r>
      <w:r>
        <w:rPr>
          <w:spacing w:val="-3"/>
        </w:rPr>
        <w:t>$162.93.</w:t>
      </w:r>
    </w:p>
    <w:p>
      <w:pPr>
        <w:spacing w:after="0" w:line="242" w:lineRule="auto"/>
        <w:sectPr>
          <w:pgSz w:w="12240" w:h="15840"/>
          <w:pgMar w:header="0" w:footer="744" w:top="1380" w:bottom="940" w:left="1720" w:right="980"/>
        </w:sectPr>
      </w:pPr>
    </w:p>
    <w:p>
      <w:pPr>
        <w:pStyle w:val="Heading3"/>
        <w:numPr>
          <w:ilvl w:val="0"/>
          <w:numId w:val="9"/>
        </w:numPr>
        <w:tabs>
          <w:tab w:pos="1213" w:val="left" w:leader="none"/>
          <w:tab w:pos="1215" w:val="left" w:leader="none"/>
        </w:tabs>
        <w:spacing w:line="240" w:lineRule="auto" w:before="65" w:after="0"/>
        <w:ind w:left="1214" w:right="0" w:hanging="433"/>
        <w:jc w:val="left"/>
      </w:pPr>
      <w:r>
        <w:rPr>
          <w:spacing w:val="-3"/>
        </w:rPr>
        <w:t>Payment</w:t>
      </w:r>
      <w:r>
        <w:rPr>
          <w:spacing w:val="-2"/>
        </w:rPr>
        <w:t> </w:t>
      </w:r>
      <w:r>
        <w:rPr>
          <w:spacing w:val="-3"/>
        </w:rPr>
        <w:t>System</w:t>
      </w:r>
    </w:p>
    <w:p>
      <w:pPr>
        <w:pStyle w:val="BodyText"/>
        <w:spacing w:before="4"/>
        <w:rPr>
          <w:b/>
        </w:rPr>
      </w:pPr>
    </w:p>
    <w:p>
      <w:pPr>
        <w:pStyle w:val="BodyText"/>
        <w:spacing w:line="242" w:lineRule="auto"/>
        <w:ind w:left="1191" w:right="236"/>
      </w:pPr>
      <w:r>
        <w:rPr>
          <w:spacing w:val="-3"/>
        </w:rPr>
        <w:t>MassHealth processes </w:t>
      </w:r>
      <w:r>
        <w:rPr/>
        <w:t>and </w:t>
      </w:r>
      <w:r>
        <w:rPr>
          <w:spacing w:val="-3"/>
        </w:rPr>
        <w:t>pays clean outpatient claims </w:t>
      </w:r>
      <w:r>
        <w:rPr/>
        <w:t>in </w:t>
      </w:r>
      <w:r>
        <w:rPr>
          <w:spacing w:val="-3"/>
        </w:rPr>
        <w:t>accordance with </w:t>
      </w:r>
      <w:r>
        <w:rPr/>
        <w:t>130 </w:t>
      </w:r>
      <w:r>
        <w:rPr>
          <w:spacing w:val="-3"/>
        </w:rPr>
        <w:t>CMR </w:t>
      </w:r>
      <w:r>
        <w:rPr/>
        <w:t>450 et </w:t>
      </w:r>
      <w:r>
        <w:rPr>
          <w:spacing w:val="-3"/>
        </w:rPr>
        <w:t>seq.</w:t>
      </w:r>
    </w:p>
    <w:p>
      <w:pPr>
        <w:pStyle w:val="BodyText"/>
        <w:spacing w:before="8"/>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Emergency Department</w:t>
      </w:r>
      <w:r>
        <w:rPr>
          <w:spacing w:val="-1"/>
        </w:rPr>
        <w:t> </w:t>
      </w:r>
      <w:r>
        <w:rPr>
          <w:spacing w:val="-3"/>
        </w:rPr>
        <w:t>Services</w:t>
      </w:r>
    </w:p>
    <w:p>
      <w:pPr>
        <w:pStyle w:val="BodyText"/>
        <w:spacing w:before="8"/>
        <w:rPr>
          <w:b/>
        </w:rPr>
      </w:pPr>
    </w:p>
    <w:p>
      <w:pPr>
        <w:pStyle w:val="ListParagraph"/>
        <w:numPr>
          <w:ilvl w:val="2"/>
          <w:numId w:val="8"/>
        </w:numPr>
        <w:tabs>
          <w:tab w:pos="1213" w:val="left" w:leader="none"/>
          <w:tab w:pos="1214" w:val="left" w:leader="none"/>
        </w:tabs>
        <w:spacing w:line="240" w:lineRule="auto" w:before="1" w:after="0"/>
        <w:ind w:left="1213" w:right="0" w:hanging="547"/>
        <w:jc w:val="left"/>
        <w:rPr>
          <w:b/>
          <w:sz w:val="24"/>
        </w:rPr>
      </w:pPr>
      <w:r>
        <w:rPr>
          <w:b/>
          <w:spacing w:val="-3"/>
          <w:sz w:val="24"/>
        </w:rPr>
        <w:t>Required Screening</w:t>
      </w:r>
    </w:p>
    <w:p>
      <w:pPr>
        <w:pStyle w:val="BodyText"/>
        <w:spacing w:before="4"/>
        <w:rPr>
          <w:b/>
        </w:rPr>
      </w:pPr>
    </w:p>
    <w:p>
      <w:pPr>
        <w:pStyle w:val="BodyText"/>
        <w:spacing w:line="242" w:lineRule="auto" w:before="1"/>
        <w:ind w:left="1191" w:right="236"/>
      </w:pPr>
      <w:r>
        <w:rPr/>
        <w:t>All </w:t>
      </w:r>
      <w:r>
        <w:rPr>
          <w:spacing w:val="-3"/>
        </w:rPr>
        <w:t>Members presenting </w:t>
      </w:r>
      <w:r>
        <w:rPr/>
        <w:t>in the </w:t>
      </w:r>
      <w:r>
        <w:rPr>
          <w:spacing w:val="-3"/>
        </w:rPr>
        <w:t>Emergency Department </w:t>
      </w:r>
      <w:r>
        <w:rPr/>
        <w:t>or </w:t>
      </w:r>
      <w:r>
        <w:rPr>
          <w:spacing w:val="-3"/>
        </w:rPr>
        <w:t>dedicated </w:t>
      </w:r>
      <w:r>
        <w:rPr>
          <w:spacing w:val="-4"/>
        </w:rPr>
        <w:t>emergency </w:t>
      </w:r>
      <w:r>
        <w:rPr>
          <w:spacing w:val="-3"/>
        </w:rPr>
        <w:t>department </w:t>
      </w:r>
      <w:r>
        <w:rPr/>
        <w:t>as </w:t>
      </w:r>
      <w:r>
        <w:rPr>
          <w:spacing w:val="-3"/>
        </w:rPr>
        <w:t>defined </w:t>
      </w:r>
      <w:r>
        <w:rPr/>
        <w:t>in 42 CFR </w:t>
      </w:r>
      <w:r>
        <w:rPr>
          <w:spacing w:val="-3"/>
        </w:rPr>
        <w:t>489.24 must </w:t>
      </w:r>
      <w:r>
        <w:rPr/>
        <w:t>be </w:t>
      </w:r>
      <w:r>
        <w:rPr>
          <w:spacing w:val="-3"/>
        </w:rPr>
        <w:t>screened </w:t>
      </w:r>
      <w:r>
        <w:rPr/>
        <w:t>and </w:t>
      </w:r>
      <w:r>
        <w:rPr>
          <w:spacing w:val="-3"/>
        </w:rPr>
        <w:t>stabilized </w:t>
      </w:r>
      <w:r>
        <w:rPr/>
        <w:t>in </w:t>
      </w:r>
      <w:r>
        <w:rPr>
          <w:spacing w:val="-3"/>
        </w:rPr>
        <w:t>accordance with applicable requirements </w:t>
      </w:r>
      <w:r>
        <w:rPr/>
        <w:t>at 42 </w:t>
      </w:r>
      <w:r>
        <w:rPr>
          <w:spacing w:val="-3"/>
        </w:rPr>
        <w:t>U.S.C. 1395dd </w:t>
      </w:r>
      <w:r>
        <w:rPr/>
        <w:t>et </w:t>
      </w:r>
      <w:r>
        <w:rPr>
          <w:spacing w:val="-3"/>
        </w:rPr>
        <w:t>seq</w:t>
      </w:r>
      <w:r>
        <w:rPr>
          <w:i/>
          <w:spacing w:val="-3"/>
        </w:rPr>
        <w:t>.</w:t>
      </w:r>
      <w:r>
        <w:rPr>
          <w:spacing w:val="-3"/>
        </w:rPr>
        <w:t>, M.G.L. </w:t>
      </w:r>
      <w:r>
        <w:rPr/>
        <w:t>c. </w:t>
      </w:r>
      <w:r>
        <w:rPr>
          <w:spacing w:val="-3"/>
        </w:rPr>
        <w:t>118E, section 17A, </w:t>
      </w:r>
      <w:r>
        <w:rPr/>
        <w:t>and all </w:t>
      </w:r>
      <w:r>
        <w:rPr>
          <w:spacing w:val="-3"/>
        </w:rPr>
        <w:t>applicable regulations.</w:t>
      </w:r>
    </w:p>
    <w:p>
      <w:pPr>
        <w:pStyle w:val="BodyText"/>
        <w:spacing w:before="8"/>
      </w:pPr>
    </w:p>
    <w:p>
      <w:pPr>
        <w:pStyle w:val="Heading3"/>
        <w:numPr>
          <w:ilvl w:val="2"/>
          <w:numId w:val="8"/>
        </w:numPr>
        <w:tabs>
          <w:tab w:pos="1214" w:val="left" w:leader="none"/>
          <w:tab w:pos="1215" w:val="left" w:leader="none"/>
        </w:tabs>
        <w:spacing w:line="240" w:lineRule="auto" w:before="0" w:after="0"/>
        <w:ind w:left="1214" w:right="0" w:hanging="548"/>
        <w:jc w:val="left"/>
      </w:pPr>
      <w:r>
        <w:rPr>
          <w:spacing w:val="-3"/>
        </w:rPr>
        <w:t>Payment </w:t>
      </w:r>
      <w:r>
        <w:rPr/>
        <w:t>for </w:t>
      </w:r>
      <w:r>
        <w:rPr>
          <w:spacing w:val="-3"/>
        </w:rPr>
        <w:t>Emergency</w:t>
      </w:r>
      <w:r>
        <w:rPr>
          <w:spacing w:val="-12"/>
        </w:rPr>
        <w:t> </w:t>
      </w:r>
      <w:r>
        <w:rPr>
          <w:spacing w:val="-3"/>
        </w:rPr>
        <w:t>Services</w:t>
      </w:r>
    </w:p>
    <w:p>
      <w:pPr>
        <w:pStyle w:val="BodyText"/>
        <w:spacing w:before="4"/>
        <w:rPr>
          <w:b/>
        </w:rPr>
      </w:pPr>
    </w:p>
    <w:p>
      <w:pPr>
        <w:pStyle w:val="BodyText"/>
        <w:spacing w:line="242" w:lineRule="auto"/>
        <w:ind w:left="1192" w:right="236"/>
      </w:pPr>
      <w:r>
        <w:rPr>
          <w:spacing w:val="-3"/>
        </w:rPr>
        <w:t>Hospitals will </w:t>
      </w:r>
      <w:r>
        <w:rPr/>
        <w:t>be </w:t>
      </w:r>
      <w:r>
        <w:rPr>
          <w:spacing w:val="-3"/>
        </w:rPr>
        <w:t>reimbursed for Emergency Services provided </w:t>
      </w:r>
      <w:r>
        <w:rPr/>
        <w:t>in the </w:t>
      </w:r>
      <w:r>
        <w:rPr>
          <w:spacing w:val="-4"/>
        </w:rPr>
        <w:t>Emergency </w:t>
      </w:r>
      <w:r>
        <w:rPr>
          <w:spacing w:val="-3"/>
        </w:rPr>
        <w:t>Department </w:t>
      </w:r>
      <w:r>
        <w:rPr/>
        <w:t>in the </w:t>
      </w:r>
      <w:r>
        <w:rPr>
          <w:spacing w:val="-3"/>
        </w:rPr>
        <w:t>same manner </w:t>
      </w:r>
      <w:r>
        <w:rPr/>
        <w:t>as </w:t>
      </w:r>
      <w:r>
        <w:rPr>
          <w:spacing w:val="-3"/>
        </w:rPr>
        <w:t>other Outpatient Services.</w:t>
      </w:r>
    </w:p>
    <w:p>
      <w:pPr>
        <w:pStyle w:val="BodyText"/>
        <w:spacing w:before="7"/>
      </w:pPr>
    </w:p>
    <w:p>
      <w:pPr>
        <w:pStyle w:val="Heading3"/>
        <w:numPr>
          <w:ilvl w:val="1"/>
          <w:numId w:val="8"/>
        </w:numPr>
        <w:tabs>
          <w:tab w:pos="652" w:val="left" w:leader="none"/>
          <w:tab w:pos="653" w:val="left" w:leader="none"/>
        </w:tabs>
        <w:spacing w:line="244" w:lineRule="auto" w:before="0" w:after="0"/>
        <w:ind w:left="652" w:right="1235" w:hanging="533"/>
        <w:jc w:val="left"/>
      </w:pPr>
      <w:r>
        <w:rPr>
          <w:spacing w:val="-3"/>
        </w:rPr>
        <w:t>Outpatient Hospital Services Payment Limitations </w:t>
      </w:r>
      <w:r>
        <w:rPr/>
        <w:t>and PCC </w:t>
      </w:r>
      <w:r>
        <w:rPr>
          <w:spacing w:val="-3"/>
        </w:rPr>
        <w:t>Plan Notification Requirements</w:t>
      </w:r>
    </w:p>
    <w:p>
      <w:pPr>
        <w:pStyle w:val="BodyText"/>
        <w:spacing w:before="3"/>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Limitations </w:t>
      </w:r>
      <w:r>
        <w:rPr>
          <w:b/>
          <w:sz w:val="24"/>
        </w:rPr>
        <w:t>on </w:t>
      </w:r>
      <w:r>
        <w:rPr>
          <w:b/>
          <w:spacing w:val="-3"/>
          <w:sz w:val="24"/>
        </w:rPr>
        <w:t>Outpatient Hospital Services Preceding </w:t>
      </w:r>
      <w:r>
        <w:rPr>
          <w:b/>
          <w:sz w:val="24"/>
        </w:rPr>
        <w:t>an</w:t>
      </w:r>
      <w:r>
        <w:rPr>
          <w:b/>
          <w:spacing w:val="-11"/>
          <w:sz w:val="24"/>
        </w:rPr>
        <w:t> </w:t>
      </w:r>
      <w:r>
        <w:rPr>
          <w:b/>
          <w:spacing w:val="-3"/>
          <w:sz w:val="24"/>
        </w:rPr>
        <w:t>Admission</w:t>
      </w:r>
    </w:p>
    <w:p>
      <w:pPr>
        <w:pStyle w:val="BodyText"/>
        <w:spacing w:before="5"/>
        <w:rPr>
          <w:b/>
        </w:rPr>
      </w:pPr>
    </w:p>
    <w:p>
      <w:pPr>
        <w:pStyle w:val="BodyText"/>
        <w:spacing w:line="244" w:lineRule="auto"/>
        <w:ind w:left="1191" w:right="233"/>
      </w:pPr>
      <w:r>
        <w:rPr>
          <w:spacing w:val="-3"/>
        </w:rPr>
        <w:t>Hospitals will </w:t>
      </w:r>
      <w:r>
        <w:rPr/>
        <w:t>not be </w:t>
      </w:r>
      <w:r>
        <w:rPr>
          <w:spacing w:val="-3"/>
        </w:rPr>
        <w:t>separately reimbursed for Outpatient Hospital Services when an Inpatient Admission </w:t>
      </w:r>
      <w:r>
        <w:rPr/>
        <w:t>to the </w:t>
      </w:r>
      <w:r>
        <w:rPr>
          <w:spacing w:val="-3"/>
        </w:rPr>
        <w:t>same Hospital, </w:t>
      </w:r>
      <w:r>
        <w:rPr/>
        <w:t>on the </w:t>
      </w:r>
      <w:r>
        <w:rPr>
          <w:spacing w:val="-3"/>
        </w:rPr>
        <w:t>same date </w:t>
      </w:r>
      <w:r>
        <w:rPr/>
        <w:t>of </w:t>
      </w:r>
      <w:r>
        <w:rPr>
          <w:spacing w:val="-3"/>
        </w:rPr>
        <w:t>service, occurs following </w:t>
      </w:r>
      <w:r>
        <w:rPr/>
        <w:t>the </w:t>
      </w:r>
      <w:r>
        <w:rPr>
          <w:spacing w:val="-3"/>
        </w:rPr>
        <w:t>provision </w:t>
      </w:r>
      <w:r>
        <w:rPr/>
        <w:t>of </w:t>
      </w:r>
      <w:r>
        <w:rPr>
          <w:spacing w:val="-3"/>
        </w:rPr>
        <w:t>Outpatient Hospital Services. </w:t>
      </w:r>
      <w:r>
        <w:rPr/>
        <w:t>See </w:t>
      </w:r>
      <w:r>
        <w:rPr>
          <w:b/>
          <w:spacing w:val="-3"/>
        </w:rPr>
        <w:t>Section 5.B.8.b(3)</w:t>
      </w:r>
      <w:r>
        <w:rPr>
          <w:spacing w:val="-3"/>
        </w:rPr>
        <w:t>.</w:t>
      </w:r>
    </w:p>
    <w:p>
      <w:pPr>
        <w:pStyle w:val="BodyText"/>
        <w:rPr>
          <w:sz w:val="21"/>
        </w:rPr>
      </w:pPr>
    </w:p>
    <w:p>
      <w:pPr>
        <w:pStyle w:val="Heading3"/>
        <w:numPr>
          <w:ilvl w:val="2"/>
          <w:numId w:val="8"/>
        </w:numPr>
        <w:tabs>
          <w:tab w:pos="1213" w:val="left" w:leader="none"/>
          <w:tab w:pos="1215" w:val="left" w:leader="none"/>
        </w:tabs>
        <w:spacing w:line="240" w:lineRule="auto" w:before="0" w:after="0"/>
        <w:ind w:left="1214" w:right="0" w:hanging="548"/>
        <w:jc w:val="left"/>
      </w:pPr>
      <w:r>
        <w:rPr>
          <w:spacing w:val="-3"/>
        </w:rPr>
        <w:t>Payment Limitations </w:t>
      </w:r>
      <w:r>
        <w:rPr/>
        <w:t>on </w:t>
      </w:r>
      <w:r>
        <w:rPr>
          <w:spacing w:val="-3"/>
        </w:rPr>
        <w:t>Outpatient Hospital Services </w:t>
      </w:r>
      <w:r>
        <w:rPr/>
        <w:t>to</w:t>
      </w:r>
      <w:r>
        <w:rPr>
          <w:spacing w:val="-11"/>
        </w:rPr>
        <w:t> </w:t>
      </w:r>
      <w:r>
        <w:rPr>
          <w:spacing w:val="-3"/>
        </w:rPr>
        <w:t>Inpatients</w:t>
      </w:r>
    </w:p>
    <w:p>
      <w:pPr>
        <w:pStyle w:val="BodyText"/>
        <w:spacing w:before="5"/>
        <w:rPr>
          <w:b/>
        </w:rPr>
      </w:pPr>
    </w:p>
    <w:p>
      <w:pPr>
        <w:pStyle w:val="BodyText"/>
        <w:spacing w:line="242" w:lineRule="auto" w:before="1"/>
        <w:ind w:left="1191" w:right="127"/>
        <w:jc w:val="both"/>
      </w:pPr>
      <w:r>
        <w:rPr>
          <w:spacing w:val="-3"/>
        </w:rPr>
        <w:t>Hospitals will </w:t>
      </w:r>
      <w:r>
        <w:rPr/>
        <w:t>not be </w:t>
      </w:r>
      <w:r>
        <w:rPr>
          <w:spacing w:val="-3"/>
        </w:rPr>
        <w:t>reimbursed for Outpatient Services provided </w:t>
      </w:r>
      <w:r>
        <w:rPr/>
        <w:t>to any </w:t>
      </w:r>
      <w:r>
        <w:rPr>
          <w:spacing w:val="-3"/>
        </w:rPr>
        <w:t>Member </w:t>
      </w:r>
      <w:r>
        <w:rPr/>
        <w:t>who </w:t>
      </w:r>
      <w:r>
        <w:rPr>
          <w:spacing w:val="-3"/>
        </w:rPr>
        <w:t>is concurrently</w:t>
      </w:r>
      <w:r>
        <w:rPr>
          <w:spacing w:val="-6"/>
        </w:rPr>
        <w:t> </w:t>
      </w:r>
      <w:r>
        <w:rPr/>
        <w:t>an</w:t>
      </w:r>
      <w:r>
        <w:rPr>
          <w:spacing w:val="-6"/>
        </w:rPr>
        <w:t> </w:t>
      </w:r>
      <w:r>
        <w:rPr>
          <w:spacing w:val="-3"/>
        </w:rPr>
        <w:t>inpatient</w:t>
      </w:r>
      <w:r>
        <w:rPr>
          <w:spacing w:val="-6"/>
        </w:rPr>
        <w:t> </w:t>
      </w:r>
      <w:r>
        <w:rPr/>
        <w:t>of</w:t>
      </w:r>
      <w:r>
        <w:rPr>
          <w:spacing w:val="-6"/>
        </w:rPr>
        <w:t> </w:t>
      </w:r>
      <w:r>
        <w:rPr/>
        <w:t>any</w:t>
      </w:r>
      <w:r>
        <w:rPr>
          <w:spacing w:val="-6"/>
        </w:rPr>
        <w:t> </w:t>
      </w:r>
      <w:r>
        <w:rPr>
          <w:spacing w:val="-3"/>
        </w:rPr>
        <w:t>Hospital.</w:t>
      </w:r>
      <w:r>
        <w:rPr>
          <w:spacing w:val="-6"/>
        </w:rPr>
        <w:t> </w:t>
      </w:r>
      <w:r>
        <w:rPr/>
        <w:t>The</w:t>
      </w:r>
      <w:r>
        <w:rPr>
          <w:spacing w:val="-6"/>
        </w:rPr>
        <w:t> </w:t>
      </w:r>
      <w:r>
        <w:rPr>
          <w:spacing w:val="-3"/>
        </w:rPr>
        <w:t>Hospital</w:t>
      </w:r>
      <w:r>
        <w:rPr>
          <w:spacing w:val="-6"/>
        </w:rPr>
        <w:t> </w:t>
      </w:r>
      <w:r>
        <w:rPr/>
        <w:t>is</w:t>
      </w:r>
      <w:r>
        <w:rPr>
          <w:spacing w:val="-6"/>
        </w:rPr>
        <w:t> </w:t>
      </w:r>
      <w:r>
        <w:rPr>
          <w:spacing w:val="-3"/>
        </w:rPr>
        <w:t>responsible</w:t>
      </w:r>
      <w:r>
        <w:rPr>
          <w:spacing w:val="-6"/>
        </w:rPr>
        <w:t> </w:t>
      </w:r>
      <w:r>
        <w:rPr/>
        <w:t>for</w:t>
      </w:r>
      <w:r>
        <w:rPr>
          <w:spacing w:val="-6"/>
        </w:rPr>
        <w:t> </w:t>
      </w:r>
      <w:r>
        <w:rPr>
          <w:spacing w:val="-3"/>
        </w:rPr>
        <w:t>payment</w:t>
      </w:r>
      <w:r>
        <w:rPr>
          <w:spacing w:val="-6"/>
        </w:rPr>
        <w:t> </w:t>
      </w:r>
      <w:r>
        <w:rPr/>
        <w:t>to</w:t>
      </w:r>
      <w:r>
        <w:rPr>
          <w:spacing w:val="-6"/>
        </w:rPr>
        <w:t> </w:t>
      </w:r>
      <w:r>
        <w:rPr>
          <w:spacing w:val="-3"/>
        </w:rPr>
        <w:t>any other Provider </w:t>
      </w:r>
      <w:r>
        <w:rPr/>
        <w:t>of </w:t>
      </w:r>
      <w:r>
        <w:rPr>
          <w:spacing w:val="-3"/>
        </w:rPr>
        <w:t>services delivered </w:t>
      </w:r>
      <w:r>
        <w:rPr/>
        <w:t>to a </w:t>
      </w:r>
      <w:r>
        <w:rPr>
          <w:spacing w:val="-3"/>
        </w:rPr>
        <w:t>Member while </w:t>
      </w:r>
      <w:r>
        <w:rPr/>
        <w:t>an </w:t>
      </w:r>
      <w:r>
        <w:rPr>
          <w:spacing w:val="-3"/>
        </w:rPr>
        <w:t>inpatient </w:t>
      </w:r>
      <w:r>
        <w:rPr/>
        <w:t>of </w:t>
      </w:r>
      <w:r>
        <w:rPr>
          <w:spacing w:val="-3"/>
        </w:rPr>
        <w:t>that</w:t>
      </w:r>
      <w:r>
        <w:rPr>
          <w:spacing w:val="-34"/>
        </w:rPr>
        <w:t> </w:t>
      </w:r>
      <w:r>
        <w:rPr>
          <w:spacing w:val="-3"/>
        </w:rPr>
        <w:t>Hospital.</w:t>
      </w:r>
    </w:p>
    <w:p>
      <w:pPr>
        <w:pStyle w:val="BodyText"/>
        <w:spacing w:before="9"/>
      </w:pPr>
    </w:p>
    <w:p>
      <w:pPr>
        <w:pStyle w:val="Heading3"/>
        <w:numPr>
          <w:ilvl w:val="2"/>
          <w:numId w:val="8"/>
        </w:numPr>
        <w:tabs>
          <w:tab w:pos="1191" w:val="left" w:leader="none"/>
          <w:tab w:pos="1193" w:val="left" w:leader="none"/>
        </w:tabs>
        <w:spacing w:line="240" w:lineRule="auto" w:before="0" w:after="0"/>
        <w:ind w:left="1192" w:right="0" w:hanging="526"/>
        <w:jc w:val="left"/>
      </w:pPr>
      <w:r>
        <w:rPr>
          <w:spacing w:val="-3"/>
        </w:rPr>
        <w:t>Notification</w:t>
      </w:r>
      <w:r>
        <w:rPr>
          <w:spacing w:val="-2"/>
        </w:rPr>
        <w:t> </w:t>
      </w:r>
      <w:r>
        <w:rPr>
          <w:spacing w:val="-3"/>
        </w:rPr>
        <w:t>Requirements</w:t>
      </w:r>
    </w:p>
    <w:p>
      <w:pPr>
        <w:pStyle w:val="BodyText"/>
        <w:spacing w:before="5"/>
        <w:rPr>
          <w:b/>
        </w:rPr>
      </w:pPr>
    </w:p>
    <w:p>
      <w:pPr>
        <w:pStyle w:val="BodyText"/>
        <w:spacing w:line="242" w:lineRule="auto"/>
        <w:ind w:left="1191" w:right="154"/>
      </w:pPr>
      <w:r>
        <w:rPr/>
        <w:t>For all PCC </w:t>
      </w:r>
      <w:r>
        <w:rPr>
          <w:spacing w:val="-3"/>
        </w:rPr>
        <w:t>Plan Members, Hospitals must notify </w:t>
      </w:r>
      <w:r>
        <w:rPr/>
        <w:t>the </w:t>
      </w:r>
      <w:r>
        <w:rPr>
          <w:spacing w:val="-3"/>
        </w:rPr>
        <w:t>Member’s </w:t>
      </w:r>
      <w:r>
        <w:rPr/>
        <w:t>PCC </w:t>
      </w:r>
      <w:r>
        <w:rPr>
          <w:spacing w:val="-3"/>
        </w:rPr>
        <w:t>within </w:t>
      </w:r>
      <w:r>
        <w:rPr/>
        <w:t>48 </w:t>
      </w:r>
      <w:r>
        <w:rPr>
          <w:spacing w:val="-3"/>
        </w:rPr>
        <w:t>hours after providing Emergency Department services. </w:t>
      </w:r>
      <w:r>
        <w:rPr/>
        <w:t>The </w:t>
      </w:r>
      <w:r>
        <w:rPr>
          <w:spacing w:val="-3"/>
        </w:rPr>
        <w:t>Hospital must also notify the Member’s </w:t>
      </w:r>
      <w:r>
        <w:rPr/>
        <w:t>PCC </w:t>
      </w:r>
      <w:r>
        <w:rPr>
          <w:spacing w:val="-3"/>
        </w:rPr>
        <w:t>within </w:t>
      </w:r>
      <w:r>
        <w:rPr/>
        <w:t>48 </w:t>
      </w:r>
      <w:r>
        <w:rPr>
          <w:spacing w:val="-3"/>
        </w:rPr>
        <w:t>hours </w:t>
      </w:r>
      <w:r>
        <w:rPr/>
        <w:t>of the </w:t>
      </w:r>
      <w:r>
        <w:rPr>
          <w:spacing w:val="-3"/>
        </w:rPr>
        <w:t>Member’s discharge from </w:t>
      </w:r>
      <w:r>
        <w:rPr/>
        <w:t>an </w:t>
      </w:r>
      <w:r>
        <w:rPr>
          <w:spacing w:val="-3"/>
        </w:rPr>
        <w:t>Inpatient Admission. EOHHS reserves </w:t>
      </w:r>
      <w:r>
        <w:rPr/>
        <w:t>the </w:t>
      </w:r>
      <w:r>
        <w:rPr>
          <w:spacing w:val="-3"/>
        </w:rPr>
        <w:t>right </w:t>
      </w:r>
      <w:r>
        <w:rPr/>
        <w:t>to </w:t>
      </w:r>
      <w:r>
        <w:rPr>
          <w:spacing w:val="-3"/>
        </w:rPr>
        <w:t>specify </w:t>
      </w:r>
      <w:r>
        <w:rPr/>
        <w:t>the </w:t>
      </w:r>
      <w:r>
        <w:rPr>
          <w:spacing w:val="-3"/>
        </w:rPr>
        <w:t>form </w:t>
      </w:r>
      <w:r>
        <w:rPr/>
        <w:t>and </w:t>
      </w:r>
      <w:r>
        <w:rPr>
          <w:spacing w:val="-3"/>
        </w:rPr>
        <w:t>format </w:t>
      </w:r>
      <w:r>
        <w:rPr/>
        <w:t>for </w:t>
      </w:r>
      <w:r>
        <w:rPr>
          <w:spacing w:val="-3"/>
        </w:rPr>
        <w:t>such notification. Said notice shall include, </w:t>
      </w:r>
      <w:r>
        <w:rPr/>
        <w:t>at a </w:t>
      </w:r>
      <w:r>
        <w:rPr>
          <w:spacing w:val="-4"/>
        </w:rPr>
        <w:t>minimum, </w:t>
      </w:r>
      <w:r>
        <w:rPr/>
        <w:t>the </w:t>
      </w:r>
      <w:r>
        <w:rPr>
          <w:spacing w:val="-3"/>
        </w:rPr>
        <w:t>Hospital discharge instructions that </w:t>
      </w:r>
      <w:r>
        <w:rPr/>
        <w:t>are </w:t>
      </w:r>
      <w:r>
        <w:rPr>
          <w:spacing w:val="-3"/>
        </w:rPr>
        <w:t>provided </w:t>
      </w:r>
      <w:r>
        <w:rPr/>
        <w:t>to the </w:t>
      </w:r>
      <w:r>
        <w:rPr>
          <w:spacing w:val="-3"/>
        </w:rPr>
        <w:t>patient, which includes </w:t>
      </w:r>
      <w:r>
        <w:rPr/>
        <w:t>the </w:t>
      </w:r>
      <w:r>
        <w:rPr>
          <w:spacing w:val="-3"/>
        </w:rPr>
        <w:t>Member’s diagnosis, treatment, and discharge instructions.</w:t>
      </w:r>
    </w:p>
    <w:p>
      <w:pPr>
        <w:spacing w:after="0" w:line="242" w:lineRule="auto"/>
        <w:sectPr>
          <w:pgSz w:w="12240" w:h="15840"/>
          <w:pgMar w:header="0" w:footer="744" w:top="1380" w:bottom="940" w:left="1580" w:right="980"/>
        </w:sectPr>
      </w:pPr>
    </w:p>
    <w:p>
      <w:pPr>
        <w:pStyle w:val="Heading3"/>
        <w:numPr>
          <w:ilvl w:val="1"/>
          <w:numId w:val="8"/>
        </w:numPr>
        <w:tabs>
          <w:tab w:pos="666" w:val="left" w:leader="none"/>
          <w:tab w:pos="667" w:val="left" w:leader="none"/>
        </w:tabs>
        <w:spacing w:line="240" w:lineRule="auto" w:before="65" w:after="0"/>
        <w:ind w:left="666" w:right="0" w:hanging="547"/>
        <w:jc w:val="left"/>
      </w:pPr>
      <w:r>
        <w:rPr>
          <w:spacing w:val="-3"/>
        </w:rPr>
        <w:t>Physician</w:t>
      </w:r>
      <w:r>
        <w:rPr>
          <w:spacing w:val="-2"/>
        </w:rPr>
        <w:t> </w:t>
      </w:r>
      <w:r>
        <w:rPr>
          <w:spacing w:val="-3"/>
        </w:rPr>
        <w:t>Payments</w:t>
      </w:r>
    </w:p>
    <w:p>
      <w:pPr>
        <w:pStyle w:val="BodyText"/>
        <w:spacing w:before="9"/>
        <w:rPr>
          <w:b/>
        </w:rPr>
      </w:pPr>
    </w:p>
    <w:p>
      <w:pPr>
        <w:pStyle w:val="ListParagraph"/>
        <w:numPr>
          <w:ilvl w:val="2"/>
          <w:numId w:val="8"/>
        </w:numPr>
        <w:tabs>
          <w:tab w:pos="1191" w:val="left" w:leader="none"/>
          <w:tab w:pos="1192" w:val="left" w:leader="none"/>
        </w:tabs>
        <w:spacing w:line="242" w:lineRule="auto" w:before="0" w:after="0"/>
        <w:ind w:left="1192" w:right="108" w:hanging="540"/>
        <w:jc w:val="left"/>
        <w:rPr>
          <w:sz w:val="24"/>
        </w:rPr>
      </w:pPr>
      <w:r>
        <w:rPr>
          <w:sz w:val="24"/>
        </w:rPr>
        <w:t>A </w:t>
      </w:r>
      <w:r>
        <w:rPr>
          <w:spacing w:val="-3"/>
          <w:sz w:val="24"/>
        </w:rPr>
        <w:t>Hospital may only receive </w:t>
      </w:r>
      <w:r>
        <w:rPr>
          <w:spacing w:val="-4"/>
          <w:sz w:val="24"/>
        </w:rPr>
        <w:t>reimbursement </w:t>
      </w:r>
      <w:r>
        <w:rPr>
          <w:sz w:val="24"/>
        </w:rPr>
        <w:t>for </w:t>
      </w:r>
      <w:r>
        <w:rPr>
          <w:spacing w:val="-3"/>
          <w:sz w:val="24"/>
        </w:rPr>
        <w:t>physician services provided </w:t>
      </w:r>
      <w:r>
        <w:rPr>
          <w:sz w:val="24"/>
        </w:rPr>
        <w:t>by </w:t>
      </w:r>
      <w:r>
        <w:rPr>
          <w:spacing w:val="-3"/>
          <w:sz w:val="24"/>
        </w:rPr>
        <w:t>Hospital- Based Physicians </w:t>
      </w:r>
      <w:r>
        <w:rPr>
          <w:sz w:val="24"/>
        </w:rPr>
        <w:t>to </w:t>
      </w:r>
      <w:r>
        <w:rPr>
          <w:spacing w:val="-3"/>
          <w:sz w:val="24"/>
        </w:rPr>
        <w:t>MassHealth Members. </w:t>
      </w:r>
      <w:r>
        <w:rPr>
          <w:sz w:val="24"/>
        </w:rPr>
        <w:t>The </w:t>
      </w:r>
      <w:r>
        <w:rPr>
          <w:spacing w:val="-3"/>
          <w:sz w:val="24"/>
        </w:rPr>
        <w:t>Hospital must claim payment for the professional component </w:t>
      </w:r>
      <w:r>
        <w:rPr>
          <w:sz w:val="24"/>
        </w:rPr>
        <w:t>of </w:t>
      </w:r>
      <w:r>
        <w:rPr>
          <w:spacing w:val="-3"/>
          <w:sz w:val="24"/>
        </w:rPr>
        <w:t>physician services </w:t>
      </w:r>
      <w:r>
        <w:rPr>
          <w:sz w:val="24"/>
        </w:rPr>
        <w:t>in </w:t>
      </w:r>
      <w:r>
        <w:rPr>
          <w:spacing w:val="-3"/>
          <w:sz w:val="24"/>
        </w:rPr>
        <w:t>accordance with, </w:t>
      </w:r>
      <w:r>
        <w:rPr>
          <w:sz w:val="24"/>
        </w:rPr>
        <w:t>and </w:t>
      </w:r>
      <w:r>
        <w:rPr>
          <w:spacing w:val="-3"/>
          <w:sz w:val="24"/>
        </w:rPr>
        <w:t>subject </w:t>
      </w:r>
      <w:r>
        <w:rPr>
          <w:sz w:val="24"/>
        </w:rPr>
        <w:t>to: (1) </w:t>
      </w:r>
      <w:r>
        <w:rPr>
          <w:spacing w:val="-3"/>
          <w:sz w:val="24"/>
        </w:rPr>
        <w:t>the Physician regulations </w:t>
      </w:r>
      <w:r>
        <w:rPr>
          <w:sz w:val="24"/>
        </w:rPr>
        <w:t>at 130 CMR </w:t>
      </w:r>
      <w:r>
        <w:rPr>
          <w:spacing w:val="-3"/>
          <w:sz w:val="24"/>
        </w:rPr>
        <w:t>433.000 </w:t>
      </w:r>
      <w:r>
        <w:rPr>
          <w:sz w:val="24"/>
        </w:rPr>
        <w:t>et </w:t>
      </w:r>
      <w:r>
        <w:rPr>
          <w:spacing w:val="-3"/>
          <w:sz w:val="24"/>
        </w:rPr>
        <w:t>seq.; </w:t>
      </w:r>
      <w:r>
        <w:rPr>
          <w:sz w:val="24"/>
        </w:rPr>
        <w:t>(2) the </w:t>
      </w:r>
      <w:r>
        <w:rPr>
          <w:spacing w:val="-3"/>
          <w:sz w:val="24"/>
        </w:rPr>
        <w:t>Acute Outpatient Hospital regulations </w:t>
      </w:r>
      <w:r>
        <w:rPr>
          <w:sz w:val="24"/>
        </w:rPr>
        <w:t>at 130 CMR </w:t>
      </w:r>
      <w:r>
        <w:rPr>
          <w:spacing w:val="-3"/>
          <w:sz w:val="24"/>
        </w:rPr>
        <w:t>410.000 </w:t>
      </w:r>
      <w:r>
        <w:rPr>
          <w:sz w:val="24"/>
        </w:rPr>
        <w:t>et </w:t>
      </w:r>
      <w:r>
        <w:rPr>
          <w:spacing w:val="-3"/>
          <w:sz w:val="24"/>
        </w:rPr>
        <w:t>seq.; </w:t>
      </w:r>
      <w:r>
        <w:rPr>
          <w:sz w:val="24"/>
        </w:rPr>
        <w:t>and (3) </w:t>
      </w:r>
      <w:r>
        <w:rPr>
          <w:spacing w:val="-3"/>
          <w:sz w:val="24"/>
        </w:rPr>
        <w:t>other rules regarding physician </w:t>
      </w:r>
      <w:r>
        <w:rPr>
          <w:spacing w:val="-4"/>
          <w:sz w:val="24"/>
        </w:rPr>
        <w:t>payment </w:t>
      </w:r>
      <w:r>
        <w:rPr>
          <w:sz w:val="24"/>
        </w:rPr>
        <w:t>as set </w:t>
      </w:r>
      <w:r>
        <w:rPr>
          <w:spacing w:val="-3"/>
          <w:sz w:val="24"/>
        </w:rPr>
        <w:t>forth </w:t>
      </w:r>
      <w:r>
        <w:rPr>
          <w:sz w:val="24"/>
        </w:rPr>
        <w:t>in </w:t>
      </w:r>
      <w:r>
        <w:rPr>
          <w:spacing w:val="-3"/>
          <w:sz w:val="24"/>
        </w:rPr>
        <w:t>this</w:t>
      </w:r>
      <w:r>
        <w:rPr>
          <w:spacing w:val="-30"/>
          <w:sz w:val="24"/>
        </w:rPr>
        <w:t> </w:t>
      </w:r>
      <w:r>
        <w:rPr>
          <w:spacing w:val="-3"/>
          <w:sz w:val="24"/>
        </w:rPr>
        <w:t>RFA.</w:t>
      </w:r>
    </w:p>
    <w:p>
      <w:pPr>
        <w:pStyle w:val="BodyText"/>
        <w:spacing w:before="8"/>
      </w:pPr>
    </w:p>
    <w:p>
      <w:pPr>
        <w:pStyle w:val="ListParagraph"/>
        <w:numPr>
          <w:ilvl w:val="2"/>
          <w:numId w:val="8"/>
        </w:numPr>
        <w:tabs>
          <w:tab w:pos="1191" w:val="left" w:leader="none"/>
          <w:tab w:pos="1192" w:val="left" w:leader="none"/>
        </w:tabs>
        <w:spacing w:line="242" w:lineRule="auto" w:before="1" w:after="0"/>
        <w:ind w:left="1192" w:right="113" w:hanging="540"/>
        <w:jc w:val="left"/>
        <w:rPr>
          <w:sz w:val="24"/>
        </w:rPr>
      </w:pPr>
      <w:r>
        <w:rPr>
          <w:spacing w:val="-3"/>
          <w:sz w:val="24"/>
        </w:rPr>
        <w:t>Such </w:t>
      </w:r>
      <w:r>
        <w:rPr>
          <w:spacing w:val="-4"/>
          <w:sz w:val="24"/>
        </w:rPr>
        <w:t>reimbursement </w:t>
      </w:r>
      <w:r>
        <w:rPr>
          <w:spacing w:val="-3"/>
          <w:sz w:val="24"/>
        </w:rPr>
        <w:t>shall </w:t>
      </w:r>
      <w:r>
        <w:rPr>
          <w:sz w:val="24"/>
        </w:rPr>
        <w:t>be the </w:t>
      </w:r>
      <w:r>
        <w:rPr>
          <w:spacing w:val="-3"/>
          <w:sz w:val="24"/>
        </w:rPr>
        <w:t>lower </w:t>
      </w:r>
      <w:r>
        <w:rPr>
          <w:sz w:val="24"/>
        </w:rPr>
        <w:t>of (1) the fee </w:t>
      </w:r>
      <w:r>
        <w:rPr>
          <w:spacing w:val="-3"/>
          <w:sz w:val="24"/>
        </w:rPr>
        <w:t>established </w:t>
      </w:r>
      <w:r>
        <w:rPr>
          <w:sz w:val="24"/>
        </w:rPr>
        <w:t>in 101 CMR </w:t>
      </w:r>
      <w:r>
        <w:rPr>
          <w:spacing w:val="-3"/>
          <w:sz w:val="24"/>
        </w:rPr>
        <w:t>317.00 (Medicine), 114.3 </w:t>
      </w:r>
      <w:r>
        <w:rPr>
          <w:sz w:val="24"/>
        </w:rPr>
        <w:t>CMR </w:t>
      </w:r>
      <w:r>
        <w:rPr>
          <w:spacing w:val="-3"/>
          <w:sz w:val="24"/>
        </w:rPr>
        <w:t>16.00 (Surgery </w:t>
      </w:r>
      <w:r>
        <w:rPr>
          <w:sz w:val="24"/>
        </w:rPr>
        <w:t>and </w:t>
      </w:r>
      <w:r>
        <w:rPr>
          <w:spacing w:val="-3"/>
          <w:sz w:val="24"/>
        </w:rPr>
        <w:t>Anesthesia), 114.3 </w:t>
      </w:r>
      <w:r>
        <w:rPr>
          <w:sz w:val="24"/>
        </w:rPr>
        <w:t>CMR </w:t>
      </w:r>
      <w:r>
        <w:rPr>
          <w:spacing w:val="-3"/>
          <w:sz w:val="24"/>
        </w:rPr>
        <w:t>18.00 (Radiology) </w:t>
      </w:r>
      <w:r>
        <w:rPr>
          <w:sz w:val="24"/>
        </w:rPr>
        <w:t>and </w:t>
      </w:r>
      <w:r>
        <w:rPr>
          <w:spacing w:val="-3"/>
          <w:sz w:val="24"/>
        </w:rPr>
        <w:t>114.3 </w:t>
      </w:r>
      <w:r>
        <w:rPr>
          <w:sz w:val="24"/>
        </w:rPr>
        <w:t>CMR </w:t>
      </w:r>
      <w:r>
        <w:rPr>
          <w:spacing w:val="-3"/>
          <w:sz w:val="24"/>
        </w:rPr>
        <w:t>20.00 (Clinical Laboratory Services), </w:t>
      </w:r>
      <w:r>
        <w:rPr>
          <w:sz w:val="24"/>
        </w:rPr>
        <w:t>or </w:t>
      </w:r>
      <w:r>
        <w:rPr>
          <w:spacing w:val="-3"/>
          <w:sz w:val="24"/>
        </w:rPr>
        <w:t>successor regulations as applicable (including </w:t>
      </w:r>
      <w:r>
        <w:rPr>
          <w:sz w:val="24"/>
        </w:rPr>
        <w:t>the </w:t>
      </w:r>
      <w:r>
        <w:rPr>
          <w:spacing w:val="-3"/>
          <w:sz w:val="24"/>
        </w:rPr>
        <w:t>applicable facility fee for </w:t>
      </w:r>
      <w:r>
        <w:rPr>
          <w:sz w:val="24"/>
        </w:rPr>
        <w:t>all </w:t>
      </w:r>
      <w:r>
        <w:rPr>
          <w:spacing w:val="-3"/>
          <w:sz w:val="24"/>
        </w:rPr>
        <w:t>services where such facility fee  </w:t>
      </w:r>
      <w:r>
        <w:rPr>
          <w:sz w:val="24"/>
        </w:rPr>
        <w:t>has </w:t>
      </w:r>
      <w:r>
        <w:rPr>
          <w:spacing w:val="-3"/>
          <w:sz w:val="24"/>
        </w:rPr>
        <w:t>been established); </w:t>
      </w:r>
      <w:r>
        <w:rPr>
          <w:sz w:val="24"/>
        </w:rPr>
        <w:t>(2) the </w:t>
      </w:r>
      <w:r>
        <w:rPr>
          <w:spacing w:val="-3"/>
          <w:sz w:val="24"/>
        </w:rPr>
        <w:t>Hospital’s Usual </w:t>
      </w:r>
      <w:r>
        <w:rPr>
          <w:sz w:val="24"/>
        </w:rPr>
        <w:t>and </w:t>
      </w:r>
      <w:r>
        <w:rPr>
          <w:spacing w:val="-3"/>
          <w:sz w:val="24"/>
        </w:rPr>
        <w:t>Customary Charge </w:t>
      </w:r>
      <w:r>
        <w:rPr>
          <w:sz w:val="24"/>
        </w:rPr>
        <w:t>for </w:t>
      </w:r>
      <w:r>
        <w:rPr>
          <w:spacing w:val="-3"/>
          <w:sz w:val="24"/>
        </w:rPr>
        <w:t>physician fees; </w:t>
      </w:r>
      <w:r>
        <w:rPr>
          <w:sz w:val="24"/>
        </w:rPr>
        <w:t>or (3) the </w:t>
      </w:r>
      <w:r>
        <w:rPr>
          <w:spacing w:val="-3"/>
          <w:sz w:val="24"/>
        </w:rPr>
        <w:t>Hospital’s actual charge submitted.  Hospitals will </w:t>
      </w:r>
      <w:r>
        <w:rPr>
          <w:sz w:val="24"/>
        </w:rPr>
        <w:t>not be </w:t>
      </w:r>
      <w:r>
        <w:rPr>
          <w:spacing w:val="-4"/>
          <w:sz w:val="24"/>
        </w:rPr>
        <w:t>reimbursed </w:t>
      </w:r>
      <w:r>
        <w:rPr>
          <w:spacing w:val="-3"/>
          <w:sz w:val="24"/>
        </w:rPr>
        <w:t>separately for professional fees for practitioners other than Hospital-Based Physicians as defined </w:t>
      </w:r>
      <w:r>
        <w:rPr>
          <w:sz w:val="24"/>
        </w:rPr>
        <w:t>in </w:t>
      </w:r>
      <w:r>
        <w:rPr>
          <w:b/>
          <w:spacing w:val="-3"/>
          <w:sz w:val="24"/>
        </w:rPr>
        <w:t>Section</w:t>
      </w:r>
      <w:r>
        <w:rPr>
          <w:b/>
          <w:spacing w:val="-11"/>
          <w:sz w:val="24"/>
        </w:rPr>
        <w:t> </w:t>
      </w:r>
      <w:r>
        <w:rPr>
          <w:b/>
          <w:sz w:val="24"/>
        </w:rPr>
        <w:t>2</w:t>
      </w:r>
      <w:r>
        <w:rPr>
          <w:sz w:val="24"/>
        </w:rPr>
        <w:t>.</w:t>
      </w:r>
    </w:p>
    <w:p>
      <w:pPr>
        <w:pStyle w:val="BodyText"/>
        <w:spacing w:before="8"/>
      </w:pPr>
    </w:p>
    <w:p>
      <w:pPr>
        <w:pStyle w:val="ListParagraph"/>
        <w:numPr>
          <w:ilvl w:val="2"/>
          <w:numId w:val="8"/>
        </w:numPr>
        <w:tabs>
          <w:tab w:pos="1191" w:val="left" w:leader="none"/>
          <w:tab w:pos="1192" w:val="left" w:leader="none"/>
        </w:tabs>
        <w:spacing w:line="242" w:lineRule="auto" w:before="0" w:after="0"/>
        <w:ind w:left="1192" w:right="165" w:hanging="540"/>
        <w:jc w:val="left"/>
        <w:rPr>
          <w:sz w:val="24"/>
        </w:rPr>
      </w:pPr>
      <w:r>
        <w:rPr>
          <w:spacing w:val="-3"/>
          <w:sz w:val="24"/>
        </w:rPr>
        <w:t>Hospitals will </w:t>
      </w:r>
      <w:r>
        <w:rPr>
          <w:sz w:val="24"/>
        </w:rPr>
        <w:t>be </w:t>
      </w:r>
      <w:r>
        <w:rPr>
          <w:spacing w:val="-3"/>
          <w:sz w:val="24"/>
        </w:rPr>
        <w:t>reimbursed </w:t>
      </w:r>
      <w:r>
        <w:rPr>
          <w:sz w:val="24"/>
        </w:rPr>
        <w:t>for </w:t>
      </w:r>
      <w:r>
        <w:rPr>
          <w:spacing w:val="-3"/>
          <w:sz w:val="24"/>
        </w:rPr>
        <w:t>physician services only </w:t>
      </w:r>
      <w:r>
        <w:rPr>
          <w:sz w:val="24"/>
        </w:rPr>
        <w:t>if the </w:t>
      </w:r>
      <w:r>
        <w:rPr>
          <w:spacing w:val="-3"/>
          <w:sz w:val="24"/>
        </w:rPr>
        <w:t>Hospital-Based Physician took </w:t>
      </w:r>
      <w:r>
        <w:rPr>
          <w:sz w:val="24"/>
        </w:rPr>
        <w:t>an </w:t>
      </w:r>
      <w:r>
        <w:rPr>
          <w:spacing w:val="-3"/>
          <w:sz w:val="24"/>
        </w:rPr>
        <w:t>active patient care role, </w:t>
      </w:r>
      <w:r>
        <w:rPr>
          <w:sz w:val="24"/>
        </w:rPr>
        <w:t>as </w:t>
      </w:r>
      <w:r>
        <w:rPr>
          <w:spacing w:val="-3"/>
          <w:sz w:val="24"/>
        </w:rPr>
        <w:t>opposed </w:t>
      </w:r>
      <w:r>
        <w:rPr>
          <w:sz w:val="24"/>
        </w:rPr>
        <w:t>to a </w:t>
      </w:r>
      <w:r>
        <w:rPr>
          <w:spacing w:val="-3"/>
          <w:sz w:val="24"/>
        </w:rPr>
        <w:t>supervisory role, </w:t>
      </w:r>
      <w:r>
        <w:rPr>
          <w:sz w:val="24"/>
        </w:rPr>
        <w:t>in </w:t>
      </w:r>
      <w:r>
        <w:rPr>
          <w:spacing w:val="-3"/>
          <w:sz w:val="24"/>
        </w:rPr>
        <w:t>providing the Outpatient Service(s) </w:t>
      </w:r>
      <w:r>
        <w:rPr>
          <w:sz w:val="24"/>
        </w:rPr>
        <w:t>on the </w:t>
      </w:r>
      <w:r>
        <w:rPr>
          <w:spacing w:val="-3"/>
          <w:sz w:val="24"/>
        </w:rPr>
        <w:t>billed date(s) </w:t>
      </w:r>
      <w:r>
        <w:rPr>
          <w:sz w:val="24"/>
        </w:rPr>
        <w:t>of </w:t>
      </w:r>
      <w:r>
        <w:rPr>
          <w:spacing w:val="-3"/>
          <w:sz w:val="24"/>
        </w:rPr>
        <w:t>service. </w:t>
      </w:r>
      <w:r>
        <w:rPr>
          <w:sz w:val="24"/>
        </w:rPr>
        <w:t>The </w:t>
      </w:r>
      <w:r>
        <w:rPr>
          <w:spacing w:val="-3"/>
          <w:sz w:val="24"/>
        </w:rPr>
        <w:t>Hospital-Based Physician may </w:t>
      </w:r>
      <w:r>
        <w:rPr>
          <w:sz w:val="24"/>
        </w:rPr>
        <w:t>not</w:t>
      </w:r>
      <w:r>
        <w:rPr>
          <w:spacing w:val="-7"/>
          <w:sz w:val="24"/>
        </w:rPr>
        <w:t> </w:t>
      </w:r>
      <w:r>
        <w:rPr>
          <w:spacing w:val="-3"/>
          <w:sz w:val="24"/>
        </w:rPr>
        <w:t>bill</w:t>
      </w:r>
      <w:r>
        <w:rPr>
          <w:spacing w:val="-7"/>
          <w:sz w:val="24"/>
        </w:rPr>
        <w:t> </w:t>
      </w:r>
      <w:r>
        <w:rPr>
          <w:sz w:val="24"/>
        </w:rPr>
        <w:t>for</w:t>
      </w:r>
      <w:r>
        <w:rPr>
          <w:spacing w:val="-7"/>
          <w:sz w:val="24"/>
        </w:rPr>
        <w:t> </w:t>
      </w:r>
      <w:r>
        <w:rPr>
          <w:sz w:val="24"/>
        </w:rPr>
        <w:t>any</w:t>
      </w:r>
      <w:r>
        <w:rPr>
          <w:spacing w:val="-7"/>
          <w:sz w:val="24"/>
        </w:rPr>
        <w:t> </w:t>
      </w:r>
      <w:r>
        <w:rPr>
          <w:spacing w:val="-3"/>
          <w:sz w:val="24"/>
        </w:rPr>
        <w:t>professional</w:t>
      </w:r>
      <w:r>
        <w:rPr>
          <w:spacing w:val="-7"/>
          <w:sz w:val="24"/>
        </w:rPr>
        <w:t> </w:t>
      </w:r>
      <w:r>
        <w:rPr>
          <w:spacing w:val="-3"/>
          <w:sz w:val="24"/>
        </w:rPr>
        <w:t>component</w:t>
      </w:r>
      <w:r>
        <w:rPr>
          <w:spacing w:val="-7"/>
          <w:sz w:val="24"/>
        </w:rPr>
        <w:t> </w:t>
      </w:r>
      <w:r>
        <w:rPr>
          <w:sz w:val="24"/>
        </w:rPr>
        <w:t>of</w:t>
      </w:r>
      <w:r>
        <w:rPr>
          <w:spacing w:val="-7"/>
          <w:sz w:val="24"/>
        </w:rPr>
        <w:t> </w:t>
      </w:r>
      <w:r>
        <w:rPr>
          <w:sz w:val="24"/>
        </w:rPr>
        <w:t>the</w:t>
      </w:r>
      <w:r>
        <w:rPr>
          <w:spacing w:val="-7"/>
          <w:sz w:val="24"/>
        </w:rPr>
        <w:t> </w:t>
      </w:r>
      <w:r>
        <w:rPr>
          <w:spacing w:val="-3"/>
          <w:sz w:val="24"/>
        </w:rPr>
        <w:t>service</w:t>
      </w:r>
      <w:r>
        <w:rPr>
          <w:spacing w:val="-7"/>
          <w:sz w:val="24"/>
        </w:rPr>
        <w:t> </w:t>
      </w:r>
      <w:r>
        <w:rPr>
          <w:spacing w:val="-3"/>
          <w:sz w:val="24"/>
        </w:rPr>
        <w:t>that</w:t>
      </w:r>
      <w:r>
        <w:rPr>
          <w:spacing w:val="-7"/>
          <w:sz w:val="24"/>
        </w:rPr>
        <w:t> </w:t>
      </w:r>
      <w:r>
        <w:rPr>
          <w:sz w:val="24"/>
        </w:rPr>
        <w:t>is</w:t>
      </w:r>
      <w:r>
        <w:rPr>
          <w:spacing w:val="-7"/>
          <w:sz w:val="24"/>
        </w:rPr>
        <w:t> </w:t>
      </w:r>
      <w:r>
        <w:rPr>
          <w:spacing w:val="-3"/>
          <w:sz w:val="24"/>
        </w:rPr>
        <w:t>billed</w:t>
      </w:r>
      <w:r>
        <w:rPr>
          <w:spacing w:val="-7"/>
          <w:sz w:val="24"/>
        </w:rPr>
        <w:t> </w:t>
      </w:r>
      <w:r>
        <w:rPr>
          <w:sz w:val="24"/>
        </w:rPr>
        <w:t>by</w:t>
      </w:r>
      <w:r>
        <w:rPr>
          <w:spacing w:val="-7"/>
          <w:sz w:val="24"/>
        </w:rPr>
        <w:t> </w:t>
      </w:r>
      <w:r>
        <w:rPr>
          <w:sz w:val="24"/>
        </w:rPr>
        <w:t>the</w:t>
      </w:r>
      <w:r>
        <w:rPr>
          <w:spacing w:val="-7"/>
          <w:sz w:val="24"/>
        </w:rPr>
        <w:t> </w:t>
      </w:r>
      <w:r>
        <w:rPr>
          <w:spacing w:val="-3"/>
          <w:sz w:val="24"/>
        </w:rPr>
        <w:t>Hospital.</w:t>
      </w:r>
    </w:p>
    <w:p>
      <w:pPr>
        <w:pStyle w:val="BodyText"/>
        <w:spacing w:before="9"/>
      </w:pPr>
    </w:p>
    <w:p>
      <w:pPr>
        <w:pStyle w:val="ListParagraph"/>
        <w:numPr>
          <w:ilvl w:val="2"/>
          <w:numId w:val="8"/>
        </w:numPr>
        <w:tabs>
          <w:tab w:pos="1191" w:val="left" w:leader="none"/>
          <w:tab w:pos="1192" w:val="left" w:leader="none"/>
        </w:tabs>
        <w:spacing w:line="240" w:lineRule="auto" w:before="0" w:after="0"/>
        <w:ind w:left="1192" w:right="0" w:hanging="540"/>
        <w:jc w:val="left"/>
        <w:rPr>
          <w:sz w:val="24"/>
        </w:rPr>
      </w:pPr>
      <w:r>
        <w:rPr>
          <w:spacing w:val="-3"/>
          <w:sz w:val="24"/>
        </w:rPr>
        <w:t>Physician Services provided </w:t>
      </w:r>
      <w:r>
        <w:rPr>
          <w:sz w:val="24"/>
        </w:rPr>
        <w:t>by </w:t>
      </w:r>
      <w:r>
        <w:rPr>
          <w:spacing w:val="-3"/>
          <w:sz w:val="24"/>
        </w:rPr>
        <w:t>residents </w:t>
      </w:r>
      <w:r>
        <w:rPr>
          <w:sz w:val="24"/>
        </w:rPr>
        <w:t>and </w:t>
      </w:r>
      <w:r>
        <w:rPr>
          <w:spacing w:val="-3"/>
          <w:sz w:val="24"/>
        </w:rPr>
        <w:t>interns </w:t>
      </w:r>
      <w:r>
        <w:rPr>
          <w:sz w:val="24"/>
        </w:rPr>
        <w:t>are not </w:t>
      </w:r>
      <w:r>
        <w:rPr>
          <w:spacing w:val="-3"/>
          <w:sz w:val="24"/>
        </w:rPr>
        <w:t>separately</w:t>
      </w:r>
      <w:r>
        <w:rPr>
          <w:spacing w:val="-27"/>
          <w:sz w:val="24"/>
        </w:rPr>
        <w:t> </w:t>
      </w:r>
      <w:r>
        <w:rPr>
          <w:spacing w:val="-4"/>
          <w:sz w:val="24"/>
        </w:rPr>
        <w:t>reimbursable.</w:t>
      </w:r>
    </w:p>
    <w:p>
      <w:pPr>
        <w:pStyle w:val="BodyText"/>
        <w:rPr>
          <w:sz w:val="25"/>
        </w:rPr>
      </w:pPr>
    </w:p>
    <w:p>
      <w:pPr>
        <w:pStyle w:val="ListParagraph"/>
        <w:numPr>
          <w:ilvl w:val="2"/>
          <w:numId w:val="8"/>
        </w:numPr>
        <w:tabs>
          <w:tab w:pos="1191" w:val="left" w:leader="none"/>
          <w:tab w:pos="1192" w:val="left" w:leader="none"/>
        </w:tabs>
        <w:spacing w:line="247" w:lineRule="auto" w:before="0" w:after="0"/>
        <w:ind w:left="1192" w:right="191" w:hanging="540"/>
        <w:jc w:val="left"/>
        <w:rPr>
          <w:sz w:val="24"/>
        </w:rPr>
      </w:pPr>
      <w:r>
        <w:rPr>
          <w:spacing w:val="-3"/>
          <w:sz w:val="24"/>
        </w:rPr>
        <w:t>Hospitals will </w:t>
      </w:r>
      <w:r>
        <w:rPr>
          <w:sz w:val="24"/>
        </w:rPr>
        <w:t>not be </w:t>
      </w:r>
      <w:r>
        <w:rPr>
          <w:spacing w:val="-3"/>
          <w:sz w:val="24"/>
        </w:rPr>
        <w:t>reimbursed </w:t>
      </w:r>
      <w:r>
        <w:rPr>
          <w:sz w:val="24"/>
        </w:rPr>
        <w:t>for </w:t>
      </w:r>
      <w:r>
        <w:rPr>
          <w:spacing w:val="-3"/>
          <w:sz w:val="24"/>
        </w:rPr>
        <w:t>physician services </w:t>
      </w:r>
      <w:r>
        <w:rPr>
          <w:sz w:val="24"/>
        </w:rPr>
        <w:t>if </w:t>
      </w:r>
      <w:r>
        <w:rPr>
          <w:spacing w:val="-3"/>
          <w:sz w:val="24"/>
        </w:rPr>
        <w:t>those services </w:t>
      </w:r>
      <w:r>
        <w:rPr>
          <w:sz w:val="24"/>
        </w:rPr>
        <w:t>are (1) </w:t>
      </w:r>
      <w:r>
        <w:rPr>
          <w:spacing w:val="-3"/>
          <w:sz w:val="24"/>
        </w:rPr>
        <w:t>provided </w:t>
      </w:r>
      <w:r>
        <w:rPr>
          <w:sz w:val="24"/>
        </w:rPr>
        <w:t>by a </w:t>
      </w:r>
      <w:r>
        <w:rPr>
          <w:spacing w:val="-4"/>
          <w:sz w:val="24"/>
        </w:rPr>
        <w:t>Community-Based </w:t>
      </w:r>
      <w:r>
        <w:rPr>
          <w:spacing w:val="-3"/>
          <w:sz w:val="24"/>
        </w:rPr>
        <w:t>Physician; </w:t>
      </w:r>
      <w:r>
        <w:rPr>
          <w:sz w:val="24"/>
        </w:rPr>
        <w:t>or (2) as </w:t>
      </w:r>
      <w:r>
        <w:rPr>
          <w:spacing w:val="-3"/>
          <w:sz w:val="24"/>
        </w:rPr>
        <w:t>further described </w:t>
      </w:r>
      <w:r>
        <w:rPr>
          <w:sz w:val="24"/>
        </w:rPr>
        <w:t>in </w:t>
      </w:r>
      <w:r>
        <w:rPr>
          <w:b/>
          <w:spacing w:val="-3"/>
          <w:sz w:val="24"/>
        </w:rPr>
        <w:t>Section</w:t>
      </w:r>
      <w:r>
        <w:rPr>
          <w:b/>
          <w:spacing w:val="-32"/>
          <w:sz w:val="24"/>
        </w:rPr>
        <w:t> </w:t>
      </w:r>
      <w:r>
        <w:rPr>
          <w:b/>
          <w:spacing w:val="-3"/>
          <w:sz w:val="24"/>
        </w:rPr>
        <w:t>5.C</w:t>
      </w:r>
      <w:r>
        <w:rPr>
          <w:spacing w:val="-3"/>
          <w:sz w:val="24"/>
        </w:rPr>
        <w:t>.</w:t>
      </w:r>
    </w:p>
    <w:p>
      <w:pPr>
        <w:pStyle w:val="BodyText"/>
        <w:spacing w:before="3"/>
      </w:pPr>
    </w:p>
    <w:p>
      <w:pPr>
        <w:pStyle w:val="ListParagraph"/>
        <w:numPr>
          <w:ilvl w:val="2"/>
          <w:numId w:val="8"/>
        </w:numPr>
        <w:tabs>
          <w:tab w:pos="1191" w:val="left" w:leader="none"/>
          <w:tab w:pos="1192" w:val="left" w:leader="none"/>
        </w:tabs>
        <w:spacing w:line="242" w:lineRule="auto" w:before="0" w:after="0"/>
        <w:ind w:left="1192" w:right="129" w:hanging="540"/>
        <w:jc w:val="left"/>
        <w:rPr>
          <w:sz w:val="24"/>
        </w:rPr>
      </w:pPr>
      <w:r>
        <w:rPr>
          <w:sz w:val="24"/>
        </w:rPr>
        <w:t>In </w:t>
      </w:r>
      <w:r>
        <w:rPr>
          <w:spacing w:val="-3"/>
          <w:sz w:val="24"/>
        </w:rPr>
        <w:t>order </w:t>
      </w:r>
      <w:r>
        <w:rPr>
          <w:sz w:val="24"/>
        </w:rPr>
        <w:t>to </w:t>
      </w:r>
      <w:r>
        <w:rPr>
          <w:spacing w:val="-3"/>
          <w:sz w:val="24"/>
        </w:rPr>
        <w:t>qualify </w:t>
      </w:r>
      <w:r>
        <w:rPr>
          <w:sz w:val="24"/>
        </w:rPr>
        <w:t>for </w:t>
      </w:r>
      <w:r>
        <w:rPr>
          <w:spacing w:val="-4"/>
          <w:sz w:val="24"/>
        </w:rPr>
        <w:t>reimbursement </w:t>
      </w:r>
      <w:r>
        <w:rPr>
          <w:sz w:val="24"/>
        </w:rPr>
        <w:t>for </w:t>
      </w:r>
      <w:r>
        <w:rPr>
          <w:spacing w:val="-3"/>
          <w:sz w:val="24"/>
        </w:rPr>
        <w:t>physician services provided during the provision </w:t>
      </w:r>
      <w:r>
        <w:rPr>
          <w:sz w:val="24"/>
        </w:rPr>
        <w:t>of </w:t>
      </w:r>
      <w:r>
        <w:rPr>
          <w:spacing w:val="-3"/>
          <w:sz w:val="24"/>
        </w:rPr>
        <w:t>Observation Services, </w:t>
      </w:r>
      <w:r>
        <w:rPr>
          <w:sz w:val="24"/>
        </w:rPr>
        <w:t>the </w:t>
      </w:r>
      <w:r>
        <w:rPr>
          <w:spacing w:val="-3"/>
          <w:sz w:val="24"/>
        </w:rPr>
        <w:t>reasons </w:t>
      </w:r>
      <w:r>
        <w:rPr>
          <w:sz w:val="24"/>
        </w:rPr>
        <w:t>for the </w:t>
      </w:r>
      <w:r>
        <w:rPr>
          <w:spacing w:val="-3"/>
          <w:sz w:val="24"/>
        </w:rPr>
        <w:t>Observation Services, </w:t>
      </w:r>
      <w:r>
        <w:rPr>
          <w:sz w:val="24"/>
        </w:rPr>
        <w:t>the </w:t>
      </w:r>
      <w:r>
        <w:rPr>
          <w:spacing w:val="-3"/>
          <w:sz w:val="24"/>
        </w:rPr>
        <w:t>start and stop time </w:t>
      </w:r>
      <w:r>
        <w:rPr>
          <w:sz w:val="24"/>
        </w:rPr>
        <w:t>of the </w:t>
      </w:r>
      <w:r>
        <w:rPr>
          <w:spacing w:val="-3"/>
          <w:sz w:val="24"/>
        </w:rPr>
        <w:t>Observation Services, </w:t>
      </w:r>
      <w:r>
        <w:rPr>
          <w:sz w:val="24"/>
        </w:rPr>
        <w:t>and the </w:t>
      </w:r>
      <w:r>
        <w:rPr>
          <w:spacing w:val="-3"/>
          <w:sz w:val="24"/>
        </w:rPr>
        <w:t>name </w:t>
      </w:r>
      <w:r>
        <w:rPr>
          <w:sz w:val="24"/>
        </w:rPr>
        <w:t>of the </w:t>
      </w:r>
      <w:r>
        <w:rPr>
          <w:spacing w:val="-3"/>
          <w:sz w:val="24"/>
        </w:rPr>
        <w:t>physician ordering the Observation Services, must </w:t>
      </w:r>
      <w:r>
        <w:rPr>
          <w:sz w:val="24"/>
        </w:rPr>
        <w:t>be </w:t>
      </w:r>
      <w:r>
        <w:rPr>
          <w:spacing w:val="-3"/>
          <w:sz w:val="24"/>
        </w:rPr>
        <w:t>documented </w:t>
      </w:r>
      <w:r>
        <w:rPr>
          <w:sz w:val="24"/>
        </w:rPr>
        <w:t>in the </w:t>
      </w:r>
      <w:r>
        <w:rPr>
          <w:spacing w:val="-3"/>
          <w:sz w:val="24"/>
        </w:rPr>
        <w:t>Member’s medical</w:t>
      </w:r>
      <w:r>
        <w:rPr>
          <w:spacing w:val="-32"/>
          <w:sz w:val="24"/>
        </w:rPr>
        <w:t> </w:t>
      </w:r>
      <w:r>
        <w:rPr>
          <w:spacing w:val="-3"/>
          <w:sz w:val="24"/>
        </w:rPr>
        <w:t>record.</w:t>
      </w:r>
    </w:p>
    <w:p>
      <w:pPr>
        <w:pStyle w:val="BodyText"/>
        <w:spacing w:before="3"/>
      </w:pPr>
    </w:p>
    <w:p>
      <w:pPr>
        <w:pStyle w:val="BodyText"/>
        <w:spacing w:line="242" w:lineRule="auto" w:before="1"/>
        <w:ind w:left="651" w:right="188"/>
      </w:pPr>
      <w:r>
        <w:rPr>
          <w:spacing w:val="-3"/>
        </w:rPr>
        <w:t>Physician </w:t>
      </w:r>
      <w:r>
        <w:rPr/>
        <w:t>fee </w:t>
      </w:r>
      <w:r>
        <w:rPr>
          <w:spacing w:val="-3"/>
        </w:rPr>
        <w:t>schedules </w:t>
      </w:r>
      <w:r>
        <w:rPr/>
        <w:t>are </w:t>
      </w:r>
      <w:r>
        <w:rPr>
          <w:spacing w:val="-3"/>
        </w:rPr>
        <w:t>available </w:t>
      </w:r>
      <w:r>
        <w:rPr/>
        <w:t>at the </w:t>
      </w:r>
      <w:r>
        <w:rPr>
          <w:spacing w:val="-3"/>
        </w:rPr>
        <w:t>State House Bookstore </w:t>
      </w:r>
      <w:r>
        <w:rPr/>
        <w:t>and </w:t>
      </w:r>
      <w:r>
        <w:rPr>
          <w:spacing w:val="-3"/>
        </w:rPr>
        <w:t>at </w:t>
      </w:r>
      <w:hyperlink r:id="rId15">
        <w:r>
          <w:rPr>
            <w:color w:val="0000FF"/>
            <w:spacing w:val="-4"/>
            <w:u w:val="single" w:color="0000FF"/>
          </w:rPr>
          <w:t>http://www.mass.gov/eohhs/gov/laws-regs/hhs/community-health-care-providers-ambulatory-</w:t>
        </w:r>
      </w:hyperlink>
      <w:r>
        <w:rPr>
          <w:color w:val="0000FF"/>
          <w:spacing w:val="-4"/>
        </w:rPr>
        <w:t> </w:t>
      </w:r>
      <w:r>
        <w:rPr>
          <w:color w:val="0000FF"/>
          <w:spacing w:val="-3"/>
          <w:u w:val="single" w:color="0000FF"/>
        </w:rPr>
        <w:t>care.html</w:t>
      </w:r>
      <w:r>
        <w:rPr>
          <w:spacing w:val="-3"/>
        </w:rPr>
        <w:t>.</w:t>
      </w:r>
    </w:p>
    <w:p>
      <w:pPr>
        <w:pStyle w:val="BodyText"/>
        <w:spacing w:before="10"/>
        <w:rPr>
          <w:sz w:val="16"/>
        </w:rPr>
      </w:pPr>
    </w:p>
    <w:p>
      <w:pPr>
        <w:pStyle w:val="Heading3"/>
        <w:numPr>
          <w:ilvl w:val="1"/>
          <w:numId w:val="8"/>
        </w:numPr>
        <w:tabs>
          <w:tab w:pos="666" w:val="left" w:leader="none"/>
          <w:tab w:pos="667" w:val="left" w:leader="none"/>
        </w:tabs>
        <w:spacing w:line="240" w:lineRule="auto" w:before="90" w:after="0"/>
        <w:ind w:left="666" w:right="0" w:hanging="547"/>
        <w:jc w:val="left"/>
      </w:pPr>
      <w:r>
        <w:rPr>
          <w:spacing w:val="-3"/>
        </w:rPr>
        <w:t>Laboratory</w:t>
      </w:r>
      <w:r>
        <w:rPr>
          <w:spacing w:val="-2"/>
        </w:rPr>
        <w:t> </w:t>
      </w:r>
      <w:r>
        <w:rPr>
          <w:spacing w:val="-3"/>
        </w:rPr>
        <w:t>Services</w:t>
      </w:r>
    </w:p>
    <w:p>
      <w:pPr>
        <w:pStyle w:val="BodyText"/>
        <w:spacing w:before="9"/>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w:t>
      </w:r>
      <w:r>
        <w:rPr>
          <w:b/>
          <w:sz w:val="24"/>
        </w:rPr>
        <w:t>for </w:t>
      </w:r>
      <w:r>
        <w:rPr>
          <w:b/>
          <w:spacing w:val="-3"/>
          <w:sz w:val="24"/>
        </w:rPr>
        <w:t>Laboratory</w:t>
      </w:r>
      <w:r>
        <w:rPr>
          <w:b/>
          <w:spacing w:val="-12"/>
          <w:sz w:val="24"/>
        </w:rPr>
        <w:t> </w:t>
      </w:r>
      <w:r>
        <w:rPr>
          <w:b/>
          <w:spacing w:val="-3"/>
          <w:sz w:val="24"/>
        </w:rPr>
        <w:t>Services</w:t>
      </w:r>
    </w:p>
    <w:p>
      <w:pPr>
        <w:pStyle w:val="BodyText"/>
        <w:spacing w:before="4"/>
        <w:rPr>
          <w:b/>
        </w:rPr>
      </w:pPr>
    </w:p>
    <w:p>
      <w:pPr>
        <w:pStyle w:val="BodyText"/>
        <w:spacing w:line="242" w:lineRule="auto"/>
        <w:ind w:left="1191" w:right="112"/>
      </w:pPr>
      <w:r>
        <w:rPr>
          <w:spacing w:val="-3"/>
        </w:rPr>
        <w:t>Hospitals will </w:t>
      </w:r>
      <w:r>
        <w:rPr/>
        <w:t>be </w:t>
      </w:r>
      <w:r>
        <w:rPr>
          <w:spacing w:val="-3"/>
        </w:rPr>
        <w:t>reimbursed for laboratory services according </w:t>
      </w:r>
      <w:r>
        <w:rPr/>
        <w:t>to the </w:t>
      </w:r>
      <w:r>
        <w:rPr>
          <w:spacing w:val="-3"/>
        </w:rPr>
        <w:t>Outpatient Hospital regulations </w:t>
      </w:r>
      <w:r>
        <w:rPr/>
        <w:t>at 130 CMR </w:t>
      </w:r>
      <w:r>
        <w:rPr>
          <w:spacing w:val="-3"/>
        </w:rPr>
        <w:t>410.455 through 410.459, subject </w:t>
      </w:r>
      <w:r>
        <w:rPr/>
        <w:t>to all </w:t>
      </w:r>
      <w:r>
        <w:rPr>
          <w:spacing w:val="-3"/>
        </w:rPr>
        <w:t>restrictions and limitations described </w:t>
      </w:r>
      <w:r>
        <w:rPr/>
        <w:t>in </w:t>
      </w:r>
      <w:r>
        <w:rPr>
          <w:spacing w:val="-3"/>
        </w:rPr>
        <w:t>regulations </w:t>
      </w:r>
      <w:r>
        <w:rPr/>
        <w:t>at 130 CMR </w:t>
      </w:r>
      <w:r>
        <w:rPr>
          <w:spacing w:val="-3"/>
        </w:rPr>
        <w:t>401.000.</w:t>
      </w:r>
    </w:p>
    <w:p>
      <w:pPr>
        <w:spacing w:after="0" w:line="242" w:lineRule="auto"/>
        <w:sectPr>
          <w:pgSz w:w="12240" w:h="15840"/>
          <w:pgMar w:header="0" w:footer="744" w:top="1380" w:bottom="940" w:left="1580" w:right="980"/>
        </w:sectPr>
      </w:pPr>
    </w:p>
    <w:p>
      <w:pPr>
        <w:pStyle w:val="BodyText"/>
        <w:spacing w:line="242" w:lineRule="auto" w:before="61"/>
        <w:ind w:left="1191" w:right="236"/>
      </w:pPr>
      <w:r>
        <w:rPr/>
        <w:t>The </w:t>
      </w:r>
      <w:r>
        <w:rPr>
          <w:spacing w:val="-4"/>
        </w:rPr>
        <w:t>maximum </w:t>
      </w:r>
      <w:r>
        <w:rPr>
          <w:spacing w:val="-3"/>
        </w:rPr>
        <w:t>allowable payment </w:t>
      </w:r>
      <w:r>
        <w:rPr/>
        <w:t>for a </w:t>
      </w:r>
      <w:r>
        <w:rPr>
          <w:spacing w:val="-3"/>
        </w:rPr>
        <w:t>laboratory service shall </w:t>
      </w:r>
      <w:r>
        <w:rPr/>
        <w:t>be at the </w:t>
      </w:r>
      <w:r>
        <w:rPr>
          <w:spacing w:val="-3"/>
        </w:rPr>
        <w:t>lowest </w:t>
      </w:r>
      <w:r>
        <w:rPr/>
        <w:t>of </w:t>
      </w:r>
      <w:r>
        <w:rPr>
          <w:spacing w:val="-3"/>
        </w:rPr>
        <w:t>the </w:t>
      </w:r>
      <w:r>
        <w:rPr>
          <w:spacing w:val="-4"/>
        </w:rPr>
        <w:t>following:</w:t>
      </w:r>
    </w:p>
    <w:p>
      <w:pPr>
        <w:pStyle w:val="BodyText"/>
        <w:spacing w:before="7"/>
      </w:pPr>
    </w:p>
    <w:p>
      <w:pPr>
        <w:pStyle w:val="ListParagraph"/>
        <w:numPr>
          <w:ilvl w:val="3"/>
          <w:numId w:val="8"/>
        </w:numPr>
        <w:tabs>
          <w:tab w:pos="1731" w:val="left" w:leader="none"/>
          <w:tab w:pos="1732" w:val="left" w:leader="none"/>
        </w:tabs>
        <w:spacing w:line="242" w:lineRule="auto" w:before="0" w:after="0"/>
        <w:ind w:left="1732" w:right="233" w:hanging="540"/>
        <w:jc w:val="left"/>
        <w:rPr>
          <w:sz w:val="24"/>
        </w:rPr>
      </w:pPr>
      <w:r>
        <w:rPr>
          <w:sz w:val="24"/>
        </w:rPr>
        <w:t>The </w:t>
      </w:r>
      <w:r>
        <w:rPr>
          <w:spacing w:val="-3"/>
          <w:sz w:val="24"/>
        </w:rPr>
        <w:t>amount listed </w:t>
      </w:r>
      <w:r>
        <w:rPr>
          <w:sz w:val="24"/>
        </w:rPr>
        <w:t>in the </w:t>
      </w:r>
      <w:r>
        <w:rPr>
          <w:spacing w:val="-3"/>
          <w:sz w:val="24"/>
        </w:rPr>
        <w:t>most current applicable Clinical Laboratory Services fee schedule</w:t>
      </w:r>
      <w:r>
        <w:rPr>
          <w:spacing w:val="-6"/>
          <w:sz w:val="24"/>
        </w:rPr>
        <w:t> </w:t>
      </w:r>
      <w:r>
        <w:rPr>
          <w:sz w:val="24"/>
        </w:rPr>
        <w:t>at</w:t>
      </w:r>
      <w:r>
        <w:rPr>
          <w:spacing w:val="-6"/>
          <w:sz w:val="24"/>
        </w:rPr>
        <w:t> </w:t>
      </w:r>
      <w:r>
        <w:rPr>
          <w:spacing w:val="-3"/>
          <w:sz w:val="24"/>
        </w:rPr>
        <w:t>114.3</w:t>
      </w:r>
      <w:r>
        <w:rPr>
          <w:spacing w:val="-6"/>
          <w:sz w:val="24"/>
        </w:rPr>
        <w:t> </w:t>
      </w:r>
      <w:r>
        <w:rPr>
          <w:sz w:val="24"/>
        </w:rPr>
        <w:t>CMR</w:t>
      </w:r>
      <w:r>
        <w:rPr>
          <w:spacing w:val="-6"/>
          <w:sz w:val="24"/>
        </w:rPr>
        <w:t> </w:t>
      </w:r>
      <w:r>
        <w:rPr>
          <w:spacing w:val="-3"/>
          <w:sz w:val="24"/>
        </w:rPr>
        <w:t>20.00</w:t>
      </w:r>
      <w:r>
        <w:rPr>
          <w:spacing w:val="-6"/>
          <w:sz w:val="24"/>
        </w:rPr>
        <w:t> </w:t>
      </w:r>
      <w:r>
        <w:rPr>
          <w:sz w:val="24"/>
        </w:rPr>
        <w:t>and</w:t>
      </w:r>
      <w:r>
        <w:rPr>
          <w:spacing w:val="-6"/>
          <w:sz w:val="24"/>
        </w:rPr>
        <w:t> </w:t>
      </w:r>
      <w:r>
        <w:rPr>
          <w:sz w:val="24"/>
        </w:rPr>
        <w:t>the</w:t>
      </w:r>
      <w:r>
        <w:rPr>
          <w:spacing w:val="-6"/>
          <w:sz w:val="24"/>
        </w:rPr>
        <w:t> </w:t>
      </w:r>
      <w:r>
        <w:rPr>
          <w:spacing w:val="-3"/>
          <w:sz w:val="24"/>
        </w:rPr>
        <w:t>Surgery</w:t>
      </w:r>
      <w:r>
        <w:rPr>
          <w:spacing w:val="-6"/>
          <w:sz w:val="24"/>
        </w:rPr>
        <w:t> </w:t>
      </w:r>
      <w:r>
        <w:rPr>
          <w:sz w:val="24"/>
        </w:rPr>
        <w:t>&amp;</w:t>
      </w:r>
      <w:r>
        <w:rPr>
          <w:spacing w:val="-6"/>
          <w:sz w:val="24"/>
        </w:rPr>
        <w:t> </w:t>
      </w:r>
      <w:r>
        <w:rPr>
          <w:spacing w:val="-3"/>
          <w:sz w:val="24"/>
        </w:rPr>
        <w:t>Anesthesia</w:t>
      </w:r>
      <w:r>
        <w:rPr>
          <w:spacing w:val="-6"/>
          <w:sz w:val="24"/>
        </w:rPr>
        <w:t> </w:t>
      </w:r>
      <w:r>
        <w:rPr>
          <w:sz w:val="24"/>
        </w:rPr>
        <w:t>fee</w:t>
      </w:r>
      <w:r>
        <w:rPr>
          <w:spacing w:val="-6"/>
          <w:sz w:val="24"/>
        </w:rPr>
        <w:t> </w:t>
      </w:r>
      <w:r>
        <w:rPr>
          <w:spacing w:val="-3"/>
          <w:sz w:val="24"/>
        </w:rPr>
        <w:t>schedule</w:t>
      </w:r>
      <w:r>
        <w:rPr>
          <w:spacing w:val="-6"/>
          <w:sz w:val="24"/>
        </w:rPr>
        <w:t> </w:t>
      </w:r>
      <w:r>
        <w:rPr>
          <w:sz w:val="24"/>
        </w:rPr>
        <w:t>at</w:t>
      </w:r>
      <w:r>
        <w:rPr>
          <w:spacing w:val="-6"/>
          <w:sz w:val="24"/>
        </w:rPr>
        <w:t> </w:t>
      </w:r>
      <w:r>
        <w:rPr>
          <w:spacing w:val="-3"/>
          <w:sz w:val="24"/>
        </w:rPr>
        <w:t>114.3 </w:t>
      </w:r>
      <w:r>
        <w:rPr>
          <w:sz w:val="24"/>
        </w:rPr>
        <w:t>CMR </w:t>
      </w:r>
      <w:r>
        <w:rPr>
          <w:spacing w:val="-3"/>
          <w:sz w:val="24"/>
        </w:rPr>
        <w:t>16.00, </w:t>
      </w:r>
      <w:r>
        <w:rPr>
          <w:sz w:val="24"/>
        </w:rPr>
        <w:t>or </w:t>
      </w:r>
      <w:r>
        <w:rPr>
          <w:spacing w:val="-3"/>
          <w:sz w:val="24"/>
        </w:rPr>
        <w:t>successor regulations </w:t>
      </w:r>
      <w:r>
        <w:rPr>
          <w:sz w:val="24"/>
        </w:rPr>
        <w:t>as </w:t>
      </w:r>
      <w:r>
        <w:rPr>
          <w:spacing w:val="-3"/>
          <w:sz w:val="24"/>
        </w:rPr>
        <w:t>applicable (available </w:t>
      </w:r>
      <w:r>
        <w:rPr>
          <w:sz w:val="24"/>
        </w:rPr>
        <w:t>at the </w:t>
      </w:r>
      <w:r>
        <w:rPr>
          <w:spacing w:val="-3"/>
          <w:sz w:val="24"/>
        </w:rPr>
        <w:t>State House Bookstore </w:t>
      </w:r>
      <w:r>
        <w:rPr>
          <w:sz w:val="24"/>
        </w:rPr>
        <w:t>and at</w:t>
      </w:r>
      <w:r>
        <w:rPr>
          <w:color w:val="0000FF"/>
          <w:sz w:val="24"/>
        </w:rPr>
        <w:t> </w:t>
      </w:r>
      <w:hyperlink r:id="rId16">
        <w:r>
          <w:rPr>
            <w:color w:val="0000FF"/>
            <w:spacing w:val="-4"/>
            <w:sz w:val="24"/>
            <w:u w:val="single" w:color="0000FF"/>
          </w:rPr>
          <w:t>http://www.mass.gov/eohhs/gov/laws-regs/hhs/community-</w:t>
        </w:r>
      </w:hyperlink>
      <w:r>
        <w:rPr>
          <w:color w:val="0000FF"/>
          <w:spacing w:val="-4"/>
          <w:sz w:val="24"/>
          <w:u w:val="single" w:color="0000FF"/>
        </w:rPr>
        <w:t> health-care-providers-ambulatory-care.html</w:t>
      </w:r>
      <w:r>
        <w:rPr>
          <w:spacing w:val="-4"/>
          <w:sz w:val="24"/>
        </w:rPr>
        <w:t>).</w:t>
      </w:r>
    </w:p>
    <w:p>
      <w:pPr>
        <w:pStyle w:val="BodyText"/>
        <w:spacing w:before="9"/>
        <w:rPr>
          <w:sz w:val="16"/>
        </w:rPr>
      </w:pPr>
    </w:p>
    <w:p>
      <w:pPr>
        <w:pStyle w:val="ListParagraph"/>
        <w:numPr>
          <w:ilvl w:val="3"/>
          <w:numId w:val="8"/>
        </w:numPr>
        <w:tabs>
          <w:tab w:pos="1731" w:val="left" w:leader="none"/>
          <w:tab w:pos="1732" w:val="left" w:leader="none"/>
        </w:tabs>
        <w:spacing w:line="240" w:lineRule="auto" w:before="90" w:after="0"/>
        <w:ind w:left="1732" w:right="0" w:hanging="540"/>
        <w:jc w:val="left"/>
        <w:rPr>
          <w:sz w:val="24"/>
        </w:rPr>
      </w:pPr>
      <w:r>
        <w:rPr>
          <w:sz w:val="24"/>
        </w:rPr>
        <w:t>The </w:t>
      </w:r>
      <w:r>
        <w:rPr>
          <w:spacing w:val="-3"/>
          <w:sz w:val="24"/>
        </w:rPr>
        <w:t>Hospital’s Usual </w:t>
      </w:r>
      <w:r>
        <w:rPr>
          <w:sz w:val="24"/>
        </w:rPr>
        <w:t>and </w:t>
      </w:r>
      <w:r>
        <w:rPr>
          <w:spacing w:val="-3"/>
          <w:sz w:val="24"/>
        </w:rPr>
        <w:t>Customary Charge;</w:t>
      </w:r>
      <w:r>
        <w:rPr>
          <w:spacing w:val="-23"/>
          <w:sz w:val="24"/>
        </w:rPr>
        <w:t> </w:t>
      </w:r>
      <w:r>
        <w:rPr>
          <w:spacing w:val="-3"/>
          <w:sz w:val="24"/>
        </w:rPr>
        <w:t>or</w:t>
      </w:r>
    </w:p>
    <w:p>
      <w:pPr>
        <w:pStyle w:val="BodyText"/>
        <w:spacing w:before="10"/>
      </w:pPr>
    </w:p>
    <w:p>
      <w:pPr>
        <w:pStyle w:val="ListParagraph"/>
        <w:numPr>
          <w:ilvl w:val="3"/>
          <w:numId w:val="8"/>
        </w:numPr>
        <w:tabs>
          <w:tab w:pos="1731" w:val="left" w:leader="none"/>
          <w:tab w:pos="1732" w:val="left" w:leader="none"/>
        </w:tabs>
        <w:spacing w:line="242" w:lineRule="auto" w:before="0" w:after="0"/>
        <w:ind w:left="1732" w:right="979" w:hanging="540"/>
        <w:jc w:val="left"/>
        <w:rPr>
          <w:sz w:val="24"/>
        </w:rPr>
      </w:pPr>
      <w:r>
        <w:rPr>
          <w:sz w:val="24"/>
        </w:rPr>
        <w:t>The </w:t>
      </w:r>
      <w:r>
        <w:rPr>
          <w:spacing w:val="-3"/>
          <w:sz w:val="24"/>
        </w:rPr>
        <w:t>amount that would </w:t>
      </w:r>
      <w:r>
        <w:rPr>
          <w:sz w:val="24"/>
        </w:rPr>
        <w:t>be </w:t>
      </w:r>
      <w:r>
        <w:rPr>
          <w:spacing w:val="-3"/>
          <w:sz w:val="24"/>
        </w:rPr>
        <w:t>recognized under </w:t>
      </w:r>
      <w:r>
        <w:rPr>
          <w:sz w:val="24"/>
        </w:rPr>
        <w:t>42 </w:t>
      </w:r>
      <w:r>
        <w:rPr>
          <w:spacing w:val="-3"/>
          <w:sz w:val="24"/>
        </w:rPr>
        <w:t>U.S.C. §13951(h) </w:t>
      </w:r>
      <w:r>
        <w:rPr>
          <w:sz w:val="24"/>
        </w:rPr>
        <w:t>for </w:t>
      </w:r>
      <w:r>
        <w:rPr>
          <w:spacing w:val="-3"/>
          <w:sz w:val="24"/>
        </w:rPr>
        <w:t>tests performed </w:t>
      </w:r>
      <w:r>
        <w:rPr>
          <w:sz w:val="24"/>
        </w:rPr>
        <w:t>for a </w:t>
      </w:r>
      <w:r>
        <w:rPr>
          <w:spacing w:val="-3"/>
          <w:sz w:val="24"/>
        </w:rPr>
        <w:t>person with Medicare Part </w:t>
      </w:r>
      <w:r>
        <w:rPr>
          <w:sz w:val="24"/>
        </w:rPr>
        <w:t>B</w:t>
      </w:r>
      <w:r>
        <w:rPr>
          <w:spacing w:val="-18"/>
          <w:sz w:val="24"/>
        </w:rPr>
        <w:t> </w:t>
      </w:r>
      <w:r>
        <w:rPr>
          <w:spacing w:val="-3"/>
          <w:sz w:val="24"/>
        </w:rPr>
        <w:t>benefits.</w:t>
      </w:r>
    </w:p>
    <w:p>
      <w:pPr>
        <w:pStyle w:val="BodyText"/>
        <w:spacing w:before="7"/>
      </w:pPr>
    </w:p>
    <w:p>
      <w:pPr>
        <w:pStyle w:val="Heading3"/>
        <w:numPr>
          <w:ilvl w:val="2"/>
          <w:numId w:val="8"/>
        </w:numPr>
        <w:tabs>
          <w:tab w:pos="1213" w:val="left" w:leader="none"/>
          <w:tab w:pos="1215" w:val="left" w:leader="none"/>
        </w:tabs>
        <w:spacing w:line="240" w:lineRule="auto" w:before="1" w:after="0"/>
        <w:ind w:left="1214" w:right="0" w:hanging="548"/>
        <w:jc w:val="left"/>
      </w:pPr>
      <w:r>
        <w:rPr>
          <w:spacing w:val="-3"/>
        </w:rPr>
        <w:t>Physician</w:t>
      </w:r>
      <w:r>
        <w:rPr>
          <w:spacing w:val="-2"/>
        </w:rPr>
        <w:t> </w:t>
      </w:r>
      <w:r>
        <w:rPr>
          <w:spacing w:val="-3"/>
        </w:rPr>
        <w:t>Services</w:t>
      </w:r>
    </w:p>
    <w:p>
      <w:pPr>
        <w:pStyle w:val="BodyText"/>
        <w:spacing w:before="4"/>
        <w:rPr>
          <w:b/>
        </w:rPr>
      </w:pPr>
    </w:p>
    <w:p>
      <w:pPr>
        <w:pStyle w:val="BodyText"/>
        <w:spacing w:line="242" w:lineRule="auto" w:before="1"/>
        <w:ind w:left="1191" w:right="351"/>
      </w:pPr>
      <w:r>
        <w:rPr/>
        <w:t>No </w:t>
      </w:r>
      <w:r>
        <w:rPr>
          <w:spacing w:val="-3"/>
        </w:rPr>
        <w:t>additional payment shall </w:t>
      </w:r>
      <w:r>
        <w:rPr/>
        <w:t>be </w:t>
      </w:r>
      <w:r>
        <w:rPr>
          <w:spacing w:val="-3"/>
        </w:rPr>
        <w:t>made </w:t>
      </w:r>
      <w:r>
        <w:rPr/>
        <w:t>for any </w:t>
      </w:r>
      <w:r>
        <w:rPr>
          <w:spacing w:val="-3"/>
        </w:rPr>
        <w:t>physician service provided </w:t>
      </w:r>
      <w:r>
        <w:rPr/>
        <w:t>in </w:t>
      </w:r>
      <w:r>
        <w:rPr>
          <w:spacing w:val="-3"/>
        </w:rPr>
        <w:t>connection with </w:t>
      </w:r>
      <w:r>
        <w:rPr/>
        <w:t>a </w:t>
      </w:r>
      <w:r>
        <w:rPr>
          <w:spacing w:val="-3"/>
        </w:rPr>
        <w:t>laboratory service, except </w:t>
      </w:r>
      <w:r>
        <w:rPr/>
        <w:t>for </w:t>
      </w:r>
      <w:r>
        <w:rPr>
          <w:spacing w:val="-3"/>
        </w:rPr>
        <w:t>Surgical Pathology Services. </w:t>
      </w:r>
      <w:r>
        <w:rPr/>
        <w:t>The </w:t>
      </w:r>
      <w:r>
        <w:rPr>
          <w:spacing w:val="-4"/>
        </w:rPr>
        <w:t>maximum </w:t>
      </w:r>
      <w:r>
        <w:rPr>
          <w:spacing w:val="-3"/>
        </w:rPr>
        <w:t>allowable payment </w:t>
      </w:r>
      <w:r>
        <w:rPr/>
        <w:t>is </w:t>
      </w:r>
      <w:r>
        <w:rPr>
          <w:spacing w:val="-3"/>
        </w:rPr>
        <w:t>payment </w:t>
      </w:r>
      <w:r>
        <w:rPr/>
        <w:t>in </w:t>
      </w:r>
      <w:r>
        <w:rPr>
          <w:spacing w:val="-3"/>
        </w:rPr>
        <w:t>full </w:t>
      </w:r>
      <w:r>
        <w:rPr/>
        <w:t>for the </w:t>
      </w:r>
      <w:r>
        <w:rPr>
          <w:spacing w:val="-3"/>
        </w:rPr>
        <w:t>laboratory service.</w:t>
      </w:r>
    </w:p>
    <w:p>
      <w:pPr>
        <w:pStyle w:val="BodyText"/>
        <w:spacing w:before="9"/>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Audiology Dispensing</w:t>
      </w:r>
    </w:p>
    <w:p>
      <w:pPr>
        <w:pStyle w:val="BodyText"/>
        <w:spacing w:before="9"/>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w:t>
      </w:r>
      <w:r>
        <w:rPr>
          <w:b/>
          <w:sz w:val="24"/>
        </w:rPr>
        <w:t>for </w:t>
      </w:r>
      <w:r>
        <w:rPr>
          <w:b/>
          <w:spacing w:val="-3"/>
          <w:sz w:val="24"/>
        </w:rPr>
        <w:t>Audiology Dispensing</w:t>
      </w:r>
      <w:r>
        <w:rPr>
          <w:b/>
          <w:spacing w:val="-11"/>
          <w:sz w:val="24"/>
        </w:rPr>
        <w:t> </w:t>
      </w:r>
      <w:r>
        <w:rPr>
          <w:b/>
          <w:spacing w:val="-3"/>
          <w:sz w:val="24"/>
        </w:rPr>
        <w:t>Services</w:t>
      </w:r>
    </w:p>
    <w:p>
      <w:pPr>
        <w:pStyle w:val="BodyText"/>
        <w:spacing w:before="5"/>
        <w:rPr>
          <w:b/>
        </w:rPr>
      </w:pPr>
    </w:p>
    <w:p>
      <w:pPr>
        <w:pStyle w:val="BodyText"/>
        <w:spacing w:line="242" w:lineRule="auto" w:before="1"/>
        <w:ind w:left="1191"/>
      </w:pPr>
      <w:r>
        <w:rPr>
          <w:spacing w:val="-3"/>
        </w:rPr>
        <w:t>Hospitals will </w:t>
      </w:r>
      <w:r>
        <w:rPr/>
        <w:t>be </w:t>
      </w:r>
      <w:r>
        <w:rPr>
          <w:spacing w:val="-3"/>
        </w:rPr>
        <w:t>reimbursed for </w:t>
      </w:r>
      <w:r>
        <w:rPr/>
        <w:t>the </w:t>
      </w:r>
      <w:r>
        <w:rPr>
          <w:spacing w:val="-3"/>
        </w:rPr>
        <w:t>dispensing </w:t>
      </w:r>
      <w:r>
        <w:rPr/>
        <w:t>of </w:t>
      </w:r>
      <w:r>
        <w:rPr>
          <w:spacing w:val="-3"/>
        </w:rPr>
        <w:t>hearing aids only </w:t>
      </w:r>
      <w:r>
        <w:rPr/>
        <w:t>by a </w:t>
      </w:r>
      <w:r>
        <w:rPr>
          <w:spacing w:val="-3"/>
        </w:rPr>
        <w:t>Hospital-based audiologist according </w:t>
      </w:r>
      <w:r>
        <w:rPr/>
        <w:t>to the </w:t>
      </w:r>
      <w:r>
        <w:rPr>
          <w:spacing w:val="-3"/>
        </w:rPr>
        <w:t>Audiologist regulations </w:t>
      </w:r>
      <w:r>
        <w:rPr/>
        <w:t>at 130 CMR </w:t>
      </w:r>
      <w:r>
        <w:rPr>
          <w:spacing w:val="-3"/>
        </w:rPr>
        <w:t>426.00 </w:t>
      </w:r>
      <w:r>
        <w:rPr/>
        <w:t>et </w:t>
      </w:r>
      <w:r>
        <w:rPr>
          <w:spacing w:val="-3"/>
        </w:rPr>
        <w:t>seq., and according </w:t>
      </w:r>
      <w:r>
        <w:rPr/>
        <w:t>to the </w:t>
      </w:r>
      <w:r>
        <w:rPr>
          <w:spacing w:val="-3"/>
        </w:rPr>
        <w:t>fees established </w:t>
      </w:r>
      <w:r>
        <w:rPr/>
        <w:t>in 101 CMR </w:t>
      </w:r>
      <w:r>
        <w:rPr>
          <w:spacing w:val="-3"/>
        </w:rPr>
        <w:t>323.00 (Hearing </w:t>
      </w:r>
      <w:r>
        <w:rPr/>
        <w:t>Aid </w:t>
      </w:r>
      <w:r>
        <w:rPr>
          <w:spacing w:val="-3"/>
        </w:rPr>
        <w:t>Dispensers).</w:t>
      </w:r>
    </w:p>
    <w:p>
      <w:pPr>
        <w:pStyle w:val="BodyText"/>
        <w:spacing w:before="9"/>
      </w:pPr>
    </w:p>
    <w:p>
      <w:pPr>
        <w:pStyle w:val="Heading3"/>
        <w:numPr>
          <w:ilvl w:val="2"/>
          <w:numId w:val="8"/>
        </w:numPr>
        <w:tabs>
          <w:tab w:pos="1213" w:val="left" w:leader="none"/>
          <w:tab w:pos="1214" w:val="left" w:leader="none"/>
        </w:tabs>
        <w:spacing w:line="240" w:lineRule="auto" w:before="0" w:after="0"/>
        <w:ind w:left="1213" w:right="0" w:hanging="547"/>
        <w:jc w:val="left"/>
      </w:pPr>
      <w:r>
        <w:rPr>
          <w:spacing w:val="-3"/>
        </w:rPr>
        <w:t>Physician</w:t>
      </w:r>
      <w:r>
        <w:rPr>
          <w:spacing w:val="-2"/>
        </w:rPr>
        <w:t> </w:t>
      </w:r>
      <w:r>
        <w:rPr>
          <w:spacing w:val="-3"/>
        </w:rPr>
        <w:t>Payment</w:t>
      </w:r>
    </w:p>
    <w:p>
      <w:pPr>
        <w:pStyle w:val="BodyText"/>
        <w:spacing w:before="5"/>
        <w:rPr>
          <w:b/>
        </w:rPr>
      </w:pPr>
    </w:p>
    <w:p>
      <w:pPr>
        <w:pStyle w:val="BodyText"/>
        <w:spacing w:line="242" w:lineRule="auto"/>
        <w:ind w:left="1192" w:right="236"/>
      </w:pPr>
      <w:r>
        <w:rPr>
          <w:spacing w:val="-3"/>
        </w:rPr>
        <w:t>Hospitals may </w:t>
      </w:r>
      <w:r>
        <w:rPr/>
        <w:t>not </w:t>
      </w:r>
      <w:r>
        <w:rPr>
          <w:spacing w:val="-3"/>
        </w:rPr>
        <w:t>bill for Hospital-Based Physician services related </w:t>
      </w:r>
      <w:r>
        <w:rPr/>
        <w:t>to the </w:t>
      </w:r>
      <w:r>
        <w:rPr>
          <w:spacing w:val="-3"/>
        </w:rPr>
        <w:t>provision of audiology dispensing services.</w:t>
      </w:r>
    </w:p>
    <w:p>
      <w:pPr>
        <w:pStyle w:val="BodyText"/>
        <w:spacing w:before="8"/>
      </w:pPr>
    </w:p>
    <w:p>
      <w:pPr>
        <w:pStyle w:val="Heading3"/>
        <w:numPr>
          <w:ilvl w:val="1"/>
          <w:numId w:val="8"/>
        </w:numPr>
        <w:tabs>
          <w:tab w:pos="666" w:val="left" w:leader="none"/>
          <w:tab w:pos="667" w:val="left" w:leader="none"/>
        </w:tabs>
        <w:spacing w:line="240" w:lineRule="auto" w:before="1" w:after="0"/>
        <w:ind w:left="666" w:right="0" w:hanging="547"/>
        <w:jc w:val="left"/>
      </w:pPr>
      <w:r>
        <w:rPr>
          <w:spacing w:val="-3"/>
        </w:rPr>
        <w:t>Vision Care</w:t>
      </w:r>
      <w:r>
        <w:rPr>
          <w:spacing w:val="-2"/>
        </w:rPr>
        <w:t> </w:t>
      </w:r>
      <w:r>
        <w:rPr>
          <w:spacing w:val="-3"/>
        </w:rPr>
        <w:t>Dispensing</w:t>
      </w:r>
    </w:p>
    <w:p>
      <w:pPr>
        <w:pStyle w:val="BodyText"/>
        <w:spacing w:before="9"/>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w:t>
      </w:r>
      <w:r>
        <w:rPr>
          <w:b/>
          <w:sz w:val="24"/>
        </w:rPr>
        <w:t>for </w:t>
      </w:r>
      <w:r>
        <w:rPr>
          <w:b/>
          <w:spacing w:val="-3"/>
          <w:sz w:val="24"/>
        </w:rPr>
        <w:t>Vision Care</w:t>
      </w:r>
      <w:r>
        <w:rPr>
          <w:b/>
          <w:spacing w:val="-11"/>
          <w:sz w:val="24"/>
        </w:rPr>
        <w:t> </w:t>
      </w:r>
      <w:r>
        <w:rPr>
          <w:b/>
          <w:spacing w:val="-3"/>
          <w:sz w:val="24"/>
        </w:rPr>
        <w:t>Services</w:t>
      </w:r>
    </w:p>
    <w:p>
      <w:pPr>
        <w:pStyle w:val="BodyText"/>
        <w:spacing w:before="5"/>
        <w:rPr>
          <w:b/>
        </w:rPr>
      </w:pPr>
    </w:p>
    <w:p>
      <w:pPr>
        <w:pStyle w:val="BodyText"/>
        <w:spacing w:line="242" w:lineRule="auto"/>
        <w:ind w:left="1192" w:right="306"/>
      </w:pPr>
      <w:r>
        <w:rPr>
          <w:spacing w:val="-3"/>
        </w:rPr>
        <w:t>Hospitals will </w:t>
      </w:r>
      <w:r>
        <w:rPr/>
        <w:t>be </w:t>
      </w:r>
      <w:r>
        <w:rPr>
          <w:spacing w:val="-3"/>
        </w:rPr>
        <w:t>reimbursed </w:t>
      </w:r>
      <w:r>
        <w:rPr/>
        <w:t>for the </w:t>
      </w:r>
      <w:r>
        <w:rPr>
          <w:spacing w:val="-3"/>
        </w:rPr>
        <w:t>dispensing </w:t>
      </w:r>
      <w:r>
        <w:rPr/>
        <w:t>of </w:t>
      </w:r>
      <w:r>
        <w:rPr>
          <w:spacing w:val="-3"/>
        </w:rPr>
        <w:t>ophthalmic materials only </w:t>
      </w:r>
      <w:r>
        <w:rPr/>
        <w:t>by a </w:t>
      </w:r>
      <w:r>
        <w:rPr>
          <w:spacing w:val="-3"/>
        </w:rPr>
        <w:t>Hospital-Based optometrist, ophthalmologist </w:t>
      </w:r>
      <w:r>
        <w:rPr/>
        <w:t>or </w:t>
      </w:r>
      <w:r>
        <w:rPr>
          <w:spacing w:val="-3"/>
        </w:rPr>
        <w:t>other practitioner licensed and authorized </w:t>
      </w:r>
      <w:r>
        <w:rPr/>
        <w:t>to </w:t>
      </w:r>
      <w:r>
        <w:rPr>
          <w:spacing w:val="-3"/>
        </w:rPr>
        <w:t>write prescriptions </w:t>
      </w:r>
      <w:r>
        <w:rPr/>
        <w:t>for </w:t>
      </w:r>
      <w:r>
        <w:rPr>
          <w:spacing w:val="-3"/>
        </w:rPr>
        <w:t>ophthalmic materials </w:t>
      </w:r>
      <w:r>
        <w:rPr/>
        <w:t>and </w:t>
      </w:r>
      <w:r>
        <w:rPr>
          <w:spacing w:val="-3"/>
        </w:rPr>
        <w:t>services according </w:t>
      </w:r>
      <w:r>
        <w:rPr/>
        <w:t>to </w:t>
      </w:r>
      <w:r>
        <w:rPr>
          <w:spacing w:val="-3"/>
        </w:rPr>
        <w:t>the Vision Care regulations </w:t>
      </w:r>
      <w:r>
        <w:rPr/>
        <w:t>at 130 CMR </w:t>
      </w:r>
      <w:r>
        <w:rPr>
          <w:spacing w:val="-3"/>
        </w:rPr>
        <w:t>402.000 </w:t>
      </w:r>
      <w:r>
        <w:rPr/>
        <w:t>et </w:t>
      </w:r>
      <w:r>
        <w:rPr>
          <w:spacing w:val="-3"/>
        </w:rPr>
        <w:t>seq., </w:t>
      </w:r>
      <w:r>
        <w:rPr/>
        <w:t>and </w:t>
      </w:r>
      <w:r>
        <w:rPr>
          <w:spacing w:val="-3"/>
        </w:rPr>
        <w:t>according </w:t>
      </w:r>
      <w:r>
        <w:rPr/>
        <w:t>to the </w:t>
      </w:r>
      <w:r>
        <w:rPr>
          <w:spacing w:val="-3"/>
        </w:rPr>
        <w:t>fees established </w:t>
      </w:r>
      <w:r>
        <w:rPr/>
        <w:t>in 101 CMR </w:t>
      </w:r>
      <w:r>
        <w:rPr>
          <w:spacing w:val="-3"/>
        </w:rPr>
        <w:t>315.00 (Vision Care Services </w:t>
      </w:r>
      <w:r>
        <w:rPr/>
        <w:t>and </w:t>
      </w:r>
      <w:r>
        <w:rPr>
          <w:spacing w:val="-3"/>
        </w:rPr>
        <w:t>Ophthalmic Materials).</w:t>
      </w:r>
    </w:p>
    <w:p>
      <w:pPr>
        <w:spacing w:after="0" w:line="242" w:lineRule="auto"/>
        <w:sectPr>
          <w:pgSz w:w="12240" w:h="15840"/>
          <w:pgMar w:header="0" w:footer="744" w:top="1380" w:bottom="940" w:left="1580" w:right="980"/>
        </w:sectPr>
      </w:pPr>
    </w:p>
    <w:p>
      <w:pPr>
        <w:pStyle w:val="Heading3"/>
        <w:numPr>
          <w:ilvl w:val="2"/>
          <w:numId w:val="8"/>
        </w:numPr>
        <w:tabs>
          <w:tab w:pos="1753" w:val="left" w:leader="none"/>
          <w:tab w:pos="1754" w:val="left" w:leader="none"/>
        </w:tabs>
        <w:spacing w:line="240" w:lineRule="auto" w:before="65" w:after="0"/>
        <w:ind w:left="1753" w:right="0" w:hanging="547"/>
        <w:jc w:val="left"/>
      </w:pPr>
      <w:r>
        <w:rPr>
          <w:spacing w:val="-3"/>
        </w:rPr>
        <w:t>Physician</w:t>
      </w:r>
      <w:r>
        <w:rPr>
          <w:spacing w:val="-2"/>
        </w:rPr>
        <w:t> </w:t>
      </w:r>
      <w:r>
        <w:rPr>
          <w:spacing w:val="-3"/>
        </w:rPr>
        <w:t>Payment</w:t>
      </w:r>
    </w:p>
    <w:p>
      <w:pPr>
        <w:pStyle w:val="BodyText"/>
        <w:spacing w:before="5"/>
        <w:rPr>
          <w:b/>
        </w:rPr>
      </w:pPr>
    </w:p>
    <w:p>
      <w:pPr>
        <w:pStyle w:val="BodyText"/>
        <w:spacing w:line="242" w:lineRule="auto" w:before="1"/>
        <w:ind w:left="1732" w:right="130"/>
      </w:pPr>
      <w:r>
        <w:rPr>
          <w:spacing w:val="-3"/>
        </w:rPr>
        <w:t>Hospitals may </w:t>
      </w:r>
      <w:r>
        <w:rPr/>
        <w:t>not </w:t>
      </w:r>
      <w:r>
        <w:rPr>
          <w:spacing w:val="-3"/>
        </w:rPr>
        <w:t>bill for Hospital-Based Physician services related </w:t>
      </w:r>
      <w:r>
        <w:rPr/>
        <w:t>to the </w:t>
      </w:r>
      <w:r>
        <w:rPr>
          <w:spacing w:val="-3"/>
        </w:rPr>
        <w:t>provision of vision care services.</w:t>
      </w:r>
    </w:p>
    <w:p>
      <w:pPr>
        <w:pStyle w:val="BodyText"/>
        <w:spacing w:before="8"/>
      </w:pPr>
    </w:p>
    <w:p>
      <w:pPr>
        <w:pStyle w:val="Heading3"/>
        <w:numPr>
          <w:ilvl w:val="1"/>
          <w:numId w:val="8"/>
        </w:numPr>
        <w:tabs>
          <w:tab w:pos="1206" w:val="left" w:leader="none"/>
          <w:tab w:pos="1207" w:val="left" w:leader="none"/>
        </w:tabs>
        <w:spacing w:line="240" w:lineRule="auto" w:before="0" w:after="0"/>
        <w:ind w:left="1206" w:right="0" w:hanging="547"/>
        <w:jc w:val="left"/>
      </w:pPr>
      <w:r>
        <w:rPr>
          <w:spacing w:val="-3"/>
        </w:rPr>
        <w:t>Dental</w:t>
      </w:r>
      <w:r>
        <w:rPr>
          <w:spacing w:val="-2"/>
        </w:rPr>
        <w:t> </w:t>
      </w:r>
      <w:r>
        <w:rPr>
          <w:spacing w:val="-3"/>
        </w:rPr>
        <w:t>Services</w:t>
      </w:r>
    </w:p>
    <w:p>
      <w:pPr>
        <w:pStyle w:val="BodyText"/>
        <w:spacing w:before="9"/>
        <w:rPr>
          <w:b/>
        </w:rPr>
      </w:pPr>
    </w:p>
    <w:p>
      <w:pPr>
        <w:pStyle w:val="ListParagraph"/>
        <w:numPr>
          <w:ilvl w:val="2"/>
          <w:numId w:val="8"/>
        </w:numPr>
        <w:tabs>
          <w:tab w:pos="1753" w:val="left" w:leader="none"/>
          <w:tab w:pos="1754" w:val="left" w:leader="none"/>
        </w:tabs>
        <w:spacing w:line="240" w:lineRule="auto" w:before="0" w:after="0"/>
        <w:ind w:left="1753" w:right="0" w:hanging="547"/>
        <w:jc w:val="left"/>
        <w:rPr>
          <w:b/>
          <w:sz w:val="24"/>
        </w:rPr>
      </w:pPr>
      <w:r>
        <w:rPr>
          <w:b/>
          <w:spacing w:val="-3"/>
          <w:sz w:val="24"/>
        </w:rPr>
        <w:t>Payment </w:t>
      </w:r>
      <w:r>
        <w:rPr>
          <w:b/>
          <w:sz w:val="24"/>
        </w:rPr>
        <w:t>for </w:t>
      </w:r>
      <w:r>
        <w:rPr>
          <w:b/>
          <w:spacing w:val="-3"/>
          <w:sz w:val="24"/>
        </w:rPr>
        <w:t>Dental</w:t>
      </w:r>
      <w:r>
        <w:rPr>
          <w:b/>
          <w:spacing w:val="-12"/>
          <w:sz w:val="24"/>
        </w:rPr>
        <w:t> </w:t>
      </w:r>
      <w:r>
        <w:rPr>
          <w:b/>
          <w:spacing w:val="-3"/>
          <w:sz w:val="24"/>
        </w:rPr>
        <w:t>Services</w:t>
      </w:r>
    </w:p>
    <w:p>
      <w:pPr>
        <w:pStyle w:val="BodyText"/>
        <w:spacing w:before="5"/>
        <w:rPr>
          <w:b/>
        </w:rPr>
      </w:pPr>
    </w:p>
    <w:p>
      <w:pPr>
        <w:pStyle w:val="BodyText"/>
        <w:spacing w:line="242" w:lineRule="auto"/>
        <w:ind w:left="1732" w:right="130"/>
      </w:pPr>
      <w:r>
        <w:rPr>
          <w:spacing w:val="-3"/>
        </w:rPr>
        <w:t>Hospitals will </w:t>
      </w:r>
      <w:r>
        <w:rPr/>
        <w:t>be </w:t>
      </w:r>
      <w:r>
        <w:rPr>
          <w:spacing w:val="-3"/>
        </w:rPr>
        <w:t>reimbursed for covered dental services according </w:t>
      </w:r>
      <w:r>
        <w:rPr/>
        <w:t>to the </w:t>
      </w:r>
      <w:r>
        <w:rPr>
          <w:spacing w:val="-3"/>
        </w:rPr>
        <w:t>Dental regulations </w:t>
      </w:r>
      <w:r>
        <w:rPr/>
        <w:t>at 130 CMR </w:t>
      </w:r>
      <w:r>
        <w:rPr>
          <w:spacing w:val="-3"/>
        </w:rPr>
        <w:t>420.000 </w:t>
      </w:r>
      <w:r>
        <w:rPr/>
        <w:t>et </w:t>
      </w:r>
      <w:r>
        <w:rPr>
          <w:spacing w:val="-3"/>
        </w:rPr>
        <w:t>seq. according </w:t>
      </w:r>
      <w:r>
        <w:rPr/>
        <w:t>to the </w:t>
      </w:r>
      <w:r>
        <w:rPr>
          <w:spacing w:val="-3"/>
        </w:rPr>
        <w:t>fees established </w:t>
      </w:r>
      <w:r>
        <w:rPr/>
        <w:t>in </w:t>
      </w:r>
      <w:r>
        <w:rPr>
          <w:spacing w:val="-3"/>
        </w:rPr>
        <w:t>114.3 CMR</w:t>
      </w:r>
    </w:p>
    <w:p>
      <w:pPr>
        <w:pStyle w:val="BodyText"/>
        <w:spacing w:line="244" w:lineRule="auto"/>
        <w:ind w:left="1731" w:right="130"/>
      </w:pPr>
      <w:r>
        <w:rPr>
          <w:spacing w:val="-3"/>
        </w:rPr>
        <w:t>14.00 </w:t>
      </w:r>
      <w:r>
        <w:rPr/>
        <w:t>et </w:t>
      </w:r>
      <w:r>
        <w:rPr>
          <w:spacing w:val="-3"/>
        </w:rPr>
        <w:t>seq., </w:t>
      </w:r>
      <w:r>
        <w:rPr/>
        <w:t>or </w:t>
      </w:r>
      <w:r>
        <w:rPr>
          <w:spacing w:val="-3"/>
        </w:rPr>
        <w:t>successor regulations, except when </w:t>
      </w:r>
      <w:r>
        <w:rPr/>
        <w:t>the </w:t>
      </w:r>
      <w:r>
        <w:rPr>
          <w:spacing w:val="-3"/>
        </w:rPr>
        <w:t>conditions </w:t>
      </w:r>
      <w:r>
        <w:rPr/>
        <w:t>in 130 </w:t>
      </w:r>
      <w:r>
        <w:rPr>
          <w:spacing w:val="-3"/>
        </w:rPr>
        <w:t>CMR 420.430(A)(2) </w:t>
      </w:r>
      <w:r>
        <w:rPr/>
        <w:t>or (D) </w:t>
      </w:r>
      <w:r>
        <w:rPr>
          <w:spacing w:val="-3"/>
        </w:rPr>
        <w:t>apply. When these conditions apply, EOHHS will reimburse the Hospital according </w:t>
      </w:r>
      <w:r>
        <w:rPr/>
        <w:t>to </w:t>
      </w:r>
      <w:r>
        <w:rPr>
          <w:b/>
          <w:spacing w:val="-3"/>
        </w:rPr>
        <w:t>Section 5.C.1. </w:t>
      </w:r>
      <w:r>
        <w:rPr/>
        <w:t>The </w:t>
      </w:r>
      <w:r>
        <w:rPr>
          <w:spacing w:val="-3"/>
        </w:rPr>
        <w:t>Hospital-based Dentist may </w:t>
      </w:r>
      <w:r>
        <w:rPr/>
        <w:t>not </w:t>
      </w:r>
      <w:r>
        <w:rPr>
          <w:spacing w:val="-3"/>
        </w:rPr>
        <w:t>bill for any professional component </w:t>
      </w:r>
      <w:r>
        <w:rPr/>
        <w:t>of the </w:t>
      </w:r>
      <w:r>
        <w:rPr>
          <w:spacing w:val="-3"/>
        </w:rPr>
        <w:t>service that </w:t>
      </w:r>
      <w:r>
        <w:rPr/>
        <w:t>is </w:t>
      </w:r>
      <w:r>
        <w:rPr>
          <w:spacing w:val="-3"/>
        </w:rPr>
        <w:t>billed </w:t>
      </w:r>
      <w:r>
        <w:rPr/>
        <w:t>by the </w:t>
      </w:r>
      <w:r>
        <w:rPr>
          <w:spacing w:val="-3"/>
        </w:rPr>
        <w:t>hospital.</w:t>
      </w:r>
    </w:p>
    <w:p>
      <w:pPr>
        <w:pStyle w:val="BodyText"/>
        <w:spacing w:before="6"/>
      </w:pPr>
    </w:p>
    <w:p>
      <w:pPr>
        <w:pStyle w:val="Heading3"/>
        <w:numPr>
          <w:ilvl w:val="2"/>
          <w:numId w:val="8"/>
        </w:numPr>
        <w:tabs>
          <w:tab w:pos="1753" w:val="left" w:leader="none"/>
          <w:tab w:pos="1754" w:val="left" w:leader="none"/>
        </w:tabs>
        <w:spacing w:line="240" w:lineRule="auto" w:before="0" w:after="0"/>
        <w:ind w:left="1753" w:right="0" w:hanging="547"/>
        <w:jc w:val="left"/>
      </w:pPr>
      <w:r>
        <w:rPr>
          <w:spacing w:val="-3"/>
        </w:rPr>
        <w:t>Physician</w:t>
      </w:r>
      <w:r>
        <w:rPr>
          <w:spacing w:val="-2"/>
        </w:rPr>
        <w:t> </w:t>
      </w:r>
      <w:r>
        <w:rPr>
          <w:spacing w:val="-3"/>
        </w:rPr>
        <w:t>Payment</w:t>
      </w:r>
    </w:p>
    <w:p>
      <w:pPr>
        <w:pStyle w:val="BodyText"/>
        <w:spacing w:before="9"/>
        <w:rPr>
          <w:b/>
        </w:rPr>
      </w:pPr>
    </w:p>
    <w:p>
      <w:pPr>
        <w:pStyle w:val="BodyText"/>
        <w:spacing w:line="244" w:lineRule="auto"/>
        <w:ind w:left="1732" w:right="130"/>
      </w:pPr>
      <w:r>
        <w:rPr>
          <w:spacing w:val="-3"/>
        </w:rPr>
        <w:t>Hospitals may </w:t>
      </w:r>
      <w:r>
        <w:rPr/>
        <w:t>not </w:t>
      </w:r>
      <w:r>
        <w:rPr>
          <w:spacing w:val="-3"/>
        </w:rPr>
        <w:t>bill for Hospital-Based Physician (which, </w:t>
      </w:r>
      <w:r>
        <w:rPr/>
        <w:t>as </w:t>
      </w:r>
      <w:r>
        <w:rPr>
          <w:spacing w:val="-3"/>
        </w:rPr>
        <w:t>defined </w:t>
      </w:r>
      <w:r>
        <w:rPr/>
        <w:t>in </w:t>
      </w:r>
      <w:r>
        <w:rPr>
          <w:b/>
          <w:spacing w:val="-3"/>
        </w:rPr>
        <w:t>Section </w:t>
      </w:r>
      <w:r>
        <w:rPr>
          <w:b/>
        </w:rPr>
        <w:t>2</w:t>
      </w:r>
      <w:r>
        <w:rPr/>
        <w:t>, </w:t>
      </w:r>
      <w:r>
        <w:rPr>
          <w:spacing w:val="-3"/>
        </w:rPr>
        <w:t>includes dentists) services related </w:t>
      </w:r>
      <w:r>
        <w:rPr/>
        <w:t>to the </w:t>
      </w:r>
      <w:r>
        <w:rPr>
          <w:spacing w:val="-3"/>
        </w:rPr>
        <w:t>provision </w:t>
      </w:r>
      <w:r>
        <w:rPr/>
        <w:t>of </w:t>
      </w:r>
      <w:r>
        <w:rPr>
          <w:spacing w:val="-3"/>
        </w:rPr>
        <w:t>dental services, except when the conditions </w:t>
      </w:r>
      <w:r>
        <w:rPr/>
        <w:t>in 130 CMR </w:t>
      </w:r>
      <w:r>
        <w:rPr>
          <w:spacing w:val="-3"/>
        </w:rPr>
        <w:t>420.430(A)(2) </w:t>
      </w:r>
      <w:r>
        <w:rPr/>
        <w:t>or (D) </w:t>
      </w:r>
      <w:r>
        <w:rPr>
          <w:spacing w:val="-3"/>
        </w:rPr>
        <w:t>apply. Under those circumstances, in addition </w:t>
      </w:r>
      <w:r>
        <w:rPr/>
        <w:t>to the </w:t>
      </w:r>
      <w:r>
        <w:rPr>
          <w:spacing w:val="-3"/>
        </w:rPr>
        <w:t>PAPE payment under </w:t>
      </w:r>
      <w:r>
        <w:rPr>
          <w:b/>
          <w:spacing w:val="-3"/>
        </w:rPr>
        <w:t>Section 5.C.1</w:t>
      </w:r>
      <w:r>
        <w:rPr>
          <w:spacing w:val="-3"/>
        </w:rPr>
        <w:t>, when </w:t>
      </w:r>
      <w:r>
        <w:rPr/>
        <w:t>a </w:t>
      </w:r>
      <w:r>
        <w:rPr>
          <w:spacing w:val="-3"/>
        </w:rPr>
        <w:t>Hospital-Based Physician provides physician services, </w:t>
      </w:r>
      <w:r>
        <w:rPr/>
        <w:t>the </w:t>
      </w:r>
      <w:r>
        <w:rPr>
          <w:spacing w:val="-3"/>
        </w:rPr>
        <w:t>Hospital may </w:t>
      </w:r>
      <w:r>
        <w:rPr/>
        <w:t>be </w:t>
      </w:r>
      <w:r>
        <w:rPr>
          <w:spacing w:val="-3"/>
        </w:rPr>
        <w:t>reimbursed </w:t>
      </w:r>
      <w:r>
        <w:rPr/>
        <w:t>for </w:t>
      </w:r>
      <w:r>
        <w:rPr>
          <w:spacing w:val="-3"/>
        </w:rPr>
        <w:t>such physician services </w:t>
      </w:r>
      <w:r>
        <w:rPr/>
        <w:t>in </w:t>
      </w:r>
      <w:r>
        <w:rPr>
          <w:spacing w:val="-3"/>
        </w:rPr>
        <w:t>accordance with </w:t>
      </w:r>
      <w:r>
        <w:rPr>
          <w:b/>
          <w:spacing w:val="-3"/>
        </w:rPr>
        <w:t>Section 5.C.4</w:t>
      </w:r>
      <w:r>
        <w:rPr>
          <w:spacing w:val="-3"/>
        </w:rPr>
        <w:t>. </w:t>
      </w:r>
      <w:r>
        <w:rPr/>
        <w:t>The </w:t>
      </w:r>
      <w:r>
        <w:rPr>
          <w:spacing w:val="-3"/>
        </w:rPr>
        <w:t>Hospital-Physician may </w:t>
      </w:r>
      <w:r>
        <w:rPr/>
        <w:t>not </w:t>
      </w:r>
      <w:r>
        <w:rPr>
          <w:spacing w:val="-3"/>
        </w:rPr>
        <w:t>bill for any professional component </w:t>
      </w:r>
      <w:r>
        <w:rPr/>
        <w:t>of the </w:t>
      </w:r>
      <w:r>
        <w:rPr>
          <w:spacing w:val="-3"/>
        </w:rPr>
        <w:t>service that </w:t>
      </w:r>
      <w:r>
        <w:rPr/>
        <w:t>is </w:t>
      </w:r>
      <w:r>
        <w:rPr>
          <w:spacing w:val="-3"/>
        </w:rPr>
        <w:t>billed </w:t>
      </w:r>
      <w:r>
        <w:rPr/>
        <w:t>by the </w:t>
      </w:r>
      <w:r>
        <w:rPr>
          <w:spacing w:val="-3"/>
        </w:rPr>
        <w:t>hospital.</w:t>
      </w:r>
    </w:p>
    <w:p>
      <w:pPr>
        <w:pStyle w:val="BodyText"/>
        <w:spacing w:before="6"/>
      </w:pPr>
    </w:p>
    <w:p>
      <w:pPr>
        <w:pStyle w:val="Heading2"/>
        <w:numPr>
          <w:ilvl w:val="0"/>
          <w:numId w:val="8"/>
        </w:numPr>
        <w:tabs>
          <w:tab w:pos="659" w:val="left" w:leader="none"/>
          <w:tab w:pos="660" w:val="left" w:leader="none"/>
        </w:tabs>
        <w:spacing w:line="240" w:lineRule="auto" w:before="0" w:after="0"/>
        <w:ind w:left="659" w:right="0" w:hanging="547"/>
        <w:jc w:val="left"/>
      </w:pPr>
      <w:r>
        <w:rPr>
          <w:spacing w:val="-3"/>
        </w:rPr>
        <w:t>Reimbursement </w:t>
      </w:r>
      <w:r>
        <w:rPr/>
        <w:t>for </w:t>
      </w:r>
      <w:r>
        <w:rPr>
          <w:spacing w:val="-3"/>
        </w:rPr>
        <w:t>Unique</w:t>
      </w:r>
      <w:r>
        <w:rPr>
          <w:spacing w:val="-23"/>
        </w:rPr>
        <w:t> </w:t>
      </w:r>
      <w:r>
        <w:rPr>
          <w:spacing w:val="-3"/>
        </w:rPr>
        <w:t>Circumstances</w:t>
      </w:r>
    </w:p>
    <w:p>
      <w:pPr>
        <w:pStyle w:val="BodyText"/>
        <w:spacing w:before="7"/>
        <w:rPr>
          <w:b/>
        </w:rPr>
      </w:pPr>
    </w:p>
    <w:p>
      <w:pPr>
        <w:pStyle w:val="Heading3"/>
        <w:numPr>
          <w:ilvl w:val="1"/>
          <w:numId w:val="8"/>
        </w:numPr>
        <w:tabs>
          <w:tab w:pos="1192" w:val="left" w:leader="none"/>
          <w:tab w:pos="1193" w:val="left" w:leader="none"/>
        </w:tabs>
        <w:spacing w:line="240" w:lineRule="auto" w:before="1" w:after="0"/>
        <w:ind w:left="652" w:right="0" w:firstLine="0"/>
        <w:jc w:val="left"/>
      </w:pPr>
      <w:r>
        <w:rPr>
          <w:spacing w:val="-3"/>
        </w:rPr>
        <w:t>Disproportionate Share Hospital Supplemental</w:t>
      </w:r>
      <w:r>
        <w:rPr>
          <w:spacing w:val="0"/>
        </w:rPr>
        <w:t> </w:t>
      </w:r>
      <w:r>
        <w:rPr>
          <w:spacing w:val="-3"/>
        </w:rPr>
        <w:t>Payment</w:t>
      </w:r>
    </w:p>
    <w:p>
      <w:pPr>
        <w:pStyle w:val="BodyText"/>
        <w:spacing w:before="3"/>
        <w:rPr>
          <w:b/>
          <w:sz w:val="21"/>
        </w:rPr>
      </w:pPr>
    </w:p>
    <w:p>
      <w:pPr>
        <w:pStyle w:val="ListParagraph"/>
        <w:numPr>
          <w:ilvl w:val="2"/>
          <w:numId w:val="8"/>
        </w:numPr>
        <w:tabs>
          <w:tab w:pos="1731" w:val="left" w:leader="none"/>
          <w:tab w:pos="1732" w:val="left" w:leader="none"/>
        </w:tabs>
        <w:spacing w:line="240" w:lineRule="auto" w:before="0" w:after="0"/>
        <w:ind w:left="1732" w:right="0" w:hanging="540"/>
        <w:jc w:val="left"/>
        <w:rPr>
          <w:b/>
          <w:sz w:val="24"/>
        </w:rPr>
      </w:pPr>
      <w:r>
        <w:rPr>
          <w:b/>
          <w:spacing w:val="-3"/>
          <w:sz w:val="24"/>
        </w:rPr>
        <w:t>Qualification</w:t>
      </w:r>
    </w:p>
    <w:p>
      <w:pPr>
        <w:pStyle w:val="BodyText"/>
        <w:spacing w:before="1"/>
        <w:rPr>
          <w:b/>
          <w:sz w:val="21"/>
        </w:rPr>
      </w:pPr>
    </w:p>
    <w:p>
      <w:pPr>
        <w:pStyle w:val="BodyText"/>
        <w:spacing w:line="242" w:lineRule="auto"/>
        <w:ind w:left="1732" w:right="130"/>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Hospitals that received more than </w:t>
      </w:r>
      <w:r>
        <w:rPr/>
        <w:t>63% of </w:t>
      </w:r>
      <w:r>
        <w:rPr>
          <w:spacing w:val="-3"/>
        </w:rPr>
        <w:t>their Gross Patient Service Revenue </w:t>
      </w:r>
      <w:r>
        <w:rPr/>
        <w:t>in FY </w:t>
      </w:r>
      <w:r>
        <w:rPr>
          <w:spacing w:val="-3"/>
        </w:rPr>
        <w:t>2012 from government payers </w:t>
      </w:r>
      <w:r>
        <w:rPr/>
        <w:t>and </w:t>
      </w:r>
      <w:r>
        <w:rPr>
          <w:spacing w:val="-3"/>
        </w:rPr>
        <w:t>free care </w:t>
      </w:r>
      <w:r>
        <w:rPr/>
        <w:t>as </w:t>
      </w:r>
      <w:r>
        <w:rPr>
          <w:spacing w:val="-3"/>
        </w:rPr>
        <w:t>determined </w:t>
      </w:r>
      <w:r>
        <w:rPr/>
        <w:t>by the </w:t>
      </w:r>
      <w:r>
        <w:rPr>
          <w:spacing w:val="-3"/>
        </w:rPr>
        <w:t>Hospital’s </w:t>
      </w:r>
      <w:r>
        <w:rPr/>
        <w:t>FY </w:t>
      </w:r>
      <w:r>
        <w:rPr>
          <w:spacing w:val="-3"/>
        </w:rPr>
        <w:t>2012 -403 cost report.</w:t>
      </w:r>
    </w:p>
    <w:p>
      <w:pPr>
        <w:pStyle w:val="BodyText"/>
        <w:spacing w:before="2"/>
        <w:rPr>
          <w:sz w:val="21"/>
        </w:rPr>
      </w:pPr>
    </w:p>
    <w:p>
      <w:pPr>
        <w:pStyle w:val="Heading3"/>
        <w:numPr>
          <w:ilvl w:val="2"/>
          <w:numId w:val="8"/>
        </w:numPr>
        <w:tabs>
          <w:tab w:pos="1731" w:val="left" w:leader="none"/>
          <w:tab w:pos="1732" w:val="left" w:leader="none"/>
        </w:tabs>
        <w:spacing w:line="240" w:lineRule="auto" w:before="0" w:after="0"/>
        <w:ind w:left="1732" w:right="0" w:hanging="540"/>
        <w:jc w:val="left"/>
      </w:pPr>
      <w:r>
        <w:rPr>
          <w:spacing w:val="-3"/>
        </w:rPr>
        <w:t>Payment</w:t>
      </w:r>
      <w:r>
        <w:rPr>
          <w:spacing w:val="-2"/>
        </w:rPr>
        <w:t> </w:t>
      </w:r>
      <w:r>
        <w:rPr>
          <w:spacing w:val="-3"/>
        </w:rPr>
        <w:t>Methodology</w:t>
      </w:r>
    </w:p>
    <w:p>
      <w:pPr>
        <w:pStyle w:val="BodyText"/>
        <w:rPr>
          <w:b/>
          <w:sz w:val="28"/>
        </w:rPr>
      </w:pPr>
    </w:p>
    <w:p>
      <w:pPr>
        <w:pStyle w:val="BodyText"/>
        <w:spacing w:line="242" w:lineRule="auto"/>
        <w:ind w:left="1732" w:right="130"/>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supplemental payments </w:t>
      </w:r>
      <w:r>
        <w:rPr/>
        <w:t>to </w:t>
      </w:r>
      <w:r>
        <w:rPr>
          <w:spacing w:val="-3"/>
        </w:rPr>
        <w:t>each qualifying Disproportionate Share Hospital equal </w:t>
      </w:r>
      <w:r>
        <w:rPr/>
        <w:t>to the sum of 10 </w:t>
      </w:r>
      <w:r>
        <w:rPr>
          <w:spacing w:val="-3"/>
        </w:rPr>
        <w:t>percent </w:t>
      </w:r>
      <w:r>
        <w:rPr/>
        <w:t>of its </w:t>
      </w:r>
      <w:r>
        <w:rPr>
          <w:spacing w:val="-3"/>
        </w:rPr>
        <w:t>total</w:t>
      </w:r>
    </w:p>
    <w:p>
      <w:pPr>
        <w:spacing w:after="0" w:line="242" w:lineRule="auto"/>
        <w:sectPr>
          <w:footerReference w:type="default" r:id="rId17"/>
          <w:pgSz w:w="12240" w:h="15840"/>
          <w:pgMar w:footer="744" w:header="0" w:top="1380" w:bottom="940" w:left="1040" w:right="980"/>
        </w:sectPr>
      </w:pPr>
    </w:p>
    <w:p>
      <w:pPr>
        <w:pStyle w:val="BodyText"/>
        <w:spacing w:line="242" w:lineRule="auto" w:before="61"/>
        <w:ind w:left="1191" w:right="922"/>
      </w:pPr>
      <w:r>
        <w:rPr>
          <w:spacing w:val="-3"/>
        </w:rPr>
        <w:t>FY13 SPAD payments </w:t>
      </w:r>
      <w:r>
        <w:rPr/>
        <w:t>and 5 </w:t>
      </w:r>
      <w:r>
        <w:rPr>
          <w:spacing w:val="-3"/>
        </w:rPr>
        <w:t>percent </w:t>
      </w:r>
      <w:r>
        <w:rPr/>
        <w:t>of its </w:t>
      </w:r>
      <w:r>
        <w:rPr>
          <w:spacing w:val="-3"/>
        </w:rPr>
        <w:t>total FY13 PAPE payments based on Medicaid paid claims data </w:t>
      </w:r>
      <w:r>
        <w:rPr/>
        <w:t>on </w:t>
      </w:r>
      <w:r>
        <w:rPr>
          <w:spacing w:val="-3"/>
        </w:rPr>
        <w:t>file </w:t>
      </w:r>
      <w:r>
        <w:rPr/>
        <w:t>as of </w:t>
      </w:r>
      <w:r>
        <w:rPr>
          <w:spacing w:val="-3"/>
        </w:rPr>
        <w:t>March </w:t>
      </w:r>
      <w:r>
        <w:rPr/>
        <w:t>31, </w:t>
      </w:r>
      <w:r>
        <w:rPr>
          <w:spacing w:val="-3"/>
        </w:rPr>
        <w:t>2014.</w:t>
      </w:r>
    </w:p>
    <w:p>
      <w:pPr>
        <w:pStyle w:val="BodyText"/>
        <w:spacing w:before="7"/>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Essential MassHealth</w:t>
      </w:r>
      <w:r>
        <w:rPr>
          <w:spacing w:val="-1"/>
        </w:rPr>
        <w:t> </w:t>
      </w:r>
      <w:r>
        <w:rPr>
          <w:spacing w:val="-3"/>
        </w:rPr>
        <w:t>Hospitals</w:t>
      </w:r>
    </w:p>
    <w:p>
      <w:pPr>
        <w:pStyle w:val="BodyText"/>
        <w:spacing w:before="8"/>
        <w:rPr>
          <w:b/>
        </w:rPr>
      </w:pPr>
    </w:p>
    <w:p>
      <w:pPr>
        <w:pStyle w:val="ListParagraph"/>
        <w:numPr>
          <w:ilvl w:val="2"/>
          <w:numId w:val="8"/>
        </w:numPr>
        <w:tabs>
          <w:tab w:pos="1213" w:val="left" w:leader="none"/>
          <w:tab w:pos="1214" w:val="left" w:leader="none"/>
        </w:tabs>
        <w:spacing w:line="240" w:lineRule="auto" w:before="1" w:after="0"/>
        <w:ind w:left="1213" w:right="0" w:hanging="547"/>
        <w:jc w:val="left"/>
        <w:rPr>
          <w:b/>
          <w:sz w:val="24"/>
        </w:rPr>
      </w:pPr>
      <w:r>
        <w:rPr>
          <w:b/>
          <w:spacing w:val="-3"/>
          <w:sz w:val="24"/>
        </w:rPr>
        <w:t>Qualification</w:t>
      </w:r>
    </w:p>
    <w:p>
      <w:pPr>
        <w:pStyle w:val="BodyText"/>
        <w:spacing w:before="6"/>
        <w:rPr>
          <w:b/>
        </w:rPr>
      </w:pPr>
    </w:p>
    <w:p>
      <w:pPr>
        <w:pStyle w:val="BodyText"/>
        <w:spacing w:line="242" w:lineRule="auto"/>
        <w:ind w:left="1191" w:right="116"/>
      </w:pPr>
      <w:r>
        <w:rPr/>
        <w:t>In </w:t>
      </w:r>
      <w:r>
        <w:rPr>
          <w:spacing w:val="-3"/>
        </w:rPr>
        <w:t>order </w:t>
      </w:r>
      <w:r>
        <w:rPr/>
        <w:t>to </w:t>
      </w:r>
      <w:r>
        <w:rPr>
          <w:spacing w:val="-3"/>
        </w:rPr>
        <w:t>qualify for payment </w:t>
      </w:r>
      <w:r>
        <w:rPr/>
        <w:t>as an </w:t>
      </w:r>
      <w:r>
        <w:rPr>
          <w:spacing w:val="-3"/>
        </w:rPr>
        <w:t>Essential MassHealth Hospital, </w:t>
      </w:r>
      <w:r>
        <w:rPr/>
        <w:t>a </w:t>
      </w:r>
      <w:r>
        <w:rPr>
          <w:spacing w:val="-3"/>
        </w:rPr>
        <w:t>Hospital </w:t>
      </w:r>
      <w:r>
        <w:rPr>
          <w:spacing w:val="-4"/>
        </w:rPr>
        <w:t>must </w:t>
      </w:r>
      <w:r>
        <w:rPr>
          <w:spacing w:val="-3"/>
        </w:rPr>
        <w:t>itself meet, </w:t>
      </w:r>
      <w:r>
        <w:rPr/>
        <w:t>or be </w:t>
      </w:r>
      <w:r>
        <w:rPr>
          <w:spacing w:val="-3"/>
        </w:rPr>
        <w:t>within </w:t>
      </w:r>
      <w:r>
        <w:rPr/>
        <w:t>a </w:t>
      </w:r>
      <w:r>
        <w:rPr>
          <w:spacing w:val="-3"/>
        </w:rPr>
        <w:t>system </w:t>
      </w:r>
      <w:r>
        <w:rPr/>
        <w:t>of </w:t>
      </w:r>
      <w:r>
        <w:rPr>
          <w:spacing w:val="-3"/>
        </w:rPr>
        <w:t>hospitals, </w:t>
      </w:r>
      <w:r>
        <w:rPr/>
        <w:t>any one of </w:t>
      </w:r>
      <w:r>
        <w:rPr>
          <w:spacing w:val="-3"/>
        </w:rPr>
        <w:t>which meets </w:t>
      </w:r>
      <w:r>
        <w:rPr/>
        <w:t>at </w:t>
      </w:r>
      <w:r>
        <w:rPr>
          <w:spacing w:val="-3"/>
        </w:rPr>
        <w:t>least four </w:t>
      </w:r>
      <w:r>
        <w:rPr/>
        <w:t>of </w:t>
      </w:r>
      <w:r>
        <w:rPr>
          <w:spacing w:val="-3"/>
        </w:rPr>
        <w:t>the following criteria, </w:t>
      </w:r>
      <w:r>
        <w:rPr/>
        <w:t>as </w:t>
      </w:r>
      <w:r>
        <w:rPr>
          <w:spacing w:val="-3"/>
        </w:rPr>
        <w:t>determined </w:t>
      </w:r>
      <w:r>
        <w:rPr/>
        <w:t>by </w:t>
      </w:r>
      <w:r>
        <w:rPr>
          <w:spacing w:val="-3"/>
        </w:rPr>
        <w:t>EOHHS, provided that </w:t>
      </w:r>
      <w:r>
        <w:rPr/>
        <w:t>all </w:t>
      </w:r>
      <w:r>
        <w:rPr>
          <w:spacing w:val="-3"/>
        </w:rPr>
        <w:t>hospitals within such system </w:t>
      </w:r>
      <w:r>
        <w:rPr/>
        <w:t>are </w:t>
      </w:r>
      <w:r>
        <w:rPr>
          <w:spacing w:val="-3"/>
        </w:rPr>
        <w:t>owned </w:t>
      </w:r>
      <w:r>
        <w:rPr/>
        <w:t>or </w:t>
      </w:r>
      <w:r>
        <w:rPr>
          <w:spacing w:val="-3"/>
        </w:rPr>
        <w:t>controlled, directly </w:t>
      </w:r>
      <w:r>
        <w:rPr/>
        <w:t>or </w:t>
      </w:r>
      <w:r>
        <w:rPr>
          <w:spacing w:val="-3"/>
        </w:rPr>
        <w:t>indirectly, </w:t>
      </w:r>
      <w:r>
        <w:rPr/>
        <w:t>by a </w:t>
      </w:r>
      <w:r>
        <w:rPr>
          <w:spacing w:val="-3"/>
        </w:rPr>
        <w:t>single entity that </w:t>
      </w:r>
      <w:r>
        <w:rPr/>
        <w:t>(i) </w:t>
      </w:r>
      <w:r>
        <w:rPr>
          <w:spacing w:val="-3"/>
        </w:rPr>
        <w:t>was created </w:t>
      </w:r>
      <w:r>
        <w:rPr/>
        <w:t>by </w:t>
      </w:r>
      <w:r>
        <w:rPr>
          <w:spacing w:val="-3"/>
        </w:rPr>
        <w:t>state legislation prior </w:t>
      </w:r>
      <w:r>
        <w:rPr/>
        <w:t>to </w:t>
      </w:r>
      <w:r>
        <w:rPr>
          <w:spacing w:val="-3"/>
        </w:rPr>
        <w:t>1999; </w:t>
      </w:r>
      <w:r>
        <w:rPr/>
        <w:t>and </w:t>
      </w:r>
      <w:r>
        <w:rPr>
          <w:spacing w:val="-3"/>
        </w:rPr>
        <w:t>(ii) </w:t>
      </w:r>
      <w:r>
        <w:rPr/>
        <w:t>is </w:t>
      </w:r>
      <w:r>
        <w:rPr>
          <w:spacing w:val="-3"/>
        </w:rPr>
        <w:t>mandated </w:t>
      </w:r>
      <w:r>
        <w:rPr/>
        <w:t>to </w:t>
      </w:r>
      <w:r>
        <w:rPr>
          <w:spacing w:val="-3"/>
        </w:rPr>
        <w:t>pursue </w:t>
      </w:r>
      <w:r>
        <w:rPr/>
        <w:t>or </w:t>
      </w:r>
      <w:r>
        <w:rPr>
          <w:spacing w:val="-3"/>
        </w:rPr>
        <w:t>further </w:t>
      </w:r>
      <w:r>
        <w:rPr/>
        <w:t>a </w:t>
      </w:r>
      <w:r>
        <w:rPr>
          <w:spacing w:val="-3"/>
        </w:rPr>
        <w:t>public </w:t>
      </w:r>
      <w:r>
        <w:rPr>
          <w:spacing w:val="-4"/>
        </w:rPr>
        <w:t>mission:</w:t>
      </w:r>
    </w:p>
    <w:p>
      <w:pPr>
        <w:pStyle w:val="BodyText"/>
        <w:spacing w:before="8"/>
      </w:pPr>
    </w:p>
    <w:p>
      <w:pPr>
        <w:pStyle w:val="ListParagraph"/>
        <w:numPr>
          <w:ilvl w:val="3"/>
          <w:numId w:val="8"/>
        </w:numPr>
        <w:tabs>
          <w:tab w:pos="1731" w:val="left" w:leader="none"/>
          <w:tab w:pos="1732" w:val="left" w:leader="none"/>
        </w:tabs>
        <w:spacing w:line="240" w:lineRule="auto" w:before="0" w:after="0"/>
        <w:ind w:left="1732" w:right="0" w:hanging="540"/>
        <w:jc w:val="left"/>
        <w:rPr>
          <w:sz w:val="24"/>
        </w:rPr>
      </w:pPr>
      <w:r>
        <w:rPr>
          <w:sz w:val="24"/>
        </w:rPr>
        <w:t>The </w:t>
      </w:r>
      <w:r>
        <w:rPr>
          <w:spacing w:val="-3"/>
          <w:sz w:val="24"/>
        </w:rPr>
        <w:t>Hospital </w:t>
      </w:r>
      <w:r>
        <w:rPr>
          <w:sz w:val="24"/>
        </w:rPr>
        <w:t>is a </w:t>
      </w:r>
      <w:r>
        <w:rPr>
          <w:spacing w:val="-3"/>
          <w:sz w:val="24"/>
        </w:rPr>
        <w:t>non-state-owned public Acute</w:t>
      </w:r>
      <w:r>
        <w:rPr>
          <w:spacing w:val="-23"/>
          <w:sz w:val="24"/>
        </w:rPr>
        <w:t> </w:t>
      </w:r>
      <w:r>
        <w:rPr>
          <w:spacing w:val="-3"/>
          <w:sz w:val="24"/>
        </w:rPr>
        <w:t>Hospital.</w:t>
      </w:r>
    </w:p>
    <w:p>
      <w:pPr>
        <w:pStyle w:val="BodyText"/>
        <w:spacing w:before="10"/>
      </w:pPr>
    </w:p>
    <w:p>
      <w:pPr>
        <w:pStyle w:val="ListParagraph"/>
        <w:numPr>
          <w:ilvl w:val="3"/>
          <w:numId w:val="8"/>
        </w:numPr>
        <w:tabs>
          <w:tab w:pos="1731" w:val="left" w:leader="none"/>
          <w:tab w:pos="1732" w:val="left" w:leader="none"/>
        </w:tabs>
        <w:spacing w:line="242" w:lineRule="auto" w:before="0" w:after="0"/>
        <w:ind w:left="1732" w:right="628" w:hanging="540"/>
        <w:jc w:val="left"/>
        <w:rPr>
          <w:sz w:val="24"/>
        </w:rPr>
      </w:pPr>
      <w:r>
        <w:rPr>
          <w:sz w:val="24"/>
        </w:rPr>
        <w:t>The </w:t>
      </w:r>
      <w:r>
        <w:rPr>
          <w:spacing w:val="-3"/>
          <w:sz w:val="24"/>
        </w:rPr>
        <w:t>Hospital meets </w:t>
      </w:r>
      <w:r>
        <w:rPr>
          <w:sz w:val="24"/>
        </w:rPr>
        <w:t>the </w:t>
      </w:r>
      <w:r>
        <w:rPr>
          <w:spacing w:val="-3"/>
          <w:sz w:val="24"/>
        </w:rPr>
        <w:t>current MassHealth definition </w:t>
      </w:r>
      <w:r>
        <w:rPr>
          <w:sz w:val="24"/>
        </w:rPr>
        <w:t>of a </w:t>
      </w:r>
      <w:r>
        <w:rPr>
          <w:spacing w:val="-3"/>
          <w:sz w:val="24"/>
        </w:rPr>
        <w:t>non-profit teaching hospital affiliated with </w:t>
      </w:r>
      <w:r>
        <w:rPr>
          <w:sz w:val="24"/>
        </w:rPr>
        <w:t>a </w:t>
      </w:r>
      <w:r>
        <w:rPr>
          <w:spacing w:val="-4"/>
          <w:sz w:val="24"/>
        </w:rPr>
        <w:t>Commonwealth-owned </w:t>
      </w:r>
      <w:r>
        <w:rPr>
          <w:spacing w:val="-3"/>
          <w:sz w:val="24"/>
        </w:rPr>
        <w:t>medical</w:t>
      </w:r>
      <w:r>
        <w:rPr>
          <w:spacing w:val="10"/>
          <w:sz w:val="24"/>
        </w:rPr>
        <w:t> </w:t>
      </w:r>
      <w:r>
        <w:rPr>
          <w:spacing w:val="-3"/>
          <w:sz w:val="24"/>
        </w:rPr>
        <w:t>school.</w:t>
      </w:r>
    </w:p>
    <w:p>
      <w:pPr>
        <w:pStyle w:val="BodyText"/>
        <w:spacing w:before="7"/>
      </w:pPr>
    </w:p>
    <w:p>
      <w:pPr>
        <w:pStyle w:val="ListParagraph"/>
        <w:numPr>
          <w:ilvl w:val="3"/>
          <w:numId w:val="8"/>
        </w:numPr>
        <w:tabs>
          <w:tab w:pos="1731" w:val="left" w:leader="none"/>
          <w:tab w:pos="1732" w:val="left" w:leader="none"/>
        </w:tabs>
        <w:spacing w:line="240" w:lineRule="auto" w:before="0" w:after="0"/>
        <w:ind w:left="1732" w:right="0" w:hanging="540"/>
        <w:jc w:val="left"/>
        <w:rPr>
          <w:sz w:val="24"/>
        </w:rPr>
      </w:pPr>
      <w:r>
        <w:rPr>
          <w:sz w:val="24"/>
        </w:rPr>
        <w:t>The</w:t>
      </w:r>
      <w:r>
        <w:rPr>
          <w:spacing w:val="-6"/>
          <w:sz w:val="24"/>
        </w:rPr>
        <w:t> </w:t>
      </w:r>
      <w:r>
        <w:rPr>
          <w:spacing w:val="-3"/>
          <w:sz w:val="24"/>
        </w:rPr>
        <w:t>Hospital</w:t>
      </w:r>
      <w:r>
        <w:rPr>
          <w:spacing w:val="-6"/>
          <w:sz w:val="24"/>
        </w:rPr>
        <w:t> </w:t>
      </w:r>
      <w:r>
        <w:rPr>
          <w:sz w:val="24"/>
        </w:rPr>
        <w:t>has</w:t>
      </w:r>
      <w:r>
        <w:rPr>
          <w:spacing w:val="-6"/>
          <w:sz w:val="24"/>
        </w:rPr>
        <w:t> </w:t>
      </w:r>
      <w:r>
        <w:rPr>
          <w:sz w:val="24"/>
        </w:rPr>
        <w:t>at</w:t>
      </w:r>
      <w:r>
        <w:rPr>
          <w:spacing w:val="-6"/>
          <w:sz w:val="24"/>
        </w:rPr>
        <w:t> </w:t>
      </w:r>
      <w:r>
        <w:rPr>
          <w:spacing w:val="-3"/>
          <w:sz w:val="24"/>
        </w:rPr>
        <w:t>least</w:t>
      </w:r>
      <w:r>
        <w:rPr>
          <w:spacing w:val="-6"/>
          <w:sz w:val="24"/>
        </w:rPr>
        <w:t> </w:t>
      </w:r>
      <w:r>
        <w:rPr>
          <w:sz w:val="24"/>
        </w:rPr>
        <w:t>7%</w:t>
      </w:r>
      <w:r>
        <w:rPr>
          <w:spacing w:val="-6"/>
          <w:sz w:val="24"/>
        </w:rPr>
        <w:t> </w:t>
      </w:r>
      <w:r>
        <w:rPr>
          <w:sz w:val="24"/>
        </w:rPr>
        <w:t>of</w:t>
      </w:r>
      <w:r>
        <w:rPr>
          <w:spacing w:val="-6"/>
          <w:sz w:val="24"/>
        </w:rPr>
        <w:t> </w:t>
      </w:r>
      <w:r>
        <w:rPr>
          <w:sz w:val="24"/>
        </w:rPr>
        <w:t>its</w:t>
      </w:r>
      <w:r>
        <w:rPr>
          <w:spacing w:val="-6"/>
          <w:sz w:val="24"/>
        </w:rPr>
        <w:t> </w:t>
      </w:r>
      <w:r>
        <w:rPr>
          <w:spacing w:val="-3"/>
          <w:sz w:val="24"/>
        </w:rPr>
        <w:t>total</w:t>
      </w:r>
      <w:r>
        <w:rPr>
          <w:spacing w:val="-6"/>
          <w:sz w:val="24"/>
        </w:rPr>
        <w:t> </w:t>
      </w:r>
      <w:r>
        <w:rPr>
          <w:spacing w:val="-3"/>
          <w:sz w:val="24"/>
        </w:rPr>
        <w:t>patient</w:t>
      </w:r>
      <w:r>
        <w:rPr>
          <w:spacing w:val="-6"/>
          <w:sz w:val="24"/>
        </w:rPr>
        <w:t> </w:t>
      </w:r>
      <w:r>
        <w:rPr>
          <w:spacing w:val="-3"/>
          <w:sz w:val="24"/>
        </w:rPr>
        <w:t>days</w:t>
      </w:r>
      <w:r>
        <w:rPr>
          <w:spacing w:val="-6"/>
          <w:sz w:val="24"/>
        </w:rPr>
        <w:t> </w:t>
      </w:r>
      <w:r>
        <w:rPr>
          <w:sz w:val="24"/>
        </w:rPr>
        <w:t>as</w:t>
      </w:r>
      <w:r>
        <w:rPr>
          <w:spacing w:val="-6"/>
          <w:sz w:val="24"/>
        </w:rPr>
        <w:t> </w:t>
      </w:r>
      <w:r>
        <w:rPr>
          <w:spacing w:val="-3"/>
          <w:sz w:val="24"/>
        </w:rPr>
        <w:t>Medicaid</w:t>
      </w:r>
      <w:r>
        <w:rPr>
          <w:spacing w:val="-6"/>
          <w:sz w:val="24"/>
        </w:rPr>
        <w:t> </w:t>
      </w:r>
      <w:r>
        <w:rPr>
          <w:spacing w:val="-3"/>
          <w:sz w:val="24"/>
        </w:rPr>
        <w:t>days.</w:t>
      </w:r>
    </w:p>
    <w:p>
      <w:pPr>
        <w:pStyle w:val="BodyText"/>
        <w:spacing w:before="10"/>
      </w:pPr>
    </w:p>
    <w:p>
      <w:pPr>
        <w:pStyle w:val="ListParagraph"/>
        <w:numPr>
          <w:ilvl w:val="3"/>
          <w:numId w:val="8"/>
        </w:numPr>
        <w:tabs>
          <w:tab w:pos="1731" w:val="left" w:leader="none"/>
          <w:tab w:pos="1732" w:val="left" w:leader="none"/>
        </w:tabs>
        <w:spacing w:line="242" w:lineRule="auto" w:before="0" w:after="0"/>
        <w:ind w:left="1732" w:right="807" w:hanging="540"/>
        <w:jc w:val="left"/>
        <w:rPr>
          <w:sz w:val="24"/>
        </w:rPr>
      </w:pPr>
      <w:r>
        <w:rPr>
          <w:sz w:val="24"/>
        </w:rPr>
        <w:t>The </w:t>
      </w:r>
      <w:r>
        <w:rPr>
          <w:spacing w:val="-3"/>
          <w:sz w:val="24"/>
        </w:rPr>
        <w:t>Hospital </w:t>
      </w:r>
      <w:r>
        <w:rPr>
          <w:sz w:val="24"/>
        </w:rPr>
        <w:t>is an </w:t>
      </w:r>
      <w:r>
        <w:rPr>
          <w:spacing w:val="-3"/>
          <w:sz w:val="24"/>
        </w:rPr>
        <w:t>acute-care general Hospital located </w:t>
      </w:r>
      <w:r>
        <w:rPr>
          <w:sz w:val="24"/>
        </w:rPr>
        <w:t>in </w:t>
      </w:r>
      <w:r>
        <w:rPr>
          <w:spacing w:val="-3"/>
          <w:sz w:val="24"/>
        </w:rPr>
        <w:t>Massachusetts that provides medical, surgical, Emergency </w:t>
      </w:r>
      <w:r>
        <w:rPr>
          <w:sz w:val="24"/>
        </w:rPr>
        <w:t>and </w:t>
      </w:r>
      <w:r>
        <w:rPr>
          <w:spacing w:val="-3"/>
          <w:sz w:val="24"/>
        </w:rPr>
        <w:t>obstetrical</w:t>
      </w:r>
      <w:r>
        <w:rPr>
          <w:spacing w:val="-13"/>
          <w:sz w:val="24"/>
        </w:rPr>
        <w:t> </w:t>
      </w:r>
      <w:r>
        <w:rPr>
          <w:spacing w:val="-3"/>
          <w:sz w:val="24"/>
        </w:rPr>
        <w:t>services.</w:t>
      </w:r>
    </w:p>
    <w:p>
      <w:pPr>
        <w:pStyle w:val="BodyText"/>
        <w:spacing w:before="7"/>
      </w:pPr>
    </w:p>
    <w:p>
      <w:pPr>
        <w:pStyle w:val="ListParagraph"/>
        <w:numPr>
          <w:ilvl w:val="3"/>
          <w:numId w:val="8"/>
        </w:numPr>
        <w:tabs>
          <w:tab w:pos="1731" w:val="left" w:leader="none"/>
          <w:tab w:pos="1732" w:val="left" w:leader="none"/>
        </w:tabs>
        <w:spacing w:line="242" w:lineRule="auto" w:before="1" w:after="0"/>
        <w:ind w:left="1732" w:right="150" w:hanging="540"/>
        <w:jc w:val="left"/>
        <w:rPr>
          <w:sz w:val="24"/>
        </w:rPr>
      </w:pPr>
      <w:r>
        <w:rPr>
          <w:sz w:val="24"/>
        </w:rPr>
        <w:t>The </w:t>
      </w:r>
      <w:r>
        <w:rPr>
          <w:spacing w:val="-3"/>
          <w:sz w:val="24"/>
        </w:rPr>
        <w:t>Hospital enters into </w:t>
      </w:r>
      <w:r>
        <w:rPr>
          <w:sz w:val="24"/>
        </w:rPr>
        <w:t>a </w:t>
      </w:r>
      <w:r>
        <w:rPr>
          <w:spacing w:val="-3"/>
          <w:sz w:val="24"/>
        </w:rPr>
        <w:t>separate contract with EOHHS relating </w:t>
      </w:r>
      <w:r>
        <w:rPr>
          <w:sz w:val="24"/>
        </w:rPr>
        <w:t>to </w:t>
      </w:r>
      <w:r>
        <w:rPr>
          <w:spacing w:val="-3"/>
          <w:sz w:val="24"/>
        </w:rPr>
        <w:t>payment </w:t>
      </w:r>
      <w:r>
        <w:rPr>
          <w:sz w:val="24"/>
        </w:rPr>
        <w:t>as </w:t>
      </w:r>
      <w:r>
        <w:rPr>
          <w:spacing w:val="-3"/>
          <w:sz w:val="24"/>
        </w:rPr>
        <w:t>an Essential MassHealth</w:t>
      </w:r>
      <w:r>
        <w:rPr>
          <w:spacing w:val="-1"/>
          <w:sz w:val="24"/>
        </w:rPr>
        <w:t> </w:t>
      </w:r>
      <w:r>
        <w:rPr>
          <w:spacing w:val="-3"/>
          <w:sz w:val="24"/>
        </w:rPr>
        <w:t>Hospital.</w:t>
      </w:r>
    </w:p>
    <w:p>
      <w:pPr>
        <w:pStyle w:val="BodyText"/>
        <w:spacing w:before="9"/>
      </w:pPr>
    </w:p>
    <w:p>
      <w:pPr>
        <w:pStyle w:val="Heading3"/>
        <w:numPr>
          <w:ilvl w:val="2"/>
          <w:numId w:val="8"/>
        </w:numPr>
        <w:tabs>
          <w:tab w:pos="1213" w:val="left" w:leader="none"/>
          <w:tab w:pos="1215" w:val="left" w:leader="none"/>
        </w:tabs>
        <w:spacing w:line="240" w:lineRule="auto" w:before="0" w:after="0"/>
        <w:ind w:left="1214" w:right="0" w:hanging="548"/>
        <w:jc w:val="left"/>
      </w:pPr>
      <w:r>
        <w:rPr>
          <w:spacing w:val="-3"/>
        </w:rPr>
        <w:t>Reimbursement</w:t>
      </w:r>
      <w:r>
        <w:rPr>
          <w:spacing w:val="-2"/>
        </w:rPr>
        <w:t> </w:t>
      </w:r>
      <w:r>
        <w:rPr>
          <w:spacing w:val="-3"/>
        </w:rPr>
        <w:t>Methodology</w:t>
      </w:r>
    </w:p>
    <w:p>
      <w:pPr>
        <w:pStyle w:val="BodyText"/>
        <w:spacing w:before="10"/>
        <w:rPr>
          <w:b/>
          <w:sz w:val="25"/>
        </w:rPr>
      </w:pPr>
    </w:p>
    <w:p>
      <w:pPr>
        <w:pStyle w:val="BodyText"/>
        <w:spacing w:line="242" w:lineRule="auto"/>
        <w:ind w:left="1191" w:right="96"/>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Essential MassHealth Hospitals.  </w:t>
      </w:r>
      <w:r>
        <w:rPr/>
        <w:t>The </w:t>
      </w:r>
      <w:r>
        <w:rPr>
          <w:spacing w:val="-3"/>
        </w:rPr>
        <w:t>payment amount will </w:t>
      </w:r>
      <w:r>
        <w:rPr/>
        <w:t>be (i) </w:t>
      </w:r>
      <w:r>
        <w:rPr>
          <w:spacing w:val="-3"/>
        </w:rPr>
        <w:t>determined </w:t>
      </w:r>
      <w:r>
        <w:rPr/>
        <w:t>by </w:t>
      </w:r>
      <w:r>
        <w:rPr>
          <w:spacing w:val="-3"/>
        </w:rPr>
        <w:t>EOHHS using data filed </w:t>
      </w:r>
      <w:r>
        <w:rPr/>
        <w:t>by </w:t>
      </w:r>
      <w:r>
        <w:rPr>
          <w:spacing w:val="-3"/>
        </w:rPr>
        <w:t>each qualifying Hospital </w:t>
      </w:r>
      <w:r>
        <w:rPr/>
        <w:t>in </w:t>
      </w:r>
      <w:r>
        <w:rPr>
          <w:spacing w:val="-3"/>
        </w:rPr>
        <w:t>financial reports </w:t>
      </w:r>
      <w:r>
        <w:rPr/>
        <w:t>as </w:t>
      </w:r>
      <w:r>
        <w:rPr>
          <w:spacing w:val="-3"/>
        </w:rPr>
        <w:t>required </w:t>
      </w:r>
      <w:r>
        <w:rPr/>
        <w:t>by </w:t>
      </w:r>
      <w:r>
        <w:rPr>
          <w:spacing w:val="-3"/>
        </w:rPr>
        <w:t>EOHHS, </w:t>
      </w:r>
      <w:r>
        <w:rPr/>
        <w:t>and </w:t>
      </w:r>
      <w:r>
        <w:rPr>
          <w:spacing w:val="-3"/>
        </w:rPr>
        <w:t>(ii) specified </w:t>
      </w:r>
      <w:r>
        <w:rPr/>
        <w:t>in an </w:t>
      </w:r>
      <w:r>
        <w:rPr>
          <w:spacing w:val="-3"/>
        </w:rPr>
        <w:t>agreement between EOHHS </w:t>
      </w:r>
      <w:r>
        <w:rPr/>
        <w:t>and the </w:t>
      </w:r>
      <w:r>
        <w:rPr>
          <w:spacing w:val="-3"/>
        </w:rPr>
        <w:t>qualifying Hospital.</w:t>
      </w:r>
    </w:p>
    <w:p>
      <w:pPr>
        <w:pStyle w:val="BodyText"/>
        <w:spacing w:before="3"/>
      </w:pPr>
    </w:p>
    <w:p>
      <w:pPr>
        <w:pStyle w:val="BodyText"/>
        <w:spacing w:line="242" w:lineRule="auto" w:before="1"/>
        <w:ind w:left="1191" w:right="236"/>
      </w:pPr>
      <w:r>
        <w:rPr>
          <w:spacing w:val="-3"/>
        </w:rPr>
        <w:t>EOHHS reserves </w:t>
      </w:r>
      <w:r>
        <w:rPr/>
        <w:t>the </w:t>
      </w:r>
      <w:r>
        <w:rPr>
          <w:spacing w:val="-3"/>
        </w:rPr>
        <w:t>right </w:t>
      </w:r>
      <w:r>
        <w:rPr/>
        <w:t>to </w:t>
      </w:r>
      <w:r>
        <w:rPr>
          <w:spacing w:val="-3"/>
        </w:rPr>
        <w:t>make payments </w:t>
      </w:r>
      <w:r>
        <w:rPr/>
        <w:t>to </w:t>
      </w:r>
      <w:r>
        <w:rPr>
          <w:spacing w:val="-3"/>
        </w:rPr>
        <w:t>Essential MassHealth Hospitals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w:t>
      </w:r>
      <w:r>
        <w:rPr/>
        <w:t>as </w:t>
      </w:r>
      <w:r>
        <w:rPr>
          <w:spacing w:val="-3"/>
        </w:rPr>
        <w:t>may be approved </w:t>
      </w:r>
      <w:r>
        <w:rPr/>
        <w:t>by </w:t>
      </w:r>
      <w:r>
        <w:rPr>
          <w:spacing w:val="-3"/>
        </w:rPr>
        <w:t>CMS.</w:t>
      </w:r>
    </w:p>
    <w:p>
      <w:pPr>
        <w:pStyle w:val="BodyText"/>
        <w:spacing w:before="4"/>
      </w:pPr>
    </w:p>
    <w:p>
      <w:pPr>
        <w:pStyle w:val="BodyText"/>
        <w:spacing w:line="242" w:lineRule="auto"/>
        <w:ind w:left="1191" w:right="236"/>
      </w:pPr>
      <w:r>
        <w:rPr>
          <w:spacing w:val="-3"/>
        </w:rPr>
        <w:t>Acute Hospitals that receive payment </w:t>
      </w:r>
      <w:r>
        <w:rPr/>
        <w:t>as </w:t>
      </w:r>
      <w:r>
        <w:rPr>
          <w:spacing w:val="-3"/>
        </w:rPr>
        <w:t>Essential MassHealth Hospitals shall be determined </w:t>
      </w:r>
      <w:r>
        <w:rPr/>
        <w:t>by </w:t>
      </w:r>
      <w:r>
        <w:rPr>
          <w:spacing w:val="-3"/>
        </w:rPr>
        <w:t>EOHHS.</w:t>
      </w:r>
    </w:p>
    <w:p>
      <w:pPr>
        <w:spacing w:after="0" w:line="242" w:lineRule="auto"/>
        <w:sectPr>
          <w:footerReference w:type="default" r:id="rId18"/>
          <w:pgSz w:w="12240" w:h="15840"/>
          <w:pgMar w:footer="744" w:header="0" w:top="1380" w:bottom="940" w:left="1580" w:right="980"/>
          <w:pgNumType w:start="41"/>
        </w:sectPr>
      </w:pPr>
    </w:p>
    <w:p>
      <w:pPr>
        <w:pStyle w:val="Heading3"/>
        <w:numPr>
          <w:ilvl w:val="1"/>
          <w:numId w:val="8"/>
        </w:numPr>
        <w:tabs>
          <w:tab w:pos="652" w:val="left" w:leader="none"/>
          <w:tab w:pos="653" w:val="left" w:leader="none"/>
        </w:tabs>
        <w:spacing w:line="240" w:lineRule="auto" w:before="65" w:after="0"/>
        <w:ind w:left="652" w:right="0" w:hanging="540"/>
        <w:jc w:val="left"/>
      </w:pPr>
      <w:r>
        <w:rPr>
          <w:spacing w:val="-3"/>
        </w:rPr>
        <w:t>Acute Hospitals with High Medicaid</w:t>
      </w:r>
      <w:r>
        <w:rPr/>
        <w:t> </w:t>
      </w:r>
      <w:r>
        <w:rPr>
          <w:spacing w:val="-3"/>
        </w:rPr>
        <w:t>Discharges</w:t>
      </w:r>
    </w:p>
    <w:p>
      <w:pPr>
        <w:pStyle w:val="BodyText"/>
        <w:spacing w:before="5"/>
        <w:rPr>
          <w:b/>
        </w:rPr>
      </w:pPr>
    </w:p>
    <w:p>
      <w:pPr>
        <w:pStyle w:val="BodyText"/>
        <w:spacing w:line="242" w:lineRule="auto" w:before="1"/>
        <w:ind w:left="651" w:right="200"/>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Acute Hospitals with High Medicaid Discharges when compared with other participating MassHealth Hospitals. To </w:t>
      </w:r>
      <w:r>
        <w:rPr/>
        <w:t>be </w:t>
      </w:r>
      <w:r>
        <w:rPr>
          <w:spacing w:val="-3"/>
        </w:rPr>
        <w:t>eligible </w:t>
      </w:r>
      <w:r>
        <w:rPr/>
        <w:t>for a </w:t>
      </w:r>
      <w:r>
        <w:rPr>
          <w:spacing w:val="-3"/>
        </w:rPr>
        <w:t>payment pursuant </w:t>
      </w:r>
      <w:r>
        <w:rPr/>
        <w:t>to </w:t>
      </w:r>
      <w:r>
        <w:rPr>
          <w:spacing w:val="-3"/>
        </w:rPr>
        <w:t>this section, </w:t>
      </w:r>
      <w:r>
        <w:rPr/>
        <w:t>a </w:t>
      </w:r>
      <w:r>
        <w:rPr>
          <w:spacing w:val="-3"/>
        </w:rPr>
        <w:t>Hospital must have more than 2.7% </w:t>
      </w:r>
      <w:r>
        <w:rPr/>
        <w:t>of </w:t>
      </w:r>
      <w:r>
        <w:rPr>
          <w:spacing w:val="-3"/>
        </w:rPr>
        <w:t>the statewide share </w:t>
      </w:r>
      <w:r>
        <w:rPr/>
        <w:t>of </w:t>
      </w:r>
      <w:r>
        <w:rPr>
          <w:spacing w:val="-3"/>
        </w:rPr>
        <w:t>Medicaid discharges, </w:t>
      </w:r>
      <w:r>
        <w:rPr/>
        <w:t>as </w:t>
      </w:r>
      <w:r>
        <w:rPr>
          <w:spacing w:val="-3"/>
        </w:rPr>
        <w:t>determined </w:t>
      </w:r>
      <w:r>
        <w:rPr/>
        <w:t>by </w:t>
      </w:r>
      <w:r>
        <w:rPr>
          <w:spacing w:val="-3"/>
        </w:rPr>
        <w:t>dividing each Hospital’s total Medicaid discharges </w:t>
      </w:r>
      <w:r>
        <w:rPr/>
        <w:t>as </w:t>
      </w:r>
      <w:r>
        <w:rPr>
          <w:spacing w:val="-3"/>
        </w:rPr>
        <w:t>reported </w:t>
      </w:r>
      <w:r>
        <w:rPr/>
        <w:t>on the </w:t>
      </w:r>
      <w:r>
        <w:rPr>
          <w:spacing w:val="-3"/>
        </w:rPr>
        <w:t>Hospital’s -403 cost report </w:t>
      </w:r>
      <w:r>
        <w:rPr/>
        <w:t>by the </w:t>
      </w:r>
      <w:r>
        <w:rPr>
          <w:spacing w:val="-3"/>
        </w:rPr>
        <w:t>total statewide Medicaid discharges </w:t>
      </w:r>
      <w:r>
        <w:rPr/>
        <w:t>for all</w:t>
      </w:r>
      <w:r>
        <w:rPr>
          <w:spacing w:val="-20"/>
        </w:rPr>
        <w:t> </w:t>
      </w:r>
      <w:r>
        <w:rPr>
          <w:spacing w:val="-3"/>
        </w:rPr>
        <w:t>Hospitals.</w:t>
      </w:r>
    </w:p>
    <w:p>
      <w:pPr>
        <w:pStyle w:val="BodyText"/>
        <w:spacing w:before="4"/>
      </w:pPr>
    </w:p>
    <w:p>
      <w:pPr>
        <w:pStyle w:val="BodyText"/>
        <w:spacing w:line="242" w:lineRule="auto"/>
        <w:ind w:left="651" w:right="236"/>
      </w:pPr>
      <w:r>
        <w:rPr/>
        <w:t>The </w:t>
      </w:r>
      <w:r>
        <w:rPr>
          <w:spacing w:val="-3"/>
        </w:rPr>
        <w:t>payment amount </w:t>
      </w:r>
      <w:r>
        <w:rPr/>
        <w:t>for </w:t>
      </w:r>
      <w:r>
        <w:rPr>
          <w:spacing w:val="-3"/>
        </w:rPr>
        <w:t>inpatient services </w:t>
      </w:r>
      <w:r>
        <w:rPr/>
        <w:t>is the </w:t>
      </w:r>
      <w:r>
        <w:rPr>
          <w:spacing w:val="-3"/>
        </w:rPr>
        <w:t>lower </w:t>
      </w:r>
      <w:r>
        <w:rPr/>
        <w:t>of (1) the </w:t>
      </w:r>
      <w:r>
        <w:rPr>
          <w:spacing w:val="-3"/>
        </w:rPr>
        <w:t>variance between the Hospital’s inpatient Medicaid payments </w:t>
      </w:r>
      <w:r>
        <w:rPr/>
        <w:t>and </w:t>
      </w:r>
      <w:r>
        <w:rPr>
          <w:spacing w:val="-3"/>
        </w:rPr>
        <w:t>charges, </w:t>
      </w:r>
      <w:r>
        <w:rPr/>
        <w:t>or (2) the </w:t>
      </w:r>
      <w:r>
        <w:rPr>
          <w:spacing w:val="-3"/>
        </w:rPr>
        <w:t>Hospital’s Health Safety Net Trust Fund-funded payment </w:t>
      </w:r>
      <w:r>
        <w:rPr>
          <w:spacing w:val="-4"/>
        </w:rPr>
        <w:t>amount.</w:t>
      </w:r>
    </w:p>
    <w:p>
      <w:pPr>
        <w:pStyle w:val="BodyText"/>
        <w:spacing w:before="3"/>
      </w:pPr>
    </w:p>
    <w:p>
      <w:pPr>
        <w:pStyle w:val="BodyText"/>
        <w:spacing w:line="242" w:lineRule="auto" w:before="1"/>
        <w:ind w:left="651" w:right="236"/>
      </w:pPr>
      <w:r>
        <w:rPr/>
        <w:t>The </w:t>
      </w:r>
      <w:r>
        <w:rPr>
          <w:spacing w:val="-3"/>
        </w:rPr>
        <w:t>payment amount </w:t>
      </w:r>
      <w:r>
        <w:rPr/>
        <w:t>for </w:t>
      </w:r>
      <w:r>
        <w:rPr>
          <w:spacing w:val="-3"/>
        </w:rPr>
        <w:t>outpatient services </w:t>
      </w:r>
      <w:r>
        <w:rPr/>
        <w:t>is the </w:t>
      </w:r>
      <w:r>
        <w:rPr>
          <w:spacing w:val="-3"/>
        </w:rPr>
        <w:t>lower </w:t>
      </w:r>
      <w:r>
        <w:rPr/>
        <w:t>of (1) the </w:t>
      </w:r>
      <w:r>
        <w:rPr>
          <w:spacing w:val="-3"/>
        </w:rPr>
        <w:t>variance between the Hospital’s outpatient Medicaid payments </w:t>
      </w:r>
      <w:r>
        <w:rPr/>
        <w:t>and </w:t>
      </w:r>
      <w:r>
        <w:rPr>
          <w:spacing w:val="-3"/>
        </w:rPr>
        <w:t>costs, </w:t>
      </w:r>
      <w:r>
        <w:rPr/>
        <w:t>or (2) the </w:t>
      </w:r>
      <w:r>
        <w:rPr>
          <w:spacing w:val="-3"/>
        </w:rPr>
        <w:t>Hospital’s Health Safety Net Trust Fund-funded payment </w:t>
      </w:r>
      <w:r>
        <w:rPr>
          <w:spacing w:val="-4"/>
        </w:rPr>
        <w:t>amount.</w:t>
      </w:r>
    </w:p>
    <w:p>
      <w:pPr>
        <w:pStyle w:val="BodyText"/>
        <w:spacing w:before="4"/>
      </w:pPr>
    </w:p>
    <w:p>
      <w:pPr>
        <w:pStyle w:val="BodyText"/>
        <w:spacing w:line="242" w:lineRule="auto"/>
        <w:ind w:left="651" w:right="236"/>
      </w:pPr>
      <w:r>
        <w:rPr>
          <w:spacing w:val="-3"/>
        </w:rPr>
        <w:t>EOHHS reserves </w:t>
      </w:r>
      <w:r>
        <w:rPr/>
        <w:t>the </w:t>
      </w:r>
      <w:r>
        <w:rPr>
          <w:spacing w:val="-3"/>
        </w:rPr>
        <w:t>right </w:t>
      </w:r>
      <w:r>
        <w:rPr/>
        <w:t>to </w:t>
      </w:r>
      <w:r>
        <w:rPr>
          <w:spacing w:val="-3"/>
        </w:rPr>
        <w:t>make payments </w:t>
      </w:r>
      <w:r>
        <w:rPr/>
        <w:t>to </w:t>
      </w:r>
      <w:r>
        <w:rPr>
          <w:spacing w:val="-3"/>
        </w:rPr>
        <w:t>Acute Hospitals with High Medicaid Discharges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as may </w:t>
      </w:r>
      <w:r>
        <w:rPr/>
        <w:t>be </w:t>
      </w:r>
      <w:r>
        <w:rPr>
          <w:spacing w:val="-3"/>
        </w:rPr>
        <w:t>approved </w:t>
      </w:r>
      <w:r>
        <w:rPr/>
        <w:t>by </w:t>
      </w:r>
      <w:r>
        <w:rPr>
          <w:spacing w:val="-3"/>
        </w:rPr>
        <w:t>CMS.</w:t>
      </w:r>
    </w:p>
    <w:p>
      <w:pPr>
        <w:pStyle w:val="BodyText"/>
        <w:spacing w:before="3"/>
      </w:pPr>
    </w:p>
    <w:p>
      <w:pPr>
        <w:pStyle w:val="BodyText"/>
        <w:spacing w:line="242" w:lineRule="auto" w:before="1"/>
        <w:ind w:left="651"/>
      </w:pPr>
      <w:r>
        <w:rPr>
          <w:spacing w:val="-3"/>
        </w:rPr>
        <w:t>Acute Hospitals that receive payment </w:t>
      </w:r>
      <w:r>
        <w:rPr/>
        <w:t>as </w:t>
      </w:r>
      <w:r>
        <w:rPr>
          <w:spacing w:val="-3"/>
        </w:rPr>
        <w:t>Acute Hospitals with High Medicaid Discharges shall </w:t>
      </w:r>
      <w:r>
        <w:rPr/>
        <w:t>be </w:t>
      </w:r>
      <w:r>
        <w:rPr>
          <w:spacing w:val="-3"/>
        </w:rPr>
        <w:t>determined </w:t>
      </w:r>
      <w:r>
        <w:rPr/>
        <w:t>by </w:t>
      </w:r>
      <w:r>
        <w:rPr>
          <w:spacing w:val="-3"/>
        </w:rPr>
        <w:t>EOHHS.</w:t>
      </w:r>
    </w:p>
    <w:p>
      <w:pPr>
        <w:pStyle w:val="BodyText"/>
        <w:spacing w:before="6"/>
      </w:pPr>
    </w:p>
    <w:p>
      <w:pPr>
        <w:pStyle w:val="Heading3"/>
        <w:numPr>
          <w:ilvl w:val="1"/>
          <w:numId w:val="8"/>
        </w:numPr>
        <w:tabs>
          <w:tab w:pos="652" w:val="left" w:leader="none"/>
          <w:tab w:pos="653" w:val="left" w:leader="none"/>
        </w:tabs>
        <w:spacing w:line="242" w:lineRule="auto" w:before="0" w:after="0"/>
        <w:ind w:left="652" w:right="942" w:hanging="540"/>
        <w:jc w:val="left"/>
        <w:rPr>
          <w:rFonts w:ascii="Book Antiqua"/>
        </w:rPr>
      </w:pPr>
      <w:r>
        <w:rPr>
          <w:spacing w:val="-3"/>
        </w:rPr>
        <w:t>Supplemental Payment </w:t>
      </w:r>
      <w:r>
        <w:rPr/>
        <w:t>for </w:t>
      </w:r>
      <w:r>
        <w:rPr>
          <w:spacing w:val="-3"/>
        </w:rPr>
        <w:t>High Medicaid Volume Freestanding Pediatric Acute Hospitals</w:t>
      </w:r>
    </w:p>
    <w:p>
      <w:pPr>
        <w:pStyle w:val="BodyText"/>
        <w:spacing w:before="2"/>
        <w:rPr>
          <w:b/>
        </w:rPr>
      </w:pPr>
    </w:p>
    <w:p>
      <w:pPr>
        <w:pStyle w:val="BodyText"/>
        <w:spacing w:line="242" w:lineRule="auto"/>
        <w:ind w:left="651" w:right="236"/>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waiver provisions, </w:t>
      </w:r>
      <w:r>
        <w:rPr/>
        <w:t>and </w:t>
      </w:r>
      <w:r>
        <w:rPr>
          <w:spacing w:val="-3"/>
        </w:rPr>
        <w:t>payment limits, </w:t>
      </w:r>
      <w:r>
        <w:rPr/>
        <w:t>and </w:t>
      </w:r>
      <w:r>
        <w:rPr>
          <w:spacing w:val="-3"/>
        </w:rPr>
        <w:t>full federal financial participation, EOHHS will make </w:t>
      </w:r>
      <w:r>
        <w:rPr/>
        <w:t>a </w:t>
      </w:r>
      <w:r>
        <w:rPr>
          <w:spacing w:val="-3"/>
        </w:rPr>
        <w:t>supplemental payment equal </w:t>
      </w:r>
      <w:r>
        <w:rPr/>
        <w:t>to </w:t>
      </w:r>
      <w:r>
        <w:rPr>
          <w:spacing w:val="-3"/>
        </w:rPr>
        <w:t>$3.85 million </w:t>
      </w:r>
      <w:r>
        <w:rPr/>
        <w:t>to </w:t>
      </w:r>
      <w:r>
        <w:rPr>
          <w:spacing w:val="-3"/>
        </w:rPr>
        <w:t>High Medicaid Volume Freestanding Pediatric Acute Hospitals, </w:t>
      </w:r>
      <w:r>
        <w:rPr/>
        <w:t>to </w:t>
      </w:r>
      <w:r>
        <w:rPr>
          <w:spacing w:val="-3"/>
        </w:rPr>
        <w:t>account </w:t>
      </w:r>
      <w:r>
        <w:rPr/>
        <w:t>for </w:t>
      </w:r>
      <w:r>
        <w:rPr>
          <w:spacing w:val="-3"/>
        </w:rPr>
        <w:t>high Medicaid volume. Such payment amount </w:t>
      </w:r>
      <w:r>
        <w:rPr/>
        <w:t>is </w:t>
      </w:r>
      <w:r>
        <w:rPr>
          <w:spacing w:val="-3"/>
        </w:rPr>
        <w:t>determined </w:t>
      </w:r>
      <w:r>
        <w:rPr/>
        <w:t>by </w:t>
      </w:r>
      <w:r>
        <w:rPr>
          <w:spacing w:val="-3"/>
        </w:rPr>
        <w:t>EOHHS based </w:t>
      </w:r>
      <w:r>
        <w:rPr/>
        <w:t>on </w:t>
      </w:r>
      <w:r>
        <w:rPr>
          <w:spacing w:val="-3"/>
        </w:rPr>
        <w:t>data filed </w:t>
      </w:r>
      <w:r>
        <w:rPr/>
        <w:t>by </w:t>
      </w:r>
      <w:r>
        <w:rPr>
          <w:spacing w:val="-3"/>
        </w:rPr>
        <w:t>each qualifying Hospital </w:t>
      </w:r>
      <w:r>
        <w:rPr/>
        <w:t>in its </w:t>
      </w:r>
      <w:r>
        <w:rPr>
          <w:spacing w:val="-3"/>
        </w:rPr>
        <w:t>financial </w:t>
      </w:r>
      <w:r>
        <w:rPr/>
        <w:t>and </w:t>
      </w:r>
      <w:r>
        <w:rPr>
          <w:spacing w:val="-3"/>
        </w:rPr>
        <w:t>cost reports, </w:t>
      </w:r>
      <w:r>
        <w:rPr/>
        <w:t>and </w:t>
      </w:r>
      <w:r>
        <w:rPr>
          <w:spacing w:val="-3"/>
        </w:rPr>
        <w:t>projected Medicaid volume </w:t>
      </w:r>
      <w:r>
        <w:rPr/>
        <w:t>for </w:t>
      </w:r>
      <w:r>
        <w:rPr>
          <w:spacing w:val="-3"/>
        </w:rPr>
        <w:t>the Hospital Rate Year.</w:t>
      </w:r>
    </w:p>
    <w:p>
      <w:pPr>
        <w:pStyle w:val="BodyText"/>
        <w:spacing w:before="3"/>
      </w:pPr>
    </w:p>
    <w:p>
      <w:pPr>
        <w:pStyle w:val="BodyText"/>
        <w:spacing w:line="242" w:lineRule="auto" w:before="1"/>
        <w:ind w:left="651" w:right="112"/>
      </w:pPr>
      <w:r>
        <w:rPr>
          <w:spacing w:val="-3"/>
        </w:rPr>
        <w:t>EOHHS reserves </w:t>
      </w:r>
      <w:r>
        <w:rPr/>
        <w:t>the </w:t>
      </w:r>
      <w:r>
        <w:rPr>
          <w:spacing w:val="-3"/>
        </w:rPr>
        <w:t>right </w:t>
      </w:r>
      <w:r>
        <w:rPr/>
        <w:t>to </w:t>
      </w:r>
      <w:r>
        <w:rPr>
          <w:spacing w:val="-3"/>
        </w:rPr>
        <w:t>make payments </w:t>
      </w:r>
      <w:r>
        <w:rPr/>
        <w:t>to </w:t>
      </w:r>
      <w:r>
        <w:rPr>
          <w:spacing w:val="-3"/>
        </w:rPr>
        <w:t>High Medicaid Volume Freestanding Pediatric Hospitals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as may </w:t>
      </w:r>
      <w:r>
        <w:rPr/>
        <w:t>be </w:t>
      </w:r>
      <w:r>
        <w:rPr>
          <w:spacing w:val="-3"/>
        </w:rPr>
        <w:t>approved </w:t>
      </w:r>
      <w:r>
        <w:rPr/>
        <w:t>by </w:t>
      </w:r>
      <w:r>
        <w:rPr>
          <w:spacing w:val="-3"/>
        </w:rPr>
        <w:t>CMS.</w:t>
      </w:r>
    </w:p>
    <w:p>
      <w:pPr>
        <w:pStyle w:val="BodyText"/>
        <w:spacing w:before="4"/>
      </w:pPr>
    </w:p>
    <w:p>
      <w:pPr>
        <w:pStyle w:val="BodyText"/>
        <w:spacing w:line="242" w:lineRule="auto"/>
        <w:ind w:left="651"/>
      </w:pPr>
      <w:r>
        <w:rPr>
          <w:spacing w:val="-3"/>
        </w:rPr>
        <w:t>Acute Hospitals that receive payment </w:t>
      </w:r>
      <w:r>
        <w:rPr/>
        <w:t>as </w:t>
      </w:r>
      <w:r>
        <w:rPr>
          <w:spacing w:val="-3"/>
        </w:rPr>
        <w:t>High Medicaid Volume Freestanding Pediatric Acute Hospitals shall </w:t>
      </w:r>
      <w:r>
        <w:rPr/>
        <w:t>be </w:t>
      </w:r>
      <w:r>
        <w:rPr>
          <w:spacing w:val="-3"/>
        </w:rPr>
        <w:t>determined </w:t>
      </w:r>
      <w:r>
        <w:rPr/>
        <w:t>by </w:t>
      </w:r>
      <w:r>
        <w:rPr>
          <w:spacing w:val="-3"/>
        </w:rPr>
        <w:t>EOHHS.</w:t>
      </w:r>
    </w:p>
    <w:p>
      <w:pPr>
        <w:spacing w:after="0" w:line="242" w:lineRule="auto"/>
        <w:sectPr>
          <w:pgSz w:w="12240" w:h="15840"/>
          <w:pgMar w:header="0" w:footer="744" w:top="1380" w:bottom="940" w:left="1580" w:right="980"/>
        </w:sectPr>
      </w:pPr>
    </w:p>
    <w:p>
      <w:pPr>
        <w:pStyle w:val="Heading3"/>
        <w:numPr>
          <w:ilvl w:val="1"/>
          <w:numId w:val="8"/>
        </w:numPr>
        <w:tabs>
          <w:tab w:pos="666" w:val="left" w:leader="none"/>
          <w:tab w:pos="667" w:val="left" w:leader="none"/>
        </w:tabs>
        <w:spacing w:line="240" w:lineRule="auto" w:before="65" w:after="0"/>
        <w:ind w:left="666" w:right="0" w:hanging="547"/>
        <w:jc w:val="left"/>
      </w:pPr>
      <w:r>
        <w:rPr>
          <w:spacing w:val="-3"/>
        </w:rPr>
        <w:t>Freestanding Pediatric Acute Hospital High Complexity Supplemental</w:t>
      </w:r>
      <w:r>
        <w:rPr>
          <w:spacing w:val="3"/>
        </w:rPr>
        <w:t> </w:t>
      </w:r>
      <w:r>
        <w:rPr>
          <w:spacing w:val="-3"/>
        </w:rPr>
        <w:t>Payment</w:t>
      </w:r>
    </w:p>
    <w:p>
      <w:pPr>
        <w:pStyle w:val="BodyText"/>
        <w:spacing w:before="3"/>
        <w:rPr>
          <w:b/>
          <w:sz w:val="21"/>
        </w:rPr>
      </w:pPr>
    </w:p>
    <w:p>
      <w:pPr>
        <w:pStyle w:val="ListParagraph"/>
        <w:numPr>
          <w:ilvl w:val="2"/>
          <w:numId w:val="8"/>
        </w:numPr>
        <w:tabs>
          <w:tab w:pos="1012" w:val="left" w:leader="none"/>
        </w:tabs>
        <w:spacing w:line="240" w:lineRule="auto" w:before="0" w:after="0"/>
        <w:ind w:left="1012" w:right="0" w:hanging="360"/>
        <w:jc w:val="left"/>
        <w:rPr>
          <w:b/>
          <w:sz w:val="24"/>
        </w:rPr>
      </w:pPr>
      <w:r>
        <w:rPr>
          <w:b/>
          <w:spacing w:val="-3"/>
          <w:sz w:val="24"/>
        </w:rPr>
        <w:t>Qualification</w:t>
      </w:r>
    </w:p>
    <w:p>
      <w:pPr>
        <w:pStyle w:val="BodyText"/>
        <w:rPr>
          <w:b/>
          <w:sz w:val="26"/>
        </w:rPr>
      </w:pPr>
    </w:p>
    <w:p>
      <w:pPr>
        <w:pStyle w:val="BodyText"/>
        <w:spacing w:line="242" w:lineRule="auto" w:before="184"/>
        <w:ind w:left="1011" w:right="251"/>
      </w:pPr>
      <w:r>
        <w:rPr/>
        <w:t>In </w:t>
      </w:r>
      <w:r>
        <w:rPr>
          <w:spacing w:val="-3"/>
        </w:rPr>
        <w:t>order </w:t>
      </w:r>
      <w:r>
        <w:rPr/>
        <w:t>to </w:t>
      </w:r>
      <w:r>
        <w:rPr>
          <w:spacing w:val="-3"/>
        </w:rPr>
        <w:t>qualify </w:t>
      </w:r>
      <w:r>
        <w:rPr/>
        <w:t>for the </w:t>
      </w:r>
      <w:r>
        <w:rPr>
          <w:spacing w:val="-3"/>
        </w:rPr>
        <w:t>Freestanding Pediatric Acute Hospital High </w:t>
      </w:r>
      <w:r>
        <w:rPr>
          <w:spacing w:val="-4"/>
        </w:rPr>
        <w:t>Complexity </w:t>
      </w:r>
      <w:r>
        <w:rPr>
          <w:spacing w:val="-3"/>
        </w:rPr>
        <w:t>Supplemental Payment, </w:t>
      </w:r>
      <w:r>
        <w:rPr/>
        <w:t>a </w:t>
      </w:r>
      <w:r>
        <w:rPr>
          <w:spacing w:val="-3"/>
        </w:rPr>
        <w:t>Hospital must limit </w:t>
      </w:r>
      <w:r>
        <w:rPr/>
        <w:t>its </w:t>
      </w:r>
      <w:r>
        <w:rPr>
          <w:spacing w:val="-3"/>
        </w:rPr>
        <w:t>admissions primarily </w:t>
      </w:r>
      <w:r>
        <w:rPr/>
        <w:t>to </w:t>
      </w:r>
      <w:r>
        <w:rPr>
          <w:spacing w:val="-3"/>
        </w:rPr>
        <w:t>children and qualify </w:t>
      </w:r>
      <w:r>
        <w:rPr/>
        <w:t>as </w:t>
      </w:r>
      <w:r>
        <w:rPr>
          <w:spacing w:val="-3"/>
        </w:rPr>
        <w:t>exempt from </w:t>
      </w:r>
      <w:r>
        <w:rPr/>
        <w:t>the </w:t>
      </w:r>
      <w:r>
        <w:rPr>
          <w:spacing w:val="-3"/>
        </w:rPr>
        <w:t>Medicare prospective payment system.</w:t>
      </w:r>
    </w:p>
    <w:p>
      <w:pPr>
        <w:pStyle w:val="BodyText"/>
        <w:spacing w:before="2"/>
        <w:rPr>
          <w:sz w:val="21"/>
        </w:rPr>
      </w:pPr>
    </w:p>
    <w:p>
      <w:pPr>
        <w:pStyle w:val="Heading3"/>
        <w:numPr>
          <w:ilvl w:val="2"/>
          <w:numId w:val="8"/>
        </w:numPr>
        <w:tabs>
          <w:tab w:pos="1012" w:val="left" w:leader="none"/>
        </w:tabs>
        <w:spacing w:line="240" w:lineRule="auto" w:before="0" w:after="0"/>
        <w:ind w:left="1012" w:right="0" w:hanging="360"/>
        <w:jc w:val="left"/>
      </w:pPr>
      <w:r>
        <w:rPr>
          <w:spacing w:val="-3"/>
        </w:rPr>
        <w:t>Payment</w:t>
      </w:r>
      <w:r>
        <w:rPr>
          <w:spacing w:val="-2"/>
        </w:rPr>
        <w:t> </w:t>
      </w:r>
      <w:r>
        <w:rPr>
          <w:spacing w:val="-3"/>
        </w:rPr>
        <w:t>Methodology</w:t>
      </w:r>
    </w:p>
    <w:p>
      <w:pPr>
        <w:pStyle w:val="BodyText"/>
        <w:spacing w:before="1"/>
        <w:rPr>
          <w:b/>
          <w:sz w:val="21"/>
        </w:rPr>
      </w:pPr>
    </w:p>
    <w:p>
      <w:pPr>
        <w:pStyle w:val="BodyText"/>
        <w:spacing w:line="242" w:lineRule="auto"/>
        <w:ind w:left="1011" w:right="119"/>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Freestanding Pediatric Acute Hospitals, </w:t>
      </w:r>
      <w:r>
        <w:rPr/>
        <w:t>to </w:t>
      </w:r>
      <w:r>
        <w:rPr>
          <w:spacing w:val="-3"/>
        </w:rPr>
        <w:t>account </w:t>
      </w:r>
      <w:r>
        <w:rPr/>
        <w:t>for the </w:t>
      </w:r>
      <w:r>
        <w:rPr>
          <w:spacing w:val="-3"/>
        </w:rPr>
        <w:t>complex pediatric cases they provide care for.</w:t>
      </w:r>
    </w:p>
    <w:p>
      <w:pPr>
        <w:pStyle w:val="BodyText"/>
        <w:spacing w:before="10"/>
        <w:rPr>
          <w:sz w:val="20"/>
        </w:rPr>
      </w:pPr>
    </w:p>
    <w:p>
      <w:pPr>
        <w:pStyle w:val="BodyText"/>
        <w:spacing w:line="242" w:lineRule="auto"/>
        <w:ind w:left="1011"/>
      </w:pPr>
      <w:r>
        <w:rPr/>
        <w:t>The </w:t>
      </w:r>
      <w:r>
        <w:rPr>
          <w:spacing w:val="-3"/>
        </w:rPr>
        <w:t>supplemental payment amount </w:t>
      </w:r>
      <w:r>
        <w:rPr/>
        <w:t>for </w:t>
      </w:r>
      <w:r>
        <w:rPr>
          <w:spacing w:val="-3"/>
        </w:rPr>
        <w:t>each qualifying hospital will </w:t>
      </w:r>
      <w:r>
        <w:rPr/>
        <w:t>be </w:t>
      </w:r>
      <w:r>
        <w:rPr>
          <w:spacing w:val="-3"/>
        </w:rPr>
        <w:t>determined by apportioning </w:t>
      </w:r>
      <w:r>
        <w:rPr/>
        <w:t>a </w:t>
      </w:r>
      <w:r>
        <w:rPr>
          <w:spacing w:val="-3"/>
        </w:rPr>
        <w:t>total </w:t>
      </w:r>
      <w:r>
        <w:rPr/>
        <w:t>of </w:t>
      </w:r>
      <w:r>
        <w:rPr>
          <w:spacing w:val="-3"/>
        </w:rPr>
        <w:t>$11.8 million </w:t>
      </w:r>
      <w:r>
        <w:rPr/>
        <w:t>to </w:t>
      </w:r>
      <w:r>
        <w:rPr>
          <w:spacing w:val="-3"/>
        </w:rPr>
        <w:t>qualifying hospitals </w:t>
      </w:r>
      <w:r>
        <w:rPr/>
        <w:t>on a </w:t>
      </w:r>
      <w:r>
        <w:rPr>
          <w:spacing w:val="-3"/>
        </w:rPr>
        <w:t>pro-rata basis according to each qualifying hospital’s number </w:t>
      </w:r>
      <w:r>
        <w:rPr/>
        <w:t>of </w:t>
      </w:r>
      <w:r>
        <w:rPr>
          <w:spacing w:val="-3"/>
        </w:rPr>
        <w:t>inpatient discharges </w:t>
      </w:r>
      <w:r>
        <w:rPr/>
        <w:t>in </w:t>
      </w:r>
      <w:r>
        <w:rPr>
          <w:spacing w:val="-3"/>
        </w:rPr>
        <w:t>Rate Year 2013, based on Medicaid paid claims data </w:t>
      </w:r>
      <w:r>
        <w:rPr/>
        <w:t>on </w:t>
      </w:r>
      <w:r>
        <w:rPr>
          <w:spacing w:val="-3"/>
        </w:rPr>
        <w:t>file </w:t>
      </w:r>
      <w:r>
        <w:rPr/>
        <w:t>as of </w:t>
      </w:r>
      <w:r>
        <w:rPr>
          <w:spacing w:val="-3"/>
        </w:rPr>
        <w:t>March </w:t>
      </w:r>
      <w:r>
        <w:rPr/>
        <w:t>31, </w:t>
      </w:r>
      <w:r>
        <w:rPr>
          <w:spacing w:val="-3"/>
        </w:rPr>
        <w:t>2014.</w:t>
      </w:r>
    </w:p>
    <w:p>
      <w:pPr>
        <w:pStyle w:val="BodyText"/>
        <w:spacing w:before="2"/>
        <w:rPr>
          <w:sz w:val="21"/>
        </w:rPr>
      </w:pPr>
    </w:p>
    <w:p>
      <w:pPr>
        <w:pStyle w:val="Heading3"/>
        <w:numPr>
          <w:ilvl w:val="1"/>
          <w:numId w:val="8"/>
        </w:numPr>
        <w:tabs>
          <w:tab w:pos="666" w:val="left" w:leader="none"/>
          <w:tab w:pos="667" w:val="left" w:leader="none"/>
        </w:tabs>
        <w:spacing w:line="240" w:lineRule="auto" w:before="0" w:after="0"/>
        <w:ind w:left="666" w:right="0" w:hanging="490"/>
        <w:jc w:val="left"/>
      </w:pPr>
      <w:r>
        <w:rPr>
          <w:spacing w:val="-3"/>
        </w:rPr>
        <w:t>Pediatric Specialty Unit High Complexity Supplemental</w:t>
      </w:r>
      <w:r>
        <w:rPr>
          <w:spacing w:val="2"/>
        </w:rPr>
        <w:t> </w:t>
      </w:r>
      <w:r>
        <w:rPr>
          <w:spacing w:val="-3"/>
        </w:rPr>
        <w:t>Payment</w:t>
      </w:r>
    </w:p>
    <w:p>
      <w:pPr>
        <w:pStyle w:val="BodyText"/>
        <w:spacing w:before="2"/>
        <w:rPr>
          <w:b/>
          <w:sz w:val="21"/>
        </w:rPr>
      </w:pPr>
    </w:p>
    <w:p>
      <w:pPr>
        <w:pStyle w:val="ListParagraph"/>
        <w:numPr>
          <w:ilvl w:val="2"/>
          <w:numId w:val="8"/>
        </w:numPr>
        <w:tabs>
          <w:tab w:pos="1012" w:val="left" w:leader="none"/>
        </w:tabs>
        <w:spacing w:line="240" w:lineRule="auto" w:before="0" w:after="0"/>
        <w:ind w:left="1012" w:right="0" w:hanging="360"/>
        <w:jc w:val="left"/>
        <w:rPr>
          <w:b/>
          <w:sz w:val="24"/>
        </w:rPr>
      </w:pPr>
      <w:r>
        <w:rPr>
          <w:b/>
          <w:spacing w:val="-3"/>
          <w:sz w:val="24"/>
        </w:rPr>
        <w:t>Qualification</w:t>
      </w:r>
    </w:p>
    <w:p>
      <w:pPr>
        <w:pStyle w:val="BodyText"/>
        <w:spacing w:before="4"/>
        <w:rPr>
          <w:b/>
        </w:rPr>
      </w:pPr>
    </w:p>
    <w:p>
      <w:pPr>
        <w:pStyle w:val="BodyText"/>
        <w:spacing w:line="244" w:lineRule="auto"/>
        <w:ind w:left="1011" w:right="217"/>
      </w:pPr>
      <w:r>
        <w:rPr/>
        <w:t>In </w:t>
      </w:r>
      <w:r>
        <w:rPr>
          <w:spacing w:val="-3"/>
        </w:rPr>
        <w:t>order </w:t>
      </w:r>
      <w:r>
        <w:rPr/>
        <w:t>to </w:t>
      </w:r>
      <w:r>
        <w:rPr>
          <w:spacing w:val="-3"/>
        </w:rPr>
        <w:t>qualify </w:t>
      </w:r>
      <w:r>
        <w:rPr/>
        <w:t>for the </w:t>
      </w:r>
      <w:r>
        <w:rPr>
          <w:spacing w:val="-3"/>
        </w:rPr>
        <w:t>Pediatric Specialty Unit Payment High </w:t>
      </w:r>
      <w:r>
        <w:rPr>
          <w:spacing w:val="-4"/>
        </w:rPr>
        <w:t>Complexity </w:t>
      </w:r>
      <w:r>
        <w:rPr>
          <w:spacing w:val="-3"/>
        </w:rPr>
        <w:t>Supplemental Payment, </w:t>
      </w:r>
      <w:r>
        <w:rPr/>
        <w:t>a </w:t>
      </w:r>
      <w:r>
        <w:rPr>
          <w:spacing w:val="-3"/>
        </w:rPr>
        <w:t>Hospital must have </w:t>
      </w:r>
      <w:r>
        <w:rPr/>
        <w:t>a </w:t>
      </w:r>
      <w:r>
        <w:rPr>
          <w:spacing w:val="-3"/>
        </w:rPr>
        <w:t>Pediatric Specialty Unit </w:t>
      </w:r>
      <w:r>
        <w:rPr/>
        <w:t>as </w:t>
      </w:r>
      <w:r>
        <w:rPr>
          <w:spacing w:val="-3"/>
        </w:rPr>
        <w:t>defined in </w:t>
      </w:r>
      <w:r>
        <w:rPr>
          <w:b/>
          <w:spacing w:val="-3"/>
        </w:rPr>
        <w:t>Section </w:t>
      </w:r>
      <w:r>
        <w:rPr>
          <w:b/>
        </w:rPr>
        <w:t>2 </w:t>
      </w:r>
      <w:r>
        <w:rPr/>
        <w:t>and </w:t>
      </w:r>
      <w:r>
        <w:rPr>
          <w:spacing w:val="-3"/>
        </w:rPr>
        <w:t>receive </w:t>
      </w:r>
      <w:r>
        <w:rPr/>
        <w:t>a </w:t>
      </w:r>
      <w:r>
        <w:rPr>
          <w:spacing w:val="-3"/>
        </w:rPr>
        <w:t>Pediatric Standard Payment Amount </w:t>
      </w:r>
      <w:r>
        <w:rPr/>
        <w:t>Per </w:t>
      </w:r>
      <w:r>
        <w:rPr>
          <w:spacing w:val="-3"/>
        </w:rPr>
        <w:t>Discharge, </w:t>
      </w:r>
      <w:r>
        <w:rPr/>
        <w:t>as set </w:t>
      </w:r>
      <w:r>
        <w:rPr>
          <w:spacing w:val="-3"/>
        </w:rPr>
        <w:t>forth in </w:t>
      </w:r>
      <w:r>
        <w:rPr/>
        <w:t>the </w:t>
      </w:r>
      <w:r>
        <w:rPr>
          <w:spacing w:val="-3"/>
        </w:rPr>
        <w:t>qualifying Hospital’s </w:t>
      </w:r>
      <w:r>
        <w:rPr>
          <w:b/>
          <w:spacing w:val="-3"/>
        </w:rPr>
        <w:t>Appendix </w:t>
      </w:r>
      <w:r>
        <w:rPr>
          <w:b/>
        </w:rPr>
        <w:t>C</w:t>
      </w:r>
      <w:r>
        <w:rPr/>
        <w:t>.</w:t>
      </w:r>
    </w:p>
    <w:p>
      <w:pPr>
        <w:pStyle w:val="BodyText"/>
        <w:spacing w:before="5"/>
      </w:pPr>
    </w:p>
    <w:p>
      <w:pPr>
        <w:pStyle w:val="Heading3"/>
        <w:numPr>
          <w:ilvl w:val="2"/>
          <w:numId w:val="8"/>
        </w:numPr>
        <w:tabs>
          <w:tab w:pos="1012" w:val="left" w:leader="none"/>
        </w:tabs>
        <w:spacing w:line="240" w:lineRule="auto" w:before="0" w:after="0"/>
        <w:ind w:left="1012" w:right="0" w:hanging="360"/>
        <w:jc w:val="left"/>
      </w:pPr>
      <w:r>
        <w:rPr>
          <w:spacing w:val="-3"/>
        </w:rPr>
        <w:t>Payment</w:t>
      </w:r>
      <w:r>
        <w:rPr>
          <w:spacing w:val="-2"/>
        </w:rPr>
        <w:t> </w:t>
      </w:r>
      <w:r>
        <w:rPr>
          <w:spacing w:val="-3"/>
        </w:rPr>
        <w:t>Methodology</w:t>
      </w:r>
    </w:p>
    <w:p>
      <w:pPr>
        <w:pStyle w:val="BodyText"/>
        <w:spacing w:before="1"/>
        <w:rPr>
          <w:b/>
          <w:sz w:val="21"/>
        </w:rPr>
      </w:pPr>
    </w:p>
    <w:p>
      <w:pPr>
        <w:pStyle w:val="BodyText"/>
        <w:spacing w:line="242" w:lineRule="auto"/>
        <w:ind w:left="1011" w:right="119"/>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Hospitals with Pediatric Specialty Units, </w:t>
      </w:r>
      <w:r>
        <w:rPr/>
        <w:t>to </w:t>
      </w:r>
      <w:r>
        <w:rPr>
          <w:spacing w:val="-3"/>
        </w:rPr>
        <w:t>account </w:t>
      </w:r>
      <w:r>
        <w:rPr/>
        <w:t>for the </w:t>
      </w:r>
      <w:r>
        <w:rPr>
          <w:spacing w:val="-3"/>
        </w:rPr>
        <w:t>complex pediatric cases they provide care for.</w:t>
      </w:r>
    </w:p>
    <w:p>
      <w:pPr>
        <w:pStyle w:val="BodyText"/>
        <w:spacing w:before="10"/>
        <w:rPr>
          <w:sz w:val="20"/>
        </w:rPr>
      </w:pPr>
    </w:p>
    <w:p>
      <w:pPr>
        <w:pStyle w:val="BodyText"/>
        <w:spacing w:line="242" w:lineRule="auto"/>
        <w:ind w:left="1011" w:right="251"/>
      </w:pPr>
      <w:r>
        <w:rPr/>
        <w:t>The </w:t>
      </w:r>
      <w:r>
        <w:rPr>
          <w:spacing w:val="-3"/>
        </w:rPr>
        <w:t>supplemental payment amount </w:t>
      </w:r>
      <w:r>
        <w:rPr/>
        <w:t>for </w:t>
      </w:r>
      <w:r>
        <w:rPr>
          <w:spacing w:val="-3"/>
        </w:rPr>
        <w:t>each qualifying hospital will </w:t>
      </w:r>
      <w:r>
        <w:rPr/>
        <w:t>be </w:t>
      </w:r>
      <w:r>
        <w:rPr>
          <w:spacing w:val="-3"/>
        </w:rPr>
        <w:t>determined by apportioning </w:t>
      </w:r>
      <w:r>
        <w:rPr/>
        <w:t>a </w:t>
      </w:r>
      <w:r>
        <w:rPr>
          <w:spacing w:val="-3"/>
        </w:rPr>
        <w:t>total </w:t>
      </w:r>
      <w:r>
        <w:rPr/>
        <w:t>of $3 </w:t>
      </w:r>
      <w:r>
        <w:rPr>
          <w:spacing w:val="-3"/>
        </w:rPr>
        <w:t>million </w:t>
      </w:r>
      <w:r>
        <w:rPr/>
        <w:t>to </w:t>
      </w:r>
      <w:r>
        <w:rPr>
          <w:spacing w:val="-3"/>
        </w:rPr>
        <w:t>qualifying hospitals </w:t>
      </w:r>
      <w:r>
        <w:rPr/>
        <w:t>on a </w:t>
      </w:r>
      <w:r>
        <w:rPr>
          <w:spacing w:val="-3"/>
        </w:rPr>
        <w:t>pro-rata basis according to each qualifying hospital’s number </w:t>
      </w:r>
      <w:r>
        <w:rPr/>
        <w:t>of </w:t>
      </w:r>
      <w:r>
        <w:rPr>
          <w:spacing w:val="-3"/>
        </w:rPr>
        <w:t>inpatient discharges </w:t>
      </w:r>
      <w:r>
        <w:rPr/>
        <w:t>in </w:t>
      </w:r>
      <w:r>
        <w:rPr>
          <w:spacing w:val="-3"/>
        </w:rPr>
        <w:t>Rate Year 2013, based on Medicaid paid claims data </w:t>
      </w:r>
      <w:r>
        <w:rPr/>
        <w:t>on </w:t>
      </w:r>
      <w:r>
        <w:rPr>
          <w:spacing w:val="-3"/>
        </w:rPr>
        <w:t>file </w:t>
      </w:r>
      <w:r>
        <w:rPr/>
        <w:t>as of </w:t>
      </w:r>
      <w:r>
        <w:rPr>
          <w:spacing w:val="-3"/>
        </w:rPr>
        <w:t>March </w:t>
      </w:r>
      <w:r>
        <w:rPr/>
        <w:t>31, </w:t>
      </w:r>
      <w:r>
        <w:rPr>
          <w:spacing w:val="-3"/>
        </w:rPr>
        <w:t>2014.</w:t>
      </w:r>
    </w:p>
    <w:p>
      <w:pPr>
        <w:pStyle w:val="BodyText"/>
        <w:spacing w:before="7"/>
      </w:pPr>
    </w:p>
    <w:p>
      <w:pPr>
        <w:pStyle w:val="Heading3"/>
        <w:numPr>
          <w:ilvl w:val="1"/>
          <w:numId w:val="8"/>
        </w:numPr>
        <w:tabs>
          <w:tab w:pos="651" w:val="left" w:leader="none"/>
          <w:tab w:pos="652" w:val="left" w:leader="none"/>
        </w:tabs>
        <w:spacing w:line="240" w:lineRule="auto" w:before="1" w:after="0"/>
        <w:ind w:left="652" w:right="0" w:hanging="540"/>
        <w:jc w:val="left"/>
      </w:pPr>
      <w:r>
        <w:rPr>
          <w:spacing w:val="-3"/>
        </w:rPr>
        <w:t>Critical Access</w:t>
      </w:r>
      <w:r>
        <w:rPr>
          <w:spacing w:val="-1"/>
        </w:rPr>
        <w:t> </w:t>
      </w:r>
      <w:r>
        <w:rPr>
          <w:spacing w:val="-3"/>
        </w:rPr>
        <w:t>Hospitals</w:t>
      </w:r>
    </w:p>
    <w:p>
      <w:pPr>
        <w:pStyle w:val="BodyText"/>
        <w:spacing w:before="6"/>
        <w:rPr>
          <w:b/>
          <w:sz w:val="25"/>
        </w:rPr>
      </w:pPr>
    </w:p>
    <w:p>
      <w:pPr>
        <w:pStyle w:val="BodyText"/>
        <w:spacing w:line="242" w:lineRule="auto"/>
        <w:ind w:left="651" w:right="367"/>
      </w:pPr>
      <w:r>
        <w:rPr/>
        <w:t>The </w:t>
      </w:r>
      <w:r>
        <w:rPr>
          <w:spacing w:val="-3"/>
        </w:rPr>
        <w:t>payment methods </w:t>
      </w:r>
      <w:r>
        <w:rPr/>
        <w:t>set </w:t>
      </w:r>
      <w:r>
        <w:rPr>
          <w:spacing w:val="-3"/>
        </w:rPr>
        <w:t>forth </w:t>
      </w:r>
      <w:r>
        <w:rPr/>
        <w:t>in </w:t>
      </w:r>
      <w:r>
        <w:rPr>
          <w:spacing w:val="-3"/>
        </w:rPr>
        <w:t>this </w:t>
      </w:r>
      <w:r>
        <w:rPr>
          <w:b/>
          <w:spacing w:val="-3"/>
        </w:rPr>
        <w:t>Section 5.D.7 </w:t>
      </w:r>
      <w:r>
        <w:rPr>
          <w:spacing w:val="-3"/>
        </w:rPr>
        <w:t>apply </w:t>
      </w:r>
      <w:r>
        <w:rPr/>
        <w:t>to </w:t>
      </w:r>
      <w:r>
        <w:rPr>
          <w:spacing w:val="-3"/>
        </w:rPr>
        <w:t>Critical Access Hospitals. EOHHS will </w:t>
      </w:r>
      <w:r>
        <w:rPr/>
        <w:t>pay </w:t>
      </w:r>
      <w:r>
        <w:rPr>
          <w:spacing w:val="-3"/>
        </w:rPr>
        <w:t>Critical Access Hospitals </w:t>
      </w:r>
      <w:r>
        <w:rPr/>
        <w:t>an </w:t>
      </w:r>
      <w:r>
        <w:rPr>
          <w:spacing w:val="-3"/>
        </w:rPr>
        <w:t>amount equal </w:t>
      </w:r>
      <w:r>
        <w:rPr/>
        <w:t>to 101 </w:t>
      </w:r>
      <w:r>
        <w:rPr>
          <w:spacing w:val="-3"/>
        </w:rPr>
        <w:t>percent </w:t>
      </w:r>
      <w:r>
        <w:rPr/>
        <w:t>of the </w:t>
      </w:r>
      <w:r>
        <w:rPr>
          <w:spacing w:val="-3"/>
        </w:rPr>
        <w:t>Hospital’s allowable costs, </w:t>
      </w:r>
      <w:r>
        <w:rPr/>
        <w:t>as </w:t>
      </w:r>
      <w:r>
        <w:rPr>
          <w:spacing w:val="-3"/>
        </w:rPr>
        <w:t>determined </w:t>
      </w:r>
      <w:r>
        <w:rPr/>
        <w:t>by </w:t>
      </w:r>
      <w:r>
        <w:rPr>
          <w:spacing w:val="-3"/>
        </w:rPr>
        <w:t>EOHHS utilizing </w:t>
      </w:r>
      <w:r>
        <w:rPr/>
        <w:t>the </w:t>
      </w:r>
      <w:r>
        <w:rPr>
          <w:spacing w:val="-3"/>
        </w:rPr>
        <w:t>Medicare cost-based </w:t>
      </w:r>
      <w:r>
        <w:rPr>
          <w:spacing w:val="-4"/>
        </w:rPr>
        <w:t>reimbursement</w:t>
      </w:r>
    </w:p>
    <w:p>
      <w:pPr>
        <w:spacing w:after="0" w:line="242" w:lineRule="auto"/>
        <w:sectPr>
          <w:pgSz w:w="12240" w:h="15840"/>
          <w:pgMar w:header="0" w:footer="744" w:top="1380" w:bottom="940" w:left="1580" w:right="960"/>
        </w:sectPr>
      </w:pPr>
    </w:p>
    <w:p>
      <w:pPr>
        <w:pStyle w:val="BodyText"/>
        <w:spacing w:line="244" w:lineRule="auto" w:before="61"/>
        <w:ind w:left="511" w:right="146"/>
      </w:pPr>
      <w:r>
        <w:rPr>
          <w:spacing w:val="-3"/>
        </w:rPr>
        <w:t>methodology, </w:t>
      </w:r>
      <w:r>
        <w:rPr/>
        <w:t>for </w:t>
      </w:r>
      <w:r>
        <w:rPr>
          <w:spacing w:val="-3"/>
        </w:rPr>
        <w:t>both inpatient </w:t>
      </w:r>
      <w:r>
        <w:rPr/>
        <w:t>and </w:t>
      </w:r>
      <w:r>
        <w:rPr>
          <w:spacing w:val="-3"/>
        </w:rPr>
        <w:t>outpatient services, </w:t>
      </w:r>
      <w:r>
        <w:rPr/>
        <w:t>as </w:t>
      </w:r>
      <w:r>
        <w:rPr>
          <w:spacing w:val="-3"/>
        </w:rPr>
        <w:t>more fully described below. Interim payments will </w:t>
      </w:r>
      <w:r>
        <w:rPr/>
        <w:t>be </w:t>
      </w:r>
      <w:r>
        <w:rPr>
          <w:spacing w:val="-3"/>
        </w:rPr>
        <w:t>made </w:t>
      </w:r>
      <w:r>
        <w:rPr/>
        <w:t>to </w:t>
      </w:r>
      <w:r>
        <w:rPr>
          <w:spacing w:val="-3"/>
        </w:rPr>
        <w:t>Critical Access Hospitals based </w:t>
      </w:r>
      <w:r>
        <w:rPr/>
        <w:t>on the </w:t>
      </w:r>
      <w:r>
        <w:rPr>
          <w:spacing w:val="-3"/>
        </w:rPr>
        <w:t>rates </w:t>
      </w:r>
      <w:r>
        <w:rPr/>
        <w:t>and </w:t>
      </w:r>
      <w:r>
        <w:rPr>
          <w:spacing w:val="-3"/>
        </w:rPr>
        <w:t>methods set forth herein, which payments </w:t>
      </w:r>
      <w:r>
        <w:rPr/>
        <w:t>are </w:t>
      </w:r>
      <w:r>
        <w:rPr>
          <w:spacing w:val="-3"/>
        </w:rPr>
        <w:t>provisional </w:t>
      </w:r>
      <w:r>
        <w:rPr/>
        <w:t>in </w:t>
      </w:r>
      <w:r>
        <w:rPr>
          <w:spacing w:val="-3"/>
        </w:rPr>
        <w:t>nature </w:t>
      </w:r>
      <w:r>
        <w:rPr/>
        <w:t>and </w:t>
      </w:r>
      <w:r>
        <w:rPr>
          <w:spacing w:val="-3"/>
        </w:rPr>
        <w:t>subject </w:t>
      </w:r>
      <w:r>
        <w:rPr/>
        <w:t>to the </w:t>
      </w:r>
      <w:r>
        <w:rPr>
          <w:spacing w:val="-3"/>
        </w:rPr>
        <w:t>completion </w:t>
      </w:r>
      <w:r>
        <w:rPr/>
        <w:t>of a </w:t>
      </w:r>
      <w:r>
        <w:rPr>
          <w:spacing w:val="-3"/>
        </w:rPr>
        <w:t>cost review </w:t>
      </w:r>
      <w:r>
        <w:rPr/>
        <w:t>and </w:t>
      </w:r>
      <w:r>
        <w:rPr>
          <w:spacing w:val="-3"/>
        </w:rPr>
        <w:t>settlement </w:t>
      </w:r>
      <w:r>
        <w:rPr/>
        <w:t>for the </w:t>
      </w:r>
      <w:r>
        <w:rPr>
          <w:spacing w:val="-3"/>
        </w:rPr>
        <w:t>time period October </w:t>
      </w:r>
      <w:r>
        <w:rPr/>
        <w:t>1, </w:t>
      </w:r>
      <w:r>
        <w:rPr>
          <w:spacing w:val="-3"/>
        </w:rPr>
        <w:t>2013 through September </w:t>
      </w:r>
      <w:r>
        <w:rPr/>
        <w:t>30, </w:t>
      </w:r>
      <w:r>
        <w:rPr>
          <w:spacing w:val="-3"/>
        </w:rPr>
        <w:t>2014, as described </w:t>
      </w:r>
      <w:r>
        <w:rPr/>
        <w:t>in </w:t>
      </w:r>
      <w:r>
        <w:rPr>
          <w:b/>
          <w:spacing w:val="-3"/>
        </w:rPr>
        <w:t>Section 5.D.7.c</w:t>
      </w:r>
      <w:r>
        <w:rPr>
          <w:spacing w:val="-3"/>
        </w:rPr>
        <w:t>. Subject </w:t>
      </w:r>
      <w:r>
        <w:rPr/>
        <w:t>to </w:t>
      </w:r>
      <w:r>
        <w:rPr>
          <w:spacing w:val="-3"/>
        </w:rPr>
        <w:t>this </w:t>
      </w:r>
      <w:r>
        <w:rPr>
          <w:b/>
          <w:spacing w:val="-3"/>
        </w:rPr>
        <w:t>Section 5.D.7</w:t>
      </w:r>
      <w:r>
        <w:rPr>
          <w:spacing w:val="-3"/>
        </w:rPr>
        <w:t>, </w:t>
      </w:r>
      <w:r>
        <w:rPr/>
        <w:t>all </w:t>
      </w:r>
      <w:r>
        <w:rPr>
          <w:spacing w:val="-3"/>
        </w:rPr>
        <w:t>sections </w:t>
      </w:r>
      <w:r>
        <w:rPr/>
        <w:t>of </w:t>
      </w:r>
      <w:r>
        <w:rPr>
          <w:spacing w:val="-3"/>
        </w:rPr>
        <w:t>this RY14 RFA otherwise apply </w:t>
      </w:r>
      <w:r>
        <w:rPr/>
        <w:t>to </w:t>
      </w:r>
      <w:r>
        <w:rPr>
          <w:spacing w:val="-3"/>
        </w:rPr>
        <w:t>Critical Access Hospitals. </w:t>
      </w:r>
      <w:r>
        <w:rPr/>
        <w:t>If the </w:t>
      </w:r>
      <w:r>
        <w:rPr>
          <w:spacing w:val="-3"/>
        </w:rPr>
        <w:t>Hospital loses </w:t>
      </w:r>
      <w:r>
        <w:rPr/>
        <w:t>its </w:t>
      </w:r>
      <w:r>
        <w:rPr>
          <w:spacing w:val="-3"/>
        </w:rPr>
        <w:t>designation </w:t>
      </w:r>
      <w:r>
        <w:rPr/>
        <w:t>as a </w:t>
      </w:r>
      <w:r>
        <w:rPr>
          <w:spacing w:val="-3"/>
        </w:rPr>
        <w:t>Critical Access Hospital during this period, </w:t>
      </w:r>
      <w:r>
        <w:rPr/>
        <w:t>the </w:t>
      </w:r>
      <w:r>
        <w:rPr>
          <w:spacing w:val="-3"/>
        </w:rPr>
        <w:t>payments </w:t>
      </w:r>
      <w:r>
        <w:rPr/>
        <w:t>for </w:t>
      </w:r>
      <w:r>
        <w:rPr>
          <w:spacing w:val="-3"/>
        </w:rPr>
        <w:t>inpatient </w:t>
      </w:r>
      <w:r>
        <w:rPr/>
        <w:t>and </w:t>
      </w:r>
      <w:r>
        <w:rPr>
          <w:spacing w:val="-3"/>
        </w:rPr>
        <w:t>outpatient services shall revert </w:t>
      </w:r>
      <w:r>
        <w:rPr/>
        <w:t>to the </w:t>
      </w:r>
      <w:r>
        <w:rPr>
          <w:spacing w:val="-3"/>
        </w:rPr>
        <w:t>standard inpatient </w:t>
      </w:r>
      <w:r>
        <w:rPr/>
        <w:t>and </w:t>
      </w:r>
      <w:r>
        <w:rPr>
          <w:spacing w:val="-3"/>
        </w:rPr>
        <w:t>outpatient rate methodologies </w:t>
      </w:r>
      <w:r>
        <w:rPr/>
        <w:t>set </w:t>
      </w:r>
      <w:r>
        <w:rPr>
          <w:spacing w:val="-3"/>
        </w:rPr>
        <w:t>forth </w:t>
      </w:r>
      <w:r>
        <w:rPr/>
        <w:t>in </w:t>
      </w:r>
      <w:r>
        <w:rPr>
          <w:b/>
          <w:spacing w:val="-3"/>
        </w:rPr>
        <w:t>Sections </w:t>
      </w:r>
      <w:r>
        <w:rPr>
          <w:b/>
        </w:rPr>
        <w:t>5.B </w:t>
      </w:r>
      <w:r>
        <w:rPr>
          <w:spacing w:val="-3"/>
        </w:rPr>
        <w:t>and </w:t>
      </w:r>
      <w:r>
        <w:rPr>
          <w:b/>
          <w:spacing w:val="-3"/>
        </w:rPr>
        <w:t>5.C</w:t>
      </w:r>
      <w:r>
        <w:rPr>
          <w:spacing w:val="-3"/>
        </w:rPr>
        <w:t>, </w:t>
      </w:r>
      <w:r>
        <w:rPr/>
        <w:t>as </w:t>
      </w:r>
      <w:r>
        <w:rPr>
          <w:spacing w:val="-3"/>
        </w:rPr>
        <w:t>determined </w:t>
      </w:r>
      <w:r>
        <w:rPr/>
        <w:t>by </w:t>
      </w:r>
      <w:r>
        <w:rPr>
          <w:spacing w:val="-3"/>
        </w:rPr>
        <w:t>EOHHS, </w:t>
      </w:r>
      <w:r>
        <w:rPr/>
        <w:t>and </w:t>
      </w:r>
      <w:r>
        <w:rPr>
          <w:spacing w:val="-3"/>
        </w:rPr>
        <w:t>payments may </w:t>
      </w:r>
      <w:r>
        <w:rPr/>
        <w:t>be </w:t>
      </w:r>
      <w:r>
        <w:rPr>
          <w:spacing w:val="-3"/>
        </w:rPr>
        <w:t>adjusted accordingly. </w:t>
      </w:r>
      <w:r>
        <w:rPr/>
        <w:t>In no </w:t>
      </w:r>
      <w:r>
        <w:rPr>
          <w:spacing w:val="-3"/>
        </w:rPr>
        <w:t>event shall </w:t>
      </w:r>
      <w:r>
        <w:rPr/>
        <w:t>the </w:t>
      </w:r>
      <w:r>
        <w:rPr>
          <w:spacing w:val="-3"/>
        </w:rPr>
        <w:t>reversion </w:t>
      </w:r>
      <w:r>
        <w:rPr/>
        <w:t>to any </w:t>
      </w:r>
      <w:r>
        <w:rPr>
          <w:spacing w:val="-3"/>
        </w:rPr>
        <w:t>such rate methodologies affect </w:t>
      </w:r>
      <w:r>
        <w:rPr/>
        <w:t>the </w:t>
      </w:r>
      <w:r>
        <w:rPr>
          <w:spacing w:val="-3"/>
        </w:rPr>
        <w:t>payment rates </w:t>
      </w:r>
      <w:r>
        <w:rPr/>
        <w:t>to </w:t>
      </w:r>
      <w:r>
        <w:rPr>
          <w:spacing w:val="-3"/>
        </w:rPr>
        <w:t>other participating acute hospitals for </w:t>
      </w:r>
      <w:r>
        <w:rPr/>
        <w:t>the </w:t>
      </w:r>
      <w:r>
        <w:rPr>
          <w:spacing w:val="-3"/>
        </w:rPr>
        <w:t>applicable rate</w:t>
      </w:r>
      <w:r>
        <w:rPr>
          <w:spacing w:val="-10"/>
        </w:rPr>
        <w:t> </w:t>
      </w:r>
      <w:r>
        <w:rPr>
          <w:spacing w:val="-3"/>
        </w:rPr>
        <w:t>year.</w:t>
      </w:r>
    </w:p>
    <w:p>
      <w:pPr>
        <w:pStyle w:val="BodyText"/>
        <w:spacing w:before="4"/>
      </w:pPr>
    </w:p>
    <w:p>
      <w:pPr>
        <w:pStyle w:val="Heading3"/>
        <w:numPr>
          <w:ilvl w:val="2"/>
          <w:numId w:val="8"/>
        </w:numPr>
        <w:tabs>
          <w:tab w:pos="873" w:val="left" w:leader="none"/>
        </w:tabs>
        <w:spacing w:line="240" w:lineRule="auto" w:before="1" w:after="0"/>
        <w:ind w:left="872" w:right="0" w:hanging="360"/>
        <w:jc w:val="left"/>
      </w:pPr>
      <w:r>
        <w:rPr>
          <w:spacing w:val="-3"/>
        </w:rPr>
        <w:t>Payment </w:t>
      </w:r>
      <w:r>
        <w:rPr/>
        <w:t>for </w:t>
      </w:r>
      <w:r>
        <w:rPr>
          <w:spacing w:val="-3"/>
        </w:rPr>
        <w:t>Inpatient</w:t>
      </w:r>
      <w:r>
        <w:rPr>
          <w:spacing w:val="-12"/>
        </w:rPr>
        <w:t> </w:t>
      </w:r>
      <w:r>
        <w:rPr>
          <w:spacing w:val="-3"/>
        </w:rPr>
        <w:t>Services</w:t>
      </w:r>
    </w:p>
    <w:p>
      <w:pPr>
        <w:pStyle w:val="BodyText"/>
        <w:spacing w:before="6"/>
        <w:rPr>
          <w:b/>
        </w:rPr>
      </w:pPr>
    </w:p>
    <w:p>
      <w:pPr>
        <w:pStyle w:val="BodyText"/>
        <w:spacing w:line="247" w:lineRule="auto"/>
        <w:ind w:left="872" w:right="236"/>
      </w:pPr>
      <w:r>
        <w:rPr/>
        <w:t>For </w:t>
      </w:r>
      <w:r>
        <w:rPr>
          <w:spacing w:val="-3"/>
        </w:rPr>
        <w:t>Inpatient Admissions occurring </w:t>
      </w:r>
      <w:r>
        <w:rPr/>
        <w:t>in </w:t>
      </w:r>
      <w:r>
        <w:rPr>
          <w:spacing w:val="-3"/>
        </w:rPr>
        <w:t>RY14, Critical Access Hospitals (CAHs) will be paid </w:t>
      </w:r>
      <w:r>
        <w:rPr/>
        <w:t>for </w:t>
      </w:r>
      <w:r>
        <w:rPr>
          <w:spacing w:val="-3"/>
        </w:rPr>
        <w:t>Inpatient Services </w:t>
      </w:r>
      <w:r>
        <w:rPr/>
        <w:t>in </w:t>
      </w:r>
      <w:r>
        <w:rPr>
          <w:spacing w:val="-3"/>
        </w:rPr>
        <w:t>accordance with </w:t>
      </w:r>
      <w:r>
        <w:rPr>
          <w:b/>
          <w:spacing w:val="-3"/>
        </w:rPr>
        <w:t>Section </w:t>
      </w:r>
      <w:r>
        <w:rPr>
          <w:b/>
        </w:rPr>
        <w:t>5.B </w:t>
      </w:r>
      <w:r>
        <w:rPr>
          <w:spacing w:val="-3"/>
        </w:rPr>
        <w:t>with </w:t>
      </w:r>
      <w:r>
        <w:rPr/>
        <w:t>the </w:t>
      </w:r>
      <w:r>
        <w:rPr>
          <w:spacing w:val="-3"/>
        </w:rPr>
        <w:t>following changes.</w:t>
      </w:r>
    </w:p>
    <w:p>
      <w:pPr>
        <w:pStyle w:val="BodyText"/>
        <w:spacing w:before="10"/>
        <w:rPr>
          <w:sz w:val="23"/>
        </w:rPr>
      </w:pPr>
    </w:p>
    <w:p>
      <w:pPr>
        <w:pStyle w:val="BodyText"/>
        <w:spacing w:line="244" w:lineRule="auto"/>
        <w:ind w:left="872" w:right="536"/>
      </w:pPr>
      <w:r>
        <w:rPr>
          <w:spacing w:val="-3"/>
        </w:rPr>
        <w:t>Critical Access Hospitals (CAH) will </w:t>
      </w:r>
      <w:r>
        <w:rPr/>
        <w:t>be </w:t>
      </w:r>
      <w:r>
        <w:rPr>
          <w:spacing w:val="-3"/>
        </w:rPr>
        <w:t>paid </w:t>
      </w:r>
      <w:r>
        <w:rPr/>
        <w:t>a </w:t>
      </w:r>
      <w:r>
        <w:rPr>
          <w:spacing w:val="-3"/>
        </w:rPr>
        <w:t>hospital-specific Standard </w:t>
      </w:r>
      <w:r>
        <w:rPr>
          <w:spacing w:val="-4"/>
        </w:rPr>
        <w:t>Payment </w:t>
      </w:r>
      <w:r>
        <w:rPr>
          <w:spacing w:val="-3"/>
        </w:rPr>
        <w:t>Amount </w:t>
      </w:r>
      <w:r>
        <w:rPr/>
        <w:t>per </w:t>
      </w:r>
      <w:r>
        <w:rPr>
          <w:spacing w:val="-3"/>
        </w:rPr>
        <w:t>Discharge (SPAD) </w:t>
      </w:r>
      <w:r>
        <w:rPr/>
        <w:t>for </w:t>
      </w:r>
      <w:r>
        <w:rPr>
          <w:spacing w:val="-3"/>
        </w:rPr>
        <w:t>those Inpatient Services </w:t>
      </w:r>
      <w:r>
        <w:rPr/>
        <w:t>for </w:t>
      </w:r>
      <w:r>
        <w:rPr>
          <w:spacing w:val="-3"/>
        </w:rPr>
        <w:t>which </w:t>
      </w:r>
      <w:r>
        <w:rPr/>
        <w:t>all </w:t>
      </w:r>
      <w:r>
        <w:rPr>
          <w:spacing w:val="-3"/>
        </w:rPr>
        <w:t>other in-state acute hospitals </w:t>
      </w:r>
      <w:r>
        <w:rPr/>
        <w:t>are </w:t>
      </w:r>
      <w:r>
        <w:rPr>
          <w:spacing w:val="-3"/>
        </w:rPr>
        <w:t>paid </w:t>
      </w:r>
      <w:r>
        <w:rPr/>
        <w:t>a </w:t>
      </w:r>
      <w:r>
        <w:rPr>
          <w:spacing w:val="-3"/>
        </w:rPr>
        <w:t>SPAD. Notwithstanding </w:t>
      </w:r>
      <w:r>
        <w:rPr>
          <w:b/>
          <w:spacing w:val="-3"/>
        </w:rPr>
        <w:t>Sections 5.B.2 </w:t>
      </w:r>
      <w:r>
        <w:rPr>
          <w:spacing w:val="-3"/>
        </w:rPr>
        <w:t>through </w:t>
      </w:r>
      <w:r>
        <w:rPr>
          <w:b/>
          <w:spacing w:val="-3"/>
        </w:rPr>
        <w:t>5.B.4</w:t>
      </w:r>
      <w:r>
        <w:rPr>
          <w:spacing w:val="-3"/>
        </w:rPr>
        <w:t>, for Inpatient Admissions occurring </w:t>
      </w:r>
      <w:r>
        <w:rPr/>
        <w:t>in </w:t>
      </w:r>
      <w:r>
        <w:rPr>
          <w:spacing w:val="-3"/>
        </w:rPr>
        <w:t>RY14, </w:t>
      </w:r>
      <w:r>
        <w:rPr/>
        <w:t>the </w:t>
      </w:r>
      <w:r>
        <w:rPr>
          <w:spacing w:val="-3"/>
        </w:rPr>
        <w:t>hospital-specific RY14 SPAD </w:t>
      </w:r>
      <w:r>
        <w:rPr/>
        <w:t>for </w:t>
      </w:r>
      <w:r>
        <w:rPr>
          <w:spacing w:val="-3"/>
        </w:rPr>
        <w:t>each Critical Access Hospital </w:t>
      </w:r>
      <w:r>
        <w:rPr/>
        <w:t>was </w:t>
      </w:r>
      <w:r>
        <w:rPr>
          <w:spacing w:val="-3"/>
        </w:rPr>
        <w:t>calculated </w:t>
      </w:r>
      <w:r>
        <w:rPr/>
        <w:t>as </w:t>
      </w:r>
      <w:r>
        <w:rPr>
          <w:spacing w:val="-4"/>
        </w:rPr>
        <w:t>follows:</w:t>
      </w:r>
    </w:p>
    <w:p>
      <w:pPr>
        <w:pStyle w:val="BodyText"/>
        <w:spacing w:before="7"/>
        <w:rPr>
          <w:sz w:val="20"/>
        </w:rPr>
      </w:pPr>
    </w:p>
    <w:p>
      <w:pPr>
        <w:pStyle w:val="ListParagraph"/>
        <w:numPr>
          <w:ilvl w:val="3"/>
          <w:numId w:val="8"/>
        </w:numPr>
        <w:tabs>
          <w:tab w:pos="1232" w:val="left" w:leader="none"/>
        </w:tabs>
        <w:spacing w:line="242" w:lineRule="auto" w:before="0" w:after="0"/>
        <w:ind w:left="1232" w:right="232" w:hanging="360"/>
        <w:jc w:val="left"/>
        <w:rPr>
          <w:sz w:val="24"/>
        </w:rPr>
      </w:pPr>
      <w:r>
        <w:rPr>
          <w:spacing w:val="-3"/>
          <w:sz w:val="24"/>
        </w:rPr>
        <w:t>EOHHS calculated </w:t>
      </w:r>
      <w:r>
        <w:rPr>
          <w:sz w:val="24"/>
        </w:rPr>
        <w:t>a </w:t>
      </w:r>
      <w:r>
        <w:rPr>
          <w:spacing w:val="-3"/>
          <w:sz w:val="24"/>
        </w:rPr>
        <w:t>cost-to-charge ratio </w:t>
      </w:r>
      <w:r>
        <w:rPr>
          <w:sz w:val="24"/>
        </w:rPr>
        <w:t>for </w:t>
      </w:r>
      <w:r>
        <w:rPr>
          <w:spacing w:val="-3"/>
          <w:sz w:val="24"/>
        </w:rPr>
        <w:t>inpatient services (Inpatient CCR) for each Critical Access Hospital, which </w:t>
      </w:r>
      <w:r>
        <w:rPr>
          <w:sz w:val="24"/>
        </w:rPr>
        <w:t>was </w:t>
      </w:r>
      <w:r>
        <w:rPr>
          <w:spacing w:val="-3"/>
          <w:sz w:val="24"/>
        </w:rPr>
        <w:t>determined </w:t>
      </w:r>
      <w:r>
        <w:rPr>
          <w:sz w:val="24"/>
        </w:rPr>
        <w:t>by </w:t>
      </w:r>
      <w:r>
        <w:rPr>
          <w:spacing w:val="-3"/>
          <w:sz w:val="24"/>
        </w:rPr>
        <w:t>dividing </w:t>
      </w:r>
      <w:r>
        <w:rPr>
          <w:sz w:val="24"/>
        </w:rPr>
        <w:t>the </w:t>
      </w:r>
      <w:r>
        <w:rPr>
          <w:spacing w:val="-3"/>
          <w:sz w:val="24"/>
        </w:rPr>
        <w:t>amount reported </w:t>
      </w:r>
      <w:r>
        <w:rPr>
          <w:sz w:val="24"/>
        </w:rPr>
        <w:t>on </w:t>
      </w:r>
      <w:r>
        <w:rPr>
          <w:spacing w:val="-3"/>
          <w:sz w:val="24"/>
        </w:rPr>
        <w:t>Schedule </w:t>
      </w:r>
      <w:r>
        <w:rPr>
          <w:sz w:val="24"/>
        </w:rPr>
        <w:t>II, </w:t>
      </w:r>
      <w:r>
        <w:rPr>
          <w:spacing w:val="-3"/>
          <w:sz w:val="24"/>
        </w:rPr>
        <w:t>line 100, column </w:t>
      </w:r>
      <w:r>
        <w:rPr>
          <w:sz w:val="24"/>
        </w:rPr>
        <w:t>10 </w:t>
      </w:r>
      <w:r>
        <w:rPr>
          <w:spacing w:val="-3"/>
          <w:sz w:val="24"/>
        </w:rPr>
        <w:t>(PAT EXP-INC </w:t>
      </w:r>
      <w:r>
        <w:rPr>
          <w:sz w:val="24"/>
        </w:rPr>
        <w:t>CAP </w:t>
      </w:r>
      <w:r>
        <w:rPr>
          <w:spacing w:val="-3"/>
          <w:sz w:val="24"/>
        </w:rPr>
        <w:t>SUBTOT </w:t>
      </w:r>
      <w:r>
        <w:rPr>
          <w:sz w:val="24"/>
        </w:rPr>
        <w:t>IP) of </w:t>
      </w:r>
      <w:r>
        <w:rPr>
          <w:spacing w:val="-3"/>
          <w:sz w:val="24"/>
        </w:rPr>
        <w:t>the hospital’s FY12 -403 cost report </w:t>
      </w:r>
      <w:r>
        <w:rPr>
          <w:sz w:val="24"/>
        </w:rPr>
        <w:t>by the </w:t>
      </w:r>
      <w:r>
        <w:rPr>
          <w:spacing w:val="-3"/>
          <w:sz w:val="24"/>
        </w:rPr>
        <w:t>amount reported </w:t>
      </w:r>
      <w:r>
        <w:rPr>
          <w:sz w:val="24"/>
        </w:rPr>
        <w:t>on </w:t>
      </w:r>
      <w:r>
        <w:rPr>
          <w:spacing w:val="-3"/>
          <w:sz w:val="24"/>
        </w:rPr>
        <w:t>Schedule </w:t>
      </w:r>
      <w:r>
        <w:rPr>
          <w:sz w:val="24"/>
        </w:rPr>
        <w:t>II, </w:t>
      </w:r>
      <w:r>
        <w:rPr>
          <w:spacing w:val="-3"/>
          <w:sz w:val="24"/>
        </w:rPr>
        <w:t>line 100, column </w:t>
      </w:r>
      <w:r>
        <w:rPr>
          <w:sz w:val="24"/>
        </w:rPr>
        <w:t>11 </w:t>
      </w:r>
      <w:r>
        <w:rPr>
          <w:spacing w:val="-3"/>
          <w:sz w:val="24"/>
        </w:rPr>
        <w:t>(GPSR SUBTOT </w:t>
      </w:r>
      <w:r>
        <w:rPr>
          <w:sz w:val="24"/>
        </w:rPr>
        <w:t>IP) of </w:t>
      </w:r>
      <w:r>
        <w:rPr>
          <w:spacing w:val="-3"/>
          <w:sz w:val="24"/>
        </w:rPr>
        <w:t>such</w:t>
      </w:r>
      <w:r>
        <w:rPr>
          <w:spacing w:val="-28"/>
          <w:sz w:val="24"/>
        </w:rPr>
        <w:t> </w:t>
      </w:r>
      <w:r>
        <w:rPr>
          <w:spacing w:val="-3"/>
          <w:sz w:val="24"/>
        </w:rPr>
        <w:t>report.</w:t>
      </w:r>
    </w:p>
    <w:p>
      <w:pPr>
        <w:pStyle w:val="BodyText"/>
        <w:spacing w:before="10"/>
        <w:rPr>
          <w:sz w:val="20"/>
        </w:rPr>
      </w:pPr>
    </w:p>
    <w:p>
      <w:pPr>
        <w:pStyle w:val="ListParagraph"/>
        <w:numPr>
          <w:ilvl w:val="3"/>
          <w:numId w:val="8"/>
        </w:numPr>
        <w:tabs>
          <w:tab w:pos="1232" w:val="left" w:leader="none"/>
        </w:tabs>
        <w:spacing w:line="242" w:lineRule="auto" w:before="0" w:after="0"/>
        <w:ind w:left="1232" w:right="304" w:hanging="360"/>
        <w:jc w:val="left"/>
        <w:rPr>
          <w:sz w:val="24"/>
        </w:rPr>
      </w:pPr>
      <w:r>
        <w:rPr>
          <w:spacing w:val="-3"/>
          <w:sz w:val="24"/>
        </w:rPr>
        <w:t>EOHHS then calculated 101% </w:t>
      </w:r>
      <w:r>
        <w:rPr>
          <w:sz w:val="24"/>
        </w:rPr>
        <w:t>of the </w:t>
      </w:r>
      <w:r>
        <w:rPr>
          <w:spacing w:val="-3"/>
          <w:sz w:val="24"/>
        </w:rPr>
        <w:t>Critical Access Hospital’s Medicaid (MassHealth) inpatient costs </w:t>
      </w:r>
      <w:r>
        <w:rPr>
          <w:sz w:val="24"/>
        </w:rPr>
        <w:t>by </w:t>
      </w:r>
      <w:r>
        <w:rPr>
          <w:spacing w:val="-3"/>
          <w:sz w:val="24"/>
        </w:rPr>
        <w:t>multiplying </w:t>
      </w:r>
      <w:r>
        <w:rPr>
          <w:sz w:val="24"/>
        </w:rPr>
        <w:t>the </w:t>
      </w:r>
      <w:r>
        <w:rPr>
          <w:spacing w:val="-3"/>
          <w:sz w:val="24"/>
        </w:rPr>
        <w:t>hospital’s Inpatient </w:t>
      </w:r>
      <w:r>
        <w:rPr>
          <w:sz w:val="24"/>
        </w:rPr>
        <w:t>CCR by </w:t>
      </w:r>
      <w:r>
        <w:rPr>
          <w:spacing w:val="-3"/>
          <w:sz w:val="24"/>
        </w:rPr>
        <w:t>the amount reported </w:t>
      </w:r>
      <w:r>
        <w:rPr>
          <w:sz w:val="24"/>
        </w:rPr>
        <w:t>on </w:t>
      </w:r>
      <w:r>
        <w:rPr>
          <w:spacing w:val="-3"/>
          <w:sz w:val="24"/>
        </w:rPr>
        <w:t>Schedule </w:t>
      </w:r>
      <w:r>
        <w:rPr>
          <w:sz w:val="24"/>
        </w:rPr>
        <w:t>VA, </w:t>
      </w:r>
      <w:r>
        <w:rPr>
          <w:spacing w:val="-3"/>
          <w:sz w:val="24"/>
        </w:rPr>
        <w:t>line </w:t>
      </w:r>
      <w:r>
        <w:rPr>
          <w:sz w:val="24"/>
        </w:rPr>
        <w:t>57, </w:t>
      </w:r>
      <w:r>
        <w:rPr>
          <w:spacing w:val="-3"/>
          <w:sz w:val="24"/>
        </w:rPr>
        <w:t>column </w:t>
      </w:r>
      <w:r>
        <w:rPr>
          <w:sz w:val="24"/>
        </w:rPr>
        <w:t>6 </w:t>
      </w:r>
      <w:r>
        <w:rPr>
          <w:spacing w:val="-3"/>
          <w:sz w:val="24"/>
        </w:rPr>
        <w:t>(MCD NON-MGD </w:t>
      </w:r>
      <w:r>
        <w:rPr>
          <w:sz w:val="24"/>
        </w:rPr>
        <w:t>TOT </w:t>
      </w:r>
      <w:r>
        <w:rPr>
          <w:spacing w:val="-3"/>
          <w:sz w:val="24"/>
        </w:rPr>
        <w:t>IP GPSR) </w:t>
      </w:r>
      <w:r>
        <w:rPr>
          <w:sz w:val="24"/>
        </w:rPr>
        <w:t>of the </w:t>
      </w:r>
      <w:r>
        <w:rPr>
          <w:spacing w:val="-3"/>
          <w:sz w:val="24"/>
        </w:rPr>
        <w:t>hospital’s FY12 -403 cost report, </w:t>
      </w:r>
      <w:r>
        <w:rPr>
          <w:sz w:val="24"/>
        </w:rPr>
        <w:t>and </w:t>
      </w:r>
      <w:r>
        <w:rPr>
          <w:spacing w:val="-3"/>
          <w:sz w:val="24"/>
        </w:rPr>
        <w:t>then subsequently increasing that amount </w:t>
      </w:r>
      <w:r>
        <w:rPr>
          <w:sz w:val="24"/>
        </w:rPr>
        <w:t>by an </w:t>
      </w:r>
      <w:r>
        <w:rPr>
          <w:spacing w:val="-3"/>
          <w:sz w:val="24"/>
        </w:rPr>
        <w:t>additional</w:t>
      </w:r>
      <w:r>
        <w:rPr>
          <w:spacing w:val="-19"/>
          <w:sz w:val="24"/>
        </w:rPr>
        <w:t> </w:t>
      </w:r>
      <w:r>
        <w:rPr>
          <w:spacing w:val="-3"/>
          <w:sz w:val="24"/>
        </w:rPr>
        <w:t>1%.</w:t>
      </w:r>
    </w:p>
    <w:p>
      <w:pPr>
        <w:pStyle w:val="BodyText"/>
        <w:spacing w:before="10"/>
        <w:rPr>
          <w:sz w:val="20"/>
        </w:rPr>
      </w:pPr>
    </w:p>
    <w:p>
      <w:pPr>
        <w:pStyle w:val="ListParagraph"/>
        <w:numPr>
          <w:ilvl w:val="3"/>
          <w:numId w:val="8"/>
        </w:numPr>
        <w:tabs>
          <w:tab w:pos="1232" w:val="left" w:leader="none"/>
        </w:tabs>
        <w:spacing w:line="242" w:lineRule="auto" w:before="0" w:after="0"/>
        <w:ind w:left="1232" w:right="455" w:hanging="360"/>
        <w:jc w:val="left"/>
        <w:rPr>
          <w:sz w:val="24"/>
        </w:rPr>
      </w:pPr>
      <w:r>
        <w:rPr>
          <w:spacing w:val="-3"/>
          <w:sz w:val="24"/>
        </w:rPr>
        <w:t>EOHHS then derived </w:t>
      </w:r>
      <w:r>
        <w:rPr>
          <w:sz w:val="24"/>
        </w:rPr>
        <w:t>the </w:t>
      </w:r>
      <w:r>
        <w:rPr>
          <w:spacing w:val="-3"/>
          <w:sz w:val="24"/>
        </w:rPr>
        <w:t>Critical Access Hospital’s Medicaid cost </w:t>
      </w:r>
      <w:r>
        <w:rPr>
          <w:sz w:val="24"/>
        </w:rPr>
        <w:t>per </w:t>
      </w:r>
      <w:r>
        <w:rPr>
          <w:spacing w:val="-3"/>
          <w:sz w:val="24"/>
        </w:rPr>
        <w:t>discharge by dividing </w:t>
      </w:r>
      <w:r>
        <w:rPr>
          <w:sz w:val="24"/>
        </w:rPr>
        <w:t>the </w:t>
      </w:r>
      <w:r>
        <w:rPr>
          <w:spacing w:val="-3"/>
          <w:sz w:val="24"/>
        </w:rPr>
        <w:t>amount that equals 101% </w:t>
      </w:r>
      <w:r>
        <w:rPr>
          <w:sz w:val="24"/>
        </w:rPr>
        <w:t>of the </w:t>
      </w:r>
      <w:r>
        <w:rPr>
          <w:spacing w:val="-3"/>
          <w:sz w:val="24"/>
        </w:rPr>
        <w:t>hospital’s Medicaid (MassHealth) inpatient costs </w:t>
      </w:r>
      <w:r>
        <w:rPr>
          <w:sz w:val="24"/>
        </w:rPr>
        <w:t>as </w:t>
      </w:r>
      <w:r>
        <w:rPr>
          <w:spacing w:val="-3"/>
          <w:sz w:val="24"/>
        </w:rPr>
        <w:t>determined above </w:t>
      </w:r>
      <w:r>
        <w:rPr>
          <w:sz w:val="24"/>
        </w:rPr>
        <w:t>by the </w:t>
      </w:r>
      <w:r>
        <w:rPr>
          <w:spacing w:val="-3"/>
          <w:sz w:val="24"/>
        </w:rPr>
        <w:t>hospital’s Medicaid (MassHealth) discharges. </w:t>
      </w:r>
      <w:r>
        <w:rPr>
          <w:sz w:val="24"/>
        </w:rPr>
        <w:t>The </w:t>
      </w:r>
      <w:r>
        <w:rPr>
          <w:spacing w:val="-3"/>
          <w:sz w:val="24"/>
        </w:rPr>
        <w:t>hospital’s Medicaid (MassHealth) discharges were derived from Schedule </w:t>
      </w:r>
      <w:r>
        <w:rPr>
          <w:sz w:val="24"/>
        </w:rPr>
        <w:t>VA, </w:t>
      </w:r>
      <w:r>
        <w:rPr>
          <w:spacing w:val="-3"/>
          <w:sz w:val="24"/>
        </w:rPr>
        <w:t>line </w:t>
      </w:r>
      <w:r>
        <w:rPr>
          <w:sz w:val="24"/>
        </w:rPr>
        <w:t>25, </w:t>
      </w:r>
      <w:r>
        <w:rPr>
          <w:spacing w:val="-3"/>
          <w:sz w:val="24"/>
        </w:rPr>
        <w:t>column </w:t>
      </w:r>
      <w:r>
        <w:rPr>
          <w:sz w:val="24"/>
        </w:rPr>
        <w:t>6 of the</w:t>
      </w:r>
      <w:r>
        <w:rPr>
          <w:spacing w:val="-41"/>
          <w:sz w:val="24"/>
        </w:rPr>
        <w:t> </w:t>
      </w:r>
      <w:r>
        <w:rPr>
          <w:spacing w:val="-3"/>
          <w:sz w:val="24"/>
        </w:rPr>
        <w:t>hospital’s FY12 -403 cost report.</w:t>
      </w:r>
    </w:p>
    <w:p>
      <w:pPr>
        <w:pStyle w:val="BodyText"/>
        <w:spacing w:before="10"/>
        <w:rPr>
          <w:sz w:val="20"/>
        </w:rPr>
      </w:pPr>
    </w:p>
    <w:p>
      <w:pPr>
        <w:pStyle w:val="ListParagraph"/>
        <w:numPr>
          <w:ilvl w:val="3"/>
          <w:numId w:val="8"/>
        </w:numPr>
        <w:tabs>
          <w:tab w:pos="1232" w:val="left" w:leader="none"/>
        </w:tabs>
        <w:spacing w:line="244" w:lineRule="auto" w:before="0" w:after="0"/>
        <w:ind w:left="1232" w:right="172" w:hanging="360"/>
        <w:jc w:val="left"/>
        <w:rPr>
          <w:sz w:val="24"/>
        </w:rPr>
      </w:pPr>
      <w:r>
        <w:rPr>
          <w:sz w:val="24"/>
        </w:rPr>
        <w:t>The </w:t>
      </w:r>
      <w:r>
        <w:rPr>
          <w:spacing w:val="-3"/>
          <w:sz w:val="24"/>
        </w:rPr>
        <w:t>Inflation Factor </w:t>
      </w:r>
      <w:r>
        <w:rPr>
          <w:sz w:val="24"/>
        </w:rPr>
        <w:t>for </w:t>
      </w:r>
      <w:r>
        <w:rPr>
          <w:spacing w:val="-3"/>
          <w:sz w:val="24"/>
        </w:rPr>
        <w:t>Operating Costs between RY12 </w:t>
      </w:r>
      <w:r>
        <w:rPr>
          <w:sz w:val="24"/>
        </w:rPr>
        <w:t>and </w:t>
      </w:r>
      <w:r>
        <w:rPr>
          <w:spacing w:val="-3"/>
          <w:sz w:val="24"/>
        </w:rPr>
        <w:t>RY13 </w:t>
      </w:r>
      <w:r>
        <w:rPr>
          <w:sz w:val="24"/>
        </w:rPr>
        <w:t>and </w:t>
      </w:r>
      <w:r>
        <w:rPr>
          <w:spacing w:val="-3"/>
          <w:sz w:val="24"/>
        </w:rPr>
        <w:t>between RY13 </w:t>
      </w:r>
      <w:r>
        <w:rPr>
          <w:sz w:val="24"/>
        </w:rPr>
        <w:t>and </w:t>
      </w:r>
      <w:r>
        <w:rPr>
          <w:spacing w:val="-3"/>
          <w:sz w:val="24"/>
        </w:rPr>
        <w:t>RY14 </w:t>
      </w:r>
      <w:r>
        <w:rPr>
          <w:sz w:val="24"/>
        </w:rPr>
        <w:t>was </w:t>
      </w:r>
      <w:r>
        <w:rPr>
          <w:spacing w:val="-3"/>
          <w:sz w:val="24"/>
        </w:rPr>
        <w:t>then applied </w:t>
      </w:r>
      <w:r>
        <w:rPr>
          <w:sz w:val="24"/>
        </w:rPr>
        <w:t>to the </w:t>
      </w:r>
      <w:r>
        <w:rPr>
          <w:spacing w:val="-3"/>
          <w:sz w:val="24"/>
        </w:rPr>
        <w:t>Critical Access Hospital’s Medicaid cost per discharge </w:t>
      </w:r>
      <w:r>
        <w:rPr>
          <w:sz w:val="24"/>
        </w:rPr>
        <w:t>as </w:t>
      </w:r>
      <w:r>
        <w:rPr>
          <w:spacing w:val="-3"/>
          <w:sz w:val="24"/>
        </w:rPr>
        <w:t>determined </w:t>
      </w:r>
      <w:r>
        <w:rPr>
          <w:sz w:val="24"/>
        </w:rPr>
        <w:t>in </w:t>
      </w:r>
      <w:r>
        <w:rPr>
          <w:b/>
          <w:spacing w:val="-3"/>
          <w:sz w:val="24"/>
        </w:rPr>
        <w:t>Section 5.D.7.a(3), </w:t>
      </w:r>
      <w:r>
        <w:rPr>
          <w:spacing w:val="-3"/>
          <w:sz w:val="24"/>
        </w:rPr>
        <w:t>above, </w:t>
      </w:r>
      <w:r>
        <w:rPr>
          <w:sz w:val="24"/>
        </w:rPr>
        <w:t>to </w:t>
      </w:r>
      <w:r>
        <w:rPr>
          <w:spacing w:val="-3"/>
          <w:sz w:val="24"/>
        </w:rPr>
        <w:t>derive </w:t>
      </w:r>
      <w:r>
        <w:rPr>
          <w:sz w:val="24"/>
        </w:rPr>
        <w:t>the </w:t>
      </w:r>
      <w:r>
        <w:rPr>
          <w:spacing w:val="-3"/>
          <w:sz w:val="24"/>
        </w:rPr>
        <w:t>Critical Access Hospital’s RY14</w:t>
      </w:r>
      <w:r>
        <w:rPr>
          <w:spacing w:val="-2"/>
          <w:sz w:val="24"/>
        </w:rPr>
        <w:t> </w:t>
      </w:r>
      <w:r>
        <w:rPr>
          <w:spacing w:val="-3"/>
          <w:sz w:val="24"/>
        </w:rPr>
        <w:t>SPAD.</w:t>
      </w:r>
    </w:p>
    <w:p>
      <w:pPr>
        <w:spacing w:after="0" w:line="244" w:lineRule="auto"/>
        <w:jc w:val="left"/>
        <w:rPr>
          <w:sz w:val="24"/>
        </w:rPr>
        <w:sectPr>
          <w:pgSz w:w="12240" w:h="15840"/>
          <w:pgMar w:header="0" w:footer="744" w:top="1380" w:bottom="940" w:left="1720" w:right="980"/>
        </w:sectPr>
      </w:pPr>
    </w:p>
    <w:p>
      <w:pPr>
        <w:pStyle w:val="ListParagraph"/>
        <w:numPr>
          <w:ilvl w:val="3"/>
          <w:numId w:val="8"/>
        </w:numPr>
        <w:tabs>
          <w:tab w:pos="1232" w:val="left" w:leader="none"/>
        </w:tabs>
        <w:spacing w:line="247" w:lineRule="auto" w:before="65" w:after="0"/>
        <w:ind w:left="1232" w:right="387" w:hanging="360"/>
        <w:jc w:val="left"/>
        <w:rPr>
          <w:sz w:val="24"/>
        </w:rPr>
      </w:pPr>
      <w:r>
        <w:rPr>
          <w:spacing w:val="-3"/>
          <w:sz w:val="24"/>
        </w:rPr>
        <w:t>Critical Access Hospitals will </w:t>
      </w:r>
      <w:r>
        <w:rPr>
          <w:sz w:val="24"/>
        </w:rPr>
        <w:t>not be </w:t>
      </w:r>
      <w:r>
        <w:rPr>
          <w:spacing w:val="-3"/>
          <w:sz w:val="24"/>
        </w:rPr>
        <w:t>subject </w:t>
      </w:r>
      <w:r>
        <w:rPr>
          <w:sz w:val="24"/>
        </w:rPr>
        <w:t>to any </w:t>
      </w:r>
      <w:r>
        <w:rPr>
          <w:spacing w:val="-3"/>
          <w:sz w:val="24"/>
        </w:rPr>
        <w:t>SPAD adjustment under </w:t>
      </w:r>
      <w:r>
        <w:rPr>
          <w:b/>
          <w:spacing w:val="-3"/>
          <w:sz w:val="24"/>
        </w:rPr>
        <w:t>Section 8.1</w:t>
      </w:r>
      <w:r>
        <w:rPr>
          <w:spacing w:val="-3"/>
          <w:sz w:val="24"/>
        </w:rPr>
        <w:t>.</w:t>
      </w:r>
    </w:p>
    <w:p>
      <w:pPr>
        <w:pStyle w:val="BodyText"/>
        <w:spacing w:line="244" w:lineRule="auto" w:before="115"/>
        <w:ind w:left="872" w:right="458"/>
        <w:jc w:val="both"/>
      </w:pPr>
      <w:r>
        <w:rPr/>
        <w:t>The </w:t>
      </w:r>
      <w:r>
        <w:rPr>
          <w:spacing w:val="-3"/>
        </w:rPr>
        <w:t>transfer </w:t>
      </w:r>
      <w:r>
        <w:rPr/>
        <w:t>per </w:t>
      </w:r>
      <w:r>
        <w:rPr>
          <w:spacing w:val="-3"/>
        </w:rPr>
        <w:t>diem rate </w:t>
      </w:r>
      <w:r>
        <w:rPr/>
        <w:t>of </w:t>
      </w:r>
      <w:r>
        <w:rPr>
          <w:spacing w:val="-3"/>
        </w:rPr>
        <w:t>payment </w:t>
      </w:r>
      <w:r>
        <w:rPr/>
        <w:t>for </w:t>
      </w:r>
      <w:r>
        <w:rPr>
          <w:spacing w:val="-3"/>
        </w:rPr>
        <w:t>each Critical Access Hospital </w:t>
      </w:r>
      <w:r>
        <w:rPr/>
        <w:t>for </w:t>
      </w:r>
      <w:r>
        <w:rPr>
          <w:spacing w:val="-3"/>
        </w:rPr>
        <w:t>purposes of </w:t>
      </w:r>
      <w:r>
        <w:rPr>
          <w:b/>
          <w:spacing w:val="-3"/>
        </w:rPr>
        <w:t>Section 5.B.8 </w:t>
      </w:r>
      <w:r>
        <w:rPr>
          <w:spacing w:val="-3"/>
        </w:rPr>
        <w:t>applicable </w:t>
      </w:r>
      <w:r>
        <w:rPr/>
        <w:t>to </w:t>
      </w:r>
      <w:r>
        <w:rPr>
          <w:spacing w:val="-3"/>
        </w:rPr>
        <w:t>Inpatient Admissions occurring </w:t>
      </w:r>
      <w:r>
        <w:rPr/>
        <w:t>in </w:t>
      </w:r>
      <w:r>
        <w:rPr>
          <w:spacing w:val="-3"/>
        </w:rPr>
        <w:t>RY14 </w:t>
      </w:r>
      <w:r>
        <w:rPr/>
        <w:t>was </w:t>
      </w:r>
      <w:r>
        <w:rPr>
          <w:spacing w:val="-3"/>
        </w:rPr>
        <w:t>computed by dividing </w:t>
      </w:r>
      <w:r>
        <w:rPr/>
        <w:t>the </w:t>
      </w:r>
      <w:r>
        <w:rPr>
          <w:spacing w:val="-3"/>
        </w:rPr>
        <w:t>Critical Access Hospital’s RY14 SPAD, </w:t>
      </w:r>
      <w:r>
        <w:rPr/>
        <w:t>as </w:t>
      </w:r>
      <w:r>
        <w:rPr>
          <w:spacing w:val="-3"/>
        </w:rPr>
        <w:t>calculated above, </w:t>
      </w:r>
      <w:r>
        <w:rPr/>
        <w:t>by the </w:t>
      </w:r>
      <w:r>
        <w:rPr>
          <w:spacing w:val="-3"/>
        </w:rPr>
        <w:t>SPAD Base Year average all-payer length </w:t>
      </w:r>
      <w:r>
        <w:rPr/>
        <w:t>of </w:t>
      </w:r>
      <w:r>
        <w:rPr>
          <w:spacing w:val="-3"/>
        </w:rPr>
        <w:t>stay </w:t>
      </w:r>
      <w:r>
        <w:rPr/>
        <w:t>of </w:t>
      </w:r>
      <w:r>
        <w:rPr>
          <w:spacing w:val="-3"/>
        </w:rPr>
        <w:t>4.31 days </w:t>
      </w:r>
      <w:r>
        <w:rPr/>
        <w:t>as </w:t>
      </w:r>
      <w:r>
        <w:rPr>
          <w:spacing w:val="-3"/>
        </w:rPr>
        <w:t>calculated </w:t>
      </w:r>
      <w:r>
        <w:rPr/>
        <w:t>by </w:t>
      </w:r>
      <w:r>
        <w:rPr>
          <w:spacing w:val="-3"/>
        </w:rPr>
        <w:t>EOHHS.</w:t>
      </w:r>
    </w:p>
    <w:p>
      <w:pPr>
        <w:pStyle w:val="BodyText"/>
        <w:spacing w:before="10"/>
        <w:rPr>
          <w:sz w:val="23"/>
        </w:rPr>
      </w:pPr>
    </w:p>
    <w:p>
      <w:pPr>
        <w:pStyle w:val="BodyText"/>
        <w:spacing w:line="244" w:lineRule="auto"/>
        <w:ind w:left="872" w:right="112"/>
      </w:pPr>
      <w:r>
        <w:rPr/>
        <w:t>The </w:t>
      </w:r>
      <w:r>
        <w:rPr>
          <w:spacing w:val="-3"/>
        </w:rPr>
        <w:t>outlier </w:t>
      </w:r>
      <w:r>
        <w:rPr/>
        <w:t>per </w:t>
      </w:r>
      <w:r>
        <w:rPr>
          <w:spacing w:val="-3"/>
        </w:rPr>
        <w:t>diem rate </w:t>
      </w:r>
      <w:r>
        <w:rPr/>
        <w:t>of </w:t>
      </w:r>
      <w:r>
        <w:rPr>
          <w:spacing w:val="-3"/>
        </w:rPr>
        <w:t>payment for each Critical Access Hospital for purposes of </w:t>
      </w:r>
      <w:r>
        <w:rPr>
          <w:b/>
          <w:spacing w:val="-3"/>
        </w:rPr>
        <w:t>Section 5.B.9 </w:t>
      </w:r>
      <w:r>
        <w:rPr>
          <w:spacing w:val="-3"/>
        </w:rPr>
        <w:t>applicable </w:t>
      </w:r>
      <w:r>
        <w:rPr/>
        <w:t>to </w:t>
      </w:r>
      <w:r>
        <w:rPr>
          <w:spacing w:val="-3"/>
        </w:rPr>
        <w:t>Inpatient Admissions occurring </w:t>
      </w:r>
      <w:r>
        <w:rPr/>
        <w:t>in </w:t>
      </w:r>
      <w:r>
        <w:rPr>
          <w:spacing w:val="-3"/>
        </w:rPr>
        <w:t>RY14 </w:t>
      </w:r>
      <w:r>
        <w:rPr/>
        <w:t>was </w:t>
      </w:r>
      <w:r>
        <w:rPr>
          <w:spacing w:val="-3"/>
        </w:rPr>
        <w:t>calculated by multiplying </w:t>
      </w:r>
      <w:r>
        <w:rPr/>
        <w:t>the </w:t>
      </w:r>
      <w:r>
        <w:rPr>
          <w:spacing w:val="-3"/>
        </w:rPr>
        <w:t>Critical Access Hospital’s transfer </w:t>
      </w:r>
      <w:r>
        <w:rPr/>
        <w:t>per </w:t>
      </w:r>
      <w:r>
        <w:rPr>
          <w:spacing w:val="-3"/>
        </w:rPr>
        <w:t>diem rate </w:t>
      </w:r>
      <w:r>
        <w:rPr/>
        <w:t>as </w:t>
      </w:r>
      <w:r>
        <w:rPr>
          <w:spacing w:val="-3"/>
        </w:rPr>
        <w:t>derived above </w:t>
      </w:r>
      <w:r>
        <w:rPr/>
        <w:t>by </w:t>
      </w:r>
      <w:r>
        <w:rPr>
          <w:spacing w:val="-3"/>
        </w:rPr>
        <w:t>0.75.</w:t>
      </w:r>
    </w:p>
    <w:p>
      <w:pPr>
        <w:pStyle w:val="BodyText"/>
        <w:spacing w:before="5"/>
      </w:pPr>
    </w:p>
    <w:p>
      <w:pPr>
        <w:pStyle w:val="Heading3"/>
        <w:numPr>
          <w:ilvl w:val="2"/>
          <w:numId w:val="8"/>
        </w:numPr>
        <w:tabs>
          <w:tab w:pos="872" w:val="left" w:leader="none"/>
        </w:tabs>
        <w:spacing w:line="240" w:lineRule="auto" w:before="0" w:after="0"/>
        <w:ind w:left="872" w:right="0" w:hanging="360"/>
        <w:jc w:val="left"/>
      </w:pPr>
      <w:r>
        <w:rPr>
          <w:spacing w:val="-3"/>
        </w:rPr>
        <w:t>Payment </w:t>
      </w:r>
      <w:r>
        <w:rPr/>
        <w:t>for </w:t>
      </w:r>
      <w:r>
        <w:rPr>
          <w:spacing w:val="-3"/>
        </w:rPr>
        <w:t>Outpatient</w:t>
      </w:r>
      <w:r>
        <w:rPr>
          <w:spacing w:val="-12"/>
        </w:rPr>
        <w:t> </w:t>
      </w:r>
      <w:r>
        <w:rPr>
          <w:spacing w:val="-3"/>
        </w:rPr>
        <w:t>Services</w:t>
      </w:r>
    </w:p>
    <w:p>
      <w:pPr>
        <w:pStyle w:val="BodyText"/>
        <w:spacing w:before="4"/>
        <w:rPr>
          <w:b/>
        </w:rPr>
      </w:pPr>
    </w:p>
    <w:p>
      <w:pPr>
        <w:pStyle w:val="BodyText"/>
        <w:spacing w:line="247" w:lineRule="auto" w:before="1"/>
        <w:ind w:left="872" w:right="127"/>
      </w:pPr>
      <w:r>
        <w:rPr/>
        <w:t>For </w:t>
      </w:r>
      <w:r>
        <w:rPr>
          <w:spacing w:val="-3"/>
        </w:rPr>
        <w:t>dates </w:t>
      </w:r>
      <w:r>
        <w:rPr/>
        <w:t>of </w:t>
      </w:r>
      <w:r>
        <w:rPr>
          <w:spacing w:val="-3"/>
        </w:rPr>
        <w:t>service </w:t>
      </w:r>
      <w:r>
        <w:rPr/>
        <w:t>in </w:t>
      </w:r>
      <w:r>
        <w:rPr>
          <w:spacing w:val="-3"/>
        </w:rPr>
        <w:t>RY14, Critical Access Hospitals (CAHs) will </w:t>
      </w:r>
      <w:r>
        <w:rPr/>
        <w:t>be </w:t>
      </w:r>
      <w:r>
        <w:rPr>
          <w:spacing w:val="-3"/>
        </w:rPr>
        <w:t>paid </w:t>
      </w:r>
      <w:r>
        <w:rPr/>
        <w:t>for </w:t>
      </w:r>
      <w:r>
        <w:rPr>
          <w:spacing w:val="-3"/>
        </w:rPr>
        <w:t>Outpatient Services </w:t>
      </w:r>
      <w:r>
        <w:rPr/>
        <w:t>in </w:t>
      </w:r>
      <w:r>
        <w:rPr>
          <w:spacing w:val="-3"/>
        </w:rPr>
        <w:t>accordance with </w:t>
      </w:r>
      <w:r>
        <w:rPr>
          <w:b/>
          <w:spacing w:val="-3"/>
        </w:rPr>
        <w:t>Section </w:t>
      </w:r>
      <w:r>
        <w:rPr>
          <w:b/>
        </w:rPr>
        <w:t>5.C </w:t>
      </w:r>
      <w:r>
        <w:rPr>
          <w:spacing w:val="-3"/>
        </w:rPr>
        <w:t>with </w:t>
      </w:r>
      <w:r>
        <w:rPr/>
        <w:t>the </w:t>
      </w:r>
      <w:r>
        <w:rPr>
          <w:spacing w:val="-3"/>
        </w:rPr>
        <w:t>following changes.</w:t>
      </w:r>
    </w:p>
    <w:p>
      <w:pPr>
        <w:pStyle w:val="BodyText"/>
        <w:spacing w:before="10"/>
        <w:rPr>
          <w:sz w:val="23"/>
        </w:rPr>
      </w:pPr>
    </w:p>
    <w:p>
      <w:pPr>
        <w:pStyle w:val="BodyText"/>
        <w:spacing w:line="244" w:lineRule="auto" w:before="1"/>
        <w:ind w:left="871" w:right="147"/>
      </w:pPr>
      <w:r>
        <w:rPr>
          <w:spacing w:val="-3"/>
        </w:rPr>
        <w:t>Critical Access Hospitals will </w:t>
      </w:r>
      <w:r>
        <w:rPr/>
        <w:t>be </w:t>
      </w:r>
      <w:r>
        <w:rPr>
          <w:spacing w:val="-3"/>
        </w:rPr>
        <w:t>paid </w:t>
      </w:r>
      <w:r>
        <w:rPr/>
        <w:t>a </w:t>
      </w:r>
      <w:r>
        <w:rPr>
          <w:spacing w:val="-3"/>
        </w:rPr>
        <w:t>hospital-specific Payment Amount </w:t>
      </w:r>
      <w:r>
        <w:rPr/>
        <w:t>Per </w:t>
      </w:r>
      <w:r>
        <w:rPr>
          <w:spacing w:val="-3"/>
        </w:rPr>
        <w:t>Episode (PAPE) for those Outpatient Services for which </w:t>
      </w:r>
      <w:r>
        <w:rPr/>
        <w:t>all </w:t>
      </w:r>
      <w:r>
        <w:rPr>
          <w:spacing w:val="-3"/>
        </w:rPr>
        <w:t>other in-state acute hospitals </w:t>
      </w:r>
      <w:r>
        <w:rPr/>
        <w:t>are </w:t>
      </w:r>
      <w:r>
        <w:rPr>
          <w:spacing w:val="-3"/>
        </w:rPr>
        <w:t>paid </w:t>
      </w:r>
      <w:r>
        <w:rPr/>
        <w:t>a </w:t>
      </w:r>
      <w:r>
        <w:rPr>
          <w:spacing w:val="-3"/>
        </w:rPr>
        <w:t>PAPE. Notwithstanding </w:t>
      </w:r>
      <w:r>
        <w:rPr>
          <w:b/>
          <w:spacing w:val="-3"/>
        </w:rPr>
        <w:t>Section 5.C.1.a</w:t>
      </w:r>
      <w:r>
        <w:rPr>
          <w:i/>
          <w:spacing w:val="-3"/>
        </w:rPr>
        <w:t>, </w:t>
      </w:r>
      <w:r>
        <w:rPr/>
        <w:t>the </w:t>
      </w:r>
      <w:r>
        <w:rPr>
          <w:spacing w:val="-3"/>
        </w:rPr>
        <w:t>hospital-specific RY14 PAPE </w:t>
      </w:r>
      <w:r>
        <w:rPr/>
        <w:t>for </w:t>
      </w:r>
      <w:r>
        <w:rPr>
          <w:spacing w:val="-3"/>
        </w:rPr>
        <w:t>each Critical Access Hospital </w:t>
      </w:r>
      <w:r>
        <w:rPr/>
        <w:t>was </w:t>
      </w:r>
      <w:r>
        <w:rPr>
          <w:spacing w:val="-3"/>
        </w:rPr>
        <w:t>calculated </w:t>
      </w:r>
      <w:r>
        <w:rPr/>
        <w:t>as </w:t>
      </w:r>
      <w:r>
        <w:rPr>
          <w:spacing w:val="-4"/>
        </w:rPr>
        <w:t>follows:</w:t>
      </w:r>
    </w:p>
    <w:p>
      <w:pPr>
        <w:pStyle w:val="BodyText"/>
        <w:spacing w:before="7"/>
        <w:rPr>
          <w:sz w:val="34"/>
        </w:rPr>
      </w:pPr>
    </w:p>
    <w:p>
      <w:pPr>
        <w:pStyle w:val="ListParagraph"/>
        <w:numPr>
          <w:ilvl w:val="3"/>
          <w:numId w:val="8"/>
        </w:numPr>
        <w:tabs>
          <w:tab w:pos="1232" w:val="left" w:leader="none"/>
        </w:tabs>
        <w:spacing w:line="242" w:lineRule="auto" w:before="0" w:after="0"/>
        <w:ind w:left="1232" w:right="232" w:hanging="360"/>
        <w:jc w:val="left"/>
        <w:rPr>
          <w:sz w:val="24"/>
        </w:rPr>
      </w:pPr>
      <w:r>
        <w:rPr>
          <w:spacing w:val="-3"/>
          <w:sz w:val="24"/>
        </w:rPr>
        <w:t>EOHHS calculated </w:t>
      </w:r>
      <w:r>
        <w:rPr>
          <w:sz w:val="24"/>
        </w:rPr>
        <w:t>a </w:t>
      </w:r>
      <w:r>
        <w:rPr>
          <w:spacing w:val="-3"/>
          <w:sz w:val="24"/>
        </w:rPr>
        <w:t>cost </w:t>
      </w:r>
      <w:r>
        <w:rPr>
          <w:sz w:val="24"/>
        </w:rPr>
        <w:t>to </w:t>
      </w:r>
      <w:r>
        <w:rPr>
          <w:spacing w:val="-3"/>
          <w:sz w:val="24"/>
        </w:rPr>
        <w:t>charge ratio </w:t>
      </w:r>
      <w:r>
        <w:rPr>
          <w:sz w:val="24"/>
        </w:rPr>
        <w:t>for </w:t>
      </w:r>
      <w:r>
        <w:rPr>
          <w:spacing w:val="-3"/>
          <w:sz w:val="24"/>
        </w:rPr>
        <w:t>outpatient services (Outpatient CCR) for each Critical Access Hospital, which </w:t>
      </w:r>
      <w:r>
        <w:rPr>
          <w:sz w:val="24"/>
        </w:rPr>
        <w:t>was </w:t>
      </w:r>
      <w:r>
        <w:rPr>
          <w:spacing w:val="-3"/>
          <w:sz w:val="24"/>
        </w:rPr>
        <w:t>determined </w:t>
      </w:r>
      <w:r>
        <w:rPr>
          <w:sz w:val="24"/>
        </w:rPr>
        <w:t>by </w:t>
      </w:r>
      <w:r>
        <w:rPr>
          <w:spacing w:val="-3"/>
          <w:sz w:val="24"/>
        </w:rPr>
        <w:t>dividing </w:t>
      </w:r>
      <w:r>
        <w:rPr>
          <w:sz w:val="24"/>
        </w:rPr>
        <w:t>the </w:t>
      </w:r>
      <w:r>
        <w:rPr>
          <w:spacing w:val="-3"/>
          <w:sz w:val="24"/>
        </w:rPr>
        <w:t>amount reported </w:t>
      </w:r>
      <w:r>
        <w:rPr>
          <w:sz w:val="24"/>
        </w:rPr>
        <w:t>on </w:t>
      </w:r>
      <w:r>
        <w:rPr>
          <w:spacing w:val="-3"/>
          <w:sz w:val="24"/>
        </w:rPr>
        <w:t>Schedule </w:t>
      </w:r>
      <w:r>
        <w:rPr>
          <w:sz w:val="24"/>
        </w:rPr>
        <w:t>II, </w:t>
      </w:r>
      <w:r>
        <w:rPr>
          <w:spacing w:val="-3"/>
          <w:sz w:val="24"/>
        </w:rPr>
        <w:t>line 114, column </w:t>
      </w:r>
      <w:r>
        <w:rPr>
          <w:sz w:val="24"/>
        </w:rPr>
        <w:t>10 </w:t>
      </w:r>
      <w:r>
        <w:rPr>
          <w:spacing w:val="-3"/>
          <w:sz w:val="24"/>
        </w:rPr>
        <w:t>(PAT EXP-INC </w:t>
      </w:r>
      <w:r>
        <w:rPr>
          <w:sz w:val="24"/>
        </w:rPr>
        <w:t>CAP </w:t>
      </w:r>
      <w:r>
        <w:rPr>
          <w:spacing w:val="-3"/>
          <w:sz w:val="24"/>
        </w:rPr>
        <w:t>SUBTOT </w:t>
      </w:r>
      <w:r>
        <w:rPr>
          <w:sz w:val="24"/>
        </w:rPr>
        <w:t>OP) of </w:t>
      </w:r>
      <w:r>
        <w:rPr>
          <w:spacing w:val="-3"/>
          <w:sz w:val="24"/>
        </w:rPr>
        <w:t>the hospital’s FY12 -403 cost report </w:t>
      </w:r>
      <w:r>
        <w:rPr>
          <w:sz w:val="24"/>
        </w:rPr>
        <w:t>by the </w:t>
      </w:r>
      <w:r>
        <w:rPr>
          <w:spacing w:val="-3"/>
          <w:sz w:val="24"/>
        </w:rPr>
        <w:t>amount reported </w:t>
      </w:r>
      <w:r>
        <w:rPr>
          <w:sz w:val="24"/>
        </w:rPr>
        <w:t>on </w:t>
      </w:r>
      <w:r>
        <w:rPr>
          <w:spacing w:val="-3"/>
          <w:sz w:val="24"/>
        </w:rPr>
        <w:t>Schedule </w:t>
      </w:r>
      <w:r>
        <w:rPr>
          <w:sz w:val="24"/>
        </w:rPr>
        <w:t>II, </w:t>
      </w:r>
      <w:r>
        <w:rPr>
          <w:spacing w:val="-3"/>
          <w:sz w:val="24"/>
        </w:rPr>
        <w:t>line 114, column </w:t>
      </w:r>
      <w:r>
        <w:rPr>
          <w:sz w:val="24"/>
        </w:rPr>
        <w:t>11 </w:t>
      </w:r>
      <w:r>
        <w:rPr>
          <w:spacing w:val="-3"/>
          <w:sz w:val="24"/>
        </w:rPr>
        <w:t>(GPSR SUBTOT </w:t>
      </w:r>
      <w:r>
        <w:rPr>
          <w:sz w:val="24"/>
        </w:rPr>
        <w:t>OP) of </w:t>
      </w:r>
      <w:r>
        <w:rPr>
          <w:spacing w:val="-3"/>
          <w:sz w:val="24"/>
        </w:rPr>
        <w:t>such report, after setting </w:t>
      </w:r>
      <w:r>
        <w:rPr>
          <w:sz w:val="24"/>
        </w:rPr>
        <w:t>to </w:t>
      </w:r>
      <w:r>
        <w:rPr>
          <w:spacing w:val="-3"/>
          <w:sz w:val="24"/>
        </w:rPr>
        <w:t>zero </w:t>
      </w:r>
      <w:r>
        <w:rPr>
          <w:sz w:val="24"/>
        </w:rPr>
        <w:t>all </w:t>
      </w:r>
      <w:r>
        <w:rPr>
          <w:spacing w:val="-3"/>
          <w:sz w:val="24"/>
        </w:rPr>
        <w:t>direct expenses reported </w:t>
      </w:r>
      <w:r>
        <w:rPr>
          <w:sz w:val="24"/>
        </w:rPr>
        <w:t>on </w:t>
      </w:r>
      <w:r>
        <w:rPr>
          <w:spacing w:val="-3"/>
          <w:sz w:val="24"/>
        </w:rPr>
        <w:t>Schedule </w:t>
      </w:r>
      <w:r>
        <w:rPr>
          <w:sz w:val="24"/>
        </w:rPr>
        <w:t>IX, </w:t>
      </w:r>
      <w:r>
        <w:rPr>
          <w:spacing w:val="-3"/>
          <w:sz w:val="24"/>
        </w:rPr>
        <w:t>Line </w:t>
      </w:r>
      <w:r>
        <w:rPr>
          <w:sz w:val="24"/>
        </w:rPr>
        <w:t>51 </w:t>
      </w:r>
      <w:r>
        <w:rPr>
          <w:spacing w:val="-3"/>
          <w:sz w:val="24"/>
        </w:rPr>
        <w:t>(LAB), </w:t>
      </w:r>
      <w:r>
        <w:rPr>
          <w:sz w:val="24"/>
        </w:rPr>
        <w:t>and all </w:t>
      </w:r>
      <w:r>
        <w:rPr>
          <w:spacing w:val="-3"/>
          <w:sz w:val="24"/>
        </w:rPr>
        <w:t>gross patient service revenues reported </w:t>
      </w:r>
      <w:r>
        <w:rPr>
          <w:sz w:val="24"/>
        </w:rPr>
        <w:t>on </w:t>
      </w:r>
      <w:r>
        <w:rPr>
          <w:spacing w:val="-3"/>
          <w:sz w:val="24"/>
        </w:rPr>
        <w:t>Schedule </w:t>
      </w:r>
      <w:r>
        <w:rPr>
          <w:sz w:val="24"/>
        </w:rPr>
        <w:t>VI, </w:t>
      </w:r>
      <w:r>
        <w:rPr>
          <w:spacing w:val="-3"/>
          <w:sz w:val="24"/>
        </w:rPr>
        <w:t>Column </w:t>
      </w:r>
      <w:r>
        <w:rPr>
          <w:sz w:val="24"/>
        </w:rPr>
        <w:t>12</w:t>
      </w:r>
      <w:r>
        <w:rPr>
          <w:spacing w:val="-25"/>
          <w:sz w:val="24"/>
        </w:rPr>
        <w:t> </w:t>
      </w:r>
      <w:r>
        <w:rPr>
          <w:spacing w:val="-3"/>
          <w:sz w:val="24"/>
        </w:rPr>
        <w:t>(LABORATORY).</w:t>
      </w:r>
    </w:p>
    <w:p>
      <w:pPr>
        <w:pStyle w:val="BodyText"/>
        <w:spacing w:before="10"/>
        <w:rPr>
          <w:sz w:val="20"/>
        </w:rPr>
      </w:pPr>
    </w:p>
    <w:p>
      <w:pPr>
        <w:pStyle w:val="ListParagraph"/>
        <w:numPr>
          <w:ilvl w:val="3"/>
          <w:numId w:val="8"/>
        </w:numPr>
        <w:tabs>
          <w:tab w:pos="1232" w:val="left" w:leader="none"/>
        </w:tabs>
        <w:spacing w:line="242" w:lineRule="auto" w:before="1" w:after="0"/>
        <w:ind w:left="1232" w:right="227" w:hanging="360"/>
        <w:jc w:val="left"/>
        <w:rPr>
          <w:sz w:val="24"/>
        </w:rPr>
      </w:pPr>
      <w:r>
        <w:rPr>
          <w:spacing w:val="-3"/>
          <w:sz w:val="24"/>
        </w:rPr>
        <w:t>EOHHS then calculated 101% </w:t>
      </w:r>
      <w:r>
        <w:rPr>
          <w:sz w:val="24"/>
        </w:rPr>
        <w:t>of the </w:t>
      </w:r>
      <w:r>
        <w:rPr>
          <w:spacing w:val="-3"/>
          <w:sz w:val="24"/>
        </w:rPr>
        <w:t>Critical Access Hospital’s Medicaid (MassHealth) outpatient costs </w:t>
      </w:r>
      <w:r>
        <w:rPr>
          <w:sz w:val="24"/>
        </w:rPr>
        <w:t>by </w:t>
      </w:r>
      <w:r>
        <w:rPr>
          <w:spacing w:val="-3"/>
          <w:sz w:val="24"/>
        </w:rPr>
        <w:t>multiplying </w:t>
      </w:r>
      <w:r>
        <w:rPr>
          <w:sz w:val="24"/>
        </w:rPr>
        <w:t>the </w:t>
      </w:r>
      <w:r>
        <w:rPr>
          <w:spacing w:val="-3"/>
          <w:sz w:val="24"/>
        </w:rPr>
        <w:t>Outpatient </w:t>
      </w:r>
      <w:r>
        <w:rPr>
          <w:sz w:val="24"/>
        </w:rPr>
        <w:t>CCR by the </w:t>
      </w:r>
      <w:r>
        <w:rPr>
          <w:spacing w:val="-4"/>
          <w:sz w:val="24"/>
        </w:rPr>
        <w:t>amount </w:t>
      </w:r>
      <w:r>
        <w:rPr>
          <w:spacing w:val="-3"/>
          <w:sz w:val="24"/>
        </w:rPr>
        <w:t>reported </w:t>
      </w:r>
      <w:r>
        <w:rPr>
          <w:sz w:val="24"/>
        </w:rPr>
        <w:t>on </w:t>
      </w:r>
      <w:r>
        <w:rPr>
          <w:spacing w:val="-3"/>
          <w:sz w:val="24"/>
        </w:rPr>
        <w:t>Schedule </w:t>
      </w:r>
      <w:r>
        <w:rPr>
          <w:sz w:val="24"/>
        </w:rPr>
        <w:t>VA, </w:t>
      </w:r>
      <w:r>
        <w:rPr>
          <w:spacing w:val="-3"/>
          <w:sz w:val="24"/>
        </w:rPr>
        <w:t>line </w:t>
      </w:r>
      <w:r>
        <w:rPr>
          <w:sz w:val="24"/>
        </w:rPr>
        <w:t>70, </w:t>
      </w:r>
      <w:r>
        <w:rPr>
          <w:spacing w:val="-3"/>
          <w:sz w:val="24"/>
        </w:rPr>
        <w:t>column </w:t>
      </w:r>
      <w:r>
        <w:rPr>
          <w:sz w:val="24"/>
        </w:rPr>
        <w:t>6 </w:t>
      </w:r>
      <w:r>
        <w:rPr>
          <w:spacing w:val="-3"/>
          <w:sz w:val="24"/>
        </w:rPr>
        <w:t>(MCD NON-MGD </w:t>
      </w:r>
      <w:r>
        <w:rPr>
          <w:sz w:val="24"/>
        </w:rPr>
        <w:t>TOT OP </w:t>
      </w:r>
      <w:r>
        <w:rPr>
          <w:spacing w:val="-3"/>
          <w:sz w:val="24"/>
        </w:rPr>
        <w:t>GPSR) of </w:t>
      </w:r>
      <w:r>
        <w:rPr>
          <w:sz w:val="24"/>
        </w:rPr>
        <w:t>the </w:t>
      </w:r>
      <w:r>
        <w:rPr>
          <w:spacing w:val="-3"/>
          <w:sz w:val="24"/>
        </w:rPr>
        <w:t>hospital’s FY12 -403 cost report, </w:t>
      </w:r>
      <w:r>
        <w:rPr>
          <w:sz w:val="24"/>
        </w:rPr>
        <w:t>and </w:t>
      </w:r>
      <w:r>
        <w:rPr>
          <w:spacing w:val="-3"/>
          <w:sz w:val="24"/>
        </w:rPr>
        <w:t>then subsequently increasing that amount by </w:t>
      </w:r>
      <w:r>
        <w:rPr>
          <w:sz w:val="24"/>
        </w:rPr>
        <w:t>an </w:t>
      </w:r>
      <w:r>
        <w:rPr>
          <w:spacing w:val="-3"/>
          <w:sz w:val="24"/>
        </w:rPr>
        <w:t>additional</w:t>
      </w:r>
      <w:r>
        <w:rPr>
          <w:spacing w:val="-10"/>
          <w:sz w:val="24"/>
        </w:rPr>
        <w:t> </w:t>
      </w:r>
      <w:r>
        <w:rPr>
          <w:spacing w:val="-3"/>
          <w:sz w:val="24"/>
        </w:rPr>
        <w:t>1%.</w:t>
      </w:r>
    </w:p>
    <w:p>
      <w:pPr>
        <w:pStyle w:val="BodyText"/>
        <w:spacing w:before="11"/>
        <w:rPr>
          <w:sz w:val="20"/>
        </w:rPr>
      </w:pPr>
    </w:p>
    <w:p>
      <w:pPr>
        <w:pStyle w:val="ListParagraph"/>
        <w:numPr>
          <w:ilvl w:val="3"/>
          <w:numId w:val="8"/>
        </w:numPr>
        <w:tabs>
          <w:tab w:pos="1261" w:val="left" w:leader="none"/>
        </w:tabs>
        <w:spacing w:line="242" w:lineRule="auto" w:before="0" w:after="0"/>
        <w:ind w:left="1232" w:right="663" w:hanging="303"/>
        <w:jc w:val="left"/>
        <w:rPr>
          <w:sz w:val="24"/>
        </w:rPr>
      </w:pPr>
      <w:r>
        <w:rPr>
          <w:spacing w:val="-3"/>
          <w:sz w:val="24"/>
        </w:rPr>
        <w:t>EOHHS then divided </w:t>
      </w:r>
      <w:r>
        <w:rPr>
          <w:sz w:val="24"/>
        </w:rPr>
        <w:t>the </w:t>
      </w:r>
      <w:r>
        <w:rPr>
          <w:spacing w:val="-3"/>
          <w:sz w:val="24"/>
        </w:rPr>
        <w:t>amount that equals 101% </w:t>
      </w:r>
      <w:r>
        <w:rPr>
          <w:sz w:val="24"/>
        </w:rPr>
        <w:t>of the </w:t>
      </w:r>
      <w:r>
        <w:rPr>
          <w:spacing w:val="-3"/>
          <w:sz w:val="24"/>
        </w:rPr>
        <w:t>hospital’s Medicaid (MassHealth) outpatient costs </w:t>
      </w:r>
      <w:r>
        <w:rPr>
          <w:sz w:val="24"/>
        </w:rPr>
        <w:t>as </w:t>
      </w:r>
      <w:r>
        <w:rPr>
          <w:spacing w:val="-3"/>
          <w:sz w:val="24"/>
        </w:rPr>
        <w:t>determined above, </w:t>
      </w:r>
      <w:r>
        <w:rPr>
          <w:sz w:val="24"/>
        </w:rPr>
        <w:t>by the </w:t>
      </w:r>
      <w:r>
        <w:rPr>
          <w:spacing w:val="-3"/>
          <w:sz w:val="24"/>
        </w:rPr>
        <w:t>hospital’s Medicaid (MassHealth) PAPE Base Year Episodes. </w:t>
      </w:r>
      <w:r>
        <w:rPr>
          <w:sz w:val="24"/>
        </w:rPr>
        <w:t>The </w:t>
      </w:r>
      <w:r>
        <w:rPr>
          <w:spacing w:val="-3"/>
          <w:sz w:val="24"/>
        </w:rPr>
        <w:t>hospital’s Medicaid (MassHealth) PAPE Episodes were derived from PAPE Base Year</w:t>
      </w:r>
      <w:r>
        <w:rPr>
          <w:spacing w:val="2"/>
          <w:sz w:val="24"/>
        </w:rPr>
        <w:t> </w:t>
      </w:r>
      <w:r>
        <w:rPr>
          <w:spacing w:val="-3"/>
          <w:sz w:val="24"/>
        </w:rPr>
        <w:t>data.</w:t>
      </w:r>
    </w:p>
    <w:p>
      <w:pPr>
        <w:pStyle w:val="BodyText"/>
        <w:spacing w:before="10"/>
        <w:rPr>
          <w:sz w:val="20"/>
        </w:rPr>
      </w:pPr>
    </w:p>
    <w:p>
      <w:pPr>
        <w:pStyle w:val="ListParagraph"/>
        <w:numPr>
          <w:ilvl w:val="3"/>
          <w:numId w:val="8"/>
        </w:numPr>
        <w:tabs>
          <w:tab w:pos="1232" w:val="left" w:leader="none"/>
        </w:tabs>
        <w:spacing w:line="242" w:lineRule="auto" w:before="1" w:after="0"/>
        <w:ind w:left="1232" w:right="173" w:hanging="360"/>
        <w:jc w:val="left"/>
        <w:rPr>
          <w:sz w:val="24"/>
        </w:rPr>
      </w:pPr>
      <w:r>
        <w:rPr>
          <w:sz w:val="24"/>
        </w:rPr>
        <w:t>The </w:t>
      </w:r>
      <w:r>
        <w:rPr>
          <w:spacing w:val="-3"/>
          <w:sz w:val="24"/>
        </w:rPr>
        <w:t>Inflation Factor </w:t>
      </w:r>
      <w:r>
        <w:rPr>
          <w:sz w:val="24"/>
        </w:rPr>
        <w:t>for </w:t>
      </w:r>
      <w:r>
        <w:rPr>
          <w:spacing w:val="-3"/>
          <w:sz w:val="24"/>
        </w:rPr>
        <w:t>Operating Costs between RY12 </w:t>
      </w:r>
      <w:r>
        <w:rPr>
          <w:sz w:val="24"/>
        </w:rPr>
        <w:t>and </w:t>
      </w:r>
      <w:r>
        <w:rPr>
          <w:spacing w:val="-3"/>
          <w:sz w:val="24"/>
        </w:rPr>
        <w:t>RY13 </w:t>
      </w:r>
      <w:r>
        <w:rPr>
          <w:sz w:val="24"/>
        </w:rPr>
        <w:t>and </w:t>
      </w:r>
      <w:r>
        <w:rPr>
          <w:spacing w:val="-3"/>
          <w:sz w:val="24"/>
        </w:rPr>
        <w:t>between RY13 </w:t>
      </w:r>
      <w:r>
        <w:rPr>
          <w:sz w:val="24"/>
        </w:rPr>
        <w:t>and </w:t>
      </w:r>
      <w:r>
        <w:rPr>
          <w:spacing w:val="-3"/>
          <w:sz w:val="24"/>
        </w:rPr>
        <w:t>RY14 </w:t>
      </w:r>
      <w:r>
        <w:rPr>
          <w:sz w:val="24"/>
        </w:rPr>
        <w:t>was </w:t>
      </w:r>
      <w:r>
        <w:rPr>
          <w:spacing w:val="-3"/>
          <w:sz w:val="24"/>
        </w:rPr>
        <w:t>then applied </w:t>
      </w:r>
      <w:r>
        <w:rPr>
          <w:sz w:val="24"/>
        </w:rPr>
        <w:t>to the </w:t>
      </w:r>
      <w:r>
        <w:rPr>
          <w:spacing w:val="-3"/>
          <w:sz w:val="24"/>
        </w:rPr>
        <w:t>calculation above, </w:t>
      </w:r>
      <w:r>
        <w:rPr>
          <w:sz w:val="24"/>
        </w:rPr>
        <w:t>to </w:t>
      </w:r>
      <w:r>
        <w:rPr>
          <w:spacing w:val="-3"/>
          <w:sz w:val="24"/>
        </w:rPr>
        <w:t>derive </w:t>
      </w:r>
      <w:r>
        <w:rPr>
          <w:sz w:val="24"/>
        </w:rPr>
        <w:t>the </w:t>
      </w:r>
      <w:r>
        <w:rPr>
          <w:spacing w:val="-3"/>
          <w:sz w:val="24"/>
        </w:rPr>
        <w:t>Critical Access Hospital’s RY14 PAPE </w:t>
      </w:r>
      <w:r>
        <w:rPr>
          <w:sz w:val="24"/>
        </w:rPr>
        <w:t>for </w:t>
      </w:r>
      <w:r>
        <w:rPr>
          <w:spacing w:val="-3"/>
          <w:sz w:val="24"/>
        </w:rPr>
        <w:t>dates </w:t>
      </w:r>
      <w:r>
        <w:rPr>
          <w:sz w:val="24"/>
        </w:rPr>
        <w:t>of </w:t>
      </w:r>
      <w:r>
        <w:rPr>
          <w:spacing w:val="-3"/>
          <w:sz w:val="24"/>
        </w:rPr>
        <w:t>service </w:t>
      </w:r>
      <w:r>
        <w:rPr>
          <w:sz w:val="24"/>
        </w:rPr>
        <w:t>in</w:t>
      </w:r>
      <w:r>
        <w:rPr>
          <w:spacing w:val="-22"/>
          <w:sz w:val="24"/>
        </w:rPr>
        <w:t> </w:t>
      </w:r>
      <w:r>
        <w:rPr>
          <w:spacing w:val="-3"/>
          <w:sz w:val="24"/>
        </w:rPr>
        <w:t>RY14.</w:t>
      </w:r>
    </w:p>
    <w:p>
      <w:pPr>
        <w:spacing w:after="0" w:line="242" w:lineRule="auto"/>
        <w:jc w:val="left"/>
        <w:rPr>
          <w:sz w:val="24"/>
        </w:rPr>
        <w:sectPr>
          <w:pgSz w:w="12240" w:h="15840"/>
          <w:pgMar w:header="0" w:footer="744" w:top="1380" w:bottom="940" w:left="1720" w:right="980"/>
        </w:sectPr>
      </w:pPr>
    </w:p>
    <w:p>
      <w:pPr>
        <w:pStyle w:val="ListParagraph"/>
        <w:numPr>
          <w:ilvl w:val="3"/>
          <w:numId w:val="8"/>
        </w:numPr>
        <w:tabs>
          <w:tab w:pos="1372" w:val="left" w:leader="none"/>
        </w:tabs>
        <w:spacing w:line="242" w:lineRule="auto" w:before="61" w:after="0"/>
        <w:ind w:left="1372" w:right="107" w:hanging="360"/>
        <w:jc w:val="left"/>
        <w:rPr>
          <w:sz w:val="24"/>
        </w:rPr>
      </w:pPr>
      <w:r>
        <w:rPr>
          <w:sz w:val="24"/>
        </w:rPr>
        <w:t>The </w:t>
      </w:r>
      <w:r>
        <w:rPr>
          <w:spacing w:val="-3"/>
          <w:sz w:val="24"/>
        </w:rPr>
        <w:t>Critical Access Hospital’s RY14 PAPE will </w:t>
      </w:r>
      <w:r>
        <w:rPr>
          <w:sz w:val="24"/>
        </w:rPr>
        <w:t>not be </w:t>
      </w:r>
      <w:r>
        <w:rPr>
          <w:spacing w:val="-3"/>
          <w:sz w:val="24"/>
        </w:rPr>
        <w:t>blended with </w:t>
      </w:r>
      <w:r>
        <w:rPr>
          <w:sz w:val="24"/>
        </w:rPr>
        <w:t>the </w:t>
      </w:r>
      <w:r>
        <w:rPr>
          <w:spacing w:val="-3"/>
          <w:sz w:val="24"/>
        </w:rPr>
        <w:t>Critical Access</w:t>
      </w:r>
      <w:r>
        <w:rPr>
          <w:spacing w:val="-6"/>
          <w:sz w:val="24"/>
        </w:rPr>
        <w:t> </w:t>
      </w:r>
      <w:r>
        <w:rPr>
          <w:spacing w:val="-3"/>
          <w:sz w:val="24"/>
        </w:rPr>
        <w:t>Hospital’s</w:t>
      </w:r>
      <w:r>
        <w:rPr>
          <w:spacing w:val="-6"/>
          <w:sz w:val="24"/>
        </w:rPr>
        <w:t> </w:t>
      </w:r>
      <w:r>
        <w:rPr>
          <w:spacing w:val="-3"/>
          <w:sz w:val="24"/>
        </w:rPr>
        <w:t>RY13</w:t>
      </w:r>
      <w:r>
        <w:rPr>
          <w:spacing w:val="-6"/>
          <w:sz w:val="24"/>
        </w:rPr>
        <w:t> </w:t>
      </w:r>
      <w:r>
        <w:rPr>
          <w:spacing w:val="-3"/>
          <w:sz w:val="24"/>
        </w:rPr>
        <w:t>PAPE,</w:t>
      </w:r>
      <w:r>
        <w:rPr>
          <w:spacing w:val="-6"/>
          <w:sz w:val="24"/>
        </w:rPr>
        <w:t> </w:t>
      </w:r>
      <w:r>
        <w:rPr>
          <w:sz w:val="24"/>
        </w:rPr>
        <w:t>or</w:t>
      </w:r>
      <w:r>
        <w:rPr>
          <w:spacing w:val="-6"/>
          <w:sz w:val="24"/>
        </w:rPr>
        <w:t> </w:t>
      </w:r>
      <w:r>
        <w:rPr>
          <w:spacing w:val="-3"/>
          <w:sz w:val="24"/>
        </w:rPr>
        <w:t>subject</w:t>
      </w:r>
      <w:r>
        <w:rPr>
          <w:spacing w:val="-6"/>
          <w:sz w:val="24"/>
        </w:rPr>
        <w:t> </w:t>
      </w:r>
      <w:r>
        <w:rPr>
          <w:sz w:val="24"/>
        </w:rPr>
        <w:t>to</w:t>
      </w:r>
      <w:r>
        <w:rPr>
          <w:spacing w:val="-6"/>
          <w:sz w:val="24"/>
        </w:rPr>
        <w:t> </w:t>
      </w:r>
      <w:r>
        <w:rPr>
          <w:sz w:val="24"/>
        </w:rPr>
        <w:t>the</w:t>
      </w:r>
      <w:r>
        <w:rPr>
          <w:spacing w:val="-6"/>
          <w:sz w:val="24"/>
        </w:rPr>
        <w:t> </w:t>
      </w:r>
      <w:r>
        <w:rPr>
          <w:sz w:val="24"/>
        </w:rPr>
        <w:t>90%</w:t>
      </w:r>
      <w:r>
        <w:rPr>
          <w:spacing w:val="-6"/>
          <w:sz w:val="24"/>
        </w:rPr>
        <w:t> </w:t>
      </w:r>
      <w:r>
        <w:rPr>
          <w:spacing w:val="-3"/>
          <w:sz w:val="24"/>
        </w:rPr>
        <w:t>floor,</w:t>
      </w:r>
      <w:r>
        <w:rPr>
          <w:spacing w:val="-6"/>
          <w:sz w:val="24"/>
        </w:rPr>
        <w:t> </w:t>
      </w:r>
      <w:r>
        <w:rPr>
          <w:sz w:val="24"/>
        </w:rPr>
        <w:t>but</w:t>
      </w:r>
      <w:r>
        <w:rPr>
          <w:spacing w:val="-6"/>
          <w:sz w:val="24"/>
        </w:rPr>
        <w:t> </w:t>
      </w:r>
      <w:r>
        <w:rPr>
          <w:spacing w:val="-3"/>
          <w:sz w:val="24"/>
        </w:rPr>
        <w:t>will</w:t>
      </w:r>
      <w:r>
        <w:rPr>
          <w:spacing w:val="-6"/>
          <w:sz w:val="24"/>
        </w:rPr>
        <w:t> </w:t>
      </w:r>
      <w:r>
        <w:rPr>
          <w:sz w:val="24"/>
        </w:rPr>
        <w:t>be</w:t>
      </w:r>
      <w:r>
        <w:rPr>
          <w:spacing w:val="-6"/>
          <w:sz w:val="24"/>
        </w:rPr>
        <w:t> </w:t>
      </w:r>
      <w:r>
        <w:rPr>
          <w:sz w:val="24"/>
        </w:rPr>
        <w:t>the</w:t>
      </w:r>
      <w:r>
        <w:rPr>
          <w:spacing w:val="-6"/>
          <w:sz w:val="24"/>
        </w:rPr>
        <w:t> </w:t>
      </w:r>
      <w:r>
        <w:rPr>
          <w:spacing w:val="-3"/>
          <w:sz w:val="24"/>
        </w:rPr>
        <w:t>result</w:t>
      </w:r>
      <w:r>
        <w:rPr>
          <w:spacing w:val="-6"/>
          <w:sz w:val="24"/>
        </w:rPr>
        <w:t> </w:t>
      </w:r>
      <w:r>
        <w:rPr>
          <w:sz w:val="24"/>
        </w:rPr>
        <w:t>of</w:t>
      </w:r>
      <w:r>
        <w:rPr>
          <w:spacing w:val="-7"/>
          <w:sz w:val="24"/>
        </w:rPr>
        <w:t> </w:t>
      </w:r>
      <w:r>
        <w:rPr>
          <w:spacing w:val="-3"/>
          <w:sz w:val="24"/>
        </w:rPr>
        <w:t>the calculations </w:t>
      </w:r>
      <w:r>
        <w:rPr>
          <w:sz w:val="24"/>
        </w:rPr>
        <w:t>set </w:t>
      </w:r>
      <w:r>
        <w:rPr>
          <w:spacing w:val="-3"/>
          <w:sz w:val="24"/>
        </w:rPr>
        <w:t>forth</w:t>
      </w:r>
      <w:r>
        <w:rPr>
          <w:spacing w:val="-12"/>
          <w:sz w:val="24"/>
        </w:rPr>
        <w:t> </w:t>
      </w:r>
      <w:r>
        <w:rPr>
          <w:spacing w:val="-3"/>
          <w:sz w:val="24"/>
        </w:rPr>
        <w:t>above.</w:t>
      </w:r>
    </w:p>
    <w:p>
      <w:pPr>
        <w:pStyle w:val="BodyText"/>
        <w:spacing w:before="10"/>
        <w:rPr>
          <w:sz w:val="34"/>
        </w:rPr>
      </w:pPr>
    </w:p>
    <w:p>
      <w:pPr>
        <w:pStyle w:val="Heading3"/>
        <w:numPr>
          <w:ilvl w:val="2"/>
          <w:numId w:val="8"/>
        </w:numPr>
        <w:tabs>
          <w:tab w:pos="1227" w:val="left" w:leader="none"/>
          <w:tab w:pos="1229" w:val="left" w:leader="none"/>
        </w:tabs>
        <w:spacing w:line="240" w:lineRule="auto" w:before="0" w:after="0"/>
        <w:ind w:left="1228" w:right="0" w:hanging="576"/>
        <w:jc w:val="left"/>
      </w:pPr>
      <w:r>
        <w:rPr>
          <w:spacing w:val="-3"/>
        </w:rPr>
        <w:t>Post-RY14 Cost Review </w:t>
      </w:r>
      <w:r>
        <w:rPr/>
        <w:t>and</w:t>
      </w:r>
      <w:r>
        <w:rPr>
          <w:spacing w:val="-2"/>
        </w:rPr>
        <w:t> </w:t>
      </w:r>
      <w:r>
        <w:rPr>
          <w:spacing w:val="-3"/>
        </w:rPr>
        <w:t>Settlement</w:t>
      </w:r>
    </w:p>
    <w:p>
      <w:pPr>
        <w:pStyle w:val="BodyText"/>
        <w:spacing w:before="10"/>
        <w:rPr>
          <w:b/>
          <w:sz w:val="20"/>
        </w:rPr>
      </w:pPr>
    </w:p>
    <w:p>
      <w:pPr>
        <w:pStyle w:val="BodyText"/>
        <w:spacing w:line="242" w:lineRule="auto" w:before="1"/>
        <w:ind w:left="1192" w:right="222"/>
      </w:pPr>
      <w:r>
        <w:rPr>
          <w:spacing w:val="-3"/>
        </w:rPr>
        <w:t>Each Critical Access Hospital must timely complete </w:t>
      </w:r>
      <w:r>
        <w:rPr/>
        <w:t>all </w:t>
      </w:r>
      <w:r>
        <w:rPr>
          <w:spacing w:val="-3"/>
        </w:rPr>
        <w:t>Medicaid (Title XIX) data worksheets </w:t>
      </w:r>
      <w:r>
        <w:rPr/>
        <w:t>on </w:t>
      </w:r>
      <w:r>
        <w:rPr>
          <w:spacing w:val="-3"/>
        </w:rPr>
        <w:t>CMS-2552 cost reports </w:t>
      </w:r>
      <w:r>
        <w:rPr/>
        <w:t>in </w:t>
      </w:r>
      <w:r>
        <w:rPr>
          <w:spacing w:val="-3"/>
        </w:rPr>
        <w:t>accordance with </w:t>
      </w:r>
      <w:r>
        <w:rPr/>
        <w:t>the CMS </w:t>
      </w:r>
      <w:r>
        <w:rPr>
          <w:spacing w:val="-3"/>
        </w:rPr>
        <w:t>Provider </w:t>
      </w:r>
      <w:r>
        <w:rPr>
          <w:spacing w:val="-4"/>
        </w:rPr>
        <w:t>Reimbursement </w:t>
      </w:r>
      <w:r>
        <w:rPr>
          <w:spacing w:val="-3"/>
        </w:rPr>
        <w:t>Manual </w:t>
      </w:r>
      <w:r>
        <w:rPr/>
        <w:t>- </w:t>
      </w:r>
      <w:r>
        <w:rPr>
          <w:spacing w:val="-3"/>
        </w:rPr>
        <w:t>Part </w:t>
      </w:r>
      <w:r>
        <w:rPr/>
        <w:t>2 </w:t>
      </w:r>
      <w:r>
        <w:rPr>
          <w:spacing w:val="-3"/>
        </w:rPr>
        <w:t>(CMS publication 15-2) (“CMS-2552 cost reports”), </w:t>
      </w:r>
      <w:r>
        <w:rPr/>
        <w:t>and any </w:t>
      </w:r>
      <w:r>
        <w:rPr>
          <w:spacing w:val="-3"/>
        </w:rPr>
        <w:t>additional instructions provided </w:t>
      </w:r>
      <w:r>
        <w:rPr/>
        <w:t>by </w:t>
      </w:r>
      <w:r>
        <w:rPr>
          <w:spacing w:val="-3"/>
        </w:rPr>
        <w:t>MassHealth, </w:t>
      </w:r>
      <w:r>
        <w:rPr/>
        <w:t>and </w:t>
      </w:r>
      <w:r>
        <w:rPr>
          <w:spacing w:val="-3"/>
        </w:rPr>
        <w:t>submit copies </w:t>
      </w:r>
      <w:r>
        <w:rPr/>
        <w:t>of </w:t>
      </w:r>
      <w:r>
        <w:rPr>
          <w:spacing w:val="-3"/>
        </w:rPr>
        <w:t>such completed reports </w:t>
      </w:r>
      <w:r>
        <w:rPr/>
        <w:t>to </w:t>
      </w:r>
      <w:r>
        <w:rPr>
          <w:spacing w:val="-3"/>
        </w:rPr>
        <w:t>EOHHS </w:t>
      </w:r>
      <w:r>
        <w:rPr/>
        <w:t>no </w:t>
      </w:r>
      <w:r>
        <w:rPr>
          <w:spacing w:val="-3"/>
        </w:rPr>
        <w:t>later than February </w:t>
      </w:r>
      <w:r>
        <w:rPr/>
        <w:t>28, </w:t>
      </w:r>
      <w:r>
        <w:rPr>
          <w:spacing w:val="-3"/>
        </w:rPr>
        <w:t>2015, </w:t>
      </w:r>
      <w:r>
        <w:rPr/>
        <w:t>or </w:t>
      </w:r>
      <w:r>
        <w:rPr>
          <w:spacing w:val="-3"/>
        </w:rPr>
        <w:t>such date </w:t>
      </w:r>
      <w:r>
        <w:rPr/>
        <w:t>as </w:t>
      </w:r>
      <w:r>
        <w:rPr>
          <w:spacing w:val="-3"/>
        </w:rPr>
        <w:t>otherwise determined necessary </w:t>
      </w:r>
      <w:r>
        <w:rPr/>
        <w:t>by </w:t>
      </w:r>
      <w:r>
        <w:rPr>
          <w:spacing w:val="-3"/>
        </w:rPr>
        <w:t>EOHHS. Critical Access Hospitals shall also complete and provide </w:t>
      </w:r>
      <w:r>
        <w:rPr/>
        <w:t>to </w:t>
      </w:r>
      <w:r>
        <w:rPr>
          <w:spacing w:val="-3"/>
        </w:rPr>
        <w:t>EOHHS upon request </w:t>
      </w:r>
      <w:r>
        <w:rPr/>
        <w:t>all </w:t>
      </w:r>
      <w:r>
        <w:rPr>
          <w:spacing w:val="-3"/>
        </w:rPr>
        <w:t>such other information, </w:t>
      </w:r>
      <w:r>
        <w:rPr/>
        <w:t>and in </w:t>
      </w:r>
      <w:r>
        <w:rPr>
          <w:spacing w:val="-3"/>
        </w:rPr>
        <w:t>such format, as EOHHS determines necessary </w:t>
      </w:r>
      <w:r>
        <w:rPr/>
        <w:t>to </w:t>
      </w:r>
      <w:r>
        <w:rPr>
          <w:spacing w:val="-3"/>
        </w:rPr>
        <w:t>perform </w:t>
      </w:r>
      <w:r>
        <w:rPr/>
        <w:t>the </w:t>
      </w:r>
      <w:r>
        <w:rPr>
          <w:spacing w:val="-3"/>
        </w:rPr>
        <w:t>review described below.</w:t>
      </w:r>
    </w:p>
    <w:p>
      <w:pPr>
        <w:pStyle w:val="BodyText"/>
        <w:spacing w:before="4"/>
      </w:pPr>
    </w:p>
    <w:p>
      <w:pPr>
        <w:pStyle w:val="BodyText"/>
        <w:spacing w:line="242" w:lineRule="auto"/>
        <w:ind w:left="1192" w:right="154"/>
      </w:pPr>
      <w:r>
        <w:rPr>
          <w:spacing w:val="-3"/>
        </w:rPr>
        <w:t>EOHHS will perform </w:t>
      </w:r>
      <w:r>
        <w:rPr/>
        <w:t>a </w:t>
      </w:r>
      <w:r>
        <w:rPr>
          <w:spacing w:val="-3"/>
        </w:rPr>
        <w:t>post-RY14 review </w:t>
      </w:r>
      <w:r>
        <w:rPr/>
        <w:t>to </w:t>
      </w:r>
      <w:r>
        <w:rPr>
          <w:spacing w:val="-3"/>
        </w:rPr>
        <w:t>determine whether </w:t>
      </w:r>
      <w:r>
        <w:rPr/>
        <w:t>the </w:t>
      </w:r>
      <w:r>
        <w:rPr>
          <w:spacing w:val="-3"/>
        </w:rPr>
        <w:t>Critical Access Hospital received aggregate interim payments </w:t>
      </w:r>
      <w:r>
        <w:rPr/>
        <w:t>in an </w:t>
      </w:r>
      <w:r>
        <w:rPr>
          <w:spacing w:val="-3"/>
        </w:rPr>
        <w:t>amount equal </w:t>
      </w:r>
      <w:r>
        <w:rPr/>
        <w:t>to </w:t>
      </w:r>
      <w:r>
        <w:rPr>
          <w:spacing w:val="-3"/>
        </w:rPr>
        <w:t>101% </w:t>
      </w:r>
      <w:r>
        <w:rPr/>
        <w:t>of </w:t>
      </w:r>
      <w:r>
        <w:rPr>
          <w:spacing w:val="-3"/>
        </w:rPr>
        <w:t>allowable costs utilizing </w:t>
      </w:r>
      <w:r>
        <w:rPr/>
        <w:t>the </w:t>
      </w:r>
      <w:r>
        <w:rPr>
          <w:spacing w:val="-3"/>
        </w:rPr>
        <w:t>Medicare cost-based </w:t>
      </w:r>
      <w:r>
        <w:rPr>
          <w:spacing w:val="-4"/>
        </w:rPr>
        <w:t>reimbursement </w:t>
      </w:r>
      <w:r>
        <w:rPr>
          <w:spacing w:val="-3"/>
        </w:rPr>
        <w:t>methodology </w:t>
      </w:r>
      <w:r>
        <w:rPr/>
        <w:t>for </w:t>
      </w:r>
      <w:r>
        <w:rPr>
          <w:spacing w:val="-3"/>
        </w:rPr>
        <w:t>both inpatient </w:t>
      </w:r>
      <w:r>
        <w:rPr/>
        <w:t>and </w:t>
      </w:r>
      <w:r>
        <w:rPr>
          <w:spacing w:val="-3"/>
        </w:rPr>
        <w:t>outpatient services </w:t>
      </w:r>
      <w:r>
        <w:rPr/>
        <w:t>for </w:t>
      </w:r>
      <w:r>
        <w:rPr>
          <w:spacing w:val="-3"/>
        </w:rPr>
        <w:t>RY14, </w:t>
      </w:r>
      <w:r>
        <w:rPr/>
        <w:t>as </w:t>
      </w:r>
      <w:r>
        <w:rPr>
          <w:spacing w:val="-3"/>
        </w:rPr>
        <w:t>such amount </w:t>
      </w:r>
      <w:r>
        <w:rPr/>
        <w:t>is </w:t>
      </w:r>
      <w:r>
        <w:rPr>
          <w:spacing w:val="-3"/>
        </w:rPr>
        <w:t>determined </w:t>
      </w:r>
      <w:r>
        <w:rPr/>
        <w:t>by </w:t>
      </w:r>
      <w:r>
        <w:rPr>
          <w:spacing w:val="-3"/>
        </w:rPr>
        <w:t>EOHHS (“101% of allowable costs”). EOHHS will utilize </w:t>
      </w:r>
      <w:r>
        <w:rPr/>
        <w:t>the </w:t>
      </w:r>
      <w:r>
        <w:rPr>
          <w:spacing w:val="-3"/>
        </w:rPr>
        <w:t>Critical Access Hospital’s CMS-2552 cost reports </w:t>
      </w:r>
      <w:r>
        <w:rPr/>
        <w:t>and </w:t>
      </w:r>
      <w:r>
        <w:rPr>
          <w:spacing w:val="-3"/>
        </w:rPr>
        <w:t>such other information that EOHHS determines </w:t>
      </w:r>
      <w:r>
        <w:rPr/>
        <w:t>is </w:t>
      </w:r>
      <w:r>
        <w:rPr>
          <w:spacing w:val="-3"/>
        </w:rPr>
        <w:t>necessary, </w:t>
      </w:r>
      <w:r>
        <w:rPr/>
        <w:t>to </w:t>
      </w:r>
      <w:r>
        <w:rPr>
          <w:spacing w:val="-3"/>
        </w:rPr>
        <w:t>perform this post RY14 review. “Aggregate interim payments” </w:t>
      </w:r>
      <w:r>
        <w:rPr/>
        <w:t>for </w:t>
      </w:r>
      <w:r>
        <w:rPr>
          <w:spacing w:val="-3"/>
        </w:rPr>
        <w:t>this purpose shall include all hospital payments under </w:t>
      </w:r>
      <w:r>
        <w:rPr/>
        <w:t>the </w:t>
      </w:r>
      <w:r>
        <w:rPr>
          <w:spacing w:val="-3"/>
        </w:rPr>
        <w:t>RY14 RFA, </w:t>
      </w:r>
      <w:r>
        <w:rPr/>
        <w:t>as </w:t>
      </w:r>
      <w:r>
        <w:rPr>
          <w:spacing w:val="-3"/>
        </w:rPr>
        <w:t>determined </w:t>
      </w:r>
      <w:r>
        <w:rPr/>
        <w:t>by </w:t>
      </w:r>
      <w:r>
        <w:rPr>
          <w:spacing w:val="-3"/>
        </w:rPr>
        <w:t>EOHHS, including, without limitation, </w:t>
      </w:r>
      <w:r>
        <w:rPr/>
        <w:t>pay for </w:t>
      </w:r>
      <w:r>
        <w:rPr>
          <w:spacing w:val="-3"/>
        </w:rPr>
        <w:t>performance (P4P) payment amounts under </w:t>
      </w:r>
      <w:r>
        <w:rPr/>
        <w:t>the </w:t>
      </w:r>
      <w:r>
        <w:rPr>
          <w:spacing w:val="-3"/>
        </w:rPr>
        <w:t>RY14 RFA, but excluding payments under </w:t>
      </w:r>
      <w:r>
        <w:rPr>
          <w:b/>
          <w:spacing w:val="-3"/>
        </w:rPr>
        <w:t>Section 5.D.1</w:t>
      </w:r>
      <w:r>
        <w:rPr>
          <w:spacing w:val="-3"/>
        </w:rPr>
        <w:t>.</w:t>
      </w:r>
    </w:p>
    <w:p>
      <w:pPr>
        <w:pStyle w:val="BodyText"/>
        <w:spacing w:before="3"/>
      </w:pPr>
    </w:p>
    <w:p>
      <w:pPr>
        <w:pStyle w:val="BodyText"/>
        <w:spacing w:line="242" w:lineRule="auto" w:before="1"/>
        <w:ind w:left="1192" w:right="106"/>
      </w:pPr>
      <w:r>
        <w:rPr/>
        <w:t>If </w:t>
      </w:r>
      <w:r>
        <w:rPr>
          <w:spacing w:val="-3"/>
        </w:rPr>
        <w:t>EOHHS determines that </w:t>
      </w:r>
      <w:r>
        <w:rPr/>
        <w:t>the </w:t>
      </w:r>
      <w:r>
        <w:rPr>
          <w:spacing w:val="-3"/>
        </w:rPr>
        <w:t>Critical Access Hospital </w:t>
      </w:r>
      <w:r>
        <w:rPr/>
        <w:t>was </w:t>
      </w:r>
      <w:r>
        <w:rPr>
          <w:spacing w:val="-3"/>
        </w:rPr>
        <w:t>paid less than 101% of allowable costs, EOHHS will </w:t>
      </w:r>
      <w:r>
        <w:rPr/>
        <w:t>pay the </w:t>
      </w:r>
      <w:r>
        <w:rPr>
          <w:spacing w:val="-3"/>
        </w:rPr>
        <w:t>Critical Access Hospital </w:t>
      </w:r>
      <w:r>
        <w:rPr/>
        <w:t>the </w:t>
      </w:r>
      <w:r>
        <w:rPr>
          <w:spacing w:val="-3"/>
        </w:rPr>
        <w:t>difference between the amount that EOHHS determines </w:t>
      </w:r>
      <w:r>
        <w:rPr/>
        <w:t>is </w:t>
      </w:r>
      <w:r>
        <w:rPr>
          <w:spacing w:val="-3"/>
        </w:rPr>
        <w:t>101% </w:t>
      </w:r>
      <w:r>
        <w:rPr/>
        <w:t>of </w:t>
      </w:r>
      <w:r>
        <w:rPr>
          <w:spacing w:val="-3"/>
        </w:rPr>
        <w:t>allowable costs </w:t>
      </w:r>
      <w:r>
        <w:rPr/>
        <w:t>and the </w:t>
      </w:r>
      <w:r>
        <w:rPr>
          <w:spacing w:val="-3"/>
        </w:rPr>
        <w:t>aggregate interim payments. </w:t>
      </w:r>
      <w:r>
        <w:rPr/>
        <w:t>If </w:t>
      </w:r>
      <w:r>
        <w:rPr>
          <w:spacing w:val="-3"/>
        </w:rPr>
        <w:t>EOHHS determines that </w:t>
      </w:r>
      <w:r>
        <w:rPr/>
        <w:t>the </w:t>
      </w:r>
      <w:r>
        <w:rPr>
          <w:spacing w:val="-3"/>
        </w:rPr>
        <w:t>Critical Access Hospital </w:t>
      </w:r>
      <w:r>
        <w:rPr/>
        <w:t>was </w:t>
      </w:r>
      <w:r>
        <w:rPr>
          <w:spacing w:val="-3"/>
        </w:rPr>
        <w:t>paid more than 101% </w:t>
      </w:r>
      <w:r>
        <w:rPr/>
        <w:t>of </w:t>
      </w:r>
      <w:r>
        <w:rPr>
          <w:spacing w:val="-3"/>
        </w:rPr>
        <w:t>allowable costs, </w:t>
      </w:r>
      <w:r>
        <w:rPr/>
        <w:t>the </w:t>
      </w:r>
      <w:r>
        <w:rPr>
          <w:spacing w:val="-3"/>
        </w:rPr>
        <w:t>Critical Access Hospital shall </w:t>
      </w:r>
      <w:r>
        <w:rPr/>
        <w:t>pay to </w:t>
      </w:r>
      <w:r>
        <w:rPr>
          <w:spacing w:val="-3"/>
        </w:rPr>
        <w:t>EOHHS, </w:t>
      </w:r>
      <w:r>
        <w:rPr/>
        <w:t>or </w:t>
      </w:r>
      <w:r>
        <w:rPr>
          <w:spacing w:val="-3"/>
        </w:rPr>
        <w:t>EOHHS may recoup </w:t>
      </w:r>
      <w:r>
        <w:rPr/>
        <w:t>or </w:t>
      </w:r>
      <w:r>
        <w:rPr>
          <w:spacing w:val="-3"/>
        </w:rPr>
        <w:t>offset against future payments, </w:t>
      </w:r>
      <w:r>
        <w:rPr/>
        <w:t>the </w:t>
      </w:r>
      <w:r>
        <w:rPr>
          <w:spacing w:val="-3"/>
        </w:rPr>
        <w:t>amount that equals </w:t>
      </w:r>
      <w:r>
        <w:rPr/>
        <w:t>the </w:t>
      </w:r>
      <w:r>
        <w:rPr>
          <w:spacing w:val="-3"/>
        </w:rPr>
        <w:t>difference between </w:t>
      </w:r>
      <w:r>
        <w:rPr/>
        <w:t>the </w:t>
      </w:r>
      <w:r>
        <w:rPr>
          <w:spacing w:val="-3"/>
        </w:rPr>
        <w:t>aggregate interim payments </w:t>
      </w:r>
      <w:r>
        <w:rPr/>
        <w:t>and the </w:t>
      </w:r>
      <w:r>
        <w:rPr>
          <w:spacing w:val="-3"/>
        </w:rPr>
        <w:t>amount that EOHHS determines is 101% </w:t>
      </w:r>
      <w:r>
        <w:rPr/>
        <w:t>of </w:t>
      </w:r>
      <w:r>
        <w:rPr>
          <w:spacing w:val="-3"/>
        </w:rPr>
        <w:t>allowable</w:t>
      </w:r>
      <w:r>
        <w:rPr>
          <w:spacing w:val="-9"/>
        </w:rPr>
        <w:t> </w:t>
      </w:r>
      <w:r>
        <w:rPr>
          <w:spacing w:val="-3"/>
        </w:rPr>
        <w:t>costs.</w:t>
      </w:r>
    </w:p>
    <w:p>
      <w:pPr>
        <w:pStyle w:val="BodyText"/>
        <w:spacing w:before="4"/>
      </w:pPr>
    </w:p>
    <w:p>
      <w:pPr>
        <w:pStyle w:val="BodyText"/>
        <w:spacing w:line="242" w:lineRule="auto"/>
        <w:ind w:left="1192" w:right="236"/>
      </w:pPr>
      <w:r>
        <w:rPr>
          <w:spacing w:val="-3"/>
        </w:rPr>
        <w:t>This post RY14 review </w:t>
      </w:r>
      <w:r>
        <w:rPr/>
        <w:t>and </w:t>
      </w:r>
      <w:r>
        <w:rPr>
          <w:spacing w:val="-3"/>
        </w:rPr>
        <w:t>settlement will take place within approximately twelve (12) months after </w:t>
      </w:r>
      <w:r>
        <w:rPr/>
        <w:t>the </w:t>
      </w:r>
      <w:r>
        <w:rPr>
          <w:spacing w:val="-3"/>
        </w:rPr>
        <w:t>close </w:t>
      </w:r>
      <w:r>
        <w:rPr/>
        <w:t>of </w:t>
      </w:r>
      <w:r>
        <w:rPr>
          <w:spacing w:val="-3"/>
        </w:rPr>
        <w:t>RY14, subject </w:t>
      </w:r>
      <w:r>
        <w:rPr/>
        <w:t>to the </w:t>
      </w:r>
      <w:r>
        <w:rPr>
          <w:spacing w:val="-3"/>
        </w:rPr>
        <w:t>availability </w:t>
      </w:r>
      <w:r>
        <w:rPr/>
        <w:t>of </w:t>
      </w:r>
      <w:r>
        <w:rPr>
          <w:spacing w:val="-3"/>
        </w:rPr>
        <w:t>data, </w:t>
      </w:r>
      <w:r>
        <w:rPr/>
        <w:t>or, if </w:t>
      </w:r>
      <w:r>
        <w:rPr>
          <w:spacing w:val="-3"/>
        </w:rPr>
        <w:t>later, </w:t>
      </w:r>
      <w:r>
        <w:rPr/>
        <w:t>at </w:t>
      </w:r>
      <w:r>
        <w:rPr>
          <w:spacing w:val="-3"/>
        </w:rPr>
        <w:t>such other time </w:t>
      </w:r>
      <w:r>
        <w:rPr/>
        <w:t>as </w:t>
      </w:r>
      <w:r>
        <w:rPr>
          <w:spacing w:val="-3"/>
        </w:rPr>
        <w:t>EOHHS determines </w:t>
      </w:r>
      <w:r>
        <w:rPr/>
        <w:t>the </w:t>
      </w:r>
      <w:r>
        <w:rPr>
          <w:spacing w:val="-3"/>
        </w:rPr>
        <w:t>necessary documentation </w:t>
      </w:r>
      <w:r>
        <w:rPr/>
        <w:t>is </w:t>
      </w:r>
      <w:r>
        <w:rPr>
          <w:spacing w:val="-3"/>
        </w:rPr>
        <w:t>available.</w:t>
      </w:r>
    </w:p>
    <w:p>
      <w:pPr>
        <w:pStyle w:val="BodyText"/>
        <w:spacing w:before="5"/>
      </w:pPr>
    </w:p>
    <w:p>
      <w:pPr>
        <w:pStyle w:val="Heading3"/>
        <w:numPr>
          <w:ilvl w:val="1"/>
          <w:numId w:val="8"/>
        </w:numPr>
        <w:tabs>
          <w:tab w:pos="652" w:val="left" w:leader="none"/>
          <w:tab w:pos="653" w:val="left" w:leader="none"/>
        </w:tabs>
        <w:spacing w:line="240" w:lineRule="auto" w:before="0" w:after="0"/>
        <w:ind w:left="652" w:right="0" w:hanging="540"/>
        <w:jc w:val="left"/>
      </w:pPr>
      <w:r>
        <w:rPr>
          <w:spacing w:val="-3"/>
        </w:rPr>
        <w:t>Two Hospitals First Enrolled </w:t>
      </w:r>
      <w:r>
        <w:rPr/>
        <w:t>in </w:t>
      </w:r>
      <w:r>
        <w:rPr>
          <w:spacing w:val="-3"/>
        </w:rPr>
        <w:t>November 2012 with Unique</w:t>
      </w:r>
      <w:r>
        <w:rPr>
          <w:spacing w:val="-7"/>
        </w:rPr>
        <w:t> </w:t>
      </w:r>
      <w:r>
        <w:rPr>
          <w:spacing w:val="-3"/>
        </w:rPr>
        <w:t>Circumstances</w:t>
      </w:r>
    </w:p>
    <w:p>
      <w:pPr>
        <w:pStyle w:val="BodyText"/>
        <w:spacing w:before="8"/>
        <w:rPr>
          <w:b/>
        </w:rPr>
      </w:pPr>
    </w:p>
    <w:p>
      <w:pPr>
        <w:pStyle w:val="BodyText"/>
        <w:spacing w:line="242" w:lineRule="auto"/>
        <w:ind w:left="636" w:right="236"/>
      </w:pPr>
      <w:r>
        <w:rPr>
          <w:spacing w:val="-3"/>
        </w:rPr>
        <w:t>This </w:t>
      </w:r>
      <w:r>
        <w:rPr>
          <w:b/>
          <w:spacing w:val="-3"/>
        </w:rPr>
        <w:t>Section 5.D.8 </w:t>
      </w:r>
      <w:r>
        <w:rPr>
          <w:spacing w:val="-3"/>
        </w:rPr>
        <w:t>applies </w:t>
      </w:r>
      <w:r>
        <w:rPr/>
        <w:t>to the two </w:t>
      </w:r>
      <w:r>
        <w:rPr>
          <w:spacing w:val="-3"/>
        </w:rPr>
        <w:t>in-state Hospitals first enrolled </w:t>
      </w:r>
      <w:r>
        <w:rPr/>
        <w:t>in </w:t>
      </w:r>
      <w:r>
        <w:rPr>
          <w:spacing w:val="-3"/>
        </w:rPr>
        <w:t>November 2012 with unique circumstances </w:t>
      </w:r>
      <w:r>
        <w:rPr/>
        <w:t>for </w:t>
      </w:r>
      <w:r>
        <w:rPr>
          <w:spacing w:val="-3"/>
        </w:rPr>
        <w:t>which EOHHS </w:t>
      </w:r>
      <w:r>
        <w:rPr/>
        <w:t>has </w:t>
      </w:r>
      <w:r>
        <w:rPr>
          <w:spacing w:val="-3"/>
        </w:rPr>
        <w:t>determined </w:t>
      </w:r>
      <w:r>
        <w:rPr/>
        <w:t>it </w:t>
      </w:r>
      <w:r>
        <w:rPr>
          <w:spacing w:val="-3"/>
        </w:rPr>
        <w:t>does </w:t>
      </w:r>
      <w:r>
        <w:rPr/>
        <w:t>not </w:t>
      </w:r>
      <w:r>
        <w:rPr>
          <w:spacing w:val="-3"/>
        </w:rPr>
        <w:t>have sufficient prior payment history </w:t>
      </w:r>
      <w:r>
        <w:rPr/>
        <w:t>or </w:t>
      </w:r>
      <w:r>
        <w:rPr>
          <w:spacing w:val="-3"/>
        </w:rPr>
        <w:t>cost reporting data available </w:t>
      </w:r>
      <w:r>
        <w:rPr/>
        <w:t>to </w:t>
      </w:r>
      <w:r>
        <w:rPr>
          <w:spacing w:val="-3"/>
        </w:rPr>
        <w:t>calculate certain rates </w:t>
      </w:r>
      <w:r>
        <w:rPr/>
        <w:t>and </w:t>
      </w:r>
      <w:r>
        <w:rPr>
          <w:spacing w:val="-3"/>
        </w:rPr>
        <w:t>payments using methodologies </w:t>
      </w:r>
      <w:r>
        <w:rPr/>
        <w:t>set </w:t>
      </w:r>
      <w:r>
        <w:rPr>
          <w:spacing w:val="-3"/>
        </w:rPr>
        <w:t>forth elsewhere </w:t>
      </w:r>
      <w:r>
        <w:rPr/>
        <w:t>in </w:t>
      </w:r>
      <w:r>
        <w:rPr>
          <w:spacing w:val="-3"/>
        </w:rPr>
        <w:t>this RFA14 (the </w:t>
      </w:r>
      <w:r>
        <w:rPr/>
        <w:t>New </w:t>
      </w:r>
      <w:r>
        <w:rPr>
          <w:spacing w:val="-3"/>
        </w:rPr>
        <w:t>Hospitals).</w:t>
      </w:r>
    </w:p>
    <w:p>
      <w:pPr>
        <w:spacing w:after="0" w:line="242" w:lineRule="auto"/>
        <w:sectPr>
          <w:pgSz w:w="12240" w:h="15840"/>
          <w:pgMar w:header="0" w:footer="744" w:top="1380" w:bottom="940" w:left="1580" w:right="980"/>
        </w:sectPr>
      </w:pPr>
    </w:p>
    <w:p>
      <w:pPr>
        <w:spacing w:line="242" w:lineRule="auto" w:before="65"/>
        <w:ind w:left="496" w:right="236" w:firstLine="0"/>
        <w:jc w:val="left"/>
        <w:rPr>
          <w:sz w:val="24"/>
        </w:rPr>
      </w:pPr>
      <w:r>
        <w:rPr>
          <w:spacing w:val="-3"/>
          <w:sz w:val="24"/>
        </w:rPr>
        <w:t>Subject </w:t>
      </w:r>
      <w:r>
        <w:rPr>
          <w:sz w:val="24"/>
        </w:rPr>
        <w:t>to </w:t>
      </w:r>
      <w:r>
        <w:rPr>
          <w:b/>
          <w:spacing w:val="-3"/>
          <w:sz w:val="24"/>
        </w:rPr>
        <w:t>Sections 5.D.8.a </w:t>
      </w:r>
      <w:r>
        <w:rPr>
          <w:spacing w:val="-3"/>
          <w:sz w:val="24"/>
        </w:rPr>
        <w:t>through </w:t>
      </w:r>
      <w:r>
        <w:rPr>
          <w:b/>
          <w:spacing w:val="-3"/>
          <w:sz w:val="24"/>
        </w:rPr>
        <w:t>5.D.8.c</w:t>
      </w:r>
      <w:r>
        <w:rPr>
          <w:spacing w:val="-3"/>
          <w:sz w:val="24"/>
        </w:rPr>
        <w:t>, below, </w:t>
      </w:r>
      <w:r>
        <w:rPr>
          <w:sz w:val="24"/>
        </w:rPr>
        <w:t>all </w:t>
      </w:r>
      <w:r>
        <w:rPr>
          <w:spacing w:val="-3"/>
          <w:sz w:val="24"/>
        </w:rPr>
        <w:t>sections </w:t>
      </w:r>
      <w:r>
        <w:rPr>
          <w:sz w:val="24"/>
        </w:rPr>
        <w:t>of </w:t>
      </w:r>
      <w:r>
        <w:rPr>
          <w:spacing w:val="-3"/>
          <w:sz w:val="24"/>
        </w:rPr>
        <w:t>this RY14 </w:t>
      </w:r>
      <w:r>
        <w:rPr>
          <w:sz w:val="24"/>
        </w:rPr>
        <w:t>RFA </w:t>
      </w:r>
      <w:r>
        <w:rPr>
          <w:spacing w:val="-3"/>
          <w:sz w:val="24"/>
        </w:rPr>
        <w:t>otherwise apply </w:t>
      </w:r>
      <w:r>
        <w:rPr>
          <w:sz w:val="24"/>
        </w:rPr>
        <w:t>to the New </w:t>
      </w:r>
      <w:r>
        <w:rPr>
          <w:spacing w:val="-3"/>
          <w:sz w:val="24"/>
        </w:rPr>
        <w:t>Hospitals.</w:t>
      </w:r>
    </w:p>
    <w:p>
      <w:pPr>
        <w:pStyle w:val="BodyText"/>
        <w:spacing w:before="8"/>
      </w:pPr>
    </w:p>
    <w:p>
      <w:pPr>
        <w:pStyle w:val="Heading3"/>
        <w:numPr>
          <w:ilvl w:val="2"/>
          <w:numId w:val="8"/>
        </w:numPr>
        <w:tabs>
          <w:tab w:pos="873" w:val="left" w:leader="none"/>
        </w:tabs>
        <w:spacing w:line="240" w:lineRule="auto" w:before="0" w:after="0"/>
        <w:ind w:left="872" w:right="0" w:hanging="360"/>
        <w:jc w:val="left"/>
      </w:pPr>
      <w:r>
        <w:rPr>
          <w:spacing w:val="-3"/>
        </w:rPr>
        <w:t>Payment </w:t>
      </w:r>
      <w:r>
        <w:rPr/>
        <w:t>for </w:t>
      </w:r>
      <w:r>
        <w:rPr>
          <w:spacing w:val="-3"/>
        </w:rPr>
        <w:t>Inpatient</w:t>
      </w:r>
      <w:r>
        <w:rPr>
          <w:spacing w:val="-12"/>
        </w:rPr>
        <w:t> </w:t>
      </w:r>
      <w:r>
        <w:rPr>
          <w:spacing w:val="-3"/>
        </w:rPr>
        <w:t>Services</w:t>
      </w:r>
    </w:p>
    <w:p>
      <w:pPr>
        <w:pStyle w:val="BodyText"/>
        <w:spacing w:before="9"/>
        <w:rPr>
          <w:b/>
        </w:rPr>
      </w:pPr>
    </w:p>
    <w:p>
      <w:pPr>
        <w:pStyle w:val="BodyText"/>
        <w:spacing w:line="242" w:lineRule="auto"/>
        <w:ind w:left="872" w:right="108" w:firstLine="14"/>
      </w:pPr>
      <w:r>
        <w:rPr/>
        <w:t>The New </w:t>
      </w:r>
      <w:r>
        <w:rPr>
          <w:spacing w:val="-3"/>
        </w:rPr>
        <w:t>Hospitals will </w:t>
      </w:r>
      <w:r>
        <w:rPr/>
        <w:t>be </w:t>
      </w:r>
      <w:r>
        <w:rPr>
          <w:spacing w:val="-3"/>
        </w:rPr>
        <w:t>paid for Inpatient Services </w:t>
      </w:r>
      <w:r>
        <w:rPr/>
        <w:t>in </w:t>
      </w:r>
      <w:r>
        <w:rPr>
          <w:spacing w:val="-3"/>
        </w:rPr>
        <w:t>accordance with </w:t>
      </w:r>
      <w:r>
        <w:rPr>
          <w:b/>
          <w:spacing w:val="-3"/>
        </w:rPr>
        <w:t>Section </w:t>
      </w:r>
      <w:r>
        <w:rPr>
          <w:b/>
        </w:rPr>
        <w:t>5.B </w:t>
      </w:r>
      <w:r>
        <w:rPr>
          <w:spacing w:val="-3"/>
        </w:rPr>
        <w:t>with </w:t>
      </w:r>
      <w:r>
        <w:rPr/>
        <w:t>the </w:t>
      </w:r>
      <w:r>
        <w:rPr>
          <w:spacing w:val="-3"/>
        </w:rPr>
        <w:t>following changes.</w:t>
      </w:r>
    </w:p>
    <w:p>
      <w:pPr>
        <w:pStyle w:val="BodyText"/>
        <w:spacing w:before="3"/>
      </w:pPr>
    </w:p>
    <w:p>
      <w:pPr>
        <w:pStyle w:val="BodyText"/>
        <w:spacing w:line="242" w:lineRule="auto" w:before="1"/>
        <w:ind w:left="872" w:right="236"/>
      </w:pPr>
      <w:r>
        <w:rPr/>
        <w:t>The New </w:t>
      </w:r>
      <w:r>
        <w:rPr>
          <w:spacing w:val="-3"/>
        </w:rPr>
        <w:t>Hospitals will </w:t>
      </w:r>
      <w:r>
        <w:rPr/>
        <w:t>be </w:t>
      </w:r>
      <w:r>
        <w:rPr>
          <w:spacing w:val="-3"/>
        </w:rPr>
        <w:t>paid </w:t>
      </w:r>
      <w:r>
        <w:rPr/>
        <w:t>a </w:t>
      </w:r>
      <w:r>
        <w:rPr>
          <w:spacing w:val="-3"/>
        </w:rPr>
        <w:t>hospital-specific Standard Payment Amount per Discharge (SPAD) </w:t>
      </w:r>
      <w:r>
        <w:rPr/>
        <w:t>for </w:t>
      </w:r>
      <w:r>
        <w:rPr>
          <w:spacing w:val="-3"/>
        </w:rPr>
        <w:t>those Inpatient Services </w:t>
      </w:r>
      <w:r>
        <w:rPr/>
        <w:t>for </w:t>
      </w:r>
      <w:r>
        <w:rPr>
          <w:spacing w:val="-3"/>
        </w:rPr>
        <w:t>which </w:t>
      </w:r>
      <w:r>
        <w:rPr/>
        <w:t>all </w:t>
      </w:r>
      <w:r>
        <w:rPr>
          <w:spacing w:val="-3"/>
        </w:rPr>
        <w:t>other in-state acute hospitals </w:t>
      </w:r>
      <w:r>
        <w:rPr/>
        <w:t>are </w:t>
      </w:r>
      <w:r>
        <w:rPr>
          <w:spacing w:val="-3"/>
        </w:rPr>
        <w:t>paid </w:t>
      </w:r>
      <w:r>
        <w:rPr/>
        <w:t>a </w:t>
      </w:r>
      <w:r>
        <w:rPr>
          <w:spacing w:val="-3"/>
        </w:rPr>
        <w:t>SPAD.</w:t>
      </w:r>
    </w:p>
    <w:p>
      <w:pPr>
        <w:pStyle w:val="BodyText"/>
        <w:spacing w:before="4"/>
      </w:pPr>
    </w:p>
    <w:p>
      <w:pPr>
        <w:pStyle w:val="BodyText"/>
        <w:ind w:left="872"/>
      </w:pPr>
      <w:r>
        <w:rPr/>
        <w:t>The </w:t>
      </w:r>
      <w:r>
        <w:rPr>
          <w:spacing w:val="-3"/>
        </w:rPr>
        <w:t>RY14 SPAD </w:t>
      </w:r>
      <w:r>
        <w:rPr/>
        <w:t>for </w:t>
      </w:r>
      <w:r>
        <w:rPr>
          <w:spacing w:val="-3"/>
        </w:rPr>
        <w:t>each </w:t>
      </w:r>
      <w:r>
        <w:rPr/>
        <w:t>New </w:t>
      </w:r>
      <w:r>
        <w:rPr>
          <w:spacing w:val="-3"/>
        </w:rPr>
        <w:t>Hospital </w:t>
      </w:r>
      <w:r>
        <w:rPr/>
        <w:t>was </w:t>
      </w:r>
      <w:r>
        <w:rPr>
          <w:spacing w:val="-3"/>
        </w:rPr>
        <w:t>calculated using </w:t>
      </w:r>
      <w:r>
        <w:rPr/>
        <w:t>the </w:t>
      </w:r>
      <w:r>
        <w:rPr>
          <w:spacing w:val="-3"/>
        </w:rPr>
        <w:t>methodology </w:t>
      </w:r>
      <w:r>
        <w:rPr/>
        <w:t>set </w:t>
      </w:r>
      <w:r>
        <w:rPr>
          <w:spacing w:val="-3"/>
        </w:rPr>
        <w:t>forth in</w:t>
      </w:r>
    </w:p>
    <w:p>
      <w:pPr>
        <w:spacing w:before="6"/>
        <w:ind w:left="872" w:right="0" w:firstLine="0"/>
        <w:jc w:val="left"/>
        <w:rPr>
          <w:sz w:val="24"/>
        </w:rPr>
      </w:pPr>
      <w:r>
        <w:rPr>
          <w:b/>
          <w:sz w:val="24"/>
        </w:rPr>
        <w:t>Sections 5.B.2 </w:t>
      </w:r>
      <w:r>
        <w:rPr>
          <w:sz w:val="24"/>
        </w:rPr>
        <w:t>through </w:t>
      </w:r>
      <w:r>
        <w:rPr>
          <w:b/>
          <w:sz w:val="24"/>
        </w:rPr>
        <w:t>5.B.4</w:t>
      </w:r>
      <w:r>
        <w:rPr>
          <w:sz w:val="24"/>
        </w:rPr>
        <w:t>, subject to the following:</w:t>
      </w:r>
    </w:p>
    <w:p>
      <w:pPr>
        <w:pStyle w:val="BodyText"/>
        <w:rPr>
          <w:sz w:val="35"/>
        </w:rPr>
      </w:pPr>
    </w:p>
    <w:p>
      <w:pPr>
        <w:pStyle w:val="ListParagraph"/>
        <w:numPr>
          <w:ilvl w:val="3"/>
          <w:numId w:val="8"/>
        </w:numPr>
        <w:tabs>
          <w:tab w:pos="1232" w:val="left" w:leader="none"/>
        </w:tabs>
        <w:spacing w:line="242" w:lineRule="auto" w:before="0" w:after="0"/>
        <w:ind w:left="1232" w:right="520" w:hanging="360"/>
        <w:jc w:val="left"/>
        <w:rPr>
          <w:sz w:val="24"/>
        </w:rPr>
      </w:pPr>
      <w:r>
        <w:rPr>
          <w:sz w:val="24"/>
        </w:rPr>
        <w:t>Components of the calculation that were based on data from all Hospitals did not include New Hospital</w:t>
      </w:r>
      <w:r>
        <w:rPr>
          <w:spacing w:val="-1"/>
          <w:sz w:val="24"/>
        </w:rPr>
        <w:t> </w:t>
      </w:r>
      <w:r>
        <w:rPr>
          <w:sz w:val="24"/>
        </w:rPr>
        <w:t>data.</w:t>
      </w:r>
    </w:p>
    <w:p>
      <w:pPr>
        <w:pStyle w:val="BodyText"/>
        <w:spacing w:before="10"/>
        <w:rPr>
          <w:sz w:val="20"/>
        </w:rPr>
      </w:pPr>
    </w:p>
    <w:p>
      <w:pPr>
        <w:pStyle w:val="ListParagraph"/>
        <w:numPr>
          <w:ilvl w:val="3"/>
          <w:numId w:val="8"/>
        </w:numPr>
        <w:tabs>
          <w:tab w:pos="1232" w:val="left" w:leader="none"/>
        </w:tabs>
        <w:spacing w:line="242" w:lineRule="auto" w:before="1" w:after="0"/>
        <w:ind w:left="1232" w:right="238" w:hanging="360"/>
        <w:jc w:val="left"/>
        <w:rPr>
          <w:sz w:val="24"/>
        </w:rPr>
      </w:pPr>
      <w:r>
        <w:rPr>
          <w:sz w:val="24"/>
        </w:rPr>
        <w:t>To develop the New Hospital’s RY14 Casemix Index, EOHHS utilized the New Hospital’s self-reported FY11 inpatient discharge data (using APR-DRG version 26 of the 3M Grouper and Massachusetts weights), as supplied to EOHHS by the New Hospital on April 13,</w:t>
      </w:r>
      <w:r>
        <w:rPr>
          <w:spacing w:val="-1"/>
          <w:sz w:val="24"/>
        </w:rPr>
        <w:t> </w:t>
      </w:r>
      <w:r>
        <w:rPr>
          <w:sz w:val="24"/>
        </w:rPr>
        <w:t>2012.</w:t>
      </w:r>
    </w:p>
    <w:p>
      <w:pPr>
        <w:pStyle w:val="BodyText"/>
        <w:spacing w:before="11"/>
        <w:rPr>
          <w:sz w:val="20"/>
        </w:rPr>
      </w:pPr>
    </w:p>
    <w:p>
      <w:pPr>
        <w:pStyle w:val="ListParagraph"/>
        <w:numPr>
          <w:ilvl w:val="3"/>
          <w:numId w:val="8"/>
        </w:numPr>
        <w:tabs>
          <w:tab w:pos="1232" w:val="left" w:leader="none"/>
        </w:tabs>
        <w:spacing w:line="244" w:lineRule="auto" w:before="0" w:after="0"/>
        <w:ind w:left="1232" w:right="149" w:hanging="360"/>
        <w:jc w:val="both"/>
        <w:rPr>
          <w:sz w:val="24"/>
        </w:rPr>
      </w:pPr>
      <w:r>
        <w:rPr>
          <w:sz w:val="24"/>
        </w:rPr>
        <w:t>The New Hospital’s hospital-specific capital payment per discharge was determined by multiplying the statewide weighted average capital cost per discharge by the New Hospital’s RY14 Casemix Index, as described in </w:t>
      </w:r>
      <w:r>
        <w:rPr>
          <w:b/>
          <w:sz w:val="24"/>
        </w:rPr>
        <w:t>Section 5.D.8.a(2)</w:t>
      </w:r>
      <w:r>
        <w:rPr>
          <w:sz w:val="24"/>
        </w:rPr>
        <w:t>,</w:t>
      </w:r>
      <w:r>
        <w:rPr>
          <w:spacing w:val="-3"/>
          <w:sz w:val="24"/>
        </w:rPr>
        <w:t> </w:t>
      </w:r>
      <w:r>
        <w:rPr>
          <w:sz w:val="24"/>
        </w:rPr>
        <w:t>above.</w:t>
      </w:r>
    </w:p>
    <w:p>
      <w:pPr>
        <w:pStyle w:val="BodyText"/>
        <w:spacing w:before="8"/>
        <w:rPr>
          <w:sz w:val="20"/>
        </w:rPr>
      </w:pPr>
    </w:p>
    <w:p>
      <w:pPr>
        <w:pStyle w:val="ListParagraph"/>
        <w:numPr>
          <w:ilvl w:val="3"/>
          <w:numId w:val="8"/>
        </w:numPr>
        <w:tabs>
          <w:tab w:pos="1232" w:val="left" w:leader="none"/>
        </w:tabs>
        <w:spacing w:line="244" w:lineRule="auto" w:before="0" w:after="0"/>
        <w:ind w:left="1232" w:right="386" w:hanging="390"/>
        <w:jc w:val="left"/>
        <w:rPr>
          <w:sz w:val="24"/>
        </w:rPr>
      </w:pPr>
      <w:r>
        <w:rPr>
          <w:sz w:val="24"/>
        </w:rPr>
        <w:t>To the </w:t>
      </w:r>
      <w:r>
        <w:rPr>
          <w:spacing w:val="-3"/>
          <w:sz w:val="24"/>
        </w:rPr>
        <w:t>extent that data </w:t>
      </w:r>
      <w:r>
        <w:rPr>
          <w:sz w:val="24"/>
        </w:rPr>
        <w:t>was </w:t>
      </w:r>
      <w:r>
        <w:rPr>
          <w:spacing w:val="-3"/>
          <w:sz w:val="24"/>
        </w:rPr>
        <w:t>unavailable </w:t>
      </w:r>
      <w:r>
        <w:rPr>
          <w:sz w:val="24"/>
        </w:rPr>
        <w:t>or </w:t>
      </w:r>
      <w:r>
        <w:rPr>
          <w:spacing w:val="-3"/>
          <w:sz w:val="24"/>
        </w:rPr>
        <w:t>otherwise </w:t>
      </w:r>
      <w:r>
        <w:rPr>
          <w:sz w:val="24"/>
        </w:rPr>
        <w:t>not </w:t>
      </w:r>
      <w:r>
        <w:rPr>
          <w:spacing w:val="-3"/>
          <w:sz w:val="24"/>
        </w:rPr>
        <w:t>sufficient </w:t>
      </w:r>
      <w:r>
        <w:rPr>
          <w:sz w:val="24"/>
        </w:rPr>
        <w:t>to </w:t>
      </w:r>
      <w:r>
        <w:rPr>
          <w:spacing w:val="-3"/>
          <w:sz w:val="24"/>
        </w:rPr>
        <w:t>calculate any component</w:t>
      </w:r>
      <w:r>
        <w:rPr>
          <w:spacing w:val="-7"/>
          <w:sz w:val="24"/>
        </w:rPr>
        <w:t> </w:t>
      </w:r>
      <w:r>
        <w:rPr>
          <w:sz w:val="24"/>
        </w:rPr>
        <w:t>of</w:t>
      </w:r>
      <w:r>
        <w:rPr>
          <w:spacing w:val="-7"/>
          <w:sz w:val="24"/>
        </w:rPr>
        <w:t> </w:t>
      </w:r>
      <w:r>
        <w:rPr>
          <w:sz w:val="24"/>
        </w:rPr>
        <w:t>or</w:t>
      </w:r>
      <w:r>
        <w:rPr>
          <w:spacing w:val="-7"/>
          <w:sz w:val="24"/>
        </w:rPr>
        <w:t> </w:t>
      </w:r>
      <w:r>
        <w:rPr>
          <w:spacing w:val="-3"/>
          <w:sz w:val="24"/>
        </w:rPr>
        <w:t>adjustment</w:t>
      </w:r>
      <w:r>
        <w:rPr>
          <w:spacing w:val="-7"/>
          <w:sz w:val="24"/>
        </w:rPr>
        <w:t> </w:t>
      </w:r>
      <w:r>
        <w:rPr>
          <w:sz w:val="24"/>
        </w:rPr>
        <w:t>to</w:t>
      </w:r>
      <w:r>
        <w:rPr>
          <w:spacing w:val="-7"/>
          <w:sz w:val="24"/>
        </w:rPr>
        <w:t> </w:t>
      </w:r>
      <w:r>
        <w:rPr>
          <w:sz w:val="24"/>
        </w:rPr>
        <w:t>the</w:t>
      </w:r>
      <w:r>
        <w:rPr>
          <w:spacing w:val="-7"/>
          <w:sz w:val="24"/>
        </w:rPr>
        <w:t> </w:t>
      </w:r>
      <w:r>
        <w:rPr>
          <w:spacing w:val="-3"/>
          <w:sz w:val="24"/>
        </w:rPr>
        <w:t>hospital-specific</w:t>
      </w:r>
      <w:r>
        <w:rPr>
          <w:spacing w:val="-7"/>
          <w:sz w:val="24"/>
        </w:rPr>
        <w:t> </w:t>
      </w:r>
      <w:r>
        <w:rPr>
          <w:spacing w:val="-3"/>
          <w:sz w:val="24"/>
        </w:rPr>
        <w:t>SPAD</w:t>
      </w:r>
      <w:r>
        <w:rPr>
          <w:spacing w:val="-7"/>
          <w:sz w:val="24"/>
        </w:rPr>
        <w:t> </w:t>
      </w:r>
      <w:r>
        <w:rPr>
          <w:sz w:val="24"/>
        </w:rPr>
        <w:t>for</w:t>
      </w:r>
      <w:r>
        <w:rPr>
          <w:spacing w:val="-7"/>
          <w:sz w:val="24"/>
        </w:rPr>
        <w:t> </w:t>
      </w:r>
      <w:r>
        <w:rPr>
          <w:sz w:val="24"/>
        </w:rPr>
        <w:t>the</w:t>
      </w:r>
      <w:r>
        <w:rPr>
          <w:spacing w:val="-7"/>
          <w:sz w:val="24"/>
        </w:rPr>
        <w:t> </w:t>
      </w:r>
      <w:r>
        <w:rPr>
          <w:sz w:val="24"/>
        </w:rPr>
        <w:t>New</w:t>
      </w:r>
      <w:r>
        <w:rPr>
          <w:spacing w:val="-7"/>
          <w:sz w:val="24"/>
        </w:rPr>
        <w:t> </w:t>
      </w:r>
      <w:r>
        <w:rPr>
          <w:spacing w:val="-3"/>
          <w:sz w:val="24"/>
        </w:rPr>
        <w:t>Hospital,</w:t>
      </w:r>
      <w:r>
        <w:rPr>
          <w:spacing w:val="-7"/>
          <w:sz w:val="24"/>
        </w:rPr>
        <w:t> </w:t>
      </w:r>
      <w:r>
        <w:rPr>
          <w:spacing w:val="-3"/>
          <w:sz w:val="24"/>
        </w:rPr>
        <w:t>the adjustment </w:t>
      </w:r>
      <w:r>
        <w:rPr>
          <w:sz w:val="24"/>
        </w:rPr>
        <w:t>or </w:t>
      </w:r>
      <w:r>
        <w:rPr>
          <w:spacing w:val="-3"/>
          <w:sz w:val="24"/>
        </w:rPr>
        <w:t>other component </w:t>
      </w:r>
      <w:r>
        <w:rPr>
          <w:sz w:val="24"/>
        </w:rPr>
        <w:t>of the </w:t>
      </w:r>
      <w:r>
        <w:rPr>
          <w:spacing w:val="-3"/>
          <w:sz w:val="24"/>
        </w:rPr>
        <w:t>calculation </w:t>
      </w:r>
      <w:r>
        <w:rPr>
          <w:sz w:val="24"/>
        </w:rPr>
        <w:t>was </w:t>
      </w:r>
      <w:r>
        <w:rPr>
          <w:spacing w:val="-3"/>
          <w:sz w:val="24"/>
        </w:rPr>
        <w:t>omitted from </w:t>
      </w:r>
      <w:r>
        <w:rPr>
          <w:sz w:val="24"/>
        </w:rPr>
        <w:t>the </w:t>
      </w:r>
      <w:r>
        <w:rPr>
          <w:spacing w:val="-3"/>
          <w:sz w:val="24"/>
        </w:rPr>
        <w:t>hospital- specific SPAD calculation for </w:t>
      </w:r>
      <w:r>
        <w:rPr>
          <w:sz w:val="24"/>
        </w:rPr>
        <w:t>the New </w:t>
      </w:r>
      <w:r>
        <w:rPr>
          <w:spacing w:val="-3"/>
          <w:sz w:val="24"/>
        </w:rPr>
        <w:t>Hospital. </w:t>
      </w:r>
      <w:r>
        <w:rPr>
          <w:sz w:val="24"/>
        </w:rPr>
        <w:t>Due to </w:t>
      </w:r>
      <w:r>
        <w:rPr>
          <w:spacing w:val="-3"/>
          <w:sz w:val="24"/>
        </w:rPr>
        <w:t>unavailability </w:t>
      </w:r>
      <w:r>
        <w:rPr>
          <w:sz w:val="24"/>
        </w:rPr>
        <w:t>of </w:t>
      </w:r>
      <w:r>
        <w:rPr>
          <w:spacing w:val="-3"/>
          <w:sz w:val="24"/>
        </w:rPr>
        <w:t>data, the SPAD adjustment under </w:t>
      </w:r>
      <w:r>
        <w:rPr>
          <w:b/>
          <w:spacing w:val="-3"/>
          <w:sz w:val="24"/>
        </w:rPr>
        <w:t>Section </w:t>
      </w:r>
      <w:r>
        <w:rPr>
          <w:b/>
          <w:sz w:val="24"/>
        </w:rPr>
        <w:t>8.1 </w:t>
      </w:r>
      <w:r>
        <w:rPr>
          <w:sz w:val="24"/>
        </w:rPr>
        <w:t>was </w:t>
      </w:r>
      <w:r>
        <w:rPr>
          <w:spacing w:val="-3"/>
          <w:sz w:val="24"/>
        </w:rPr>
        <w:t>omitted from </w:t>
      </w:r>
      <w:r>
        <w:rPr>
          <w:sz w:val="24"/>
        </w:rPr>
        <w:t>the</w:t>
      </w:r>
      <w:r>
        <w:rPr>
          <w:spacing w:val="-33"/>
          <w:sz w:val="24"/>
        </w:rPr>
        <w:t> </w:t>
      </w:r>
      <w:r>
        <w:rPr>
          <w:spacing w:val="-3"/>
          <w:sz w:val="24"/>
        </w:rPr>
        <w:t>calculation.</w:t>
      </w:r>
    </w:p>
    <w:p>
      <w:pPr>
        <w:pStyle w:val="BodyText"/>
        <w:spacing w:line="242" w:lineRule="auto" w:before="121"/>
        <w:ind w:left="872" w:firstLine="2"/>
      </w:pPr>
      <w:r>
        <w:rPr/>
        <w:t>The </w:t>
      </w:r>
      <w:r>
        <w:rPr>
          <w:spacing w:val="-3"/>
        </w:rPr>
        <w:t>transfer </w:t>
      </w:r>
      <w:r>
        <w:rPr/>
        <w:t>per </w:t>
      </w:r>
      <w:r>
        <w:rPr>
          <w:spacing w:val="-3"/>
        </w:rPr>
        <w:t>diem rate </w:t>
      </w:r>
      <w:r>
        <w:rPr/>
        <w:t>of </w:t>
      </w:r>
      <w:r>
        <w:rPr>
          <w:spacing w:val="-3"/>
        </w:rPr>
        <w:t>payment </w:t>
      </w:r>
      <w:r>
        <w:rPr/>
        <w:t>for </w:t>
      </w:r>
      <w:r>
        <w:rPr>
          <w:spacing w:val="-3"/>
        </w:rPr>
        <w:t>each </w:t>
      </w:r>
      <w:r>
        <w:rPr/>
        <w:t>New </w:t>
      </w:r>
      <w:r>
        <w:rPr>
          <w:spacing w:val="-3"/>
        </w:rPr>
        <w:t>Hospital </w:t>
      </w:r>
      <w:r>
        <w:rPr/>
        <w:t>for </w:t>
      </w:r>
      <w:r>
        <w:rPr>
          <w:spacing w:val="-3"/>
        </w:rPr>
        <w:t>purposes </w:t>
      </w:r>
      <w:r>
        <w:rPr/>
        <w:t>of </w:t>
      </w:r>
      <w:r>
        <w:rPr>
          <w:b/>
          <w:spacing w:val="-3"/>
        </w:rPr>
        <w:t>Section 5.B.8 </w:t>
      </w:r>
      <w:r>
        <w:rPr/>
        <w:t>was </w:t>
      </w:r>
      <w:r>
        <w:rPr>
          <w:spacing w:val="-3"/>
        </w:rPr>
        <w:t>computed </w:t>
      </w:r>
      <w:r>
        <w:rPr/>
        <w:t>by </w:t>
      </w:r>
      <w:r>
        <w:rPr>
          <w:spacing w:val="-3"/>
        </w:rPr>
        <w:t>dividing </w:t>
      </w:r>
      <w:r>
        <w:rPr/>
        <w:t>the New </w:t>
      </w:r>
      <w:r>
        <w:rPr>
          <w:spacing w:val="-3"/>
        </w:rPr>
        <w:t>Hospital’s RY14 SPAD </w:t>
      </w:r>
      <w:r>
        <w:rPr/>
        <w:t>as </w:t>
      </w:r>
      <w:r>
        <w:rPr>
          <w:spacing w:val="-3"/>
        </w:rPr>
        <w:t>calculated above, </w:t>
      </w:r>
      <w:r>
        <w:rPr/>
        <w:t>by </w:t>
      </w:r>
      <w:r>
        <w:rPr>
          <w:spacing w:val="-3"/>
        </w:rPr>
        <w:t>the SPAD Base Year average all-payer length </w:t>
      </w:r>
      <w:r>
        <w:rPr/>
        <w:t>of </w:t>
      </w:r>
      <w:r>
        <w:rPr>
          <w:spacing w:val="-3"/>
        </w:rPr>
        <w:t>stay </w:t>
      </w:r>
      <w:r>
        <w:rPr/>
        <w:t>of </w:t>
      </w:r>
      <w:r>
        <w:rPr>
          <w:spacing w:val="-3"/>
        </w:rPr>
        <w:t>4.31 days </w:t>
      </w:r>
      <w:r>
        <w:rPr/>
        <w:t>as </w:t>
      </w:r>
      <w:r>
        <w:rPr>
          <w:spacing w:val="-3"/>
        </w:rPr>
        <w:t>calculated </w:t>
      </w:r>
      <w:r>
        <w:rPr/>
        <w:t>by </w:t>
      </w:r>
      <w:r>
        <w:rPr>
          <w:spacing w:val="-3"/>
        </w:rPr>
        <w:t>EOHHS.</w:t>
      </w:r>
    </w:p>
    <w:p>
      <w:pPr>
        <w:pStyle w:val="BodyText"/>
        <w:spacing w:before="7"/>
      </w:pPr>
    </w:p>
    <w:p>
      <w:pPr>
        <w:pStyle w:val="BodyText"/>
        <w:spacing w:line="242" w:lineRule="auto"/>
        <w:ind w:left="872" w:right="54"/>
      </w:pPr>
      <w:r>
        <w:rPr/>
        <w:t>The </w:t>
      </w:r>
      <w:r>
        <w:rPr>
          <w:spacing w:val="-3"/>
        </w:rPr>
        <w:t>outlier </w:t>
      </w:r>
      <w:r>
        <w:rPr/>
        <w:t>per </w:t>
      </w:r>
      <w:r>
        <w:rPr>
          <w:spacing w:val="-3"/>
        </w:rPr>
        <w:t>diem rate </w:t>
      </w:r>
      <w:r>
        <w:rPr/>
        <w:t>of </w:t>
      </w:r>
      <w:r>
        <w:rPr>
          <w:spacing w:val="-3"/>
        </w:rPr>
        <w:t>payment </w:t>
      </w:r>
      <w:r>
        <w:rPr/>
        <w:t>for </w:t>
      </w:r>
      <w:r>
        <w:rPr>
          <w:spacing w:val="-3"/>
        </w:rPr>
        <w:t>each </w:t>
      </w:r>
      <w:r>
        <w:rPr/>
        <w:t>New </w:t>
      </w:r>
      <w:r>
        <w:rPr>
          <w:spacing w:val="-3"/>
        </w:rPr>
        <w:t>Hospital </w:t>
      </w:r>
      <w:r>
        <w:rPr/>
        <w:t>for </w:t>
      </w:r>
      <w:r>
        <w:rPr>
          <w:spacing w:val="-3"/>
        </w:rPr>
        <w:t>purposes </w:t>
      </w:r>
      <w:r>
        <w:rPr/>
        <w:t>of </w:t>
      </w:r>
      <w:r>
        <w:rPr>
          <w:b/>
          <w:spacing w:val="-3"/>
        </w:rPr>
        <w:t>Section 5.B.9</w:t>
      </w:r>
      <w:r>
        <w:rPr>
          <w:spacing w:val="-3"/>
        </w:rPr>
        <w:t>, </w:t>
      </w:r>
      <w:r>
        <w:rPr/>
        <w:t>was </w:t>
      </w:r>
      <w:r>
        <w:rPr>
          <w:spacing w:val="-3"/>
        </w:rPr>
        <w:t>calculated </w:t>
      </w:r>
      <w:r>
        <w:rPr/>
        <w:t>by </w:t>
      </w:r>
      <w:r>
        <w:rPr>
          <w:spacing w:val="-3"/>
        </w:rPr>
        <w:t>multiplying </w:t>
      </w:r>
      <w:r>
        <w:rPr/>
        <w:t>the New </w:t>
      </w:r>
      <w:r>
        <w:rPr>
          <w:spacing w:val="-3"/>
        </w:rPr>
        <w:t>Hospital’s transfer </w:t>
      </w:r>
      <w:r>
        <w:rPr/>
        <w:t>per </w:t>
      </w:r>
      <w:r>
        <w:rPr>
          <w:spacing w:val="-3"/>
        </w:rPr>
        <w:t>diem rate </w:t>
      </w:r>
      <w:r>
        <w:rPr/>
        <w:t>as </w:t>
      </w:r>
      <w:r>
        <w:rPr>
          <w:spacing w:val="-3"/>
        </w:rPr>
        <w:t>derived above </w:t>
      </w:r>
      <w:r>
        <w:rPr/>
        <w:t>by </w:t>
      </w:r>
      <w:r>
        <w:rPr>
          <w:spacing w:val="-3"/>
        </w:rPr>
        <w:t>0.75.</w:t>
      </w:r>
    </w:p>
    <w:p>
      <w:pPr>
        <w:pStyle w:val="BodyText"/>
        <w:spacing w:before="7"/>
      </w:pPr>
    </w:p>
    <w:p>
      <w:pPr>
        <w:pStyle w:val="Heading3"/>
        <w:numPr>
          <w:ilvl w:val="2"/>
          <w:numId w:val="8"/>
        </w:numPr>
        <w:tabs>
          <w:tab w:pos="872" w:val="left" w:leader="none"/>
        </w:tabs>
        <w:spacing w:line="240" w:lineRule="auto" w:before="0" w:after="0"/>
        <w:ind w:left="872" w:right="0" w:hanging="360"/>
        <w:jc w:val="left"/>
      </w:pPr>
      <w:r>
        <w:rPr>
          <w:spacing w:val="-3"/>
        </w:rPr>
        <w:t>Payment </w:t>
      </w:r>
      <w:r>
        <w:rPr/>
        <w:t>for </w:t>
      </w:r>
      <w:r>
        <w:rPr>
          <w:spacing w:val="-3"/>
        </w:rPr>
        <w:t>Outpatient</w:t>
      </w:r>
      <w:r>
        <w:rPr>
          <w:spacing w:val="-12"/>
        </w:rPr>
        <w:t> </w:t>
      </w:r>
      <w:r>
        <w:rPr>
          <w:spacing w:val="-3"/>
        </w:rPr>
        <w:t>Services</w:t>
      </w:r>
    </w:p>
    <w:p>
      <w:pPr>
        <w:pStyle w:val="BodyText"/>
        <w:spacing w:before="7"/>
        <w:rPr>
          <w:b/>
        </w:rPr>
      </w:pPr>
    </w:p>
    <w:p>
      <w:pPr>
        <w:pStyle w:val="BodyText"/>
        <w:ind w:left="872"/>
        <w:rPr>
          <w:b/>
        </w:rPr>
      </w:pPr>
      <w:r>
        <w:rPr/>
        <w:t>The New Hospitals will be paid for Outpatient Services in accordance with </w:t>
      </w:r>
      <w:r>
        <w:rPr>
          <w:b/>
        </w:rPr>
        <w:t>Section 5.C</w:t>
      </w:r>
    </w:p>
    <w:p>
      <w:pPr>
        <w:pStyle w:val="BodyText"/>
        <w:spacing w:before="3"/>
        <w:ind w:left="872"/>
      </w:pPr>
      <w:r>
        <w:rPr/>
        <w:t>with the following changes.</w:t>
      </w:r>
    </w:p>
    <w:p>
      <w:pPr>
        <w:spacing w:after="0"/>
        <w:sectPr>
          <w:pgSz w:w="12240" w:h="15840"/>
          <w:pgMar w:header="0" w:footer="744" w:top="1380" w:bottom="940" w:left="1720" w:right="980"/>
        </w:sectPr>
      </w:pPr>
    </w:p>
    <w:p>
      <w:pPr>
        <w:pStyle w:val="BodyText"/>
        <w:spacing w:line="244" w:lineRule="auto" w:before="61"/>
        <w:ind w:left="1552" w:right="139"/>
      </w:pPr>
      <w:r>
        <w:rPr/>
        <w:t>The New </w:t>
      </w:r>
      <w:r>
        <w:rPr>
          <w:spacing w:val="-3"/>
        </w:rPr>
        <w:t>Hospitals will </w:t>
      </w:r>
      <w:r>
        <w:rPr/>
        <w:t>be </w:t>
      </w:r>
      <w:r>
        <w:rPr>
          <w:spacing w:val="-3"/>
        </w:rPr>
        <w:t>paid </w:t>
      </w:r>
      <w:r>
        <w:rPr/>
        <w:t>a </w:t>
      </w:r>
      <w:r>
        <w:rPr>
          <w:spacing w:val="-3"/>
        </w:rPr>
        <w:t>hospital-specific Payment Amount </w:t>
      </w:r>
      <w:r>
        <w:rPr/>
        <w:t>Per </w:t>
      </w:r>
      <w:r>
        <w:rPr>
          <w:spacing w:val="-3"/>
        </w:rPr>
        <w:t>Episode (PAPE) </w:t>
      </w:r>
      <w:r>
        <w:rPr/>
        <w:t>for </w:t>
      </w:r>
      <w:r>
        <w:rPr>
          <w:spacing w:val="-3"/>
        </w:rPr>
        <w:t>those Outpatient Services </w:t>
      </w:r>
      <w:r>
        <w:rPr/>
        <w:t>for </w:t>
      </w:r>
      <w:r>
        <w:rPr>
          <w:spacing w:val="-3"/>
        </w:rPr>
        <w:t>which </w:t>
      </w:r>
      <w:r>
        <w:rPr/>
        <w:t>all </w:t>
      </w:r>
      <w:r>
        <w:rPr>
          <w:spacing w:val="-3"/>
        </w:rPr>
        <w:t>other in-state acute hospitals </w:t>
      </w:r>
      <w:r>
        <w:rPr/>
        <w:t>are </w:t>
      </w:r>
      <w:r>
        <w:rPr>
          <w:spacing w:val="-3"/>
        </w:rPr>
        <w:t>paid </w:t>
      </w:r>
      <w:r>
        <w:rPr/>
        <w:t>a </w:t>
      </w:r>
      <w:r>
        <w:rPr>
          <w:spacing w:val="-3"/>
        </w:rPr>
        <w:t>PAPE. Notwithstanding </w:t>
      </w:r>
      <w:r>
        <w:rPr>
          <w:b/>
          <w:spacing w:val="-3"/>
        </w:rPr>
        <w:t>Section 5.C.1</w:t>
      </w:r>
      <w:r>
        <w:rPr>
          <w:i/>
          <w:spacing w:val="-3"/>
        </w:rPr>
        <w:t>, </w:t>
      </w:r>
      <w:r>
        <w:rPr/>
        <w:t>the </w:t>
      </w:r>
      <w:r>
        <w:rPr>
          <w:spacing w:val="-3"/>
        </w:rPr>
        <w:t>hospital-specific RY14 PAPE for each </w:t>
      </w:r>
      <w:r>
        <w:rPr/>
        <w:t>New </w:t>
      </w:r>
      <w:r>
        <w:rPr>
          <w:spacing w:val="-3"/>
        </w:rPr>
        <w:t>Hospital shall </w:t>
      </w:r>
      <w:r>
        <w:rPr/>
        <w:t>be an </w:t>
      </w:r>
      <w:r>
        <w:rPr>
          <w:spacing w:val="-3"/>
        </w:rPr>
        <w:t>amount equal </w:t>
      </w:r>
      <w:r>
        <w:rPr/>
        <w:t>to the </w:t>
      </w:r>
      <w:r>
        <w:rPr>
          <w:spacing w:val="-3"/>
        </w:rPr>
        <w:t>median outpatient RY14 PAPE, </w:t>
      </w:r>
      <w:r>
        <w:rPr/>
        <w:t>as </w:t>
      </w:r>
      <w:r>
        <w:rPr>
          <w:spacing w:val="-3"/>
        </w:rPr>
        <w:t>calculated </w:t>
      </w:r>
      <w:r>
        <w:rPr/>
        <w:t>by </w:t>
      </w:r>
      <w:r>
        <w:rPr>
          <w:spacing w:val="-3"/>
        </w:rPr>
        <w:t>EOHHS, </w:t>
      </w:r>
      <w:r>
        <w:rPr/>
        <w:t>for all </w:t>
      </w:r>
      <w:r>
        <w:rPr>
          <w:spacing w:val="-3"/>
        </w:rPr>
        <w:t>other in-state acute hospitals participating </w:t>
      </w:r>
      <w:r>
        <w:rPr/>
        <w:t>in </w:t>
      </w:r>
      <w:r>
        <w:rPr>
          <w:spacing w:val="-3"/>
        </w:rPr>
        <w:t>MassHealth. </w:t>
      </w:r>
      <w:r>
        <w:rPr/>
        <w:t>The </w:t>
      </w:r>
      <w:r>
        <w:rPr>
          <w:spacing w:val="-3"/>
        </w:rPr>
        <w:t>median outpatient RY14 PAPE </w:t>
      </w:r>
      <w:r>
        <w:rPr/>
        <w:t>was </w:t>
      </w:r>
      <w:r>
        <w:rPr>
          <w:spacing w:val="-3"/>
        </w:rPr>
        <w:t>determined using </w:t>
      </w:r>
      <w:r>
        <w:rPr/>
        <w:t>the </w:t>
      </w:r>
      <w:r>
        <w:rPr>
          <w:spacing w:val="-3"/>
        </w:rPr>
        <w:t>RY14 PAPEs that were calculated </w:t>
      </w:r>
      <w:r>
        <w:rPr/>
        <w:t>for all </w:t>
      </w:r>
      <w:r>
        <w:rPr>
          <w:spacing w:val="-3"/>
        </w:rPr>
        <w:t>other in- state acute hospitals under </w:t>
      </w:r>
      <w:r>
        <w:rPr>
          <w:b/>
          <w:spacing w:val="-3"/>
        </w:rPr>
        <w:t>Section 5.C.1.a</w:t>
      </w:r>
      <w:r>
        <w:rPr>
          <w:spacing w:val="-3"/>
        </w:rPr>
        <w:t>.</w:t>
      </w:r>
    </w:p>
    <w:p>
      <w:pPr>
        <w:pStyle w:val="BodyText"/>
        <w:spacing w:before="4"/>
      </w:pPr>
    </w:p>
    <w:p>
      <w:pPr>
        <w:pStyle w:val="Heading3"/>
        <w:numPr>
          <w:ilvl w:val="2"/>
          <w:numId w:val="8"/>
        </w:numPr>
        <w:tabs>
          <w:tab w:pos="1552" w:val="left" w:leader="none"/>
        </w:tabs>
        <w:spacing w:line="240" w:lineRule="auto" w:before="1" w:after="0"/>
        <w:ind w:left="1552" w:right="0" w:hanging="360"/>
        <w:jc w:val="left"/>
      </w:pPr>
      <w:r>
        <w:rPr>
          <w:spacing w:val="-3"/>
        </w:rPr>
        <w:t>Other</w:t>
      </w:r>
    </w:p>
    <w:p>
      <w:pPr>
        <w:pStyle w:val="BodyText"/>
        <w:spacing w:before="3"/>
        <w:rPr>
          <w:b/>
          <w:sz w:val="21"/>
        </w:rPr>
      </w:pPr>
    </w:p>
    <w:p>
      <w:pPr>
        <w:pStyle w:val="BodyText"/>
        <w:ind w:left="1552"/>
      </w:pPr>
      <w:r>
        <w:rPr/>
        <w:t>The New Hospitals will not be subject to </w:t>
      </w:r>
      <w:r>
        <w:rPr>
          <w:b/>
        </w:rPr>
        <w:t>Section 8.1 </w:t>
      </w:r>
      <w:r>
        <w:rPr/>
        <w:t>for RY14.</w:t>
      </w:r>
    </w:p>
    <w:p>
      <w:pPr>
        <w:pStyle w:val="BodyText"/>
        <w:spacing w:before="1"/>
        <w:rPr>
          <w:sz w:val="21"/>
        </w:rPr>
      </w:pPr>
    </w:p>
    <w:p>
      <w:pPr>
        <w:pStyle w:val="BodyText"/>
        <w:spacing w:line="244" w:lineRule="auto"/>
        <w:ind w:left="1552" w:right="195"/>
      </w:pPr>
      <w:r>
        <w:rPr/>
        <w:t>For any </w:t>
      </w:r>
      <w:r>
        <w:rPr>
          <w:spacing w:val="-3"/>
        </w:rPr>
        <w:t>other rate adjustment </w:t>
      </w:r>
      <w:r>
        <w:rPr/>
        <w:t>or </w:t>
      </w:r>
      <w:r>
        <w:rPr>
          <w:spacing w:val="-3"/>
        </w:rPr>
        <w:t>payment that </w:t>
      </w:r>
      <w:r>
        <w:rPr/>
        <w:t>is </w:t>
      </w:r>
      <w:r>
        <w:rPr>
          <w:spacing w:val="-3"/>
        </w:rPr>
        <w:t>provided </w:t>
      </w:r>
      <w:r>
        <w:rPr/>
        <w:t>for </w:t>
      </w:r>
      <w:r>
        <w:rPr>
          <w:spacing w:val="-3"/>
        </w:rPr>
        <w:t>under this RFA14 not otherwise addressed </w:t>
      </w:r>
      <w:r>
        <w:rPr/>
        <w:t>in </w:t>
      </w:r>
      <w:r>
        <w:rPr>
          <w:spacing w:val="-3"/>
        </w:rPr>
        <w:t>this </w:t>
      </w:r>
      <w:r>
        <w:rPr>
          <w:b/>
          <w:spacing w:val="-3"/>
        </w:rPr>
        <w:t>Section 5.D.8</w:t>
      </w:r>
      <w:r>
        <w:rPr>
          <w:spacing w:val="-3"/>
        </w:rPr>
        <w:t>, </w:t>
      </w:r>
      <w:r>
        <w:rPr/>
        <w:t>if </w:t>
      </w:r>
      <w:r>
        <w:rPr>
          <w:spacing w:val="-3"/>
        </w:rPr>
        <w:t>EOHHS does </w:t>
      </w:r>
      <w:r>
        <w:rPr/>
        <w:t>not </w:t>
      </w:r>
      <w:r>
        <w:rPr>
          <w:spacing w:val="-3"/>
        </w:rPr>
        <w:t>have </w:t>
      </w:r>
      <w:r>
        <w:rPr/>
        <w:t>on </w:t>
      </w:r>
      <w:r>
        <w:rPr>
          <w:spacing w:val="-3"/>
        </w:rPr>
        <w:t>record </w:t>
      </w:r>
      <w:r>
        <w:rPr/>
        <w:t>the </w:t>
      </w:r>
      <w:r>
        <w:rPr>
          <w:spacing w:val="-3"/>
        </w:rPr>
        <w:t>required data under </w:t>
      </w:r>
      <w:r>
        <w:rPr/>
        <w:t>the </w:t>
      </w:r>
      <w:r>
        <w:rPr>
          <w:spacing w:val="-3"/>
        </w:rPr>
        <w:t>RY14 </w:t>
      </w:r>
      <w:r>
        <w:rPr/>
        <w:t>RFA as it </w:t>
      </w:r>
      <w:r>
        <w:rPr>
          <w:spacing w:val="-3"/>
        </w:rPr>
        <w:t>pertains </w:t>
      </w:r>
      <w:r>
        <w:rPr/>
        <w:t>to the New </w:t>
      </w:r>
      <w:r>
        <w:rPr>
          <w:spacing w:val="-3"/>
        </w:rPr>
        <w:t>Hospital, </w:t>
      </w:r>
      <w:r>
        <w:rPr/>
        <w:t>the </w:t>
      </w:r>
      <w:r>
        <w:rPr>
          <w:spacing w:val="-3"/>
        </w:rPr>
        <w:t>rate adjustment or payment shall </w:t>
      </w:r>
      <w:r>
        <w:rPr/>
        <w:t>not be </w:t>
      </w:r>
      <w:r>
        <w:rPr>
          <w:spacing w:val="-3"/>
        </w:rPr>
        <w:t>applicable </w:t>
      </w:r>
      <w:r>
        <w:rPr/>
        <w:t>to the New </w:t>
      </w:r>
      <w:r>
        <w:rPr>
          <w:spacing w:val="-3"/>
        </w:rPr>
        <w:t>Hospital </w:t>
      </w:r>
      <w:r>
        <w:rPr/>
        <w:t>for </w:t>
      </w:r>
      <w:r>
        <w:rPr>
          <w:spacing w:val="-3"/>
        </w:rPr>
        <w:t>RY14.</w:t>
      </w:r>
    </w:p>
    <w:p>
      <w:pPr>
        <w:pStyle w:val="Heading3"/>
        <w:numPr>
          <w:ilvl w:val="1"/>
          <w:numId w:val="8"/>
        </w:numPr>
        <w:tabs>
          <w:tab w:pos="1192" w:val="left" w:leader="none"/>
          <w:tab w:pos="1193" w:val="left" w:leader="none"/>
        </w:tabs>
        <w:spacing w:line="244" w:lineRule="auto" w:before="201" w:after="0"/>
        <w:ind w:left="1192" w:right="117" w:hanging="540"/>
        <w:jc w:val="left"/>
      </w:pPr>
      <w:r>
        <w:rPr>
          <w:spacing w:val="-3"/>
        </w:rPr>
        <w:t>Supplemental Payment </w:t>
      </w:r>
      <w:r>
        <w:rPr/>
        <w:t>for </w:t>
      </w:r>
      <w:r>
        <w:rPr>
          <w:spacing w:val="-3"/>
        </w:rPr>
        <w:t>Hospitals with High Volume Neonatal </w:t>
      </w:r>
      <w:r>
        <w:rPr/>
        <w:t>and </w:t>
      </w:r>
      <w:r>
        <w:rPr>
          <w:spacing w:val="-3"/>
        </w:rPr>
        <w:t>Pediatric Intensive Care Unit</w:t>
      </w:r>
      <w:r>
        <w:rPr>
          <w:spacing w:val="-1"/>
        </w:rPr>
        <w:t> </w:t>
      </w:r>
      <w:r>
        <w:rPr>
          <w:spacing w:val="-3"/>
        </w:rPr>
        <w:t>Services</w:t>
      </w:r>
    </w:p>
    <w:p>
      <w:pPr>
        <w:pStyle w:val="BodyText"/>
        <w:spacing w:before="9"/>
        <w:rPr>
          <w:b/>
          <w:sz w:val="20"/>
        </w:rPr>
      </w:pPr>
    </w:p>
    <w:p>
      <w:pPr>
        <w:pStyle w:val="ListParagraph"/>
        <w:numPr>
          <w:ilvl w:val="2"/>
          <w:numId w:val="8"/>
        </w:numPr>
        <w:tabs>
          <w:tab w:pos="1553" w:val="left" w:leader="none"/>
        </w:tabs>
        <w:spacing w:line="240" w:lineRule="auto" w:before="0" w:after="0"/>
        <w:ind w:left="1552" w:right="0" w:hanging="360"/>
        <w:jc w:val="left"/>
        <w:rPr>
          <w:b/>
          <w:sz w:val="24"/>
        </w:rPr>
      </w:pPr>
      <w:r>
        <w:rPr>
          <w:b/>
          <w:spacing w:val="-3"/>
          <w:sz w:val="24"/>
        </w:rPr>
        <w:t>Qualification</w:t>
      </w:r>
    </w:p>
    <w:p>
      <w:pPr>
        <w:pStyle w:val="BodyText"/>
        <w:spacing w:line="242" w:lineRule="auto" w:before="201"/>
        <w:ind w:left="1552" w:right="245"/>
      </w:pPr>
      <w:r>
        <w:rPr/>
        <w:t>In </w:t>
      </w:r>
      <w:r>
        <w:rPr>
          <w:spacing w:val="-3"/>
        </w:rPr>
        <w:t>order </w:t>
      </w:r>
      <w:r>
        <w:rPr/>
        <w:t>to </w:t>
      </w:r>
      <w:r>
        <w:rPr>
          <w:spacing w:val="-3"/>
        </w:rPr>
        <w:t>qualify </w:t>
      </w:r>
      <w:r>
        <w:rPr/>
        <w:t>for a </w:t>
      </w:r>
      <w:r>
        <w:rPr>
          <w:spacing w:val="-3"/>
        </w:rPr>
        <w:t>Supplemental Payment </w:t>
      </w:r>
      <w:r>
        <w:rPr/>
        <w:t>for </w:t>
      </w:r>
      <w:r>
        <w:rPr>
          <w:spacing w:val="-3"/>
        </w:rPr>
        <w:t>Hospitals with High Volume Neonatal </w:t>
      </w:r>
      <w:r>
        <w:rPr/>
        <w:t>and </w:t>
      </w:r>
      <w:r>
        <w:rPr>
          <w:spacing w:val="-3"/>
        </w:rPr>
        <w:t>Pediatric Intensive Care Unit (ICU) Services, </w:t>
      </w:r>
      <w:r>
        <w:rPr/>
        <w:t>a </w:t>
      </w:r>
      <w:r>
        <w:rPr>
          <w:spacing w:val="-3"/>
        </w:rPr>
        <w:t>Hospital must have </w:t>
      </w:r>
      <w:r>
        <w:rPr/>
        <w:t>at </w:t>
      </w:r>
      <w:r>
        <w:rPr>
          <w:spacing w:val="-3"/>
        </w:rPr>
        <w:t>least </w:t>
      </w:r>
      <w:r>
        <w:rPr/>
        <w:t>108 </w:t>
      </w:r>
      <w:r>
        <w:rPr>
          <w:spacing w:val="-3"/>
        </w:rPr>
        <w:t>beds licensed </w:t>
      </w:r>
      <w:r>
        <w:rPr/>
        <w:t>as </w:t>
      </w:r>
      <w:r>
        <w:rPr>
          <w:spacing w:val="-3"/>
        </w:rPr>
        <w:t>pediatric, pediatric ICU, </w:t>
      </w:r>
      <w:r>
        <w:rPr/>
        <w:t>or </w:t>
      </w:r>
      <w:r>
        <w:rPr>
          <w:spacing w:val="-3"/>
        </w:rPr>
        <w:t>Neonatal </w:t>
      </w:r>
      <w:r>
        <w:rPr/>
        <w:t>ICU </w:t>
      </w:r>
      <w:r>
        <w:rPr>
          <w:spacing w:val="-3"/>
        </w:rPr>
        <w:t>beds, </w:t>
      </w:r>
      <w:r>
        <w:rPr/>
        <w:t>of </w:t>
      </w:r>
      <w:r>
        <w:rPr>
          <w:spacing w:val="-3"/>
        </w:rPr>
        <w:t>which </w:t>
      </w:r>
      <w:r>
        <w:rPr/>
        <w:t>at </w:t>
      </w:r>
      <w:r>
        <w:rPr>
          <w:spacing w:val="-3"/>
        </w:rPr>
        <w:t>least </w:t>
      </w:r>
      <w:r>
        <w:rPr/>
        <w:t>55 </w:t>
      </w:r>
      <w:r>
        <w:rPr>
          <w:spacing w:val="-3"/>
        </w:rPr>
        <w:t>must be licensed </w:t>
      </w:r>
      <w:r>
        <w:rPr/>
        <w:t>as </w:t>
      </w:r>
      <w:r>
        <w:rPr>
          <w:spacing w:val="-3"/>
        </w:rPr>
        <w:t>Neonatal </w:t>
      </w:r>
      <w:r>
        <w:rPr/>
        <w:t>ICU </w:t>
      </w:r>
      <w:r>
        <w:rPr>
          <w:spacing w:val="-3"/>
        </w:rPr>
        <w:t>beds.</w:t>
      </w:r>
    </w:p>
    <w:p>
      <w:pPr>
        <w:pStyle w:val="Heading3"/>
        <w:numPr>
          <w:ilvl w:val="2"/>
          <w:numId w:val="8"/>
        </w:numPr>
        <w:tabs>
          <w:tab w:pos="1553" w:val="left" w:leader="none"/>
        </w:tabs>
        <w:spacing w:line="240" w:lineRule="auto" w:before="204" w:after="0"/>
        <w:ind w:left="1552" w:right="0" w:hanging="360"/>
        <w:jc w:val="left"/>
      </w:pPr>
      <w:r>
        <w:rPr>
          <w:spacing w:val="-3"/>
        </w:rPr>
        <w:t>Payment</w:t>
      </w:r>
      <w:r>
        <w:rPr>
          <w:spacing w:val="-2"/>
        </w:rPr>
        <w:t> </w:t>
      </w:r>
      <w:r>
        <w:rPr>
          <w:spacing w:val="-3"/>
        </w:rPr>
        <w:t>Methodology</w:t>
      </w:r>
    </w:p>
    <w:p>
      <w:pPr>
        <w:pStyle w:val="BodyText"/>
        <w:spacing w:line="242" w:lineRule="auto" w:before="201"/>
        <w:ind w:left="1552" w:right="139"/>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of not </w:t>
      </w:r>
      <w:r>
        <w:rPr>
          <w:spacing w:val="-3"/>
        </w:rPr>
        <w:t>more than</w:t>
      </w:r>
    </w:p>
    <w:p>
      <w:pPr>
        <w:pStyle w:val="BodyText"/>
        <w:spacing w:line="242" w:lineRule="auto"/>
        <w:ind w:left="1552" w:right="139"/>
      </w:pPr>
      <w:r>
        <w:rPr>
          <w:spacing w:val="-3"/>
        </w:rPr>
        <w:t>$200,000 </w:t>
      </w:r>
      <w:r>
        <w:rPr/>
        <w:t>to </w:t>
      </w:r>
      <w:r>
        <w:rPr>
          <w:spacing w:val="-3"/>
        </w:rPr>
        <w:t>qualifying Hospitals </w:t>
      </w:r>
      <w:r>
        <w:rPr/>
        <w:t>to </w:t>
      </w:r>
      <w:r>
        <w:rPr>
          <w:spacing w:val="-3"/>
        </w:rPr>
        <w:t>support their provision </w:t>
      </w:r>
      <w:r>
        <w:rPr/>
        <w:t>of </w:t>
      </w:r>
      <w:r>
        <w:rPr>
          <w:spacing w:val="-3"/>
        </w:rPr>
        <w:t>inpatient neonatal and pediatric </w:t>
      </w:r>
      <w:r>
        <w:rPr/>
        <w:t>ICU </w:t>
      </w:r>
      <w:r>
        <w:rPr>
          <w:spacing w:val="-3"/>
        </w:rPr>
        <w:t>services.</w:t>
      </w:r>
    </w:p>
    <w:p>
      <w:pPr>
        <w:pStyle w:val="BodyText"/>
        <w:rPr>
          <w:sz w:val="26"/>
        </w:rPr>
      </w:pPr>
    </w:p>
    <w:p>
      <w:pPr>
        <w:pStyle w:val="BodyText"/>
        <w:spacing w:before="1"/>
        <w:rPr>
          <w:sz w:val="23"/>
        </w:rPr>
      </w:pPr>
    </w:p>
    <w:p>
      <w:pPr>
        <w:pStyle w:val="Heading2"/>
        <w:numPr>
          <w:ilvl w:val="0"/>
          <w:numId w:val="8"/>
        </w:numPr>
        <w:tabs>
          <w:tab w:pos="660" w:val="left" w:leader="none"/>
          <w:tab w:pos="661" w:val="left" w:leader="none"/>
        </w:tabs>
        <w:spacing w:line="240" w:lineRule="auto" w:before="1" w:after="0"/>
        <w:ind w:left="660" w:right="0" w:hanging="548"/>
        <w:jc w:val="left"/>
      </w:pPr>
      <w:r>
        <w:rPr>
          <w:spacing w:val="-3"/>
        </w:rPr>
        <w:t>Safety </w:t>
      </w:r>
      <w:r>
        <w:rPr/>
        <w:t>Net </w:t>
      </w:r>
      <w:r>
        <w:rPr>
          <w:spacing w:val="-3"/>
        </w:rPr>
        <w:t>Care Acute Hospital</w:t>
      </w:r>
      <w:r>
        <w:rPr>
          <w:spacing w:val="-22"/>
        </w:rPr>
        <w:t> </w:t>
      </w:r>
      <w:r>
        <w:rPr>
          <w:spacing w:val="-3"/>
        </w:rPr>
        <w:t>Payments</w:t>
      </w:r>
    </w:p>
    <w:p>
      <w:pPr>
        <w:pStyle w:val="BodyText"/>
        <w:spacing w:before="6"/>
        <w:rPr>
          <w:b/>
          <w:sz w:val="28"/>
        </w:rPr>
      </w:pPr>
    </w:p>
    <w:p>
      <w:pPr>
        <w:pStyle w:val="BodyText"/>
        <w:spacing w:line="244" w:lineRule="auto"/>
        <w:ind w:left="651" w:right="171"/>
      </w:pPr>
      <w:r>
        <w:rPr/>
        <w:t>In </w:t>
      </w:r>
      <w:r>
        <w:rPr>
          <w:spacing w:val="-4"/>
        </w:rPr>
        <w:t>accordance </w:t>
      </w:r>
      <w:r>
        <w:rPr>
          <w:spacing w:val="-3"/>
        </w:rPr>
        <w:t>with the </w:t>
      </w:r>
      <w:r>
        <w:rPr>
          <w:spacing w:val="-4"/>
        </w:rPr>
        <w:t>terms </w:t>
      </w:r>
      <w:r>
        <w:rPr>
          <w:spacing w:val="-3"/>
        </w:rPr>
        <w:t>and </w:t>
      </w:r>
      <w:r>
        <w:rPr>
          <w:spacing w:val="-4"/>
        </w:rPr>
        <w:t>conditions </w:t>
      </w:r>
      <w:r>
        <w:rPr/>
        <w:t>of </w:t>
      </w:r>
      <w:r>
        <w:rPr>
          <w:spacing w:val="-3"/>
        </w:rPr>
        <w:t>the </w:t>
      </w:r>
      <w:r>
        <w:rPr>
          <w:spacing w:val="-4"/>
        </w:rPr>
        <w:t>Commonwealth’s </w:t>
      </w:r>
      <w:r>
        <w:rPr>
          <w:spacing w:val="-3"/>
        </w:rPr>
        <w:t>1115 </w:t>
      </w:r>
      <w:r>
        <w:rPr>
          <w:spacing w:val="-4"/>
        </w:rPr>
        <w:t>waiver governing the Safety </w:t>
      </w:r>
      <w:r>
        <w:rPr>
          <w:spacing w:val="-3"/>
        </w:rPr>
        <w:t>Net Care Pool </w:t>
      </w:r>
      <w:r>
        <w:rPr>
          <w:spacing w:val="-4"/>
        </w:rPr>
        <w:t>(SNCP), </w:t>
      </w:r>
      <w:r>
        <w:rPr>
          <w:spacing w:val="-3"/>
        </w:rPr>
        <w:t>and </w:t>
      </w:r>
      <w:r>
        <w:rPr>
          <w:spacing w:val="-4"/>
        </w:rPr>
        <w:t>subject </w:t>
      </w:r>
      <w:r>
        <w:rPr/>
        <w:t>to </w:t>
      </w:r>
      <w:r>
        <w:rPr>
          <w:spacing w:val="-4"/>
        </w:rPr>
        <w:t>compliance </w:t>
      </w:r>
      <w:r>
        <w:rPr>
          <w:spacing w:val="-3"/>
        </w:rPr>
        <w:t>with all </w:t>
      </w:r>
      <w:r>
        <w:rPr>
          <w:spacing w:val="-4"/>
        </w:rPr>
        <w:t>applicable federal requirements, the Commonwealth </w:t>
      </w:r>
      <w:r>
        <w:rPr>
          <w:spacing w:val="-3"/>
        </w:rPr>
        <w:t>will </w:t>
      </w:r>
      <w:r>
        <w:rPr>
          <w:spacing w:val="-4"/>
        </w:rPr>
        <w:t>make </w:t>
      </w:r>
      <w:r>
        <w:rPr/>
        <w:t>an </w:t>
      </w:r>
      <w:r>
        <w:rPr>
          <w:spacing w:val="-4"/>
        </w:rPr>
        <w:t>additional payment above </w:t>
      </w:r>
      <w:r>
        <w:rPr>
          <w:spacing w:val="-3"/>
        </w:rPr>
        <w:t>the </w:t>
      </w:r>
      <w:r>
        <w:rPr>
          <w:spacing w:val="-4"/>
        </w:rPr>
        <w:t>amounts specified </w:t>
      </w:r>
      <w:r>
        <w:rPr/>
        <w:t>in </w:t>
      </w:r>
      <w:r>
        <w:rPr>
          <w:b/>
          <w:spacing w:val="-4"/>
        </w:rPr>
        <w:t>Sections </w:t>
      </w:r>
      <w:r>
        <w:rPr>
          <w:b/>
          <w:spacing w:val="-3"/>
        </w:rPr>
        <w:t>5.B, </w:t>
      </w:r>
      <w:r>
        <w:rPr>
          <w:b/>
          <w:spacing w:val="-4"/>
        </w:rPr>
        <w:t>5.C, </w:t>
      </w:r>
      <w:r>
        <w:rPr>
          <w:spacing w:val="-3"/>
        </w:rPr>
        <w:t>and </w:t>
      </w:r>
      <w:r>
        <w:rPr>
          <w:b/>
          <w:spacing w:val="-3"/>
        </w:rPr>
        <w:t>5.D </w:t>
      </w:r>
      <w:r>
        <w:rPr/>
        <w:t>to </w:t>
      </w:r>
      <w:r>
        <w:rPr>
          <w:spacing w:val="-4"/>
        </w:rPr>
        <w:t>Hospitals which qualify </w:t>
      </w:r>
      <w:r>
        <w:rPr>
          <w:spacing w:val="-3"/>
        </w:rPr>
        <w:t>for such </w:t>
      </w:r>
      <w:r>
        <w:rPr>
          <w:spacing w:val="-4"/>
        </w:rPr>
        <w:t>payment under </w:t>
      </w:r>
      <w:r>
        <w:rPr>
          <w:spacing w:val="-3"/>
        </w:rPr>
        <w:t>any one </w:t>
      </w:r>
      <w:r>
        <w:rPr/>
        <w:t>or </w:t>
      </w:r>
      <w:r>
        <w:rPr>
          <w:spacing w:val="-4"/>
        </w:rPr>
        <w:t>more </w:t>
      </w:r>
      <w:r>
        <w:rPr/>
        <w:t>of </w:t>
      </w:r>
      <w:r>
        <w:rPr>
          <w:spacing w:val="-3"/>
        </w:rPr>
        <w:t>the </w:t>
      </w:r>
      <w:r>
        <w:rPr>
          <w:spacing w:val="-5"/>
        </w:rPr>
        <w:t>payment </w:t>
      </w:r>
      <w:r>
        <w:rPr>
          <w:spacing w:val="-4"/>
        </w:rPr>
        <w:t>classifications listed below </w:t>
      </w:r>
      <w:r>
        <w:rPr>
          <w:spacing w:val="-3"/>
        </w:rPr>
        <w:t>for the </w:t>
      </w:r>
      <w:r>
        <w:rPr>
          <w:spacing w:val="-4"/>
        </w:rPr>
        <w:t>period </w:t>
      </w:r>
      <w:r>
        <w:rPr/>
        <w:t>of </w:t>
      </w:r>
      <w:r>
        <w:rPr>
          <w:spacing w:val="-3"/>
        </w:rPr>
        <w:t>RY14 </w:t>
      </w:r>
      <w:r>
        <w:rPr>
          <w:spacing w:val="-4"/>
        </w:rPr>
        <w:t>ending </w:t>
      </w:r>
      <w:r>
        <w:rPr>
          <w:spacing w:val="-3"/>
        </w:rPr>
        <w:t>June 30, </w:t>
      </w:r>
      <w:r>
        <w:rPr>
          <w:spacing w:val="-4"/>
        </w:rPr>
        <w:t>2014. </w:t>
      </w:r>
      <w:r>
        <w:rPr>
          <w:spacing w:val="-3"/>
        </w:rPr>
        <w:t>SNCP </w:t>
      </w:r>
      <w:r>
        <w:rPr>
          <w:spacing w:val="-4"/>
        </w:rPr>
        <w:t>payments are authorized </w:t>
      </w:r>
      <w:r>
        <w:rPr/>
        <w:t>by </w:t>
      </w:r>
      <w:r>
        <w:rPr>
          <w:spacing w:val="-3"/>
        </w:rPr>
        <w:t>the </w:t>
      </w:r>
      <w:r>
        <w:rPr>
          <w:spacing w:val="-4"/>
        </w:rPr>
        <w:t>Centers </w:t>
      </w:r>
      <w:r>
        <w:rPr>
          <w:spacing w:val="-3"/>
        </w:rPr>
        <w:t>for </w:t>
      </w:r>
      <w:r>
        <w:rPr>
          <w:spacing w:val="-4"/>
        </w:rPr>
        <w:t>Medicare </w:t>
      </w:r>
      <w:r>
        <w:rPr>
          <w:spacing w:val="-3"/>
        </w:rPr>
        <w:t>and </w:t>
      </w:r>
      <w:r>
        <w:rPr>
          <w:spacing w:val="-4"/>
        </w:rPr>
        <w:t>Medicaid Services (CMS) </w:t>
      </w:r>
      <w:r>
        <w:rPr/>
        <w:t>on a </w:t>
      </w:r>
      <w:r>
        <w:rPr>
          <w:spacing w:val="-4"/>
        </w:rPr>
        <w:t>state fiscal </w:t>
      </w:r>
      <w:r>
        <w:rPr>
          <w:spacing w:val="-3"/>
        </w:rPr>
        <w:t>year </w:t>
      </w:r>
      <w:r>
        <w:rPr>
          <w:spacing w:val="-4"/>
        </w:rPr>
        <w:t>basis for </w:t>
      </w:r>
      <w:r>
        <w:rPr>
          <w:spacing w:val="-3"/>
        </w:rPr>
        <w:t>each </w:t>
      </w:r>
      <w:r>
        <w:rPr>
          <w:spacing w:val="-4"/>
        </w:rPr>
        <w:t>applicable waiver year.</w:t>
      </w:r>
    </w:p>
    <w:p>
      <w:pPr>
        <w:spacing w:after="0" w:line="244" w:lineRule="auto"/>
        <w:sectPr>
          <w:pgSz w:w="12240" w:h="15840"/>
          <w:pgMar w:header="0" w:footer="744" w:top="1380" w:bottom="940" w:left="1040" w:right="960"/>
        </w:sectPr>
      </w:pPr>
    </w:p>
    <w:p>
      <w:pPr>
        <w:pStyle w:val="BodyText"/>
        <w:spacing w:line="242" w:lineRule="auto" w:before="61"/>
        <w:ind w:left="111" w:right="236"/>
      </w:pPr>
      <w:r>
        <w:rPr>
          <w:spacing w:val="-3"/>
        </w:rPr>
        <w:t>Only </w:t>
      </w:r>
      <w:r>
        <w:rPr>
          <w:spacing w:val="-4"/>
        </w:rPr>
        <w:t>Hospitals </w:t>
      </w:r>
      <w:r>
        <w:rPr>
          <w:spacing w:val="-3"/>
        </w:rPr>
        <w:t>that have </w:t>
      </w:r>
      <w:r>
        <w:rPr/>
        <w:t>an </w:t>
      </w:r>
      <w:r>
        <w:rPr>
          <w:spacing w:val="-4"/>
        </w:rPr>
        <w:t>executed Contract </w:t>
      </w:r>
      <w:r>
        <w:rPr>
          <w:spacing w:val="-3"/>
        </w:rPr>
        <w:t>with </w:t>
      </w:r>
      <w:r>
        <w:rPr>
          <w:spacing w:val="-4"/>
        </w:rPr>
        <w:t>EOHHS, pursuant </w:t>
      </w:r>
      <w:r>
        <w:rPr/>
        <w:t>to </w:t>
      </w:r>
      <w:r>
        <w:rPr>
          <w:spacing w:val="-3"/>
        </w:rPr>
        <w:t>this RFA, are </w:t>
      </w:r>
      <w:r>
        <w:rPr>
          <w:spacing w:val="-4"/>
        </w:rPr>
        <w:t>eligible for </w:t>
      </w:r>
      <w:r>
        <w:rPr>
          <w:spacing w:val="-3"/>
        </w:rPr>
        <w:t>SNCP </w:t>
      </w:r>
      <w:r>
        <w:rPr>
          <w:spacing w:val="-5"/>
        </w:rPr>
        <w:t>payments.</w:t>
      </w:r>
    </w:p>
    <w:p>
      <w:pPr>
        <w:pStyle w:val="BodyText"/>
        <w:spacing w:before="4"/>
      </w:pPr>
    </w:p>
    <w:p>
      <w:pPr>
        <w:pStyle w:val="BodyText"/>
        <w:spacing w:line="242" w:lineRule="auto"/>
        <w:ind w:left="111" w:right="1178"/>
      </w:pPr>
      <w:r>
        <w:rPr>
          <w:spacing w:val="-3"/>
        </w:rPr>
        <w:t>All SNCP </w:t>
      </w:r>
      <w:r>
        <w:rPr>
          <w:spacing w:val="-4"/>
        </w:rPr>
        <w:t>payments </w:t>
      </w:r>
      <w:r>
        <w:rPr>
          <w:spacing w:val="-3"/>
        </w:rPr>
        <w:t>are </w:t>
      </w:r>
      <w:r>
        <w:rPr>
          <w:spacing w:val="-4"/>
        </w:rPr>
        <w:t>subject </w:t>
      </w:r>
      <w:r>
        <w:rPr/>
        <w:t>to </w:t>
      </w:r>
      <w:r>
        <w:rPr>
          <w:spacing w:val="-4"/>
        </w:rPr>
        <w:t>federal approval </w:t>
      </w:r>
      <w:r>
        <w:rPr>
          <w:spacing w:val="-3"/>
        </w:rPr>
        <w:t>and the </w:t>
      </w:r>
      <w:r>
        <w:rPr>
          <w:spacing w:val="-4"/>
        </w:rPr>
        <w:t>availability </w:t>
      </w:r>
      <w:r>
        <w:rPr/>
        <w:t>of </w:t>
      </w:r>
      <w:r>
        <w:rPr>
          <w:spacing w:val="-4"/>
        </w:rPr>
        <w:t>federal </w:t>
      </w:r>
      <w:r>
        <w:rPr>
          <w:spacing w:val="-5"/>
        </w:rPr>
        <w:t>financial </w:t>
      </w:r>
      <w:r>
        <w:rPr>
          <w:spacing w:val="-4"/>
        </w:rPr>
        <w:t>participation.</w:t>
      </w:r>
    </w:p>
    <w:p>
      <w:pPr>
        <w:pStyle w:val="BodyText"/>
        <w:spacing w:before="5"/>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Public Service Hospital Safety </w:t>
      </w:r>
      <w:r>
        <w:rPr/>
        <w:t>Net </w:t>
      </w:r>
      <w:r>
        <w:rPr>
          <w:spacing w:val="-3"/>
        </w:rPr>
        <w:t>Care</w:t>
      </w:r>
      <w:r>
        <w:rPr>
          <w:spacing w:val="-9"/>
        </w:rPr>
        <w:t> </w:t>
      </w:r>
      <w:r>
        <w:rPr>
          <w:spacing w:val="-3"/>
        </w:rPr>
        <w:t>Payment</w:t>
      </w:r>
    </w:p>
    <w:p>
      <w:pPr>
        <w:pStyle w:val="BodyText"/>
        <w:spacing w:before="10"/>
        <w:rPr>
          <w:b/>
          <w:sz w:val="25"/>
        </w:rPr>
      </w:pPr>
    </w:p>
    <w:p>
      <w:pPr>
        <w:pStyle w:val="BodyText"/>
        <w:spacing w:line="242" w:lineRule="auto"/>
        <w:ind w:left="651"/>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waiver provisions, payment limits, </w:t>
      </w:r>
      <w:r>
        <w:rPr/>
        <w:t>and </w:t>
      </w:r>
      <w:r>
        <w:rPr>
          <w:spacing w:val="-3"/>
        </w:rPr>
        <w:t>full federal financial participation, EOHHS will make </w:t>
      </w:r>
      <w:r>
        <w:rPr/>
        <w:t>a </w:t>
      </w:r>
      <w:r>
        <w:rPr>
          <w:spacing w:val="-3"/>
        </w:rPr>
        <w:t>Public Service Hospital Safety </w:t>
      </w:r>
      <w:r>
        <w:rPr/>
        <w:t>Net </w:t>
      </w:r>
      <w:r>
        <w:rPr>
          <w:spacing w:val="-3"/>
        </w:rPr>
        <w:t>Care payment </w:t>
      </w:r>
      <w:r>
        <w:rPr/>
        <w:t>to </w:t>
      </w:r>
      <w:r>
        <w:rPr>
          <w:spacing w:val="-3"/>
        </w:rPr>
        <w:t>qualifying Hospitals.</w:t>
      </w:r>
    </w:p>
    <w:p>
      <w:pPr>
        <w:pStyle w:val="BodyText"/>
        <w:spacing w:before="120"/>
        <w:ind w:left="651"/>
      </w:pPr>
      <w:r>
        <w:rPr/>
        <w:t>In order to qualify for a Public Service Hospital Safety Net Care Payment, a hospital must:</w:t>
      </w:r>
    </w:p>
    <w:p>
      <w:pPr>
        <w:pStyle w:val="ListParagraph"/>
        <w:numPr>
          <w:ilvl w:val="2"/>
          <w:numId w:val="8"/>
        </w:numPr>
        <w:tabs>
          <w:tab w:pos="1012" w:val="left" w:leader="none"/>
        </w:tabs>
        <w:spacing w:line="240" w:lineRule="auto" w:before="127" w:after="0"/>
        <w:ind w:left="1012" w:right="0" w:hanging="360"/>
        <w:jc w:val="left"/>
        <w:rPr>
          <w:sz w:val="24"/>
        </w:rPr>
      </w:pPr>
      <w:r>
        <w:rPr>
          <w:sz w:val="24"/>
        </w:rPr>
        <w:t>be a </w:t>
      </w:r>
      <w:r>
        <w:rPr>
          <w:spacing w:val="-3"/>
          <w:sz w:val="24"/>
        </w:rPr>
        <w:t>public </w:t>
      </w:r>
      <w:r>
        <w:rPr>
          <w:sz w:val="24"/>
        </w:rPr>
        <w:t>or </w:t>
      </w:r>
      <w:r>
        <w:rPr>
          <w:spacing w:val="-3"/>
          <w:sz w:val="24"/>
        </w:rPr>
        <w:t>public-service hospital </w:t>
      </w:r>
      <w:r>
        <w:rPr>
          <w:sz w:val="24"/>
        </w:rPr>
        <w:t>as </w:t>
      </w:r>
      <w:r>
        <w:rPr>
          <w:spacing w:val="-3"/>
          <w:sz w:val="24"/>
        </w:rPr>
        <w:t>defined </w:t>
      </w:r>
      <w:r>
        <w:rPr>
          <w:sz w:val="24"/>
        </w:rPr>
        <w:t>in </w:t>
      </w:r>
      <w:r>
        <w:rPr>
          <w:b/>
          <w:spacing w:val="-3"/>
          <w:sz w:val="24"/>
        </w:rPr>
        <w:t>Section</w:t>
      </w:r>
      <w:r>
        <w:rPr>
          <w:b/>
          <w:spacing w:val="-37"/>
          <w:sz w:val="24"/>
        </w:rPr>
        <w:t> </w:t>
      </w:r>
      <w:r>
        <w:rPr>
          <w:b/>
          <w:sz w:val="24"/>
        </w:rPr>
        <w:t>2</w:t>
      </w:r>
      <w:r>
        <w:rPr>
          <w:sz w:val="24"/>
        </w:rPr>
        <w:t>;</w:t>
      </w:r>
    </w:p>
    <w:p>
      <w:pPr>
        <w:pStyle w:val="ListParagraph"/>
        <w:numPr>
          <w:ilvl w:val="2"/>
          <w:numId w:val="8"/>
        </w:numPr>
        <w:tabs>
          <w:tab w:pos="1013" w:val="left" w:leader="none"/>
        </w:tabs>
        <w:spacing w:line="242" w:lineRule="auto" w:before="127" w:after="0"/>
        <w:ind w:left="1012" w:right="110" w:hanging="360"/>
        <w:jc w:val="left"/>
        <w:rPr>
          <w:sz w:val="24"/>
        </w:rPr>
      </w:pPr>
      <w:r>
        <w:rPr>
          <w:spacing w:val="-3"/>
          <w:sz w:val="24"/>
        </w:rPr>
        <w:t>have </w:t>
      </w:r>
      <w:r>
        <w:rPr>
          <w:sz w:val="24"/>
        </w:rPr>
        <w:t>a </w:t>
      </w:r>
      <w:r>
        <w:rPr>
          <w:spacing w:val="-3"/>
          <w:sz w:val="24"/>
        </w:rPr>
        <w:t>volume </w:t>
      </w:r>
      <w:r>
        <w:rPr>
          <w:sz w:val="24"/>
        </w:rPr>
        <w:t>of </w:t>
      </w:r>
      <w:r>
        <w:rPr>
          <w:spacing w:val="-3"/>
          <w:sz w:val="24"/>
        </w:rPr>
        <w:t>Medicaid </w:t>
      </w:r>
      <w:r>
        <w:rPr>
          <w:sz w:val="24"/>
        </w:rPr>
        <w:t>and </w:t>
      </w:r>
      <w:r>
        <w:rPr>
          <w:spacing w:val="-3"/>
          <w:sz w:val="24"/>
        </w:rPr>
        <w:t>free care charges </w:t>
      </w:r>
      <w:r>
        <w:rPr>
          <w:sz w:val="24"/>
        </w:rPr>
        <w:t>in </w:t>
      </w:r>
      <w:r>
        <w:rPr>
          <w:spacing w:val="-3"/>
          <w:sz w:val="24"/>
        </w:rPr>
        <w:t>Fiscal Year 1993, </w:t>
      </w:r>
      <w:r>
        <w:rPr>
          <w:sz w:val="24"/>
        </w:rPr>
        <w:t>or for any </w:t>
      </w:r>
      <w:r>
        <w:rPr>
          <w:spacing w:val="-3"/>
          <w:sz w:val="24"/>
        </w:rPr>
        <w:t>new hospital,</w:t>
      </w:r>
      <w:r>
        <w:rPr>
          <w:spacing w:val="-6"/>
          <w:sz w:val="24"/>
        </w:rPr>
        <w:t> </w:t>
      </w:r>
      <w:r>
        <w:rPr>
          <w:sz w:val="24"/>
        </w:rPr>
        <w:t>in</w:t>
      </w:r>
      <w:r>
        <w:rPr>
          <w:spacing w:val="-6"/>
          <w:sz w:val="24"/>
        </w:rPr>
        <w:t> </w:t>
      </w:r>
      <w:r>
        <w:rPr>
          <w:sz w:val="24"/>
        </w:rPr>
        <w:t>the</w:t>
      </w:r>
      <w:r>
        <w:rPr>
          <w:spacing w:val="-6"/>
          <w:sz w:val="24"/>
        </w:rPr>
        <w:t> </w:t>
      </w:r>
      <w:r>
        <w:rPr>
          <w:spacing w:val="-3"/>
          <w:sz w:val="24"/>
        </w:rPr>
        <w:t>base</w:t>
      </w:r>
      <w:r>
        <w:rPr>
          <w:spacing w:val="-6"/>
          <w:sz w:val="24"/>
        </w:rPr>
        <w:t> </w:t>
      </w:r>
      <w:r>
        <w:rPr>
          <w:spacing w:val="-3"/>
          <w:sz w:val="24"/>
        </w:rPr>
        <w:t>year</w:t>
      </w:r>
      <w:r>
        <w:rPr>
          <w:spacing w:val="-6"/>
          <w:sz w:val="24"/>
        </w:rPr>
        <w:t> </w:t>
      </w:r>
      <w:r>
        <w:rPr>
          <w:sz w:val="24"/>
        </w:rPr>
        <w:t>as</w:t>
      </w:r>
      <w:r>
        <w:rPr>
          <w:spacing w:val="-6"/>
          <w:sz w:val="24"/>
        </w:rPr>
        <w:t> </w:t>
      </w:r>
      <w:r>
        <w:rPr>
          <w:spacing w:val="-3"/>
          <w:sz w:val="24"/>
        </w:rPr>
        <w:t>determined</w:t>
      </w:r>
      <w:r>
        <w:rPr>
          <w:spacing w:val="-6"/>
          <w:sz w:val="24"/>
        </w:rPr>
        <w:t> </w:t>
      </w:r>
      <w:r>
        <w:rPr>
          <w:sz w:val="24"/>
        </w:rPr>
        <w:t>by</w:t>
      </w:r>
      <w:r>
        <w:rPr>
          <w:spacing w:val="-6"/>
          <w:sz w:val="24"/>
        </w:rPr>
        <w:t> </w:t>
      </w:r>
      <w:r>
        <w:rPr>
          <w:spacing w:val="-3"/>
          <w:sz w:val="24"/>
        </w:rPr>
        <w:t>EOHHS,</w:t>
      </w:r>
      <w:r>
        <w:rPr>
          <w:spacing w:val="-6"/>
          <w:sz w:val="24"/>
        </w:rPr>
        <w:t> </w:t>
      </w:r>
      <w:r>
        <w:rPr>
          <w:spacing w:val="-3"/>
          <w:sz w:val="24"/>
        </w:rPr>
        <w:t>that</w:t>
      </w:r>
      <w:r>
        <w:rPr>
          <w:spacing w:val="-6"/>
          <w:sz w:val="24"/>
        </w:rPr>
        <w:t> </w:t>
      </w:r>
      <w:r>
        <w:rPr>
          <w:sz w:val="24"/>
        </w:rPr>
        <w:t>is</w:t>
      </w:r>
      <w:r>
        <w:rPr>
          <w:spacing w:val="-6"/>
          <w:sz w:val="24"/>
        </w:rPr>
        <w:t> </w:t>
      </w:r>
      <w:r>
        <w:rPr>
          <w:sz w:val="24"/>
        </w:rPr>
        <w:t>at</w:t>
      </w:r>
      <w:r>
        <w:rPr>
          <w:spacing w:val="-6"/>
          <w:sz w:val="24"/>
        </w:rPr>
        <w:t> </w:t>
      </w:r>
      <w:r>
        <w:rPr>
          <w:spacing w:val="-3"/>
          <w:sz w:val="24"/>
        </w:rPr>
        <w:t>least</w:t>
      </w:r>
      <w:r>
        <w:rPr>
          <w:spacing w:val="-6"/>
          <w:sz w:val="24"/>
        </w:rPr>
        <w:t> </w:t>
      </w:r>
      <w:r>
        <w:rPr>
          <w:sz w:val="24"/>
        </w:rPr>
        <w:t>15%</w:t>
      </w:r>
      <w:r>
        <w:rPr>
          <w:spacing w:val="-6"/>
          <w:sz w:val="24"/>
        </w:rPr>
        <w:t> </w:t>
      </w:r>
      <w:r>
        <w:rPr>
          <w:sz w:val="24"/>
        </w:rPr>
        <w:t>of</w:t>
      </w:r>
      <w:r>
        <w:rPr>
          <w:spacing w:val="-6"/>
          <w:sz w:val="24"/>
        </w:rPr>
        <w:t> </w:t>
      </w:r>
      <w:r>
        <w:rPr>
          <w:sz w:val="24"/>
        </w:rPr>
        <w:t>its</w:t>
      </w:r>
      <w:r>
        <w:rPr>
          <w:spacing w:val="-6"/>
          <w:sz w:val="24"/>
        </w:rPr>
        <w:t> </w:t>
      </w:r>
      <w:r>
        <w:rPr>
          <w:spacing w:val="-3"/>
          <w:sz w:val="24"/>
        </w:rPr>
        <w:t>total</w:t>
      </w:r>
      <w:r>
        <w:rPr>
          <w:spacing w:val="-6"/>
          <w:sz w:val="24"/>
        </w:rPr>
        <w:t> </w:t>
      </w:r>
      <w:r>
        <w:rPr>
          <w:spacing w:val="-3"/>
          <w:sz w:val="24"/>
        </w:rPr>
        <w:t>charges; and</w:t>
      </w:r>
    </w:p>
    <w:p>
      <w:pPr>
        <w:pStyle w:val="ListParagraph"/>
        <w:numPr>
          <w:ilvl w:val="2"/>
          <w:numId w:val="8"/>
        </w:numPr>
        <w:tabs>
          <w:tab w:pos="1012" w:val="left" w:leader="none"/>
        </w:tabs>
        <w:spacing w:line="242" w:lineRule="auto" w:before="124" w:after="0"/>
        <w:ind w:left="1012" w:right="367" w:hanging="360"/>
        <w:jc w:val="left"/>
        <w:rPr>
          <w:sz w:val="24"/>
        </w:rPr>
      </w:pPr>
      <w:r>
        <w:rPr>
          <w:sz w:val="24"/>
        </w:rPr>
        <w:t>be an </w:t>
      </w:r>
      <w:r>
        <w:rPr>
          <w:spacing w:val="-3"/>
          <w:sz w:val="24"/>
        </w:rPr>
        <w:t>essential safety-net provider </w:t>
      </w:r>
      <w:r>
        <w:rPr>
          <w:sz w:val="24"/>
        </w:rPr>
        <w:t>in its </w:t>
      </w:r>
      <w:r>
        <w:rPr>
          <w:spacing w:val="-3"/>
          <w:sz w:val="24"/>
        </w:rPr>
        <w:t>service area, </w:t>
      </w:r>
      <w:r>
        <w:rPr>
          <w:sz w:val="24"/>
        </w:rPr>
        <w:t>as </w:t>
      </w:r>
      <w:r>
        <w:rPr>
          <w:spacing w:val="-3"/>
          <w:sz w:val="24"/>
        </w:rPr>
        <w:t>demonstrated </w:t>
      </w:r>
      <w:r>
        <w:rPr>
          <w:sz w:val="24"/>
        </w:rPr>
        <w:t>by </w:t>
      </w:r>
      <w:r>
        <w:rPr>
          <w:spacing w:val="-3"/>
          <w:sz w:val="24"/>
        </w:rPr>
        <w:t>delivery of services </w:t>
      </w:r>
      <w:r>
        <w:rPr>
          <w:sz w:val="24"/>
        </w:rPr>
        <w:t>to </w:t>
      </w:r>
      <w:r>
        <w:rPr>
          <w:spacing w:val="-3"/>
          <w:sz w:val="24"/>
        </w:rPr>
        <w:t>populations with special needs including persons with AIDS, trauma </w:t>
      </w:r>
      <w:r>
        <w:rPr>
          <w:spacing w:val="-4"/>
          <w:sz w:val="24"/>
        </w:rPr>
        <w:t>victims, </w:t>
      </w:r>
      <w:r>
        <w:rPr>
          <w:spacing w:val="-3"/>
          <w:sz w:val="24"/>
        </w:rPr>
        <w:t>high-risk neonates, </w:t>
      </w:r>
      <w:r>
        <w:rPr>
          <w:sz w:val="24"/>
        </w:rPr>
        <w:t>and </w:t>
      </w:r>
      <w:r>
        <w:rPr>
          <w:spacing w:val="-3"/>
          <w:sz w:val="24"/>
        </w:rPr>
        <w:t>indigent patients without access </w:t>
      </w:r>
      <w:r>
        <w:rPr>
          <w:sz w:val="24"/>
        </w:rPr>
        <w:t>to </w:t>
      </w:r>
      <w:r>
        <w:rPr>
          <w:spacing w:val="-3"/>
          <w:sz w:val="24"/>
        </w:rPr>
        <w:t>other</w:t>
      </w:r>
      <w:r>
        <w:rPr>
          <w:spacing w:val="-15"/>
          <w:sz w:val="24"/>
        </w:rPr>
        <w:t> </w:t>
      </w:r>
      <w:r>
        <w:rPr>
          <w:spacing w:val="-3"/>
          <w:sz w:val="24"/>
        </w:rPr>
        <w:t>providers.</w:t>
      </w:r>
    </w:p>
    <w:p>
      <w:pPr>
        <w:pStyle w:val="BodyText"/>
        <w:spacing w:before="4"/>
      </w:pPr>
    </w:p>
    <w:p>
      <w:pPr>
        <w:pStyle w:val="BodyText"/>
        <w:spacing w:line="242" w:lineRule="auto"/>
        <w:ind w:left="652" w:right="328"/>
      </w:pPr>
      <w:r>
        <w:rPr/>
        <w:t>The </w:t>
      </w:r>
      <w:r>
        <w:rPr>
          <w:spacing w:val="-3"/>
        </w:rPr>
        <w:t>payment amount will </w:t>
      </w:r>
      <w:r>
        <w:rPr/>
        <w:t>be (i) </w:t>
      </w:r>
      <w:r>
        <w:rPr>
          <w:spacing w:val="-3"/>
        </w:rPr>
        <w:t>determined </w:t>
      </w:r>
      <w:r>
        <w:rPr/>
        <w:t>by </w:t>
      </w:r>
      <w:r>
        <w:rPr>
          <w:spacing w:val="-3"/>
        </w:rPr>
        <w:t>EOHHS using data filed </w:t>
      </w:r>
      <w:r>
        <w:rPr/>
        <w:t>by </w:t>
      </w:r>
      <w:r>
        <w:rPr>
          <w:spacing w:val="-3"/>
        </w:rPr>
        <w:t>each qualifying Hospital </w:t>
      </w:r>
      <w:r>
        <w:rPr/>
        <w:t>in </w:t>
      </w:r>
      <w:r>
        <w:rPr>
          <w:spacing w:val="-3"/>
        </w:rPr>
        <w:t>financial reports required </w:t>
      </w:r>
      <w:r>
        <w:rPr/>
        <w:t>by </w:t>
      </w:r>
      <w:r>
        <w:rPr>
          <w:spacing w:val="-3"/>
        </w:rPr>
        <w:t>EOHHS, </w:t>
      </w:r>
      <w:r>
        <w:rPr/>
        <w:t>and </w:t>
      </w:r>
      <w:r>
        <w:rPr>
          <w:spacing w:val="-3"/>
        </w:rPr>
        <w:t>(ii) specified </w:t>
      </w:r>
      <w:r>
        <w:rPr/>
        <w:t>in an </w:t>
      </w:r>
      <w:r>
        <w:rPr>
          <w:spacing w:val="-3"/>
        </w:rPr>
        <w:t>agreement between EOHHS </w:t>
      </w:r>
      <w:r>
        <w:rPr/>
        <w:t>and the </w:t>
      </w:r>
      <w:r>
        <w:rPr>
          <w:spacing w:val="-3"/>
        </w:rPr>
        <w:t>qualifying Hospital.</w:t>
      </w:r>
    </w:p>
    <w:p>
      <w:pPr>
        <w:pStyle w:val="BodyText"/>
        <w:spacing w:before="4"/>
      </w:pPr>
    </w:p>
    <w:p>
      <w:pPr>
        <w:pStyle w:val="BodyText"/>
        <w:spacing w:line="242" w:lineRule="auto"/>
        <w:ind w:left="652" w:right="151"/>
      </w:pPr>
      <w:r>
        <w:rPr>
          <w:spacing w:val="-3"/>
        </w:rPr>
        <w:t>EOHHS reserves </w:t>
      </w:r>
      <w:r>
        <w:rPr/>
        <w:t>the </w:t>
      </w:r>
      <w:r>
        <w:rPr>
          <w:spacing w:val="-3"/>
        </w:rPr>
        <w:t>right </w:t>
      </w:r>
      <w:r>
        <w:rPr/>
        <w:t>to </w:t>
      </w:r>
      <w:r>
        <w:rPr>
          <w:spacing w:val="-3"/>
        </w:rPr>
        <w:t>make SNCP payments </w:t>
      </w:r>
      <w:r>
        <w:rPr/>
        <w:t>to </w:t>
      </w:r>
      <w:r>
        <w:rPr>
          <w:spacing w:val="-3"/>
        </w:rPr>
        <w:t>Public Service Hospitals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w:t>
      </w:r>
      <w:r>
        <w:rPr/>
        <w:t>as </w:t>
      </w:r>
      <w:r>
        <w:rPr>
          <w:spacing w:val="-3"/>
        </w:rPr>
        <w:t>may </w:t>
      </w:r>
      <w:r>
        <w:rPr/>
        <w:t>be </w:t>
      </w:r>
      <w:r>
        <w:rPr>
          <w:spacing w:val="-3"/>
        </w:rPr>
        <w:t>approved by CMS.</w:t>
      </w:r>
    </w:p>
    <w:p>
      <w:pPr>
        <w:pStyle w:val="BodyText"/>
        <w:spacing w:before="4"/>
      </w:pPr>
    </w:p>
    <w:p>
      <w:pPr>
        <w:pStyle w:val="BodyText"/>
        <w:spacing w:line="242" w:lineRule="auto"/>
        <w:ind w:left="652" w:right="236"/>
      </w:pPr>
      <w:r>
        <w:rPr>
          <w:spacing w:val="-3"/>
        </w:rPr>
        <w:t>Acute Hospitals that receive SNCP </w:t>
      </w:r>
      <w:r>
        <w:rPr/>
        <w:t>as </w:t>
      </w:r>
      <w:r>
        <w:rPr>
          <w:spacing w:val="-3"/>
        </w:rPr>
        <w:t>Public Service Hospitals shall </w:t>
      </w:r>
      <w:r>
        <w:rPr/>
        <w:t>be </w:t>
      </w:r>
      <w:r>
        <w:rPr>
          <w:spacing w:val="-3"/>
        </w:rPr>
        <w:t>determined by EOHHS.</w:t>
      </w:r>
    </w:p>
    <w:p>
      <w:pPr>
        <w:pStyle w:val="BodyText"/>
        <w:spacing w:before="7"/>
      </w:pPr>
    </w:p>
    <w:p>
      <w:pPr>
        <w:pStyle w:val="Heading3"/>
        <w:numPr>
          <w:ilvl w:val="1"/>
          <w:numId w:val="8"/>
        </w:numPr>
        <w:tabs>
          <w:tab w:pos="652" w:val="left" w:leader="none"/>
          <w:tab w:pos="653" w:val="left" w:leader="none"/>
        </w:tabs>
        <w:spacing w:line="240" w:lineRule="auto" w:before="1" w:after="0"/>
        <w:ind w:left="652" w:right="0" w:hanging="533"/>
        <w:jc w:val="left"/>
      </w:pPr>
      <w:r>
        <w:rPr>
          <w:spacing w:val="-3"/>
        </w:rPr>
        <w:t>Health Safety </w:t>
      </w:r>
      <w:r>
        <w:rPr/>
        <w:t>Net </w:t>
      </w:r>
      <w:r>
        <w:rPr>
          <w:spacing w:val="-3"/>
        </w:rPr>
        <w:t>Trust Fund Safety </w:t>
      </w:r>
      <w:r>
        <w:rPr/>
        <w:t>Net </w:t>
      </w:r>
      <w:r>
        <w:rPr>
          <w:spacing w:val="-3"/>
        </w:rPr>
        <w:t>Care</w:t>
      </w:r>
      <w:r>
        <w:rPr>
          <w:spacing w:val="-19"/>
        </w:rPr>
        <w:t> </w:t>
      </w:r>
      <w:r>
        <w:rPr>
          <w:spacing w:val="-3"/>
        </w:rPr>
        <w:t>Payment</w:t>
      </w:r>
    </w:p>
    <w:p>
      <w:pPr>
        <w:pStyle w:val="BodyText"/>
        <w:spacing w:before="5"/>
        <w:rPr>
          <w:b/>
        </w:rPr>
      </w:pPr>
    </w:p>
    <w:p>
      <w:pPr>
        <w:pStyle w:val="BodyText"/>
        <w:spacing w:line="242" w:lineRule="auto"/>
        <w:ind w:left="652" w:right="127"/>
      </w:pPr>
      <w:r>
        <w:rPr/>
        <w:t>The </w:t>
      </w:r>
      <w:r>
        <w:rPr>
          <w:spacing w:val="-3"/>
        </w:rPr>
        <w:t>eligibility criteria </w:t>
      </w:r>
      <w:r>
        <w:rPr/>
        <w:t>and </w:t>
      </w:r>
      <w:r>
        <w:rPr>
          <w:spacing w:val="-3"/>
        </w:rPr>
        <w:t>payment method </w:t>
      </w:r>
      <w:r>
        <w:rPr/>
        <w:t>for </w:t>
      </w:r>
      <w:r>
        <w:rPr>
          <w:spacing w:val="-3"/>
        </w:rPr>
        <w:t>this payment classification </w:t>
      </w:r>
      <w:r>
        <w:rPr/>
        <w:t>are </w:t>
      </w:r>
      <w:r>
        <w:rPr>
          <w:spacing w:val="-3"/>
        </w:rPr>
        <w:t>specified in regulations </w:t>
      </w:r>
      <w:r>
        <w:rPr/>
        <w:t>at </w:t>
      </w:r>
      <w:r>
        <w:rPr>
          <w:spacing w:val="-3"/>
        </w:rPr>
        <w:t>114.6 </w:t>
      </w:r>
      <w:r>
        <w:rPr/>
        <w:t>CMR </w:t>
      </w:r>
      <w:r>
        <w:rPr>
          <w:spacing w:val="-3"/>
        </w:rPr>
        <w:t>14.00, </w:t>
      </w:r>
      <w:r>
        <w:rPr/>
        <w:t>or </w:t>
      </w:r>
      <w:r>
        <w:rPr>
          <w:spacing w:val="-3"/>
        </w:rPr>
        <w:t>successor regulations, </w:t>
      </w:r>
      <w:r>
        <w:rPr/>
        <w:t>and the </w:t>
      </w:r>
      <w:r>
        <w:rPr>
          <w:spacing w:val="-3"/>
        </w:rPr>
        <w:t>Special Terms and Conditions </w:t>
      </w:r>
      <w:r>
        <w:rPr/>
        <w:t>of the </w:t>
      </w:r>
      <w:r>
        <w:rPr>
          <w:spacing w:val="-4"/>
        </w:rPr>
        <w:t>Commonwealth’s </w:t>
      </w:r>
      <w:r>
        <w:rPr>
          <w:spacing w:val="-3"/>
        </w:rPr>
        <w:t>1115 waiver governing Safety </w:t>
      </w:r>
      <w:r>
        <w:rPr/>
        <w:t>Net </w:t>
      </w:r>
      <w:r>
        <w:rPr>
          <w:spacing w:val="-3"/>
        </w:rPr>
        <w:t>Care. </w:t>
      </w:r>
      <w:r>
        <w:rPr>
          <w:spacing w:val="-4"/>
        </w:rPr>
        <w:t>Eligible </w:t>
      </w:r>
      <w:r>
        <w:rPr>
          <w:spacing w:val="-5"/>
        </w:rPr>
        <w:t>Hospitals </w:t>
      </w:r>
      <w:r>
        <w:rPr>
          <w:spacing w:val="-3"/>
        </w:rPr>
        <w:t>will </w:t>
      </w:r>
      <w:r>
        <w:rPr>
          <w:spacing w:val="-4"/>
        </w:rPr>
        <w:t>receive these payments </w:t>
      </w:r>
      <w:r>
        <w:rPr/>
        <w:t>on a </w:t>
      </w:r>
      <w:r>
        <w:rPr>
          <w:spacing w:val="-4"/>
        </w:rPr>
        <w:t>periodic basis during </w:t>
      </w:r>
      <w:r>
        <w:rPr>
          <w:spacing w:val="-3"/>
        </w:rPr>
        <w:t>the term </w:t>
      </w:r>
      <w:r>
        <w:rPr/>
        <w:t>of </w:t>
      </w:r>
      <w:r>
        <w:rPr>
          <w:spacing w:val="-4"/>
        </w:rPr>
        <w:t>their </w:t>
      </w:r>
      <w:r>
        <w:rPr>
          <w:spacing w:val="-3"/>
        </w:rPr>
        <w:t>RY14 </w:t>
      </w:r>
      <w:r>
        <w:rPr>
          <w:spacing w:val="-4"/>
        </w:rPr>
        <w:t>Hospital  Contract.</w:t>
      </w:r>
    </w:p>
    <w:p>
      <w:pPr>
        <w:spacing w:after="0" w:line="242" w:lineRule="auto"/>
        <w:sectPr>
          <w:pgSz w:w="12240" w:h="15840"/>
          <w:pgMar w:header="0" w:footer="744" w:top="1380" w:bottom="940" w:left="1580" w:right="980"/>
        </w:sectPr>
      </w:pPr>
    </w:p>
    <w:p>
      <w:pPr>
        <w:pStyle w:val="Heading2"/>
        <w:numPr>
          <w:ilvl w:val="0"/>
          <w:numId w:val="8"/>
        </w:numPr>
        <w:tabs>
          <w:tab w:pos="660" w:val="left" w:leader="none"/>
          <w:tab w:pos="661" w:val="left" w:leader="none"/>
        </w:tabs>
        <w:spacing w:line="240" w:lineRule="auto" w:before="66" w:after="0"/>
        <w:ind w:left="660" w:right="0" w:hanging="548"/>
        <w:jc w:val="left"/>
      </w:pPr>
      <w:r>
        <w:rPr>
          <w:spacing w:val="-3"/>
        </w:rPr>
        <w:t>Federal Financial Participation</w:t>
      </w:r>
      <w:r>
        <w:rPr>
          <w:spacing w:val="-10"/>
        </w:rPr>
        <w:t> </w:t>
      </w:r>
      <w:r>
        <w:rPr>
          <w:spacing w:val="-3"/>
        </w:rPr>
        <w:t>(FFP)</w:t>
      </w:r>
    </w:p>
    <w:p>
      <w:pPr>
        <w:pStyle w:val="BodyText"/>
        <w:spacing w:before="10"/>
        <w:rPr>
          <w:b/>
          <w:sz w:val="28"/>
        </w:rPr>
      </w:pPr>
    </w:p>
    <w:p>
      <w:pPr>
        <w:pStyle w:val="Heading3"/>
        <w:numPr>
          <w:ilvl w:val="1"/>
          <w:numId w:val="8"/>
        </w:numPr>
        <w:tabs>
          <w:tab w:pos="1206" w:val="left" w:leader="none"/>
          <w:tab w:pos="1207" w:val="left" w:leader="none"/>
        </w:tabs>
        <w:spacing w:line="240" w:lineRule="auto" w:before="0" w:after="0"/>
        <w:ind w:left="1206" w:right="0" w:hanging="547"/>
        <w:jc w:val="left"/>
      </w:pPr>
      <w:r>
        <w:rPr/>
        <w:t>FFP</w:t>
      </w:r>
      <w:r>
        <w:rPr>
          <w:spacing w:val="-12"/>
        </w:rPr>
        <w:t> </w:t>
      </w:r>
      <w:r>
        <w:rPr>
          <w:spacing w:val="-3"/>
        </w:rPr>
        <w:t>Denials</w:t>
      </w:r>
    </w:p>
    <w:p>
      <w:pPr>
        <w:pStyle w:val="BodyText"/>
        <w:spacing w:before="6"/>
        <w:rPr>
          <w:b/>
        </w:rPr>
      </w:pPr>
    </w:p>
    <w:p>
      <w:pPr>
        <w:pStyle w:val="BodyText"/>
        <w:spacing w:line="242" w:lineRule="auto"/>
        <w:ind w:left="1191" w:right="70"/>
      </w:pPr>
      <w:r>
        <w:rPr/>
        <w:t>If any </w:t>
      </w:r>
      <w:r>
        <w:rPr>
          <w:spacing w:val="-3"/>
        </w:rPr>
        <w:t>portion </w:t>
      </w:r>
      <w:r>
        <w:rPr/>
        <w:t>of the RFA </w:t>
      </w:r>
      <w:r>
        <w:rPr>
          <w:spacing w:val="-3"/>
        </w:rPr>
        <w:t>payment methodology </w:t>
      </w:r>
      <w:r>
        <w:rPr/>
        <w:t>or any </w:t>
      </w:r>
      <w:r>
        <w:rPr>
          <w:spacing w:val="-3"/>
        </w:rPr>
        <w:t>amount paid pursuant </w:t>
      </w:r>
      <w:r>
        <w:rPr/>
        <w:t>to </w:t>
      </w:r>
      <w:r>
        <w:rPr>
          <w:spacing w:val="-3"/>
        </w:rPr>
        <w:t>this </w:t>
      </w:r>
      <w:r>
        <w:rPr/>
        <w:t>RFA </w:t>
      </w:r>
      <w:r>
        <w:rPr>
          <w:spacing w:val="-3"/>
        </w:rPr>
        <w:t>is </w:t>
      </w:r>
      <w:r>
        <w:rPr/>
        <w:t>not </w:t>
      </w:r>
      <w:r>
        <w:rPr>
          <w:spacing w:val="-3"/>
        </w:rPr>
        <w:t>approved </w:t>
      </w:r>
      <w:r>
        <w:rPr/>
        <w:t>or is the </w:t>
      </w:r>
      <w:r>
        <w:rPr>
          <w:spacing w:val="-3"/>
        </w:rPr>
        <w:t>basis </w:t>
      </w:r>
      <w:r>
        <w:rPr/>
        <w:t>of a </w:t>
      </w:r>
      <w:r>
        <w:rPr>
          <w:spacing w:val="-3"/>
        </w:rPr>
        <w:t>disallowance </w:t>
      </w:r>
      <w:r>
        <w:rPr/>
        <w:t>by </w:t>
      </w:r>
      <w:r>
        <w:rPr>
          <w:spacing w:val="-3"/>
        </w:rPr>
        <w:t>CMS, such payments made </w:t>
      </w:r>
      <w:r>
        <w:rPr/>
        <w:t>to the </w:t>
      </w:r>
      <w:r>
        <w:rPr>
          <w:spacing w:val="-3"/>
        </w:rPr>
        <w:t>Hospital by EOHHS </w:t>
      </w:r>
      <w:r>
        <w:rPr/>
        <w:t>in </w:t>
      </w:r>
      <w:r>
        <w:rPr>
          <w:spacing w:val="-3"/>
        </w:rPr>
        <w:t>excess </w:t>
      </w:r>
      <w:r>
        <w:rPr/>
        <w:t>of the </w:t>
      </w:r>
      <w:r>
        <w:rPr>
          <w:spacing w:val="-3"/>
        </w:rPr>
        <w:t>federally approved methodology </w:t>
      </w:r>
      <w:r>
        <w:rPr/>
        <w:t>or </w:t>
      </w:r>
      <w:r>
        <w:rPr>
          <w:spacing w:val="-3"/>
        </w:rPr>
        <w:t>amounts will </w:t>
      </w:r>
      <w:r>
        <w:rPr/>
        <w:t>be </w:t>
      </w:r>
      <w:r>
        <w:rPr>
          <w:spacing w:val="-3"/>
        </w:rPr>
        <w:t>deemed an overpayment </w:t>
      </w:r>
      <w:r>
        <w:rPr/>
        <w:t>and </w:t>
      </w:r>
      <w:r>
        <w:rPr>
          <w:spacing w:val="-3"/>
        </w:rPr>
        <w:t>EOHHS may recoup, </w:t>
      </w:r>
      <w:r>
        <w:rPr/>
        <w:t>or </w:t>
      </w:r>
      <w:r>
        <w:rPr>
          <w:spacing w:val="-3"/>
        </w:rPr>
        <w:t>offset such overpayments against future </w:t>
      </w:r>
      <w:r>
        <w:rPr>
          <w:spacing w:val="-4"/>
        </w:rPr>
        <w:t>payments.</w:t>
      </w:r>
    </w:p>
    <w:p>
      <w:pPr>
        <w:pStyle w:val="BodyText"/>
        <w:spacing w:before="8"/>
      </w:pPr>
    </w:p>
    <w:p>
      <w:pPr>
        <w:pStyle w:val="Heading3"/>
        <w:numPr>
          <w:ilvl w:val="1"/>
          <w:numId w:val="8"/>
        </w:numPr>
        <w:tabs>
          <w:tab w:pos="1206" w:val="left" w:leader="none"/>
          <w:tab w:pos="1207" w:val="left" w:leader="none"/>
        </w:tabs>
        <w:spacing w:line="240" w:lineRule="auto" w:before="0" w:after="0"/>
        <w:ind w:left="1206" w:right="0" w:hanging="547"/>
        <w:jc w:val="left"/>
      </w:pPr>
      <w:r>
        <w:rPr>
          <w:spacing w:val="-3"/>
        </w:rPr>
        <w:t>Exceeding</w:t>
      </w:r>
      <w:r>
        <w:rPr>
          <w:spacing w:val="-2"/>
        </w:rPr>
        <w:t> </w:t>
      </w:r>
      <w:r>
        <w:rPr>
          <w:spacing w:val="-3"/>
        </w:rPr>
        <w:t>Limits</w:t>
      </w:r>
    </w:p>
    <w:p>
      <w:pPr>
        <w:pStyle w:val="BodyText"/>
        <w:spacing w:before="9"/>
        <w:rPr>
          <w:b/>
        </w:rPr>
      </w:pPr>
    </w:p>
    <w:p>
      <w:pPr>
        <w:pStyle w:val="ListParagraph"/>
        <w:numPr>
          <w:ilvl w:val="2"/>
          <w:numId w:val="8"/>
        </w:numPr>
        <w:tabs>
          <w:tab w:pos="1753" w:val="left" w:leader="none"/>
          <w:tab w:pos="1755" w:val="left" w:leader="none"/>
        </w:tabs>
        <w:spacing w:line="240" w:lineRule="auto" w:before="0" w:after="0"/>
        <w:ind w:left="1754" w:right="0" w:hanging="548"/>
        <w:jc w:val="left"/>
        <w:rPr>
          <w:b/>
          <w:sz w:val="24"/>
        </w:rPr>
      </w:pPr>
      <w:r>
        <w:rPr>
          <w:b/>
          <w:spacing w:val="-3"/>
          <w:sz w:val="24"/>
        </w:rPr>
        <w:t>Hospital-Specific</w:t>
      </w:r>
      <w:r>
        <w:rPr>
          <w:b/>
          <w:spacing w:val="-2"/>
          <w:sz w:val="24"/>
        </w:rPr>
        <w:t> </w:t>
      </w:r>
      <w:r>
        <w:rPr>
          <w:b/>
          <w:spacing w:val="-3"/>
          <w:sz w:val="24"/>
        </w:rPr>
        <w:t>Limits</w:t>
      </w:r>
    </w:p>
    <w:p>
      <w:pPr>
        <w:pStyle w:val="BodyText"/>
        <w:spacing w:before="5"/>
        <w:rPr>
          <w:b/>
        </w:rPr>
      </w:pPr>
    </w:p>
    <w:p>
      <w:pPr>
        <w:pStyle w:val="BodyText"/>
        <w:spacing w:line="242" w:lineRule="auto"/>
        <w:ind w:left="1732" w:right="179"/>
      </w:pPr>
      <w:r>
        <w:rPr/>
        <w:t>If any </w:t>
      </w:r>
      <w:r>
        <w:rPr>
          <w:spacing w:val="-3"/>
        </w:rPr>
        <w:t>payments made pursuant </w:t>
      </w:r>
      <w:r>
        <w:rPr/>
        <w:t>to </w:t>
      </w:r>
      <w:r>
        <w:rPr>
          <w:spacing w:val="-3"/>
        </w:rPr>
        <w:t>this </w:t>
      </w:r>
      <w:r>
        <w:rPr/>
        <w:t>RFA </w:t>
      </w:r>
      <w:r>
        <w:rPr>
          <w:spacing w:val="-3"/>
        </w:rPr>
        <w:t>exceed </w:t>
      </w:r>
      <w:r>
        <w:rPr/>
        <w:t>any </w:t>
      </w:r>
      <w:r>
        <w:rPr>
          <w:spacing w:val="-3"/>
        </w:rPr>
        <w:t>applicable federal Hospital- specific payment limits, including, </w:t>
      </w:r>
      <w:r>
        <w:rPr/>
        <w:t>but not </w:t>
      </w:r>
      <w:r>
        <w:rPr>
          <w:spacing w:val="-3"/>
        </w:rPr>
        <w:t>limited </w:t>
      </w:r>
      <w:r>
        <w:rPr/>
        <w:t>to, </w:t>
      </w:r>
      <w:r>
        <w:rPr>
          <w:spacing w:val="-3"/>
        </w:rPr>
        <w:t>charge limits, upper </w:t>
      </w:r>
      <w:r>
        <w:rPr>
          <w:spacing w:val="-4"/>
        </w:rPr>
        <w:t>payment </w:t>
      </w:r>
      <w:r>
        <w:rPr>
          <w:spacing w:val="-3"/>
        </w:rPr>
        <w:t>limits, </w:t>
      </w:r>
      <w:r>
        <w:rPr/>
        <w:t>and </w:t>
      </w:r>
      <w:r>
        <w:rPr>
          <w:spacing w:val="-3"/>
        </w:rPr>
        <w:t>limits based </w:t>
      </w:r>
      <w:r>
        <w:rPr/>
        <w:t>on </w:t>
      </w:r>
      <w:r>
        <w:rPr>
          <w:spacing w:val="-3"/>
        </w:rPr>
        <w:t>federally approved payment methods, such amounts will be deemed </w:t>
      </w:r>
      <w:r>
        <w:rPr/>
        <w:t>an </w:t>
      </w:r>
      <w:r>
        <w:rPr>
          <w:spacing w:val="-3"/>
        </w:rPr>
        <w:t>overpayment </w:t>
      </w:r>
      <w:r>
        <w:rPr/>
        <w:t>and </w:t>
      </w:r>
      <w:r>
        <w:rPr>
          <w:spacing w:val="-3"/>
        </w:rPr>
        <w:t>EOHHS may recoup, </w:t>
      </w:r>
      <w:r>
        <w:rPr/>
        <w:t>or </w:t>
      </w:r>
      <w:r>
        <w:rPr>
          <w:spacing w:val="-3"/>
        </w:rPr>
        <w:t>offset against future payments, any such</w:t>
      </w:r>
      <w:r>
        <w:rPr>
          <w:spacing w:val="8"/>
        </w:rPr>
        <w:t> </w:t>
      </w:r>
      <w:r>
        <w:rPr>
          <w:spacing w:val="-4"/>
        </w:rPr>
        <w:t>overpayments.</w:t>
      </w:r>
    </w:p>
    <w:p>
      <w:pPr>
        <w:pStyle w:val="BodyText"/>
        <w:spacing w:before="7"/>
      </w:pPr>
    </w:p>
    <w:p>
      <w:pPr>
        <w:pStyle w:val="Heading3"/>
        <w:numPr>
          <w:ilvl w:val="2"/>
          <w:numId w:val="8"/>
        </w:numPr>
        <w:tabs>
          <w:tab w:pos="1754" w:val="left" w:leader="none"/>
          <w:tab w:pos="1755" w:val="left" w:leader="none"/>
        </w:tabs>
        <w:spacing w:line="240" w:lineRule="auto" w:before="0" w:after="0"/>
        <w:ind w:left="1754" w:right="0" w:hanging="548"/>
        <w:jc w:val="left"/>
      </w:pPr>
      <w:r>
        <w:rPr>
          <w:spacing w:val="-3"/>
        </w:rPr>
        <w:t>Aggregate</w:t>
      </w:r>
      <w:r>
        <w:rPr>
          <w:spacing w:val="-2"/>
        </w:rPr>
        <w:t> </w:t>
      </w:r>
      <w:r>
        <w:rPr>
          <w:spacing w:val="-3"/>
        </w:rPr>
        <w:t>Limits</w:t>
      </w:r>
    </w:p>
    <w:p>
      <w:pPr>
        <w:pStyle w:val="BodyText"/>
        <w:spacing w:before="7"/>
        <w:rPr>
          <w:b/>
          <w:sz w:val="16"/>
        </w:rPr>
      </w:pPr>
    </w:p>
    <w:p>
      <w:pPr>
        <w:spacing w:after="0"/>
        <w:rPr>
          <w:sz w:val="16"/>
        </w:rPr>
        <w:sectPr>
          <w:footerReference w:type="default" r:id="rId19"/>
          <w:pgSz w:w="12240" w:h="15840"/>
          <w:pgMar w:footer="744" w:header="0" w:top="1380" w:bottom="940" w:left="1040" w:right="940"/>
        </w:sect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6"/>
        <w:rPr>
          <w:b/>
          <w:sz w:val="28"/>
        </w:rPr>
      </w:pPr>
    </w:p>
    <w:p>
      <w:pPr>
        <w:pStyle w:val="ListParagraph"/>
        <w:numPr>
          <w:ilvl w:val="0"/>
          <w:numId w:val="8"/>
        </w:numPr>
        <w:tabs>
          <w:tab w:pos="660" w:val="left" w:leader="none"/>
          <w:tab w:pos="661" w:val="left" w:leader="none"/>
        </w:tabs>
        <w:spacing w:line="240" w:lineRule="auto" w:before="0" w:after="0"/>
        <w:ind w:left="660" w:right="0" w:hanging="548"/>
        <w:jc w:val="left"/>
        <w:rPr>
          <w:b/>
          <w:sz w:val="28"/>
        </w:rPr>
      </w:pPr>
      <w:r>
        <w:rPr>
          <w:b/>
          <w:spacing w:val="-3"/>
          <w:sz w:val="28"/>
        </w:rPr>
        <w:t>Billing</w:t>
      </w:r>
    </w:p>
    <w:p>
      <w:pPr>
        <w:pStyle w:val="BodyText"/>
        <w:spacing w:line="242" w:lineRule="auto" w:before="90"/>
        <w:ind w:left="111" w:right="148"/>
      </w:pPr>
      <w:r>
        <w:rPr/>
        <w:br w:type="column"/>
      </w:r>
      <w:r>
        <w:rPr/>
        <w:t>If any </w:t>
      </w:r>
      <w:r>
        <w:rPr>
          <w:spacing w:val="-3"/>
        </w:rPr>
        <w:t>payments made pursuant </w:t>
      </w:r>
      <w:r>
        <w:rPr/>
        <w:t>to </w:t>
      </w:r>
      <w:r>
        <w:rPr>
          <w:spacing w:val="-3"/>
        </w:rPr>
        <w:t>this </w:t>
      </w:r>
      <w:r>
        <w:rPr/>
        <w:t>RFA </w:t>
      </w:r>
      <w:r>
        <w:rPr>
          <w:spacing w:val="-3"/>
        </w:rPr>
        <w:t>exceed applicable federal aggregate </w:t>
      </w:r>
      <w:r>
        <w:rPr>
          <w:spacing w:val="-4"/>
        </w:rPr>
        <w:t>payment </w:t>
      </w:r>
      <w:r>
        <w:rPr>
          <w:spacing w:val="-3"/>
        </w:rPr>
        <w:t>limits, including, </w:t>
      </w:r>
      <w:r>
        <w:rPr/>
        <w:t>but not </w:t>
      </w:r>
      <w:r>
        <w:rPr>
          <w:spacing w:val="-3"/>
        </w:rPr>
        <w:t>limited </w:t>
      </w:r>
      <w:r>
        <w:rPr/>
        <w:t>to, </w:t>
      </w:r>
      <w:r>
        <w:rPr>
          <w:spacing w:val="-3"/>
        </w:rPr>
        <w:t>upper payment limits provided </w:t>
      </w:r>
      <w:r>
        <w:rPr/>
        <w:t>for in </w:t>
      </w:r>
      <w:r>
        <w:rPr>
          <w:spacing w:val="-3"/>
        </w:rPr>
        <w:t>federal law, regulations, </w:t>
      </w:r>
      <w:r>
        <w:rPr/>
        <w:t>and the </w:t>
      </w:r>
      <w:r>
        <w:rPr>
          <w:spacing w:val="-4"/>
        </w:rPr>
        <w:t>Commonwealth’s </w:t>
      </w:r>
      <w:r>
        <w:rPr>
          <w:spacing w:val="-3"/>
        </w:rPr>
        <w:t>1115 waiver, EOHHS may exercise </w:t>
      </w:r>
      <w:r>
        <w:rPr/>
        <w:t>its </w:t>
      </w:r>
      <w:r>
        <w:rPr>
          <w:spacing w:val="-3"/>
        </w:rPr>
        <w:t>discretion </w:t>
      </w:r>
      <w:r>
        <w:rPr/>
        <w:t>to </w:t>
      </w:r>
      <w:r>
        <w:rPr>
          <w:spacing w:val="-3"/>
        </w:rPr>
        <w:t>apportion disallowed amounts among </w:t>
      </w:r>
      <w:r>
        <w:rPr/>
        <w:t>the </w:t>
      </w:r>
      <w:r>
        <w:rPr>
          <w:spacing w:val="-3"/>
        </w:rPr>
        <w:t>affected Hospitals </w:t>
      </w:r>
      <w:r>
        <w:rPr/>
        <w:t>and to </w:t>
      </w:r>
      <w:r>
        <w:rPr>
          <w:spacing w:val="-3"/>
        </w:rPr>
        <w:t>recoup from, or offset against future payments </w:t>
      </w:r>
      <w:r>
        <w:rPr/>
        <w:t>to </w:t>
      </w:r>
      <w:r>
        <w:rPr>
          <w:spacing w:val="-3"/>
        </w:rPr>
        <w:t>such Hospitals, </w:t>
      </w:r>
      <w:r>
        <w:rPr/>
        <w:t>or to </w:t>
      </w:r>
      <w:r>
        <w:rPr>
          <w:spacing w:val="-3"/>
        </w:rPr>
        <w:t>otherwise restructure payments in accordance with approved payment </w:t>
      </w:r>
      <w:r>
        <w:rPr>
          <w:spacing w:val="-4"/>
        </w:rPr>
        <w:t>methods.</w:t>
      </w:r>
    </w:p>
    <w:p>
      <w:pPr>
        <w:spacing w:after="0" w:line="242" w:lineRule="auto"/>
        <w:sectPr>
          <w:type w:val="continuous"/>
          <w:pgSz w:w="12240" w:h="15840"/>
          <w:pgMar w:top="1380" w:bottom="940" w:left="1040" w:right="940"/>
          <w:cols w:num="2" w:equalWidth="0">
            <w:col w:w="1438" w:space="182"/>
            <w:col w:w="8640"/>
          </w:cols>
        </w:sectPr>
      </w:pPr>
    </w:p>
    <w:p>
      <w:pPr>
        <w:pStyle w:val="BodyText"/>
        <w:spacing w:before="8"/>
        <w:rPr>
          <w:sz w:val="20"/>
        </w:rPr>
      </w:pPr>
    </w:p>
    <w:p>
      <w:pPr>
        <w:pStyle w:val="BodyText"/>
        <w:spacing w:line="242" w:lineRule="auto" w:before="90"/>
        <w:ind w:left="651" w:right="149"/>
      </w:pPr>
      <w:r>
        <w:rPr>
          <w:spacing w:val="-3"/>
        </w:rPr>
        <w:t>The </w:t>
      </w:r>
      <w:r>
        <w:rPr>
          <w:spacing w:val="-4"/>
        </w:rPr>
        <w:t>Contractor shall </w:t>
      </w:r>
      <w:r>
        <w:rPr>
          <w:spacing w:val="-3"/>
        </w:rPr>
        <w:t>bill for all </w:t>
      </w:r>
      <w:r>
        <w:rPr>
          <w:spacing w:val="-4"/>
        </w:rPr>
        <w:t>non-professional services through </w:t>
      </w:r>
      <w:r>
        <w:rPr/>
        <w:t>an </w:t>
      </w:r>
      <w:r>
        <w:rPr>
          <w:spacing w:val="-3"/>
        </w:rPr>
        <w:t>837I </w:t>
      </w:r>
      <w:r>
        <w:rPr/>
        <w:t>or on </w:t>
      </w:r>
      <w:r>
        <w:rPr>
          <w:spacing w:val="-3"/>
        </w:rPr>
        <w:t>the UB04 form </w:t>
      </w:r>
      <w:r>
        <w:rPr>
          <w:spacing w:val="-4"/>
        </w:rPr>
        <w:t>and </w:t>
      </w:r>
      <w:r>
        <w:rPr>
          <w:spacing w:val="-3"/>
        </w:rPr>
        <w:t>all </w:t>
      </w:r>
      <w:r>
        <w:rPr>
          <w:spacing w:val="-4"/>
        </w:rPr>
        <w:t>professional component services </w:t>
      </w:r>
      <w:r>
        <w:rPr>
          <w:spacing w:val="-3"/>
        </w:rPr>
        <w:t>for </w:t>
      </w:r>
      <w:r>
        <w:rPr>
          <w:spacing w:val="-4"/>
        </w:rPr>
        <w:t>Hospital-Based Physician (Inpatient </w:t>
      </w:r>
      <w:r>
        <w:rPr>
          <w:spacing w:val="-3"/>
        </w:rPr>
        <w:t>and </w:t>
      </w:r>
      <w:r>
        <w:rPr>
          <w:spacing w:val="-4"/>
        </w:rPr>
        <w:t>Outpatient) Services through </w:t>
      </w:r>
      <w:r>
        <w:rPr/>
        <w:t>an </w:t>
      </w:r>
      <w:r>
        <w:rPr>
          <w:spacing w:val="-3"/>
        </w:rPr>
        <w:t>837P </w:t>
      </w:r>
      <w:r>
        <w:rPr/>
        <w:t>or on </w:t>
      </w:r>
      <w:r>
        <w:rPr>
          <w:spacing w:val="-3"/>
        </w:rPr>
        <w:t>the CMS 1500 </w:t>
      </w:r>
      <w:r>
        <w:rPr>
          <w:spacing w:val="-4"/>
        </w:rPr>
        <w:t>form, except where otherwise indicated </w:t>
      </w:r>
      <w:r>
        <w:rPr/>
        <w:t>by </w:t>
      </w:r>
      <w:r>
        <w:rPr>
          <w:spacing w:val="-4"/>
        </w:rPr>
        <w:t>MassHealth regulations, billing instructions, Provider bulletins, </w:t>
      </w:r>
      <w:r>
        <w:rPr/>
        <w:t>or </w:t>
      </w:r>
      <w:r>
        <w:rPr>
          <w:spacing w:val="-4"/>
        </w:rPr>
        <w:t>other written statements </w:t>
      </w:r>
      <w:r>
        <w:rPr/>
        <w:t>of </w:t>
      </w:r>
      <w:r>
        <w:rPr>
          <w:spacing w:val="-4"/>
        </w:rPr>
        <w:t>policy, </w:t>
      </w:r>
      <w:r>
        <w:rPr>
          <w:spacing w:val="-3"/>
        </w:rPr>
        <w:t>and </w:t>
      </w:r>
      <w:r>
        <w:rPr>
          <w:spacing w:val="-4"/>
        </w:rPr>
        <w:t>in compliance </w:t>
      </w:r>
      <w:r>
        <w:rPr>
          <w:spacing w:val="-3"/>
        </w:rPr>
        <w:t>with all </w:t>
      </w:r>
      <w:r>
        <w:rPr>
          <w:spacing w:val="-4"/>
        </w:rPr>
        <w:t>applicable regulations, billing instructions, Provider bulletins, </w:t>
      </w:r>
      <w:r>
        <w:rPr>
          <w:spacing w:val="-3"/>
        </w:rPr>
        <w:t>and </w:t>
      </w:r>
      <w:r>
        <w:rPr>
          <w:spacing w:val="-4"/>
        </w:rPr>
        <w:t>other written statements </w:t>
      </w:r>
      <w:r>
        <w:rPr/>
        <w:t>of </w:t>
      </w:r>
      <w:r>
        <w:rPr>
          <w:spacing w:val="-4"/>
        </w:rPr>
        <w:t>policy, </w:t>
      </w:r>
      <w:r>
        <w:rPr/>
        <w:t>as </w:t>
      </w:r>
      <w:r>
        <w:rPr>
          <w:spacing w:val="-3"/>
        </w:rPr>
        <w:t>they </w:t>
      </w:r>
      <w:r>
        <w:rPr>
          <w:spacing w:val="-4"/>
        </w:rPr>
        <w:t>may </w:t>
      </w:r>
      <w:r>
        <w:rPr/>
        <w:t>be </w:t>
      </w:r>
      <w:r>
        <w:rPr>
          <w:spacing w:val="-4"/>
        </w:rPr>
        <w:t>amended </w:t>
      </w:r>
      <w:r>
        <w:rPr>
          <w:spacing w:val="-3"/>
        </w:rPr>
        <w:t>from </w:t>
      </w:r>
      <w:r>
        <w:rPr>
          <w:spacing w:val="-4"/>
        </w:rPr>
        <w:t>time </w:t>
      </w:r>
      <w:r>
        <w:rPr/>
        <w:t>to </w:t>
      </w:r>
      <w:r>
        <w:rPr>
          <w:spacing w:val="-5"/>
        </w:rPr>
        <w:t>time.</w:t>
      </w:r>
    </w:p>
    <w:p>
      <w:pPr>
        <w:pStyle w:val="BodyText"/>
        <w:spacing w:before="4"/>
        <w:rPr>
          <w:sz w:val="26"/>
        </w:rPr>
      </w:pPr>
    </w:p>
    <w:p>
      <w:pPr>
        <w:pStyle w:val="Heading2"/>
        <w:numPr>
          <w:ilvl w:val="0"/>
          <w:numId w:val="8"/>
        </w:numPr>
        <w:tabs>
          <w:tab w:pos="652" w:val="left" w:leader="none"/>
          <w:tab w:pos="653" w:val="left" w:leader="none"/>
        </w:tabs>
        <w:spacing w:line="244" w:lineRule="auto" w:before="0" w:after="0"/>
        <w:ind w:left="652" w:right="212" w:hanging="540"/>
        <w:jc w:val="left"/>
      </w:pPr>
      <w:r>
        <w:rPr>
          <w:spacing w:val="-3"/>
        </w:rPr>
        <w:t>Treatment</w:t>
      </w:r>
      <w:r>
        <w:rPr>
          <w:spacing w:val="-9"/>
        </w:rPr>
        <w:t> </w:t>
      </w:r>
      <w:r>
        <w:rPr/>
        <w:t>of</w:t>
      </w:r>
      <w:r>
        <w:rPr>
          <w:spacing w:val="-9"/>
        </w:rPr>
        <w:t> </w:t>
      </w:r>
      <w:r>
        <w:rPr>
          <w:spacing w:val="-3"/>
        </w:rPr>
        <w:t>Reimbursement</w:t>
      </w:r>
      <w:r>
        <w:rPr>
          <w:spacing w:val="-9"/>
        </w:rPr>
        <w:t> </w:t>
      </w:r>
      <w:r>
        <w:rPr/>
        <w:t>for</w:t>
      </w:r>
      <w:r>
        <w:rPr>
          <w:spacing w:val="-9"/>
        </w:rPr>
        <w:t> </w:t>
      </w:r>
      <w:r>
        <w:rPr>
          <w:spacing w:val="-3"/>
        </w:rPr>
        <w:t>Members</w:t>
      </w:r>
      <w:r>
        <w:rPr>
          <w:spacing w:val="-9"/>
        </w:rPr>
        <w:t> </w:t>
      </w:r>
      <w:r>
        <w:rPr/>
        <w:t>in</w:t>
      </w:r>
      <w:r>
        <w:rPr>
          <w:spacing w:val="-9"/>
        </w:rPr>
        <w:t> </w:t>
      </w:r>
      <w:r>
        <w:rPr/>
        <w:t>the</w:t>
      </w:r>
      <w:r>
        <w:rPr>
          <w:spacing w:val="-9"/>
        </w:rPr>
        <w:t> </w:t>
      </w:r>
      <w:r>
        <w:rPr>
          <w:spacing w:val="-3"/>
        </w:rPr>
        <w:t>Hospital</w:t>
      </w:r>
      <w:r>
        <w:rPr>
          <w:spacing w:val="-9"/>
        </w:rPr>
        <w:t> </w:t>
      </w:r>
      <w:r>
        <w:rPr/>
        <w:t>on</w:t>
      </w:r>
      <w:r>
        <w:rPr>
          <w:spacing w:val="-9"/>
        </w:rPr>
        <w:t> </w:t>
      </w:r>
      <w:r>
        <w:rPr/>
        <w:t>the</w:t>
      </w:r>
      <w:r>
        <w:rPr>
          <w:spacing w:val="-9"/>
        </w:rPr>
        <w:t> </w:t>
      </w:r>
      <w:r>
        <w:rPr>
          <w:spacing w:val="-3"/>
        </w:rPr>
        <w:t>Effective</w:t>
      </w:r>
      <w:r>
        <w:rPr>
          <w:spacing w:val="-9"/>
        </w:rPr>
        <w:t> </w:t>
      </w:r>
      <w:r>
        <w:rPr>
          <w:spacing w:val="-3"/>
        </w:rPr>
        <w:t>Date </w:t>
      </w:r>
      <w:r>
        <w:rPr/>
        <w:t>of the </w:t>
      </w:r>
      <w:r>
        <w:rPr>
          <w:spacing w:val="-3"/>
        </w:rPr>
        <w:t>Hospital</w:t>
      </w:r>
      <w:r>
        <w:rPr>
          <w:spacing w:val="-25"/>
        </w:rPr>
        <w:t> </w:t>
      </w:r>
      <w:r>
        <w:rPr>
          <w:spacing w:val="-3"/>
        </w:rPr>
        <w:t>Contract</w:t>
      </w:r>
    </w:p>
    <w:p>
      <w:pPr>
        <w:pStyle w:val="BodyText"/>
        <w:rPr>
          <w:b/>
          <w:sz w:val="28"/>
        </w:rPr>
      </w:pPr>
    </w:p>
    <w:p>
      <w:pPr>
        <w:pStyle w:val="BodyText"/>
        <w:spacing w:line="242" w:lineRule="auto"/>
        <w:ind w:left="651" w:right="112"/>
      </w:pPr>
      <w:r>
        <w:rPr>
          <w:spacing w:val="-4"/>
        </w:rPr>
        <w:t>Except where payments </w:t>
      </w:r>
      <w:r>
        <w:rPr>
          <w:spacing w:val="-3"/>
        </w:rPr>
        <w:t>are </w:t>
      </w:r>
      <w:r>
        <w:rPr>
          <w:spacing w:val="-4"/>
        </w:rPr>
        <w:t>made </w:t>
      </w:r>
      <w:r>
        <w:rPr/>
        <w:t>on a </w:t>
      </w:r>
      <w:r>
        <w:rPr>
          <w:spacing w:val="-3"/>
        </w:rPr>
        <w:t>per diem </w:t>
      </w:r>
      <w:r>
        <w:rPr>
          <w:spacing w:val="-4"/>
        </w:rPr>
        <w:t>basis, EOHHS shall reimburse participating Hospitals </w:t>
      </w:r>
      <w:r>
        <w:rPr>
          <w:spacing w:val="-3"/>
        </w:rPr>
        <w:t>for </w:t>
      </w:r>
      <w:r>
        <w:rPr>
          <w:spacing w:val="-4"/>
        </w:rPr>
        <w:t>services provided </w:t>
      </w:r>
      <w:r>
        <w:rPr/>
        <w:t>to </w:t>
      </w:r>
      <w:r>
        <w:rPr>
          <w:spacing w:val="-4"/>
        </w:rPr>
        <w:t>MassHealth Members </w:t>
      </w:r>
      <w:r>
        <w:rPr>
          <w:spacing w:val="-3"/>
        </w:rPr>
        <w:t>who are </w:t>
      </w:r>
      <w:r>
        <w:rPr/>
        <w:t>at </w:t>
      </w:r>
      <w:r>
        <w:rPr>
          <w:spacing w:val="-4"/>
        </w:rPr>
        <w:t>acute inpatient status prior </w:t>
      </w:r>
      <w:r>
        <w:rPr/>
        <w:t>to </w:t>
      </w:r>
      <w:r>
        <w:rPr>
          <w:spacing w:val="-4"/>
        </w:rPr>
        <w:t>October 1, 2013, </w:t>
      </w:r>
      <w:r>
        <w:rPr>
          <w:spacing w:val="-3"/>
        </w:rPr>
        <w:t>and who </w:t>
      </w:r>
      <w:r>
        <w:rPr>
          <w:spacing w:val="-4"/>
        </w:rPr>
        <w:t>remain </w:t>
      </w:r>
      <w:r>
        <w:rPr/>
        <w:t>at </w:t>
      </w:r>
      <w:r>
        <w:rPr>
          <w:spacing w:val="-4"/>
        </w:rPr>
        <w:t>acute inpatient status </w:t>
      </w:r>
      <w:r>
        <w:rPr/>
        <w:t>on or </w:t>
      </w:r>
      <w:r>
        <w:rPr>
          <w:spacing w:val="-4"/>
        </w:rPr>
        <w:t>after October </w:t>
      </w:r>
      <w:r>
        <w:rPr/>
        <w:t>1, </w:t>
      </w:r>
      <w:r>
        <w:rPr>
          <w:spacing w:val="-4"/>
        </w:rPr>
        <w:t>2013, </w:t>
      </w:r>
      <w:r>
        <w:rPr/>
        <w:t>at </w:t>
      </w:r>
      <w:r>
        <w:rPr>
          <w:spacing w:val="-3"/>
        </w:rPr>
        <w:t>the </w:t>
      </w:r>
      <w:r>
        <w:rPr>
          <w:spacing w:val="-5"/>
        </w:rPr>
        <w:t>Hospital’s </w:t>
      </w:r>
      <w:r>
        <w:rPr>
          <w:spacing w:val="-4"/>
        </w:rPr>
        <w:t>MassHealth rates established prior </w:t>
      </w:r>
      <w:r>
        <w:rPr/>
        <w:t>to </w:t>
      </w:r>
      <w:r>
        <w:rPr>
          <w:spacing w:val="-3"/>
        </w:rPr>
        <w:t>this RY14 RFA. </w:t>
      </w:r>
      <w:r>
        <w:rPr>
          <w:spacing w:val="-4"/>
        </w:rPr>
        <w:t>Reimbursement </w:t>
      </w:r>
      <w:r>
        <w:rPr/>
        <w:t>to </w:t>
      </w:r>
      <w:r>
        <w:rPr>
          <w:spacing w:val="-4"/>
        </w:rPr>
        <w:t>participating Hospitals </w:t>
      </w:r>
      <w:r>
        <w:rPr>
          <w:spacing w:val="-3"/>
        </w:rPr>
        <w:t>for</w:t>
      </w:r>
    </w:p>
    <w:p>
      <w:pPr>
        <w:spacing w:after="0" w:line="242" w:lineRule="auto"/>
        <w:sectPr>
          <w:type w:val="continuous"/>
          <w:pgSz w:w="12240" w:h="15840"/>
          <w:pgMar w:top="1380" w:bottom="940" w:left="1040" w:right="940"/>
        </w:sectPr>
      </w:pPr>
    </w:p>
    <w:p>
      <w:pPr>
        <w:pStyle w:val="BodyText"/>
        <w:spacing w:line="242" w:lineRule="auto" w:before="61"/>
        <w:ind w:left="651" w:right="503"/>
      </w:pPr>
      <w:r>
        <w:rPr>
          <w:spacing w:val="-4"/>
        </w:rPr>
        <w:t>services provided </w:t>
      </w:r>
      <w:r>
        <w:rPr/>
        <w:t>to </w:t>
      </w:r>
      <w:r>
        <w:rPr>
          <w:spacing w:val="-4"/>
        </w:rPr>
        <w:t>MassHealth Members </w:t>
      </w:r>
      <w:r>
        <w:rPr>
          <w:spacing w:val="-3"/>
        </w:rPr>
        <w:t>who are </w:t>
      </w:r>
      <w:r>
        <w:rPr>
          <w:spacing w:val="-4"/>
        </w:rPr>
        <w:t>admitted </w:t>
      </w:r>
      <w:r>
        <w:rPr/>
        <w:t>on or </w:t>
      </w:r>
      <w:r>
        <w:rPr>
          <w:spacing w:val="-4"/>
        </w:rPr>
        <w:t>after October </w:t>
      </w:r>
      <w:r>
        <w:rPr/>
        <w:t>1, </w:t>
      </w:r>
      <w:r>
        <w:rPr>
          <w:spacing w:val="-4"/>
        </w:rPr>
        <w:t>2013, shall be reimbursed </w:t>
      </w:r>
      <w:r>
        <w:rPr/>
        <w:t>at </w:t>
      </w:r>
      <w:r>
        <w:rPr>
          <w:spacing w:val="-3"/>
        </w:rPr>
        <w:t>the RY14 </w:t>
      </w:r>
      <w:r>
        <w:rPr>
          <w:spacing w:val="-4"/>
        </w:rPr>
        <w:t>Hospital rates.</w:t>
      </w:r>
    </w:p>
    <w:p>
      <w:pPr>
        <w:pStyle w:val="BodyText"/>
        <w:spacing w:before="10"/>
        <w:rPr>
          <w:sz w:val="28"/>
        </w:rPr>
      </w:pPr>
    </w:p>
    <w:p>
      <w:pPr>
        <w:pStyle w:val="Heading2"/>
        <w:numPr>
          <w:ilvl w:val="0"/>
          <w:numId w:val="8"/>
        </w:numPr>
        <w:tabs>
          <w:tab w:pos="658" w:val="left" w:leader="none"/>
          <w:tab w:pos="660" w:val="left" w:leader="none"/>
        </w:tabs>
        <w:spacing w:line="240" w:lineRule="auto" w:before="0" w:after="0"/>
        <w:ind w:left="659" w:right="0" w:hanging="547"/>
        <w:jc w:val="left"/>
      </w:pPr>
      <w:r>
        <w:rPr>
          <w:spacing w:val="-3"/>
        </w:rPr>
        <w:t>Future Rate</w:t>
      </w:r>
      <w:r>
        <w:rPr>
          <w:spacing w:val="-7"/>
        </w:rPr>
        <w:t> </w:t>
      </w:r>
      <w:r>
        <w:rPr>
          <w:spacing w:val="-3"/>
        </w:rPr>
        <w:t>Years</w:t>
      </w:r>
    </w:p>
    <w:p>
      <w:pPr>
        <w:pStyle w:val="BodyText"/>
        <w:spacing w:before="5"/>
        <w:rPr>
          <w:b/>
          <w:sz w:val="28"/>
        </w:rPr>
      </w:pPr>
    </w:p>
    <w:p>
      <w:pPr>
        <w:pStyle w:val="BodyText"/>
        <w:spacing w:line="242" w:lineRule="auto" w:before="1"/>
        <w:ind w:left="651" w:right="130"/>
      </w:pPr>
      <w:r>
        <w:rPr>
          <w:spacing w:val="-4"/>
        </w:rPr>
        <w:t>Adjustments may </w:t>
      </w:r>
      <w:r>
        <w:rPr/>
        <w:t>be </w:t>
      </w:r>
      <w:r>
        <w:rPr>
          <w:spacing w:val="-4"/>
        </w:rPr>
        <w:t>made </w:t>
      </w:r>
      <w:r>
        <w:rPr>
          <w:spacing w:val="-3"/>
        </w:rPr>
        <w:t>each Rate Year </w:t>
      </w:r>
      <w:r>
        <w:rPr/>
        <w:t>to </w:t>
      </w:r>
      <w:r>
        <w:rPr>
          <w:spacing w:val="-4"/>
        </w:rPr>
        <w:t>update rates </w:t>
      </w:r>
      <w:r>
        <w:rPr>
          <w:spacing w:val="-3"/>
        </w:rPr>
        <w:t>and </w:t>
      </w:r>
      <w:r>
        <w:rPr>
          <w:spacing w:val="-4"/>
        </w:rPr>
        <w:t>shall </w:t>
      </w:r>
      <w:r>
        <w:rPr/>
        <w:t>be </w:t>
      </w:r>
      <w:r>
        <w:rPr>
          <w:spacing w:val="-4"/>
        </w:rPr>
        <w:t>made </w:t>
      </w:r>
      <w:r>
        <w:rPr/>
        <w:t>in </w:t>
      </w:r>
      <w:r>
        <w:rPr>
          <w:spacing w:val="-4"/>
        </w:rPr>
        <w:t>accordance </w:t>
      </w:r>
      <w:r>
        <w:rPr>
          <w:spacing w:val="-3"/>
        </w:rPr>
        <w:t>with </w:t>
      </w:r>
      <w:r>
        <w:rPr>
          <w:spacing w:val="-4"/>
        </w:rPr>
        <w:t>the Hospital Contract </w:t>
      </w:r>
      <w:r>
        <w:rPr/>
        <w:t>in </w:t>
      </w:r>
      <w:r>
        <w:rPr>
          <w:spacing w:val="-4"/>
        </w:rPr>
        <w:t>effect </w:t>
      </w:r>
      <w:r>
        <w:rPr/>
        <w:t>on </w:t>
      </w:r>
      <w:r>
        <w:rPr>
          <w:spacing w:val="-3"/>
        </w:rPr>
        <w:t>that </w:t>
      </w:r>
      <w:r>
        <w:rPr>
          <w:spacing w:val="-4"/>
        </w:rPr>
        <w:t>date.</w:t>
      </w:r>
    </w:p>
    <w:p>
      <w:pPr>
        <w:pStyle w:val="BodyText"/>
        <w:spacing w:before="9"/>
      </w:pPr>
    </w:p>
    <w:p>
      <w:pPr>
        <w:pStyle w:val="Heading2"/>
        <w:numPr>
          <w:ilvl w:val="0"/>
          <w:numId w:val="8"/>
        </w:numPr>
        <w:tabs>
          <w:tab w:pos="659" w:val="left" w:leader="none"/>
          <w:tab w:pos="660" w:val="left" w:leader="none"/>
        </w:tabs>
        <w:spacing w:line="240" w:lineRule="auto" w:before="0" w:after="0"/>
        <w:ind w:left="659" w:right="0" w:hanging="547"/>
        <w:jc w:val="left"/>
      </w:pPr>
      <w:r>
        <w:rPr>
          <w:spacing w:val="-3"/>
        </w:rPr>
        <w:t>Compliance with Legal</w:t>
      </w:r>
      <w:r>
        <w:rPr>
          <w:spacing w:val="-13"/>
        </w:rPr>
        <w:t> </w:t>
      </w:r>
      <w:r>
        <w:rPr>
          <w:spacing w:val="-3"/>
        </w:rPr>
        <w:t>Requirements</w:t>
      </w:r>
    </w:p>
    <w:p>
      <w:pPr>
        <w:pStyle w:val="BodyText"/>
        <w:spacing w:before="6"/>
        <w:rPr>
          <w:b/>
          <w:sz w:val="28"/>
        </w:rPr>
      </w:pPr>
    </w:p>
    <w:p>
      <w:pPr>
        <w:pStyle w:val="BodyText"/>
        <w:spacing w:line="242" w:lineRule="auto"/>
        <w:ind w:left="651" w:right="138"/>
      </w:pPr>
      <w:r>
        <w:rPr>
          <w:spacing w:val="-3"/>
        </w:rPr>
        <w:t>The </w:t>
      </w:r>
      <w:r>
        <w:rPr>
          <w:spacing w:val="-4"/>
        </w:rPr>
        <w:t>parties agree </w:t>
      </w:r>
      <w:r>
        <w:rPr/>
        <w:t>to </w:t>
      </w:r>
      <w:r>
        <w:rPr>
          <w:spacing w:val="-4"/>
        </w:rPr>
        <w:t>comply with, </w:t>
      </w:r>
      <w:r>
        <w:rPr>
          <w:spacing w:val="-3"/>
        </w:rPr>
        <w:t>and are </w:t>
      </w:r>
      <w:r>
        <w:rPr>
          <w:spacing w:val="-4"/>
        </w:rPr>
        <w:t>subject </w:t>
      </w:r>
      <w:r>
        <w:rPr>
          <w:spacing w:val="-3"/>
        </w:rPr>
        <w:t>to, all </w:t>
      </w:r>
      <w:r>
        <w:rPr>
          <w:spacing w:val="-4"/>
        </w:rPr>
        <w:t>state </w:t>
      </w:r>
      <w:r>
        <w:rPr>
          <w:spacing w:val="-3"/>
        </w:rPr>
        <w:t>and </w:t>
      </w:r>
      <w:r>
        <w:rPr>
          <w:spacing w:val="-4"/>
        </w:rPr>
        <w:t>federal statutes, rules, and regulations governing </w:t>
      </w:r>
      <w:r>
        <w:rPr>
          <w:spacing w:val="-3"/>
        </w:rPr>
        <w:t>the </w:t>
      </w:r>
      <w:r>
        <w:rPr>
          <w:spacing w:val="-4"/>
        </w:rPr>
        <w:t>MassHealth Program, </w:t>
      </w:r>
      <w:r>
        <w:rPr>
          <w:spacing w:val="-3"/>
        </w:rPr>
        <w:t>and </w:t>
      </w:r>
      <w:r>
        <w:rPr>
          <w:spacing w:val="-4"/>
        </w:rPr>
        <w:t>reimbursement </w:t>
      </w:r>
      <w:r>
        <w:rPr>
          <w:spacing w:val="-3"/>
        </w:rPr>
        <w:t>and </w:t>
      </w:r>
      <w:r>
        <w:rPr>
          <w:spacing w:val="-4"/>
        </w:rPr>
        <w:t>delivery </w:t>
      </w:r>
      <w:r>
        <w:rPr/>
        <w:t>of </w:t>
      </w:r>
      <w:r>
        <w:rPr>
          <w:spacing w:val="-4"/>
        </w:rPr>
        <w:t>Acute Hospital services, including </w:t>
      </w:r>
      <w:r>
        <w:rPr>
          <w:spacing w:val="-3"/>
        </w:rPr>
        <w:t>but not </w:t>
      </w:r>
      <w:r>
        <w:rPr>
          <w:spacing w:val="-4"/>
        </w:rPr>
        <w:t>limited </w:t>
      </w:r>
      <w:r>
        <w:rPr/>
        <w:t>to </w:t>
      </w:r>
      <w:r>
        <w:rPr>
          <w:spacing w:val="-4"/>
        </w:rPr>
        <w:t>Acute Inpatient Hospital regulations </w:t>
      </w:r>
      <w:r>
        <w:rPr/>
        <w:t>at </w:t>
      </w:r>
      <w:r>
        <w:rPr>
          <w:spacing w:val="-3"/>
        </w:rPr>
        <w:t>130 CMR </w:t>
      </w:r>
      <w:r>
        <w:rPr>
          <w:spacing w:val="-4"/>
        </w:rPr>
        <w:t>415.00 </w:t>
      </w:r>
      <w:r>
        <w:rPr/>
        <w:t>et </w:t>
      </w:r>
      <w:r>
        <w:rPr>
          <w:spacing w:val="-4"/>
        </w:rPr>
        <w:t>seq., Outpatient Hospital regulations </w:t>
      </w:r>
      <w:r>
        <w:rPr/>
        <w:t>at </w:t>
      </w:r>
      <w:r>
        <w:rPr>
          <w:spacing w:val="-3"/>
        </w:rPr>
        <w:t>130 CMR </w:t>
      </w:r>
      <w:r>
        <w:rPr>
          <w:spacing w:val="-4"/>
        </w:rPr>
        <w:t>410.000 </w:t>
      </w:r>
      <w:r>
        <w:rPr/>
        <w:t>et </w:t>
      </w:r>
      <w:r>
        <w:rPr>
          <w:spacing w:val="-4"/>
        </w:rPr>
        <w:t>seq., </w:t>
      </w:r>
      <w:r>
        <w:rPr>
          <w:spacing w:val="-3"/>
        </w:rPr>
        <w:t>and </w:t>
      </w:r>
      <w:r>
        <w:rPr>
          <w:spacing w:val="-4"/>
        </w:rPr>
        <w:t>Administrative </w:t>
      </w:r>
      <w:r>
        <w:rPr>
          <w:spacing w:val="-3"/>
        </w:rPr>
        <w:t>and </w:t>
      </w:r>
      <w:r>
        <w:rPr>
          <w:spacing w:val="-4"/>
        </w:rPr>
        <w:t>Billing regulations </w:t>
      </w:r>
      <w:r>
        <w:rPr/>
        <w:t>at </w:t>
      </w:r>
      <w:r>
        <w:rPr>
          <w:spacing w:val="-3"/>
        </w:rPr>
        <w:t>130 CMR </w:t>
      </w:r>
      <w:r>
        <w:rPr>
          <w:spacing w:val="-4"/>
        </w:rPr>
        <w:t>450.00 </w:t>
      </w:r>
      <w:r>
        <w:rPr/>
        <w:t>et </w:t>
      </w:r>
      <w:r>
        <w:rPr>
          <w:spacing w:val="-4"/>
        </w:rPr>
        <w:t>seq.; provided, however, </w:t>
      </w:r>
      <w:r>
        <w:rPr>
          <w:spacing w:val="-3"/>
        </w:rPr>
        <w:t>that </w:t>
      </w:r>
      <w:r>
        <w:rPr/>
        <w:t>in </w:t>
      </w:r>
      <w:r>
        <w:rPr>
          <w:spacing w:val="-3"/>
        </w:rPr>
        <w:t>the </w:t>
      </w:r>
      <w:r>
        <w:rPr>
          <w:spacing w:val="-4"/>
        </w:rPr>
        <w:t>event </w:t>
      </w:r>
      <w:r>
        <w:rPr/>
        <w:t>of </w:t>
      </w:r>
      <w:r>
        <w:rPr>
          <w:spacing w:val="-3"/>
        </w:rPr>
        <w:t>any </w:t>
      </w:r>
      <w:r>
        <w:rPr>
          <w:spacing w:val="-4"/>
        </w:rPr>
        <w:t>conflict between </w:t>
      </w:r>
      <w:r>
        <w:rPr>
          <w:spacing w:val="-3"/>
        </w:rPr>
        <w:t>the </w:t>
      </w:r>
      <w:r>
        <w:rPr>
          <w:spacing w:val="-4"/>
        </w:rPr>
        <w:t>documents </w:t>
      </w:r>
      <w:r>
        <w:rPr>
          <w:spacing w:val="-3"/>
        </w:rPr>
        <w:t>that are part </w:t>
      </w:r>
      <w:r>
        <w:rPr/>
        <w:t>of </w:t>
      </w:r>
      <w:r>
        <w:rPr>
          <w:spacing w:val="-3"/>
        </w:rPr>
        <w:t>the </w:t>
      </w:r>
      <w:r>
        <w:rPr>
          <w:spacing w:val="-4"/>
        </w:rPr>
        <w:t>Hospital’s Contract </w:t>
      </w:r>
      <w:r>
        <w:rPr>
          <w:spacing w:val="-3"/>
        </w:rPr>
        <w:t>with </w:t>
      </w:r>
      <w:r>
        <w:rPr>
          <w:spacing w:val="-4"/>
        </w:rPr>
        <w:t>EOHHS </w:t>
      </w:r>
      <w:r>
        <w:rPr>
          <w:spacing w:val="-3"/>
        </w:rPr>
        <w:t>and any </w:t>
      </w:r>
      <w:r>
        <w:rPr>
          <w:spacing w:val="-4"/>
        </w:rPr>
        <w:t>MassHealth regulation </w:t>
      </w:r>
      <w:r>
        <w:rPr>
          <w:spacing w:val="-3"/>
        </w:rPr>
        <w:t>now </w:t>
      </w:r>
      <w:r>
        <w:rPr>
          <w:spacing w:val="-4"/>
        </w:rPr>
        <w:t>existing </w:t>
      </w:r>
      <w:r>
        <w:rPr/>
        <w:t>or </w:t>
      </w:r>
      <w:r>
        <w:rPr>
          <w:spacing w:val="-4"/>
        </w:rPr>
        <w:t>hereinafter adopted, </w:t>
      </w:r>
      <w:r>
        <w:rPr>
          <w:spacing w:val="-3"/>
        </w:rPr>
        <w:t>the </w:t>
      </w:r>
      <w:r>
        <w:rPr>
          <w:spacing w:val="-4"/>
        </w:rPr>
        <w:t>terms </w:t>
      </w:r>
      <w:r>
        <w:rPr/>
        <w:t>of </w:t>
      </w:r>
      <w:r>
        <w:rPr>
          <w:spacing w:val="-3"/>
        </w:rPr>
        <w:t>the </w:t>
      </w:r>
      <w:r>
        <w:rPr>
          <w:spacing w:val="-4"/>
        </w:rPr>
        <w:t>Contract shall prevail. </w:t>
      </w:r>
      <w:r>
        <w:rPr>
          <w:spacing w:val="-3"/>
        </w:rPr>
        <w:t>All </w:t>
      </w:r>
      <w:r>
        <w:rPr>
          <w:spacing w:val="-4"/>
        </w:rPr>
        <w:t>references </w:t>
      </w:r>
      <w:r>
        <w:rPr/>
        <w:t>to </w:t>
      </w:r>
      <w:r>
        <w:rPr>
          <w:spacing w:val="-4"/>
        </w:rPr>
        <w:t>statutes </w:t>
      </w:r>
      <w:r>
        <w:rPr>
          <w:spacing w:val="-3"/>
        </w:rPr>
        <w:t>and </w:t>
      </w:r>
      <w:r>
        <w:rPr>
          <w:spacing w:val="-4"/>
        </w:rPr>
        <w:t>regulations refer </w:t>
      </w:r>
      <w:r>
        <w:rPr/>
        <w:t>to </w:t>
      </w:r>
      <w:r>
        <w:rPr>
          <w:spacing w:val="-3"/>
        </w:rPr>
        <w:t>such </w:t>
      </w:r>
      <w:r>
        <w:rPr>
          <w:spacing w:val="-4"/>
        </w:rPr>
        <w:t>statutes </w:t>
      </w:r>
      <w:r>
        <w:rPr>
          <w:spacing w:val="-3"/>
        </w:rPr>
        <w:t>and </w:t>
      </w:r>
      <w:r>
        <w:rPr>
          <w:spacing w:val="-4"/>
        </w:rPr>
        <w:t>regulations </w:t>
      </w:r>
      <w:r>
        <w:rPr/>
        <w:t>as </w:t>
      </w:r>
      <w:r>
        <w:rPr>
          <w:spacing w:val="-3"/>
        </w:rPr>
        <w:t>they </w:t>
      </w:r>
      <w:r>
        <w:rPr>
          <w:spacing w:val="-4"/>
        </w:rPr>
        <w:t>may </w:t>
      </w:r>
      <w:r>
        <w:rPr/>
        <w:t>be </w:t>
      </w:r>
      <w:r>
        <w:rPr>
          <w:spacing w:val="-4"/>
        </w:rPr>
        <w:t>amended </w:t>
      </w:r>
      <w:r>
        <w:rPr>
          <w:spacing w:val="-3"/>
        </w:rPr>
        <w:t>from </w:t>
      </w:r>
      <w:r>
        <w:rPr>
          <w:spacing w:val="-4"/>
        </w:rPr>
        <w:t>time </w:t>
      </w:r>
      <w:r>
        <w:rPr/>
        <w:t>to </w:t>
      </w:r>
      <w:r>
        <w:rPr>
          <w:spacing w:val="-4"/>
        </w:rPr>
        <w:t>time. In addition, </w:t>
      </w:r>
      <w:r>
        <w:rPr>
          <w:spacing w:val="-3"/>
        </w:rPr>
        <w:t>the </w:t>
      </w:r>
      <w:r>
        <w:rPr>
          <w:spacing w:val="-4"/>
        </w:rPr>
        <w:t>parties must comply </w:t>
      </w:r>
      <w:r>
        <w:rPr>
          <w:spacing w:val="-3"/>
        </w:rPr>
        <w:t>with all </w:t>
      </w:r>
      <w:r>
        <w:rPr>
          <w:spacing w:val="-4"/>
        </w:rPr>
        <w:t>applicable billing instructions </w:t>
      </w:r>
      <w:r>
        <w:rPr>
          <w:spacing w:val="-3"/>
        </w:rPr>
        <w:t>and </w:t>
      </w:r>
      <w:r>
        <w:rPr>
          <w:spacing w:val="-4"/>
        </w:rPr>
        <w:t>Provider bulletins, and other written statements </w:t>
      </w:r>
      <w:r>
        <w:rPr/>
        <w:t>of </w:t>
      </w:r>
      <w:r>
        <w:rPr>
          <w:spacing w:val="-4"/>
        </w:rPr>
        <w:t>policy issued </w:t>
      </w:r>
      <w:r>
        <w:rPr/>
        <w:t>by </w:t>
      </w:r>
      <w:r>
        <w:rPr>
          <w:spacing w:val="-4"/>
        </w:rPr>
        <w:t>EOHHS </w:t>
      </w:r>
      <w:r>
        <w:rPr>
          <w:spacing w:val="-3"/>
        </w:rPr>
        <w:t>and its </w:t>
      </w:r>
      <w:r>
        <w:rPr>
          <w:spacing w:val="-4"/>
        </w:rPr>
        <w:t>divisions, </w:t>
      </w:r>
      <w:r>
        <w:rPr/>
        <w:t>as </w:t>
      </w:r>
      <w:r>
        <w:rPr>
          <w:spacing w:val="-3"/>
        </w:rPr>
        <w:t>they </w:t>
      </w:r>
      <w:r>
        <w:rPr>
          <w:spacing w:val="-4"/>
        </w:rPr>
        <w:t>may </w:t>
      </w:r>
      <w:r>
        <w:rPr/>
        <w:t>be </w:t>
      </w:r>
      <w:r>
        <w:rPr>
          <w:spacing w:val="-4"/>
        </w:rPr>
        <w:t>amended from time </w:t>
      </w:r>
      <w:r>
        <w:rPr/>
        <w:t>to </w:t>
      </w:r>
      <w:r>
        <w:rPr>
          <w:spacing w:val="-5"/>
        </w:rPr>
        <w:t>time.</w:t>
      </w:r>
    </w:p>
    <w:p>
      <w:pPr>
        <w:pStyle w:val="BodyText"/>
        <w:spacing w:before="7"/>
      </w:pPr>
    </w:p>
    <w:p>
      <w:pPr>
        <w:pStyle w:val="Heading3"/>
        <w:numPr>
          <w:ilvl w:val="0"/>
          <w:numId w:val="8"/>
        </w:numPr>
        <w:tabs>
          <w:tab w:pos="673" w:val="left" w:leader="none"/>
          <w:tab w:pos="674" w:val="left" w:leader="none"/>
        </w:tabs>
        <w:spacing w:line="240" w:lineRule="auto" w:before="1" w:after="0"/>
        <w:ind w:left="673" w:right="0" w:hanging="561"/>
        <w:jc w:val="left"/>
      </w:pPr>
      <w:r>
        <w:rPr>
          <w:spacing w:val="-4"/>
        </w:rPr>
        <w:t>Eligibility</w:t>
      </w:r>
      <w:r>
        <w:rPr>
          <w:spacing w:val="-3"/>
        </w:rPr>
        <w:t> </w:t>
      </w:r>
      <w:r>
        <w:rPr>
          <w:spacing w:val="-4"/>
        </w:rPr>
        <w:t>Verification</w:t>
      </w:r>
    </w:p>
    <w:p>
      <w:pPr>
        <w:pStyle w:val="BodyText"/>
        <w:spacing w:before="4"/>
        <w:rPr>
          <w:b/>
        </w:rPr>
      </w:pPr>
    </w:p>
    <w:p>
      <w:pPr>
        <w:pStyle w:val="BodyText"/>
        <w:spacing w:line="242" w:lineRule="auto" w:before="1"/>
        <w:ind w:left="651" w:right="170"/>
      </w:pPr>
      <w:r>
        <w:rPr>
          <w:spacing w:val="-3"/>
        </w:rPr>
        <w:t>EOHHS will </w:t>
      </w:r>
      <w:r>
        <w:rPr/>
        <w:t>pay the </w:t>
      </w:r>
      <w:r>
        <w:rPr>
          <w:spacing w:val="-3"/>
        </w:rPr>
        <w:t>Hospital only </w:t>
      </w:r>
      <w:r>
        <w:rPr/>
        <w:t>for a </w:t>
      </w:r>
      <w:r>
        <w:rPr>
          <w:spacing w:val="-3"/>
        </w:rPr>
        <w:t>covered service delivered </w:t>
      </w:r>
      <w:r>
        <w:rPr/>
        <w:t>to a </w:t>
      </w:r>
      <w:r>
        <w:rPr>
          <w:spacing w:val="-3"/>
        </w:rPr>
        <w:t>Member who, </w:t>
      </w:r>
      <w:r>
        <w:rPr/>
        <w:t>on the </w:t>
      </w:r>
      <w:r>
        <w:rPr>
          <w:spacing w:val="-3"/>
        </w:rPr>
        <w:t>date of service, </w:t>
      </w:r>
      <w:r>
        <w:rPr/>
        <w:t>is (1) </w:t>
      </w:r>
      <w:r>
        <w:rPr>
          <w:spacing w:val="-3"/>
        </w:rPr>
        <w:t>eligible under MassHealth </w:t>
      </w:r>
      <w:r>
        <w:rPr/>
        <w:t>to </w:t>
      </w:r>
      <w:r>
        <w:rPr>
          <w:spacing w:val="-3"/>
        </w:rPr>
        <w:t>receive that service, </w:t>
      </w:r>
      <w:r>
        <w:rPr/>
        <w:t>and (2) not </w:t>
      </w:r>
      <w:r>
        <w:rPr>
          <w:spacing w:val="-3"/>
        </w:rPr>
        <w:t>enrolled with </w:t>
      </w:r>
      <w:r>
        <w:rPr/>
        <w:t>a </w:t>
      </w:r>
      <w:r>
        <w:rPr>
          <w:spacing w:val="-3"/>
        </w:rPr>
        <w:t>MassHealth managed care provider (including EOHHS’ Behavioral Health contractor) that covers </w:t>
      </w:r>
      <w:r>
        <w:rPr/>
        <w:t>the </w:t>
      </w:r>
      <w:r>
        <w:rPr>
          <w:spacing w:val="-3"/>
        </w:rPr>
        <w:t>service.  Each </w:t>
      </w:r>
      <w:r>
        <w:rPr/>
        <w:t>day of an </w:t>
      </w:r>
      <w:r>
        <w:rPr>
          <w:spacing w:val="-3"/>
        </w:rPr>
        <w:t>inpatient Hospital stay constitutes </w:t>
      </w:r>
      <w:r>
        <w:rPr/>
        <w:t>a </w:t>
      </w:r>
      <w:r>
        <w:rPr>
          <w:spacing w:val="-3"/>
        </w:rPr>
        <w:t>discrete “date </w:t>
      </w:r>
      <w:r>
        <w:rPr/>
        <w:t>of </w:t>
      </w:r>
      <w:r>
        <w:rPr>
          <w:spacing w:val="-3"/>
        </w:rPr>
        <w:t>service.” </w:t>
      </w:r>
      <w:r>
        <w:rPr/>
        <w:t>A </w:t>
      </w:r>
      <w:r>
        <w:rPr>
          <w:spacing w:val="-3"/>
        </w:rPr>
        <w:t>Member </w:t>
      </w:r>
      <w:r>
        <w:rPr/>
        <w:t>who </w:t>
      </w:r>
      <w:r>
        <w:rPr>
          <w:spacing w:val="-3"/>
        </w:rPr>
        <w:t>meets </w:t>
      </w:r>
      <w:r>
        <w:rPr/>
        <w:t>the </w:t>
      </w:r>
      <w:r>
        <w:rPr>
          <w:spacing w:val="-3"/>
        </w:rPr>
        <w:t>foregoing conditions </w:t>
      </w:r>
      <w:r>
        <w:rPr/>
        <w:t>on a </w:t>
      </w:r>
      <w:r>
        <w:rPr>
          <w:spacing w:val="-3"/>
        </w:rPr>
        <w:t>given date </w:t>
      </w:r>
      <w:r>
        <w:rPr/>
        <w:t>of </w:t>
      </w:r>
      <w:r>
        <w:rPr>
          <w:spacing w:val="-3"/>
        </w:rPr>
        <w:t>service may </w:t>
      </w:r>
      <w:r>
        <w:rPr/>
        <w:t>not </w:t>
      </w:r>
      <w:r>
        <w:rPr>
          <w:spacing w:val="-3"/>
        </w:rPr>
        <w:t>meet such conditions </w:t>
      </w:r>
      <w:r>
        <w:rPr/>
        <w:t>on all </w:t>
      </w:r>
      <w:r>
        <w:rPr>
          <w:spacing w:val="-3"/>
        </w:rPr>
        <w:t>dates </w:t>
      </w:r>
      <w:r>
        <w:rPr/>
        <w:t>of </w:t>
      </w:r>
      <w:r>
        <w:rPr>
          <w:spacing w:val="-3"/>
        </w:rPr>
        <w:t>service comprising </w:t>
      </w:r>
      <w:r>
        <w:rPr/>
        <w:t>a </w:t>
      </w:r>
      <w:r>
        <w:rPr>
          <w:spacing w:val="-3"/>
        </w:rPr>
        <w:t>Hospital stay. </w:t>
      </w:r>
      <w:r>
        <w:rPr/>
        <w:t>The </w:t>
      </w:r>
      <w:r>
        <w:rPr>
          <w:spacing w:val="-3"/>
        </w:rPr>
        <w:t>Hospital </w:t>
      </w:r>
      <w:r>
        <w:rPr/>
        <w:t>is </w:t>
      </w:r>
      <w:r>
        <w:rPr>
          <w:spacing w:val="-3"/>
        </w:rPr>
        <w:t>responsible for determining, through </w:t>
      </w:r>
      <w:r>
        <w:rPr/>
        <w:t>the </w:t>
      </w:r>
      <w:r>
        <w:rPr>
          <w:spacing w:val="-3"/>
        </w:rPr>
        <w:t>MassHealth Eligibility Verification System (EVS), that </w:t>
      </w:r>
      <w:r>
        <w:rPr/>
        <w:t>the </w:t>
      </w:r>
      <w:r>
        <w:rPr>
          <w:spacing w:val="-3"/>
        </w:rPr>
        <w:t>Member </w:t>
      </w:r>
      <w:r>
        <w:rPr>
          <w:spacing w:val="-4"/>
        </w:rPr>
        <w:t>meets </w:t>
      </w:r>
      <w:r>
        <w:rPr/>
        <w:t>the </w:t>
      </w:r>
      <w:r>
        <w:rPr>
          <w:spacing w:val="-3"/>
        </w:rPr>
        <w:t>conditions stated herein </w:t>
      </w:r>
      <w:r>
        <w:rPr/>
        <w:t>on </w:t>
      </w:r>
      <w:r>
        <w:rPr>
          <w:spacing w:val="-3"/>
        </w:rPr>
        <w:t>each discrete date </w:t>
      </w:r>
      <w:r>
        <w:rPr/>
        <w:t>of </w:t>
      </w:r>
      <w:r>
        <w:rPr>
          <w:spacing w:val="-3"/>
        </w:rPr>
        <w:t>service.</w:t>
      </w:r>
    </w:p>
    <w:p>
      <w:pPr>
        <w:pStyle w:val="BodyText"/>
        <w:spacing w:before="9"/>
      </w:pPr>
    </w:p>
    <w:p>
      <w:pPr>
        <w:pStyle w:val="Heading3"/>
        <w:numPr>
          <w:ilvl w:val="0"/>
          <w:numId w:val="8"/>
        </w:numPr>
        <w:tabs>
          <w:tab w:pos="652" w:val="left" w:leader="none"/>
          <w:tab w:pos="653" w:val="left" w:leader="none"/>
        </w:tabs>
        <w:spacing w:line="244" w:lineRule="auto" w:before="0" w:after="0"/>
        <w:ind w:left="652" w:right="898" w:hanging="540"/>
        <w:jc w:val="left"/>
      </w:pPr>
      <w:r>
        <w:rPr>
          <w:spacing w:val="-4"/>
        </w:rPr>
        <w:t>Errors </w:t>
      </w:r>
      <w:r>
        <w:rPr/>
        <w:t>in </w:t>
      </w:r>
      <w:r>
        <w:rPr>
          <w:spacing w:val="-4"/>
        </w:rPr>
        <w:t>Calculation </w:t>
      </w:r>
      <w:r>
        <w:rPr/>
        <w:t>of </w:t>
      </w:r>
      <w:r>
        <w:rPr>
          <w:spacing w:val="-4"/>
        </w:rPr>
        <w:t>Pass-Through Amounts, Capital Costs, Casemix, </w:t>
      </w:r>
      <w:r>
        <w:rPr/>
        <w:t>or </w:t>
      </w:r>
      <w:r>
        <w:rPr>
          <w:spacing w:val="-4"/>
        </w:rPr>
        <w:t>Potentially Preventable Readmissions</w:t>
      </w:r>
    </w:p>
    <w:p>
      <w:pPr>
        <w:pStyle w:val="BodyText"/>
        <w:spacing w:before="10"/>
        <w:rPr>
          <w:b/>
          <w:sz w:val="23"/>
        </w:rPr>
      </w:pPr>
    </w:p>
    <w:p>
      <w:pPr>
        <w:pStyle w:val="BodyText"/>
        <w:spacing w:line="242" w:lineRule="auto"/>
        <w:ind w:left="651" w:right="210"/>
      </w:pPr>
      <w:r>
        <w:rPr/>
        <w:t>As set </w:t>
      </w:r>
      <w:r>
        <w:rPr>
          <w:spacing w:val="-3"/>
        </w:rPr>
        <w:t>forth below, EOHHS will make corrections </w:t>
      </w:r>
      <w:r>
        <w:rPr/>
        <w:t>to the </w:t>
      </w:r>
      <w:r>
        <w:rPr>
          <w:spacing w:val="-3"/>
        </w:rPr>
        <w:t>final Hospital-specific rate retroactive to </w:t>
      </w:r>
      <w:r>
        <w:rPr/>
        <w:t>the </w:t>
      </w:r>
      <w:r>
        <w:rPr>
          <w:spacing w:val="-3"/>
        </w:rPr>
        <w:t>effective date </w:t>
      </w:r>
      <w:r>
        <w:rPr/>
        <w:t>of the </w:t>
      </w:r>
      <w:r>
        <w:rPr>
          <w:spacing w:val="-3"/>
        </w:rPr>
        <w:t>Contract resulting from this RFA. Such corrections will </w:t>
      </w:r>
      <w:r>
        <w:rPr/>
        <w:t>not </w:t>
      </w:r>
      <w:r>
        <w:rPr>
          <w:spacing w:val="-4"/>
        </w:rPr>
        <w:t>affect </w:t>
      </w:r>
      <w:r>
        <w:rPr>
          <w:spacing w:val="-3"/>
        </w:rPr>
        <w:t>computation </w:t>
      </w:r>
      <w:r>
        <w:rPr/>
        <w:t>of any </w:t>
      </w:r>
      <w:r>
        <w:rPr>
          <w:spacing w:val="-3"/>
        </w:rPr>
        <w:t>statewide average</w:t>
      </w:r>
      <w:r>
        <w:rPr>
          <w:color w:val="76923C"/>
          <w:spacing w:val="-3"/>
        </w:rPr>
        <w:t>, </w:t>
      </w:r>
      <w:r>
        <w:rPr/>
        <w:t>or </w:t>
      </w:r>
      <w:r>
        <w:rPr>
          <w:spacing w:val="-3"/>
        </w:rPr>
        <w:t>statewide standard amounts </w:t>
      </w:r>
      <w:r>
        <w:rPr/>
        <w:t>or of any of the </w:t>
      </w:r>
      <w:r>
        <w:rPr>
          <w:spacing w:val="-3"/>
        </w:rPr>
        <w:t>efficiency standards applied </w:t>
      </w:r>
      <w:r>
        <w:rPr/>
        <w:t>to </w:t>
      </w:r>
      <w:r>
        <w:rPr>
          <w:spacing w:val="-3"/>
        </w:rPr>
        <w:t>inpatient </w:t>
      </w:r>
      <w:r>
        <w:rPr/>
        <w:t>and </w:t>
      </w:r>
      <w:r>
        <w:rPr>
          <w:spacing w:val="-3"/>
        </w:rPr>
        <w:t>outpatient costs, </w:t>
      </w:r>
      <w:r>
        <w:rPr/>
        <w:t>or to </w:t>
      </w:r>
      <w:r>
        <w:rPr>
          <w:spacing w:val="-3"/>
        </w:rPr>
        <w:t>capital costs, </w:t>
      </w:r>
      <w:r>
        <w:rPr/>
        <w:t>and </w:t>
      </w:r>
      <w:r>
        <w:rPr>
          <w:spacing w:val="-3"/>
        </w:rPr>
        <w:t>shall </w:t>
      </w:r>
      <w:r>
        <w:rPr/>
        <w:t>not </w:t>
      </w:r>
      <w:r>
        <w:rPr>
          <w:spacing w:val="-3"/>
        </w:rPr>
        <w:t>affect </w:t>
      </w:r>
      <w:r>
        <w:rPr/>
        <w:t>the </w:t>
      </w:r>
      <w:r>
        <w:rPr>
          <w:spacing w:val="-3"/>
        </w:rPr>
        <w:t>SPAD </w:t>
      </w:r>
      <w:r>
        <w:rPr/>
        <w:t>or </w:t>
      </w:r>
      <w:r>
        <w:rPr>
          <w:spacing w:val="-3"/>
        </w:rPr>
        <w:t>PAPE </w:t>
      </w:r>
      <w:r>
        <w:rPr/>
        <w:t>of any </w:t>
      </w:r>
      <w:r>
        <w:rPr>
          <w:spacing w:val="-3"/>
        </w:rPr>
        <w:t>other Hospital.</w:t>
      </w:r>
    </w:p>
    <w:p>
      <w:pPr>
        <w:pStyle w:val="BodyText"/>
        <w:spacing w:before="4"/>
      </w:pPr>
    </w:p>
    <w:p>
      <w:pPr>
        <w:pStyle w:val="BodyText"/>
        <w:spacing w:line="242" w:lineRule="auto"/>
        <w:ind w:left="651" w:right="130"/>
      </w:pPr>
      <w:r>
        <w:rPr/>
        <w:t>A </w:t>
      </w:r>
      <w:r>
        <w:rPr>
          <w:spacing w:val="-3"/>
        </w:rPr>
        <w:t>Hospital must meet </w:t>
      </w:r>
      <w:r>
        <w:rPr/>
        <w:t>the </w:t>
      </w:r>
      <w:r>
        <w:rPr>
          <w:spacing w:val="-3"/>
        </w:rPr>
        <w:t>particular conditions </w:t>
      </w:r>
      <w:r>
        <w:rPr/>
        <w:t>of the </w:t>
      </w:r>
      <w:r>
        <w:rPr>
          <w:spacing w:val="-3"/>
        </w:rPr>
        <w:t>applicable subsection </w:t>
      </w:r>
      <w:r>
        <w:rPr/>
        <w:t>set </w:t>
      </w:r>
      <w:r>
        <w:rPr>
          <w:spacing w:val="-3"/>
        </w:rPr>
        <w:t>forth below </w:t>
      </w:r>
      <w:r>
        <w:rPr/>
        <w:t>in </w:t>
      </w:r>
      <w:r>
        <w:rPr>
          <w:spacing w:val="-3"/>
        </w:rPr>
        <w:t>order </w:t>
      </w:r>
      <w:r>
        <w:rPr/>
        <w:t>to </w:t>
      </w:r>
      <w:r>
        <w:rPr>
          <w:spacing w:val="-3"/>
        </w:rPr>
        <w:t>request </w:t>
      </w:r>
      <w:r>
        <w:rPr/>
        <w:t>a </w:t>
      </w:r>
      <w:r>
        <w:rPr>
          <w:spacing w:val="-3"/>
        </w:rPr>
        <w:t>correction </w:t>
      </w:r>
      <w:r>
        <w:rPr/>
        <w:t>to an </w:t>
      </w:r>
      <w:r>
        <w:rPr>
          <w:spacing w:val="-3"/>
        </w:rPr>
        <w:t>error. Hospitals </w:t>
      </w:r>
      <w:r>
        <w:rPr/>
        <w:t>are not </w:t>
      </w:r>
      <w:r>
        <w:rPr>
          <w:spacing w:val="-3"/>
        </w:rPr>
        <w:t>allowed </w:t>
      </w:r>
      <w:r>
        <w:rPr/>
        <w:t>to </w:t>
      </w:r>
      <w:r>
        <w:rPr>
          <w:spacing w:val="-3"/>
        </w:rPr>
        <w:t>combine </w:t>
      </w:r>
      <w:r>
        <w:rPr/>
        <w:t>the </w:t>
      </w:r>
      <w:r>
        <w:rPr>
          <w:spacing w:val="-3"/>
        </w:rPr>
        <w:t>effect </w:t>
      </w:r>
      <w:r>
        <w:rPr/>
        <w:t>of an </w:t>
      </w:r>
      <w:r>
        <w:rPr>
          <w:spacing w:val="-3"/>
        </w:rPr>
        <w:t>error under</w:t>
      </w:r>
    </w:p>
    <w:p>
      <w:pPr>
        <w:spacing w:after="0" w:line="242" w:lineRule="auto"/>
        <w:sectPr>
          <w:footerReference w:type="default" r:id="rId20"/>
          <w:pgSz w:w="12240" w:h="15840"/>
          <w:pgMar w:footer="744" w:header="0" w:top="1380" w:bottom="940" w:left="1040" w:right="980"/>
          <w:pgNumType w:start="51"/>
        </w:sectPr>
      </w:pPr>
    </w:p>
    <w:p>
      <w:pPr>
        <w:pStyle w:val="BodyText"/>
        <w:spacing w:line="242" w:lineRule="auto" w:before="61"/>
        <w:ind w:left="111" w:right="236"/>
      </w:pPr>
      <w:r>
        <w:rPr/>
        <w:t>one </w:t>
      </w:r>
      <w:r>
        <w:rPr>
          <w:spacing w:val="-3"/>
        </w:rPr>
        <w:t>subsection </w:t>
      </w:r>
      <w:r>
        <w:rPr/>
        <w:t>to the </w:t>
      </w:r>
      <w:r>
        <w:rPr>
          <w:spacing w:val="-3"/>
        </w:rPr>
        <w:t>effect </w:t>
      </w:r>
      <w:r>
        <w:rPr/>
        <w:t>of an </w:t>
      </w:r>
      <w:r>
        <w:rPr>
          <w:spacing w:val="-3"/>
        </w:rPr>
        <w:t>error under another subsection </w:t>
      </w:r>
      <w:r>
        <w:rPr/>
        <w:t>in </w:t>
      </w:r>
      <w:r>
        <w:rPr>
          <w:spacing w:val="-3"/>
        </w:rPr>
        <w:t>order </w:t>
      </w:r>
      <w:r>
        <w:rPr/>
        <w:t>to </w:t>
      </w:r>
      <w:r>
        <w:rPr>
          <w:spacing w:val="-3"/>
        </w:rPr>
        <w:t>meet </w:t>
      </w:r>
      <w:r>
        <w:rPr/>
        <w:t>a </w:t>
      </w:r>
      <w:r>
        <w:rPr>
          <w:spacing w:val="-3"/>
        </w:rPr>
        <w:t>required threshold.</w:t>
      </w:r>
    </w:p>
    <w:p>
      <w:pPr>
        <w:pStyle w:val="BodyText"/>
        <w:spacing w:before="8"/>
      </w:pPr>
    </w:p>
    <w:p>
      <w:pPr>
        <w:pStyle w:val="Heading3"/>
        <w:numPr>
          <w:ilvl w:val="0"/>
          <w:numId w:val="10"/>
        </w:numPr>
        <w:tabs>
          <w:tab w:pos="565" w:val="left" w:leader="none"/>
          <w:tab w:pos="566" w:val="left" w:leader="none"/>
        </w:tabs>
        <w:spacing w:line="240" w:lineRule="auto" w:before="1" w:after="0"/>
        <w:ind w:left="565" w:right="0" w:hanging="446"/>
        <w:jc w:val="left"/>
      </w:pPr>
      <w:r>
        <w:rPr>
          <w:spacing w:val="-3"/>
        </w:rPr>
        <w:t>Errors </w:t>
      </w:r>
      <w:r>
        <w:rPr/>
        <w:t>in </w:t>
      </w:r>
      <w:r>
        <w:rPr>
          <w:spacing w:val="-3"/>
        </w:rPr>
        <w:t>Calculation </w:t>
      </w:r>
      <w:r>
        <w:rPr/>
        <w:t>of </w:t>
      </w:r>
      <w:r>
        <w:rPr>
          <w:spacing w:val="-3"/>
        </w:rPr>
        <w:t>Pass-Through </w:t>
      </w:r>
      <w:r>
        <w:rPr/>
        <w:t>or </w:t>
      </w:r>
      <w:r>
        <w:rPr>
          <w:spacing w:val="-3"/>
        </w:rPr>
        <w:t>Capital</w:t>
      </w:r>
      <w:r>
        <w:rPr>
          <w:spacing w:val="-23"/>
        </w:rPr>
        <w:t> </w:t>
      </w:r>
      <w:r>
        <w:rPr>
          <w:spacing w:val="-3"/>
        </w:rPr>
        <w:t>Costs</w:t>
      </w:r>
    </w:p>
    <w:p>
      <w:pPr>
        <w:pStyle w:val="ListParagraph"/>
        <w:numPr>
          <w:ilvl w:val="1"/>
          <w:numId w:val="10"/>
        </w:numPr>
        <w:tabs>
          <w:tab w:pos="1011" w:val="left" w:leader="none"/>
          <w:tab w:pos="1012" w:val="left" w:leader="none"/>
        </w:tabs>
        <w:spacing w:line="242" w:lineRule="auto" w:before="125" w:after="0"/>
        <w:ind w:left="1012" w:right="166" w:hanging="447"/>
        <w:jc w:val="left"/>
        <w:rPr>
          <w:sz w:val="24"/>
        </w:rPr>
      </w:pPr>
      <w:r>
        <w:rPr>
          <w:sz w:val="24"/>
        </w:rPr>
        <w:t>If a </w:t>
      </w:r>
      <w:r>
        <w:rPr>
          <w:spacing w:val="-3"/>
          <w:sz w:val="24"/>
        </w:rPr>
        <w:t>transcription error occurred </w:t>
      </w:r>
      <w:r>
        <w:rPr>
          <w:sz w:val="24"/>
        </w:rPr>
        <w:t>or if the </w:t>
      </w:r>
      <w:r>
        <w:rPr>
          <w:spacing w:val="-3"/>
          <w:sz w:val="24"/>
        </w:rPr>
        <w:t>incorrect line </w:t>
      </w:r>
      <w:r>
        <w:rPr>
          <w:sz w:val="24"/>
        </w:rPr>
        <w:t>was </w:t>
      </w:r>
      <w:r>
        <w:rPr>
          <w:spacing w:val="-3"/>
          <w:sz w:val="24"/>
        </w:rPr>
        <w:t>transcribed </w:t>
      </w:r>
      <w:r>
        <w:rPr>
          <w:sz w:val="24"/>
        </w:rPr>
        <w:t>in the </w:t>
      </w:r>
      <w:r>
        <w:rPr>
          <w:spacing w:val="-3"/>
          <w:sz w:val="24"/>
        </w:rPr>
        <w:t>calculation of </w:t>
      </w:r>
      <w:r>
        <w:rPr>
          <w:sz w:val="24"/>
        </w:rPr>
        <w:t>the </w:t>
      </w:r>
      <w:r>
        <w:rPr>
          <w:spacing w:val="-3"/>
          <w:sz w:val="24"/>
        </w:rPr>
        <w:t>RY14 Pass-Through Costs </w:t>
      </w:r>
      <w:r>
        <w:rPr>
          <w:sz w:val="24"/>
        </w:rPr>
        <w:t>or </w:t>
      </w:r>
      <w:r>
        <w:rPr>
          <w:spacing w:val="-3"/>
          <w:sz w:val="24"/>
        </w:rPr>
        <w:t>capital costs, resulting </w:t>
      </w:r>
      <w:r>
        <w:rPr>
          <w:sz w:val="24"/>
        </w:rPr>
        <w:t>in an </w:t>
      </w:r>
      <w:r>
        <w:rPr>
          <w:spacing w:val="-3"/>
          <w:sz w:val="24"/>
        </w:rPr>
        <w:t>amount </w:t>
      </w:r>
      <w:r>
        <w:rPr>
          <w:sz w:val="24"/>
        </w:rPr>
        <w:t>not </w:t>
      </w:r>
      <w:r>
        <w:rPr>
          <w:spacing w:val="-3"/>
          <w:sz w:val="24"/>
        </w:rPr>
        <w:t>consistent with </w:t>
      </w:r>
      <w:r>
        <w:rPr>
          <w:sz w:val="24"/>
        </w:rPr>
        <w:t>the </w:t>
      </w:r>
      <w:r>
        <w:rPr>
          <w:spacing w:val="-3"/>
          <w:sz w:val="24"/>
        </w:rPr>
        <w:t>methodology, </w:t>
      </w:r>
      <w:r>
        <w:rPr>
          <w:sz w:val="24"/>
        </w:rPr>
        <w:t>a </w:t>
      </w:r>
      <w:r>
        <w:rPr>
          <w:spacing w:val="-3"/>
          <w:sz w:val="24"/>
        </w:rPr>
        <w:t>Hospital may request </w:t>
      </w:r>
      <w:r>
        <w:rPr>
          <w:sz w:val="24"/>
        </w:rPr>
        <w:t>a </w:t>
      </w:r>
      <w:r>
        <w:rPr>
          <w:spacing w:val="-3"/>
          <w:sz w:val="24"/>
        </w:rPr>
        <w:t>correction, which shall </w:t>
      </w:r>
      <w:r>
        <w:rPr>
          <w:sz w:val="24"/>
        </w:rPr>
        <w:t>be at the </w:t>
      </w:r>
      <w:r>
        <w:rPr>
          <w:spacing w:val="-3"/>
          <w:sz w:val="24"/>
        </w:rPr>
        <w:t>sole discretion </w:t>
      </w:r>
      <w:r>
        <w:rPr>
          <w:sz w:val="24"/>
        </w:rPr>
        <w:t>of</w:t>
      </w:r>
      <w:r>
        <w:rPr>
          <w:spacing w:val="-10"/>
          <w:sz w:val="24"/>
        </w:rPr>
        <w:t> </w:t>
      </w:r>
      <w:r>
        <w:rPr>
          <w:spacing w:val="-3"/>
          <w:sz w:val="24"/>
        </w:rPr>
        <w:t>EOHHS.</w:t>
      </w:r>
    </w:p>
    <w:p>
      <w:pPr>
        <w:pStyle w:val="ListParagraph"/>
        <w:numPr>
          <w:ilvl w:val="1"/>
          <w:numId w:val="10"/>
        </w:numPr>
        <w:tabs>
          <w:tab w:pos="1012" w:val="left" w:leader="none"/>
        </w:tabs>
        <w:spacing w:line="244" w:lineRule="auto" w:before="124" w:after="0"/>
        <w:ind w:left="1012" w:right="302" w:hanging="370"/>
        <w:jc w:val="left"/>
        <w:rPr>
          <w:sz w:val="24"/>
        </w:rPr>
      </w:pPr>
      <w:r>
        <w:rPr>
          <w:sz w:val="24"/>
        </w:rPr>
        <w:t>To </w:t>
      </w:r>
      <w:r>
        <w:rPr>
          <w:spacing w:val="-3"/>
          <w:sz w:val="24"/>
        </w:rPr>
        <w:t>qualify </w:t>
      </w:r>
      <w:r>
        <w:rPr>
          <w:sz w:val="24"/>
        </w:rPr>
        <w:t>for a </w:t>
      </w:r>
      <w:r>
        <w:rPr>
          <w:spacing w:val="-3"/>
          <w:sz w:val="24"/>
        </w:rPr>
        <w:t>correction, Hospitals must submit, </w:t>
      </w:r>
      <w:r>
        <w:rPr>
          <w:sz w:val="24"/>
        </w:rPr>
        <w:t>no </w:t>
      </w:r>
      <w:r>
        <w:rPr>
          <w:spacing w:val="-3"/>
          <w:sz w:val="24"/>
        </w:rPr>
        <w:t>later than January </w:t>
      </w:r>
      <w:r>
        <w:rPr>
          <w:sz w:val="24"/>
        </w:rPr>
        <w:t>31, </w:t>
      </w:r>
      <w:r>
        <w:rPr>
          <w:spacing w:val="-3"/>
          <w:sz w:val="24"/>
        </w:rPr>
        <w:t>2014, copies </w:t>
      </w:r>
      <w:r>
        <w:rPr>
          <w:sz w:val="24"/>
        </w:rPr>
        <w:t>of the </w:t>
      </w:r>
      <w:r>
        <w:rPr>
          <w:spacing w:val="-3"/>
          <w:sz w:val="24"/>
        </w:rPr>
        <w:t>relevant report(s), </w:t>
      </w:r>
      <w:r>
        <w:rPr>
          <w:sz w:val="24"/>
        </w:rPr>
        <w:t>as </w:t>
      </w:r>
      <w:r>
        <w:rPr>
          <w:spacing w:val="-3"/>
          <w:sz w:val="24"/>
        </w:rPr>
        <w:t>referenced </w:t>
      </w:r>
      <w:r>
        <w:rPr>
          <w:sz w:val="24"/>
        </w:rPr>
        <w:t>in </w:t>
      </w:r>
      <w:r>
        <w:rPr>
          <w:b/>
          <w:spacing w:val="-3"/>
          <w:sz w:val="24"/>
        </w:rPr>
        <w:t>Sections 5.B.3 </w:t>
      </w:r>
      <w:r>
        <w:rPr>
          <w:sz w:val="24"/>
        </w:rPr>
        <w:t>and </w:t>
      </w:r>
      <w:r>
        <w:rPr>
          <w:b/>
          <w:spacing w:val="-3"/>
          <w:sz w:val="24"/>
        </w:rPr>
        <w:t>5.B.4</w:t>
      </w:r>
      <w:r>
        <w:rPr>
          <w:spacing w:val="-3"/>
          <w:sz w:val="24"/>
        </w:rPr>
        <w:t>, highlighting items found</w:t>
      </w:r>
      <w:r>
        <w:rPr>
          <w:spacing w:val="-6"/>
          <w:sz w:val="24"/>
        </w:rPr>
        <w:t> </w:t>
      </w:r>
      <w:r>
        <w:rPr>
          <w:sz w:val="24"/>
        </w:rPr>
        <w:t>to</w:t>
      </w:r>
      <w:r>
        <w:rPr>
          <w:spacing w:val="-6"/>
          <w:sz w:val="24"/>
        </w:rPr>
        <w:t> </w:t>
      </w:r>
      <w:r>
        <w:rPr>
          <w:sz w:val="24"/>
        </w:rPr>
        <w:t>be</w:t>
      </w:r>
      <w:r>
        <w:rPr>
          <w:spacing w:val="-6"/>
          <w:sz w:val="24"/>
        </w:rPr>
        <w:t> </w:t>
      </w:r>
      <w:r>
        <w:rPr>
          <w:sz w:val="24"/>
        </w:rPr>
        <w:t>in</w:t>
      </w:r>
      <w:r>
        <w:rPr>
          <w:spacing w:val="-6"/>
          <w:sz w:val="24"/>
        </w:rPr>
        <w:t> </w:t>
      </w:r>
      <w:r>
        <w:rPr>
          <w:spacing w:val="-3"/>
          <w:sz w:val="24"/>
        </w:rPr>
        <w:t>error,</w:t>
      </w:r>
      <w:r>
        <w:rPr>
          <w:spacing w:val="-6"/>
          <w:sz w:val="24"/>
        </w:rPr>
        <w:t> </w:t>
      </w:r>
      <w:r>
        <w:rPr>
          <w:sz w:val="24"/>
        </w:rPr>
        <w:t>to</w:t>
      </w:r>
      <w:r>
        <w:rPr>
          <w:spacing w:val="-6"/>
          <w:sz w:val="24"/>
        </w:rPr>
        <w:t> </w:t>
      </w:r>
      <w:r>
        <w:rPr>
          <w:spacing w:val="-3"/>
          <w:sz w:val="24"/>
        </w:rPr>
        <w:t>Kiki</w:t>
      </w:r>
      <w:r>
        <w:rPr>
          <w:spacing w:val="-6"/>
          <w:sz w:val="24"/>
        </w:rPr>
        <w:t> </w:t>
      </w:r>
      <w:r>
        <w:rPr>
          <w:spacing w:val="-3"/>
          <w:sz w:val="24"/>
        </w:rPr>
        <w:t>Feldmar</w:t>
      </w:r>
      <w:r>
        <w:rPr>
          <w:spacing w:val="-6"/>
          <w:sz w:val="24"/>
        </w:rPr>
        <w:t> </w:t>
      </w:r>
      <w:r>
        <w:rPr>
          <w:sz w:val="24"/>
        </w:rPr>
        <w:t>at</w:t>
      </w:r>
      <w:r>
        <w:rPr>
          <w:spacing w:val="-6"/>
          <w:sz w:val="24"/>
        </w:rPr>
        <w:t> </w:t>
      </w:r>
      <w:r>
        <w:rPr>
          <w:sz w:val="24"/>
        </w:rPr>
        <w:t>the</w:t>
      </w:r>
      <w:r>
        <w:rPr>
          <w:spacing w:val="-6"/>
          <w:sz w:val="24"/>
        </w:rPr>
        <w:t> </w:t>
      </w:r>
      <w:r>
        <w:rPr>
          <w:spacing w:val="-3"/>
          <w:sz w:val="24"/>
        </w:rPr>
        <w:t>following</w:t>
      </w:r>
      <w:r>
        <w:rPr>
          <w:spacing w:val="-6"/>
          <w:sz w:val="24"/>
        </w:rPr>
        <w:t> </w:t>
      </w:r>
      <w:r>
        <w:rPr>
          <w:spacing w:val="-3"/>
          <w:sz w:val="24"/>
        </w:rPr>
        <w:t>address:</w:t>
      </w:r>
    </w:p>
    <w:p>
      <w:pPr>
        <w:pStyle w:val="BodyText"/>
        <w:spacing w:before="117"/>
        <w:ind w:left="1012"/>
      </w:pPr>
      <w:r>
        <w:rPr/>
        <w:t>Kiki Feldmar</w:t>
      </w:r>
    </w:p>
    <w:p>
      <w:pPr>
        <w:pStyle w:val="BodyText"/>
        <w:spacing w:line="242" w:lineRule="auto" w:before="3"/>
        <w:ind w:left="1012" w:right="4123"/>
      </w:pPr>
      <w:r>
        <w:rPr>
          <w:spacing w:val="-3"/>
        </w:rPr>
        <w:t>Executive Office </w:t>
      </w:r>
      <w:r>
        <w:rPr/>
        <w:t>of </w:t>
      </w:r>
      <w:r>
        <w:rPr>
          <w:spacing w:val="-3"/>
        </w:rPr>
        <w:t>Health </w:t>
      </w:r>
      <w:r>
        <w:rPr/>
        <w:t>and </w:t>
      </w:r>
      <w:r>
        <w:rPr>
          <w:spacing w:val="-3"/>
        </w:rPr>
        <w:t>Human Services MassHealth Office </w:t>
      </w:r>
      <w:r>
        <w:rPr/>
        <w:t>of </w:t>
      </w:r>
      <w:r>
        <w:rPr>
          <w:spacing w:val="-3"/>
        </w:rPr>
        <w:t>Providers </w:t>
      </w:r>
      <w:r>
        <w:rPr/>
        <w:t>and </w:t>
      </w:r>
      <w:r>
        <w:rPr>
          <w:spacing w:val="-3"/>
        </w:rPr>
        <w:t>Plans</w:t>
      </w:r>
    </w:p>
    <w:p>
      <w:pPr>
        <w:pStyle w:val="BodyText"/>
        <w:spacing w:line="280" w:lineRule="exact" w:before="1"/>
        <w:ind w:left="1014" w:right="5831" w:hanging="3"/>
      </w:pPr>
      <w:r>
        <w:rPr/>
        <w:t>100 Hancock Street, 6</w:t>
      </w:r>
      <w:r>
        <w:rPr>
          <w:position w:val="11"/>
          <w:sz w:val="16"/>
        </w:rPr>
        <w:t>th </w:t>
      </w:r>
      <w:r>
        <w:rPr/>
        <w:t>Floor Quincy, MA 02171</w:t>
      </w:r>
      <w:r>
        <w:rPr>
          <w:color w:val="0000FF"/>
          <w:u w:val="single" w:color="0000FF"/>
        </w:rPr>
        <w:t> </w:t>
      </w:r>
      <w:hyperlink r:id="rId6">
        <w:r>
          <w:rPr>
            <w:color w:val="0000FF"/>
            <w:u w:val="single" w:color="0000FF"/>
          </w:rPr>
          <w:t>kiki.feldmar@state.ma.us</w:t>
        </w:r>
      </w:hyperlink>
    </w:p>
    <w:p>
      <w:pPr>
        <w:pStyle w:val="BodyText"/>
        <w:spacing w:before="10"/>
        <w:rPr>
          <w:sz w:val="16"/>
        </w:rPr>
      </w:pPr>
    </w:p>
    <w:p>
      <w:pPr>
        <w:pStyle w:val="Heading3"/>
        <w:numPr>
          <w:ilvl w:val="0"/>
          <w:numId w:val="10"/>
        </w:numPr>
        <w:tabs>
          <w:tab w:pos="565" w:val="left" w:leader="none"/>
          <w:tab w:pos="566" w:val="left" w:leader="none"/>
        </w:tabs>
        <w:spacing w:line="240" w:lineRule="auto" w:before="90" w:after="0"/>
        <w:ind w:left="565" w:right="0" w:hanging="446"/>
        <w:jc w:val="left"/>
      </w:pPr>
      <w:r>
        <w:rPr>
          <w:spacing w:val="-3"/>
        </w:rPr>
        <w:t>Incorrect Determination </w:t>
      </w:r>
      <w:r>
        <w:rPr/>
        <w:t>of</w:t>
      </w:r>
      <w:r>
        <w:rPr>
          <w:spacing w:val="-6"/>
        </w:rPr>
        <w:t> </w:t>
      </w:r>
      <w:r>
        <w:rPr>
          <w:spacing w:val="-3"/>
        </w:rPr>
        <w:t>Casemix</w:t>
      </w:r>
    </w:p>
    <w:p>
      <w:pPr>
        <w:pStyle w:val="BodyText"/>
        <w:spacing w:before="9"/>
        <w:rPr>
          <w:b/>
        </w:rPr>
      </w:pPr>
    </w:p>
    <w:p>
      <w:pPr>
        <w:pStyle w:val="ListParagraph"/>
        <w:numPr>
          <w:ilvl w:val="1"/>
          <w:numId w:val="10"/>
        </w:numPr>
        <w:tabs>
          <w:tab w:pos="922" w:val="left" w:leader="none"/>
        </w:tabs>
        <w:spacing w:line="244" w:lineRule="auto" w:before="1" w:after="0"/>
        <w:ind w:left="922" w:right="244" w:hanging="370"/>
        <w:jc w:val="left"/>
        <w:rPr>
          <w:sz w:val="24"/>
        </w:rPr>
      </w:pPr>
      <w:r>
        <w:rPr>
          <w:spacing w:val="-3"/>
          <w:sz w:val="24"/>
        </w:rPr>
        <w:t>Casemix shall </w:t>
      </w:r>
      <w:r>
        <w:rPr>
          <w:sz w:val="24"/>
        </w:rPr>
        <w:t>be </w:t>
      </w:r>
      <w:r>
        <w:rPr>
          <w:spacing w:val="-3"/>
          <w:sz w:val="24"/>
        </w:rPr>
        <w:t>calculated </w:t>
      </w:r>
      <w:r>
        <w:rPr>
          <w:sz w:val="24"/>
        </w:rPr>
        <w:t>on </w:t>
      </w:r>
      <w:r>
        <w:rPr>
          <w:spacing w:val="-3"/>
          <w:sz w:val="24"/>
        </w:rPr>
        <w:t>claims </w:t>
      </w:r>
      <w:r>
        <w:rPr>
          <w:sz w:val="24"/>
        </w:rPr>
        <w:t>for </w:t>
      </w:r>
      <w:r>
        <w:rPr>
          <w:spacing w:val="-3"/>
          <w:sz w:val="24"/>
        </w:rPr>
        <w:t>inpatient discharges </w:t>
      </w:r>
      <w:r>
        <w:rPr>
          <w:sz w:val="24"/>
        </w:rPr>
        <w:t>as </w:t>
      </w:r>
      <w:r>
        <w:rPr>
          <w:spacing w:val="-3"/>
          <w:sz w:val="24"/>
        </w:rPr>
        <w:t>described </w:t>
      </w:r>
      <w:r>
        <w:rPr>
          <w:sz w:val="24"/>
        </w:rPr>
        <w:t>in </w:t>
      </w:r>
      <w:r>
        <w:rPr>
          <w:b/>
          <w:spacing w:val="-3"/>
          <w:sz w:val="24"/>
        </w:rPr>
        <w:t>Section 5.B </w:t>
      </w:r>
      <w:r>
        <w:rPr>
          <w:sz w:val="24"/>
        </w:rPr>
        <w:t>and for </w:t>
      </w:r>
      <w:r>
        <w:rPr>
          <w:spacing w:val="-3"/>
          <w:sz w:val="24"/>
        </w:rPr>
        <w:t>outpatient Episodes </w:t>
      </w:r>
      <w:r>
        <w:rPr>
          <w:sz w:val="24"/>
        </w:rPr>
        <w:t>as </w:t>
      </w:r>
      <w:r>
        <w:rPr>
          <w:spacing w:val="-3"/>
          <w:sz w:val="24"/>
        </w:rPr>
        <w:t>described </w:t>
      </w:r>
      <w:r>
        <w:rPr>
          <w:sz w:val="24"/>
        </w:rPr>
        <w:t>in </w:t>
      </w:r>
      <w:r>
        <w:rPr>
          <w:b/>
          <w:spacing w:val="-3"/>
          <w:sz w:val="24"/>
        </w:rPr>
        <w:t>Section 5.C</w:t>
      </w:r>
      <w:r>
        <w:rPr>
          <w:spacing w:val="-3"/>
          <w:sz w:val="24"/>
        </w:rPr>
        <w:t>. </w:t>
      </w:r>
      <w:r>
        <w:rPr>
          <w:sz w:val="24"/>
        </w:rPr>
        <w:t>In the </w:t>
      </w:r>
      <w:r>
        <w:rPr>
          <w:spacing w:val="-3"/>
          <w:sz w:val="24"/>
        </w:rPr>
        <w:t>event </w:t>
      </w:r>
      <w:r>
        <w:rPr>
          <w:sz w:val="24"/>
        </w:rPr>
        <w:t>of an </w:t>
      </w:r>
      <w:r>
        <w:rPr>
          <w:spacing w:val="-3"/>
          <w:sz w:val="24"/>
        </w:rPr>
        <w:t>error </w:t>
      </w:r>
      <w:r>
        <w:rPr>
          <w:sz w:val="24"/>
        </w:rPr>
        <w:t>in </w:t>
      </w:r>
      <w:r>
        <w:rPr>
          <w:spacing w:val="-3"/>
          <w:sz w:val="24"/>
        </w:rPr>
        <w:t>the calculations </w:t>
      </w:r>
      <w:r>
        <w:rPr>
          <w:sz w:val="24"/>
        </w:rPr>
        <w:t>of </w:t>
      </w:r>
      <w:r>
        <w:rPr>
          <w:spacing w:val="-3"/>
          <w:sz w:val="24"/>
        </w:rPr>
        <w:t>casemix made </w:t>
      </w:r>
      <w:r>
        <w:rPr>
          <w:sz w:val="24"/>
        </w:rPr>
        <w:t>by </w:t>
      </w:r>
      <w:r>
        <w:rPr>
          <w:spacing w:val="-3"/>
          <w:sz w:val="24"/>
        </w:rPr>
        <w:t>EOHHS, </w:t>
      </w:r>
      <w:r>
        <w:rPr>
          <w:sz w:val="24"/>
        </w:rPr>
        <w:t>for </w:t>
      </w:r>
      <w:r>
        <w:rPr>
          <w:spacing w:val="-3"/>
          <w:sz w:val="24"/>
        </w:rPr>
        <w:t>Inpatient </w:t>
      </w:r>
      <w:r>
        <w:rPr>
          <w:sz w:val="24"/>
        </w:rPr>
        <w:t>or </w:t>
      </w:r>
      <w:r>
        <w:rPr>
          <w:spacing w:val="-3"/>
          <w:sz w:val="24"/>
        </w:rPr>
        <w:t>Outpatient Services, resulting in </w:t>
      </w:r>
      <w:r>
        <w:rPr>
          <w:sz w:val="24"/>
        </w:rPr>
        <w:t>an </w:t>
      </w:r>
      <w:r>
        <w:rPr>
          <w:spacing w:val="-3"/>
          <w:sz w:val="24"/>
        </w:rPr>
        <w:t>amount </w:t>
      </w:r>
      <w:r>
        <w:rPr>
          <w:sz w:val="24"/>
        </w:rPr>
        <w:t>not </w:t>
      </w:r>
      <w:r>
        <w:rPr>
          <w:spacing w:val="-3"/>
          <w:sz w:val="24"/>
        </w:rPr>
        <w:t>consistent with </w:t>
      </w:r>
      <w:r>
        <w:rPr>
          <w:sz w:val="24"/>
        </w:rPr>
        <w:t>the </w:t>
      </w:r>
      <w:r>
        <w:rPr>
          <w:spacing w:val="-3"/>
          <w:sz w:val="24"/>
        </w:rPr>
        <w:t>methodology </w:t>
      </w:r>
      <w:r>
        <w:rPr>
          <w:sz w:val="24"/>
        </w:rPr>
        <w:t>and </w:t>
      </w:r>
      <w:r>
        <w:rPr>
          <w:spacing w:val="-3"/>
          <w:sz w:val="24"/>
        </w:rPr>
        <w:t>where </w:t>
      </w:r>
      <w:r>
        <w:rPr>
          <w:sz w:val="24"/>
        </w:rPr>
        <w:t>the </w:t>
      </w:r>
      <w:r>
        <w:rPr>
          <w:spacing w:val="-3"/>
          <w:sz w:val="24"/>
        </w:rPr>
        <w:t>effect </w:t>
      </w:r>
      <w:r>
        <w:rPr>
          <w:sz w:val="24"/>
        </w:rPr>
        <w:t>of the </w:t>
      </w:r>
      <w:r>
        <w:rPr>
          <w:spacing w:val="-3"/>
          <w:sz w:val="24"/>
        </w:rPr>
        <w:t>error </w:t>
      </w:r>
      <w:r>
        <w:rPr>
          <w:sz w:val="24"/>
        </w:rPr>
        <w:t>is a </w:t>
      </w:r>
      <w:r>
        <w:rPr>
          <w:spacing w:val="-3"/>
          <w:sz w:val="24"/>
        </w:rPr>
        <w:t>decrease </w:t>
      </w:r>
      <w:r>
        <w:rPr>
          <w:sz w:val="24"/>
        </w:rPr>
        <w:t>in the </w:t>
      </w:r>
      <w:r>
        <w:rPr>
          <w:spacing w:val="-3"/>
          <w:sz w:val="24"/>
        </w:rPr>
        <w:t>Hospital’s SPAD </w:t>
      </w:r>
      <w:r>
        <w:rPr>
          <w:sz w:val="24"/>
        </w:rPr>
        <w:t>or </w:t>
      </w:r>
      <w:r>
        <w:rPr>
          <w:spacing w:val="-3"/>
          <w:sz w:val="24"/>
        </w:rPr>
        <w:t>PAPE </w:t>
      </w:r>
      <w:r>
        <w:rPr>
          <w:sz w:val="24"/>
        </w:rPr>
        <w:t>of 2% or </w:t>
      </w:r>
      <w:r>
        <w:rPr>
          <w:spacing w:val="-3"/>
          <w:sz w:val="24"/>
        </w:rPr>
        <w:t>more, </w:t>
      </w:r>
      <w:r>
        <w:rPr>
          <w:sz w:val="24"/>
        </w:rPr>
        <w:t>a </w:t>
      </w:r>
      <w:r>
        <w:rPr>
          <w:spacing w:val="-3"/>
          <w:sz w:val="24"/>
        </w:rPr>
        <w:t>Hospital may request </w:t>
      </w:r>
      <w:r>
        <w:rPr>
          <w:sz w:val="24"/>
        </w:rPr>
        <w:t>a </w:t>
      </w:r>
      <w:r>
        <w:rPr>
          <w:spacing w:val="-3"/>
          <w:sz w:val="24"/>
        </w:rPr>
        <w:t>correction</w:t>
      </w:r>
      <w:r>
        <w:rPr>
          <w:spacing w:val="-6"/>
          <w:sz w:val="24"/>
        </w:rPr>
        <w:t> </w:t>
      </w:r>
      <w:r>
        <w:rPr>
          <w:sz w:val="24"/>
        </w:rPr>
        <w:t>to</w:t>
      </w:r>
      <w:r>
        <w:rPr>
          <w:spacing w:val="-6"/>
          <w:sz w:val="24"/>
        </w:rPr>
        <w:t> </w:t>
      </w:r>
      <w:r>
        <w:rPr>
          <w:sz w:val="24"/>
        </w:rPr>
        <w:t>its</w:t>
      </w:r>
      <w:r>
        <w:rPr>
          <w:spacing w:val="-6"/>
          <w:sz w:val="24"/>
        </w:rPr>
        <w:t> </w:t>
      </w:r>
      <w:r>
        <w:rPr>
          <w:spacing w:val="-3"/>
          <w:sz w:val="24"/>
        </w:rPr>
        <w:t>RY14</w:t>
      </w:r>
      <w:r>
        <w:rPr>
          <w:spacing w:val="-6"/>
          <w:sz w:val="24"/>
        </w:rPr>
        <w:t> </w:t>
      </w:r>
      <w:r>
        <w:rPr>
          <w:spacing w:val="-3"/>
          <w:sz w:val="24"/>
        </w:rPr>
        <w:t>casemix,</w:t>
      </w:r>
      <w:r>
        <w:rPr>
          <w:spacing w:val="-6"/>
          <w:sz w:val="24"/>
        </w:rPr>
        <w:t> </w:t>
      </w:r>
      <w:r>
        <w:rPr>
          <w:spacing w:val="-3"/>
          <w:sz w:val="24"/>
        </w:rPr>
        <w:t>which</w:t>
      </w:r>
      <w:r>
        <w:rPr>
          <w:spacing w:val="-6"/>
          <w:sz w:val="24"/>
        </w:rPr>
        <w:t> </w:t>
      </w:r>
      <w:r>
        <w:rPr>
          <w:spacing w:val="-3"/>
          <w:sz w:val="24"/>
        </w:rPr>
        <w:t>shall</w:t>
      </w:r>
      <w:r>
        <w:rPr>
          <w:spacing w:val="-6"/>
          <w:sz w:val="24"/>
        </w:rPr>
        <w:t> </w:t>
      </w:r>
      <w:r>
        <w:rPr>
          <w:sz w:val="24"/>
        </w:rPr>
        <w:t>be</w:t>
      </w:r>
      <w:r>
        <w:rPr>
          <w:spacing w:val="-6"/>
          <w:sz w:val="24"/>
        </w:rPr>
        <w:t> </w:t>
      </w:r>
      <w:r>
        <w:rPr>
          <w:sz w:val="24"/>
        </w:rPr>
        <w:t>at</w:t>
      </w:r>
      <w:r>
        <w:rPr>
          <w:spacing w:val="-6"/>
          <w:sz w:val="24"/>
        </w:rPr>
        <w:t> </w:t>
      </w:r>
      <w:r>
        <w:rPr>
          <w:sz w:val="24"/>
        </w:rPr>
        <w:t>the</w:t>
      </w:r>
      <w:r>
        <w:rPr>
          <w:spacing w:val="-6"/>
          <w:sz w:val="24"/>
        </w:rPr>
        <w:t> </w:t>
      </w:r>
      <w:r>
        <w:rPr>
          <w:spacing w:val="-3"/>
          <w:sz w:val="24"/>
        </w:rPr>
        <w:t>sole</w:t>
      </w:r>
      <w:r>
        <w:rPr>
          <w:spacing w:val="-6"/>
          <w:sz w:val="24"/>
        </w:rPr>
        <w:t> </w:t>
      </w:r>
      <w:r>
        <w:rPr>
          <w:spacing w:val="-3"/>
          <w:sz w:val="24"/>
        </w:rPr>
        <w:t>discretion</w:t>
      </w:r>
      <w:r>
        <w:rPr>
          <w:spacing w:val="-6"/>
          <w:sz w:val="24"/>
        </w:rPr>
        <w:t> </w:t>
      </w:r>
      <w:r>
        <w:rPr>
          <w:sz w:val="24"/>
        </w:rPr>
        <w:t>of</w:t>
      </w:r>
      <w:r>
        <w:rPr>
          <w:spacing w:val="-6"/>
          <w:sz w:val="24"/>
        </w:rPr>
        <w:t> </w:t>
      </w:r>
      <w:r>
        <w:rPr>
          <w:spacing w:val="-3"/>
          <w:sz w:val="24"/>
        </w:rPr>
        <w:t>EOHHS.</w:t>
      </w:r>
    </w:p>
    <w:p>
      <w:pPr>
        <w:pStyle w:val="ListParagraph"/>
        <w:numPr>
          <w:ilvl w:val="1"/>
          <w:numId w:val="10"/>
        </w:numPr>
        <w:tabs>
          <w:tab w:pos="926" w:val="left" w:leader="none"/>
        </w:tabs>
        <w:spacing w:line="242" w:lineRule="auto" w:before="122" w:after="0"/>
        <w:ind w:left="925" w:right="139" w:hanging="374"/>
        <w:jc w:val="left"/>
        <w:rPr>
          <w:sz w:val="24"/>
        </w:rPr>
      </w:pPr>
      <w:r>
        <w:rPr>
          <w:sz w:val="24"/>
        </w:rPr>
        <w:t>In the </w:t>
      </w:r>
      <w:r>
        <w:rPr>
          <w:spacing w:val="-3"/>
          <w:sz w:val="24"/>
        </w:rPr>
        <w:t>event </w:t>
      </w:r>
      <w:r>
        <w:rPr>
          <w:sz w:val="24"/>
        </w:rPr>
        <w:t>of a </w:t>
      </w:r>
      <w:r>
        <w:rPr>
          <w:spacing w:val="-3"/>
          <w:sz w:val="24"/>
        </w:rPr>
        <w:t>Hospital reporting error where </w:t>
      </w:r>
      <w:r>
        <w:rPr>
          <w:sz w:val="24"/>
        </w:rPr>
        <w:t>the </w:t>
      </w:r>
      <w:r>
        <w:rPr>
          <w:spacing w:val="-3"/>
          <w:sz w:val="24"/>
        </w:rPr>
        <w:t>effect </w:t>
      </w:r>
      <w:r>
        <w:rPr>
          <w:sz w:val="24"/>
        </w:rPr>
        <w:t>of the </w:t>
      </w:r>
      <w:r>
        <w:rPr>
          <w:spacing w:val="-3"/>
          <w:sz w:val="24"/>
        </w:rPr>
        <w:t>error </w:t>
      </w:r>
      <w:r>
        <w:rPr>
          <w:sz w:val="24"/>
        </w:rPr>
        <w:t>is a </w:t>
      </w:r>
      <w:r>
        <w:rPr>
          <w:spacing w:val="-3"/>
          <w:sz w:val="24"/>
        </w:rPr>
        <w:t>decrease </w:t>
      </w:r>
      <w:r>
        <w:rPr>
          <w:sz w:val="24"/>
        </w:rPr>
        <w:t>in </w:t>
      </w:r>
      <w:r>
        <w:rPr>
          <w:spacing w:val="-3"/>
          <w:sz w:val="24"/>
        </w:rPr>
        <w:t>the Hospital’s SPAD </w:t>
      </w:r>
      <w:r>
        <w:rPr>
          <w:sz w:val="24"/>
        </w:rPr>
        <w:t>of 30% or </w:t>
      </w:r>
      <w:r>
        <w:rPr>
          <w:spacing w:val="-3"/>
          <w:sz w:val="24"/>
        </w:rPr>
        <w:t>more, EOHHS may, </w:t>
      </w:r>
      <w:r>
        <w:rPr>
          <w:sz w:val="24"/>
        </w:rPr>
        <w:t>in its </w:t>
      </w:r>
      <w:r>
        <w:rPr>
          <w:spacing w:val="-3"/>
          <w:sz w:val="24"/>
        </w:rPr>
        <w:t>sole discretion, consider revised data submitted </w:t>
      </w:r>
      <w:r>
        <w:rPr>
          <w:sz w:val="24"/>
        </w:rPr>
        <w:t>to </w:t>
      </w:r>
      <w:r>
        <w:rPr>
          <w:spacing w:val="-3"/>
          <w:sz w:val="24"/>
        </w:rPr>
        <w:t>EOHHS </w:t>
      </w:r>
      <w:r>
        <w:rPr>
          <w:sz w:val="24"/>
        </w:rPr>
        <w:t>by the</w:t>
      </w:r>
      <w:r>
        <w:rPr>
          <w:spacing w:val="-27"/>
          <w:sz w:val="24"/>
        </w:rPr>
        <w:t> </w:t>
      </w:r>
      <w:r>
        <w:rPr>
          <w:spacing w:val="-3"/>
          <w:sz w:val="24"/>
        </w:rPr>
        <w:t>Hospital.</w:t>
      </w:r>
    </w:p>
    <w:p>
      <w:pPr>
        <w:pStyle w:val="ListParagraph"/>
        <w:numPr>
          <w:ilvl w:val="1"/>
          <w:numId w:val="10"/>
        </w:numPr>
        <w:tabs>
          <w:tab w:pos="925" w:val="left" w:leader="none"/>
          <w:tab w:pos="926" w:val="left" w:leader="none"/>
        </w:tabs>
        <w:spacing w:line="242" w:lineRule="auto" w:before="124" w:after="0"/>
        <w:ind w:left="925" w:right="123" w:hanging="374"/>
        <w:jc w:val="left"/>
        <w:rPr>
          <w:sz w:val="24"/>
        </w:rPr>
      </w:pPr>
      <w:r>
        <w:rPr>
          <w:sz w:val="24"/>
        </w:rPr>
        <w:t>To </w:t>
      </w:r>
      <w:r>
        <w:rPr>
          <w:spacing w:val="-3"/>
          <w:sz w:val="24"/>
        </w:rPr>
        <w:t>qualify </w:t>
      </w:r>
      <w:r>
        <w:rPr>
          <w:sz w:val="24"/>
        </w:rPr>
        <w:t>for a </w:t>
      </w:r>
      <w:r>
        <w:rPr>
          <w:spacing w:val="-3"/>
          <w:sz w:val="24"/>
        </w:rPr>
        <w:t>correction, Hospitals must contact EOHHS </w:t>
      </w:r>
      <w:r>
        <w:rPr>
          <w:sz w:val="24"/>
        </w:rPr>
        <w:t>in </w:t>
      </w:r>
      <w:r>
        <w:rPr>
          <w:spacing w:val="-3"/>
          <w:sz w:val="24"/>
        </w:rPr>
        <w:t>writing, </w:t>
      </w:r>
      <w:r>
        <w:rPr>
          <w:sz w:val="24"/>
        </w:rPr>
        <w:t>no </w:t>
      </w:r>
      <w:r>
        <w:rPr>
          <w:spacing w:val="-3"/>
          <w:sz w:val="24"/>
        </w:rPr>
        <w:t>later than January </w:t>
      </w:r>
      <w:r>
        <w:rPr>
          <w:sz w:val="24"/>
        </w:rPr>
        <w:t>31, </w:t>
      </w:r>
      <w:r>
        <w:rPr>
          <w:spacing w:val="-3"/>
          <w:sz w:val="24"/>
        </w:rPr>
        <w:t>2014, </w:t>
      </w:r>
      <w:r>
        <w:rPr>
          <w:sz w:val="24"/>
        </w:rPr>
        <w:t>and </w:t>
      </w:r>
      <w:r>
        <w:rPr>
          <w:spacing w:val="-3"/>
          <w:sz w:val="24"/>
        </w:rPr>
        <w:t>must include with their request </w:t>
      </w:r>
      <w:r>
        <w:rPr>
          <w:sz w:val="24"/>
        </w:rPr>
        <w:t>for a </w:t>
      </w:r>
      <w:r>
        <w:rPr>
          <w:spacing w:val="-3"/>
          <w:sz w:val="24"/>
        </w:rPr>
        <w:t>correction </w:t>
      </w:r>
      <w:r>
        <w:rPr>
          <w:sz w:val="24"/>
        </w:rPr>
        <w:t>all of the </w:t>
      </w:r>
      <w:r>
        <w:rPr>
          <w:spacing w:val="-3"/>
          <w:sz w:val="24"/>
        </w:rPr>
        <w:t>necessary documentation </w:t>
      </w:r>
      <w:r>
        <w:rPr>
          <w:sz w:val="24"/>
        </w:rPr>
        <w:t>for </w:t>
      </w:r>
      <w:r>
        <w:rPr>
          <w:spacing w:val="-3"/>
          <w:sz w:val="24"/>
        </w:rPr>
        <w:t>each </w:t>
      </w:r>
      <w:r>
        <w:rPr>
          <w:sz w:val="24"/>
        </w:rPr>
        <w:t>and </w:t>
      </w:r>
      <w:r>
        <w:rPr>
          <w:spacing w:val="-3"/>
          <w:sz w:val="24"/>
        </w:rPr>
        <w:t>every contested claim that </w:t>
      </w:r>
      <w:r>
        <w:rPr>
          <w:sz w:val="24"/>
        </w:rPr>
        <w:t>is </w:t>
      </w:r>
      <w:r>
        <w:rPr>
          <w:spacing w:val="-3"/>
          <w:sz w:val="24"/>
        </w:rPr>
        <w:t>part </w:t>
      </w:r>
      <w:r>
        <w:rPr>
          <w:sz w:val="24"/>
        </w:rPr>
        <w:t>of the </w:t>
      </w:r>
      <w:r>
        <w:rPr>
          <w:spacing w:val="-3"/>
          <w:sz w:val="24"/>
        </w:rPr>
        <w:t>requested correction to demonstrate that </w:t>
      </w:r>
      <w:r>
        <w:rPr>
          <w:sz w:val="24"/>
        </w:rPr>
        <w:t>an </w:t>
      </w:r>
      <w:r>
        <w:rPr>
          <w:spacing w:val="-3"/>
          <w:sz w:val="24"/>
        </w:rPr>
        <w:t>error </w:t>
      </w:r>
      <w:r>
        <w:rPr>
          <w:sz w:val="24"/>
        </w:rPr>
        <w:t>has </w:t>
      </w:r>
      <w:r>
        <w:rPr>
          <w:spacing w:val="-3"/>
          <w:sz w:val="24"/>
        </w:rPr>
        <w:t>occurred. Requests </w:t>
      </w:r>
      <w:r>
        <w:rPr>
          <w:sz w:val="24"/>
        </w:rPr>
        <w:t>for </w:t>
      </w:r>
      <w:r>
        <w:rPr>
          <w:spacing w:val="-3"/>
          <w:sz w:val="24"/>
        </w:rPr>
        <w:t>corrections that </w:t>
      </w:r>
      <w:r>
        <w:rPr>
          <w:sz w:val="24"/>
        </w:rPr>
        <w:t>do not </w:t>
      </w:r>
      <w:r>
        <w:rPr>
          <w:spacing w:val="-3"/>
          <w:sz w:val="24"/>
        </w:rPr>
        <w:t>include </w:t>
      </w:r>
      <w:r>
        <w:rPr>
          <w:spacing w:val="-3"/>
          <w:sz w:val="24"/>
          <w:u w:val="single"/>
        </w:rPr>
        <w:t>all</w:t>
      </w:r>
      <w:r>
        <w:rPr>
          <w:spacing w:val="-3"/>
          <w:sz w:val="24"/>
        </w:rPr>
        <w:t> necessary documentation </w:t>
      </w:r>
      <w:r>
        <w:rPr>
          <w:spacing w:val="-3"/>
          <w:sz w:val="24"/>
          <w:u w:val="single"/>
        </w:rPr>
        <w:t>will </w:t>
      </w:r>
      <w:r>
        <w:rPr>
          <w:sz w:val="24"/>
          <w:u w:val="single"/>
        </w:rPr>
        <w:t>not</w:t>
      </w:r>
      <w:r>
        <w:rPr>
          <w:sz w:val="24"/>
        </w:rPr>
        <w:t> be</w:t>
      </w:r>
      <w:r>
        <w:rPr>
          <w:spacing w:val="-16"/>
          <w:sz w:val="24"/>
        </w:rPr>
        <w:t> </w:t>
      </w:r>
      <w:r>
        <w:rPr>
          <w:spacing w:val="-3"/>
          <w:sz w:val="24"/>
        </w:rPr>
        <w:t>considered.</w:t>
      </w:r>
    </w:p>
    <w:p>
      <w:pPr>
        <w:pStyle w:val="BodyText"/>
        <w:spacing w:line="400" w:lineRule="exact" w:before="24"/>
        <w:ind w:left="925" w:right="3359"/>
      </w:pPr>
      <w:r>
        <w:rPr>
          <w:spacing w:val="-3"/>
        </w:rPr>
        <w:t>Please contact Kiki Feldmar </w:t>
      </w:r>
      <w:r>
        <w:rPr/>
        <w:t>at the </w:t>
      </w:r>
      <w:r>
        <w:rPr>
          <w:spacing w:val="-3"/>
        </w:rPr>
        <w:t>following address: Kiki Feldmar</w:t>
      </w:r>
    </w:p>
    <w:p>
      <w:pPr>
        <w:pStyle w:val="BodyText"/>
        <w:spacing w:line="252" w:lineRule="exact"/>
        <w:ind w:left="925"/>
      </w:pPr>
      <w:r>
        <w:rPr/>
        <w:t>Executive Office of Health and Human Services</w:t>
      </w:r>
    </w:p>
    <w:p>
      <w:pPr>
        <w:pStyle w:val="BodyText"/>
        <w:spacing w:line="216" w:lineRule="auto" w:before="31"/>
        <w:ind w:left="925" w:right="4787"/>
      </w:pPr>
      <w:r>
        <w:rPr>
          <w:spacing w:val="-3"/>
        </w:rPr>
        <w:t>MassHealth Office </w:t>
      </w:r>
      <w:r>
        <w:rPr/>
        <w:t>of </w:t>
      </w:r>
      <w:r>
        <w:rPr>
          <w:spacing w:val="-3"/>
        </w:rPr>
        <w:t>Providers </w:t>
      </w:r>
      <w:r>
        <w:rPr/>
        <w:t>and </w:t>
      </w:r>
      <w:r>
        <w:rPr>
          <w:spacing w:val="-3"/>
        </w:rPr>
        <w:t>Plans </w:t>
      </w:r>
      <w:r>
        <w:rPr/>
        <w:t>100 </w:t>
      </w:r>
      <w:r>
        <w:rPr>
          <w:spacing w:val="-3"/>
        </w:rPr>
        <w:t>Hancock Street, </w:t>
      </w:r>
      <w:r>
        <w:rPr/>
        <w:t>6</w:t>
      </w:r>
      <w:r>
        <w:rPr>
          <w:position w:val="11"/>
          <w:sz w:val="16"/>
        </w:rPr>
        <w:t>th </w:t>
      </w:r>
      <w:r>
        <w:rPr>
          <w:spacing w:val="-3"/>
        </w:rPr>
        <w:t>Floor</w:t>
      </w:r>
    </w:p>
    <w:p>
      <w:pPr>
        <w:pStyle w:val="BodyText"/>
        <w:spacing w:line="242" w:lineRule="auto" w:before="3"/>
        <w:ind w:left="927" w:right="6265"/>
      </w:pPr>
      <w:r>
        <w:rPr/>
        <w:t>Quincy, MA 02171 </w:t>
      </w:r>
      <w:hyperlink r:id="rId6">
        <w:r>
          <w:rPr>
            <w:color w:val="0000FF"/>
            <w:u w:val="single" w:color="0000FF"/>
          </w:rPr>
          <w:t>kiki.feldmar@state.ma.us</w:t>
        </w:r>
      </w:hyperlink>
    </w:p>
    <w:p>
      <w:pPr>
        <w:spacing w:after="0" w:line="242" w:lineRule="auto"/>
        <w:sectPr>
          <w:pgSz w:w="12240" w:h="15840"/>
          <w:pgMar w:header="0" w:footer="744" w:top="1380" w:bottom="940" w:left="1580" w:right="980"/>
        </w:sectPr>
      </w:pPr>
    </w:p>
    <w:p>
      <w:pPr>
        <w:pStyle w:val="Heading3"/>
        <w:numPr>
          <w:ilvl w:val="0"/>
          <w:numId w:val="10"/>
        </w:numPr>
        <w:tabs>
          <w:tab w:pos="1105" w:val="left" w:leader="none"/>
          <w:tab w:pos="1106" w:val="left" w:leader="none"/>
        </w:tabs>
        <w:spacing w:line="240" w:lineRule="auto" w:before="65" w:after="0"/>
        <w:ind w:left="1105" w:right="0" w:hanging="446"/>
        <w:jc w:val="left"/>
      </w:pPr>
      <w:r>
        <w:rPr>
          <w:spacing w:val="-3"/>
        </w:rPr>
        <w:t>Incorrect Determination </w:t>
      </w:r>
      <w:r>
        <w:rPr/>
        <w:t>of </w:t>
      </w:r>
      <w:r>
        <w:rPr>
          <w:spacing w:val="-3"/>
        </w:rPr>
        <w:t>30-Day Potentially Preventable Readmissions</w:t>
      </w:r>
      <w:r>
        <w:rPr>
          <w:spacing w:val="-5"/>
        </w:rPr>
        <w:t> </w:t>
      </w:r>
      <w:r>
        <w:rPr>
          <w:spacing w:val="-3"/>
        </w:rPr>
        <w:t>(PPR)</w:t>
      </w:r>
    </w:p>
    <w:p>
      <w:pPr>
        <w:pStyle w:val="ListParagraph"/>
        <w:numPr>
          <w:ilvl w:val="1"/>
          <w:numId w:val="10"/>
        </w:numPr>
        <w:tabs>
          <w:tab w:pos="1466" w:val="left" w:leader="none"/>
        </w:tabs>
        <w:spacing w:line="242" w:lineRule="auto" w:before="124" w:after="0"/>
        <w:ind w:left="1465" w:right="725" w:hanging="374"/>
        <w:jc w:val="left"/>
        <w:rPr>
          <w:sz w:val="24"/>
        </w:rPr>
      </w:pPr>
      <w:r>
        <w:rPr>
          <w:sz w:val="24"/>
        </w:rPr>
        <w:t>PPR </w:t>
      </w:r>
      <w:r>
        <w:rPr>
          <w:spacing w:val="-3"/>
          <w:sz w:val="24"/>
        </w:rPr>
        <w:t>calculations shall </w:t>
      </w:r>
      <w:r>
        <w:rPr>
          <w:sz w:val="24"/>
        </w:rPr>
        <w:t>be </w:t>
      </w:r>
      <w:r>
        <w:rPr>
          <w:spacing w:val="-3"/>
          <w:sz w:val="24"/>
        </w:rPr>
        <w:t>made </w:t>
      </w:r>
      <w:r>
        <w:rPr>
          <w:sz w:val="24"/>
        </w:rPr>
        <w:t>as </w:t>
      </w:r>
      <w:r>
        <w:rPr>
          <w:spacing w:val="-3"/>
          <w:sz w:val="24"/>
        </w:rPr>
        <w:t>described </w:t>
      </w:r>
      <w:r>
        <w:rPr>
          <w:sz w:val="24"/>
        </w:rPr>
        <w:t>in </w:t>
      </w:r>
      <w:r>
        <w:rPr>
          <w:b/>
          <w:spacing w:val="-3"/>
          <w:sz w:val="24"/>
        </w:rPr>
        <w:t>Section </w:t>
      </w:r>
      <w:r>
        <w:rPr>
          <w:b/>
          <w:sz w:val="24"/>
        </w:rPr>
        <w:t>8.1</w:t>
      </w:r>
      <w:r>
        <w:rPr>
          <w:sz w:val="24"/>
        </w:rPr>
        <w:t>. In the </w:t>
      </w:r>
      <w:r>
        <w:rPr>
          <w:spacing w:val="-3"/>
          <w:sz w:val="24"/>
        </w:rPr>
        <w:t>event </w:t>
      </w:r>
      <w:r>
        <w:rPr>
          <w:sz w:val="24"/>
        </w:rPr>
        <w:t>of an </w:t>
      </w:r>
      <w:r>
        <w:rPr>
          <w:spacing w:val="-3"/>
          <w:sz w:val="24"/>
        </w:rPr>
        <w:t>error </w:t>
      </w:r>
      <w:r>
        <w:rPr>
          <w:sz w:val="24"/>
        </w:rPr>
        <w:t>in </w:t>
      </w:r>
      <w:r>
        <w:rPr>
          <w:spacing w:val="-3"/>
          <w:sz w:val="24"/>
        </w:rPr>
        <w:t>the calculations </w:t>
      </w:r>
      <w:r>
        <w:rPr>
          <w:sz w:val="24"/>
        </w:rPr>
        <w:t>of PPR </w:t>
      </w:r>
      <w:r>
        <w:rPr>
          <w:spacing w:val="-3"/>
          <w:sz w:val="24"/>
        </w:rPr>
        <w:t>made </w:t>
      </w:r>
      <w:r>
        <w:rPr>
          <w:sz w:val="24"/>
        </w:rPr>
        <w:t>by </w:t>
      </w:r>
      <w:r>
        <w:rPr>
          <w:spacing w:val="-3"/>
          <w:sz w:val="24"/>
        </w:rPr>
        <w:t>EOHHS, resulting </w:t>
      </w:r>
      <w:r>
        <w:rPr>
          <w:sz w:val="24"/>
        </w:rPr>
        <w:t>in an </w:t>
      </w:r>
      <w:r>
        <w:rPr>
          <w:spacing w:val="-3"/>
          <w:sz w:val="24"/>
        </w:rPr>
        <w:t>amount </w:t>
      </w:r>
      <w:r>
        <w:rPr>
          <w:sz w:val="24"/>
        </w:rPr>
        <w:t>not </w:t>
      </w:r>
      <w:r>
        <w:rPr>
          <w:spacing w:val="-3"/>
          <w:sz w:val="24"/>
        </w:rPr>
        <w:t>consistent with the methodology</w:t>
      </w:r>
      <w:r>
        <w:rPr>
          <w:spacing w:val="-6"/>
          <w:sz w:val="24"/>
        </w:rPr>
        <w:t> </w:t>
      </w:r>
      <w:r>
        <w:rPr>
          <w:sz w:val="24"/>
        </w:rPr>
        <w:t>and</w:t>
      </w:r>
      <w:r>
        <w:rPr>
          <w:spacing w:val="-6"/>
          <w:sz w:val="24"/>
        </w:rPr>
        <w:t> </w:t>
      </w:r>
      <w:r>
        <w:rPr>
          <w:spacing w:val="-3"/>
          <w:sz w:val="24"/>
        </w:rPr>
        <w:t>where</w:t>
      </w:r>
      <w:r>
        <w:rPr>
          <w:spacing w:val="-6"/>
          <w:sz w:val="24"/>
        </w:rPr>
        <w:t> </w:t>
      </w:r>
      <w:r>
        <w:rPr>
          <w:sz w:val="24"/>
        </w:rPr>
        <w:t>the</w:t>
      </w:r>
      <w:r>
        <w:rPr>
          <w:spacing w:val="-6"/>
          <w:sz w:val="24"/>
        </w:rPr>
        <w:t> </w:t>
      </w:r>
      <w:r>
        <w:rPr>
          <w:spacing w:val="-3"/>
          <w:sz w:val="24"/>
        </w:rPr>
        <w:t>effect</w:t>
      </w:r>
      <w:r>
        <w:rPr>
          <w:spacing w:val="-6"/>
          <w:sz w:val="24"/>
        </w:rPr>
        <w:t> </w:t>
      </w:r>
      <w:r>
        <w:rPr>
          <w:sz w:val="24"/>
        </w:rPr>
        <w:t>of</w:t>
      </w:r>
      <w:r>
        <w:rPr>
          <w:spacing w:val="-6"/>
          <w:sz w:val="24"/>
        </w:rPr>
        <w:t> </w:t>
      </w:r>
      <w:r>
        <w:rPr>
          <w:sz w:val="24"/>
        </w:rPr>
        <w:t>the</w:t>
      </w:r>
      <w:r>
        <w:rPr>
          <w:spacing w:val="-6"/>
          <w:sz w:val="24"/>
        </w:rPr>
        <w:t> </w:t>
      </w:r>
      <w:r>
        <w:rPr>
          <w:spacing w:val="-3"/>
          <w:sz w:val="24"/>
        </w:rPr>
        <w:t>error</w:t>
      </w:r>
      <w:r>
        <w:rPr>
          <w:spacing w:val="-6"/>
          <w:sz w:val="24"/>
        </w:rPr>
        <w:t> </w:t>
      </w:r>
      <w:r>
        <w:rPr>
          <w:sz w:val="24"/>
        </w:rPr>
        <w:t>is</w:t>
      </w:r>
      <w:r>
        <w:rPr>
          <w:spacing w:val="-6"/>
          <w:sz w:val="24"/>
        </w:rPr>
        <w:t> </w:t>
      </w:r>
      <w:r>
        <w:rPr>
          <w:sz w:val="24"/>
        </w:rPr>
        <w:t>a</w:t>
      </w:r>
      <w:r>
        <w:rPr>
          <w:spacing w:val="-6"/>
          <w:sz w:val="24"/>
        </w:rPr>
        <w:t> </w:t>
      </w:r>
      <w:r>
        <w:rPr>
          <w:spacing w:val="-3"/>
          <w:sz w:val="24"/>
        </w:rPr>
        <w:t>decrease</w:t>
      </w:r>
      <w:r>
        <w:rPr>
          <w:spacing w:val="-6"/>
          <w:sz w:val="24"/>
        </w:rPr>
        <w:t> </w:t>
      </w:r>
      <w:r>
        <w:rPr>
          <w:sz w:val="24"/>
        </w:rPr>
        <w:t>in</w:t>
      </w:r>
      <w:r>
        <w:rPr>
          <w:spacing w:val="-6"/>
          <w:sz w:val="24"/>
        </w:rPr>
        <w:t> </w:t>
      </w:r>
      <w:r>
        <w:rPr>
          <w:sz w:val="24"/>
        </w:rPr>
        <w:t>the</w:t>
      </w:r>
      <w:r>
        <w:rPr>
          <w:spacing w:val="-6"/>
          <w:sz w:val="24"/>
        </w:rPr>
        <w:t> </w:t>
      </w:r>
      <w:r>
        <w:rPr>
          <w:spacing w:val="-3"/>
          <w:sz w:val="24"/>
        </w:rPr>
        <w:t>Hospital’s</w:t>
      </w:r>
      <w:r>
        <w:rPr>
          <w:spacing w:val="-6"/>
          <w:sz w:val="24"/>
        </w:rPr>
        <w:t> </w:t>
      </w:r>
      <w:r>
        <w:rPr>
          <w:spacing w:val="-3"/>
          <w:sz w:val="24"/>
        </w:rPr>
        <w:t>SPAD</w:t>
      </w:r>
      <w:r>
        <w:rPr>
          <w:spacing w:val="-6"/>
          <w:sz w:val="24"/>
        </w:rPr>
        <w:t> </w:t>
      </w:r>
      <w:r>
        <w:rPr>
          <w:sz w:val="24"/>
        </w:rPr>
        <w:t>of</w:t>
      </w:r>
      <w:r>
        <w:rPr>
          <w:spacing w:val="-6"/>
          <w:sz w:val="24"/>
        </w:rPr>
        <w:t> </w:t>
      </w:r>
      <w:r>
        <w:rPr>
          <w:spacing w:val="-3"/>
          <w:sz w:val="24"/>
        </w:rPr>
        <w:t>2% </w:t>
      </w:r>
      <w:r>
        <w:rPr>
          <w:sz w:val="24"/>
        </w:rPr>
        <w:t>or </w:t>
      </w:r>
      <w:r>
        <w:rPr>
          <w:spacing w:val="-3"/>
          <w:sz w:val="24"/>
        </w:rPr>
        <w:t>more, </w:t>
      </w:r>
      <w:r>
        <w:rPr>
          <w:sz w:val="24"/>
        </w:rPr>
        <w:t>a </w:t>
      </w:r>
      <w:r>
        <w:rPr>
          <w:spacing w:val="-3"/>
          <w:sz w:val="24"/>
        </w:rPr>
        <w:t>Hospital may request </w:t>
      </w:r>
      <w:r>
        <w:rPr>
          <w:sz w:val="24"/>
        </w:rPr>
        <w:t>a </w:t>
      </w:r>
      <w:r>
        <w:rPr>
          <w:spacing w:val="-3"/>
          <w:sz w:val="24"/>
        </w:rPr>
        <w:t>correction </w:t>
      </w:r>
      <w:r>
        <w:rPr>
          <w:sz w:val="24"/>
        </w:rPr>
        <w:t>to its </w:t>
      </w:r>
      <w:r>
        <w:rPr>
          <w:spacing w:val="-3"/>
          <w:sz w:val="24"/>
        </w:rPr>
        <w:t>RY14 </w:t>
      </w:r>
      <w:r>
        <w:rPr>
          <w:sz w:val="24"/>
        </w:rPr>
        <w:t>PPR </w:t>
      </w:r>
      <w:r>
        <w:rPr>
          <w:spacing w:val="-3"/>
          <w:sz w:val="24"/>
        </w:rPr>
        <w:t>calculations, which shall be </w:t>
      </w:r>
      <w:r>
        <w:rPr>
          <w:sz w:val="24"/>
        </w:rPr>
        <w:t>at the </w:t>
      </w:r>
      <w:r>
        <w:rPr>
          <w:spacing w:val="-3"/>
          <w:sz w:val="24"/>
        </w:rPr>
        <w:t>sole discretion </w:t>
      </w:r>
      <w:r>
        <w:rPr>
          <w:sz w:val="24"/>
        </w:rPr>
        <w:t>of</w:t>
      </w:r>
      <w:r>
        <w:rPr>
          <w:spacing w:val="-25"/>
          <w:sz w:val="24"/>
        </w:rPr>
        <w:t> </w:t>
      </w:r>
      <w:r>
        <w:rPr>
          <w:spacing w:val="-3"/>
          <w:sz w:val="24"/>
        </w:rPr>
        <w:t>EOHHS.</w:t>
      </w:r>
    </w:p>
    <w:p>
      <w:pPr>
        <w:pStyle w:val="BodyText"/>
        <w:spacing w:line="242" w:lineRule="auto" w:before="124"/>
        <w:ind w:left="1465" w:right="554" w:hanging="375"/>
      </w:pPr>
      <w:r>
        <w:rPr>
          <w:b/>
        </w:rPr>
        <w:t>b, </w:t>
      </w:r>
      <w:r>
        <w:rPr/>
        <w:t>To </w:t>
      </w:r>
      <w:r>
        <w:rPr>
          <w:spacing w:val="-3"/>
        </w:rPr>
        <w:t>qualify </w:t>
      </w:r>
      <w:r>
        <w:rPr/>
        <w:t>for a </w:t>
      </w:r>
      <w:r>
        <w:rPr>
          <w:spacing w:val="-3"/>
        </w:rPr>
        <w:t>correction, Hospitals must contact EOHHS </w:t>
      </w:r>
      <w:r>
        <w:rPr/>
        <w:t>in </w:t>
      </w:r>
      <w:r>
        <w:rPr>
          <w:spacing w:val="-3"/>
        </w:rPr>
        <w:t>writing, </w:t>
      </w:r>
      <w:r>
        <w:rPr/>
        <w:t>no </w:t>
      </w:r>
      <w:r>
        <w:rPr>
          <w:spacing w:val="-3"/>
        </w:rPr>
        <w:t>later than January </w:t>
      </w:r>
      <w:r>
        <w:rPr/>
        <w:t>31, </w:t>
      </w:r>
      <w:r>
        <w:rPr>
          <w:spacing w:val="-3"/>
        </w:rPr>
        <w:t>2014, </w:t>
      </w:r>
      <w:r>
        <w:rPr/>
        <w:t>and </w:t>
      </w:r>
      <w:r>
        <w:rPr>
          <w:spacing w:val="-3"/>
        </w:rPr>
        <w:t>must include with their request </w:t>
      </w:r>
      <w:r>
        <w:rPr/>
        <w:t>for a </w:t>
      </w:r>
      <w:r>
        <w:rPr>
          <w:spacing w:val="-3"/>
        </w:rPr>
        <w:t>correction </w:t>
      </w:r>
      <w:r>
        <w:rPr/>
        <w:t>all of the </w:t>
      </w:r>
      <w:r>
        <w:rPr>
          <w:spacing w:val="-3"/>
        </w:rPr>
        <w:t>necessary documentation </w:t>
      </w:r>
      <w:r>
        <w:rPr/>
        <w:t>for </w:t>
      </w:r>
      <w:r>
        <w:rPr>
          <w:spacing w:val="-3"/>
        </w:rPr>
        <w:t>each </w:t>
      </w:r>
      <w:r>
        <w:rPr/>
        <w:t>and </w:t>
      </w:r>
      <w:r>
        <w:rPr>
          <w:spacing w:val="-3"/>
        </w:rPr>
        <w:t>every contested discharge used </w:t>
      </w:r>
      <w:r>
        <w:rPr/>
        <w:t>in the </w:t>
      </w:r>
      <w:r>
        <w:rPr>
          <w:spacing w:val="-3"/>
        </w:rPr>
        <w:t>finalized </w:t>
      </w:r>
      <w:r>
        <w:rPr/>
        <w:t>HDD and </w:t>
      </w:r>
      <w:r>
        <w:rPr>
          <w:spacing w:val="-3"/>
        </w:rPr>
        <w:t>PPR calculations.  Hospital reporting errors </w:t>
      </w:r>
      <w:r>
        <w:rPr/>
        <w:t>in HDD </w:t>
      </w:r>
      <w:r>
        <w:rPr>
          <w:spacing w:val="-3"/>
        </w:rPr>
        <w:t>data submitted </w:t>
      </w:r>
      <w:r>
        <w:rPr/>
        <w:t>by </w:t>
      </w:r>
      <w:r>
        <w:rPr>
          <w:spacing w:val="-3"/>
        </w:rPr>
        <w:t>Hospitals </w:t>
      </w:r>
      <w:r>
        <w:rPr/>
        <w:t>and </w:t>
      </w:r>
      <w:r>
        <w:rPr>
          <w:spacing w:val="-3"/>
        </w:rPr>
        <w:t>used in </w:t>
      </w:r>
      <w:r>
        <w:rPr/>
        <w:t>PPR </w:t>
      </w:r>
      <w:r>
        <w:rPr>
          <w:spacing w:val="-3"/>
        </w:rPr>
        <w:t>calculations, </w:t>
      </w:r>
      <w:r>
        <w:rPr/>
        <w:t>as </w:t>
      </w:r>
      <w:r>
        <w:rPr>
          <w:spacing w:val="-3"/>
        </w:rPr>
        <w:t>well </w:t>
      </w:r>
      <w:r>
        <w:rPr/>
        <w:t>as </w:t>
      </w:r>
      <w:r>
        <w:rPr>
          <w:spacing w:val="-3"/>
        </w:rPr>
        <w:t>changes </w:t>
      </w:r>
      <w:r>
        <w:rPr/>
        <w:t>in </w:t>
      </w:r>
      <w:r>
        <w:rPr>
          <w:spacing w:val="-3"/>
        </w:rPr>
        <w:t>claims status </w:t>
      </w:r>
      <w:r>
        <w:rPr/>
        <w:t>in </w:t>
      </w:r>
      <w:r>
        <w:rPr>
          <w:spacing w:val="-3"/>
        </w:rPr>
        <w:t>MMIS that </w:t>
      </w:r>
      <w:r>
        <w:rPr/>
        <w:t>are not </w:t>
      </w:r>
      <w:r>
        <w:rPr>
          <w:spacing w:val="-3"/>
        </w:rPr>
        <w:t>reflected in HDD, </w:t>
      </w:r>
      <w:r>
        <w:rPr/>
        <w:t>are not </w:t>
      </w:r>
      <w:r>
        <w:rPr>
          <w:spacing w:val="-3"/>
        </w:rPr>
        <w:t>subject </w:t>
      </w:r>
      <w:r>
        <w:rPr/>
        <w:t>to </w:t>
      </w:r>
      <w:r>
        <w:rPr>
          <w:spacing w:val="-3"/>
        </w:rPr>
        <w:t>correction.  Requests </w:t>
      </w:r>
      <w:r>
        <w:rPr/>
        <w:t>for </w:t>
      </w:r>
      <w:r>
        <w:rPr>
          <w:spacing w:val="-3"/>
        </w:rPr>
        <w:t>corrections that </w:t>
      </w:r>
      <w:r>
        <w:rPr/>
        <w:t>do not </w:t>
      </w:r>
      <w:r>
        <w:rPr>
          <w:spacing w:val="-3"/>
        </w:rPr>
        <w:t>include </w:t>
      </w:r>
      <w:r>
        <w:rPr>
          <w:spacing w:val="-3"/>
          <w:u w:val="single"/>
        </w:rPr>
        <w:t>all</w:t>
      </w:r>
      <w:r>
        <w:rPr>
          <w:spacing w:val="-3"/>
        </w:rPr>
        <w:t> necessary documentation </w:t>
      </w:r>
      <w:r>
        <w:rPr>
          <w:spacing w:val="-3"/>
          <w:u w:val="single"/>
        </w:rPr>
        <w:t>will </w:t>
      </w:r>
      <w:r>
        <w:rPr>
          <w:u w:val="single"/>
        </w:rPr>
        <w:t>not</w:t>
      </w:r>
      <w:r>
        <w:rPr/>
        <w:t> be</w:t>
      </w:r>
      <w:r>
        <w:rPr>
          <w:spacing w:val="-16"/>
        </w:rPr>
        <w:t> </w:t>
      </w:r>
      <w:r>
        <w:rPr>
          <w:spacing w:val="-3"/>
        </w:rPr>
        <w:t>considered.</w:t>
      </w:r>
    </w:p>
    <w:p>
      <w:pPr>
        <w:pStyle w:val="BodyText"/>
        <w:spacing w:line="400" w:lineRule="exact" w:before="25"/>
        <w:ind w:left="1465" w:right="4153"/>
      </w:pPr>
      <w:r>
        <w:rPr>
          <w:spacing w:val="-3"/>
        </w:rPr>
        <w:t>Please contact Kiki Feldmar </w:t>
      </w:r>
      <w:r>
        <w:rPr/>
        <w:t>at the </w:t>
      </w:r>
      <w:r>
        <w:rPr>
          <w:spacing w:val="-3"/>
        </w:rPr>
        <w:t>following address: Kiki Feldmar</w:t>
      </w:r>
    </w:p>
    <w:p>
      <w:pPr>
        <w:pStyle w:val="BodyText"/>
        <w:spacing w:line="252" w:lineRule="exact"/>
        <w:ind w:left="1465"/>
      </w:pPr>
      <w:r>
        <w:rPr/>
        <w:t>Executive Office of Health and Human Services</w:t>
      </w:r>
    </w:p>
    <w:p>
      <w:pPr>
        <w:pStyle w:val="BodyText"/>
        <w:spacing w:line="216" w:lineRule="auto" w:before="31"/>
        <w:ind w:left="1465" w:right="5207"/>
      </w:pPr>
      <w:r>
        <w:rPr>
          <w:spacing w:val="-3"/>
        </w:rPr>
        <w:t>MassHealth Office </w:t>
      </w:r>
      <w:r>
        <w:rPr/>
        <w:t>of </w:t>
      </w:r>
      <w:r>
        <w:rPr>
          <w:spacing w:val="-3"/>
        </w:rPr>
        <w:t>Providers </w:t>
      </w:r>
      <w:r>
        <w:rPr/>
        <w:t>and </w:t>
      </w:r>
      <w:r>
        <w:rPr>
          <w:spacing w:val="-3"/>
        </w:rPr>
        <w:t>Plans </w:t>
      </w:r>
      <w:r>
        <w:rPr/>
        <w:t>100 </w:t>
      </w:r>
      <w:r>
        <w:rPr>
          <w:spacing w:val="-3"/>
        </w:rPr>
        <w:t>Hancock Street, </w:t>
      </w:r>
      <w:r>
        <w:rPr/>
        <w:t>6</w:t>
      </w:r>
      <w:r>
        <w:rPr>
          <w:position w:val="11"/>
          <w:sz w:val="16"/>
        </w:rPr>
        <w:t>th </w:t>
      </w:r>
      <w:r>
        <w:rPr>
          <w:spacing w:val="-3"/>
        </w:rPr>
        <w:t>Floor</w:t>
      </w:r>
    </w:p>
    <w:p>
      <w:pPr>
        <w:pStyle w:val="BodyText"/>
        <w:spacing w:line="242" w:lineRule="auto" w:before="3"/>
        <w:ind w:left="1467" w:right="6685"/>
      </w:pPr>
      <w:r>
        <w:rPr/>
        <w:t>Quincy, MA 02171 </w:t>
      </w:r>
      <w:hyperlink r:id="rId6">
        <w:r>
          <w:rPr>
            <w:color w:val="0000FF"/>
            <w:u w:val="single" w:color="0000FF"/>
          </w:rPr>
          <w:t>kiki.feldmar@state.ma.us</w:t>
        </w:r>
      </w:hyperlink>
    </w:p>
    <w:p>
      <w:pPr>
        <w:pStyle w:val="BodyText"/>
        <w:spacing w:before="11"/>
        <w:rPr>
          <w:sz w:val="16"/>
        </w:rPr>
      </w:pPr>
    </w:p>
    <w:p>
      <w:pPr>
        <w:pStyle w:val="Heading3"/>
        <w:numPr>
          <w:ilvl w:val="0"/>
          <w:numId w:val="10"/>
        </w:numPr>
        <w:tabs>
          <w:tab w:pos="1001" w:val="left" w:leader="none"/>
        </w:tabs>
        <w:spacing w:line="240" w:lineRule="auto" w:before="90" w:after="0"/>
        <w:ind w:left="1000" w:right="0" w:hanging="348"/>
        <w:jc w:val="left"/>
      </w:pPr>
      <w:r>
        <w:rPr>
          <w:spacing w:val="-3"/>
        </w:rPr>
        <w:t>Change </w:t>
      </w:r>
      <w:r>
        <w:rPr/>
        <w:t>in </w:t>
      </w:r>
      <w:r>
        <w:rPr>
          <w:spacing w:val="-3"/>
        </w:rPr>
        <w:t>Services Affecting</w:t>
      </w:r>
      <w:r>
        <w:rPr>
          <w:spacing w:val="-8"/>
        </w:rPr>
        <w:t> </w:t>
      </w:r>
      <w:r>
        <w:rPr>
          <w:spacing w:val="-3"/>
        </w:rPr>
        <w:t>Casemix</w:t>
      </w:r>
    </w:p>
    <w:p>
      <w:pPr>
        <w:pStyle w:val="BodyText"/>
        <w:spacing w:line="242" w:lineRule="auto" w:before="121"/>
        <w:ind w:left="1105" w:right="323"/>
      </w:pPr>
      <w:r>
        <w:rPr/>
        <w:t>In the </w:t>
      </w:r>
      <w:r>
        <w:rPr>
          <w:spacing w:val="-3"/>
        </w:rPr>
        <w:t>event that </w:t>
      </w:r>
      <w:r>
        <w:rPr/>
        <w:t>a </w:t>
      </w:r>
      <w:r>
        <w:rPr>
          <w:spacing w:val="-3"/>
        </w:rPr>
        <w:t>Hospital opens </w:t>
      </w:r>
      <w:r>
        <w:rPr/>
        <w:t>or </w:t>
      </w:r>
      <w:r>
        <w:rPr>
          <w:spacing w:val="-3"/>
        </w:rPr>
        <w:t>closes, during </w:t>
      </w:r>
      <w:r>
        <w:rPr/>
        <w:t>the </w:t>
      </w:r>
      <w:r>
        <w:rPr>
          <w:spacing w:val="-3"/>
        </w:rPr>
        <w:t>Contract year, </w:t>
      </w:r>
      <w:r>
        <w:rPr/>
        <w:t>an </w:t>
      </w:r>
      <w:r>
        <w:rPr>
          <w:spacing w:val="-3"/>
        </w:rPr>
        <w:t>Inpatient Service that the Hospital believes will have </w:t>
      </w:r>
      <w:r>
        <w:rPr/>
        <w:t>a </w:t>
      </w:r>
      <w:r>
        <w:rPr>
          <w:spacing w:val="-3"/>
        </w:rPr>
        <w:t>significant effect </w:t>
      </w:r>
      <w:r>
        <w:rPr/>
        <w:t>on </w:t>
      </w:r>
      <w:r>
        <w:rPr>
          <w:spacing w:val="-3"/>
        </w:rPr>
        <w:t>casemix, </w:t>
      </w:r>
      <w:r>
        <w:rPr/>
        <w:t>the </w:t>
      </w:r>
      <w:r>
        <w:rPr>
          <w:spacing w:val="-3"/>
        </w:rPr>
        <w:t>Hospital must provide EOHHS with </w:t>
      </w:r>
      <w:r>
        <w:rPr/>
        <w:t>a </w:t>
      </w:r>
      <w:r>
        <w:rPr>
          <w:spacing w:val="-3"/>
        </w:rPr>
        <w:t>data analysis </w:t>
      </w:r>
      <w:r>
        <w:rPr/>
        <w:t>of the </w:t>
      </w:r>
      <w:r>
        <w:rPr>
          <w:spacing w:val="-3"/>
        </w:rPr>
        <w:t>casemix effect </w:t>
      </w:r>
      <w:r>
        <w:rPr/>
        <w:t>for </w:t>
      </w:r>
      <w:r>
        <w:rPr>
          <w:spacing w:val="-3"/>
        </w:rPr>
        <w:t>the current Rate Year </w:t>
      </w:r>
      <w:r>
        <w:rPr/>
        <w:t>and the </w:t>
      </w:r>
      <w:r>
        <w:rPr>
          <w:spacing w:val="-3"/>
        </w:rPr>
        <w:t>subsequent Rate Year </w:t>
      </w:r>
      <w:r>
        <w:rPr/>
        <w:t>if it </w:t>
      </w:r>
      <w:r>
        <w:rPr>
          <w:spacing w:val="-3"/>
        </w:rPr>
        <w:t>requests </w:t>
      </w:r>
      <w:r>
        <w:rPr/>
        <w:t>a </w:t>
      </w:r>
      <w:r>
        <w:rPr>
          <w:spacing w:val="-3"/>
        </w:rPr>
        <w:t>casemix adjustment. EOHHS may, </w:t>
      </w:r>
      <w:r>
        <w:rPr/>
        <w:t>in its </w:t>
      </w:r>
      <w:r>
        <w:rPr>
          <w:spacing w:val="-3"/>
        </w:rPr>
        <w:t>sole discretion, consider revised data submitted </w:t>
      </w:r>
      <w:r>
        <w:rPr/>
        <w:t>by the </w:t>
      </w:r>
      <w:r>
        <w:rPr>
          <w:spacing w:val="-3"/>
        </w:rPr>
        <w:t>Hospital.</w:t>
      </w:r>
    </w:p>
    <w:p>
      <w:pPr>
        <w:pStyle w:val="BodyText"/>
        <w:spacing w:before="8"/>
      </w:pPr>
    </w:p>
    <w:p>
      <w:pPr>
        <w:pStyle w:val="Heading3"/>
        <w:numPr>
          <w:ilvl w:val="0"/>
          <w:numId w:val="8"/>
        </w:numPr>
        <w:tabs>
          <w:tab w:pos="658" w:val="left" w:leader="none"/>
          <w:tab w:pos="660" w:val="left" w:leader="none"/>
        </w:tabs>
        <w:spacing w:line="240" w:lineRule="auto" w:before="0" w:after="0"/>
        <w:ind w:left="659" w:right="0" w:hanging="547"/>
        <w:jc w:val="left"/>
      </w:pPr>
      <w:r>
        <w:rPr>
          <w:spacing w:val="-3"/>
        </w:rPr>
        <w:t>Data</w:t>
      </w:r>
      <w:r>
        <w:rPr>
          <w:spacing w:val="-8"/>
        </w:rPr>
        <w:t> </w:t>
      </w:r>
      <w:r>
        <w:rPr>
          <w:spacing w:val="-4"/>
        </w:rPr>
        <w:t>Sources</w:t>
      </w:r>
    </w:p>
    <w:p>
      <w:pPr>
        <w:pStyle w:val="BodyText"/>
        <w:spacing w:before="11"/>
        <w:rPr>
          <w:b/>
          <w:sz w:val="20"/>
        </w:rPr>
      </w:pPr>
    </w:p>
    <w:p>
      <w:pPr>
        <w:pStyle w:val="BodyText"/>
        <w:spacing w:line="242" w:lineRule="auto"/>
        <w:ind w:left="652" w:right="323"/>
      </w:pPr>
      <w:r>
        <w:rPr/>
        <w:t>If </w:t>
      </w:r>
      <w:r>
        <w:rPr>
          <w:spacing w:val="-3"/>
        </w:rPr>
        <w:t>data sources specified </w:t>
      </w:r>
      <w:r>
        <w:rPr/>
        <w:t>by </w:t>
      </w:r>
      <w:r>
        <w:rPr>
          <w:spacing w:val="-3"/>
        </w:rPr>
        <w:t>this </w:t>
      </w:r>
      <w:r>
        <w:rPr/>
        <w:t>RFA are not </w:t>
      </w:r>
      <w:r>
        <w:rPr>
          <w:spacing w:val="-3"/>
        </w:rPr>
        <w:t>available, </w:t>
      </w:r>
      <w:r>
        <w:rPr/>
        <w:t>or if </w:t>
      </w:r>
      <w:r>
        <w:rPr>
          <w:spacing w:val="-3"/>
        </w:rPr>
        <w:t>other factors </w:t>
      </w:r>
      <w:r>
        <w:rPr/>
        <w:t>do not </w:t>
      </w:r>
      <w:r>
        <w:rPr>
          <w:spacing w:val="-3"/>
        </w:rPr>
        <w:t>permit precise conformity with </w:t>
      </w:r>
      <w:r>
        <w:rPr/>
        <w:t>the </w:t>
      </w:r>
      <w:r>
        <w:rPr>
          <w:spacing w:val="-3"/>
        </w:rPr>
        <w:t>provisions </w:t>
      </w:r>
      <w:r>
        <w:rPr/>
        <w:t>of </w:t>
      </w:r>
      <w:r>
        <w:rPr>
          <w:spacing w:val="-3"/>
        </w:rPr>
        <w:t>this RFA, EOHHS shall select such substitute data sources </w:t>
      </w:r>
      <w:r>
        <w:rPr/>
        <w:t>or </w:t>
      </w:r>
      <w:r>
        <w:rPr>
          <w:spacing w:val="-3"/>
        </w:rPr>
        <w:t>other methodology(ies) that EOHHS deems appropriate </w:t>
      </w:r>
      <w:r>
        <w:rPr/>
        <w:t>in </w:t>
      </w:r>
      <w:r>
        <w:rPr>
          <w:spacing w:val="-3"/>
        </w:rPr>
        <w:t>determining Hospitals’ rates.</w:t>
      </w:r>
    </w:p>
    <w:p>
      <w:pPr>
        <w:pStyle w:val="BodyText"/>
        <w:spacing w:before="9"/>
      </w:pPr>
    </w:p>
    <w:p>
      <w:pPr>
        <w:pStyle w:val="Heading3"/>
        <w:numPr>
          <w:ilvl w:val="0"/>
          <w:numId w:val="8"/>
        </w:numPr>
        <w:tabs>
          <w:tab w:pos="659" w:val="left" w:leader="none"/>
          <w:tab w:pos="660" w:val="left" w:leader="none"/>
        </w:tabs>
        <w:spacing w:line="240" w:lineRule="auto" w:before="0" w:after="0"/>
        <w:ind w:left="659" w:right="0" w:hanging="547"/>
        <w:jc w:val="left"/>
      </w:pPr>
      <w:r>
        <w:rPr>
          <w:spacing w:val="-3"/>
        </w:rPr>
        <w:t>New </w:t>
      </w:r>
      <w:r>
        <w:rPr>
          <w:spacing w:val="-4"/>
        </w:rPr>
        <w:t>Hospitals/Hospital Change </w:t>
      </w:r>
      <w:r>
        <w:rPr/>
        <w:t>of</w:t>
      </w:r>
      <w:r>
        <w:rPr>
          <w:spacing w:val="-10"/>
        </w:rPr>
        <w:t> </w:t>
      </w:r>
      <w:r>
        <w:rPr>
          <w:spacing w:val="-5"/>
        </w:rPr>
        <w:t>Ownership</w:t>
      </w:r>
    </w:p>
    <w:p>
      <w:pPr>
        <w:pStyle w:val="BodyText"/>
        <w:spacing w:before="11"/>
        <w:rPr>
          <w:b/>
          <w:sz w:val="20"/>
        </w:rPr>
      </w:pPr>
    </w:p>
    <w:p>
      <w:pPr>
        <w:pStyle w:val="BodyText"/>
        <w:spacing w:line="242" w:lineRule="auto"/>
        <w:ind w:left="651" w:right="104"/>
      </w:pPr>
      <w:r>
        <w:rPr/>
        <w:t>For any </w:t>
      </w:r>
      <w:r>
        <w:rPr>
          <w:spacing w:val="-3"/>
        </w:rPr>
        <w:t>newly participating Hospital, </w:t>
      </w:r>
      <w:r>
        <w:rPr/>
        <w:t>or any </w:t>
      </w:r>
      <w:r>
        <w:rPr>
          <w:spacing w:val="-3"/>
        </w:rPr>
        <w:t>Hospital which </w:t>
      </w:r>
      <w:r>
        <w:rPr/>
        <w:t>is </w:t>
      </w:r>
      <w:r>
        <w:rPr>
          <w:spacing w:val="-3"/>
        </w:rPr>
        <w:t>party </w:t>
      </w:r>
      <w:r>
        <w:rPr/>
        <w:t>to a </w:t>
      </w:r>
      <w:r>
        <w:rPr>
          <w:spacing w:val="-3"/>
        </w:rPr>
        <w:t>merger, sale </w:t>
      </w:r>
      <w:r>
        <w:rPr/>
        <w:t>of </w:t>
      </w:r>
      <w:r>
        <w:rPr>
          <w:spacing w:val="-3"/>
        </w:rPr>
        <w:t>assets, </w:t>
      </w:r>
      <w:r>
        <w:rPr/>
        <w:t>or </w:t>
      </w:r>
      <w:r>
        <w:rPr>
          <w:spacing w:val="-3"/>
        </w:rPr>
        <w:t>other transaction involving </w:t>
      </w:r>
      <w:r>
        <w:rPr/>
        <w:t>the </w:t>
      </w:r>
      <w:r>
        <w:rPr>
          <w:spacing w:val="-3"/>
        </w:rPr>
        <w:t>identity, licensure, ownership </w:t>
      </w:r>
      <w:r>
        <w:rPr/>
        <w:t>or </w:t>
      </w:r>
      <w:r>
        <w:rPr>
          <w:spacing w:val="-3"/>
        </w:rPr>
        <w:t>operation </w:t>
      </w:r>
      <w:r>
        <w:rPr/>
        <w:t>of the </w:t>
      </w:r>
      <w:r>
        <w:rPr>
          <w:spacing w:val="-3"/>
        </w:rPr>
        <w:t>Hospital during </w:t>
      </w:r>
      <w:r>
        <w:rPr/>
        <w:t>the </w:t>
      </w:r>
      <w:r>
        <w:rPr>
          <w:spacing w:val="-3"/>
        </w:rPr>
        <w:t>effective period </w:t>
      </w:r>
      <w:r>
        <w:rPr/>
        <w:t>of </w:t>
      </w:r>
      <w:r>
        <w:rPr>
          <w:spacing w:val="-3"/>
        </w:rPr>
        <w:t>this RFA, EOHHS, </w:t>
      </w:r>
      <w:r>
        <w:rPr/>
        <w:t>in its </w:t>
      </w:r>
      <w:r>
        <w:rPr>
          <w:spacing w:val="-3"/>
        </w:rPr>
        <w:t>sole discretion, shall determine </w:t>
      </w:r>
      <w:r>
        <w:rPr/>
        <w:t>on a </w:t>
      </w:r>
      <w:r>
        <w:rPr>
          <w:spacing w:val="-3"/>
        </w:rPr>
        <w:t>case-by-case basis: </w:t>
      </w:r>
      <w:r>
        <w:rPr/>
        <w:t>(1) </w:t>
      </w:r>
      <w:r>
        <w:rPr>
          <w:spacing w:val="-3"/>
        </w:rPr>
        <w:t>whether </w:t>
      </w:r>
      <w:r>
        <w:rPr/>
        <w:t>the </w:t>
      </w:r>
      <w:r>
        <w:rPr>
          <w:spacing w:val="-3"/>
        </w:rPr>
        <w:t>Hospital qualifies </w:t>
      </w:r>
      <w:r>
        <w:rPr/>
        <w:t>for </w:t>
      </w:r>
      <w:r>
        <w:rPr>
          <w:spacing w:val="-4"/>
        </w:rPr>
        <w:t>reimbursement </w:t>
      </w:r>
      <w:r>
        <w:rPr>
          <w:spacing w:val="-3"/>
        </w:rPr>
        <w:t>under this RFA; and, </w:t>
      </w:r>
      <w:r>
        <w:rPr/>
        <w:t>if so, (2) the </w:t>
      </w:r>
      <w:r>
        <w:rPr>
          <w:spacing w:val="-3"/>
        </w:rPr>
        <w:t>appropriate rates of </w:t>
      </w:r>
      <w:r>
        <w:rPr>
          <w:spacing w:val="-4"/>
        </w:rPr>
        <w:t>reimbursement. </w:t>
      </w:r>
      <w:r>
        <w:rPr>
          <w:spacing w:val="-3"/>
        </w:rPr>
        <w:t>Such rates </w:t>
      </w:r>
      <w:r>
        <w:rPr/>
        <w:t>of </w:t>
      </w:r>
      <w:r>
        <w:rPr>
          <w:spacing w:val="-4"/>
        </w:rPr>
        <w:t>reimbursement </w:t>
      </w:r>
      <w:r>
        <w:rPr>
          <w:spacing w:val="-3"/>
        </w:rPr>
        <w:t>shall </w:t>
      </w:r>
      <w:r>
        <w:rPr/>
        <w:t>be </w:t>
      </w:r>
      <w:r>
        <w:rPr>
          <w:spacing w:val="-3"/>
        </w:rPr>
        <w:t>determined </w:t>
      </w:r>
      <w:r>
        <w:rPr/>
        <w:t>in </w:t>
      </w:r>
      <w:r>
        <w:rPr>
          <w:spacing w:val="-3"/>
        </w:rPr>
        <w:t>accordance with </w:t>
      </w:r>
      <w:r>
        <w:rPr/>
        <w:t>the </w:t>
      </w:r>
      <w:r>
        <w:rPr>
          <w:spacing w:val="-3"/>
        </w:rPr>
        <w:t>provisions of this </w:t>
      </w:r>
      <w:r>
        <w:rPr/>
        <w:t>RFA to the </w:t>
      </w:r>
      <w:r>
        <w:rPr>
          <w:spacing w:val="-3"/>
        </w:rPr>
        <w:t>extent that EOHHS deems possible. EOHHS’ determination shall </w:t>
      </w:r>
      <w:r>
        <w:rPr/>
        <w:t>be </w:t>
      </w:r>
      <w:r>
        <w:rPr>
          <w:spacing w:val="-3"/>
        </w:rPr>
        <w:t>based </w:t>
      </w:r>
      <w:r>
        <w:rPr/>
        <w:t>on the </w:t>
      </w:r>
      <w:r>
        <w:rPr>
          <w:spacing w:val="-3"/>
        </w:rPr>
        <w:t>totality </w:t>
      </w:r>
      <w:r>
        <w:rPr/>
        <w:t>of the </w:t>
      </w:r>
      <w:r>
        <w:rPr>
          <w:spacing w:val="-3"/>
        </w:rPr>
        <w:t>circumstances. </w:t>
      </w:r>
      <w:r>
        <w:rPr/>
        <w:t>In </w:t>
      </w:r>
      <w:r>
        <w:rPr>
          <w:spacing w:val="-3"/>
        </w:rPr>
        <w:t>cases where </w:t>
      </w:r>
      <w:r>
        <w:rPr/>
        <w:t>any </w:t>
      </w:r>
      <w:r>
        <w:rPr>
          <w:spacing w:val="-3"/>
        </w:rPr>
        <w:t>such rate may, </w:t>
      </w:r>
      <w:r>
        <w:rPr/>
        <w:t>in </w:t>
      </w:r>
      <w:r>
        <w:rPr>
          <w:spacing w:val="-3"/>
        </w:rPr>
        <w:t>EOHHS’ sole discretion, affect</w:t>
      </w:r>
      <w:r>
        <w:rPr>
          <w:spacing w:val="-34"/>
        </w:rPr>
        <w:t> </w:t>
      </w:r>
      <w:r>
        <w:rPr>
          <w:spacing w:val="-4"/>
        </w:rPr>
        <w:t>computation</w:t>
      </w:r>
    </w:p>
    <w:p>
      <w:pPr>
        <w:spacing w:after="0" w:line="242" w:lineRule="auto"/>
        <w:sectPr>
          <w:pgSz w:w="12240" w:h="15840"/>
          <w:pgMar w:header="0" w:footer="744" w:top="1380" w:bottom="940" w:left="1040" w:right="560"/>
        </w:sectPr>
      </w:pPr>
    </w:p>
    <w:p>
      <w:pPr>
        <w:pStyle w:val="BodyText"/>
        <w:spacing w:line="242" w:lineRule="auto" w:before="61"/>
        <w:ind w:left="112" w:right="15"/>
      </w:pPr>
      <w:r>
        <w:rPr/>
        <w:t>of any </w:t>
      </w:r>
      <w:r>
        <w:rPr>
          <w:spacing w:val="-3"/>
        </w:rPr>
        <w:t>statewide average </w:t>
      </w:r>
      <w:r>
        <w:rPr/>
        <w:t>or </w:t>
      </w:r>
      <w:r>
        <w:rPr>
          <w:spacing w:val="-3"/>
        </w:rPr>
        <w:t>statewide standard payment amount and/or </w:t>
      </w:r>
      <w:r>
        <w:rPr/>
        <w:t>any </w:t>
      </w:r>
      <w:r>
        <w:rPr>
          <w:spacing w:val="-3"/>
        </w:rPr>
        <w:t>cost standard, MassHealth provider numbers </w:t>
      </w:r>
      <w:r>
        <w:rPr/>
        <w:t>are not </w:t>
      </w:r>
      <w:r>
        <w:rPr>
          <w:spacing w:val="-3"/>
        </w:rPr>
        <w:t>assignable </w:t>
      </w:r>
      <w:r>
        <w:rPr/>
        <w:t>to new </w:t>
      </w:r>
      <w:r>
        <w:rPr>
          <w:spacing w:val="-3"/>
        </w:rPr>
        <w:t>entities.</w:t>
      </w:r>
    </w:p>
    <w:p>
      <w:pPr>
        <w:spacing w:line="242" w:lineRule="auto" w:before="163"/>
        <w:ind w:left="119" w:right="15" w:firstLine="0"/>
        <w:jc w:val="left"/>
        <w:rPr>
          <w:sz w:val="24"/>
        </w:rPr>
      </w:pPr>
      <w:r>
        <w:rPr>
          <w:sz w:val="24"/>
        </w:rPr>
        <w:t>See </w:t>
      </w:r>
      <w:r>
        <w:rPr>
          <w:b/>
          <w:spacing w:val="-3"/>
          <w:sz w:val="24"/>
        </w:rPr>
        <w:t>Sections II.5.a </w:t>
      </w:r>
      <w:r>
        <w:rPr>
          <w:sz w:val="24"/>
        </w:rPr>
        <w:t>and </w:t>
      </w:r>
      <w:r>
        <w:rPr>
          <w:b/>
          <w:spacing w:val="-3"/>
          <w:sz w:val="24"/>
        </w:rPr>
        <w:t>II.5.d </w:t>
      </w:r>
      <w:r>
        <w:rPr>
          <w:sz w:val="24"/>
        </w:rPr>
        <w:t>of </w:t>
      </w:r>
      <w:r>
        <w:rPr>
          <w:b/>
          <w:spacing w:val="-3"/>
          <w:sz w:val="24"/>
        </w:rPr>
        <w:t>Appendix </w:t>
      </w:r>
      <w:r>
        <w:rPr>
          <w:b/>
          <w:sz w:val="24"/>
        </w:rPr>
        <w:t>A</w:t>
      </w:r>
      <w:r>
        <w:rPr>
          <w:sz w:val="24"/>
        </w:rPr>
        <w:t>, and </w:t>
      </w:r>
      <w:r>
        <w:rPr>
          <w:b/>
          <w:spacing w:val="-3"/>
          <w:sz w:val="24"/>
        </w:rPr>
        <w:t>Appendix </w:t>
      </w:r>
      <w:r>
        <w:rPr>
          <w:b/>
          <w:sz w:val="24"/>
        </w:rPr>
        <w:t>B, </w:t>
      </w:r>
      <w:r>
        <w:rPr>
          <w:b/>
          <w:spacing w:val="-3"/>
          <w:sz w:val="24"/>
        </w:rPr>
        <w:t>item </w:t>
      </w:r>
      <w:r>
        <w:rPr>
          <w:b/>
          <w:sz w:val="24"/>
        </w:rPr>
        <w:t>11, </w:t>
      </w:r>
      <w:r>
        <w:rPr>
          <w:sz w:val="24"/>
        </w:rPr>
        <w:t>for </w:t>
      </w:r>
      <w:r>
        <w:rPr>
          <w:spacing w:val="-3"/>
          <w:sz w:val="24"/>
        </w:rPr>
        <w:t>requirements </w:t>
      </w:r>
      <w:r>
        <w:rPr>
          <w:sz w:val="24"/>
        </w:rPr>
        <w:t>in </w:t>
      </w:r>
      <w:r>
        <w:rPr>
          <w:spacing w:val="-3"/>
          <w:sz w:val="24"/>
        </w:rPr>
        <w:t>the event </w:t>
      </w:r>
      <w:r>
        <w:rPr>
          <w:sz w:val="24"/>
        </w:rPr>
        <w:t>of </w:t>
      </w:r>
      <w:r>
        <w:rPr>
          <w:spacing w:val="-3"/>
          <w:sz w:val="24"/>
        </w:rPr>
        <w:t>Hospital change </w:t>
      </w:r>
      <w:r>
        <w:rPr>
          <w:sz w:val="24"/>
        </w:rPr>
        <w:t>of </w:t>
      </w:r>
      <w:r>
        <w:rPr>
          <w:spacing w:val="-3"/>
          <w:sz w:val="24"/>
        </w:rPr>
        <w:t>ownership.</w:t>
      </w:r>
    </w:p>
    <w:p>
      <w:pPr>
        <w:spacing w:after="0" w:line="242" w:lineRule="auto"/>
        <w:jc w:val="left"/>
        <w:rPr>
          <w:sz w:val="24"/>
        </w:rPr>
        <w:sectPr>
          <w:pgSz w:w="12240" w:h="15840"/>
          <w:pgMar w:header="0" w:footer="744" w:top="1380" w:bottom="940" w:left="1580" w:right="860"/>
        </w:sectPr>
      </w:pPr>
    </w:p>
    <w:p>
      <w:pPr>
        <w:pStyle w:val="Heading1"/>
        <w:ind w:left="2023" w:right="0"/>
        <w:jc w:val="left"/>
      </w:pPr>
      <w:r>
        <w:rPr/>
        <w:t>Section 6:  Payment and Reporting Provisions</w:t>
      </w:r>
    </w:p>
    <w:p>
      <w:pPr>
        <w:pStyle w:val="BodyText"/>
        <w:spacing w:before="2"/>
        <w:rPr>
          <w:b/>
          <w:sz w:val="32"/>
        </w:rPr>
      </w:pPr>
    </w:p>
    <w:p>
      <w:pPr>
        <w:pStyle w:val="BodyText"/>
        <w:spacing w:line="242" w:lineRule="auto"/>
        <w:ind w:left="112" w:right="130"/>
      </w:pPr>
      <w:r>
        <w:rPr/>
        <w:t>All </w:t>
      </w:r>
      <w:r>
        <w:rPr>
          <w:spacing w:val="-3"/>
        </w:rPr>
        <w:t>payments under this </w:t>
      </w:r>
      <w:r>
        <w:rPr/>
        <w:t>RFA are </w:t>
      </w:r>
      <w:r>
        <w:rPr>
          <w:spacing w:val="-3"/>
        </w:rPr>
        <w:t>subject </w:t>
      </w:r>
      <w:r>
        <w:rPr/>
        <w:t>to the </w:t>
      </w:r>
      <w:r>
        <w:rPr>
          <w:spacing w:val="-3"/>
        </w:rPr>
        <w:t>following provisions, </w:t>
      </w:r>
      <w:r>
        <w:rPr/>
        <w:t>as </w:t>
      </w:r>
      <w:r>
        <w:rPr>
          <w:spacing w:val="-3"/>
        </w:rPr>
        <w:t>well </w:t>
      </w:r>
      <w:r>
        <w:rPr/>
        <w:t>as all </w:t>
      </w:r>
      <w:r>
        <w:rPr>
          <w:spacing w:val="-3"/>
        </w:rPr>
        <w:t>other rules and regulations governing service limitations, claims payment, billing </w:t>
      </w:r>
      <w:r>
        <w:rPr/>
        <w:t>and </w:t>
      </w:r>
      <w:r>
        <w:rPr>
          <w:spacing w:val="-3"/>
        </w:rPr>
        <w:t>claims processing procedures, utilization control requirements </w:t>
      </w:r>
      <w:r>
        <w:rPr/>
        <w:t>and all </w:t>
      </w:r>
      <w:r>
        <w:rPr>
          <w:spacing w:val="-3"/>
        </w:rPr>
        <w:t>other MassHealth conditions </w:t>
      </w:r>
      <w:r>
        <w:rPr/>
        <w:t>of </w:t>
      </w:r>
      <w:r>
        <w:rPr>
          <w:spacing w:val="-4"/>
        </w:rPr>
        <w:t>payment.</w:t>
      </w:r>
    </w:p>
    <w:p>
      <w:pPr>
        <w:pStyle w:val="BodyText"/>
        <w:spacing w:before="8"/>
      </w:pPr>
    </w:p>
    <w:p>
      <w:pPr>
        <w:pStyle w:val="Heading2"/>
        <w:numPr>
          <w:ilvl w:val="0"/>
          <w:numId w:val="11"/>
        </w:numPr>
        <w:tabs>
          <w:tab w:pos="659" w:val="left" w:leader="none"/>
          <w:tab w:pos="660" w:val="left" w:leader="none"/>
        </w:tabs>
        <w:spacing w:line="240" w:lineRule="auto" w:before="1" w:after="0"/>
        <w:ind w:left="651" w:right="0" w:hanging="539"/>
        <w:jc w:val="left"/>
      </w:pPr>
      <w:r>
        <w:rPr>
          <w:spacing w:val="-3"/>
        </w:rPr>
        <w:t>Services Requiring Practitioner Prior</w:t>
      </w:r>
      <w:r>
        <w:rPr>
          <w:spacing w:val="-11"/>
        </w:rPr>
        <w:t> </w:t>
      </w:r>
      <w:r>
        <w:rPr>
          <w:spacing w:val="-3"/>
        </w:rPr>
        <w:t>Approval</w:t>
      </w:r>
    </w:p>
    <w:p>
      <w:pPr>
        <w:pStyle w:val="BodyText"/>
        <w:spacing w:before="6"/>
        <w:rPr>
          <w:b/>
          <w:sz w:val="28"/>
        </w:rPr>
      </w:pPr>
    </w:p>
    <w:p>
      <w:pPr>
        <w:pStyle w:val="BodyText"/>
        <w:spacing w:line="242" w:lineRule="auto"/>
        <w:ind w:left="651" w:right="184"/>
      </w:pPr>
      <w:r>
        <w:rPr>
          <w:spacing w:val="-3"/>
        </w:rPr>
        <w:t>EOHHS will </w:t>
      </w:r>
      <w:r>
        <w:rPr/>
        <w:t>not </w:t>
      </w:r>
      <w:r>
        <w:rPr>
          <w:spacing w:val="-3"/>
        </w:rPr>
        <w:t>reimburse </w:t>
      </w:r>
      <w:r>
        <w:rPr/>
        <w:t>a </w:t>
      </w:r>
      <w:r>
        <w:rPr>
          <w:spacing w:val="-3"/>
        </w:rPr>
        <w:t>Hospital </w:t>
      </w:r>
      <w:r>
        <w:rPr/>
        <w:t>for </w:t>
      </w:r>
      <w:r>
        <w:rPr>
          <w:spacing w:val="-3"/>
        </w:rPr>
        <w:t>services provided when </w:t>
      </w:r>
      <w:r>
        <w:rPr/>
        <w:t>the </w:t>
      </w:r>
      <w:r>
        <w:rPr>
          <w:spacing w:val="-3"/>
        </w:rPr>
        <w:t>practitioner </w:t>
      </w:r>
      <w:r>
        <w:rPr/>
        <w:t>is </w:t>
      </w:r>
      <w:r>
        <w:rPr>
          <w:spacing w:val="-3"/>
        </w:rPr>
        <w:t>required </w:t>
      </w:r>
      <w:r>
        <w:rPr/>
        <w:t>to, </w:t>
      </w:r>
      <w:r>
        <w:rPr>
          <w:spacing w:val="-3"/>
        </w:rPr>
        <w:t>but fails </w:t>
      </w:r>
      <w:r>
        <w:rPr/>
        <w:t>to </w:t>
      </w:r>
      <w:r>
        <w:rPr>
          <w:spacing w:val="-3"/>
        </w:rPr>
        <w:t>obtain prior authorization, referrals </w:t>
      </w:r>
      <w:r>
        <w:rPr/>
        <w:t>or </w:t>
      </w:r>
      <w:r>
        <w:rPr>
          <w:spacing w:val="-3"/>
        </w:rPr>
        <w:t>other approval </w:t>
      </w:r>
      <w:r>
        <w:rPr/>
        <w:t>for the </w:t>
      </w:r>
      <w:r>
        <w:rPr>
          <w:spacing w:val="-3"/>
        </w:rPr>
        <w:t>service. </w:t>
      </w:r>
      <w:r>
        <w:rPr/>
        <w:t>It is the </w:t>
      </w:r>
      <w:r>
        <w:rPr>
          <w:spacing w:val="-3"/>
        </w:rPr>
        <w:t>Hospital’s responsibility </w:t>
      </w:r>
      <w:r>
        <w:rPr/>
        <w:t>to </w:t>
      </w:r>
      <w:r>
        <w:rPr>
          <w:spacing w:val="-3"/>
        </w:rPr>
        <w:t>ensure that </w:t>
      </w:r>
      <w:r>
        <w:rPr/>
        <w:t>a </w:t>
      </w:r>
      <w:r>
        <w:rPr>
          <w:spacing w:val="-3"/>
        </w:rPr>
        <w:t>practitioner providing services </w:t>
      </w:r>
      <w:r>
        <w:rPr/>
        <w:t>in the </w:t>
      </w:r>
      <w:r>
        <w:rPr>
          <w:spacing w:val="-3"/>
        </w:rPr>
        <w:t>Hospital </w:t>
      </w:r>
      <w:r>
        <w:rPr/>
        <w:t>has </w:t>
      </w:r>
      <w:r>
        <w:rPr>
          <w:spacing w:val="-3"/>
        </w:rPr>
        <w:t>obtained the necessary approvals.</w:t>
      </w:r>
    </w:p>
    <w:p>
      <w:pPr>
        <w:pStyle w:val="BodyText"/>
        <w:spacing w:before="9"/>
      </w:pPr>
    </w:p>
    <w:p>
      <w:pPr>
        <w:pStyle w:val="Heading2"/>
        <w:numPr>
          <w:ilvl w:val="0"/>
          <w:numId w:val="11"/>
        </w:numPr>
        <w:tabs>
          <w:tab w:pos="660" w:val="left" w:leader="none"/>
          <w:tab w:pos="661" w:val="left" w:leader="none"/>
        </w:tabs>
        <w:spacing w:line="240" w:lineRule="auto" w:before="0" w:after="0"/>
        <w:ind w:left="660" w:right="0" w:hanging="548"/>
        <w:jc w:val="left"/>
      </w:pPr>
      <w:r>
        <w:rPr>
          <w:spacing w:val="-3"/>
        </w:rPr>
        <w:t>Hospital Payments </w:t>
      </w:r>
      <w:r>
        <w:rPr/>
        <w:t>in the </w:t>
      </w:r>
      <w:r>
        <w:rPr>
          <w:spacing w:val="-3"/>
        </w:rPr>
        <w:t>Event </w:t>
      </w:r>
      <w:r>
        <w:rPr/>
        <w:t>of </w:t>
      </w:r>
      <w:r>
        <w:rPr>
          <w:spacing w:val="-3"/>
        </w:rPr>
        <w:t>Third-Party</w:t>
      </w:r>
      <w:r>
        <w:rPr>
          <w:spacing w:val="-40"/>
        </w:rPr>
        <w:t> </w:t>
      </w:r>
      <w:r>
        <w:rPr>
          <w:spacing w:val="-3"/>
        </w:rPr>
        <w:t>Coverage</w:t>
      </w:r>
    </w:p>
    <w:p>
      <w:pPr>
        <w:pStyle w:val="BodyText"/>
        <w:spacing w:before="8"/>
        <w:rPr>
          <w:b/>
          <w:sz w:val="28"/>
        </w:rPr>
      </w:pPr>
    </w:p>
    <w:p>
      <w:pPr>
        <w:pStyle w:val="ListParagraph"/>
        <w:numPr>
          <w:ilvl w:val="1"/>
          <w:numId w:val="11"/>
        </w:numPr>
        <w:tabs>
          <w:tab w:pos="1191" w:val="left" w:leader="none"/>
          <w:tab w:pos="1192" w:val="left" w:leader="none"/>
        </w:tabs>
        <w:spacing w:line="242" w:lineRule="auto" w:before="0" w:after="0"/>
        <w:ind w:left="1192" w:right="168" w:hanging="540"/>
        <w:jc w:val="left"/>
        <w:rPr>
          <w:sz w:val="24"/>
        </w:rPr>
      </w:pPr>
      <w:r>
        <w:rPr>
          <w:spacing w:val="-3"/>
          <w:sz w:val="24"/>
        </w:rPr>
        <w:t>Except </w:t>
      </w:r>
      <w:r>
        <w:rPr>
          <w:sz w:val="24"/>
        </w:rPr>
        <w:t>to the </w:t>
      </w:r>
      <w:r>
        <w:rPr>
          <w:spacing w:val="-3"/>
          <w:sz w:val="24"/>
        </w:rPr>
        <w:t>extent prohibited </w:t>
      </w:r>
      <w:r>
        <w:rPr>
          <w:sz w:val="24"/>
        </w:rPr>
        <w:t>by 42 </w:t>
      </w:r>
      <w:r>
        <w:rPr>
          <w:spacing w:val="-3"/>
          <w:sz w:val="24"/>
        </w:rPr>
        <w:t>U.S.C. </w:t>
      </w:r>
      <w:r>
        <w:rPr>
          <w:sz w:val="24"/>
        </w:rPr>
        <w:t>§ </w:t>
      </w:r>
      <w:r>
        <w:rPr>
          <w:spacing w:val="-3"/>
          <w:sz w:val="24"/>
        </w:rPr>
        <w:t>1396a(a)(25)(E) </w:t>
      </w:r>
      <w:r>
        <w:rPr>
          <w:sz w:val="24"/>
        </w:rPr>
        <w:t>or </w:t>
      </w:r>
      <w:r>
        <w:rPr>
          <w:spacing w:val="-3"/>
          <w:sz w:val="24"/>
        </w:rPr>
        <w:t>(F), </w:t>
      </w:r>
      <w:r>
        <w:rPr>
          <w:sz w:val="24"/>
        </w:rPr>
        <w:t>the </w:t>
      </w:r>
      <w:r>
        <w:rPr>
          <w:spacing w:val="-3"/>
          <w:sz w:val="24"/>
        </w:rPr>
        <w:t>Hospital must </w:t>
      </w:r>
      <w:r>
        <w:rPr>
          <w:spacing w:val="-4"/>
          <w:sz w:val="24"/>
        </w:rPr>
        <w:t>make </w:t>
      </w:r>
      <w:r>
        <w:rPr>
          <w:spacing w:val="-3"/>
          <w:sz w:val="24"/>
        </w:rPr>
        <w:t>diligent efforts, </w:t>
      </w:r>
      <w:r>
        <w:rPr>
          <w:sz w:val="24"/>
        </w:rPr>
        <w:t>as </w:t>
      </w:r>
      <w:r>
        <w:rPr>
          <w:spacing w:val="-3"/>
          <w:sz w:val="24"/>
        </w:rPr>
        <w:t>defined under </w:t>
      </w:r>
      <w:r>
        <w:rPr>
          <w:sz w:val="24"/>
        </w:rPr>
        <w:t>130 CMR </w:t>
      </w:r>
      <w:r>
        <w:rPr>
          <w:spacing w:val="-3"/>
          <w:sz w:val="24"/>
        </w:rPr>
        <w:t>450.316(A), </w:t>
      </w:r>
      <w:r>
        <w:rPr>
          <w:sz w:val="24"/>
        </w:rPr>
        <w:t>to </w:t>
      </w:r>
      <w:r>
        <w:rPr>
          <w:spacing w:val="-3"/>
          <w:sz w:val="24"/>
        </w:rPr>
        <w:t>identify </w:t>
      </w:r>
      <w:r>
        <w:rPr>
          <w:sz w:val="24"/>
        </w:rPr>
        <w:t>and </w:t>
      </w:r>
      <w:r>
        <w:rPr>
          <w:spacing w:val="-3"/>
          <w:sz w:val="24"/>
        </w:rPr>
        <w:t>obtain Insurance Payments before billing MassHealth.</w:t>
      </w:r>
    </w:p>
    <w:p>
      <w:pPr>
        <w:pStyle w:val="BodyText"/>
        <w:spacing w:before="9"/>
      </w:pPr>
    </w:p>
    <w:p>
      <w:pPr>
        <w:pStyle w:val="ListParagraph"/>
        <w:numPr>
          <w:ilvl w:val="1"/>
          <w:numId w:val="11"/>
        </w:numPr>
        <w:tabs>
          <w:tab w:pos="1191" w:val="left" w:leader="none"/>
          <w:tab w:pos="1192" w:val="left" w:leader="none"/>
        </w:tabs>
        <w:spacing w:line="242" w:lineRule="auto" w:before="0" w:after="0"/>
        <w:ind w:left="1192" w:right="102" w:hanging="540"/>
        <w:jc w:val="left"/>
        <w:rPr>
          <w:sz w:val="24"/>
        </w:rPr>
      </w:pPr>
      <w:r>
        <w:rPr>
          <w:sz w:val="24"/>
        </w:rPr>
        <w:t>For </w:t>
      </w:r>
      <w:r>
        <w:rPr>
          <w:spacing w:val="-3"/>
          <w:sz w:val="24"/>
        </w:rPr>
        <w:t>Inpatient Admissions, Outpatient Services, </w:t>
      </w:r>
      <w:r>
        <w:rPr>
          <w:sz w:val="24"/>
        </w:rPr>
        <w:t>and </w:t>
      </w:r>
      <w:r>
        <w:rPr>
          <w:spacing w:val="-3"/>
          <w:sz w:val="24"/>
        </w:rPr>
        <w:t>Emergency Department Services where the Member </w:t>
      </w:r>
      <w:r>
        <w:rPr>
          <w:sz w:val="24"/>
        </w:rPr>
        <w:t>has </w:t>
      </w:r>
      <w:r>
        <w:rPr>
          <w:spacing w:val="-3"/>
          <w:sz w:val="24"/>
        </w:rPr>
        <w:t>Third-Party Insurance coverage, EOHHS will </w:t>
      </w:r>
      <w:r>
        <w:rPr>
          <w:sz w:val="24"/>
        </w:rPr>
        <w:t>pay the </w:t>
      </w:r>
      <w:r>
        <w:rPr>
          <w:spacing w:val="-3"/>
          <w:sz w:val="24"/>
        </w:rPr>
        <w:t>Hospital according</w:t>
      </w:r>
      <w:r>
        <w:rPr>
          <w:spacing w:val="-30"/>
          <w:sz w:val="24"/>
        </w:rPr>
        <w:t> </w:t>
      </w:r>
      <w:r>
        <w:rPr>
          <w:spacing w:val="-3"/>
          <w:sz w:val="24"/>
        </w:rPr>
        <w:t>to</w:t>
      </w:r>
    </w:p>
    <w:p>
      <w:pPr>
        <w:pStyle w:val="BodyText"/>
        <w:ind w:left="1191"/>
      </w:pPr>
      <w:r>
        <w:rPr/>
        <w:t>Third-Party Liability provisions at 130 CMR 450.316-321.</w:t>
      </w:r>
    </w:p>
    <w:p>
      <w:pPr>
        <w:pStyle w:val="BodyText"/>
        <w:spacing w:before="11"/>
      </w:pPr>
    </w:p>
    <w:p>
      <w:pPr>
        <w:pStyle w:val="Heading2"/>
        <w:numPr>
          <w:ilvl w:val="0"/>
          <w:numId w:val="11"/>
        </w:numPr>
        <w:tabs>
          <w:tab w:pos="652" w:val="left" w:leader="none"/>
          <w:tab w:pos="653" w:val="left" w:leader="none"/>
        </w:tabs>
        <w:spacing w:line="244" w:lineRule="auto" w:before="0" w:after="0"/>
        <w:ind w:left="651" w:right="970" w:hanging="539"/>
        <w:jc w:val="left"/>
      </w:pPr>
      <w:r>
        <w:rPr>
          <w:spacing w:val="-3"/>
        </w:rPr>
        <w:t>Notification </w:t>
      </w:r>
      <w:r>
        <w:rPr/>
        <w:t>of </w:t>
      </w:r>
      <w:r>
        <w:rPr>
          <w:spacing w:val="-3"/>
        </w:rPr>
        <w:t>Hospital Election </w:t>
      </w:r>
      <w:r>
        <w:rPr/>
        <w:t>to </w:t>
      </w:r>
      <w:r>
        <w:rPr>
          <w:spacing w:val="-3"/>
        </w:rPr>
        <w:t>Offer Reduced Medicare Coinsurance Amounts</w:t>
      </w:r>
    </w:p>
    <w:p>
      <w:pPr>
        <w:pStyle w:val="BodyText"/>
        <w:spacing w:before="9"/>
        <w:rPr>
          <w:b/>
          <w:sz w:val="23"/>
        </w:rPr>
      </w:pPr>
    </w:p>
    <w:p>
      <w:pPr>
        <w:pStyle w:val="BodyText"/>
        <w:spacing w:line="242" w:lineRule="auto"/>
        <w:ind w:left="651" w:right="184"/>
      </w:pPr>
      <w:r>
        <w:rPr>
          <w:spacing w:val="-3"/>
        </w:rPr>
        <w:t>Acute Hospitals have </w:t>
      </w:r>
      <w:r>
        <w:rPr/>
        <w:t>an </w:t>
      </w:r>
      <w:r>
        <w:rPr>
          <w:spacing w:val="-3"/>
        </w:rPr>
        <w:t>option </w:t>
      </w:r>
      <w:r>
        <w:rPr/>
        <w:t>to </w:t>
      </w:r>
      <w:r>
        <w:rPr>
          <w:spacing w:val="-3"/>
        </w:rPr>
        <w:t>elect </w:t>
      </w:r>
      <w:r>
        <w:rPr/>
        <w:t>to </w:t>
      </w:r>
      <w:r>
        <w:rPr>
          <w:spacing w:val="-3"/>
        </w:rPr>
        <w:t>reduce </w:t>
      </w:r>
      <w:r>
        <w:rPr/>
        <w:t>a </w:t>
      </w:r>
      <w:r>
        <w:rPr>
          <w:spacing w:val="-3"/>
        </w:rPr>
        <w:t>Medicare beneficiary’s Coinsurance </w:t>
      </w:r>
      <w:r>
        <w:rPr>
          <w:spacing w:val="-4"/>
        </w:rPr>
        <w:t>amount </w:t>
      </w:r>
      <w:r>
        <w:rPr>
          <w:spacing w:val="-3"/>
        </w:rPr>
        <w:t>under </w:t>
      </w:r>
      <w:r>
        <w:rPr/>
        <w:t>the </w:t>
      </w:r>
      <w:r>
        <w:rPr>
          <w:spacing w:val="-3"/>
        </w:rPr>
        <w:t>Medicare outpatient prospective payment system. Such election must </w:t>
      </w:r>
      <w:r>
        <w:rPr/>
        <w:t>be </w:t>
      </w:r>
      <w:r>
        <w:rPr>
          <w:spacing w:val="-3"/>
        </w:rPr>
        <w:t>made </w:t>
      </w:r>
      <w:r>
        <w:rPr/>
        <w:t>in </w:t>
      </w:r>
      <w:r>
        <w:rPr>
          <w:spacing w:val="-3"/>
        </w:rPr>
        <w:t>writing </w:t>
      </w:r>
      <w:r>
        <w:rPr/>
        <w:t>to the </w:t>
      </w:r>
      <w:r>
        <w:rPr>
          <w:spacing w:val="-3"/>
        </w:rPr>
        <w:t>Hospital’s fiscal intermediary (FI), specifying </w:t>
      </w:r>
      <w:r>
        <w:rPr/>
        <w:t>the </w:t>
      </w:r>
      <w:r>
        <w:rPr>
          <w:spacing w:val="-3"/>
        </w:rPr>
        <w:t>services </w:t>
      </w:r>
      <w:r>
        <w:rPr/>
        <w:t>to </w:t>
      </w:r>
      <w:r>
        <w:rPr>
          <w:spacing w:val="-3"/>
        </w:rPr>
        <w:t>which </w:t>
      </w:r>
      <w:r>
        <w:rPr/>
        <w:t>it </w:t>
      </w:r>
      <w:r>
        <w:rPr>
          <w:spacing w:val="-3"/>
        </w:rPr>
        <w:t>applies. </w:t>
      </w:r>
      <w:r>
        <w:rPr/>
        <w:t>The </w:t>
      </w:r>
      <w:r>
        <w:rPr>
          <w:spacing w:val="-3"/>
        </w:rPr>
        <w:t>first such election must have been made </w:t>
      </w:r>
      <w:r>
        <w:rPr/>
        <w:t>by </w:t>
      </w:r>
      <w:r>
        <w:rPr>
          <w:spacing w:val="-3"/>
        </w:rPr>
        <w:t>June </w:t>
      </w:r>
      <w:r>
        <w:rPr/>
        <w:t>1, </w:t>
      </w:r>
      <w:r>
        <w:rPr>
          <w:spacing w:val="-3"/>
        </w:rPr>
        <w:t>2000, </w:t>
      </w:r>
      <w:r>
        <w:rPr/>
        <w:t>and for </w:t>
      </w:r>
      <w:r>
        <w:rPr>
          <w:spacing w:val="-3"/>
        </w:rPr>
        <w:t>future years </w:t>
      </w:r>
      <w:r>
        <w:rPr/>
        <w:t>by </w:t>
      </w:r>
      <w:r>
        <w:rPr>
          <w:spacing w:val="-3"/>
        </w:rPr>
        <w:t>December </w:t>
      </w:r>
      <w:r>
        <w:rPr/>
        <w:t>1 of the </w:t>
      </w:r>
      <w:r>
        <w:rPr>
          <w:spacing w:val="-3"/>
        </w:rPr>
        <w:t>year preceding </w:t>
      </w:r>
      <w:r>
        <w:rPr/>
        <w:t>the </w:t>
      </w:r>
      <w:r>
        <w:rPr>
          <w:spacing w:val="-3"/>
        </w:rPr>
        <w:t>calendar year </w:t>
      </w:r>
      <w:r>
        <w:rPr/>
        <w:t>for </w:t>
      </w:r>
      <w:r>
        <w:rPr>
          <w:spacing w:val="-3"/>
        </w:rPr>
        <w:t>which </w:t>
      </w:r>
      <w:r>
        <w:rPr/>
        <w:t>the </w:t>
      </w:r>
      <w:r>
        <w:rPr>
          <w:spacing w:val="-3"/>
        </w:rPr>
        <w:t>election </w:t>
      </w:r>
      <w:r>
        <w:rPr/>
        <w:t>is </w:t>
      </w:r>
      <w:r>
        <w:rPr>
          <w:spacing w:val="-3"/>
        </w:rPr>
        <w:t>being made. </w:t>
      </w:r>
      <w:r>
        <w:rPr/>
        <w:t>See 42 CFR </w:t>
      </w:r>
      <w:r>
        <w:rPr>
          <w:spacing w:val="-3"/>
        </w:rPr>
        <w:t>419.42.</w:t>
      </w:r>
    </w:p>
    <w:p>
      <w:pPr>
        <w:pStyle w:val="BodyText"/>
        <w:spacing w:line="560" w:lineRule="exact" w:before="56"/>
        <w:ind w:left="1191" w:right="130" w:hanging="540"/>
      </w:pPr>
      <w:r>
        <w:rPr>
          <w:spacing w:val="-4"/>
        </w:rPr>
        <w:t>Hospitals electing </w:t>
      </w:r>
      <w:r>
        <w:rPr/>
        <w:t>to </w:t>
      </w:r>
      <w:r>
        <w:rPr>
          <w:spacing w:val="-3"/>
        </w:rPr>
        <w:t>take such </w:t>
      </w:r>
      <w:r>
        <w:rPr/>
        <w:t>an </w:t>
      </w:r>
      <w:r>
        <w:rPr>
          <w:spacing w:val="-4"/>
        </w:rPr>
        <w:t>option must forward </w:t>
      </w:r>
      <w:r>
        <w:rPr/>
        <w:t>a </w:t>
      </w:r>
      <w:r>
        <w:rPr>
          <w:spacing w:val="-3"/>
        </w:rPr>
        <w:t>copy </w:t>
      </w:r>
      <w:r>
        <w:rPr/>
        <w:t>of </w:t>
      </w:r>
      <w:r>
        <w:rPr>
          <w:spacing w:val="-4"/>
        </w:rPr>
        <w:t>their notification </w:t>
      </w:r>
      <w:r>
        <w:rPr/>
        <w:t>to </w:t>
      </w:r>
      <w:r>
        <w:rPr>
          <w:spacing w:val="-3"/>
        </w:rPr>
        <w:t>the </w:t>
      </w:r>
      <w:r>
        <w:rPr/>
        <w:t>FI </w:t>
      </w:r>
      <w:r>
        <w:rPr>
          <w:spacing w:val="-4"/>
        </w:rPr>
        <w:t>to: </w:t>
      </w:r>
      <w:r>
        <w:rPr>
          <w:spacing w:val="-3"/>
        </w:rPr>
        <w:t>Executive Office </w:t>
      </w:r>
      <w:r>
        <w:rPr/>
        <w:t>of </w:t>
      </w:r>
      <w:r>
        <w:rPr>
          <w:spacing w:val="-3"/>
        </w:rPr>
        <w:t>Health </w:t>
      </w:r>
      <w:r>
        <w:rPr/>
        <w:t>and </w:t>
      </w:r>
      <w:r>
        <w:rPr>
          <w:spacing w:val="-3"/>
        </w:rPr>
        <w:t>Human Services</w:t>
      </w:r>
    </w:p>
    <w:p>
      <w:pPr>
        <w:pStyle w:val="BodyText"/>
        <w:spacing w:line="220" w:lineRule="exact"/>
        <w:ind w:left="1191"/>
      </w:pPr>
      <w:r>
        <w:rPr/>
        <w:t>Office of Medicaid</w:t>
      </w:r>
    </w:p>
    <w:p>
      <w:pPr>
        <w:pStyle w:val="BodyText"/>
        <w:spacing w:line="242" w:lineRule="auto" w:before="3"/>
        <w:ind w:left="1191" w:right="5916"/>
      </w:pPr>
      <w:r>
        <w:rPr/>
        <w:t>Attn.: Claims Coordination Unit UMass-CHCF</w:t>
      </w:r>
    </w:p>
    <w:p>
      <w:pPr>
        <w:pStyle w:val="BodyText"/>
        <w:ind w:left="1191"/>
      </w:pPr>
      <w:r>
        <w:rPr/>
        <w:t>The Schrafft Center</w:t>
      </w:r>
    </w:p>
    <w:p>
      <w:pPr>
        <w:pStyle w:val="BodyText"/>
        <w:spacing w:line="242" w:lineRule="auto" w:before="3"/>
        <w:ind w:left="1191" w:right="6442"/>
      </w:pPr>
      <w:r>
        <w:rPr/>
        <w:t>529 Main Street, 3rd Floor Charlestown, MA 02129</w:t>
      </w:r>
    </w:p>
    <w:p>
      <w:pPr>
        <w:spacing w:after="0" w:line="242" w:lineRule="auto"/>
        <w:sectPr>
          <w:pgSz w:w="12240" w:h="15840"/>
          <w:pgMar w:header="0" w:footer="744" w:top="1380" w:bottom="940" w:left="1040" w:right="980"/>
        </w:sectPr>
      </w:pPr>
    </w:p>
    <w:p>
      <w:pPr>
        <w:pStyle w:val="Heading2"/>
        <w:numPr>
          <w:ilvl w:val="0"/>
          <w:numId w:val="11"/>
        </w:numPr>
        <w:tabs>
          <w:tab w:pos="660" w:val="left" w:leader="none"/>
          <w:tab w:pos="661" w:val="left" w:leader="none"/>
        </w:tabs>
        <w:spacing w:line="240" w:lineRule="auto" w:before="66" w:after="0"/>
        <w:ind w:left="660" w:right="0" w:hanging="548"/>
        <w:jc w:val="left"/>
      </w:pPr>
      <w:r>
        <w:rPr>
          <w:spacing w:val="-4"/>
        </w:rPr>
        <w:t>Sterilization</w:t>
      </w:r>
    </w:p>
    <w:p>
      <w:pPr>
        <w:pStyle w:val="BodyText"/>
        <w:spacing w:before="6"/>
        <w:rPr>
          <w:b/>
          <w:sz w:val="28"/>
        </w:rPr>
      </w:pPr>
    </w:p>
    <w:p>
      <w:pPr>
        <w:pStyle w:val="BodyText"/>
        <w:spacing w:line="242" w:lineRule="auto"/>
        <w:ind w:left="651" w:right="97"/>
      </w:pPr>
      <w:r>
        <w:rPr/>
        <w:t>EOHHS will pay for an inpatient stay for a sterilization or for outpatient sterilization services only when the Hospital meets all requirements regarding Member consent and service delivery as set forth in MassHealth regulations. For any sterilization for which the Hospital does not demonstrate compliance with Member consent requirements, including submission of all required documentation according to all applicable regulations, MassHealth will deduct an amount equal to the Hospital’s PAPE from the applicable Hospital payment amount. Furthermore, the performance of a sterilization without meeting all such requirements may result in sanctions against the Hospital in accordance with 130 CMR 450.238 et seq. as well as the applicable provisions of this RFA.</w:t>
      </w:r>
    </w:p>
    <w:p>
      <w:pPr>
        <w:pStyle w:val="BodyText"/>
        <w:spacing w:before="3"/>
        <w:rPr>
          <w:sz w:val="26"/>
        </w:rPr>
      </w:pPr>
    </w:p>
    <w:p>
      <w:pPr>
        <w:pStyle w:val="Heading2"/>
        <w:numPr>
          <w:ilvl w:val="0"/>
          <w:numId w:val="11"/>
        </w:numPr>
        <w:tabs>
          <w:tab w:pos="660" w:val="left" w:leader="none"/>
          <w:tab w:pos="661" w:val="left" w:leader="none"/>
        </w:tabs>
        <w:spacing w:line="240" w:lineRule="auto" w:before="1" w:after="0"/>
        <w:ind w:left="660" w:right="0" w:hanging="548"/>
        <w:jc w:val="left"/>
      </w:pPr>
      <w:r>
        <w:rPr>
          <w:spacing w:val="-3"/>
        </w:rPr>
        <w:t>Reporting</w:t>
      </w:r>
      <w:r>
        <w:rPr>
          <w:spacing w:val="-8"/>
        </w:rPr>
        <w:t> </w:t>
      </w:r>
      <w:r>
        <w:rPr>
          <w:spacing w:val="-3"/>
        </w:rPr>
        <w:t>Requirements</w:t>
      </w:r>
    </w:p>
    <w:p>
      <w:pPr>
        <w:pStyle w:val="BodyText"/>
        <w:spacing w:before="6"/>
        <w:rPr>
          <w:b/>
          <w:sz w:val="28"/>
        </w:rPr>
      </w:pPr>
    </w:p>
    <w:p>
      <w:pPr>
        <w:pStyle w:val="BodyText"/>
        <w:spacing w:line="242" w:lineRule="auto"/>
        <w:ind w:left="651" w:right="172"/>
      </w:pPr>
      <w:r>
        <w:rPr/>
        <w:t>All </w:t>
      </w:r>
      <w:r>
        <w:rPr>
          <w:spacing w:val="-3"/>
        </w:rPr>
        <w:t>Acute Hospitals must furnish ownership, licensure, financial, </w:t>
      </w:r>
      <w:r>
        <w:rPr/>
        <w:t>and </w:t>
      </w:r>
      <w:r>
        <w:rPr>
          <w:spacing w:val="-3"/>
        </w:rPr>
        <w:t>statistical documents relating </w:t>
      </w:r>
      <w:r>
        <w:rPr/>
        <w:t>to </w:t>
      </w:r>
      <w:r>
        <w:rPr>
          <w:spacing w:val="-3"/>
        </w:rPr>
        <w:t>MassHealth participation, services, </w:t>
      </w:r>
      <w:r>
        <w:rPr/>
        <w:t>and </w:t>
      </w:r>
      <w:r>
        <w:rPr>
          <w:spacing w:val="-3"/>
        </w:rPr>
        <w:t>payment, </w:t>
      </w:r>
      <w:r>
        <w:rPr/>
        <w:t>as </w:t>
      </w:r>
      <w:r>
        <w:rPr>
          <w:spacing w:val="-3"/>
        </w:rPr>
        <w:t>required </w:t>
      </w:r>
      <w:r>
        <w:rPr/>
        <w:t>by </w:t>
      </w:r>
      <w:r>
        <w:rPr>
          <w:spacing w:val="-3"/>
        </w:rPr>
        <w:t>EOHHS </w:t>
      </w:r>
      <w:r>
        <w:rPr/>
        <w:t>and </w:t>
      </w:r>
      <w:r>
        <w:rPr>
          <w:spacing w:val="-3"/>
        </w:rPr>
        <w:t>other </w:t>
      </w:r>
      <w:r>
        <w:rPr>
          <w:spacing w:val="-4"/>
        </w:rPr>
        <w:t>governmental </w:t>
      </w:r>
      <w:r>
        <w:rPr>
          <w:spacing w:val="-3"/>
        </w:rPr>
        <w:t>entities. This shall include, </w:t>
      </w:r>
      <w:r>
        <w:rPr/>
        <w:t>but is not </w:t>
      </w:r>
      <w:r>
        <w:rPr>
          <w:spacing w:val="-3"/>
        </w:rPr>
        <w:t>limited </w:t>
      </w:r>
      <w:r>
        <w:rPr/>
        <w:t>to, </w:t>
      </w:r>
      <w:r>
        <w:rPr>
          <w:spacing w:val="-3"/>
        </w:rPr>
        <w:t>state </w:t>
      </w:r>
      <w:r>
        <w:rPr/>
        <w:t>and </w:t>
      </w:r>
      <w:r>
        <w:rPr>
          <w:spacing w:val="-3"/>
        </w:rPr>
        <w:t>federal cost reports, charge books, </w:t>
      </w:r>
      <w:r>
        <w:rPr>
          <w:spacing w:val="-4"/>
        </w:rPr>
        <w:t>merged </w:t>
      </w:r>
      <w:r>
        <w:rPr>
          <w:spacing w:val="-3"/>
        </w:rPr>
        <w:t>billing </w:t>
      </w:r>
      <w:r>
        <w:rPr/>
        <w:t>and </w:t>
      </w:r>
      <w:r>
        <w:rPr>
          <w:spacing w:val="-3"/>
        </w:rPr>
        <w:t>discharge filings, audited financial statements, </w:t>
      </w:r>
      <w:r>
        <w:rPr/>
        <w:t>and </w:t>
      </w:r>
      <w:r>
        <w:rPr>
          <w:spacing w:val="-3"/>
        </w:rPr>
        <w:t>provider enrollment information. In addition, Critical Access Hospitals must timely complete </w:t>
      </w:r>
      <w:r>
        <w:rPr/>
        <w:t>all </w:t>
      </w:r>
      <w:r>
        <w:rPr>
          <w:spacing w:val="-3"/>
        </w:rPr>
        <w:t>Medicaid (Title XIX) data worksheets </w:t>
      </w:r>
      <w:r>
        <w:rPr/>
        <w:t>on </w:t>
      </w:r>
      <w:r>
        <w:rPr>
          <w:spacing w:val="-3"/>
        </w:rPr>
        <w:t>CMS-2552 cost reports </w:t>
      </w:r>
      <w:r>
        <w:rPr/>
        <w:t>in </w:t>
      </w:r>
      <w:r>
        <w:rPr>
          <w:spacing w:val="-3"/>
        </w:rPr>
        <w:t>accordance with </w:t>
      </w:r>
      <w:r>
        <w:rPr/>
        <w:t>the CMS </w:t>
      </w:r>
      <w:r>
        <w:rPr>
          <w:spacing w:val="-3"/>
        </w:rPr>
        <w:t>Provider </w:t>
      </w:r>
      <w:r>
        <w:rPr>
          <w:spacing w:val="-4"/>
        </w:rPr>
        <w:t>Reimbursement </w:t>
      </w:r>
      <w:r>
        <w:rPr>
          <w:spacing w:val="-3"/>
        </w:rPr>
        <w:t>Manual </w:t>
      </w:r>
      <w:r>
        <w:rPr/>
        <w:t>- </w:t>
      </w:r>
      <w:r>
        <w:rPr>
          <w:spacing w:val="-3"/>
        </w:rPr>
        <w:t>Part </w:t>
      </w:r>
      <w:r>
        <w:rPr/>
        <w:t>2 </w:t>
      </w:r>
      <w:r>
        <w:rPr>
          <w:spacing w:val="-3"/>
        </w:rPr>
        <w:t>(CMS publication 15-2). </w:t>
      </w:r>
      <w:r>
        <w:rPr/>
        <w:t>If a </w:t>
      </w:r>
      <w:r>
        <w:rPr>
          <w:spacing w:val="-3"/>
        </w:rPr>
        <w:t>Hospital does </w:t>
      </w:r>
      <w:r>
        <w:rPr/>
        <w:t>not </w:t>
      </w:r>
      <w:r>
        <w:rPr>
          <w:spacing w:val="-3"/>
        </w:rPr>
        <w:t>furnish required information within </w:t>
      </w:r>
      <w:r>
        <w:rPr/>
        <w:t>the </w:t>
      </w:r>
      <w:r>
        <w:rPr>
          <w:spacing w:val="-3"/>
        </w:rPr>
        <w:t>applicable time period, </w:t>
      </w:r>
      <w:r>
        <w:rPr/>
        <w:t>or </w:t>
      </w:r>
      <w:r>
        <w:rPr>
          <w:spacing w:val="-3"/>
        </w:rPr>
        <w:t>within </w:t>
      </w:r>
      <w:r>
        <w:rPr/>
        <w:t>a </w:t>
      </w:r>
      <w:r>
        <w:rPr>
          <w:spacing w:val="-3"/>
        </w:rPr>
        <w:t>reasonable extension </w:t>
      </w:r>
      <w:r>
        <w:rPr/>
        <w:t>of </w:t>
      </w:r>
      <w:r>
        <w:rPr>
          <w:spacing w:val="-3"/>
        </w:rPr>
        <w:t>time approved </w:t>
      </w:r>
      <w:r>
        <w:rPr/>
        <w:t>in </w:t>
      </w:r>
      <w:r>
        <w:rPr>
          <w:spacing w:val="-3"/>
        </w:rPr>
        <w:t>writing </w:t>
      </w:r>
      <w:r>
        <w:rPr/>
        <w:t>by </w:t>
      </w:r>
      <w:r>
        <w:rPr>
          <w:spacing w:val="-3"/>
        </w:rPr>
        <w:t>EOHHS, such Hospital may have </w:t>
      </w:r>
      <w:r>
        <w:rPr/>
        <w:t>a 5% </w:t>
      </w:r>
      <w:r>
        <w:rPr>
          <w:spacing w:val="-3"/>
        </w:rPr>
        <w:t>reduction applied </w:t>
      </w:r>
      <w:r>
        <w:rPr/>
        <w:t>to its </w:t>
      </w:r>
      <w:r>
        <w:rPr>
          <w:spacing w:val="-3"/>
        </w:rPr>
        <w:t>SPAD payment rate beginning </w:t>
      </w:r>
      <w:r>
        <w:rPr/>
        <w:t>45 </w:t>
      </w:r>
      <w:r>
        <w:rPr>
          <w:spacing w:val="-3"/>
        </w:rPr>
        <w:t>days after </w:t>
      </w:r>
      <w:r>
        <w:rPr/>
        <w:t>the </w:t>
      </w:r>
      <w:r>
        <w:rPr>
          <w:spacing w:val="-3"/>
        </w:rPr>
        <w:t>required submission date. This reduction shall accrue </w:t>
      </w:r>
      <w:r>
        <w:rPr/>
        <w:t>in a </w:t>
      </w:r>
      <w:r>
        <w:rPr>
          <w:spacing w:val="-3"/>
        </w:rPr>
        <w:t>cumulative manner </w:t>
      </w:r>
      <w:r>
        <w:rPr/>
        <w:t>of 5% for </w:t>
      </w:r>
      <w:r>
        <w:rPr>
          <w:spacing w:val="-3"/>
        </w:rPr>
        <w:t>each month </w:t>
      </w:r>
      <w:r>
        <w:rPr/>
        <w:t>of </w:t>
      </w:r>
      <w:r>
        <w:rPr>
          <w:spacing w:val="-3"/>
        </w:rPr>
        <w:t>non- </w:t>
      </w:r>
      <w:r>
        <w:rPr>
          <w:spacing w:val="-4"/>
        </w:rPr>
        <w:t>compliance.</w:t>
      </w:r>
    </w:p>
    <w:p>
      <w:pPr>
        <w:pStyle w:val="BodyText"/>
        <w:spacing w:before="3"/>
      </w:pPr>
    </w:p>
    <w:p>
      <w:pPr>
        <w:pStyle w:val="BodyText"/>
        <w:spacing w:line="242" w:lineRule="auto" w:before="1"/>
        <w:ind w:left="651" w:right="137"/>
      </w:pPr>
      <w:r>
        <w:rPr/>
        <w:t>For </w:t>
      </w:r>
      <w:r>
        <w:rPr>
          <w:spacing w:val="-3"/>
        </w:rPr>
        <w:t>example, </w:t>
      </w:r>
      <w:r>
        <w:rPr/>
        <w:t>the </w:t>
      </w:r>
      <w:r>
        <w:rPr>
          <w:spacing w:val="-3"/>
        </w:rPr>
        <w:t>downward adjustment </w:t>
      </w:r>
      <w:r>
        <w:rPr/>
        <w:t>to the </w:t>
      </w:r>
      <w:r>
        <w:rPr>
          <w:spacing w:val="-3"/>
        </w:rPr>
        <w:t>Hospital’s SPAD </w:t>
      </w:r>
      <w:r>
        <w:rPr/>
        <w:t>for the </w:t>
      </w:r>
      <w:r>
        <w:rPr>
          <w:spacing w:val="-3"/>
        </w:rPr>
        <w:t>first month would equal 5%; </w:t>
      </w:r>
      <w:r>
        <w:rPr/>
        <w:t>if the </w:t>
      </w:r>
      <w:r>
        <w:rPr>
          <w:spacing w:val="-3"/>
        </w:rPr>
        <w:t>requested documentation </w:t>
      </w:r>
      <w:r>
        <w:rPr/>
        <w:t>is not </w:t>
      </w:r>
      <w:r>
        <w:rPr>
          <w:spacing w:val="-3"/>
        </w:rPr>
        <w:t>received </w:t>
      </w:r>
      <w:r>
        <w:rPr/>
        <w:t>for </w:t>
      </w:r>
      <w:r>
        <w:rPr>
          <w:spacing w:val="-3"/>
        </w:rPr>
        <w:t>another month, </w:t>
      </w:r>
      <w:r>
        <w:rPr/>
        <w:t>the </w:t>
      </w:r>
      <w:r>
        <w:rPr>
          <w:spacing w:val="-3"/>
        </w:rPr>
        <w:t>downward adjustment </w:t>
      </w:r>
      <w:r>
        <w:rPr/>
        <w:t>to </w:t>
      </w:r>
      <w:r>
        <w:rPr>
          <w:spacing w:val="-3"/>
        </w:rPr>
        <w:t>the Hospital’s SPAD </w:t>
      </w:r>
      <w:r>
        <w:rPr/>
        <w:t>for the </w:t>
      </w:r>
      <w:r>
        <w:rPr>
          <w:spacing w:val="-3"/>
        </w:rPr>
        <w:t>second month shall equal 10%. </w:t>
      </w:r>
      <w:r>
        <w:rPr/>
        <w:t>The </w:t>
      </w:r>
      <w:r>
        <w:rPr>
          <w:spacing w:val="-3"/>
        </w:rPr>
        <w:t>adjustment shall not, </w:t>
      </w:r>
      <w:r>
        <w:rPr/>
        <w:t>in any </w:t>
      </w:r>
      <w:r>
        <w:rPr>
          <w:spacing w:val="-3"/>
        </w:rPr>
        <w:t>case, exceed </w:t>
      </w:r>
      <w:r>
        <w:rPr/>
        <w:t>50% of the </w:t>
      </w:r>
      <w:r>
        <w:rPr>
          <w:spacing w:val="-3"/>
        </w:rPr>
        <w:t>SPAD. </w:t>
      </w:r>
      <w:r>
        <w:rPr/>
        <w:t>If a </w:t>
      </w:r>
      <w:r>
        <w:rPr>
          <w:spacing w:val="-3"/>
        </w:rPr>
        <w:t>Hospital </w:t>
      </w:r>
      <w:r>
        <w:rPr/>
        <w:t>is not in </w:t>
      </w:r>
      <w:r>
        <w:rPr>
          <w:spacing w:val="-3"/>
        </w:rPr>
        <w:t>full compliance with </w:t>
      </w:r>
      <w:r>
        <w:rPr/>
        <w:t>the </w:t>
      </w:r>
      <w:r>
        <w:rPr>
          <w:spacing w:val="-3"/>
        </w:rPr>
        <w:t>submission </w:t>
      </w:r>
      <w:r>
        <w:rPr/>
        <w:t>of </w:t>
      </w:r>
      <w:r>
        <w:rPr>
          <w:spacing w:val="-3"/>
        </w:rPr>
        <w:t>the aforementioned information </w:t>
      </w:r>
      <w:r>
        <w:rPr/>
        <w:t>at </w:t>
      </w:r>
      <w:r>
        <w:rPr>
          <w:spacing w:val="-3"/>
        </w:rPr>
        <w:t>such time </w:t>
      </w:r>
      <w:r>
        <w:rPr/>
        <w:t>as the </w:t>
      </w:r>
      <w:r>
        <w:rPr>
          <w:spacing w:val="-3"/>
        </w:rPr>
        <w:t>Hospital’s rate </w:t>
      </w:r>
      <w:r>
        <w:rPr/>
        <w:t>is </w:t>
      </w:r>
      <w:r>
        <w:rPr>
          <w:spacing w:val="-3"/>
        </w:rPr>
        <w:t>subject </w:t>
      </w:r>
      <w:r>
        <w:rPr/>
        <w:t>to </w:t>
      </w:r>
      <w:r>
        <w:rPr>
          <w:spacing w:val="-3"/>
        </w:rPr>
        <w:t>change (i.e., </w:t>
      </w:r>
      <w:r>
        <w:rPr/>
        <w:t>at the </w:t>
      </w:r>
      <w:r>
        <w:rPr>
          <w:spacing w:val="-3"/>
        </w:rPr>
        <w:t>start </w:t>
      </w:r>
      <w:r>
        <w:rPr/>
        <w:t>of a new </w:t>
      </w:r>
      <w:r>
        <w:rPr>
          <w:spacing w:val="-3"/>
        </w:rPr>
        <w:t>Rate Year, </w:t>
      </w:r>
      <w:r>
        <w:rPr/>
        <w:t>or </w:t>
      </w:r>
      <w:r>
        <w:rPr>
          <w:spacing w:val="-3"/>
        </w:rPr>
        <w:t>upon </w:t>
      </w:r>
      <w:r>
        <w:rPr>
          <w:spacing w:val="-4"/>
        </w:rPr>
        <w:t>commencement </w:t>
      </w:r>
      <w:r>
        <w:rPr/>
        <w:t>of an </w:t>
      </w:r>
      <w:r>
        <w:rPr>
          <w:spacing w:val="-4"/>
        </w:rPr>
        <w:t>amendment </w:t>
      </w:r>
      <w:r>
        <w:rPr>
          <w:spacing w:val="-3"/>
        </w:rPr>
        <w:t>that affects </w:t>
      </w:r>
      <w:r>
        <w:rPr/>
        <w:t>the </w:t>
      </w:r>
      <w:r>
        <w:rPr>
          <w:spacing w:val="-3"/>
        </w:rPr>
        <w:t>SPAD rate), </w:t>
      </w:r>
      <w:r>
        <w:rPr/>
        <w:t>at </w:t>
      </w:r>
      <w:r>
        <w:rPr>
          <w:spacing w:val="-3"/>
        </w:rPr>
        <w:t>no time </w:t>
      </w:r>
      <w:r>
        <w:rPr/>
        <w:t>can the new </w:t>
      </w:r>
      <w:r>
        <w:rPr>
          <w:spacing w:val="-3"/>
        </w:rPr>
        <w:t>rate exceed </w:t>
      </w:r>
      <w:r>
        <w:rPr/>
        <w:t>the </w:t>
      </w:r>
      <w:r>
        <w:rPr>
          <w:spacing w:val="-3"/>
        </w:rPr>
        <w:t>adjusted current rate. </w:t>
      </w:r>
      <w:r>
        <w:rPr/>
        <w:t>If, </w:t>
      </w:r>
      <w:r>
        <w:rPr>
          <w:spacing w:val="-3"/>
        </w:rPr>
        <w:t>however, </w:t>
      </w:r>
      <w:r>
        <w:rPr/>
        <w:t>the new </w:t>
      </w:r>
      <w:r>
        <w:rPr>
          <w:spacing w:val="-3"/>
        </w:rPr>
        <w:t>SPAD rate </w:t>
      </w:r>
      <w:r>
        <w:rPr/>
        <w:t>is </w:t>
      </w:r>
      <w:r>
        <w:rPr>
          <w:spacing w:val="-3"/>
        </w:rPr>
        <w:t>less than </w:t>
      </w:r>
      <w:r>
        <w:rPr/>
        <w:t>the </w:t>
      </w:r>
      <w:r>
        <w:rPr>
          <w:spacing w:val="-3"/>
        </w:rPr>
        <w:t>rate currently </w:t>
      </w:r>
      <w:r>
        <w:rPr/>
        <w:t>in </w:t>
      </w:r>
      <w:r>
        <w:rPr>
          <w:spacing w:val="-3"/>
        </w:rPr>
        <w:t>effect, then </w:t>
      </w:r>
      <w:r>
        <w:rPr/>
        <w:t>the new </w:t>
      </w:r>
      <w:r>
        <w:rPr>
          <w:spacing w:val="-3"/>
        </w:rPr>
        <w:t>rate will become effective </w:t>
      </w:r>
      <w:r>
        <w:rPr/>
        <w:t>and </w:t>
      </w:r>
      <w:r>
        <w:rPr>
          <w:spacing w:val="-3"/>
        </w:rPr>
        <w:t>potentially subject </w:t>
      </w:r>
      <w:r>
        <w:rPr/>
        <w:t>to </w:t>
      </w:r>
      <w:r>
        <w:rPr>
          <w:spacing w:val="-4"/>
        </w:rPr>
        <w:t>further adjustment.</w:t>
      </w:r>
    </w:p>
    <w:p>
      <w:pPr>
        <w:pStyle w:val="BodyText"/>
        <w:spacing w:before="4"/>
      </w:pPr>
    </w:p>
    <w:p>
      <w:pPr>
        <w:pStyle w:val="BodyText"/>
        <w:spacing w:line="242" w:lineRule="auto"/>
        <w:ind w:left="651" w:right="130"/>
      </w:pPr>
      <w:r>
        <w:rPr>
          <w:spacing w:val="-3"/>
        </w:rPr>
        <w:t>Hospitals must separately identify </w:t>
      </w:r>
      <w:r>
        <w:rPr/>
        <w:t>in the </w:t>
      </w:r>
      <w:r>
        <w:rPr>
          <w:spacing w:val="-3"/>
        </w:rPr>
        <w:t>state cost report </w:t>
      </w:r>
      <w:r>
        <w:rPr/>
        <w:t>any </w:t>
      </w:r>
      <w:r>
        <w:rPr>
          <w:spacing w:val="-3"/>
        </w:rPr>
        <w:t>costs associated with Rehabilitation Units, </w:t>
      </w:r>
      <w:r>
        <w:rPr/>
        <w:t>in </w:t>
      </w:r>
      <w:r>
        <w:rPr>
          <w:spacing w:val="-3"/>
        </w:rPr>
        <w:t>accordance with </w:t>
      </w:r>
      <w:r>
        <w:rPr/>
        <w:t>all </w:t>
      </w:r>
      <w:r>
        <w:rPr>
          <w:spacing w:val="-3"/>
        </w:rPr>
        <w:t>applicable instructions.</w:t>
      </w:r>
    </w:p>
    <w:p>
      <w:pPr>
        <w:pStyle w:val="BodyText"/>
        <w:spacing w:before="8"/>
      </w:pPr>
    </w:p>
    <w:p>
      <w:pPr>
        <w:pStyle w:val="Heading2"/>
        <w:numPr>
          <w:ilvl w:val="0"/>
          <w:numId w:val="11"/>
        </w:numPr>
        <w:tabs>
          <w:tab w:pos="660" w:val="left" w:leader="none"/>
          <w:tab w:pos="661" w:val="left" w:leader="none"/>
        </w:tabs>
        <w:spacing w:line="240" w:lineRule="auto" w:before="0" w:after="0"/>
        <w:ind w:left="660" w:right="0" w:hanging="548"/>
        <w:jc w:val="left"/>
      </w:pPr>
      <w:r>
        <w:rPr>
          <w:spacing w:val="-3"/>
        </w:rPr>
        <w:t>Accident</w:t>
      </w:r>
      <w:r>
        <w:rPr>
          <w:spacing w:val="-7"/>
        </w:rPr>
        <w:t> </w:t>
      </w:r>
      <w:r>
        <w:rPr>
          <w:spacing w:val="-3"/>
        </w:rPr>
        <w:t>Reporting</w:t>
      </w:r>
    </w:p>
    <w:p>
      <w:pPr>
        <w:pStyle w:val="BodyText"/>
        <w:spacing w:before="6"/>
        <w:rPr>
          <w:b/>
          <w:sz w:val="28"/>
        </w:rPr>
      </w:pPr>
    </w:p>
    <w:p>
      <w:pPr>
        <w:pStyle w:val="BodyText"/>
        <w:spacing w:line="242" w:lineRule="auto"/>
        <w:ind w:left="651" w:right="242"/>
      </w:pPr>
      <w:r>
        <w:rPr>
          <w:spacing w:val="-3"/>
        </w:rPr>
        <w:t>Hospitals shall </w:t>
      </w:r>
      <w:r>
        <w:rPr/>
        <w:t>use </w:t>
      </w:r>
      <w:r>
        <w:rPr>
          <w:spacing w:val="-3"/>
        </w:rPr>
        <w:t>reasonable efforts </w:t>
      </w:r>
      <w:r>
        <w:rPr/>
        <w:t>to </w:t>
      </w:r>
      <w:r>
        <w:rPr>
          <w:spacing w:val="-3"/>
        </w:rPr>
        <w:t>determine whether </w:t>
      </w:r>
      <w:r>
        <w:rPr/>
        <w:t>a </w:t>
      </w:r>
      <w:r>
        <w:rPr>
          <w:spacing w:val="-3"/>
        </w:rPr>
        <w:t>Member’s injury </w:t>
      </w:r>
      <w:r>
        <w:rPr/>
        <w:t>is due to an </w:t>
      </w:r>
      <w:r>
        <w:rPr>
          <w:spacing w:val="-3"/>
        </w:rPr>
        <w:t>accident </w:t>
      </w:r>
      <w:r>
        <w:rPr/>
        <w:t>or </w:t>
      </w:r>
      <w:r>
        <w:rPr>
          <w:spacing w:val="-3"/>
        </w:rPr>
        <w:t>trauma (e.g., automobile accident, accident </w:t>
      </w:r>
      <w:r>
        <w:rPr/>
        <w:t>at </w:t>
      </w:r>
      <w:r>
        <w:rPr>
          <w:spacing w:val="-3"/>
        </w:rPr>
        <w:t>work). </w:t>
      </w:r>
      <w:r>
        <w:rPr/>
        <w:t>In the </w:t>
      </w:r>
      <w:r>
        <w:rPr>
          <w:spacing w:val="-3"/>
        </w:rPr>
        <w:t>event that </w:t>
      </w:r>
      <w:r>
        <w:rPr/>
        <w:t>a </w:t>
      </w:r>
      <w:r>
        <w:rPr>
          <w:spacing w:val="-3"/>
        </w:rPr>
        <w:t>MassHealth Member is treated </w:t>
      </w:r>
      <w:r>
        <w:rPr/>
        <w:t>at a </w:t>
      </w:r>
      <w:r>
        <w:rPr>
          <w:spacing w:val="-3"/>
        </w:rPr>
        <w:t>Hospital </w:t>
      </w:r>
      <w:r>
        <w:rPr/>
        <w:t>for </w:t>
      </w:r>
      <w:r>
        <w:rPr>
          <w:spacing w:val="-3"/>
        </w:rPr>
        <w:t>injuries resulting from </w:t>
      </w:r>
      <w:r>
        <w:rPr/>
        <w:t>an </w:t>
      </w:r>
      <w:r>
        <w:rPr>
          <w:spacing w:val="-3"/>
        </w:rPr>
        <w:t>accident </w:t>
      </w:r>
      <w:r>
        <w:rPr/>
        <w:t>or </w:t>
      </w:r>
      <w:r>
        <w:rPr>
          <w:spacing w:val="-3"/>
        </w:rPr>
        <w:t>trauma, </w:t>
      </w:r>
      <w:r>
        <w:rPr/>
        <w:t>the </w:t>
      </w:r>
      <w:r>
        <w:rPr>
          <w:spacing w:val="-3"/>
        </w:rPr>
        <w:t>Hospital shall notify EOHHS </w:t>
      </w:r>
      <w:r>
        <w:rPr/>
        <w:t>in </w:t>
      </w:r>
      <w:r>
        <w:rPr>
          <w:spacing w:val="-3"/>
        </w:rPr>
        <w:t>writing </w:t>
      </w:r>
      <w:r>
        <w:rPr/>
        <w:t>of the </w:t>
      </w:r>
      <w:r>
        <w:rPr>
          <w:spacing w:val="-3"/>
        </w:rPr>
        <w:t>following information, </w:t>
      </w:r>
      <w:r>
        <w:rPr/>
        <w:t>at the </w:t>
      </w:r>
      <w:r>
        <w:rPr>
          <w:spacing w:val="-3"/>
        </w:rPr>
        <w:t>address below:</w:t>
      </w:r>
    </w:p>
    <w:p>
      <w:pPr>
        <w:spacing w:after="0" w:line="242" w:lineRule="auto"/>
        <w:sectPr>
          <w:pgSz w:w="12240" w:h="15840"/>
          <w:pgMar w:header="0" w:footer="744" w:top="1380" w:bottom="940" w:left="1040" w:right="980"/>
        </w:sectPr>
      </w:pPr>
    </w:p>
    <w:p>
      <w:pPr>
        <w:pStyle w:val="BodyText"/>
        <w:spacing w:before="9"/>
        <w:rPr>
          <w:sz w:val="11"/>
        </w:rPr>
      </w:pPr>
    </w:p>
    <w:p>
      <w:pPr>
        <w:pStyle w:val="ListParagraph"/>
        <w:numPr>
          <w:ilvl w:val="1"/>
          <w:numId w:val="11"/>
        </w:numPr>
        <w:tabs>
          <w:tab w:pos="1206" w:val="left" w:leader="none"/>
          <w:tab w:pos="1207" w:val="left" w:leader="none"/>
        </w:tabs>
        <w:spacing w:line="240" w:lineRule="auto" w:before="90" w:after="0"/>
        <w:ind w:left="1206" w:right="0" w:hanging="547"/>
        <w:jc w:val="left"/>
        <w:rPr>
          <w:sz w:val="24"/>
        </w:rPr>
      </w:pPr>
      <w:r>
        <w:rPr>
          <w:spacing w:val="-3"/>
          <w:sz w:val="24"/>
        </w:rPr>
        <w:t>Patient’s name, MassHealth number (SSN </w:t>
      </w:r>
      <w:r>
        <w:rPr>
          <w:sz w:val="24"/>
        </w:rPr>
        <w:t>or </w:t>
      </w:r>
      <w:r>
        <w:rPr>
          <w:spacing w:val="-3"/>
          <w:sz w:val="24"/>
        </w:rPr>
        <w:t>RID), address, </w:t>
      </w:r>
      <w:r>
        <w:rPr>
          <w:sz w:val="24"/>
        </w:rPr>
        <w:t>and </w:t>
      </w:r>
      <w:r>
        <w:rPr>
          <w:spacing w:val="-3"/>
          <w:sz w:val="24"/>
        </w:rPr>
        <w:t>date </w:t>
      </w:r>
      <w:r>
        <w:rPr>
          <w:sz w:val="24"/>
        </w:rPr>
        <w:t>of</w:t>
      </w:r>
      <w:r>
        <w:rPr>
          <w:spacing w:val="-23"/>
          <w:sz w:val="24"/>
        </w:rPr>
        <w:t> </w:t>
      </w:r>
      <w:r>
        <w:rPr>
          <w:spacing w:val="-3"/>
          <w:sz w:val="24"/>
        </w:rPr>
        <w:t>birth;</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Date(s) </w:t>
      </w:r>
      <w:r>
        <w:rPr>
          <w:sz w:val="24"/>
        </w:rPr>
        <w:t>of </w:t>
      </w:r>
      <w:r>
        <w:rPr>
          <w:spacing w:val="-3"/>
          <w:sz w:val="24"/>
        </w:rPr>
        <w:t>service</w:t>
      </w:r>
      <w:r>
        <w:rPr>
          <w:spacing w:val="-6"/>
          <w:sz w:val="24"/>
        </w:rPr>
        <w:t> </w:t>
      </w:r>
      <w:r>
        <w:rPr>
          <w:spacing w:val="-3"/>
          <w:sz w:val="24"/>
        </w:rPr>
        <w:t>(</w:t>
      </w:r>
      <w:r>
        <w:rPr>
          <w:i/>
          <w:spacing w:val="-3"/>
          <w:sz w:val="24"/>
        </w:rPr>
        <w:t>from-to</w:t>
      </w:r>
      <w:r>
        <w:rPr>
          <w:spacing w:val="-3"/>
          <w:sz w:val="24"/>
        </w:rPr>
        <w:t>);</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Date </w:t>
      </w:r>
      <w:r>
        <w:rPr>
          <w:sz w:val="24"/>
        </w:rPr>
        <w:t>of</w:t>
      </w:r>
      <w:r>
        <w:rPr>
          <w:spacing w:val="-8"/>
          <w:sz w:val="24"/>
        </w:rPr>
        <w:t> </w:t>
      </w:r>
      <w:r>
        <w:rPr>
          <w:spacing w:val="-3"/>
          <w:sz w:val="24"/>
        </w:rPr>
        <w:t>injury;</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Type </w:t>
      </w:r>
      <w:r>
        <w:rPr>
          <w:sz w:val="24"/>
        </w:rPr>
        <w:t>of </w:t>
      </w:r>
      <w:r>
        <w:rPr>
          <w:spacing w:val="-3"/>
          <w:sz w:val="24"/>
        </w:rPr>
        <w:t>accident (e.g., auto accident, accident </w:t>
      </w:r>
      <w:r>
        <w:rPr>
          <w:sz w:val="24"/>
        </w:rPr>
        <w:t>at </w:t>
      </w:r>
      <w:r>
        <w:rPr>
          <w:spacing w:val="-3"/>
          <w:sz w:val="24"/>
        </w:rPr>
        <w:t>work, slip </w:t>
      </w:r>
      <w:r>
        <w:rPr>
          <w:sz w:val="24"/>
        </w:rPr>
        <w:t>and</w:t>
      </w:r>
      <w:r>
        <w:rPr>
          <w:spacing w:val="-19"/>
          <w:sz w:val="24"/>
        </w:rPr>
        <w:t> </w:t>
      </w:r>
      <w:r>
        <w:rPr>
          <w:spacing w:val="-3"/>
          <w:sz w:val="24"/>
        </w:rPr>
        <w:t>fall);</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Insured’s name </w:t>
      </w:r>
      <w:r>
        <w:rPr>
          <w:sz w:val="24"/>
        </w:rPr>
        <w:t>and</w:t>
      </w:r>
      <w:r>
        <w:rPr>
          <w:spacing w:val="-11"/>
          <w:sz w:val="24"/>
        </w:rPr>
        <w:t> </w:t>
      </w:r>
      <w:r>
        <w:rPr>
          <w:spacing w:val="-3"/>
          <w:sz w:val="24"/>
        </w:rPr>
        <w:t>address;</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Insurance company’s</w:t>
      </w:r>
      <w:r>
        <w:rPr>
          <w:spacing w:val="-2"/>
          <w:sz w:val="24"/>
        </w:rPr>
        <w:t> </w:t>
      </w:r>
      <w:r>
        <w:rPr>
          <w:spacing w:val="-3"/>
          <w:sz w:val="24"/>
        </w:rPr>
        <w:t>name;</w:t>
      </w:r>
    </w:p>
    <w:p>
      <w:pPr>
        <w:pStyle w:val="ListParagraph"/>
        <w:numPr>
          <w:ilvl w:val="1"/>
          <w:numId w:val="11"/>
        </w:numPr>
        <w:tabs>
          <w:tab w:pos="1191" w:val="left" w:leader="none"/>
          <w:tab w:pos="1192" w:val="left" w:leader="none"/>
        </w:tabs>
        <w:spacing w:line="240" w:lineRule="auto" w:before="126" w:after="0"/>
        <w:ind w:left="1192" w:right="0" w:hanging="540"/>
        <w:jc w:val="left"/>
        <w:rPr>
          <w:sz w:val="24"/>
        </w:rPr>
      </w:pPr>
      <w:r>
        <w:rPr>
          <w:spacing w:val="-3"/>
          <w:sz w:val="24"/>
        </w:rPr>
        <w:t>Insured’s attorney’s name, address </w:t>
      </w:r>
      <w:r>
        <w:rPr>
          <w:sz w:val="24"/>
        </w:rPr>
        <w:t>and </w:t>
      </w:r>
      <w:r>
        <w:rPr>
          <w:spacing w:val="-3"/>
          <w:sz w:val="24"/>
        </w:rPr>
        <w:t>telephone</w:t>
      </w:r>
      <w:r>
        <w:rPr>
          <w:spacing w:val="-6"/>
          <w:sz w:val="24"/>
        </w:rPr>
        <w:t> </w:t>
      </w:r>
      <w:r>
        <w:rPr>
          <w:spacing w:val="-4"/>
          <w:sz w:val="24"/>
        </w:rPr>
        <w:t>number.</w:t>
      </w:r>
    </w:p>
    <w:p>
      <w:pPr>
        <w:pStyle w:val="BodyText"/>
        <w:spacing w:line="400" w:lineRule="atLeast" w:before="158"/>
        <w:ind w:left="1192" w:right="3525" w:hanging="540"/>
      </w:pPr>
      <w:r>
        <w:rPr>
          <w:spacing w:val="-3"/>
        </w:rPr>
        <w:t>Such written notification shall </w:t>
      </w:r>
      <w:r>
        <w:rPr/>
        <w:t>be </w:t>
      </w:r>
      <w:r>
        <w:rPr>
          <w:spacing w:val="-3"/>
        </w:rPr>
        <w:t>sent </w:t>
      </w:r>
      <w:r>
        <w:rPr/>
        <w:t>to the </w:t>
      </w:r>
      <w:r>
        <w:rPr>
          <w:spacing w:val="-3"/>
        </w:rPr>
        <w:t>following address: </w:t>
      </w:r>
      <w:r>
        <w:rPr>
          <w:spacing w:val="-4"/>
        </w:rPr>
        <w:t>Office </w:t>
      </w:r>
      <w:r>
        <w:rPr/>
        <w:t>of </w:t>
      </w:r>
      <w:r>
        <w:rPr>
          <w:spacing w:val="-4"/>
        </w:rPr>
        <w:t>Medicaid</w:t>
      </w:r>
    </w:p>
    <w:p>
      <w:pPr>
        <w:pStyle w:val="BodyText"/>
        <w:spacing w:before="3"/>
        <w:ind w:left="1192"/>
      </w:pPr>
      <w:r>
        <w:rPr/>
        <w:t>Accident Trauma Recovery Unit</w:t>
      </w:r>
    </w:p>
    <w:p>
      <w:pPr>
        <w:pStyle w:val="BodyText"/>
        <w:spacing w:before="3"/>
        <w:ind w:left="1192"/>
      </w:pPr>
      <w:r>
        <w:rPr/>
        <w:t>P.O. Box 15205</w:t>
      </w:r>
    </w:p>
    <w:p>
      <w:pPr>
        <w:pStyle w:val="BodyText"/>
        <w:spacing w:before="3"/>
        <w:ind w:left="1192"/>
      </w:pPr>
      <w:r>
        <w:rPr/>
        <w:t>Worcester, MA 01615-0203</w:t>
      </w:r>
    </w:p>
    <w:p>
      <w:pPr>
        <w:pStyle w:val="BodyText"/>
        <w:spacing w:before="3"/>
        <w:ind w:left="1192"/>
      </w:pPr>
      <w:r>
        <w:rPr/>
        <w:t>Phone: (800) 754-1864</w:t>
      </w:r>
    </w:p>
    <w:p>
      <w:pPr>
        <w:pStyle w:val="BodyText"/>
        <w:spacing w:before="1"/>
        <w:rPr>
          <w:sz w:val="29"/>
        </w:rPr>
      </w:pPr>
    </w:p>
    <w:p>
      <w:pPr>
        <w:pStyle w:val="Heading2"/>
        <w:numPr>
          <w:ilvl w:val="0"/>
          <w:numId w:val="12"/>
        </w:numPr>
        <w:tabs>
          <w:tab w:pos="660" w:val="left" w:leader="none"/>
          <w:tab w:pos="661" w:val="left" w:leader="none"/>
        </w:tabs>
        <w:spacing w:line="240" w:lineRule="auto" w:before="0" w:after="0"/>
        <w:ind w:left="660" w:right="0" w:hanging="548"/>
        <w:jc w:val="left"/>
      </w:pPr>
      <w:r>
        <w:rPr>
          <w:spacing w:val="-3"/>
        </w:rPr>
        <w:t>MassHealth</w:t>
      </w:r>
      <w:r>
        <w:rPr>
          <w:spacing w:val="-7"/>
        </w:rPr>
        <w:t> </w:t>
      </w:r>
      <w:r>
        <w:rPr>
          <w:spacing w:val="-3"/>
        </w:rPr>
        <w:t>Co-payments</w:t>
      </w:r>
    </w:p>
    <w:p>
      <w:pPr>
        <w:pStyle w:val="BodyText"/>
        <w:spacing w:before="4"/>
        <w:rPr>
          <w:b/>
          <w:sz w:val="28"/>
        </w:rPr>
      </w:pPr>
    </w:p>
    <w:p>
      <w:pPr>
        <w:pStyle w:val="BodyText"/>
        <w:spacing w:line="242" w:lineRule="auto"/>
        <w:ind w:left="651" w:right="159"/>
      </w:pPr>
      <w:r>
        <w:rPr/>
        <w:t>For any </w:t>
      </w:r>
      <w:r>
        <w:rPr>
          <w:spacing w:val="-3"/>
        </w:rPr>
        <w:t>Hospital service </w:t>
      </w:r>
      <w:r>
        <w:rPr/>
        <w:t>for </w:t>
      </w:r>
      <w:r>
        <w:rPr>
          <w:spacing w:val="-3"/>
        </w:rPr>
        <w:t>which </w:t>
      </w:r>
      <w:r>
        <w:rPr/>
        <w:t>a </w:t>
      </w:r>
      <w:r>
        <w:rPr>
          <w:spacing w:val="-3"/>
        </w:rPr>
        <w:t>Member co-payment </w:t>
      </w:r>
      <w:r>
        <w:rPr/>
        <w:t>is </w:t>
      </w:r>
      <w:r>
        <w:rPr>
          <w:spacing w:val="-3"/>
        </w:rPr>
        <w:t>applied pursuant </w:t>
      </w:r>
      <w:r>
        <w:rPr/>
        <w:t>to 130 CMR </w:t>
      </w:r>
      <w:r>
        <w:rPr>
          <w:spacing w:val="-3"/>
        </w:rPr>
        <w:t>450.130, EOHHS shall deduct </w:t>
      </w:r>
      <w:r>
        <w:rPr/>
        <w:t>the </w:t>
      </w:r>
      <w:r>
        <w:rPr>
          <w:spacing w:val="-3"/>
        </w:rPr>
        <w:t>co-payment amount from </w:t>
      </w:r>
      <w:r>
        <w:rPr/>
        <w:t>the </w:t>
      </w:r>
      <w:r>
        <w:rPr>
          <w:spacing w:val="-3"/>
        </w:rPr>
        <w:t>applicable Hospital payment </w:t>
      </w:r>
      <w:r>
        <w:rPr>
          <w:spacing w:val="-4"/>
        </w:rPr>
        <w:t>amount </w:t>
      </w:r>
      <w:r>
        <w:rPr>
          <w:spacing w:val="-3"/>
        </w:rPr>
        <w:t>specified </w:t>
      </w:r>
      <w:r>
        <w:rPr/>
        <w:t>in </w:t>
      </w:r>
      <w:r>
        <w:rPr>
          <w:spacing w:val="-3"/>
        </w:rPr>
        <w:t>this RFA. Hospitals may </w:t>
      </w:r>
      <w:r>
        <w:rPr/>
        <w:t>not </w:t>
      </w:r>
      <w:r>
        <w:rPr>
          <w:spacing w:val="-3"/>
        </w:rPr>
        <w:t>refuse services </w:t>
      </w:r>
      <w:r>
        <w:rPr/>
        <w:t>to any </w:t>
      </w:r>
      <w:r>
        <w:rPr>
          <w:spacing w:val="-3"/>
        </w:rPr>
        <w:t>Member </w:t>
      </w:r>
      <w:r>
        <w:rPr/>
        <w:t>who is </w:t>
      </w:r>
      <w:r>
        <w:rPr>
          <w:spacing w:val="-3"/>
        </w:rPr>
        <w:t>unable </w:t>
      </w:r>
      <w:r>
        <w:rPr/>
        <w:t>to pay </w:t>
      </w:r>
      <w:r>
        <w:rPr>
          <w:spacing w:val="-3"/>
        </w:rPr>
        <w:t>the co-payment </w:t>
      </w:r>
      <w:r>
        <w:rPr/>
        <w:t>at the </w:t>
      </w:r>
      <w:r>
        <w:rPr>
          <w:spacing w:val="-3"/>
        </w:rPr>
        <w:t>time </w:t>
      </w:r>
      <w:r>
        <w:rPr/>
        <w:t>the </w:t>
      </w:r>
      <w:r>
        <w:rPr>
          <w:spacing w:val="-3"/>
        </w:rPr>
        <w:t>service </w:t>
      </w:r>
      <w:r>
        <w:rPr/>
        <w:t>is </w:t>
      </w:r>
      <w:r>
        <w:rPr>
          <w:spacing w:val="-3"/>
        </w:rPr>
        <w:t>provided, </w:t>
      </w:r>
      <w:r>
        <w:rPr/>
        <w:t>and </w:t>
      </w:r>
      <w:r>
        <w:rPr>
          <w:spacing w:val="-3"/>
        </w:rPr>
        <w:t>must otherwise comply with </w:t>
      </w:r>
      <w:r>
        <w:rPr/>
        <w:t>all </w:t>
      </w:r>
      <w:r>
        <w:rPr>
          <w:spacing w:val="-3"/>
        </w:rPr>
        <w:t>applicable state </w:t>
      </w:r>
      <w:r>
        <w:rPr/>
        <w:t>and </w:t>
      </w:r>
      <w:r>
        <w:rPr>
          <w:spacing w:val="-3"/>
        </w:rPr>
        <w:t>federal requirements regarding </w:t>
      </w:r>
      <w:r>
        <w:rPr>
          <w:spacing w:val="-4"/>
        </w:rPr>
        <w:t>co-payments.</w:t>
      </w:r>
    </w:p>
    <w:p>
      <w:pPr>
        <w:spacing w:after="0" w:line="242" w:lineRule="auto"/>
        <w:sectPr>
          <w:pgSz w:w="12240" w:h="15840"/>
          <w:pgMar w:header="0" w:footer="744" w:top="1500" w:bottom="940" w:left="1040" w:right="980"/>
        </w:sectPr>
      </w:pPr>
    </w:p>
    <w:p>
      <w:pPr>
        <w:pStyle w:val="Heading1"/>
        <w:ind w:left="3892" w:right="315" w:hanging="3490"/>
        <w:jc w:val="left"/>
      </w:pPr>
      <w:r>
        <w:rPr/>
        <w:t>Section 7. Pay-for-Performance Quality Reporting Requirements and Payment Methods</w:t>
      </w:r>
    </w:p>
    <w:p>
      <w:pPr>
        <w:pStyle w:val="BodyText"/>
        <w:spacing w:line="247" w:lineRule="auto" w:before="281"/>
        <w:ind w:left="112" w:right="130"/>
      </w:pPr>
      <w:r>
        <w:rPr>
          <w:spacing w:val="-3"/>
        </w:rPr>
        <w:t>This section sets forth </w:t>
      </w:r>
      <w:r>
        <w:rPr/>
        <w:t>the </w:t>
      </w:r>
      <w:r>
        <w:rPr>
          <w:spacing w:val="-3"/>
        </w:rPr>
        <w:t>MassHealth </w:t>
      </w:r>
      <w:r>
        <w:rPr>
          <w:spacing w:val="-4"/>
        </w:rPr>
        <w:t>Pay-for-Performance </w:t>
      </w:r>
      <w:r>
        <w:rPr>
          <w:spacing w:val="-3"/>
        </w:rPr>
        <w:t>(P4P) Program quality reporting </w:t>
      </w:r>
      <w:r>
        <w:rPr>
          <w:spacing w:val="-4"/>
        </w:rPr>
        <w:t>requirements </w:t>
      </w:r>
      <w:r>
        <w:rPr/>
        <w:t>and </w:t>
      </w:r>
      <w:r>
        <w:rPr>
          <w:spacing w:val="-3"/>
        </w:rPr>
        <w:t>payment methods. </w:t>
      </w:r>
      <w:r>
        <w:rPr/>
        <w:t>For </w:t>
      </w:r>
      <w:r>
        <w:rPr>
          <w:spacing w:val="-3"/>
        </w:rPr>
        <w:t>RFA14, </w:t>
      </w:r>
      <w:r>
        <w:rPr/>
        <w:t>P4P </w:t>
      </w:r>
      <w:r>
        <w:rPr>
          <w:spacing w:val="-3"/>
        </w:rPr>
        <w:t>payments described </w:t>
      </w:r>
      <w:r>
        <w:rPr/>
        <w:t>in </w:t>
      </w:r>
      <w:r>
        <w:rPr>
          <w:b/>
          <w:spacing w:val="-3"/>
        </w:rPr>
        <w:t>Section </w:t>
      </w:r>
      <w:r>
        <w:rPr>
          <w:b/>
        </w:rPr>
        <w:t>7.5 </w:t>
      </w:r>
      <w:r>
        <w:rPr/>
        <w:t>are </w:t>
      </w:r>
      <w:r>
        <w:rPr>
          <w:spacing w:val="-3"/>
        </w:rPr>
        <w:t>contingent upon the Hospital’s performance </w:t>
      </w:r>
      <w:r>
        <w:rPr/>
        <w:t>of all </w:t>
      </w:r>
      <w:r>
        <w:rPr>
          <w:spacing w:val="-3"/>
        </w:rPr>
        <w:t>applicable requirements specified </w:t>
      </w:r>
      <w:r>
        <w:rPr/>
        <w:t>in </w:t>
      </w:r>
      <w:r>
        <w:rPr>
          <w:b/>
          <w:spacing w:val="-3"/>
        </w:rPr>
        <w:t>Section </w:t>
      </w:r>
      <w:r>
        <w:rPr>
          <w:b/>
        </w:rPr>
        <w:t>7</w:t>
      </w:r>
      <w:r>
        <w:rPr/>
        <w:t>.</w:t>
      </w:r>
    </w:p>
    <w:p>
      <w:pPr>
        <w:pStyle w:val="BodyText"/>
        <w:spacing w:before="6"/>
        <w:rPr>
          <w:sz w:val="20"/>
        </w:rPr>
      </w:pPr>
    </w:p>
    <w:p>
      <w:pPr>
        <w:pStyle w:val="Heading2"/>
        <w:numPr>
          <w:ilvl w:val="1"/>
          <w:numId w:val="13"/>
        </w:numPr>
        <w:tabs>
          <w:tab w:pos="653" w:val="left" w:leader="none"/>
        </w:tabs>
        <w:spacing w:line="240" w:lineRule="auto" w:before="0" w:after="0"/>
        <w:ind w:left="652" w:right="0" w:hanging="540"/>
        <w:jc w:val="left"/>
      </w:pPr>
      <w:r>
        <w:rPr>
          <w:spacing w:val="-4"/>
        </w:rPr>
        <w:t>Pay-for-Performance Program</w:t>
      </w:r>
      <w:r>
        <w:rPr>
          <w:spacing w:val="-12"/>
        </w:rPr>
        <w:t> </w:t>
      </w:r>
      <w:r>
        <w:rPr>
          <w:spacing w:val="-4"/>
        </w:rPr>
        <w:t>Requirements</w:t>
      </w:r>
    </w:p>
    <w:p>
      <w:pPr>
        <w:pStyle w:val="BodyText"/>
        <w:spacing w:before="176"/>
        <w:ind w:left="651"/>
      </w:pPr>
      <w:r>
        <w:rPr/>
        <w:t>The MassHealth P4P program shall operate under the following principles:</w:t>
      </w:r>
    </w:p>
    <w:p>
      <w:pPr>
        <w:pStyle w:val="BodyText"/>
        <w:spacing w:before="5"/>
        <w:rPr>
          <w:sz w:val="25"/>
        </w:rPr>
      </w:pPr>
    </w:p>
    <w:p>
      <w:pPr>
        <w:pStyle w:val="ListParagraph"/>
        <w:numPr>
          <w:ilvl w:val="2"/>
          <w:numId w:val="13"/>
        </w:numPr>
        <w:tabs>
          <w:tab w:pos="1012" w:val="left" w:leader="none"/>
        </w:tabs>
        <w:spacing w:line="242" w:lineRule="auto" w:before="0" w:after="0"/>
        <w:ind w:left="1012" w:right="637" w:hanging="360"/>
        <w:jc w:val="left"/>
        <w:rPr>
          <w:sz w:val="24"/>
        </w:rPr>
      </w:pPr>
      <w:r>
        <w:rPr>
          <w:sz w:val="24"/>
        </w:rPr>
        <w:t>Reward Hospitals for excelling in and improving quality of care delivered to MassHealth members, including the reduction of racial and ethnic health</w:t>
      </w:r>
      <w:r>
        <w:rPr>
          <w:spacing w:val="-6"/>
          <w:sz w:val="24"/>
        </w:rPr>
        <w:t> </w:t>
      </w:r>
      <w:r>
        <w:rPr>
          <w:sz w:val="24"/>
        </w:rPr>
        <w:t>disparities.</w:t>
      </w:r>
    </w:p>
    <w:p>
      <w:pPr>
        <w:pStyle w:val="BodyText"/>
        <w:spacing w:before="4"/>
      </w:pPr>
    </w:p>
    <w:p>
      <w:pPr>
        <w:pStyle w:val="ListParagraph"/>
        <w:numPr>
          <w:ilvl w:val="2"/>
          <w:numId w:val="13"/>
        </w:numPr>
        <w:tabs>
          <w:tab w:pos="1012" w:val="left" w:leader="none"/>
        </w:tabs>
        <w:spacing w:line="244" w:lineRule="auto" w:before="0" w:after="0"/>
        <w:ind w:left="1012" w:right="868" w:hanging="360"/>
        <w:jc w:val="left"/>
        <w:rPr>
          <w:sz w:val="24"/>
        </w:rPr>
      </w:pPr>
      <w:r>
        <w:rPr>
          <w:spacing w:val="-3"/>
          <w:sz w:val="24"/>
        </w:rPr>
        <w:t>Evaluate Hospital performance using quality measures for maternity, pediatric asthma, pneumonia, surgical care infection, care coordination, emergency department, </w:t>
      </w:r>
      <w:r>
        <w:rPr>
          <w:sz w:val="24"/>
        </w:rPr>
        <w:t>and </w:t>
      </w:r>
      <w:r>
        <w:rPr>
          <w:spacing w:val="-3"/>
          <w:sz w:val="24"/>
        </w:rPr>
        <w:t>health disparities </w:t>
      </w:r>
      <w:r>
        <w:rPr>
          <w:sz w:val="24"/>
        </w:rPr>
        <w:t>as set </w:t>
      </w:r>
      <w:r>
        <w:rPr>
          <w:spacing w:val="-3"/>
          <w:sz w:val="24"/>
        </w:rPr>
        <w:t>forth </w:t>
      </w:r>
      <w:r>
        <w:rPr>
          <w:sz w:val="24"/>
        </w:rPr>
        <w:t>in </w:t>
      </w:r>
      <w:r>
        <w:rPr>
          <w:b/>
          <w:spacing w:val="-3"/>
          <w:sz w:val="24"/>
        </w:rPr>
        <w:t>Section</w:t>
      </w:r>
      <w:r>
        <w:rPr>
          <w:b/>
          <w:spacing w:val="-36"/>
          <w:sz w:val="24"/>
        </w:rPr>
        <w:t> </w:t>
      </w:r>
      <w:r>
        <w:rPr>
          <w:b/>
          <w:sz w:val="24"/>
        </w:rPr>
        <w:t>7.3</w:t>
      </w:r>
      <w:r>
        <w:rPr>
          <w:sz w:val="24"/>
        </w:rPr>
        <w:t>.</w:t>
      </w:r>
    </w:p>
    <w:p>
      <w:pPr>
        <w:pStyle w:val="ListParagraph"/>
        <w:numPr>
          <w:ilvl w:val="2"/>
          <w:numId w:val="13"/>
        </w:numPr>
        <w:tabs>
          <w:tab w:pos="1012" w:val="left" w:leader="none"/>
        </w:tabs>
        <w:spacing w:line="242" w:lineRule="auto" w:before="181" w:after="0"/>
        <w:ind w:left="1012" w:right="132" w:hanging="360"/>
        <w:jc w:val="left"/>
        <w:rPr>
          <w:sz w:val="24"/>
        </w:rPr>
      </w:pPr>
      <w:r>
        <w:rPr>
          <w:sz w:val="24"/>
        </w:rPr>
        <w:t>Assess Hospital performance annually, in accordance with methods set forth in </w:t>
      </w:r>
      <w:r>
        <w:rPr>
          <w:b/>
          <w:sz w:val="24"/>
        </w:rPr>
        <w:t>Section 7.4, </w:t>
      </w:r>
      <w:r>
        <w:rPr>
          <w:sz w:val="24"/>
        </w:rPr>
        <w:t>to calculate performance scores that will be converted to P4P</w:t>
      </w:r>
      <w:r>
        <w:rPr>
          <w:spacing w:val="-5"/>
          <w:sz w:val="24"/>
        </w:rPr>
        <w:t> </w:t>
      </w:r>
      <w:r>
        <w:rPr>
          <w:sz w:val="24"/>
        </w:rPr>
        <w:t>payments.</w:t>
      </w:r>
    </w:p>
    <w:p>
      <w:pPr>
        <w:pStyle w:val="BodyText"/>
        <w:spacing w:before="3"/>
      </w:pPr>
    </w:p>
    <w:p>
      <w:pPr>
        <w:pStyle w:val="ListParagraph"/>
        <w:numPr>
          <w:ilvl w:val="2"/>
          <w:numId w:val="13"/>
        </w:numPr>
        <w:tabs>
          <w:tab w:pos="1012" w:val="left" w:leader="none"/>
        </w:tabs>
        <w:spacing w:line="244" w:lineRule="auto" w:before="1" w:after="0"/>
        <w:ind w:left="1012" w:right="448" w:hanging="360"/>
        <w:jc w:val="left"/>
        <w:rPr>
          <w:sz w:val="24"/>
        </w:rPr>
      </w:pPr>
      <w:r>
        <w:rPr>
          <w:sz w:val="24"/>
        </w:rPr>
        <w:t>Make payments to Hospitals in accordance with the methods for calculating payments set forth in </w:t>
      </w:r>
      <w:r>
        <w:rPr>
          <w:b/>
          <w:sz w:val="24"/>
        </w:rPr>
        <w:t>Section 7.5 </w:t>
      </w:r>
      <w:r>
        <w:rPr>
          <w:sz w:val="24"/>
        </w:rPr>
        <w:t>of this RFA. As specified in </w:t>
      </w:r>
      <w:r>
        <w:rPr>
          <w:b/>
          <w:sz w:val="24"/>
        </w:rPr>
        <w:t>Section 7.5</w:t>
      </w:r>
      <w:r>
        <w:rPr>
          <w:sz w:val="24"/>
        </w:rPr>
        <w:t>, incentive payments for RY14 will be based on both P4P and pay-for-reporting as described</w:t>
      </w:r>
      <w:r>
        <w:rPr>
          <w:spacing w:val="-2"/>
          <w:sz w:val="24"/>
        </w:rPr>
        <w:t> </w:t>
      </w:r>
      <w:r>
        <w:rPr>
          <w:sz w:val="24"/>
        </w:rPr>
        <w:t>therein.</w:t>
      </w:r>
    </w:p>
    <w:p>
      <w:pPr>
        <w:pStyle w:val="BodyText"/>
        <w:spacing w:before="2"/>
      </w:pPr>
    </w:p>
    <w:p>
      <w:pPr>
        <w:pStyle w:val="ListParagraph"/>
        <w:numPr>
          <w:ilvl w:val="2"/>
          <w:numId w:val="13"/>
        </w:numPr>
        <w:tabs>
          <w:tab w:pos="1012" w:val="left" w:leader="none"/>
        </w:tabs>
        <w:spacing w:line="242" w:lineRule="auto" w:before="0" w:after="0"/>
        <w:ind w:left="1012" w:right="865" w:hanging="360"/>
        <w:jc w:val="left"/>
        <w:rPr>
          <w:sz w:val="24"/>
        </w:rPr>
      </w:pPr>
      <w:r>
        <w:rPr>
          <w:sz w:val="24"/>
        </w:rPr>
        <w:t>To be eligible to receive P4P payments, Hospitals must adhere to the following quality reporting standards:</w:t>
      </w:r>
    </w:p>
    <w:p>
      <w:pPr>
        <w:pStyle w:val="BodyText"/>
        <w:spacing w:before="8"/>
      </w:pPr>
    </w:p>
    <w:p>
      <w:pPr>
        <w:pStyle w:val="ListParagraph"/>
        <w:numPr>
          <w:ilvl w:val="3"/>
          <w:numId w:val="13"/>
        </w:numPr>
        <w:tabs>
          <w:tab w:pos="1372" w:val="left" w:leader="none"/>
        </w:tabs>
        <w:spacing w:line="240" w:lineRule="auto" w:before="0" w:after="0"/>
        <w:ind w:left="1372" w:right="0" w:hanging="360"/>
        <w:jc w:val="left"/>
        <w:rPr>
          <w:sz w:val="24"/>
        </w:rPr>
      </w:pPr>
      <w:r>
        <w:rPr>
          <w:sz w:val="24"/>
        </w:rPr>
        <w:t>Submit complete data</w:t>
      </w:r>
      <w:r>
        <w:rPr>
          <w:b/>
          <w:sz w:val="24"/>
        </w:rPr>
        <w:t>, </w:t>
      </w:r>
      <w:r>
        <w:rPr>
          <w:sz w:val="24"/>
        </w:rPr>
        <w:t>as described in  </w:t>
      </w:r>
      <w:r>
        <w:rPr>
          <w:b/>
          <w:sz w:val="24"/>
        </w:rPr>
        <w:t>Section 7.3</w:t>
      </w:r>
      <w:r>
        <w:rPr>
          <w:sz w:val="24"/>
        </w:rPr>
        <w:t>, for each required measure listed</w:t>
      </w:r>
      <w:r>
        <w:rPr>
          <w:spacing w:val="-8"/>
          <w:sz w:val="24"/>
        </w:rPr>
        <w:t> </w:t>
      </w:r>
      <w:r>
        <w:rPr>
          <w:sz w:val="24"/>
        </w:rPr>
        <w:t>in</w:t>
      </w:r>
    </w:p>
    <w:p>
      <w:pPr>
        <w:pStyle w:val="Heading3"/>
        <w:spacing w:before="7"/>
        <w:ind w:left="1372" w:firstLine="0"/>
        <w:rPr>
          <w:b w:val="0"/>
        </w:rPr>
      </w:pPr>
      <w:r>
        <w:rPr/>
        <w:t>Table 7-1</w:t>
      </w:r>
      <w:r>
        <w:rPr>
          <w:b w:val="0"/>
        </w:rPr>
        <w:t>;</w:t>
      </w:r>
    </w:p>
    <w:p>
      <w:pPr>
        <w:pStyle w:val="BodyText"/>
        <w:spacing w:before="7"/>
      </w:pPr>
    </w:p>
    <w:p>
      <w:pPr>
        <w:pStyle w:val="ListParagraph"/>
        <w:numPr>
          <w:ilvl w:val="3"/>
          <w:numId w:val="13"/>
        </w:numPr>
        <w:tabs>
          <w:tab w:pos="1372" w:val="left" w:leader="none"/>
        </w:tabs>
        <w:spacing w:line="244" w:lineRule="auto" w:before="0" w:after="0"/>
        <w:ind w:left="1372" w:right="576" w:hanging="360"/>
        <w:jc w:val="left"/>
        <w:rPr>
          <w:sz w:val="24"/>
        </w:rPr>
      </w:pPr>
      <w:r>
        <w:rPr>
          <w:sz w:val="24"/>
        </w:rPr>
        <w:t>Comply with all data collection and submission guidelines published in the applicable EOHHS Technical Specifications Manual version listed in </w:t>
      </w:r>
      <w:r>
        <w:rPr>
          <w:b/>
          <w:sz w:val="24"/>
        </w:rPr>
        <w:t>Section 7.6.A </w:t>
      </w:r>
      <w:r>
        <w:rPr>
          <w:sz w:val="24"/>
        </w:rPr>
        <w:t>to ensure completeness and accuracy of data</w:t>
      </w:r>
      <w:r>
        <w:rPr>
          <w:spacing w:val="-5"/>
          <w:sz w:val="24"/>
        </w:rPr>
        <w:t> </w:t>
      </w:r>
      <w:r>
        <w:rPr>
          <w:sz w:val="24"/>
        </w:rPr>
        <w:t>submitted;</w:t>
      </w:r>
    </w:p>
    <w:p>
      <w:pPr>
        <w:pStyle w:val="BodyText"/>
        <w:spacing w:before="5"/>
      </w:pPr>
    </w:p>
    <w:p>
      <w:pPr>
        <w:pStyle w:val="ListParagraph"/>
        <w:numPr>
          <w:ilvl w:val="3"/>
          <w:numId w:val="13"/>
        </w:numPr>
        <w:tabs>
          <w:tab w:pos="1372" w:val="left" w:leader="none"/>
        </w:tabs>
        <w:spacing w:line="244" w:lineRule="auto" w:before="0" w:after="0"/>
        <w:ind w:left="1372" w:right="377" w:hanging="360"/>
        <w:jc w:val="left"/>
        <w:rPr>
          <w:sz w:val="24"/>
        </w:rPr>
      </w:pPr>
      <w:r>
        <w:rPr>
          <w:sz w:val="24"/>
        </w:rPr>
        <w:t>Meet data submission deadlines set forth in </w:t>
      </w:r>
      <w:r>
        <w:rPr>
          <w:b/>
          <w:sz w:val="24"/>
        </w:rPr>
        <w:t>Section 7.6.A</w:t>
      </w:r>
      <w:r>
        <w:rPr>
          <w:sz w:val="24"/>
        </w:rPr>
        <w:t>. Failure to timely submit all data and reporting in the form and formats required by EOHHS may render the Hospital ineligible for some or all payments under </w:t>
      </w:r>
      <w:r>
        <w:rPr>
          <w:b/>
          <w:sz w:val="24"/>
        </w:rPr>
        <w:t>Section 7 </w:t>
      </w:r>
      <w:r>
        <w:rPr>
          <w:sz w:val="24"/>
        </w:rPr>
        <w:t>of this</w:t>
      </w:r>
      <w:r>
        <w:rPr>
          <w:spacing w:val="-12"/>
          <w:sz w:val="24"/>
        </w:rPr>
        <w:t> </w:t>
      </w:r>
      <w:r>
        <w:rPr>
          <w:sz w:val="24"/>
        </w:rPr>
        <w:t>RFA;</w:t>
      </w:r>
    </w:p>
    <w:p>
      <w:pPr>
        <w:pStyle w:val="BodyText"/>
        <w:spacing w:before="1"/>
      </w:pPr>
    </w:p>
    <w:p>
      <w:pPr>
        <w:pStyle w:val="ListParagraph"/>
        <w:numPr>
          <w:ilvl w:val="3"/>
          <w:numId w:val="13"/>
        </w:numPr>
        <w:tabs>
          <w:tab w:pos="1372" w:val="left" w:leader="none"/>
        </w:tabs>
        <w:spacing w:line="242" w:lineRule="auto" w:before="0" w:after="0"/>
        <w:ind w:left="1372" w:right="219" w:hanging="360"/>
        <w:jc w:val="left"/>
        <w:rPr>
          <w:sz w:val="24"/>
        </w:rPr>
      </w:pPr>
      <w:r>
        <w:rPr>
          <w:sz w:val="24"/>
        </w:rPr>
        <w:t>Identify and authorize individuals to conduct electronic data transactions, via the EOHHS designated secure portal, on the Hospital’s</w:t>
      </w:r>
      <w:r>
        <w:rPr>
          <w:spacing w:val="-1"/>
          <w:sz w:val="24"/>
        </w:rPr>
        <w:t> </w:t>
      </w:r>
      <w:r>
        <w:rPr>
          <w:sz w:val="24"/>
        </w:rPr>
        <w:t>behalf;</w:t>
      </w:r>
    </w:p>
    <w:p>
      <w:pPr>
        <w:pStyle w:val="BodyText"/>
        <w:spacing w:before="4"/>
      </w:pPr>
    </w:p>
    <w:p>
      <w:pPr>
        <w:pStyle w:val="ListParagraph"/>
        <w:numPr>
          <w:ilvl w:val="3"/>
          <w:numId w:val="13"/>
        </w:numPr>
        <w:tabs>
          <w:tab w:pos="1372" w:val="left" w:leader="none"/>
        </w:tabs>
        <w:spacing w:line="247" w:lineRule="auto" w:before="0" w:after="0"/>
        <w:ind w:left="1372" w:right="705" w:hanging="360"/>
        <w:jc w:val="left"/>
        <w:rPr>
          <w:sz w:val="24"/>
        </w:rPr>
      </w:pPr>
      <w:r>
        <w:rPr>
          <w:sz w:val="24"/>
        </w:rPr>
        <w:t>Meet the minimum reliability standards for data elements and pass data validation as defined in </w:t>
      </w:r>
      <w:r>
        <w:rPr>
          <w:b/>
          <w:sz w:val="24"/>
        </w:rPr>
        <w:t>Section 7.4.B</w:t>
      </w:r>
      <w:r>
        <w:rPr>
          <w:sz w:val="24"/>
        </w:rPr>
        <w:t>;</w:t>
      </w:r>
      <w:r>
        <w:rPr>
          <w:spacing w:val="-1"/>
          <w:sz w:val="24"/>
        </w:rPr>
        <w:t> </w:t>
      </w:r>
      <w:r>
        <w:rPr>
          <w:sz w:val="24"/>
        </w:rPr>
        <w:t>and</w:t>
      </w:r>
    </w:p>
    <w:p>
      <w:pPr>
        <w:pStyle w:val="BodyText"/>
      </w:pPr>
    </w:p>
    <w:p>
      <w:pPr>
        <w:pStyle w:val="ListParagraph"/>
        <w:numPr>
          <w:ilvl w:val="3"/>
          <w:numId w:val="13"/>
        </w:numPr>
        <w:tabs>
          <w:tab w:pos="1372" w:val="left" w:leader="none"/>
        </w:tabs>
        <w:spacing w:line="240" w:lineRule="auto" w:before="0" w:after="0"/>
        <w:ind w:left="1372" w:right="0" w:hanging="360"/>
        <w:jc w:val="left"/>
        <w:rPr>
          <w:sz w:val="24"/>
        </w:rPr>
      </w:pPr>
      <w:r>
        <w:rPr>
          <w:sz w:val="24"/>
        </w:rPr>
        <w:t>Achieve quality standards and performance benchmarks on reported measures</w:t>
      </w:r>
      <w:r>
        <w:rPr>
          <w:spacing w:val="-8"/>
          <w:sz w:val="24"/>
        </w:rPr>
        <w:t> </w:t>
      </w:r>
      <w:r>
        <w:rPr>
          <w:sz w:val="24"/>
        </w:rPr>
        <w:t>data.</w:t>
      </w:r>
    </w:p>
    <w:p>
      <w:pPr>
        <w:spacing w:after="0" w:line="240" w:lineRule="auto"/>
        <w:jc w:val="left"/>
        <w:rPr>
          <w:sz w:val="24"/>
        </w:rPr>
        <w:sectPr>
          <w:pgSz w:w="12240" w:h="15840"/>
          <w:pgMar w:header="0" w:footer="744" w:top="1380" w:bottom="940" w:left="1040" w:right="980"/>
        </w:sectPr>
      </w:pPr>
    </w:p>
    <w:p>
      <w:pPr>
        <w:pStyle w:val="BodyText"/>
        <w:spacing w:before="6"/>
        <w:rPr>
          <w:sz w:val="11"/>
        </w:rPr>
      </w:pPr>
    </w:p>
    <w:p>
      <w:pPr>
        <w:pStyle w:val="ListParagraph"/>
        <w:numPr>
          <w:ilvl w:val="2"/>
          <w:numId w:val="13"/>
        </w:numPr>
        <w:tabs>
          <w:tab w:pos="966" w:val="left" w:leader="none"/>
        </w:tabs>
        <w:spacing w:line="244" w:lineRule="auto" w:before="90" w:after="0"/>
        <w:ind w:left="1012" w:right="151" w:hanging="360"/>
        <w:jc w:val="left"/>
        <w:rPr>
          <w:sz w:val="24"/>
        </w:rPr>
      </w:pPr>
      <w:r>
        <w:rPr>
          <w:sz w:val="24"/>
        </w:rPr>
        <w:t>All Hospitals contracting with EOHHS are required to participate in P4P quality reporting for all applicable measures. A Hospital’s performance with respect to the requirements in </w:t>
      </w:r>
      <w:r>
        <w:rPr>
          <w:b/>
          <w:sz w:val="24"/>
        </w:rPr>
        <w:t>Section 7 </w:t>
      </w:r>
      <w:r>
        <w:rPr>
          <w:sz w:val="24"/>
        </w:rPr>
        <w:t>may affect its present and future participation in the MassHealth program and its rate of reimbursement.</w:t>
      </w:r>
    </w:p>
    <w:p>
      <w:pPr>
        <w:pStyle w:val="BodyText"/>
        <w:spacing w:before="1"/>
        <w:rPr>
          <w:sz w:val="21"/>
        </w:rPr>
      </w:pPr>
    </w:p>
    <w:p>
      <w:pPr>
        <w:pStyle w:val="Heading2"/>
        <w:numPr>
          <w:ilvl w:val="1"/>
          <w:numId w:val="13"/>
        </w:numPr>
        <w:tabs>
          <w:tab w:pos="658" w:val="left" w:leader="none"/>
          <w:tab w:pos="659" w:val="left" w:leader="none"/>
        </w:tabs>
        <w:spacing w:line="240" w:lineRule="auto" w:before="0" w:after="0"/>
        <w:ind w:left="658" w:right="0" w:hanging="546"/>
        <w:jc w:val="left"/>
      </w:pPr>
      <w:r>
        <w:rPr>
          <w:spacing w:val="-3"/>
        </w:rPr>
        <w:t>Hospital </w:t>
      </w:r>
      <w:r>
        <w:rPr/>
        <w:t>Key </w:t>
      </w:r>
      <w:r>
        <w:rPr>
          <w:spacing w:val="-3"/>
        </w:rPr>
        <w:t>Quality Representative</w:t>
      </w:r>
      <w:r>
        <w:rPr>
          <w:spacing w:val="-21"/>
        </w:rPr>
        <w:t> </w:t>
      </w:r>
      <w:r>
        <w:rPr>
          <w:spacing w:val="-3"/>
        </w:rPr>
        <w:t>Requirements</w:t>
      </w:r>
    </w:p>
    <w:p>
      <w:pPr>
        <w:pStyle w:val="BodyText"/>
        <w:spacing w:line="242" w:lineRule="auto" w:before="239"/>
        <w:ind w:left="651" w:right="312"/>
        <w:jc w:val="both"/>
      </w:pPr>
      <w:r>
        <w:rPr/>
        <w:t>Each Hospital must identify and designate two key quality representatives, with the appropriate expertise to coordinate and communicate with EOHHS on all aspects of </w:t>
      </w:r>
      <w:r>
        <w:rPr>
          <w:b/>
        </w:rPr>
        <w:t>Section 7 </w:t>
      </w:r>
      <w:r>
        <w:rPr/>
        <w:t>requirements during the Contract period. The two key quality representatives shall act in accordance with, but not be limited to, the following responsibilities:</w:t>
      </w:r>
    </w:p>
    <w:p>
      <w:pPr>
        <w:pStyle w:val="ListParagraph"/>
        <w:numPr>
          <w:ilvl w:val="2"/>
          <w:numId w:val="13"/>
        </w:numPr>
        <w:tabs>
          <w:tab w:pos="1012" w:val="left" w:leader="none"/>
        </w:tabs>
        <w:spacing w:line="242" w:lineRule="auto" w:before="182" w:after="0"/>
        <w:ind w:left="1012" w:right="359" w:hanging="360"/>
        <w:jc w:val="left"/>
        <w:rPr>
          <w:sz w:val="24"/>
        </w:rPr>
      </w:pPr>
      <w:r>
        <w:rPr>
          <w:sz w:val="24"/>
        </w:rPr>
        <w:t>Serve as the primary contact for all correspondence pertinent to the Hospital’s quality performance reports, including responding to all inquiries and requests made by EOHHS, in accordance with the timeframes and format specified by</w:t>
      </w:r>
      <w:r>
        <w:rPr>
          <w:spacing w:val="-7"/>
          <w:sz w:val="24"/>
        </w:rPr>
        <w:t> </w:t>
      </w:r>
      <w:r>
        <w:rPr>
          <w:sz w:val="24"/>
        </w:rPr>
        <w:t>EOHHS.</w:t>
      </w:r>
    </w:p>
    <w:p>
      <w:pPr>
        <w:pStyle w:val="BodyText"/>
        <w:spacing w:before="4"/>
      </w:pPr>
    </w:p>
    <w:p>
      <w:pPr>
        <w:pStyle w:val="ListParagraph"/>
        <w:numPr>
          <w:ilvl w:val="2"/>
          <w:numId w:val="13"/>
        </w:numPr>
        <w:tabs>
          <w:tab w:pos="1012" w:val="left" w:leader="none"/>
        </w:tabs>
        <w:spacing w:line="242" w:lineRule="auto" w:before="0" w:after="0"/>
        <w:ind w:left="1012" w:right="630" w:hanging="360"/>
        <w:jc w:val="left"/>
        <w:rPr>
          <w:sz w:val="24"/>
        </w:rPr>
      </w:pPr>
      <w:r>
        <w:rPr>
          <w:sz w:val="24"/>
        </w:rPr>
        <w:t>Notify EOHHS of any changes in the key quality representatives that occur during the Contract period as soon as the information becomes available, using the </w:t>
      </w:r>
      <w:r>
        <w:rPr>
          <w:i/>
          <w:sz w:val="24"/>
        </w:rPr>
        <w:t>Hospital Quality </w:t>
      </w:r>
      <w:r>
        <w:rPr>
          <w:i/>
          <w:sz w:val="24"/>
        </w:rPr>
        <w:t>Contacts</w:t>
      </w:r>
      <w:r>
        <w:rPr>
          <w:i/>
          <w:spacing w:val="-2"/>
          <w:sz w:val="24"/>
        </w:rPr>
        <w:t> </w:t>
      </w:r>
      <w:r>
        <w:rPr>
          <w:i/>
          <w:sz w:val="24"/>
        </w:rPr>
        <w:t>Form</w:t>
      </w:r>
      <w:r>
        <w:rPr>
          <w:sz w:val="24"/>
        </w:rPr>
        <w:t>;</w:t>
      </w:r>
    </w:p>
    <w:p>
      <w:pPr>
        <w:pStyle w:val="BodyText"/>
        <w:spacing w:before="4"/>
      </w:pPr>
    </w:p>
    <w:p>
      <w:pPr>
        <w:pStyle w:val="ListParagraph"/>
        <w:numPr>
          <w:ilvl w:val="2"/>
          <w:numId w:val="13"/>
        </w:numPr>
        <w:tabs>
          <w:tab w:pos="1012" w:val="left" w:leader="none"/>
        </w:tabs>
        <w:spacing w:line="244" w:lineRule="auto" w:before="0" w:after="0"/>
        <w:ind w:left="1012" w:right="237" w:hanging="360"/>
        <w:jc w:val="both"/>
        <w:rPr>
          <w:sz w:val="24"/>
        </w:rPr>
      </w:pPr>
      <w:r>
        <w:rPr>
          <w:sz w:val="24"/>
        </w:rPr>
        <w:t>Use the mailbox address:</w:t>
      </w:r>
      <w:r>
        <w:rPr>
          <w:color w:val="0000FF"/>
          <w:sz w:val="24"/>
        </w:rPr>
        <w:t> </w:t>
      </w:r>
      <w:hyperlink r:id="rId21">
        <w:r>
          <w:rPr>
            <w:color w:val="0000FF"/>
            <w:sz w:val="24"/>
            <w:u w:val="single" w:color="0000FF"/>
          </w:rPr>
          <w:t>Masshealthhospitalquality@state.ma.us</w:t>
        </w:r>
        <w:r>
          <w:rPr>
            <w:color w:val="0000FF"/>
            <w:sz w:val="24"/>
          </w:rPr>
          <w:t> </w:t>
        </w:r>
      </w:hyperlink>
      <w:r>
        <w:rPr>
          <w:sz w:val="24"/>
        </w:rPr>
        <w:t>to expedite communication between EOHHS and the Hospital on </w:t>
      </w:r>
      <w:r>
        <w:rPr>
          <w:b/>
          <w:sz w:val="24"/>
        </w:rPr>
        <w:t>Section 7 </w:t>
      </w:r>
      <w:r>
        <w:rPr>
          <w:sz w:val="24"/>
        </w:rPr>
        <w:t>requirements and comply with the following conditions that apply to use of this e-mail</w:t>
      </w:r>
      <w:r>
        <w:rPr>
          <w:spacing w:val="-3"/>
          <w:sz w:val="24"/>
        </w:rPr>
        <w:t> </w:t>
      </w:r>
      <w:r>
        <w:rPr>
          <w:sz w:val="24"/>
        </w:rPr>
        <w:t>address:</w:t>
      </w:r>
    </w:p>
    <w:p>
      <w:pPr>
        <w:pStyle w:val="BodyText"/>
        <w:spacing w:before="3"/>
      </w:pPr>
    </w:p>
    <w:p>
      <w:pPr>
        <w:pStyle w:val="ListParagraph"/>
        <w:numPr>
          <w:ilvl w:val="3"/>
          <w:numId w:val="13"/>
        </w:numPr>
        <w:tabs>
          <w:tab w:pos="1372" w:val="left" w:leader="none"/>
        </w:tabs>
        <w:spacing w:line="242" w:lineRule="auto" w:before="0" w:after="0"/>
        <w:ind w:left="1372" w:right="405" w:hanging="360"/>
        <w:jc w:val="left"/>
        <w:rPr>
          <w:sz w:val="24"/>
        </w:rPr>
      </w:pPr>
      <w:r>
        <w:rPr>
          <w:sz w:val="24"/>
        </w:rPr>
        <w:t>Only the two key quality representatives are automatically entered into the e-mail distribution list of the EOHHS mailbox system. Requests to add other staff not listed on the Hospital Quality Contact Form to this mailbox must be requested in</w:t>
      </w:r>
      <w:r>
        <w:rPr>
          <w:spacing w:val="-7"/>
          <w:sz w:val="24"/>
        </w:rPr>
        <w:t> </w:t>
      </w:r>
      <w:r>
        <w:rPr>
          <w:sz w:val="24"/>
        </w:rPr>
        <w:t>writing.</w:t>
      </w:r>
    </w:p>
    <w:p>
      <w:pPr>
        <w:pStyle w:val="BodyText"/>
        <w:spacing w:before="4"/>
      </w:pPr>
    </w:p>
    <w:p>
      <w:pPr>
        <w:pStyle w:val="ListParagraph"/>
        <w:numPr>
          <w:ilvl w:val="3"/>
          <w:numId w:val="13"/>
        </w:numPr>
        <w:tabs>
          <w:tab w:pos="1372" w:val="left" w:leader="none"/>
        </w:tabs>
        <w:spacing w:line="242" w:lineRule="auto" w:before="0" w:after="0"/>
        <w:ind w:left="1372" w:right="419" w:hanging="360"/>
        <w:jc w:val="left"/>
        <w:rPr>
          <w:sz w:val="24"/>
        </w:rPr>
      </w:pPr>
      <w:r>
        <w:rPr>
          <w:sz w:val="24"/>
        </w:rPr>
        <w:t>Key quality representatives will receive ongoing updates from the EOHHS mailbox system on quality reporting requirements and other quality-related initiatives during the Contract period.</w:t>
      </w:r>
    </w:p>
    <w:p>
      <w:pPr>
        <w:pStyle w:val="BodyText"/>
        <w:spacing w:before="4"/>
      </w:pPr>
    </w:p>
    <w:p>
      <w:pPr>
        <w:pStyle w:val="ListParagraph"/>
        <w:numPr>
          <w:ilvl w:val="3"/>
          <w:numId w:val="13"/>
        </w:numPr>
        <w:tabs>
          <w:tab w:pos="1372" w:val="left" w:leader="none"/>
        </w:tabs>
        <w:spacing w:line="242" w:lineRule="auto" w:before="0" w:after="0"/>
        <w:ind w:left="1372" w:right="170" w:hanging="360"/>
        <w:jc w:val="left"/>
        <w:rPr>
          <w:sz w:val="24"/>
        </w:rPr>
      </w:pPr>
      <w:r>
        <w:rPr>
          <w:sz w:val="24"/>
        </w:rPr>
        <w:t>Key quality representatives are responsible for disseminating updates sent from the EOHHS private mailbox system and communicating to all staff and/or third-party vendors involved in quality performance</w:t>
      </w:r>
      <w:r>
        <w:rPr>
          <w:spacing w:val="-2"/>
          <w:sz w:val="24"/>
        </w:rPr>
        <w:t> </w:t>
      </w:r>
      <w:r>
        <w:rPr>
          <w:sz w:val="24"/>
        </w:rPr>
        <w:t>reporting.</w:t>
      </w:r>
    </w:p>
    <w:p>
      <w:pPr>
        <w:pStyle w:val="BodyText"/>
        <w:spacing w:before="8"/>
      </w:pPr>
    </w:p>
    <w:p>
      <w:pPr>
        <w:pStyle w:val="ListParagraph"/>
        <w:numPr>
          <w:ilvl w:val="2"/>
          <w:numId w:val="13"/>
        </w:numPr>
        <w:tabs>
          <w:tab w:pos="1012" w:val="left" w:leader="none"/>
        </w:tabs>
        <w:spacing w:line="244" w:lineRule="auto" w:before="0" w:after="0"/>
        <w:ind w:left="1012" w:right="417" w:hanging="360"/>
        <w:jc w:val="left"/>
        <w:rPr>
          <w:sz w:val="24"/>
        </w:rPr>
      </w:pPr>
      <w:r>
        <w:rPr>
          <w:b/>
          <w:sz w:val="24"/>
        </w:rPr>
        <w:t>Reporting Requirement</w:t>
      </w:r>
      <w:r>
        <w:rPr>
          <w:sz w:val="24"/>
        </w:rPr>
        <w:t>. Each Hospital must complete and submit information on all staff involved in quality reporting using the </w:t>
      </w:r>
      <w:r>
        <w:rPr>
          <w:i/>
          <w:sz w:val="24"/>
        </w:rPr>
        <w:t>Hospital Quality Contacts Form </w:t>
      </w:r>
      <w:r>
        <w:rPr>
          <w:sz w:val="24"/>
        </w:rPr>
        <w:t>per instructions in </w:t>
      </w:r>
      <w:r>
        <w:rPr>
          <w:b/>
          <w:sz w:val="24"/>
        </w:rPr>
        <w:t>Section 7.6.E </w:t>
      </w:r>
      <w:r>
        <w:rPr>
          <w:sz w:val="24"/>
        </w:rPr>
        <w:t>by the due date set forth in </w:t>
      </w:r>
      <w:r>
        <w:rPr>
          <w:b/>
          <w:sz w:val="24"/>
        </w:rPr>
        <w:t>Section</w:t>
      </w:r>
      <w:r>
        <w:rPr>
          <w:b/>
          <w:spacing w:val="-1"/>
          <w:sz w:val="24"/>
        </w:rPr>
        <w:t> </w:t>
      </w:r>
      <w:r>
        <w:rPr>
          <w:b/>
          <w:sz w:val="24"/>
        </w:rPr>
        <w:t>7.6.A</w:t>
      </w:r>
      <w:r>
        <w:rPr>
          <w:sz w:val="24"/>
        </w:rPr>
        <w:t>.</w:t>
      </w:r>
    </w:p>
    <w:p>
      <w:pPr>
        <w:pStyle w:val="BodyText"/>
        <w:spacing w:before="1"/>
        <w:rPr>
          <w:sz w:val="21"/>
        </w:rPr>
      </w:pPr>
    </w:p>
    <w:p>
      <w:pPr>
        <w:pStyle w:val="Heading2"/>
        <w:numPr>
          <w:ilvl w:val="1"/>
          <w:numId w:val="13"/>
        </w:numPr>
        <w:tabs>
          <w:tab w:pos="652" w:val="left" w:leader="none"/>
        </w:tabs>
        <w:spacing w:line="240" w:lineRule="auto" w:before="0" w:after="0"/>
        <w:ind w:left="651" w:right="0" w:hanging="539"/>
        <w:jc w:val="left"/>
      </w:pPr>
      <w:r>
        <w:rPr>
          <w:spacing w:val="-3"/>
        </w:rPr>
        <w:t>Hospital Quality Performance</w:t>
      </w:r>
      <w:r>
        <w:rPr>
          <w:spacing w:val="-10"/>
        </w:rPr>
        <w:t> </w:t>
      </w:r>
      <w:r>
        <w:rPr>
          <w:spacing w:val="-3"/>
        </w:rPr>
        <w:t>Measures</w:t>
      </w:r>
    </w:p>
    <w:p>
      <w:pPr>
        <w:pStyle w:val="BodyText"/>
        <w:spacing w:line="242" w:lineRule="auto" w:before="240"/>
        <w:ind w:left="651" w:right="70"/>
      </w:pPr>
      <w:r>
        <w:rPr/>
        <w:t>For RFA14, </w:t>
      </w:r>
      <w:r>
        <w:rPr>
          <w:spacing w:val="-3"/>
        </w:rPr>
        <w:t>Hospitals </w:t>
      </w:r>
      <w:r>
        <w:rPr/>
        <w:t>are required to collect and </w:t>
      </w:r>
      <w:r>
        <w:rPr>
          <w:spacing w:val="-3"/>
        </w:rPr>
        <w:t>submit </w:t>
      </w:r>
      <w:r>
        <w:rPr/>
        <w:t>data on all </w:t>
      </w:r>
      <w:r>
        <w:rPr>
          <w:spacing w:val="-3"/>
        </w:rPr>
        <w:t>quality measures for </w:t>
      </w:r>
      <w:r>
        <w:rPr/>
        <w:t>which </w:t>
      </w:r>
      <w:r>
        <w:rPr>
          <w:spacing w:val="-3"/>
        </w:rPr>
        <w:t>they </w:t>
      </w:r>
      <w:r>
        <w:rPr/>
        <w:t>are </w:t>
      </w:r>
      <w:r>
        <w:rPr>
          <w:spacing w:val="-3"/>
        </w:rPr>
        <w:t>eligible </w:t>
      </w:r>
      <w:r>
        <w:rPr/>
        <w:t>to </w:t>
      </w:r>
      <w:r>
        <w:rPr>
          <w:spacing w:val="-3"/>
        </w:rPr>
        <w:t>report based </w:t>
      </w:r>
      <w:r>
        <w:rPr/>
        <w:t>on the </w:t>
      </w:r>
      <w:r>
        <w:rPr>
          <w:spacing w:val="-3"/>
        </w:rPr>
        <w:t>measure’s patient population definitions, treatment </w:t>
      </w:r>
      <w:r>
        <w:rPr/>
        <w:t>of </w:t>
      </w:r>
      <w:r>
        <w:rPr>
          <w:spacing w:val="-3"/>
        </w:rPr>
        <w:t>conditions</w:t>
      </w:r>
    </w:p>
    <w:p>
      <w:pPr>
        <w:spacing w:after="0" w:line="242" w:lineRule="auto"/>
        <w:sectPr>
          <w:pgSz w:w="12240" w:h="15840"/>
          <w:pgMar w:header="0" w:footer="744" w:top="1500" w:bottom="940" w:left="1040" w:right="980"/>
        </w:sectPr>
      </w:pPr>
    </w:p>
    <w:p>
      <w:pPr>
        <w:pStyle w:val="BodyText"/>
        <w:spacing w:line="242" w:lineRule="auto" w:before="65"/>
        <w:ind w:left="831" w:right="128"/>
      </w:pPr>
      <w:r>
        <w:rPr/>
        <w:t>and </w:t>
      </w:r>
      <w:r>
        <w:rPr>
          <w:spacing w:val="-3"/>
        </w:rPr>
        <w:t>types </w:t>
      </w:r>
      <w:r>
        <w:rPr/>
        <w:t>of </w:t>
      </w:r>
      <w:r>
        <w:rPr>
          <w:spacing w:val="-3"/>
        </w:rPr>
        <w:t>services provided. </w:t>
      </w:r>
      <w:r>
        <w:rPr>
          <w:b/>
          <w:spacing w:val="-3"/>
        </w:rPr>
        <w:t>Table </w:t>
      </w:r>
      <w:r>
        <w:rPr>
          <w:b/>
        </w:rPr>
        <w:t>7-1 </w:t>
      </w:r>
      <w:r>
        <w:rPr>
          <w:spacing w:val="-3"/>
        </w:rPr>
        <w:t>identifies </w:t>
      </w:r>
      <w:r>
        <w:rPr/>
        <w:t>the </w:t>
      </w:r>
      <w:r>
        <w:rPr>
          <w:spacing w:val="-3"/>
        </w:rPr>
        <w:t>specific hospital quality measures by measure </w:t>
      </w:r>
      <w:r>
        <w:rPr/>
        <w:t>ID </w:t>
      </w:r>
      <w:r>
        <w:rPr>
          <w:spacing w:val="-3"/>
        </w:rPr>
        <w:t>number </w:t>
      </w:r>
      <w:r>
        <w:rPr/>
        <w:t>and </w:t>
      </w:r>
      <w:r>
        <w:rPr>
          <w:spacing w:val="-3"/>
        </w:rPr>
        <w:t>name that apply </w:t>
      </w:r>
      <w:r>
        <w:rPr/>
        <w:t>for </w:t>
      </w:r>
      <w:r>
        <w:rPr>
          <w:spacing w:val="-3"/>
        </w:rPr>
        <w:t>RY14 reporting.</w:t>
      </w:r>
    </w:p>
    <w:p>
      <w:pPr>
        <w:pStyle w:val="BodyText"/>
        <w:spacing w:before="8"/>
      </w:pPr>
    </w:p>
    <w:p>
      <w:pPr>
        <w:pStyle w:val="Heading3"/>
        <w:ind w:left="2707" w:firstLine="0"/>
      </w:pPr>
      <w:r>
        <w:rPr/>
        <w:t>Table 7-1.  Hospital Quality Performance Measures</w:t>
      </w:r>
    </w:p>
    <w:p>
      <w:pPr>
        <w:pStyle w:val="BodyText"/>
        <w:spacing w:before="4"/>
        <w:rPr>
          <w:b/>
          <w:sz w:val="1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6768"/>
        <w:gridCol w:w="2304"/>
      </w:tblGrid>
      <w:tr>
        <w:trPr>
          <w:trHeight w:val="460" w:hRule="atLeast"/>
        </w:trPr>
        <w:tc>
          <w:tcPr>
            <w:tcW w:w="1080" w:type="dxa"/>
            <w:shd w:val="clear" w:color="auto" w:fill="00FFFF"/>
          </w:tcPr>
          <w:p>
            <w:pPr>
              <w:pStyle w:val="TableParagraph"/>
              <w:spacing w:line="230" w:lineRule="atLeast" w:before="5"/>
              <w:ind w:left="352" w:hanging="183"/>
              <w:rPr>
                <w:rFonts w:ascii="Times New Roman"/>
                <w:b/>
                <w:sz w:val="20"/>
              </w:rPr>
            </w:pPr>
            <w:r>
              <w:rPr>
                <w:rFonts w:ascii="Times New Roman"/>
                <w:b/>
                <w:sz w:val="20"/>
              </w:rPr>
              <w:t>Measure ID #</w:t>
            </w:r>
          </w:p>
        </w:tc>
        <w:tc>
          <w:tcPr>
            <w:tcW w:w="6768" w:type="dxa"/>
            <w:shd w:val="clear" w:color="auto" w:fill="00FFFF"/>
          </w:tcPr>
          <w:p>
            <w:pPr>
              <w:pStyle w:val="TableParagraph"/>
              <w:spacing w:line="240" w:lineRule="auto" w:before="5"/>
              <w:ind w:left="2366" w:right="2367"/>
              <w:jc w:val="center"/>
              <w:rPr>
                <w:rFonts w:ascii="Times New Roman"/>
                <w:b/>
                <w:sz w:val="20"/>
              </w:rPr>
            </w:pPr>
            <w:r>
              <w:rPr>
                <w:rFonts w:ascii="Times New Roman"/>
                <w:b/>
                <w:sz w:val="20"/>
              </w:rPr>
              <w:t>Measure Set and Name</w:t>
            </w:r>
          </w:p>
        </w:tc>
        <w:tc>
          <w:tcPr>
            <w:tcW w:w="2304" w:type="dxa"/>
            <w:shd w:val="clear" w:color="auto" w:fill="00FFFF"/>
          </w:tcPr>
          <w:p>
            <w:pPr>
              <w:pStyle w:val="TableParagraph"/>
              <w:spacing w:line="230" w:lineRule="atLeast" w:before="5"/>
              <w:ind w:left="437" w:firstLine="344"/>
              <w:rPr>
                <w:rFonts w:ascii="Times New Roman"/>
                <w:b/>
                <w:sz w:val="20"/>
              </w:rPr>
            </w:pPr>
            <w:r>
              <w:rPr>
                <w:rFonts w:ascii="Times New Roman"/>
                <w:b/>
                <w:sz w:val="20"/>
              </w:rPr>
              <w:t>Measure Reporting Status</w:t>
            </w:r>
          </w:p>
        </w:tc>
      </w:tr>
      <w:tr>
        <w:trPr>
          <w:trHeight w:val="1160" w:hRule="atLeast"/>
        </w:trPr>
        <w:tc>
          <w:tcPr>
            <w:tcW w:w="1080" w:type="dxa"/>
          </w:tcPr>
          <w:p>
            <w:pPr>
              <w:pStyle w:val="TableParagraph"/>
              <w:spacing w:line="240" w:lineRule="auto" w:before="6"/>
              <w:rPr>
                <w:rFonts w:ascii="Times New Roman"/>
                <w:b/>
                <w:sz w:val="20"/>
              </w:rPr>
            </w:pPr>
          </w:p>
          <w:p>
            <w:pPr>
              <w:pStyle w:val="TableParagraph"/>
              <w:spacing w:line="230" w:lineRule="atLeast"/>
              <w:ind w:left="102" w:right="220"/>
              <w:rPr>
                <w:rFonts w:ascii="Times New Roman"/>
                <w:sz w:val="20"/>
              </w:rPr>
            </w:pPr>
            <w:r>
              <w:rPr>
                <w:rFonts w:ascii="Times New Roman"/>
                <w:sz w:val="20"/>
              </w:rPr>
              <w:t>MAT-1 MAT-2a MAT-2b MAT-3</w:t>
            </w:r>
          </w:p>
        </w:tc>
        <w:tc>
          <w:tcPr>
            <w:tcW w:w="6768" w:type="dxa"/>
          </w:tcPr>
          <w:p>
            <w:pPr>
              <w:pStyle w:val="TableParagraph"/>
              <w:spacing w:line="240" w:lineRule="auto" w:before="4"/>
              <w:ind w:left="102"/>
              <w:rPr>
                <w:rFonts w:ascii="Times New Roman"/>
                <w:b/>
                <w:sz w:val="20"/>
              </w:rPr>
            </w:pPr>
            <w:r>
              <w:rPr>
                <w:rFonts w:ascii="Times New Roman"/>
                <w:b/>
                <w:sz w:val="20"/>
              </w:rPr>
              <w:t>Maternity Measure Set</w:t>
            </w:r>
          </w:p>
          <w:p>
            <w:pPr>
              <w:pStyle w:val="TableParagraph"/>
              <w:spacing w:line="234" w:lineRule="exact"/>
              <w:ind w:left="282" w:right="619"/>
              <w:rPr>
                <w:rFonts w:ascii="Times New Roman" w:hAnsi="Times New Roman"/>
                <w:sz w:val="20"/>
              </w:rPr>
            </w:pPr>
            <w:r>
              <w:rPr>
                <w:rFonts w:ascii="Times New Roman" w:hAnsi="Times New Roman"/>
                <w:spacing w:val="-3"/>
                <w:sz w:val="20"/>
              </w:rPr>
              <w:t>Intrapartum Antibiotic Prophylaxis </w:t>
            </w:r>
            <w:r>
              <w:rPr>
                <w:rFonts w:ascii="Times New Roman" w:hAnsi="Times New Roman"/>
                <w:sz w:val="20"/>
              </w:rPr>
              <w:t>for </w:t>
            </w:r>
            <w:r>
              <w:rPr>
                <w:rFonts w:ascii="Times New Roman" w:hAnsi="Times New Roman"/>
                <w:spacing w:val="-3"/>
                <w:sz w:val="20"/>
              </w:rPr>
              <w:t>Group </w:t>
            </w:r>
            <w:r>
              <w:rPr>
                <w:rFonts w:ascii="Times New Roman" w:hAnsi="Times New Roman"/>
                <w:sz w:val="20"/>
              </w:rPr>
              <w:t>B </w:t>
            </w:r>
            <w:r>
              <w:rPr>
                <w:rFonts w:ascii="Times New Roman" w:hAnsi="Times New Roman"/>
                <w:spacing w:val="-3"/>
                <w:sz w:val="20"/>
              </w:rPr>
              <w:t>Streptococcus Perioperative Antibiotics </w:t>
            </w:r>
            <w:r>
              <w:rPr>
                <w:rFonts w:ascii="Times New Roman" w:hAnsi="Times New Roman"/>
                <w:sz w:val="20"/>
              </w:rPr>
              <w:t>for </w:t>
            </w:r>
            <w:r>
              <w:rPr>
                <w:rFonts w:ascii="Times New Roman" w:hAnsi="Times New Roman"/>
                <w:spacing w:val="-3"/>
                <w:sz w:val="20"/>
              </w:rPr>
              <w:t>Cesarean Section –Antibiotic Timing Perioperative Antibiotics </w:t>
            </w:r>
            <w:r>
              <w:rPr>
                <w:rFonts w:ascii="Times New Roman" w:hAnsi="Times New Roman"/>
                <w:sz w:val="20"/>
              </w:rPr>
              <w:t>for </w:t>
            </w:r>
            <w:r>
              <w:rPr>
                <w:rFonts w:ascii="Times New Roman" w:hAnsi="Times New Roman"/>
                <w:spacing w:val="-3"/>
                <w:sz w:val="20"/>
              </w:rPr>
              <w:t>Cesarean Section </w:t>
            </w:r>
            <w:r>
              <w:rPr>
                <w:rFonts w:ascii="Times New Roman" w:hAnsi="Times New Roman"/>
                <w:sz w:val="20"/>
              </w:rPr>
              <w:t>– </w:t>
            </w:r>
            <w:r>
              <w:rPr>
                <w:rFonts w:ascii="Times New Roman" w:hAnsi="Times New Roman"/>
                <w:spacing w:val="-3"/>
                <w:sz w:val="20"/>
              </w:rPr>
              <w:t>Antibiotic Selection Elective Delivery Prior </w:t>
            </w:r>
            <w:r>
              <w:rPr>
                <w:rFonts w:ascii="Times New Roman" w:hAnsi="Times New Roman"/>
                <w:sz w:val="20"/>
              </w:rPr>
              <w:t>to 39 </w:t>
            </w:r>
            <w:r>
              <w:rPr>
                <w:rFonts w:ascii="Times New Roman" w:hAnsi="Times New Roman"/>
                <w:spacing w:val="-3"/>
                <w:sz w:val="20"/>
              </w:rPr>
              <w:t>Completed </w:t>
            </w:r>
            <w:r>
              <w:rPr>
                <w:rFonts w:ascii="Times New Roman" w:hAnsi="Times New Roman"/>
                <w:sz w:val="20"/>
              </w:rPr>
              <w:t>Weeks </w:t>
            </w:r>
            <w:r>
              <w:rPr>
                <w:rFonts w:ascii="Times New Roman" w:hAnsi="Times New Roman"/>
                <w:spacing w:val="-3"/>
                <w:sz w:val="20"/>
              </w:rPr>
              <w:t>Gestation</w:t>
            </w:r>
          </w:p>
        </w:tc>
        <w:tc>
          <w:tcPr>
            <w:tcW w:w="2304" w:type="dxa"/>
          </w:tcPr>
          <w:p>
            <w:pPr>
              <w:pStyle w:val="TableParagraph"/>
              <w:spacing w:line="240" w:lineRule="auto"/>
              <w:rPr>
                <w:rFonts w:ascii="Times New Roman"/>
                <w:b/>
                <w:sz w:val="22"/>
              </w:rPr>
            </w:pPr>
          </w:p>
          <w:p>
            <w:pPr>
              <w:pStyle w:val="TableParagraph"/>
              <w:spacing w:line="240" w:lineRule="auto" w:before="10"/>
              <w:rPr>
                <w:rFonts w:ascii="Times New Roman"/>
                <w:b/>
                <w:sz w:val="18"/>
              </w:rPr>
            </w:pPr>
          </w:p>
          <w:p>
            <w:pPr>
              <w:pStyle w:val="TableParagraph"/>
              <w:spacing w:line="240" w:lineRule="auto"/>
              <w:ind w:left="129" w:right="177"/>
              <w:jc w:val="center"/>
              <w:rPr>
                <w:rFonts w:ascii="Times New Roman"/>
                <w:sz w:val="20"/>
              </w:rPr>
            </w:pPr>
            <w:r>
              <w:rPr>
                <w:rFonts w:ascii="Times New Roman"/>
                <w:sz w:val="20"/>
              </w:rPr>
              <w:t>No change</w:t>
            </w:r>
          </w:p>
        </w:tc>
      </w:tr>
      <w:tr>
        <w:trPr>
          <w:trHeight w:val="918" w:hRule="atLeast"/>
        </w:trPr>
        <w:tc>
          <w:tcPr>
            <w:tcW w:w="1080" w:type="dxa"/>
          </w:tcPr>
          <w:p>
            <w:pPr>
              <w:pStyle w:val="TableParagraph"/>
              <w:spacing w:line="240" w:lineRule="auto" w:before="4"/>
              <w:rPr>
                <w:rFonts w:ascii="Times New Roman"/>
                <w:b/>
                <w:sz w:val="20"/>
              </w:rPr>
            </w:pPr>
          </w:p>
          <w:p>
            <w:pPr>
              <w:pStyle w:val="TableParagraph"/>
              <w:spacing w:line="230" w:lineRule="atLeast" w:before="1"/>
              <w:ind w:left="102" w:right="310"/>
              <w:jc w:val="both"/>
              <w:rPr>
                <w:rFonts w:ascii="Times New Roman"/>
                <w:sz w:val="20"/>
              </w:rPr>
            </w:pPr>
            <w:r>
              <w:rPr>
                <w:rFonts w:ascii="Times New Roman"/>
                <w:spacing w:val="-3"/>
                <w:sz w:val="20"/>
              </w:rPr>
              <w:t>CAC-1a CAC-2a </w:t>
            </w:r>
            <w:r>
              <w:rPr>
                <w:rFonts w:ascii="Times New Roman"/>
                <w:sz w:val="20"/>
              </w:rPr>
              <w:t>CAC-3</w:t>
            </w:r>
          </w:p>
        </w:tc>
        <w:tc>
          <w:tcPr>
            <w:tcW w:w="6768" w:type="dxa"/>
          </w:tcPr>
          <w:p>
            <w:pPr>
              <w:pStyle w:val="TableParagraph"/>
              <w:spacing w:line="240" w:lineRule="auto" w:before="3"/>
              <w:ind w:left="102"/>
              <w:rPr>
                <w:rFonts w:ascii="Times New Roman"/>
                <w:b/>
                <w:sz w:val="20"/>
              </w:rPr>
            </w:pPr>
            <w:r>
              <w:rPr>
                <w:rFonts w:ascii="Times New Roman"/>
                <w:b/>
                <w:sz w:val="20"/>
              </w:rPr>
              <w:t>Pediatric Asthma Measure Set</w:t>
            </w:r>
          </w:p>
          <w:p>
            <w:pPr>
              <w:pStyle w:val="TableParagraph"/>
              <w:spacing w:line="234" w:lineRule="exact" w:before="1"/>
              <w:ind w:left="282" w:right="1663"/>
              <w:rPr>
                <w:rFonts w:ascii="Times New Roman" w:hAnsi="Times New Roman"/>
                <w:sz w:val="20"/>
              </w:rPr>
            </w:pPr>
            <w:r>
              <w:rPr>
                <w:rFonts w:ascii="Times New Roman" w:hAnsi="Times New Roman"/>
                <w:spacing w:val="-3"/>
                <w:sz w:val="20"/>
              </w:rPr>
              <w:t>Children's Asthma Care </w:t>
            </w:r>
            <w:r>
              <w:rPr>
                <w:rFonts w:ascii="Times New Roman" w:hAnsi="Times New Roman"/>
                <w:sz w:val="20"/>
              </w:rPr>
              <w:t>- </w:t>
            </w:r>
            <w:r>
              <w:rPr>
                <w:rFonts w:ascii="Times New Roman" w:hAnsi="Times New Roman"/>
                <w:spacing w:val="-3"/>
                <w:sz w:val="20"/>
              </w:rPr>
              <w:t>Inpatient </w:t>
            </w:r>
            <w:r>
              <w:rPr>
                <w:rFonts w:ascii="Times New Roman" w:hAnsi="Times New Roman"/>
                <w:sz w:val="20"/>
              </w:rPr>
              <w:t>Use of </w:t>
            </w:r>
            <w:r>
              <w:rPr>
                <w:rFonts w:ascii="Times New Roman" w:hAnsi="Times New Roman"/>
                <w:spacing w:val="-3"/>
                <w:sz w:val="20"/>
              </w:rPr>
              <w:t>Relievers Children's Asthma Care </w:t>
            </w:r>
            <w:r>
              <w:rPr>
                <w:rFonts w:ascii="Times New Roman" w:hAnsi="Times New Roman"/>
                <w:sz w:val="20"/>
              </w:rPr>
              <w:t>- </w:t>
            </w:r>
            <w:r>
              <w:rPr>
                <w:rFonts w:ascii="Times New Roman" w:hAnsi="Times New Roman"/>
                <w:spacing w:val="-3"/>
                <w:sz w:val="20"/>
              </w:rPr>
              <w:t>Inpatient </w:t>
            </w:r>
            <w:r>
              <w:rPr>
                <w:rFonts w:ascii="Times New Roman" w:hAnsi="Times New Roman"/>
                <w:sz w:val="20"/>
              </w:rPr>
              <w:t>Use of </w:t>
            </w:r>
            <w:r>
              <w:rPr>
                <w:rFonts w:ascii="Times New Roman" w:hAnsi="Times New Roman"/>
                <w:spacing w:val="-3"/>
                <w:sz w:val="20"/>
              </w:rPr>
              <w:t>Corticosteroids Children's Asthma Care </w:t>
            </w:r>
            <w:r>
              <w:rPr>
                <w:rFonts w:ascii="Times New Roman" w:hAnsi="Times New Roman"/>
                <w:sz w:val="20"/>
              </w:rPr>
              <w:t>– </w:t>
            </w:r>
            <w:r>
              <w:rPr>
                <w:rFonts w:ascii="Times New Roman" w:hAnsi="Times New Roman"/>
                <w:spacing w:val="-3"/>
                <w:sz w:val="20"/>
              </w:rPr>
              <w:t>Home </w:t>
            </w:r>
            <w:r>
              <w:rPr>
                <w:rFonts w:ascii="Times New Roman" w:hAnsi="Times New Roman"/>
                <w:spacing w:val="-4"/>
                <w:sz w:val="20"/>
              </w:rPr>
              <w:t>management </w:t>
            </w:r>
            <w:r>
              <w:rPr>
                <w:rFonts w:ascii="Times New Roman" w:hAnsi="Times New Roman"/>
                <w:spacing w:val="-3"/>
                <w:sz w:val="20"/>
              </w:rPr>
              <w:t>plan </w:t>
            </w:r>
            <w:r>
              <w:rPr>
                <w:rFonts w:ascii="Times New Roman" w:hAnsi="Times New Roman"/>
                <w:sz w:val="20"/>
              </w:rPr>
              <w:t>of </w:t>
            </w:r>
            <w:r>
              <w:rPr>
                <w:rFonts w:ascii="Times New Roman" w:hAnsi="Times New Roman"/>
                <w:spacing w:val="-3"/>
                <w:sz w:val="20"/>
              </w:rPr>
              <w:t>care</w:t>
            </w:r>
          </w:p>
        </w:tc>
        <w:tc>
          <w:tcPr>
            <w:tcW w:w="2304" w:type="dxa"/>
          </w:tcPr>
          <w:p>
            <w:pPr>
              <w:pStyle w:val="TableParagraph"/>
              <w:spacing w:line="240" w:lineRule="auto"/>
              <w:rPr>
                <w:rFonts w:ascii="Times New Roman"/>
                <w:b/>
                <w:sz w:val="22"/>
              </w:rPr>
            </w:pPr>
          </w:p>
          <w:p>
            <w:pPr>
              <w:pStyle w:val="TableParagraph"/>
              <w:spacing w:line="240" w:lineRule="auto" w:before="8"/>
              <w:rPr>
                <w:rFonts w:ascii="Times New Roman"/>
                <w:b/>
                <w:sz w:val="18"/>
              </w:rPr>
            </w:pPr>
          </w:p>
          <w:p>
            <w:pPr>
              <w:pStyle w:val="TableParagraph"/>
              <w:spacing w:line="240" w:lineRule="auto" w:before="1"/>
              <w:ind w:left="122" w:right="177"/>
              <w:jc w:val="center"/>
              <w:rPr>
                <w:rFonts w:ascii="Times New Roman"/>
                <w:sz w:val="20"/>
              </w:rPr>
            </w:pPr>
            <w:r>
              <w:rPr>
                <w:rFonts w:ascii="Times New Roman"/>
                <w:sz w:val="20"/>
              </w:rPr>
              <w:t>No change</w:t>
            </w:r>
          </w:p>
        </w:tc>
      </w:tr>
      <w:tr>
        <w:trPr>
          <w:trHeight w:val="699" w:hRule="atLeast"/>
        </w:trPr>
        <w:tc>
          <w:tcPr>
            <w:tcW w:w="1080" w:type="dxa"/>
          </w:tcPr>
          <w:p>
            <w:pPr>
              <w:pStyle w:val="TableParagraph"/>
              <w:spacing w:line="240" w:lineRule="auto" w:before="5"/>
              <w:rPr>
                <w:rFonts w:ascii="Times New Roman"/>
                <w:b/>
                <w:sz w:val="20"/>
              </w:rPr>
            </w:pPr>
          </w:p>
          <w:p>
            <w:pPr>
              <w:pStyle w:val="TableParagraph"/>
              <w:spacing w:line="230" w:lineRule="atLeast"/>
              <w:ind w:left="102" w:right="408"/>
              <w:rPr>
                <w:rFonts w:ascii="Times New Roman"/>
                <w:sz w:val="20"/>
              </w:rPr>
            </w:pPr>
            <w:r>
              <w:rPr>
                <w:rFonts w:ascii="Times New Roman"/>
                <w:sz w:val="20"/>
              </w:rPr>
              <w:t>PN-3b PN-6</w:t>
            </w:r>
          </w:p>
        </w:tc>
        <w:tc>
          <w:tcPr>
            <w:tcW w:w="6768" w:type="dxa"/>
          </w:tcPr>
          <w:p>
            <w:pPr>
              <w:pStyle w:val="TableParagraph"/>
              <w:spacing w:line="240" w:lineRule="auto" w:before="4"/>
              <w:ind w:left="102"/>
              <w:rPr>
                <w:rFonts w:ascii="Times New Roman"/>
                <w:b/>
                <w:sz w:val="20"/>
              </w:rPr>
            </w:pPr>
            <w:r>
              <w:rPr>
                <w:rFonts w:ascii="Times New Roman"/>
                <w:b/>
                <w:sz w:val="20"/>
              </w:rPr>
              <w:t>Community Acquired Pneumonia  Measure Set</w:t>
            </w:r>
          </w:p>
          <w:p>
            <w:pPr>
              <w:pStyle w:val="TableParagraph"/>
              <w:spacing w:line="234" w:lineRule="exact" w:before="1"/>
              <w:ind w:left="282" w:hanging="1"/>
              <w:rPr>
                <w:rFonts w:ascii="Times New Roman"/>
                <w:sz w:val="20"/>
              </w:rPr>
            </w:pPr>
            <w:r>
              <w:rPr>
                <w:rFonts w:ascii="Times New Roman"/>
                <w:spacing w:val="-3"/>
                <w:sz w:val="20"/>
              </w:rPr>
              <w:t>Blood culture performed </w:t>
            </w:r>
            <w:r>
              <w:rPr>
                <w:rFonts w:ascii="Times New Roman"/>
                <w:sz w:val="20"/>
              </w:rPr>
              <w:t>in ED </w:t>
            </w:r>
            <w:r>
              <w:rPr>
                <w:rFonts w:ascii="Times New Roman"/>
                <w:spacing w:val="-3"/>
                <w:sz w:val="20"/>
              </w:rPr>
              <w:t>prior </w:t>
            </w:r>
            <w:r>
              <w:rPr>
                <w:rFonts w:ascii="Times New Roman"/>
                <w:sz w:val="20"/>
              </w:rPr>
              <w:t>to </w:t>
            </w:r>
            <w:r>
              <w:rPr>
                <w:rFonts w:ascii="Times New Roman"/>
                <w:spacing w:val="-3"/>
                <w:sz w:val="20"/>
              </w:rPr>
              <w:t>first antibiotic received </w:t>
            </w:r>
            <w:r>
              <w:rPr>
                <w:rFonts w:ascii="Times New Roman"/>
                <w:sz w:val="20"/>
              </w:rPr>
              <w:t>in </w:t>
            </w:r>
            <w:r>
              <w:rPr>
                <w:rFonts w:ascii="Times New Roman"/>
                <w:spacing w:val="-3"/>
                <w:sz w:val="20"/>
              </w:rPr>
              <w:t>hospital Appropriate antibiotic selection </w:t>
            </w:r>
            <w:r>
              <w:rPr>
                <w:rFonts w:ascii="Times New Roman"/>
                <w:sz w:val="20"/>
              </w:rPr>
              <w:t>for CAP in </w:t>
            </w:r>
            <w:r>
              <w:rPr>
                <w:rFonts w:ascii="Times New Roman"/>
                <w:spacing w:val="-4"/>
                <w:sz w:val="20"/>
              </w:rPr>
              <w:t>immuno-competent </w:t>
            </w:r>
            <w:r>
              <w:rPr>
                <w:rFonts w:ascii="Times New Roman"/>
                <w:spacing w:val="-3"/>
                <w:sz w:val="20"/>
              </w:rPr>
              <w:t>patients</w:t>
            </w:r>
          </w:p>
        </w:tc>
        <w:tc>
          <w:tcPr>
            <w:tcW w:w="2304" w:type="dxa"/>
          </w:tcPr>
          <w:p>
            <w:pPr>
              <w:pStyle w:val="TableParagraph"/>
              <w:spacing w:line="240" w:lineRule="auto" w:before="5"/>
              <w:rPr>
                <w:rFonts w:ascii="Times New Roman"/>
                <w:b/>
                <w:sz w:val="20"/>
              </w:rPr>
            </w:pPr>
          </w:p>
          <w:p>
            <w:pPr>
              <w:pStyle w:val="TableParagraph"/>
              <w:spacing w:line="240" w:lineRule="auto"/>
              <w:ind w:left="123" w:right="177"/>
              <w:jc w:val="center"/>
              <w:rPr>
                <w:rFonts w:ascii="Times New Roman"/>
                <w:sz w:val="20"/>
              </w:rPr>
            </w:pPr>
            <w:r>
              <w:rPr>
                <w:rFonts w:ascii="Times New Roman"/>
                <w:sz w:val="20"/>
              </w:rPr>
              <w:t>No change</w:t>
            </w:r>
          </w:p>
        </w:tc>
      </w:tr>
      <w:tr>
        <w:trPr>
          <w:trHeight w:val="918" w:hRule="atLeast"/>
        </w:trPr>
        <w:tc>
          <w:tcPr>
            <w:tcW w:w="1080" w:type="dxa"/>
          </w:tcPr>
          <w:p>
            <w:pPr>
              <w:pStyle w:val="TableParagraph"/>
              <w:spacing w:line="240" w:lineRule="auto" w:before="5"/>
              <w:rPr>
                <w:rFonts w:ascii="Times New Roman"/>
                <w:b/>
                <w:sz w:val="20"/>
              </w:rPr>
            </w:pPr>
          </w:p>
          <w:p>
            <w:pPr>
              <w:pStyle w:val="TableParagraph"/>
              <w:spacing w:line="230" w:lineRule="atLeast"/>
              <w:ind w:left="102" w:right="301"/>
              <w:jc w:val="both"/>
              <w:rPr>
                <w:rFonts w:ascii="Times New Roman"/>
                <w:sz w:val="20"/>
              </w:rPr>
            </w:pPr>
            <w:r>
              <w:rPr>
                <w:rFonts w:ascii="Times New Roman"/>
                <w:spacing w:val="-3"/>
                <w:sz w:val="20"/>
              </w:rPr>
              <w:t>SCIP-1a SCIP-2a SCIP-3a</w:t>
            </w:r>
          </w:p>
        </w:tc>
        <w:tc>
          <w:tcPr>
            <w:tcW w:w="6768" w:type="dxa"/>
          </w:tcPr>
          <w:p>
            <w:pPr>
              <w:pStyle w:val="TableParagraph"/>
              <w:spacing w:line="240" w:lineRule="auto" w:before="3"/>
              <w:ind w:left="102"/>
              <w:rPr>
                <w:rFonts w:ascii="Times New Roman"/>
                <w:b/>
                <w:sz w:val="20"/>
              </w:rPr>
            </w:pPr>
            <w:r>
              <w:rPr>
                <w:rFonts w:ascii="Times New Roman"/>
                <w:b/>
                <w:sz w:val="20"/>
              </w:rPr>
              <w:t>Surgical Care Infection Prevention Measure Set</w:t>
            </w:r>
          </w:p>
          <w:p>
            <w:pPr>
              <w:pStyle w:val="TableParagraph"/>
              <w:spacing w:line="244" w:lineRule="auto" w:before="1"/>
              <w:ind w:left="283" w:right="619" w:hanging="2"/>
              <w:rPr>
                <w:rFonts w:ascii="Times New Roman"/>
                <w:sz w:val="20"/>
              </w:rPr>
            </w:pPr>
            <w:r>
              <w:rPr>
                <w:rFonts w:ascii="Times New Roman"/>
                <w:spacing w:val="-3"/>
                <w:sz w:val="20"/>
              </w:rPr>
              <w:t>Prophylactic antibiotic received within </w:t>
            </w:r>
            <w:r>
              <w:rPr>
                <w:rFonts w:ascii="Times New Roman"/>
                <w:sz w:val="20"/>
              </w:rPr>
              <w:t>1 </w:t>
            </w:r>
            <w:r>
              <w:rPr>
                <w:rFonts w:ascii="Times New Roman"/>
                <w:spacing w:val="-3"/>
                <w:sz w:val="20"/>
              </w:rPr>
              <w:t>hour prior </w:t>
            </w:r>
            <w:r>
              <w:rPr>
                <w:rFonts w:ascii="Times New Roman"/>
                <w:sz w:val="20"/>
              </w:rPr>
              <w:t>to </w:t>
            </w:r>
            <w:r>
              <w:rPr>
                <w:rFonts w:ascii="Times New Roman"/>
                <w:spacing w:val="-3"/>
                <w:sz w:val="20"/>
              </w:rPr>
              <w:t>surgical incision Appropriate antibiotic selection </w:t>
            </w:r>
            <w:r>
              <w:rPr>
                <w:rFonts w:ascii="Times New Roman"/>
                <w:sz w:val="20"/>
              </w:rPr>
              <w:t>for </w:t>
            </w:r>
            <w:r>
              <w:rPr>
                <w:rFonts w:ascii="Times New Roman"/>
                <w:spacing w:val="-3"/>
                <w:sz w:val="20"/>
              </w:rPr>
              <w:t>surgical prophylaxis</w:t>
            </w:r>
          </w:p>
          <w:p>
            <w:pPr>
              <w:pStyle w:val="TableParagraph"/>
              <w:spacing w:line="212" w:lineRule="exact"/>
              <w:ind w:left="283"/>
              <w:rPr>
                <w:rFonts w:ascii="Times New Roman"/>
                <w:sz w:val="20"/>
              </w:rPr>
            </w:pPr>
            <w:r>
              <w:rPr>
                <w:rFonts w:ascii="Times New Roman"/>
                <w:sz w:val="20"/>
              </w:rPr>
              <w:t>Prophylactic antibiotic discontinued w/in 24 hrs after surgery end time</w:t>
            </w:r>
          </w:p>
        </w:tc>
        <w:tc>
          <w:tcPr>
            <w:tcW w:w="2304" w:type="dxa"/>
          </w:tcPr>
          <w:p>
            <w:pPr>
              <w:pStyle w:val="TableParagraph"/>
              <w:spacing w:line="240" w:lineRule="auto" w:before="5"/>
              <w:rPr>
                <w:rFonts w:ascii="Times New Roman"/>
                <w:b/>
                <w:sz w:val="20"/>
              </w:rPr>
            </w:pPr>
          </w:p>
          <w:p>
            <w:pPr>
              <w:pStyle w:val="TableParagraph"/>
              <w:spacing w:line="240" w:lineRule="auto"/>
              <w:ind w:left="126" w:right="177"/>
              <w:jc w:val="center"/>
              <w:rPr>
                <w:rFonts w:ascii="Times New Roman"/>
                <w:sz w:val="20"/>
              </w:rPr>
            </w:pPr>
            <w:r>
              <w:rPr>
                <w:rFonts w:ascii="Times New Roman"/>
                <w:sz w:val="20"/>
              </w:rPr>
              <w:t>No change</w:t>
            </w:r>
          </w:p>
        </w:tc>
      </w:tr>
      <w:tr>
        <w:trPr>
          <w:trHeight w:val="460" w:hRule="atLeast"/>
        </w:trPr>
        <w:tc>
          <w:tcPr>
            <w:tcW w:w="1080" w:type="dxa"/>
          </w:tcPr>
          <w:p>
            <w:pPr>
              <w:pStyle w:val="TableParagraph"/>
              <w:spacing w:line="240" w:lineRule="auto" w:before="6"/>
              <w:rPr>
                <w:rFonts w:ascii="Times New Roman"/>
                <w:b/>
                <w:sz w:val="20"/>
              </w:rPr>
            </w:pPr>
          </w:p>
          <w:p>
            <w:pPr>
              <w:pStyle w:val="TableParagraph"/>
              <w:spacing w:line="212" w:lineRule="exact"/>
              <w:ind w:left="102"/>
              <w:rPr>
                <w:rFonts w:ascii="Times New Roman"/>
                <w:sz w:val="20"/>
              </w:rPr>
            </w:pPr>
            <w:r>
              <w:rPr>
                <w:rFonts w:ascii="Times New Roman"/>
                <w:sz w:val="20"/>
              </w:rPr>
              <w:t>HD-2</w:t>
            </w:r>
          </w:p>
        </w:tc>
        <w:tc>
          <w:tcPr>
            <w:tcW w:w="6768" w:type="dxa"/>
          </w:tcPr>
          <w:p>
            <w:pPr>
              <w:pStyle w:val="TableParagraph"/>
              <w:spacing w:line="240" w:lineRule="auto" w:before="5"/>
              <w:ind w:left="102"/>
              <w:rPr>
                <w:rFonts w:ascii="Times New Roman"/>
                <w:b/>
                <w:sz w:val="20"/>
              </w:rPr>
            </w:pPr>
            <w:r>
              <w:rPr>
                <w:rFonts w:ascii="Times New Roman"/>
                <w:b/>
                <w:sz w:val="20"/>
              </w:rPr>
              <w:t>Health Disparities Measure</w:t>
            </w:r>
          </w:p>
          <w:p>
            <w:pPr>
              <w:pStyle w:val="TableParagraph"/>
              <w:spacing w:line="212" w:lineRule="exact" w:before="1"/>
              <w:ind w:left="341"/>
              <w:rPr>
                <w:rFonts w:ascii="Times New Roman"/>
                <w:sz w:val="20"/>
              </w:rPr>
            </w:pPr>
            <w:r>
              <w:rPr>
                <w:rFonts w:ascii="Times New Roman"/>
                <w:sz w:val="20"/>
              </w:rPr>
              <w:t>Health Disparities Composite</w:t>
            </w:r>
          </w:p>
        </w:tc>
        <w:tc>
          <w:tcPr>
            <w:tcW w:w="2304" w:type="dxa"/>
          </w:tcPr>
          <w:p>
            <w:pPr>
              <w:pStyle w:val="TableParagraph"/>
              <w:spacing w:line="240" w:lineRule="auto" w:before="6"/>
              <w:rPr>
                <w:rFonts w:ascii="Times New Roman"/>
                <w:b/>
                <w:sz w:val="20"/>
              </w:rPr>
            </w:pPr>
          </w:p>
          <w:p>
            <w:pPr>
              <w:pStyle w:val="TableParagraph"/>
              <w:spacing w:line="212" w:lineRule="exact"/>
              <w:ind w:left="130" w:right="177"/>
              <w:jc w:val="center"/>
              <w:rPr>
                <w:rFonts w:ascii="Times New Roman"/>
                <w:sz w:val="20"/>
              </w:rPr>
            </w:pPr>
            <w:r>
              <w:rPr>
                <w:rFonts w:ascii="Times New Roman"/>
                <w:sz w:val="20"/>
              </w:rPr>
              <w:t>No change</w:t>
            </w:r>
          </w:p>
        </w:tc>
      </w:tr>
      <w:tr>
        <w:trPr>
          <w:trHeight w:val="920" w:hRule="atLeast"/>
        </w:trPr>
        <w:tc>
          <w:tcPr>
            <w:tcW w:w="1080" w:type="dxa"/>
          </w:tcPr>
          <w:p>
            <w:pPr>
              <w:pStyle w:val="TableParagraph"/>
              <w:spacing w:line="240" w:lineRule="auto" w:before="6"/>
              <w:rPr>
                <w:rFonts w:ascii="Times New Roman"/>
                <w:b/>
                <w:sz w:val="20"/>
              </w:rPr>
            </w:pPr>
          </w:p>
          <w:p>
            <w:pPr>
              <w:pStyle w:val="TableParagraph"/>
              <w:spacing w:line="230" w:lineRule="atLeast"/>
              <w:ind w:left="102" w:right="363"/>
              <w:jc w:val="both"/>
              <w:rPr>
                <w:rFonts w:ascii="Times New Roman"/>
                <w:sz w:val="20"/>
              </w:rPr>
            </w:pPr>
            <w:r>
              <w:rPr>
                <w:rFonts w:ascii="Times New Roman"/>
                <w:spacing w:val="-3"/>
                <w:sz w:val="20"/>
              </w:rPr>
              <w:t>CCM-1 CCM-2 CCM-3</w:t>
            </w:r>
          </w:p>
        </w:tc>
        <w:tc>
          <w:tcPr>
            <w:tcW w:w="6768" w:type="dxa"/>
          </w:tcPr>
          <w:p>
            <w:pPr>
              <w:pStyle w:val="TableParagraph"/>
              <w:spacing w:line="240" w:lineRule="auto" w:before="5"/>
              <w:ind w:left="102"/>
              <w:rPr>
                <w:rFonts w:ascii="Times New Roman"/>
                <w:b/>
                <w:sz w:val="20"/>
              </w:rPr>
            </w:pPr>
            <w:r>
              <w:rPr>
                <w:rFonts w:ascii="Times New Roman"/>
                <w:b/>
                <w:sz w:val="20"/>
              </w:rPr>
              <w:t>Care Coordination Measure Set</w:t>
            </w:r>
          </w:p>
          <w:p>
            <w:pPr>
              <w:pStyle w:val="TableParagraph"/>
              <w:spacing w:line="234" w:lineRule="exact" w:before="1"/>
              <w:ind w:left="295" w:right="1068" w:hanging="1"/>
              <w:rPr>
                <w:rFonts w:ascii="Times New Roman"/>
                <w:sz w:val="20"/>
              </w:rPr>
            </w:pPr>
            <w:r>
              <w:rPr>
                <w:rFonts w:ascii="Times New Roman"/>
                <w:spacing w:val="-3"/>
                <w:sz w:val="20"/>
              </w:rPr>
              <w:t>Reconciled medication list received </w:t>
            </w:r>
            <w:r>
              <w:rPr>
                <w:rFonts w:ascii="Times New Roman"/>
                <w:sz w:val="20"/>
              </w:rPr>
              <w:t>at </w:t>
            </w:r>
            <w:r>
              <w:rPr>
                <w:rFonts w:ascii="Times New Roman"/>
                <w:spacing w:val="-3"/>
                <w:sz w:val="20"/>
              </w:rPr>
              <w:t>discharge (inpatient) Transition record with specified data received </w:t>
            </w:r>
            <w:r>
              <w:rPr>
                <w:rFonts w:ascii="Times New Roman"/>
                <w:sz w:val="20"/>
              </w:rPr>
              <w:t>at </w:t>
            </w:r>
            <w:r>
              <w:rPr>
                <w:rFonts w:ascii="Times New Roman"/>
                <w:spacing w:val="-3"/>
                <w:sz w:val="20"/>
              </w:rPr>
              <w:t>discharge (inpatient) Timely transmission </w:t>
            </w:r>
            <w:r>
              <w:rPr>
                <w:rFonts w:ascii="Times New Roman"/>
                <w:sz w:val="20"/>
              </w:rPr>
              <w:t>of </w:t>
            </w:r>
            <w:r>
              <w:rPr>
                <w:rFonts w:ascii="Times New Roman"/>
                <w:spacing w:val="-3"/>
                <w:sz w:val="20"/>
              </w:rPr>
              <w:t>transition record </w:t>
            </w:r>
            <w:r>
              <w:rPr>
                <w:rFonts w:ascii="Times New Roman"/>
                <w:spacing w:val="13"/>
                <w:sz w:val="20"/>
              </w:rPr>
              <w:t> </w:t>
            </w:r>
            <w:r>
              <w:rPr>
                <w:rFonts w:ascii="Times New Roman"/>
                <w:spacing w:val="-3"/>
                <w:sz w:val="20"/>
              </w:rPr>
              <w:t>(inpatient)</w:t>
            </w:r>
          </w:p>
        </w:tc>
        <w:tc>
          <w:tcPr>
            <w:tcW w:w="2304" w:type="dxa"/>
          </w:tcPr>
          <w:p>
            <w:pPr>
              <w:pStyle w:val="TableParagraph"/>
              <w:spacing w:line="240" w:lineRule="auto" w:before="1"/>
              <w:ind w:left="123" w:right="177"/>
              <w:jc w:val="center"/>
              <w:rPr>
                <w:rFonts w:ascii="Times New Roman"/>
                <w:sz w:val="20"/>
              </w:rPr>
            </w:pPr>
            <w:r>
              <w:rPr>
                <w:rFonts w:ascii="Times New Roman"/>
                <w:sz w:val="20"/>
              </w:rPr>
              <w:t>No change</w:t>
            </w:r>
          </w:p>
        </w:tc>
      </w:tr>
      <w:tr>
        <w:trPr>
          <w:trHeight w:val="699" w:hRule="atLeast"/>
        </w:trPr>
        <w:tc>
          <w:tcPr>
            <w:tcW w:w="1080" w:type="dxa"/>
          </w:tcPr>
          <w:p>
            <w:pPr>
              <w:pStyle w:val="TableParagraph"/>
              <w:spacing w:line="240" w:lineRule="auto" w:before="5"/>
              <w:rPr>
                <w:rFonts w:ascii="Times New Roman"/>
                <w:b/>
                <w:sz w:val="20"/>
              </w:rPr>
            </w:pPr>
          </w:p>
          <w:p>
            <w:pPr>
              <w:pStyle w:val="TableParagraph"/>
              <w:spacing w:line="230" w:lineRule="atLeast"/>
              <w:ind w:left="102" w:right="496"/>
              <w:rPr>
                <w:rFonts w:ascii="Times New Roman"/>
                <w:sz w:val="20"/>
              </w:rPr>
            </w:pPr>
            <w:r>
              <w:rPr>
                <w:rFonts w:ascii="Times New Roman"/>
                <w:sz w:val="20"/>
              </w:rPr>
              <w:t>ED-1 ED-2</w:t>
            </w:r>
          </w:p>
        </w:tc>
        <w:tc>
          <w:tcPr>
            <w:tcW w:w="6768" w:type="dxa"/>
          </w:tcPr>
          <w:p>
            <w:pPr>
              <w:pStyle w:val="TableParagraph"/>
              <w:spacing w:line="240" w:lineRule="auto" w:before="3"/>
              <w:ind w:left="102"/>
              <w:rPr>
                <w:rFonts w:ascii="Times New Roman"/>
                <w:b/>
                <w:sz w:val="20"/>
              </w:rPr>
            </w:pPr>
            <w:r>
              <w:rPr>
                <w:rFonts w:ascii="Times New Roman"/>
                <w:b/>
                <w:sz w:val="20"/>
              </w:rPr>
              <w:t>Emergency Department Measure Set</w:t>
            </w:r>
          </w:p>
          <w:p>
            <w:pPr>
              <w:pStyle w:val="TableParagraph"/>
              <w:spacing w:line="234" w:lineRule="exact"/>
              <w:ind w:left="246" w:right="619" w:hanging="1"/>
              <w:rPr>
                <w:rFonts w:ascii="Times New Roman"/>
                <w:sz w:val="20"/>
              </w:rPr>
            </w:pPr>
            <w:r>
              <w:rPr>
                <w:rFonts w:ascii="Times New Roman"/>
                <w:spacing w:val="-3"/>
                <w:sz w:val="20"/>
              </w:rPr>
              <w:t>Median time from </w:t>
            </w:r>
            <w:r>
              <w:rPr>
                <w:rFonts w:ascii="Times New Roman"/>
                <w:sz w:val="20"/>
              </w:rPr>
              <w:t>ED </w:t>
            </w:r>
            <w:r>
              <w:rPr>
                <w:rFonts w:ascii="Times New Roman"/>
                <w:spacing w:val="-3"/>
                <w:sz w:val="20"/>
              </w:rPr>
              <w:t>arrival </w:t>
            </w:r>
            <w:r>
              <w:rPr>
                <w:rFonts w:ascii="Times New Roman"/>
                <w:sz w:val="20"/>
              </w:rPr>
              <w:t>to ED </w:t>
            </w:r>
            <w:r>
              <w:rPr>
                <w:rFonts w:ascii="Times New Roman"/>
                <w:spacing w:val="-3"/>
                <w:sz w:val="20"/>
              </w:rPr>
              <w:t>departure </w:t>
            </w:r>
            <w:r>
              <w:rPr>
                <w:rFonts w:ascii="Times New Roman"/>
                <w:sz w:val="20"/>
              </w:rPr>
              <w:t>for </w:t>
            </w:r>
            <w:r>
              <w:rPr>
                <w:rFonts w:ascii="Times New Roman"/>
                <w:spacing w:val="-3"/>
                <w:sz w:val="20"/>
              </w:rPr>
              <w:t>admitted </w:t>
            </w:r>
            <w:r>
              <w:rPr>
                <w:rFonts w:ascii="Times New Roman"/>
                <w:sz w:val="20"/>
              </w:rPr>
              <w:t>ED </w:t>
            </w:r>
            <w:r>
              <w:rPr>
                <w:rFonts w:ascii="Times New Roman"/>
                <w:spacing w:val="-3"/>
                <w:sz w:val="20"/>
              </w:rPr>
              <w:t>patient Median time from admit decision </w:t>
            </w:r>
            <w:r>
              <w:rPr>
                <w:rFonts w:ascii="Times New Roman"/>
                <w:sz w:val="20"/>
              </w:rPr>
              <w:t>to ED </w:t>
            </w:r>
            <w:r>
              <w:rPr>
                <w:rFonts w:ascii="Times New Roman"/>
                <w:spacing w:val="-3"/>
                <w:sz w:val="20"/>
              </w:rPr>
              <w:t>departure </w:t>
            </w:r>
            <w:r>
              <w:rPr>
                <w:rFonts w:ascii="Times New Roman"/>
                <w:sz w:val="20"/>
              </w:rPr>
              <w:t>for </w:t>
            </w:r>
            <w:r>
              <w:rPr>
                <w:rFonts w:ascii="Times New Roman"/>
                <w:spacing w:val="-3"/>
                <w:sz w:val="20"/>
              </w:rPr>
              <w:t>admitted patients</w:t>
            </w:r>
          </w:p>
        </w:tc>
        <w:tc>
          <w:tcPr>
            <w:tcW w:w="2304" w:type="dxa"/>
          </w:tcPr>
          <w:p>
            <w:pPr>
              <w:pStyle w:val="TableParagraph"/>
              <w:spacing w:line="240" w:lineRule="auto" w:before="3"/>
              <w:ind w:left="177" w:right="177"/>
              <w:jc w:val="center"/>
              <w:rPr>
                <w:rFonts w:ascii="Times New Roman"/>
                <w:b/>
                <w:sz w:val="20"/>
              </w:rPr>
            </w:pPr>
            <w:r>
              <w:rPr>
                <w:rFonts w:ascii="Times New Roman"/>
                <w:b/>
                <w:sz w:val="20"/>
              </w:rPr>
              <w:t>NEW</w:t>
            </w:r>
          </w:p>
          <w:p>
            <w:pPr>
              <w:pStyle w:val="TableParagraph"/>
              <w:spacing w:line="234" w:lineRule="exact"/>
              <w:ind w:left="185" w:right="177"/>
              <w:jc w:val="center"/>
              <w:rPr>
                <w:rFonts w:ascii="Times New Roman"/>
                <w:sz w:val="20"/>
              </w:rPr>
            </w:pPr>
            <w:r>
              <w:rPr>
                <w:rFonts w:ascii="Times New Roman"/>
                <w:sz w:val="20"/>
              </w:rPr>
              <w:t>(Began with Q1-2013 ) (Began with  Q1-2013 )</w:t>
            </w:r>
          </w:p>
        </w:tc>
      </w:tr>
    </w:tbl>
    <w:p>
      <w:pPr>
        <w:pStyle w:val="BodyText"/>
        <w:spacing w:before="3"/>
        <w:rPr>
          <w:b/>
          <w:sz w:val="21"/>
        </w:rPr>
      </w:pPr>
    </w:p>
    <w:p>
      <w:pPr>
        <w:pStyle w:val="ListParagraph"/>
        <w:numPr>
          <w:ilvl w:val="0"/>
          <w:numId w:val="14"/>
        </w:numPr>
        <w:tabs>
          <w:tab w:pos="652" w:val="left" w:leader="none"/>
        </w:tabs>
        <w:spacing w:line="240" w:lineRule="auto" w:before="0" w:after="0"/>
        <w:ind w:left="472" w:right="0" w:hanging="180"/>
        <w:jc w:val="left"/>
        <w:rPr>
          <w:sz w:val="24"/>
        </w:rPr>
      </w:pPr>
      <w:r>
        <w:rPr>
          <w:b/>
          <w:spacing w:val="-3"/>
          <w:sz w:val="24"/>
        </w:rPr>
        <w:t>Quality Performance Measure Sets. </w:t>
      </w:r>
      <w:r>
        <w:rPr>
          <w:sz w:val="24"/>
        </w:rPr>
        <w:t>The </w:t>
      </w:r>
      <w:r>
        <w:rPr>
          <w:spacing w:val="-3"/>
          <w:sz w:val="24"/>
        </w:rPr>
        <w:t>quality performance measure sets listed</w:t>
      </w:r>
      <w:r>
        <w:rPr>
          <w:spacing w:val="-11"/>
          <w:sz w:val="24"/>
        </w:rPr>
        <w:t> </w:t>
      </w:r>
      <w:r>
        <w:rPr>
          <w:spacing w:val="-3"/>
          <w:sz w:val="24"/>
        </w:rPr>
        <w:t>in</w:t>
      </w:r>
    </w:p>
    <w:p>
      <w:pPr>
        <w:pStyle w:val="BodyText"/>
        <w:spacing w:line="242" w:lineRule="auto" w:before="6"/>
        <w:ind w:left="651"/>
      </w:pPr>
      <w:r>
        <w:rPr>
          <w:b/>
          <w:spacing w:val="-3"/>
        </w:rPr>
        <w:t>Table </w:t>
      </w:r>
      <w:r>
        <w:rPr>
          <w:b/>
        </w:rPr>
        <w:t>7-1 </w:t>
      </w:r>
      <w:r>
        <w:rPr>
          <w:spacing w:val="-3"/>
        </w:rPr>
        <w:t>include individual measures that </w:t>
      </w:r>
      <w:r>
        <w:rPr/>
        <w:t>are </w:t>
      </w:r>
      <w:r>
        <w:rPr>
          <w:spacing w:val="-3"/>
        </w:rPr>
        <w:t>part </w:t>
      </w:r>
      <w:r>
        <w:rPr/>
        <w:t>of a </w:t>
      </w:r>
      <w:r>
        <w:rPr>
          <w:spacing w:val="-3"/>
        </w:rPr>
        <w:t>measure </w:t>
      </w:r>
      <w:r>
        <w:rPr/>
        <w:t>set and one </w:t>
      </w:r>
      <w:r>
        <w:rPr>
          <w:spacing w:val="-3"/>
        </w:rPr>
        <w:t>composite measure (HD- </w:t>
      </w:r>
      <w:r>
        <w:rPr/>
        <w:t>2). In </w:t>
      </w:r>
      <w:r>
        <w:rPr>
          <w:spacing w:val="-3"/>
        </w:rPr>
        <w:t>RY14, measure reporting status includes </w:t>
      </w:r>
      <w:r>
        <w:rPr/>
        <w:t>the </w:t>
      </w:r>
      <w:r>
        <w:rPr>
          <w:spacing w:val="-3"/>
        </w:rPr>
        <w:t>continuation </w:t>
      </w:r>
      <w:r>
        <w:rPr/>
        <w:t>of </w:t>
      </w:r>
      <w:r>
        <w:rPr>
          <w:spacing w:val="-3"/>
        </w:rPr>
        <w:t>data collection that began </w:t>
      </w:r>
      <w:r>
        <w:rPr/>
        <w:t>in </w:t>
      </w:r>
      <w:r>
        <w:rPr>
          <w:spacing w:val="-3"/>
        </w:rPr>
        <w:t>the previous Fiscal Year (Q1-2013: January </w:t>
      </w:r>
      <w:r>
        <w:rPr/>
        <w:t>1, </w:t>
      </w:r>
      <w:r>
        <w:rPr>
          <w:spacing w:val="-3"/>
        </w:rPr>
        <w:t>2013 </w:t>
      </w:r>
      <w:r>
        <w:rPr/>
        <w:t>- </w:t>
      </w:r>
      <w:r>
        <w:rPr>
          <w:spacing w:val="-3"/>
        </w:rPr>
        <w:t>March </w:t>
      </w:r>
      <w:r>
        <w:rPr/>
        <w:t>31, </w:t>
      </w:r>
      <w:r>
        <w:rPr>
          <w:spacing w:val="-3"/>
        </w:rPr>
        <w:t>2013) </w:t>
      </w:r>
      <w:r>
        <w:rPr/>
        <w:t>as </w:t>
      </w:r>
      <w:r>
        <w:rPr>
          <w:spacing w:val="-3"/>
        </w:rPr>
        <w:t>follows:</w:t>
      </w:r>
    </w:p>
    <w:p>
      <w:pPr>
        <w:pStyle w:val="ListParagraph"/>
        <w:numPr>
          <w:ilvl w:val="1"/>
          <w:numId w:val="14"/>
        </w:numPr>
        <w:tabs>
          <w:tab w:pos="1012" w:val="left" w:leader="none"/>
        </w:tabs>
        <w:spacing w:line="244" w:lineRule="auto" w:before="180" w:after="0"/>
        <w:ind w:left="1012" w:right="336" w:hanging="360"/>
        <w:jc w:val="left"/>
        <w:rPr>
          <w:sz w:val="24"/>
        </w:rPr>
      </w:pPr>
      <w:r>
        <w:rPr>
          <w:i/>
          <w:sz w:val="24"/>
        </w:rPr>
        <w:t>Maternity Measure Set: </w:t>
      </w:r>
      <w:r>
        <w:rPr>
          <w:sz w:val="24"/>
        </w:rPr>
        <w:t>No changes apply to the reporting status for the individual maternity measures listed in </w:t>
      </w:r>
      <w:r>
        <w:rPr>
          <w:b/>
          <w:sz w:val="24"/>
        </w:rPr>
        <w:t>Table 7-1</w:t>
      </w:r>
      <w:r>
        <w:rPr>
          <w:sz w:val="24"/>
        </w:rPr>
        <w:t>. Hospitals must continue to collect and report on these measures in</w:t>
      </w:r>
      <w:r>
        <w:rPr>
          <w:spacing w:val="-7"/>
          <w:sz w:val="24"/>
        </w:rPr>
        <w:t> </w:t>
      </w:r>
      <w:r>
        <w:rPr>
          <w:sz w:val="24"/>
        </w:rPr>
        <w:t>RY14.</w:t>
      </w:r>
    </w:p>
    <w:p>
      <w:pPr>
        <w:pStyle w:val="ListParagraph"/>
        <w:numPr>
          <w:ilvl w:val="1"/>
          <w:numId w:val="14"/>
        </w:numPr>
        <w:tabs>
          <w:tab w:pos="1012" w:val="left" w:leader="none"/>
        </w:tabs>
        <w:spacing w:line="244" w:lineRule="auto" w:before="178" w:after="0"/>
        <w:ind w:left="1012" w:right="556" w:hanging="360"/>
        <w:jc w:val="left"/>
        <w:rPr>
          <w:sz w:val="24"/>
        </w:rPr>
      </w:pPr>
      <w:r>
        <w:rPr>
          <w:i/>
          <w:sz w:val="24"/>
        </w:rPr>
        <w:t>Pediatric Asthma Measure Set: </w:t>
      </w:r>
      <w:r>
        <w:rPr>
          <w:sz w:val="24"/>
        </w:rPr>
        <w:t>No changes apply to the reporting status for the individual children’s asthma care measures listed in </w:t>
      </w:r>
      <w:r>
        <w:rPr>
          <w:b/>
          <w:sz w:val="24"/>
        </w:rPr>
        <w:t>Table 7-1</w:t>
      </w:r>
      <w:r>
        <w:rPr>
          <w:sz w:val="24"/>
        </w:rPr>
        <w:t>. Hospitals must continue to collect and report on these measures in</w:t>
      </w:r>
      <w:r>
        <w:rPr>
          <w:spacing w:val="-3"/>
          <w:sz w:val="24"/>
        </w:rPr>
        <w:t> </w:t>
      </w:r>
      <w:r>
        <w:rPr>
          <w:sz w:val="24"/>
        </w:rPr>
        <w:t>RY14.</w:t>
      </w:r>
    </w:p>
    <w:p>
      <w:pPr>
        <w:pStyle w:val="ListParagraph"/>
        <w:numPr>
          <w:ilvl w:val="1"/>
          <w:numId w:val="14"/>
        </w:numPr>
        <w:tabs>
          <w:tab w:pos="1012" w:val="left" w:leader="none"/>
        </w:tabs>
        <w:spacing w:line="244" w:lineRule="auto" w:before="178" w:after="0"/>
        <w:ind w:left="1012" w:right="577" w:hanging="360"/>
        <w:jc w:val="left"/>
        <w:rPr>
          <w:sz w:val="24"/>
        </w:rPr>
      </w:pPr>
      <w:r>
        <w:rPr>
          <w:i/>
          <w:sz w:val="24"/>
        </w:rPr>
        <w:t>Community Acquired Pneumonia Measure Set: </w:t>
      </w:r>
      <w:r>
        <w:rPr>
          <w:sz w:val="24"/>
        </w:rPr>
        <w:t>No changes apply to the reporting status for individual pneumonia measures listed in </w:t>
      </w:r>
      <w:r>
        <w:rPr>
          <w:b/>
          <w:sz w:val="24"/>
        </w:rPr>
        <w:t>Table 7-1</w:t>
      </w:r>
      <w:r>
        <w:rPr>
          <w:sz w:val="24"/>
        </w:rPr>
        <w:t>. Hospitals must continue to collect and report on these measures in</w:t>
      </w:r>
      <w:r>
        <w:rPr>
          <w:spacing w:val="-3"/>
          <w:sz w:val="24"/>
        </w:rPr>
        <w:t> </w:t>
      </w:r>
      <w:r>
        <w:rPr>
          <w:sz w:val="24"/>
        </w:rPr>
        <w:t>RY14.</w:t>
      </w:r>
    </w:p>
    <w:p>
      <w:pPr>
        <w:spacing w:after="0" w:line="244" w:lineRule="auto"/>
        <w:jc w:val="left"/>
        <w:rPr>
          <w:sz w:val="24"/>
        </w:rPr>
        <w:sectPr>
          <w:footerReference w:type="default" r:id="rId22"/>
          <w:pgSz w:w="12240" w:h="15840"/>
          <w:pgMar w:footer="744" w:header="0" w:top="1380" w:bottom="940" w:left="860" w:right="980"/>
        </w:sectPr>
      </w:pPr>
    </w:p>
    <w:p>
      <w:pPr>
        <w:pStyle w:val="ListParagraph"/>
        <w:numPr>
          <w:ilvl w:val="1"/>
          <w:numId w:val="14"/>
        </w:numPr>
        <w:tabs>
          <w:tab w:pos="832" w:val="left" w:leader="none"/>
        </w:tabs>
        <w:spacing w:line="244" w:lineRule="auto" w:before="61" w:after="0"/>
        <w:ind w:left="832" w:right="348" w:hanging="360"/>
        <w:jc w:val="both"/>
        <w:rPr>
          <w:sz w:val="24"/>
        </w:rPr>
      </w:pPr>
      <w:r>
        <w:rPr>
          <w:i/>
          <w:sz w:val="24"/>
        </w:rPr>
        <w:t>Surgical Care Infection Prevention Measure Set: </w:t>
      </w:r>
      <w:r>
        <w:rPr>
          <w:sz w:val="24"/>
        </w:rPr>
        <w:t>No changes apply to the reporting status for the individual surgical care infection prevention measures listed in </w:t>
      </w:r>
      <w:r>
        <w:rPr>
          <w:b/>
          <w:sz w:val="24"/>
        </w:rPr>
        <w:t>Table 7-1</w:t>
      </w:r>
      <w:r>
        <w:rPr>
          <w:sz w:val="24"/>
        </w:rPr>
        <w:t>. Hospitals must continue to collect and report on these measures in</w:t>
      </w:r>
      <w:r>
        <w:rPr>
          <w:spacing w:val="-3"/>
          <w:sz w:val="24"/>
        </w:rPr>
        <w:t> </w:t>
      </w:r>
      <w:r>
        <w:rPr>
          <w:sz w:val="24"/>
        </w:rPr>
        <w:t>RY14.</w:t>
      </w:r>
    </w:p>
    <w:p>
      <w:pPr>
        <w:pStyle w:val="ListParagraph"/>
        <w:numPr>
          <w:ilvl w:val="1"/>
          <w:numId w:val="14"/>
        </w:numPr>
        <w:tabs>
          <w:tab w:pos="832" w:val="left" w:leader="none"/>
        </w:tabs>
        <w:spacing w:line="244" w:lineRule="auto" w:before="177" w:after="0"/>
        <w:ind w:left="832" w:right="168" w:hanging="360"/>
        <w:jc w:val="left"/>
        <w:rPr>
          <w:sz w:val="24"/>
        </w:rPr>
      </w:pPr>
      <w:r>
        <w:rPr>
          <w:i/>
          <w:sz w:val="24"/>
        </w:rPr>
        <w:t>Care Coordination Measure Set:  </w:t>
      </w:r>
      <w:r>
        <w:rPr>
          <w:sz w:val="24"/>
        </w:rPr>
        <w:t>No changes apply to the reporting status for the individual care coordination measures listed in </w:t>
      </w:r>
      <w:r>
        <w:rPr>
          <w:b/>
          <w:sz w:val="24"/>
        </w:rPr>
        <w:t>Table 7-1</w:t>
      </w:r>
      <w:r>
        <w:rPr>
          <w:sz w:val="24"/>
        </w:rPr>
        <w:t>. Hospitals must continue to collect and report on these measures in</w:t>
      </w:r>
      <w:r>
        <w:rPr>
          <w:spacing w:val="-3"/>
          <w:sz w:val="24"/>
        </w:rPr>
        <w:t> </w:t>
      </w:r>
      <w:r>
        <w:rPr>
          <w:sz w:val="24"/>
        </w:rPr>
        <w:t>RY14.</w:t>
      </w:r>
    </w:p>
    <w:p>
      <w:pPr>
        <w:pStyle w:val="ListParagraph"/>
        <w:numPr>
          <w:ilvl w:val="1"/>
          <w:numId w:val="14"/>
        </w:numPr>
        <w:tabs>
          <w:tab w:pos="831" w:val="left" w:leader="none"/>
          <w:tab w:pos="832" w:val="left" w:leader="none"/>
        </w:tabs>
        <w:spacing w:line="244" w:lineRule="auto" w:before="181" w:after="0"/>
        <w:ind w:left="832" w:right="327" w:hanging="360"/>
        <w:jc w:val="left"/>
        <w:rPr>
          <w:sz w:val="24"/>
        </w:rPr>
      </w:pPr>
      <w:r>
        <w:rPr>
          <w:i/>
          <w:sz w:val="24"/>
        </w:rPr>
        <w:t>Emergency Department Measure Set: </w:t>
      </w:r>
      <w:r>
        <w:rPr>
          <w:sz w:val="24"/>
        </w:rPr>
        <w:t>The individual ED measures reporting, listed in </w:t>
      </w:r>
      <w:r>
        <w:rPr>
          <w:b/>
          <w:sz w:val="24"/>
        </w:rPr>
        <w:t>Table 7.1</w:t>
      </w:r>
      <w:r>
        <w:rPr>
          <w:sz w:val="24"/>
        </w:rPr>
        <w:t>, began as of the Q1-2013 (January 1, 2013 – March 31, 2013 discharge period) data submission cycle. Hospitals are required to collect and report on the entire ED-1 and ED-2 measure population strata. However, performance evaluation will be based on ED-1b and ED- 2b measure population strata as referenced in the applicable EOHHS Technical Specifications Manual.</w:t>
      </w:r>
    </w:p>
    <w:p>
      <w:pPr>
        <w:pStyle w:val="ListParagraph"/>
        <w:numPr>
          <w:ilvl w:val="1"/>
          <w:numId w:val="14"/>
        </w:numPr>
        <w:tabs>
          <w:tab w:pos="832" w:val="left" w:leader="none"/>
        </w:tabs>
        <w:spacing w:line="242" w:lineRule="auto" w:before="178" w:after="0"/>
        <w:ind w:left="832" w:right="119" w:hanging="360"/>
        <w:jc w:val="left"/>
        <w:rPr>
          <w:sz w:val="24"/>
        </w:rPr>
      </w:pPr>
      <w:r>
        <w:rPr>
          <w:i/>
          <w:sz w:val="24"/>
        </w:rPr>
        <w:t>Health Disparities Composite Measure</w:t>
      </w:r>
      <w:r>
        <w:rPr>
          <w:sz w:val="24"/>
        </w:rPr>
        <w:t>: This composite measure will be comprised of aggregate data from specific individual measures (i.e., maternity, pediatric asthma, community acquired pneumonia, care coordination and surgical care infection prevention measure sets), listed in </w:t>
      </w:r>
      <w:r>
        <w:rPr>
          <w:b/>
          <w:sz w:val="24"/>
        </w:rPr>
        <w:t>Table 7-1</w:t>
      </w:r>
      <w:r>
        <w:rPr>
          <w:sz w:val="24"/>
        </w:rPr>
        <w:t>, on which the hospital reports. Hospitals must ensure that all quality measures data collected includes Race, Hispanic Indicator, and Ethnicity codes and allowable values as required by regulations at 114.1 CMR 17.00, 114.5 CMR 21.00, and 114.5 CMR 22.0. In addition, Hospitals must ensure that the sampling of cases requested for chart validation purposes includes proper documentation to verify the Race, Hispanic Indicator, and Ethnicity codes against the quality measures data</w:t>
      </w:r>
      <w:r>
        <w:rPr>
          <w:spacing w:val="-4"/>
          <w:sz w:val="24"/>
        </w:rPr>
        <w:t> </w:t>
      </w:r>
      <w:r>
        <w:rPr>
          <w:sz w:val="24"/>
        </w:rPr>
        <w:t>files.</w:t>
      </w:r>
    </w:p>
    <w:p>
      <w:pPr>
        <w:pStyle w:val="ListParagraph"/>
        <w:numPr>
          <w:ilvl w:val="0"/>
          <w:numId w:val="14"/>
        </w:numPr>
        <w:tabs>
          <w:tab w:pos="472" w:val="left" w:leader="none"/>
        </w:tabs>
        <w:spacing w:line="244" w:lineRule="auto" w:before="184" w:after="0"/>
        <w:ind w:left="472" w:right="186" w:hanging="360"/>
        <w:jc w:val="left"/>
        <w:rPr>
          <w:sz w:val="24"/>
        </w:rPr>
      </w:pPr>
      <w:r>
        <w:rPr>
          <w:b/>
          <w:spacing w:val="-3"/>
          <w:sz w:val="24"/>
        </w:rPr>
        <w:t>EOHHS Measure Specifications</w:t>
      </w:r>
      <w:r>
        <w:rPr>
          <w:i/>
          <w:spacing w:val="-3"/>
          <w:sz w:val="24"/>
        </w:rPr>
        <w:t>. </w:t>
      </w:r>
      <w:r>
        <w:rPr>
          <w:sz w:val="24"/>
        </w:rPr>
        <w:t>All </w:t>
      </w:r>
      <w:r>
        <w:rPr>
          <w:spacing w:val="-3"/>
          <w:sz w:val="24"/>
        </w:rPr>
        <w:t>Hospitals must adhere </w:t>
      </w:r>
      <w:r>
        <w:rPr>
          <w:sz w:val="24"/>
        </w:rPr>
        <w:t>to the </w:t>
      </w:r>
      <w:r>
        <w:rPr>
          <w:spacing w:val="-3"/>
          <w:sz w:val="24"/>
        </w:rPr>
        <w:t>data collection </w:t>
      </w:r>
      <w:r>
        <w:rPr>
          <w:sz w:val="24"/>
        </w:rPr>
        <w:t>and </w:t>
      </w:r>
      <w:r>
        <w:rPr>
          <w:spacing w:val="-3"/>
          <w:sz w:val="24"/>
        </w:rPr>
        <w:t>reporting guidelines contained </w:t>
      </w:r>
      <w:r>
        <w:rPr>
          <w:sz w:val="24"/>
        </w:rPr>
        <w:t>in the </w:t>
      </w:r>
      <w:r>
        <w:rPr>
          <w:spacing w:val="-3"/>
          <w:sz w:val="24"/>
        </w:rPr>
        <w:t>applicable </w:t>
      </w:r>
      <w:r>
        <w:rPr>
          <w:i/>
          <w:spacing w:val="-3"/>
          <w:sz w:val="24"/>
        </w:rPr>
        <w:t>EOHHS </w:t>
      </w:r>
      <w:r>
        <w:rPr>
          <w:i/>
          <w:sz w:val="24"/>
        </w:rPr>
        <w:t>Technical Specifications Manual </w:t>
      </w:r>
      <w:r>
        <w:rPr>
          <w:sz w:val="24"/>
        </w:rPr>
        <w:t>version listed in </w:t>
      </w:r>
      <w:r>
        <w:rPr>
          <w:b/>
          <w:sz w:val="24"/>
        </w:rPr>
        <w:t>Section 7.6</w:t>
      </w:r>
      <w:r>
        <w:rPr>
          <w:sz w:val="24"/>
        </w:rPr>
        <w:t>, for the reporting of all measures listed in </w:t>
      </w:r>
      <w:r>
        <w:rPr>
          <w:b/>
          <w:sz w:val="24"/>
        </w:rPr>
        <w:t>Table 7-1</w:t>
      </w:r>
      <w:r>
        <w:rPr>
          <w:sz w:val="24"/>
        </w:rPr>
        <w:t>. This comprehensive manual contains technical details on data element definitions, clinical algorithms for inclusion and exclusions that apply to numerators/denominators, sampling guidelines, data abstraction tools, XML schema, data dictionary, portal system requirements, Medicaid payer source code instructions, race/ethnicity codes, and more. EOHHS updates the </w:t>
      </w:r>
      <w:r>
        <w:rPr>
          <w:i/>
          <w:spacing w:val="-3"/>
          <w:sz w:val="24"/>
        </w:rPr>
        <w:t>EOHHS </w:t>
      </w:r>
      <w:r>
        <w:rPr>
          <w:i/>
          <w:sz w:val="24"/>
        </w:rPr>
        <w:t>Technical Specifications </w:t>
      </w:r>
      <w:r>
        <w:rPr>
          <w:i/>
          <w:sz w:val="24"/>
        </w:rPr>
        <w:t>Manual </w:t>
      </w:r>
      <w:r>
        <w:rPr>
          <w:sz w:val="24"/>
        </w:rPr>
        <w:t>regularly and changes to reporting become effective with quarter reporting periods as specified in </w:t>
      </w:r>
      <w:r>
        <w:rPr>
          <w:b/>
          <w:sz w:val="24"/>
        </w:rPr>
        <w:t>Table 7-1 </w:t>
      </w:r>
      <w:r>
        <w:rPr>
          <w:sz w:val="24"/>
        </w:rPr>
        <w:t>of this RFA. Refer to </w:t>
      </w:r>
      <w:r>
        <w:rPr>
          <w:b/>
          <w:sz w:val="24"/>
        </w:rPr>
        <w:t>Section 7.6.A </w:t>
      </w:r>
      <w:r>
        <w:rPr>
          <w:sz w:val="24"/>
        </w:rPr>
        <w:t>of this RFA for the appropriate updated versions of the </w:t>
      </w:r>
      <w:r>
        <w:rPr>
          <w:i/>
          <w:sz w:val="24"/>
        </w:rPr>
        <w:t>EOHHS Technical Specifications Manual </w:t>
      </w:r>
      <w:r>
        <w:rPr>
          <w:sz w:val="24"/>
        </w:rPr>
        <w:t>for the applicable quarterly data reporting cycle.</w:t>
      </w:r>
    </w:p>
    <w:p>
      <w:pPr>
        <w:pStyle w:val="ListParagraph"/>
        <w:numPr>
          <w:ilvl w:val="0"/>
          <w:numId w:val="14"/>
        </w:numPr>
        <w:tabs>
          <w:tab w:pos="472" w:val="left" w:leader="none"/>
        </w:tabs>
        <w:spacing w:line="244" w:lineRule="auto" w:before="181" w:after="0"/>
        <w:ind w:left="472" w:right="134" w:hanging="360"/>
        <w:jc w:val="left"/>
        <w:rPr>
          <w:sz w:val="24"/>
        </w:rPr>
      </w:pPr>
      <w:r>
        <w:rPr>
          <w:b/>
          <w:sz w:val="24"/>
        </w:rPr>
        <w:t>All Medicaid Payer Data Collection</w:t>
      </w:r>
      <w:r>
        <w:rPr>
          <w:i/>
          <w:sz w:val="24"/>
        </w:rPr>
        <w:t>. </w:t>
      </w:r>
      <w:r>
        <w:rPr>
          <w:sz w:val="24"/>
        </w:rPr>
        <w:t>As of RY14, hospital quality reporting for the measures listed in </w:t>
      </w:r>
      <w:r>
        <w:rPr>
          <w:b/>
          <w:sz w:val="24"/>
        </w:rPr>
        <w:t>Table 7-1 </w:t>
      </w:r>
      <w:r>
        <w:rPr>
          <w:sz w:val="24"/>
        </w:rPr>
        <w:t>must be collected on all Medicaid payer data. Detailed instructions on all Medicaid payer data reporting requirements, including all relevant payer codes, are included in the applicable version of the </w:t>
      </w:r>
      <w:r>
        <w:rPr>
          <w:i/>
          <w:sz w:val="24"/>
        </w:rPr>
        <w:t>EOHHS Technical Specifications Manual </w:t>
      </w:r>
      <w:r>
        <w:rPr>
          <w:sz w:val="24"/>
        </w:rPr>
        <w:t>referred to in </w:t>
      </w:r>
      <w:r>
        <w:rPr>
          <w:b/>
          <w:sz w:val="24"/>
        </w:rPr>
        <w:t>Section 7.6.A</w:t>
      </w:r>
      <w:r>
        <w:rPr>
          <w:sz w:val="24"/>
        </w:rPr>
        <w:t>. In general, all Medicaid payer data includes data on hospital services provided to MassHealth members under 65 years of age, with fee-for-service coverage, or who are enrolled in the PCC Plan, including the managed behavioral health vendor, or the MassHealth MCO program, Children’s Medical Security Plan (CMSP), Healthy Start programs, and certain other payer codes, in each case where MassHealth is the primary payment</w:t>
      </w:r>
      <w:r>
        <w:rPr>
          <w:spacing w:val="-5"/>
          <w:sz w:val="24"/>
        </w:rPr>
        <w:t> </w:t>
      </w:r>
      <w:r>
        <w:rPr>
          <w:sz w:val="24"/>
        </w:rPr>
        <w:t>source.</w:t>
      </w:r>
    </w:p>
    <w:p>
      <w:pPr>
        <w:spacing w:after="0" w:line="244" w:lineRule="auto"/>
        <w:jc w:val="left"/>
        <w:rPr>
          <w:sz w:val="24"/>
        </w:rPr>
        <w:sectPr>
          <w:footerReference w:type="default" r:id="rId23"/>
          <w:pgSz w:w="12240" w:h="15840"/>
          <w:pgMar w:footer="744" w:header="0" w:top="1380" w:bottom="940" w:left="1040" w:right="980"/>
          <w:pgNumType w:start="61"/>
        </w:sectPr>
      </w:pPr>
    </w:p>
    <w:p>
      <w:pPr>
        <w:pStyle w:val="ListParagraph"/>
        <w:numPr>
          <w:ilvl w:val="0"/>
          <w:numId w:val="14"/>
        </w:numPr>
        <w:tabs>
          <w:tab w:pos="472" w:val="left" w:leader="none"/>
        </w:tabs>
        <w:spacing w:line="244" w:lineRule="auto" w:before="65" w:after="0"/>
        <w:ind w:left="472" w:right="145" w:hanging="360"/>
        <w:jc w:val="left"/>
        <w:rPr>
          <w:b/>
          <w:sz w:val="24"/>
        </w:rPr>
      </w:pPr>
      <w:r>
        <w:rPr>
          <w:b/>
          <w:sz w:val="24"/>
        </w:rPr>
        <w:t>Data Accuracy and Completeness Requirements. </w:t>
      </w:r>
      <w:r>
        <w:rPr>
          <w:sz w:val="24"/>
        </w:rPr>
        <w:t>Hospitals are required to submit complete data on all measures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w:t>
      </w:r>
      <w:r>
        <w:rPr>
          <w:spacing w:val="-3"/>
          <w:sz w:val="24"/>
        </w:rPr>
        <w:t>patient population </w:t>
      </w:r>
      <w:r>
        <w:rPr>
          <w:sz w:val="24"/>
        </w:rPr>
        <w:t>data that supplements the upload of electronic data files, for each reporting quarter, via the secure portal, in accordance with instructions set forth in the applicable version of </w:t>
      </w:r>
      <w:r>
        <w:rPr>
          <w:i/>
          <w:sz w:val="24"/>
        </w:rPr>
        <w:t>EOHHS Technical </w:t>
      </w:r>
      <w:r>
        <w:rPr>
          <w:i/>
          <w:sz w:val="24"/>
        </w:rPr>
        <w:t>Specifications Manual</w:t>
      </w:r>
      <w:r>
        <w:rPr>
          <w:sz w:val="24"/>
        </w:rPr>
        <w:t>, by submission deadlines listed in </w:t>
      </w:r>
      <w:r>
        <w:rPr>
          <w:b/>
          <w:sz w:val="24"/>
        </w:rPr>
        <w:t>Table 7-4 of Section 7.6</w:t>
      </w:r>
      <w:r>
        <w:rPr>
          <w:sz w:val="24"/>
        </w:rPr>
        <w:t>. As of RY14, each Hospital is required to sign and submit a data accuracy and completeness attestation form, per instructions in </w:t>
      </w:r>
      <w:r>
        <w:rPr>
          <w:b/>
          <w:sz w:val="24"/>
        </w:rPr>
        <w:t>Section 7.6.E </w:t>
      </w:r>
      <w:r>
        <w:rPr>
          <w:sz w:val="24"/>
        </w:rPr>
        <w:t>by the due date set forth in </w:t>
      </w:r>
      <w:r>
        <w:rPr>
          <w:b/>
          <w:sz w:val="24"/>
        </w:rPr>
        <w:t>Section</w:t>
      </w:r>
      <w:r>
        <w:rPr>
          <w:b/>
          <w:spacing w:val="-2"/>
          <w:sz w:val="24"/>
        </w:rPr>
        <w:t> </w:t>
      </w:r>
      <w:r>
        <w:rPr>
          <w:b/>
          <w:sz w:val="24"/>
        </w:rPr>
        <w:t>7.6.A.</w:t>
      </w:r>
    </w:p>
    <w:p>
      <w:pPr>
        <w:pStyle w:val="BodyText"/>
        <w:spacing w:before="8"/>
        <w:rPr>
          <w:b/>
          <w:sz w:val="36"/>
        </w:rPr>
      </w:pPr>
    </w:p>
    <w:p>
      <w:pPr>
        <w:pStyle w:val="Heading2"/>
        <w:numPr>
          <w:ilvl w:val="1"/>
          <w:numId w:val="13"/>
        </w:numPr>
        <w:tabs>
          <w:tab w:pos="652" w:val="left" w:leader="none"/>
        </w:tabs>
        <w:spacing w:line="240" w:lineRule="auto" w:before="1" w:after="0"/>
        <w:ind w:left="651" w:right="0" w:hanging="539"/>
        <w:jc w:val="left"/>
      </w:pPr>
      <w:r>
        <w:rPr>
          <w:spacing w:val="-3"/>
        </w:rPr>
        <w:t>Performance Assessment</w:t>
      </w:r>
      <w:r>
        <w:rPr>
          <w:spacing w:val="-9"/>
        </w:rPr>
        <w:t> </w:t>
      </w:r>
      <w:r>
        <w:rPr>
          <w:spacing w:val="-3"/>
        </w:rPr>
        <w:t>Methods</w:t>
      </w:r>
    </w:p>
    <w:p>
      <w:pPr>
        <w:pStyle w:val="BodyText"/>
        <w:spacing w:line="242" w:lineRule="auto" w:before="241"/>
        <w:ind w:left="651" w:right="351"/>
      </w:pPr>
      <w:r>
        <w:rPr>
          <w:spacing w:val="-3"/>
        </w:rPr>
        <w:t>Hospital performance will </w:t>
      </w:r>
      <w:r>
        <w:rPr/>
        <w:t>be </w:t>
      </w:r>
      <w:r>
        <w:rPr>
          <w:spacing w:val="-3"/>
        </w:rPr>
        <w:t>determined </w:t>
      </w:r>
      <w:r>
        <w:rPr/>
        <w:t>by </w:t>
      </w:r>
      <w:r>
        <w:rPr>
          <w:spacing w:val="-3"/>
        </w:rPr>
        <w:t>assessing performance </w:t>
      </w:r>
      <w:r>
        <w:rPr/>
        <w:t>on </w:t>
      </w:r>
      <w:r>
        <w:rPr>
          <w:spacing w:val="-3"/>
        </w:rPr>
        <w:t>each measure </w:t>
      </w:r>
      <w:r>
        <w:rPr/>
        <w:t>the </w:t>
      </w:r>
      <w:r>
        <w:rPr>
          <w:spacing w:val="-3"/>
        </w:rPr>
        <w:t>Hospital reports </w:t>
      </w:r>
      <w:r>
        <w:rPr/>
        <w:t>on. </w:t>
      </w:r>
      <w:r>
        <w:rPr>
          <w:spacing w:val="-3"/>
        </w:rPr>
        <w:t>Performance assessment methods include computing measure rates, data validation scores, performance thresholds, assignment </w:t>
      </w:r>
      <w:r>
        <w:rPr/>
        <w:t>of </w:t>
      </w:r>
      <w:r>
        <w:rPr>
          <w:spacing w:val="-3"/>
        </w:rPr>
        <w:t>quality points, </w:t>
      </w:r>
      <w:r>
        <w:rPr/>
        <w:t>and </w:t>
      </w:r>
      <w:r>
        <w:rPr>
          <w:spacing w:val="-3"/>
        </w:rPr>
        <w:t>total performance scores, as described below.</w:t>
      </w:r>
    </w:p>
    <w:p>
      <w:pPr>
        <w:pStyle w:val="BodyText"/>
        <w:spacing w:before="2"/>
        <w:rPr>
          <w:sz w:val="21"/>
        </w:rPr>
      </w:pPr>
    </w:p>
    <w:p>
      <w:pPr>
        <w:pStyle w:val="ListParagraph"/>
        <w:numPr>
          <w:ilvl w:val="2"/>
          <w:numId w:val="13"/>
        </w:numPr>
        <w:tabs>
          <w:tab w:pos="1012" w:val="left" w:leader="none"/>
        </w:tabs>
        <w:spacing w:line="240" w:lineRule="auto" w:before="1" w:after="0"/>
        <w:ind w:left="1012" w:right="0" w:hanging="360"/>
        <w:jc w:val="left"/>
        <w:rPr>
          <w:sz w:val="24"/>
        </w:rPr>
      </w:pPr>
      <w:r>
        <w:rPr>
          <w:b/>
          <w:sz w:val="24"/>
        </w:rPr>
        <w:t>Measure Calculation</w:t>
      </w:r>
      <w:r>
        <w:rPr>
          <w:sz w:val="24"/>
        </w:rPr>
        <w:t>. Each measure will be calculated using the following</w:t>
      </w:r>
      <w:r>
        <w:rPr>
          <w:spacing w:val="-6"/>
          <w:sz w:val="24"/>
        </w:rPr>
        <w:t> </w:t>
      </w:r>
      <w:r>
        <w:rPr>
          <w:sz w:val="24"/>
        </w:rPr>
        <w:t>methods:</w:t>
      </w:r>
    </w:p>
    <w:p>
      <w:pPr>
        <w:pStyle w:val="BodyText"/>
        <w:spacing w:before="7"/>
      </w:pPr>
    </w:p>
    <w:p>
      <w:pPr>
        <w:pStyle w:val="ListParagraph"/>
        <w:numPr>
          <w:ilvl w:val="3"/>
          <w:numId w:val="13"/>
        </w:numPr>
        <w:tabs>
          <w:tab w:pos="1102" w:val="left" w:leader="none"/>
        </w:tabs>
        <w:spacing w:line="244" w:lineRule="auto" w:before="0" w:after="0"/>
        <w:ind w:left="1102" w:right="224" w:hanging="360"/>
        <w:jc w:val="left"/>
        <w:rPr>
          <w:sz w:val="22"/>
        </w:rPr>
      </w:pPr>
      <w:r>
        <w:rPr>
          <w:i/>
          <w:sz w:val="24"/>
        </w:rPr>
        <w:t>Individual Measure Rate: </w:t>
      </w:r>
      <w:r>
        <w:rPr>
          <w:sz w:val="24"/>
        </w:rPr>
        <w:t>A measure rate is calculated by dividing the numerator by the denominator, to obtain a percentage for each individual measure listed in </w:t>
      </w:r>
      <w:r>
        <w:rPr>
          <w:b/>
          <w:sz w:val="24"/>
        </w:rPr>
        <w:t>Table 7-1 </w:t>
      </w:r>
      <w:r>
        <w:rPr>
          <w:sz w:val="24"/>
        </w:rPr>
        <w:t>except for the ED measures. The ED measures are calculated using a median time outcome from all patient level time data</w:t>
      </w:r>
      <w:r>
        <w:rPr>
          <w:spacing w:val="-2"/>
          <w:sz w:val="24"/>
        </w:rPr>
        <w:t> </w:t>
      </w:r>
      <w:r>
        <w:rPr>
          <w:sz w:val="24"/>
        </w:rPr>
        <w:t>reported.</w:t>
      </w:r>
    </w:p>
    <w:p>
      <w:pPr>
        <w:pStyle w:val="BodyText"/>
        <w:spacing w:before="1"/>
      </w:pPr>
    </w:p>
    <w:p>
      <w:pPr>
        <w:pStyle w:val="ListParagraph"/>
        <w:numPr>
          <w:ilvl w:val="3"/>
          <w:numId w:val="13"/>
        </w:numPr>
        <w:tabs>
          <w:tab w:pos="1192" w:val="left" w:leader="none"/>
        </w:tabs>
        <w:spacing w:line="242" w:lineRule="auto" w:before="0" w:after="0"/>
        <w:ind w:left="1192" w:right="137" w:hanging="360"/>
        <w:jc w:val="left"/>
        <w:rPr>
          <w:b/>
          <w:sz w:val="22"/>
        </w:rPr>
      </w:pPr>
      <w:r>
        <w:rPr>
          <w:i/>
          <w:sz w:val="24"/>
        </w:rPr>
        <w:t>Health Disparities Composite Measure: </w:t>
      </w:r>
      <w:r>
        <w:rPr>
          <w:sz w:val="24"/>
        </w:rPr>
        <w:t>The HD-2 measure is calculated by dividing the composite numerator rate by the composite denominator rate stratified by race/ethnicity reference and comparison groups which is converted to a disparity index value. The composite numerator rate is created by summing the numerators of individual measures and the composite denominator rate is created by summing the denominators of individual measures the hospital reports on. The composite measure and disparity index value are calculated only for Hospitals that report on more than one racial group in their electronic data files. The numerators and denominators for this measure are defined in the applicable </w:t>
      </w:r>
      <w:r>
        <w:rPr>
          <w:i/>
          <w:sz w:val="24"/>
        </w:rPr>
        <w:t>EOHHS Technical Specifications Manual </w:t>
      </w:r>
      <w:r>
        <w:rPr>
          <w:sz w:val="24"/>
        </w:rPr>
        <w:t>listed in </w:t>
      </w:r>
      <w:r>
        <w:rPr>
          <w:b/>
          <w:sz w:val="24"/>
        </w:rPr>
        <w:t>Section 7.6.A</w:t>
      </w:r>
      <w:r>
        <w:rPr>
          <w:sz w:val="24"/>
        </w:rPr>
        <w:t>. As noted in</w:t>
      </w:r>
      <w:r>
        <w:rPr>
          <w:spacing w:val="-1"/>
          <w:sz w:val="24"/>
        </w:rPr>
        <w:t> </w:t>
      </w:r>
      <w:r>
        <w:rPr>
          <w:b/>
          <w:sz w:val="24"/>
        </w:rPr>
        <w:t>Section</w:t>
      </w:r>
    </w:p>
    <w:p>
      <w:pPr>
        <w:pStyle w:val="BodyText"/>
        <w:spacing w:line="242" w:lineRule="auto" w:before="4"/>
        <w:ind w:left="1191" w:right="189"/>
      </w:pPr>
      <w:r>
        <w:rPr>
          <w:b/>
        </w:rPr>
        <w:t>7.3.A.7 </w:t>
      </w:r>
      <w:r>
        <w:rPr/>
        <w:t>the following individual measure sets - maternity, pediatric asthma, community acquired pneumonia, care coordination and surgical care infection prevention -- will be included in the HD-2 composite calculation. The ED measure set will not be included in the HD-2 measure calculation because a median time outcome cannot be combined with a measure rate outcome.</w:t>
      </w:r>
    </w:p>
    <w:p>
      <w:pPr>
        <w:pStyle w:val="BodyText"/>
        <w:spacing w:before="8"/>
      </w:pPr>
    </w:p>
    <w:p>
      <w:pPr>
        <w:pStyle w:val="ListParagraph"/>
        <w:numPr>
          <w:ilvl w:val="2"/>
          <w:numId w:val="13"/>
        </w:numPr>
        <w:tabs>
          <w:tab w:pos="1012" w:val="left" w:leader="none"/>
        </w:tabs>
        <w:spacing w:line="242" w:lineRule="auto" w:before="0" w:after="0"/>
        <w:ind w:left="1012" w:right="118" w:hanging="360"/>
        <w:jc w:val="left"/>
        <w:rPr>
          <w:sz w:val="24"/>
        </w:rPr>
      </w:pPr>
      <w:r>
        <w:rPr>
          <w:b/>
          <w:spacing w:val="-3"/>
          <w:sz w:val="24"/>
        </w:rPr>
        <w:t>Data Validation Requirements</w:t>
      </w:r>
      <w:r>
        <w:rPr>
          <w:spacing w:val="-3"/>
          <w:sz w:val="24"/>
        </w:rPr>
        <w:t>. </w:t>
      </w:r>
      <w:r>
        <w:rPr>
          <w:sz w:val="24"/>
        </w:rPr>
        <w:t>All </w:t>
      </w:r>
      <w:r>
        <w:rPr>
          <w:spacing w:val="-3"/>
          <w:sz w:val="24"/>
        </w:rPr>
        <w:t>reported measures </w:t>
      </w:r>
      <w:r>
        <w:rPr>
          <w:sz w:val="24"/>
        </w:rPr>
        <w:t>are </w:t>
      </w:r>
      <w:r>
        <w:rPr>
          <w:spacing w:val="-3"/>
          <w:sz w:val="24"/>
        </w:rPr>
        <w:t>subject </w:t>
      </w:r>
      <w:r>
        <w:rPr>
          <w:sz w:val="24"/>
        </w:rPr>
        <w:t>to </w:t>
      </w:r>
      <w:r>
        <w:rPr>
          <w:spacing w:val="-3"/>
          <w:sz w:val="24"/>
        </w:rPr>
        <w:t>data validation </w:t>
      </w:r>
      <w:r>
        <w:rPr>
          <w:sz w:val="24"/>
        </w:rPr>
        <w:t>that requires </w:t>
      </w:r>
      <w:r>
        <w:rPr>
          <w:spacing w:val="-3"/>
          <w:sz w:val="24"/>
        </w:rPr>
        <w:t>meeting </w:t>
      </w:r>
      <w:r>
        <w:rPr>
          <w:sz w:val="24"/>
        </w:rPr>
        <w:t>the </w:t>
      </w:r>
      <w:r>
        <w:rPr>
          <w:spacing w:val="-3"/>
          <w:sz w:val="24"/>
        </w:rPr>
        <w:t>minimum reliability standard </w:t>
      </w:r>
      <w:r>
        <w:rPr>
          <w:sz w:val="24"/>
        </w:rPr>
        <w:t>of 80 </w:t>
      </w:r>
      <w:r>
        <w:rPr>
          <w:spacing w:val="-3"/>
          <w:sz w:val="24"/>
        </w:rPr>
        <w:t>percent for data elements. </w:t>
      </w:r>
      <w:r>
        <w:rPr>
          <w:sz w:val="24"/>
        </w:rPr>
        <w:t>Hospitals are considered to have “passed” validation if the overall agreement score of 80 percent has been met. Passing data validation is required prior to computing a Hospital’s performance scores</w:t>
      </w:r>
      <w:r>
        <w:rPr>
          <w:spacing w:val="-7"/>
          <w:sz w:val="24"/>
        </w:rPr>
        <w:t> </w:t>
      </w:r>
      <w:r>
        <w:rPr>
          <w:sz w:val="24"/>
        </w:rPr>
        <w:t>on</w:t>
      </w:r>
    </w:p>
    <w:p>
      <w:pPr>
        <w:spacing w:after="0" w:line="242" w:lineRule="auto"/>
        <w:jc w:val="left"/>
        <w:rPr>
          <w:sz w:val="24"/>
        </w:rPr>
        <w:sectPr>
          <w:pgSz w:w="12240" w:h="15840"/>
          <w:pgMar w:header="0" w:footer="744" w:top="1380" w:bottom="940" w:left="1040" w:right="980"/>
        </w:sectPr>
      </w:pPr>
    </w:p>
    <w:p>
      <w:pPr>
        <w:spacing w:line="244" w:lineRule="auto" w:before="65"/>
        <w:ind w:left="471" w:right="264" w:firstLine="0"/>
        <w:jc w:val="left"/>
        <w:rPr>
          <w:sz w:val="24"/>
        </w:rPr>
      </w:pPr>
      <w:r>
        <w:rPr>
          <w:sz w:val="24"/>
        </w:rPr>
        <w:t>each measure category pursuant to </w:t>
      </w:r>
      <w:r>
        <w:rPr>
          <w:b/>
          <w:sz w:val="24"/>
        </w:rPr>
        <w:t>Section 7.5</w:t>
      </w:r>
      <w:r>
        <w:rPr>
          <w:sz w:val="24"/>
        </w:rPr>
        <w:t>. The applicable </w:t>
      </w:r>
      <w:r>
        <w:rPr>
          <w:i/>
          <w:sz w:val="24"/>
        </w:rPr>
        <w:t>EOHHS Technical </w:t>
      </w:r>
      <w:r>
        <w:rPr>
          <w:i/>
          <w:sz w:val="24"/>
        </w:rPr>
        <w:t>Specifications Manual </w:t>
      </w:r>
      <w:r>
        <w:rPr>
          <w:sz w:val="24"/>
        </w:rPr>
        <w:t>version, listed in </w:t>
      </w:r>
      <w:r>
        <w:rPr>
          <w:b/>
          <w:sz w:val="24"/>
        </w:rPr>
        <w:t>Section 7.6.A</w:t>
      </w:r>
      <w:r>
        <w:rPr>
          <w:sz w:val="24"/>
        </w:rPr>
        <w:t>, provides detailed information on data validation methods that apply to all quality measures.</w:t>
      </w:r>
    </w:p>
    <w:p>
      <w:pPr>
        <w:pStyle w:val="ListParagraph"/>
        <w:numPr>
          <w:ilvl w:val="2"/>
          <w:numId w:val="13"/>
        </w:numPr>
        <w:tabs>
          <w:tab w:pos="472" w:val="left" w:leader="none"/>
        </w:tabs>
        <w:spacing w:line="242" w:lineRule="auto" w:before="181" w:after="0"/>
        <w:ind w:left="472" w:right="291" w:hanging="360"/>
        <w:jc w:val="left"/>
        <w:rPr>
          <w:sz w:val="24"/>
        </w:rPr>
      </w:pPr>
      <w:r>
        <w:rPr>
          <w:b/>
          <w:spacing w:val="-3"/>
          <w:sz w:val="24"/>
        </w:rPr>
        <w:t>Individual Measures Performance Assessment. </w:t>
      </w:r>
      <w:r>
        <w:rPr>
          <w:spacing w:val="-3"/>
          <w:sz w:val="24"/>
        </w:rPr>
        <w:t>Each individual measure’s performance will </w:t>
      </w:r>
      <w:r>
        <w:rPr>
          <w:sz w:val="24"/>
        </w:rPr>
        <w:t>be </w:t>
      </w:r>
      <w:r>
        <w:rPr>
          <w:spacing w:val="-3"/>
          <w:sz w:val="24"/>
        </w:rPr>
        <w:t>assessed </w:t>
      </w:r>
      <w:r>
        <w:rPr>
          <w:sz w:val="24"/>
        </w:rPr>
        <w:t>on </w:t>
      </w:r>
      <w:r>
        <w:rPr>
          <w:spacing w:val="-3"/>
          <w:sz w:val="24"/>
        </w:rPr>
        <w:t>levels </w:t>
      </w:r>
      <w:r>
        <w:rPr>
          <w:sz w:val="24"/>
        </w:rPr>
        <w:t>for </w:t>
      </w:r>
      <w:r>
        <w:rPr>
          <w:spacing w:val="-3"/>
          <w:sz w:val="24"/>
        </w:rPr>
        <w:t>attainment, </w:t>
      </w:r>
      <w:r>
        <w:rPr>
          <w:spacing w:val="-4"/>
          <w:sz w:val="24"/>
        </w:rPr>
        <w:t>improvement </w:t>
      </w:r>
      <w:r>
        <w:rPr>
          <w:sz w:val="24"/>
        </w:rPr>
        <w:t>and </w:t>
      </w:r>
      <w:r>
        <w:rPr>
          <w:spacing w:val="-3"/>
          <w:sz w:val="24"/>
        </w:rPr>
        <w:t>benchmark defined </w:t>
      </w:r>
      <w:r>
        <w:rPr>
          <w:sz w:val="24"/>
        </w:rPr>
        <w:t>as</w:t>
      </w:r>
      <w:r>
        <w:rPr>
          <w:spacing w:val="-36"/>
          <w:sz w:val="24"/>
        </w:rPr>
        <w:t> </w:t>
      </w:r>
      <w:r>
        <w:rPr>
          <w:spacing w:val="-3"/>
          <w:sz w:val="24"/>
        </w:rPr>
        <w:t>follows:</w:t>
      </w:r>
    </w:p>
    <w:p>
      <w:pPr>
        <w:pStyle w:val="Heading3"/>
        <w:numPr>
          <w:ilvl w:val="3"/>
          <w:numId w:val="13"/>
        </w:numPr>
        <w:tabs>
          <w:tab w:pos="833" w:val="left" w:leader="none"/>
        </w:tabs>
        <w:spacing w:line="240" w:lineRule="auto" w:before="183" w:after="0"/>
        <w:ind w:left="832" w:right="0" w:hanging="360"/>
        <w:jc w:val="left"/>
      </w:pPr>
      <w:r>
        <w:rPr>
          <w:spacing w:val="-3"/>
        </w:rPr>
        <w:t>Setting Performance</w:t>
      </w:r>
      <w:r>
        <w:rPr>
          <w:spacing w:val="-1"/>
        </w:rPr>
        <w:t> </w:t>
      </w:r>
      <w:r>
        <w:rPr>
          <w:spacing w:val="-3"/>
        </w:rPr>
        <w:t>Thresholds</w:t>
      </w:r>
    </w:p>
    <w:p>
      <w:pPr>
        <w:pStyle w:val="ListParagraph"/>
        <w:numPr>
          <w:ilvl w:val="4"/>
          <w:numId w:val="13"/>
        </w:numPr>
        <w:tabs>
          <w:tab w:pos="1102" w:val="left" w:leader="none"/>
        </w:tabs>
        <w:spacing w:line="232" w:lineRule="auto" w:before="188" w:after="0"/>
        <w:ind w:left="1102" w:right="270" w:hanging="360"/>
        <w:jc w:val="left"/>
        <w:rPr>
          <w:sz w:val="24"/>
        </w:rPr>
      </w:pPr>
      <w:r>
        <w:rPr>
          <w:i/>
          <w:spacing w:val="-3"/>
          <w:sz w:val="24"/>
        </w:rPr>
        <w:t>Attainment Threshold: </w:t>
      </w:r>
      <w:r>
        <w:rPr>
          <w:spacing w:val="-3"/>
          <w:sz w:val="24"/>
        </w:rPr>
        <w:t>represents </w:t>
      </w:r>
      <w:r>
        <w:rPr>
          <w:sz w:val="24"/>
        </w:rPr>
        <w:t>the </w:t>
      </w:r>
      <w:r>
        <w:rPr>
          <w:spacing w:val="-3"/>
          <w:sz w:val="24"/>
        </w:rPr>
        <w:t>minimum level </w:t>
      </w:r>
      <w:r>
        <w:rPr>
          <w:sz w:val="24"/>
        </w:rPr>
        <w:t>of </w:t>
      </w:r>
      <w:r>
        <w:rPr>
          <w:spacing w:val="-3"/>
          <w:sz w:val="24"/>
        </w:rPr>
        <w:t>performance that must be achieved </w:t>
      </w:r>
      <w:r>
        <w:rPr>
          <w:sz w:val="24"/>
        </w:rPr>
        <w:t>on </w:t>
      </w:r>
      <w:r>
        <w:rPr>
          <w:spacing w:val="-3"/>
          <w:sz w:val="24"/>
        </w:rPr>
        <w:t>each individual measure </w:t>
      </w:r>
      <w:r>
        <w:rPr>
          <w:sz w:val="24"/>
        </w:rPr>
        <w:t>to </w:t>
      </w:r>
      <w:r>
        <w:rPr>
          <w:spacing w:val="-3"/>
          <w:sz w:val="24"/>
        </w:rPr>
        <w:t>earn attainment points. </w:t>
      </w:r>
      <w:r>
        <w:rPr>
          <w:sz w:val="24"/>
        </w:rPr>
        <w:t>The </w:t>
      </w:r>
      <w:r>
        <w:rPr>
          <w:spacing w:val="-3"/>
          <w:sz w:val="24"/>
        </w:rPr>
        <w:t>attainment threshold </w:t>
      </w:r>
      <w:r>
        <w:rPr>
          <w:sz w:val="24"/>
        </w:rPr>
        <w:t>is </w:t>
      </w:r>
      <w:r>
        <w:rPr>
          <w:spacing w:val="-3"/>
          <w:sz w:val="24"/>
        </w:rPr>
        <w:t>defined </w:t>
      </w:r>
      <w:r>
        <w:rPr>
          <w:sz w:val="24"/>
        </w:rPr>
        <w:t>as the </w:t>
      </w:r>
      <w:r>
        <w:rPr>
          <w:spacing w:val="-3"/>
          <w:sz w:val="24"/>
        </w:rPr>
        <w:t>median performance (50</w:t>
      </w:r>
      <w:r>
        <w:rPr>
          <w:spacing w:val="-3"/>
          <w:position w:val="11"/>
          <w:sz w:val="16"/>
        </w:rPr>
        <w:t>th </w:t>
      </w:r>
      <w:r>
        <w:rPr>
          <w:spacing w:val="-3"/>
          <w:sz w:val="24"/>
        </w:rPr>
        <w:t>percentile) </w:t>
      </w:r>
      <w:r>
        <w:rPr>
          <w:sz w:val="24"/>
        </w:rPr>
        <w:t>of all </w:t>
      </w:r>
      <w:r>
        <w:rPr>
          <w:spacing w:val="-3"/>
          <w:sz w:val="24"/>
        </w:rPr>
        <w:t>hospitals </w:t>
      </w:r>
      <w:r>
        <w:rPr>
          <w:sz w:val="24"/>
        </w:rPr>
        <w:t>in the </w:t>
      </w:r>
      <w:r>
        <w:rPr>
          <w:spacing w:val="-3"/>
          <w:sz w:val="24"/>
        </w:rPr>
        <w:t>previous reporting</w:t>
      </w:r>
      <w:r>
        <w:rPr>
          <w:spacing w:val="-2"/>
          <w:sz w:val="24"/>
        </w:rPr>
        <w:t> </w:t>
      </w:r>
      <w:r>
        <w:rPr>
          <w:spacing w:val="-3"/>
          <w:sz w:val="24"/>
        </w:rPr>
        <w:t>year.</w:t>
      </w:r>
    </w:p>
    <w:p>
      <w:pPr>
        <w:pStyle w:val="ListParagraph"/>
        <w:numPr>
          <w:ilvl w:val="4"/>
          <w:numId w:val="13"/>
        </w:numPr>
        <w:tabs>
          <w:tab w:pos="1102" w:val="left" w:leader="none"/>
        </w:tabs>
        <w:spacing w:line="242" w:lineRule="auto" w:before="123" w:after="0"/>
        <w:ind w:left="1102" w:right="351" w:hanging="360"/>
        <w:jc w:val="left"/>
        <w:rPr>
          <w:sz w:val="24"/>
        </w:rPr>
      </w:pPr>
      <w:r>
        <w:rPr>
          <w:i/>
          <w:spacing w:val="-3"/>
          <w:sz w:val="24"/>
        </w:rPr>
        <w:t>Improvement Range: </w:t>
      </w:r>
      <w:r>
        <w:rPr>
          <w:spacing w:val="-3"/>
          <w:sz w:val="24"/>
        </w:rPr>
        <w:t>represents </w:t>
      </w:r>
      <w:r>
        <w:rPr>
          <w:sz w:val="24"/>
        </w:rPr>
        <w:t>the </w:t>
      </w:r>
      <w:r>
        <w:rPr>
          <w:spacing w:val="-3"/>
          <w:sz w:val="24"/>
        </w:rPr>
        <w:t>minimum level </w:t>
      </w:r>
      <w:r>
        <w:rPr>
          <w:sz w:val="24"/>
        </w:rPr>
        <w:t>of </w:t>
      </w:r>
      <w:r>
        <w:rPr>
          <w:spacing w:val="-3"/>
          <w:sz w:val="24"/>
        </w:rPr>
        <w:t>performance achieved above the previous year, </w:t>
      </w:r>
      <w:r>
        <w:rPr>
          <w:sz w:val="24"/>
        </w:rPr>
        <w:t>but </w:t>
      </w:r>
      <w:r>
        <w:rPr>
          <w:spacing w:val="-3"/>
          <w:sz w:val="24"/>
        </w:rPr>
        <w:t>below </w:t>
      </w:r>
      <w:r>
        <w:rPr>
          <w:sz w:val="24"/>
        </w:rPr>
        <w:t>the </w:t>
      </w:r>
      <w:r>
        <w:rPr>
          <w:spacing w:val="-3"/>
          <w:sz w:val="24"/>
        </w:rPr>
        <w:t>benchmark, that must </w:t>
      </w:r>
      <w:r>
        <w:rPr>
          <w:sz w:val="24"/>
        </w:rPr>
        <w:t>be </w:t>
      </w:r>
      <w:r>
        <w:rPr>
          <w:spacing w:val="-3"/>
          <w:sz w:val="24"/>
        </w:rPr>
        <w:t>achieved </w:t>
      </w:r>
      <w:r>
        <w:rPr>
          <w:sz w:val="24"/>
        </w:rPr>
        <w:t>on </w:t>
      </w:r>
      <w:r>
        <w:rPr>
          <w:spacing w:val="-3"/>
          <w:sz w:val="24"/>
        </w:rPr>
        <w:t>each individual measure </w:t>
      </w:r>
      <w:r>
        <w:rPr>
          <w:sz w:val="24"/>
        </w:rPr>
        <w:t>to </w:t>
      </w:r>
      <w:r>
        <w:rPr>
          <w:spacing w:val="-3"/>
          <w:sz w:val="24"/>
        </w:rPr>
        <w:t>earn </w:t>
      </w:r>
      <w:r>
        <w:rPr>
          <w:spacing w:val="-4"/>
          <w:sz w:val="24"/>
        </w:rPr>
        <w:t>improvement </w:t>
      </w:r>
      <w:r>
        <w:rPr>
          <w:spacing w:val="-3"/>
          <w:sz w:val="24"/>
        </w:rPr>
        <w:t>points;</w:t>
      </w:r>
      <w:r>
        <w:rPr>
          <w:spacing w:val="-1"/>
          <w:sz w:val="24"/>
        </w:rPr>
        <w:t> </w:t>
      </w:r>
      <w:r>
        <w:rPr>
          <w:spacing w:val="-3"/>
          <w:sz w:val="24"/>
        </w:rPr>
        <w:t>and</w:t>
      </w:r>
    </w:p>
    <w:p>
      <w:pPr>
        <w:pStyle w:val="ListParagraph"/>
        <w:numPr>
          <w:ilvl w:val="4"/>
          <w:numId w:val="13"/>
        </w:numPr>
        <w:tabs>
          <w:tab w:pos="1102" w:val="left" w:leader="none"/>
        </w:tabs>
        <w:spacing w:line="232" w:lineRule="auto" w:before="129" w:after="0"/>
        <w:ind w:left="1102" w:right="649" w:hanging="360"/>
        <w:jc w:val="left"/>
        <w:rPr>
          <w:sz w:val="24"/>
        </w:rPr>
      </w:pPr>
      <w:r>
        <w:rPr>
          <w:i/>
          <w:spacing w:val="-3"/>
          <w:sz w:val="24"/>
        </w:rPr>
        <w:t>Benchmark</w:t>
      </w:r>
      <w:r>
        <w:rPr>
          <w:spacing w:val="-3"/>
          <w:sz w:val="24"/>
        </w:rPr>
        <w:t>: represents </w:t>
      </w:r>
      <w:r>
        <w:rPr>
          <w:sz w:val="24"/>
        </w:rPr>
        <w:t>the </w:t>
      </w:r>
      <w:r>
        <w:rPr>
          <w:spacing w:val="-3"/>
          <w:sz w:val="24"/>
        </w:rPr>
        <w:t>highest level (exemplary) performance achieved </w:t>
      </w:r>
      <w:r>
        <w:rPr>
          <w:sz w:val="24"/>
        </w:rPr>
        <w:t>on </w:t>
      </w:r>
      <w:r>
        <w:rPr>
          <w:spacing w:val="-3"/>
          <w:sz w:val="24"/>
        </w:rPr>
        <w:t>each individual measure </w:t>
      </w:r>
      <w:r>
        <w:rPr>
          <w:sz w:val="24"/>
        </w:rPr>
        <w:t>to </w:t>
      </w:r>
      <w:r>
        <w:rPr>
          <w:spacing w:val="-3"/>
          <w:sz w:val="24"/>
        </w:rPr>
        <w:t>earn </w:t>
      </w:r>
      <w:r>
        <w:rPr>
          <w:sz w:val="24"/>
        </w:rPr>
        <w:t>the </w:t>
      </w:r>
      <w:r>
        <w:rPr>
          <w:spacing w:val="-4"/>
          <w:sz w:val="24"/>
        </w:rPr>
        <w:t>maximum </w:t>
      </w:r>
      <w:r>
        <w:rPr>
          <w:spacing w:val="-3"/>
          <w:sz w:val="24"/>
        </w:rPr>
        <w:t>amount </w:t>
      </w:r>
      <w:r>
        <w:rPr>
          <w:sz w:val="24"/>
        </w:rPr>
        <w:t>of </w:t>
      </w:r>
      <w:r>
        <w:rPr>
          <w:spacing w:val="-3"/>
          <w:sz w:val="24"/>
        </w:rPr>
        <w:t>quality points. </w:t>
      </w:r>
      <w:r>
        <w:rPr>
          <w:sz w:val="24"/>
        </w:rPr>
        <w:t>The </w:t>
      </w:r>
      <w:r>
        <w:rPr>
          <w:spacing w:val="-4"/>
          <w:sz w:val="24"/>
        </w:rPr>
        <w:t>benchmark </w:t>
      </w:r>
      <w:r>
        <w:rPr>
          <w:spacing w:val="-3"/>
          <w:sz w:val="24"/>
        </w:rPr>
        <w:t>performance level </w:t>
      </w:r>
      <w:r>
        <w:rPr>
          <w:sz w:val="24"/>
        </w:rPr>
        <w:t>is set at the </w:t>
      </w:r>
      <w:r>
        <w:rPr>
          <w:spacing w:val="-3"/>
          <w:sz w:val="24"/>
        </w:rPr>
        <w:t>mean </w:t>
      </w:r>
      <w:r>
        <w:rPr>
          <w:sz w:val="24"/>
        </w:rPr>
        <w:t>of top </w:t>
      </w:r>
      <w:r>
        <w:rPr>
          <w:spacing w:val="-3"/>
          <w:sz w:val="24"/>
        </w:rPr>
        <w:t>decile (90</w:t>
      </w:r>
      <w:r>
        <w:rPr>
          <w:spacing w:val="-3"/>
          <w:position w:val="11"/>
          <w:sz w:val="16"/>
        </w:rPr>
        <w:t>th </w:t>
      </w:r>
      <w:r>
        <w:rPr>
          <w:spacing w:val="-3"/>
          <w:sz w:val="24"/>
        </w:rPr>
        <w:t>percentile) </w:t>
      </w:r>
      <w:r>
        <w:rPr>
          <w:sz w:val="24"/>
        </w:rPr>
        <w:t>of all </w:t>
      </w:r>
      <w:r>
        <w:rPr>
          <w:spacing w:val="-3"/>
          <w:sz w:val="24"/>
        </w:rPr>
        <w:t>hospitals the previous reporting</w:t>
      </w:r>
      <w:r>
        <w:rPr>
          <w:spacing w:val="-1"/>
          <w:sz w:val="24"/>
        </w:rPr>
        <w:t> </w:t>
      </w:r>
      <w:r>
        <w:rPr>
          <w:spacing w:val="-3"/>
          <w:sz w:val="24"/>
        </w:rPr>
        <w:t>year.</w:t>
      </w:r>
    </w:p>
    <w:p>
      <w:pPr>
        <w:pStyle w:val="BodyText"/>
        <w:spacing w:line="242" w:lineRule="auto" w:before="123"/>
        <w:ind w:left="831" w:right="126"/>
      </w:pPr>
      <w:r>
        <w:rPr>
          <w:spacing w:val="-3"/>
        </w:rPr>
        <w:t>Performance thresholds </w:t>
      </w:r>
      <w:r>
        <w:rPr/>
        <w:t>are </w:t>
      </w:r>
      <w:r>
        <w:rPr>
          <w:spacing w:val="-3"/>
        </w:rPr>
        <w:t>derived from hospital reported data </w:t>
      </w:r>
      <w:r>
        <w:rPr/>
        <w:t>to calculate minimum attainment thresholds and benchmarks on each individual measure. Performance thresholds for the MassHealth-specific measures (maternity, pediatric asthma, care coordination) are calculated using the previous year All Medicaid payer reported data. Performance thresholds on the nationally reported measures (pneumonia, surgical infection prevention, emergency department) are calculated using previous year state-level data obtained from the CMS Hospital Compare</w:t>
      </w:r>
      <w:r>
        <w:rPr>
          <w:spacing w:val="-5"/>
        </w:rPr>
        <w:t> </w:t>
      </w:r>
      <w:r>
        <w:rPr/>
        <w:t>website.</w:t>
      </w:r>
    </w:p>
    <w:p>
      <w:pPr>
        <w:pStyle w:val="ListParagraph"/>
        <w:numPr>
          <w:ilvl w:val="3"/>
          <w:numId w:val="13"/>
        </w:numPr>
        <w:tabs>
          <w:tab w:pos="833" w:val="left" w:leader="none"/>
        </w:tabs>
        <w:spacing w:line="242" w:lineRule="auto" w:before="124" w:after="0"/>
        <w:ind w:left="832" w:right="155" w:hanging="360"/>
        <w:jc w:val="left"/>
        <w:rPr>
          <w:sz w:val="24"/>
        </w:rPr>
      </w:pPr>
      <w:r>
        <w:rPr>
          <w:b/>
          <w:spacing w:val="-3"/>
          <w:sz w:val="24"/>
        </w:rPr>
        <w:t>Quality Points System. </w:t>
      </w:r>
      <w:r>
        <w:rPr>
          <w:sz w:val="24"/>
        </w:rPr>
        <w:t>A </w:t>
      </w:r>
      <w:r>
        <w:rPr>
          <w:spacing w:val="-3"/>
          <w:sz w:val="24"/>
        </w:rPr>
        <w:t>Hospital’s performance </w:t>
      </w:r>
      <w:r>
        <w:rPr>
          <w:sz w:val="24"/>
        </w:rPr>
        <w:t>on </w:t>
      </w:r>
      <w:r>
        <w:rPr>
          <w:spacing w:val="-3"/>
          <w:sz w:val="24"/>
        </w:rPr>
        <w:t>each individual measure </w:t>
      </w:r>
      <w:r>
        <w:rPr>
          <w:sz w:val="24"/>
        </w:rPr>
        <w:t>reported </w:t>
      </w:r>
      <w:r>
        <w:rPr>
          <w:spacing w:val="-3"/>
          <w:sz w:val="24"/>
        </w:rPr>
        <w:t>will </w:t>
      </w:r>
      <w:r>
        <w:rPr>
          <w:sz w:val="24"/>
        </w:rPr>
        <w:t>be </w:t>
      </w:r>
      <w:r>
        <w:rPr>
          <w:spacing w:val="-3"/>
          <w:sz w:val="24"/>
        </w:rPr>
        <w:t>calculated using </w:t>
      </w:r>
      <w:r>
        <w:rPr>
          <w:sz w:val="24"/>
        </w:rPr>
        <w:t>a </w:t>
      </w:r>
      <w:r>
        <w:rPr>
          <w:spacing w:val="-3"/>
          <w:sz w:val="24"/>
        </w:rPr>
        <w:t>quality point system. Hospitals </w:t>
      </w:r>
      <w:r>
        <w:rPr>
          <w:sz w:val="24"/>
        </w:rPr>
        <w:t>can </w:t>
      </w:r>
      <w:r>
        <w:rPr>
          <w:spacing w:val="-3"/>
          <w:sz w:val="24"/>
        </w:rPr>
        <w:t>earn </w:t>
      </w:r>
      <w:r>
        <w:rPr>
          <w:sz w:val="24"/>
        </w:rPr>
        <w:t>a </w:t>
      </w:r>
      <w:r>
        <w:rPr>
          <w:spacing w:val="-3"/>
          <w:sz w:val="24"/>
        </w:rPr>
        <w:t>range </w:t>
      </w:r>
      <w:r>
        <w:rPr>
          <w:sz w:val="24"/>
        </w:rPr>
        <w:t>of </w:t>
      </w:r>
      <w:r>
        <w:rPr>
          <w:spacing w:val="-3"/>
          <w:sz w:val="24"/>
        </w:rPr>
        <w:t>quality points </w:t>
      </w:r>
      <w:r>
        <w:rPr>
          <w:spacing w:val="-4"/>
          <w:sz w:val="24"/>
        </w:rPr>
        <w:t>(from </w:t>
      </w:r>
      <w:r>
        <w:rPr>
          <w:spacing w:val="-3"/>
          <w:sz w:val="24"/>
        </w:rPr>
        <w:t>0-10 points) based </w:t>
      </w:r>
      <w:r>
        <w:rPr>
          <w:sz w:val="24"/>
        </w:rPr>
        <w:t>on </w:t>
      </w:r>
      <w:r>
        <w:rPr>
          <w:spacing w:val="-3"/>
          <w:sz w:val="24"/>
        </w:rPr>
        <w:t>where </w:t>
      </w:r>
      <w:r>
        <w:rPr>
          <w:sz w:val="24"/>
        </w:rPr>
        <w:t>the </w:t>
      </w:r>
      <w:r>
        <w:rPr>
          <w:spacing w:val="-3"/>
          <w:sz w:val="24"/>
        </w:rPr>
        <w:t>Hospital’s measure rate falls, relative </w:t>
      </w:r>
      <w:r>
        <w:rPr>
          <w:sz w:val="24"/>
        </w:rPr>
        <w:t>to the </w:t>
      </w:r>
      <w:r>
        <w:rPr>
          <w:spacing w:val="-4"/>
          <w:sz w:val="24"/>
        </w:rPr>
        <w:t>attainment, improvement </w:t>
      </w:r>
      <w:r>
        <w:rPr>
          <w:sz w:val="24"/>
        </w:rPr>
        <w:t>and the </w:t>
      </w:r>
      <w:r>
        <w:rPr>
          <w:spacing w:val="-3"/>
          <w:sz w:val="24"/>
        </w:rPr>
        <w:t>benchmark </w:t>
      </w:r>
      <w:r>
        <w:rPr>
          <w:sz w:val="24"/>
        </w:rPr>
        <w:t>as</w:t>
      </w:r>
      <w:r>
        <w:rPr>
          <w:spacing w:val="-22"/>
          <w:sz w:val="24"/>
        </w:rPr>
        <w:t> </w:t>
      </w:r>
      <w:r>
        <w:rPr>
          <w:spacing w:val="-3"/>
          <w:sz w:val="24"/>
        </w:rPr>
        <w:t>follows:</w:t>
      </w:r>
    </w:p>
    <w:p>
      <w:pPr>
        <w:pStyle w:val="ListParagraph"/>
        <w:numPr>
          <w:ilvl w:val="0"/>
          <w:numId w:val="15"/>
        </w:numPr>
        <w:tabs>
          <w:tab w:pos="1193" w:val="left" w:leader="none"/>
        </w:tabs>
        <w:spacing w:line="242" w:lineRule="auto" w:before="180" w:after="0"/>
        <w:ind w:left="1192" w:right="209" w:hanging="360"/>
        <w:jc w:val="left"/>
        <w:rPr>
          <w:sz w:val="24"/>
        </w:rPr>
      </w:pPr>
      <w:r>
        <w:rPr>
          <w:i/>
          <w:sz w:val="24"/>
        </w:rPr>
        <w:t>Attainment Points. </w:t>
      </w:r>
      <w:r>
        <w:rPr>
          <w:sz w:val="24"/>
        </w:rPr>
        <w:t>A Hospital can earn points for attainment based on relative placement between the attainment and benchmark. If a Hospital’s rate for the measure is:</w:t>
      </w:r>
    </w:p>
    <w:p>
      <w:pPr>
        <w:pStyle w:val="ListParagraph"/>
        <w:numPr>
          <w:ilvl w:val="1"/>
          <w:numId w:val="15"/>
        </w:numPr>
        <w:tabs>
          <w:tab w:pos="1551" w:val="left" w:leader="none"/>
          <w:tab w:pos="1552" w:val="left" w:leader="none"/>
        </w:tabs>
        <w:spacing w:line="242" w:lineRule="auto" w:before="120" w:after="0"/>
        <w:ind w:left="1552" w:right="493" w:hanging="353"/>
        <w:jc w:val="left"/>
        <w:rPr>
          <w:sz w:val="24"/>
        </w:rPr>
      </w:pPr>
      <w:r>
        <w:rPr>
          <w:i/>
          <w:sz w:val="24"/>
        </w:rPr>
        <w:t>Equal to or less than </w:t>
      </w:r>
      <w:r>
        <w:rPr>
          <w:sz w:val="24"/>
        </w:rPr>
        <w:t>the attainment threshold, it will receive zero (0) points for attainment.</w:t>
      </w:r>
    </w:p>
    <w:p>
      <w:pPr>
        <w:pStyle w:val="ListParagraph"/>
        <w:numPr>
          <w:ilvl w:val="1"/>
          <w:numId w:val="15"/>
        </w:numPr>
        <w:tabs>
          <w:tab w:pos="1552" w:val="left" w:leader="none"/>
        </w:tabs>
        <w:spacing w:line="242" w:lineRule="auto" w:before="0" w:after="0"/>
        <w:ind w:left="1552" w:right="691" w:hanging="353"/>
        <w:jc w:val="left"/>
        <w:rPr>
          <w:sz w:val="24"/>
        </w:rPr>
      </w:pPr>
      <w:r>
        <w:rPr>
          <w:sz w:val="24"/>
        </w:rPr>
        <w:t>Within the attainment range (</w:t>
      </w:r>
      <w:r>
        <w:rPr>
          <w:i/>
          <w:sz w:val="24"/>
        </w:rPr>
        <w:t>greater than the attainment threshold but below </w:t>
      </w:r>
      <w:r>
        <w:rPr>
          <w:i/>
          <w:sz w:val="24"/>
        </w:rPr>
        <w:t>benchmark) </w:t>
      </w:r>
      <w:r>
        <w:rPr>
          <w:sz w:val="24"/>
        </w:rPr>
        <w:t>it will receive anywhere from 1 to 9 points for</w:t>
      </w:r>
      <w:r>
        <w:rPr>
          <w:spacing w:val="-7"/>
          <w:sz w:val="24"/>
        </w:rPr>
        <w:t> </w:t>
      </w:r>
      <w:r>
        <w:rPr>
          <w:sz w:val="24"/>
        </w:rPr>
        <w:t>attainment.</w:t>
      </w:r>
    </w:p>
    <w:p>
      <w:pPr>
        <w:pStyle w:val="ListParagraph"/>
        <w:numPr>
          <w:ilvl w:val="1"/>
          <w:numId w:val="15"/>
        </w:numPr>
        <w:tabs>
          <w:tab w:pos="1552" w:val="left" w:leader="none"/>
        </w:tabs>
        <w:spacing w:line="240" w:lineRule="auto" w:before="0" w:after="0"/>
        <w:ind w:left="1552" w:right="0" w:hanging="353"/>
        <w:jc w:val="left"/>
        <w:rPr>
          <w:sz w:val="24"/>
        </w:rPr>
      </w:pPr>
      <w:r>
        <w:rPr>
          <w:i/>
          <w:sz w:val="24"/>
        </w:rPr>
        <w:t>Equal to or greater than </w:t>
      </w:r>
      <w:r>
        <w:rPr>
          <w:sz w:val="24"/>
        </w:rPr>
        <w:t>the benchmark, it receives 10 points for</w:t>
      </w:r>
      <w:r>
        <w:rPr>
          <w:spacing w:val="-5"/>
          <w:sz w:val="24"/>
        </w:rPr>
        <w:t> </w:t>
      </w:r>
      <w:r>
        <w:rPr>
          <w:sz w:val="24"/>
        </w:rPr>
        <w:t>attainment.</w:t>
      </w:r>
    </w:p>
    <w:p>
      <w:pPr>
        <w:pStyle w:val="BodyText"/>
        <w:rPr>
          <w:sz w:val="35"/>
        </w:rPr>
      </w:pPr>
    </w:p>
    <w:p>
      <w:pPr>
        <w:pStyle w:val="ListParagraph"/>
        <w:numPr>
          <w:ilvl w:val="0"/>
          <w:numId w:val="15"/>
        </w:numPr>
        <w:tabs>
          <w:tab w:pos="1193" w:val="left" w:leader="none"/>
        </w:tabs>
        <w:spacing w:line="242" w:lineRule="auto" w:before="0" w:after="0"/>
        <w:ind w:left="1192" w:right="200" w:hanging="360"/>
        <w:jc w:val="both"/>
        <w:rPr>
          <w:sz w:val="24"/>
        </w:rPr>
      </w:pPr>
      <w:r>
        <w:rPr>
          <w:i/>
          <w:sz w:val="24"/>
        </w:rPr>
        <w:t>Improvement Points</w:t>
      </w:r>
      <w:r>
        <w:rPr>
          <w:sz w:val="24"/>
        </w:rPr>
        <w:t>. A Hospital can earn points for improvement based on how much the Hospital’s measure rate has improved from the previous reporting year period. If a Hospital’s rate for the measure</w:t>
      </w:r>
      <w:r>
        <w:rPr>
          <w:spacing w:val="-4"/>
          <w:sz w:val="24"/>
        </w:rPr>
        <w:t> </w:t>
      </w:r>
      <w:r>
        <w:rPr>
          <w:sz w:val="24"/>
        </w:rPr>
        <w:t>is:</w:t>
      </w:r>
    </w:p>
    <w:p>
      <w:pPr>
        <w:spacing w:after="0" w:line="242" w:lineRule="auto"/>
        <w:jc w:val="both"/>
        <w:rPr>
          <w:sz w:val="24"/>
        </w:rPr>
        <w:sectPr>
          <w:pgSz w:w="12240" w:h="15840"/>
          <w:pgMar w:header="0" w:footer="744" w:top="1380" w:bottom="940" w:left="1580" w:right="980"/>
        </w:sectPr>
      </w:pPr>
    </w:p>
    <w:p>
      <w:pPr>
        <w:pStyle w:val="ListParagraph"/>
        <w:numPr>
          <w:ilvl w:val="1"/>
          <w:numId w:val="15"/>
        </w:numPr>
        <w:tabs>
          <w:tab w:pos="1551" w:val="left" w:leader="none"/>
          <w:tab w:pos="1552" w:val="left" w:leader="none"/>
        </w:tabs>
        <w:spacing w:line="240" w:lineRule="auto" w:before="61" w:after="0"/>
        <w:ind w:left="1552" w:right="0" w:hanging="353"/>
        <w:jc w:val="left"/>
        <w:rPr>
          <w:sz w:val="24"/>
        </w:rPr>
      </w:pPr>
      <w:r>
        <w:rPr>
          <w:i/>
          <w:sz w:val="24"/>
        </w:rPr>
        <w:t>Equal to or less than </w:t>
      </w:r>
      <w:r>
        <w:rPr>
          <w:sz w:val="24"/>
        </w:rPr>
        <w:t>previous year, it will receive zero (0) points for</w:t>
      </w:r>
      <w:r>
        <w:rPr>
          <w:spacing w:val="-5"/>
          <w:sz w:val="24"/>
        </w:rPr>
        <w:t> </w:t>
      </w:r>
      <w:r>
        <w:rPr>
          <w:sz w:val="24"/>
        </w:rPr>
        <w:t>improvement.</w:t>
      </w:r>
    </w:p>
    <w:p>
      <w:pPr>
        <w:pStyle w:val="ListParagraph"/>
        <w:numPr>
          <w:ilvl w:val="1"/>
          <w:numId w:val="15"/>
        </w:numPr>
        <w:tabs>
          <w:tab w:pos="1552" w:val="left" w:leader="none"/>
        </w:tabs>
        <w:spacing w:line="242" w:lineRule="auto" w:before="3" w:after="0"/>
        <w:ind w:left="1552" w:right="638" w:hanging="353"/>
        <w:jc w:val="left"/>
        <w:rPr>
          <w:sz w:val="24"/>
        </w:rPr>
      </w:pPr>
      <w:r>
        <w:rPr>
          <w:i/>
          <w:sz w:val="24"/>
        </w:rPr>
        <w:t>Within the improvement range</w:t>
      </w:r>
      <w:r>
        <w:rPr>
          <w:sz w:val="24"/>
        </w:rPr>
        <w:t>, it will receive anywhere from 0 to 9 points for improvement.</w:t>
      </w:r>
    </w:p>
    <w:p>
      <w:pPr>
        <w:pStyle w:val="BodyText"/>
        <w:spacing w:before="8"/>
      </w:pPr>
    </w:p>
    <w:p>
      <w:pPr>
        <w:pStyle w:val="BodyText"/>
        <w:spacing w:line="242" w:lineRule="auto"/>
        <w:ind w:left="832" w:right="143"/>
      </w:pPr>
      <w:r>
        <w:rPr/>
        <w:t>If the Hospital has failed validation, per </w:t>
      </w:r>
      <w:r>
        <w:rPr>
          <w:b/>
        </w:rPr>
        <w:t>Section 7.4.B</w:t>
      </w:r>
      <w:r>
        <w:rPr/>
        <w:t>, in the previous reporting year, data from that period is considered invalid for use in calculating baseline performance.</w:t>
      </w:r>
    </w:p>
    <w:p>
      <w:pPr>
        <w:pStyle w:val="BodyText"/>
        <w:spacing w:line="242" w:lineRule="auto" w:before="1"/>
        <w:ind w:left="832" w:right="774"/>
        <w:jc w:val="both"/>
      </w:pPr>
      <w:r>
        <w:rPr/>
        <w:t>Therefore, the Hospital would not be eligible for improvement points. However, the hospital may be eligible for attainment points on each individual measure, based on calculation of RY14 data, if it passed validation in RY14.</w:t>
      </w:r>
    </w:p>
    <w:p>
      <w:pPr>
        <w:pStyle w:val="BodyText"/>
        <w:spacing w:before="8"/>
      </w:pPr>
    </w:p>
    <w:p>
      <w:pPr>
        <w:pStyle w:val="ListParagraph"/>
        <w:numPr>
          <w:ilvl w:val="2"/>
          <w:numId w:val="13"/>
        </w:numPr>
        <w:tabs>
          <w:tab w:pos="466" w:val="left" w:leader="none"/>
        </w:tabs>
        <w:spacing w:line="242" w:lineRule="auto" w:before="0" w:after="0"/>
        <w:ind w:left="472" w:right="421" w:hanging="360"/>
        <w:jc w:val="left"/>
        <w:rPr>
          <w:sz w:val="24"/>
        </w:rPr>
      </w:pPr>
      <w:r>
        <w:rPr>
          <w:b/>
          <w:sz w:val="24"/>
        </w:rPr>
        <w:t>Health Disparities Composite Measure Performance Assessment. </w:t>
      </w:r>
      <w:r>
        <w:rPr>
          <w:sz w:val="24"/>
        </w:rPr>
        <w:t>The health disparities composite measure performance will be </w:t>
      </w:r>
      <w:r>
        <w:rPr>
          <w:spacing w:val="-3"/>
          <w:sz w:val="24"/>
        </w:rPr>
        <w:t>assessed </w:t>
      </w:r>
      <w:r>
        <w:rPr>
          <w:sz w:val="24"/>
        </w:rPr>
        <w:t>using the following</w:t>
      </w:r>
      <w:r>
        <w:rPr>
          <w:spacing w:val="-43"/>
          <w:sz w:val="24"/>
        </w:rPr>
        <w:t> </w:t>
      </w:r>
      <w:r>
        <w:rPr>
          <w:sz w:val="24"/>
        </w:rPr>
        <w:t>methods:</w:t>
      </w:r>
    </w:p>
    <w:p>
      <w:pPr>
        <w:pStyle w:val="BodyText"/>
        <w:spacing w:before="7"/>
      </w:pPr>
    </w:p>
    <w:p>
      <w:pPr>
        <w:pStyle w:val="Heading3"/>
        <w:numPr>
          <w:ilvl w:val="3"/>
          <w:numId w:val="13"/>
        </w:numPr>
        <w:tabs>
          <w:tab w:pos="832" w:val="left" w:leader="none"/>
        </w:tabs>
        <w:spacing w:line="240" w:lineRule="auto" w:before="1" w:after="0"/>
        <w:ind w:left="832" w:right="0" w:hanging="360"/>
        <w:jc w:val="left"/>
      </w:pPr>
      <w:r>
        <w:rPr/>
        <w:t>Setting Performance</w:t>
      </w:r>
      <w:r>
        <w:rPr>
          <w:spacing w:val="-1"/>
        </w:rPr>
        <w:t> </w:t>
      </w:r>
      <w:r>
        <w:rPr/>
        <w:t>Thresholds</w:t>
      </w:r>
    </w:p>
    <w:p>
      <w:pPr>
        <w:pStyle w:val="BodyText"/>
        <w:spacing w:before="6"/>
        <w:rPr>
          <w:b/>
        </w:rPr>
      </w:pPr>
    </w:p>
    <w:p>
      <w:pPr>
        <w:pStyle w:val="ListParagraph"/>
        <w:numPr>
          <w:ilvl w:val="4"/>
          <w:numId w:val="13"/>
        </w:numPr>
        <w:tabs>
          <w:tab w:pos="1192" w:val="left" w:leader="none"/>
        </w:tabs>
        <w:spacing w:line="244" w:lineRule="auto" w:before="0" w:after="0"/>
        <w:ind w:left="1192" w:right="112" w:hanging="360"/>
        <w:jc w:val="left"/>
        <w:rPr>
          <w:sz w:val="24"/>
        </w:rPr>
      </w:pPr>
      <w:r>
        <w:rPr>
          <w:i/>
          <w:sz w:val="24"/>
        </w:rPr>
        <w:t>Decile Ranking Method</w:t>
      </w:r>
      <w:r>
        <w:rPr>
          <w:sz w:val="24"/>
        </w:rPr>
        <w:t>. Performance will be assessed using a method that determines the Hospital’s rank, relative to other hospitals, based on the decile ranking system. Hospitals that meet the measure calculation criteria, per </w:t>
      </w:r>
      <w:r>
        <w:rPr>
          <w:b/>
          <w:sz w:val="24"/>
        </w:rPr>
        <w:t>Section 7.4.A.2</w:t>
      </w:r>
      <w:r>
        <w:rPr>
          <w:sz w:val="24"/>
        </w:rPr>
        <w:t>, are divided into ten groups (deciles) based on their disparity index value, so that approximately the same number of hospitals fall within each</w:t>
      </w:r>
      <w:r>
        <w:rPr>
          <w:spacing w:val="-4"/>
          <w:sz w:val="24"/>
        </w:rPr>
        <w:t> </w:t>
      </w:r>
      <w:r>
        <w:rPr>
          <w:sz w:val="24"/>
        </w:rPr>
        <w:t>decile.</w:t>
      </w:r>
    </w:p>
    <w:p>
      <w:pPr>
        <w:pStyle w:val="ListParagraph"/>
        <w:numPr>
          <w:ilvl w:val="4"/>
          <w:numId w:val="13"/>
        </w:numPr>
        <w:tabs>
          <w:tab w:pos="1192" w:val="left" w:leader="none"/>
        </w:tabs>
        <w:spacing w:line="235" w:lineRule="auto" w:before="192" w:after="0"/>
        <w:ind w:left="1192" w:right="124" w:hanging="360"/>
        <w:jc w:val="left"/>
        <w:rPr>
          <w:i/>
          <w:sz w:val="24"/>
        </w:rPr>
      </w:pPr>
      <w:r>
        <w:rPr>
          <w:i/>
          <w:sz w:val="24"/>
        </w:rPr>
        <w:t>Target Attainment Threshold. </w:t>
      </w:r>
      <w:r>
        <w:rPr>
          <w:sz w:val="24"/>
        </w:rPr>
        <w:t>The target attainment threshold represents the minimum level of performance that must be achieved to earn incentive payments. The target attainment is defined as the boundary for a disparity index value that falls above the 2</w:t>
      </w:r>
      <w:r>
        <w:rPr>
          <w:position w:val="11"/>
          <w:sz w:val="16"/>
        </w:rPr>
        <w:t>nd </w:t>
      </w:r>
      <w:r>
        <w:rPr>
          <w:sz w:val="24"/>
        </w:rPr>
        <w:t>decile group, as shown in </w:t>
      </w:r>
      <w:r>
        <w:rPr>
          <w:b/>
          <w:sz w:val="24"/>
        </w:rPr>
        <w:t>Table 7-2</w:t>
      </w:r>
      <w:r>
        <w:rPr>
          <w:b/>
          <w:spacing w:val="-3"/>
          <w:sz w:val="24"/>
        </w:rPr>
        <w:t> </w:t>
      </w:r>
      <w:r>
        <w:rPr>
          <w:sz w:val="24"/>
        </w:rPr>
        <w:t>below</w:t>
      </w:r>
      <w:r>
        <w:rPr>
          <w:i/>
          <w:sz w:val="24"/>
        </w:rPr>
        <w:t>.</w:t>
      </w:r>
    </w:p>
    <w:p>
      <w:pPr>
        <w:pStyle w:val="BodyText"/>
        <w:spacing w:before="9"/>
        <w:rPr>
          <w:i/>
        </w:rPr>
      </w:pPr>
    </w:p>
    <w:p>
      <w:pPr>
        <w:pStyle w:val="Heading3"/>
        <w:numPr>
          <w:ilvl w:val="3"/>
          <w:numId w:val="13"/>
        </w:numPr>
        <w:tabs>
          <w:tab w:pos="832" w:val="left" w:leader="none"/>
        </w:tabs>
        <w:spacing w:line="240" w:lineRule="auto" w:before="0" w:after="0"/>
        <w:ind w:left="832" w:right="0" w:hanging="360"/>
        <w:jc w:val="left"/>
      </w:pPr>
      <w:r>
        <w:rPr>
          <w:spacing w:val="-3"/>
        </w:rPr>
        <w:t>Disparity Index Value Ranking </w:t>
      </w:r>
      <w:r>
        <w:rPr/>
        <w:t>and </w:t>
      </w:r>
      <w:r>
        <w:rPr>
          <w:spacing w:val="-3"/>
        </w:rPr>
        <w:t>Conversion</w:t>
      </w:r>
      <w:r>
        <w:rPr>
          <w:spacing w:val="-10"/>
        </w:rPr>
        <w:t> </w:t>
      </w:r>
      <w:r>
        <w:rPr>
          <w:spacing w:val="-3"/>
        </w:rPr>
        <w:t>Factor</w:t>
      </w:r>
    </w:p>
    <w:p>
      <w:pPr>
        <w:pStyle w:val="BodyText"/>
        <w:spacing w:before="4"/>
        <w:rPr>
          <w:b/>
        </w:rPr>
      </w:pPr>
    </w:p>
    <w:p>
      <w:pPr>
        <w:pStyle w:val="ListParagraph"/>
        <w:numPr>
          <w:ilvl w:val="4"/>
          <w:numId w:val="13"/>
        </w:numPr>
        <w:tabs>
          <w:tab w:pos="1192" w:val="left" w:leader="none"/>
        </w:tabs>
        <w:spacing w:line="244" w:lineRule="auto" w:before="0" w:after="0"/>
        <w:ind w:left="1192" w:right="546" w:hanging="360"/>
        <w:jc w:val="left"/>
        <w:rPr>
          <w:sz w:val="24"/>
        </w:rPr>
      </w:pPr>
      <w:r>
        <w:rPr>
          <w:i/>
          <w:spacing w:val="-3"/>
          <w:sz w:val="24"/>
        </w:rPr>
        <w:t>Disparity Index Value Ranking. </w:t>
      </w:r>
      <w:r>
        <w:rPr>
          <w:sz w:val="24"/>
        </w:rPr>
        <w:t>All </w:t>
      </w:r>
      <w:r>
        <w:rPr>
          <w:spacing w:val="-3"/>
          <w:sz w:val="24"/>
        </w:rPr>
        <w:t>Hospital disparity index values, computed per </w:t>
      </w:r>
      <w:r>
        <w:rPr>
          <w:b/>
          <w:spacing w:val="-3"/>
          <w:sz w:val="24"/>
        </w:rPr>
        <w:t>Section 7.4.A.2</w:t>
      </w:r>
      <w:r>
        <w:rPr>
          <w:spacing w:val="-3"/>
          <w:sz w:val="24"/>
        </w:rPr>
        <w:t>, </w:t>
      </w:r>
      <w:r>
        <w:rPr>
          <w:sz w:val="24"/>
        </w:rPr>
        <w:t>are </w:t>
      </w:r>
      <w:r>
        <w:rPr>
          <w:spacing w:val="-3"/>
          <w:sz w:val="24"/>
        </w:rPr>
        <w:t>rounded </w:t>
      </w:r>
      <w:r>
        <w:rPr>
          <w:sz w:val="24"/>
        </w:rPr>
        <w:t>to six </w:t>
      </w:r>
      <w:r>
        <w:rPr>
          <w:spacing w:val="-3"/>
          <w:sz w:val="24"/>
        </w:rPr>
        <w:t>decimal places. </w:t>
      </w:r>
      <w:r>
        <w:rPr>
          <w:sz w:val="24"/>
        </w:rPr>
        <w:t>All </w:t>
      </w:r>
      <w:r>
        <w:rPr>
          <w:spacing w:val="-3"/>
          <w:sz w:val="24"/>
        </w:rPr>
        <w:t>index values </w:t>
      </w:r>
      <w:r>
        <w:rPr>
          <w:sz w:val="24"/>
        </w:rPr>
        <w:t>are </w:t>
      </w:r>
      <w:r>
        <w:rPr>
          <w:spacing w:val="-3"/>
          <w:sz w:val="24"/>
        </w:rPr>
        <w:t>ranked from highest </w:t>
      </w:r>
      <w:r>
        <w:rPr>
          <w:sz w:val="24"/>
        </w:rPr>
        <w:t>to </w:t>
      </w:r>
      <w:r>
        <w:rPr>
          <w:spacing w:val="-3"/>
          <w:sz w:val="24"/>
        </w:rPr>
        <w:t>lowest </w:t>
      </w:r>
      <w:r>
        <w:rPr>
          <w:sz w:val="24"/>
        </w:rPr>
        <w:t>so </w:t>
      </w:r>
      <w:r>
        <w:rPr>
          <w:spacing w:val="-3"/>
          <w:sz w:val="24"/>
        </w:rPr>
        <w:t>approximately </w:t>
      </w:r>
      <w:r>
        <w:rPr>
          <w:sz w:val="24"/>
        </w:rPr>
        <w:t>the </w:t>
      </w:r>
      <w:r>
        <w:rPr>
          <w:spacing w:val="-3"/>
          <w:sz w:val="24"/>
        </w:rPr>
        <w:t>same number </w:t>
      </w:r>
      <w:r>
        <w:rPr>
          <w:sz w:val="24"/>
        </w:rPr>
        <w:t>of </w:t>
      </w:r>
      <w:r>
        <w:rPr>
          <w:spacing w:val="-3"/>
          <w:sz w:val="24"/>
        </w:rPr>
        <w:t>hospitals fall </w:t>
      </w:r>
      <w:r>
        <w:rPr>
          <w:sz w:val="24"/>
        </w:rPr>
        <w:t>in </w:t>
      </w:r>
      <w:r>
        <w:rPr>
          <w:spacing w:val="-3"/>
          <w:sz w:val="24"/>
        </w:rPr>
        <w:t>each decile group.</w:t>
      </w:r>
    </w:p>
    <w:p>
      <w:pPr>
        <w:pStyle w:val="BodyText"/>
        <w:spacing w:before="1"/>
      </w:pPr>
    </w:p>
    <w:p>
      <w:pPr>
        <w:pStyle w:val="ListParagraph"/>
        <w:numPr>
          <w:ilvl w:val="4"/>
          <w:numId w:val="13"/>
        </w:numPr>
        <w:tabs>
          <w:tab w:pos="1192" w:val="left" w:leader="none"/>
        </w:tabs>
        <w:spacing w:line="247" w:lineRule="auto" w:before="0" w:after="0"/>
        <w:ind w:left="1192" w:right="985" w:hanging="360"/>
        <w:jc w:val="left"/>
        <w:rPr>
          <w:sz w:val="24"/>
        </w:rPr>
      </w:pPr>
      <w:r>
        <w:rPr>
          <w:i/>
          <w:spacing w:val="-3"/>
          <w:sz w:val="24"/>
        </w:rPr>
        <w:t>Conversion Factor. </w:t>
      </w:r>
      <w:r>
        <w:rPr>
          <w:spacing w:val="-3"/>
          <w:sz w:val="24"/>
        </w:rPr>
        <w:t>Each decile group </w:t>
      </w:r>
      <w:r>
        <w:rPr>
          <w:sz w:val="24"/>
        </w:rPr>
        <w:t>is </w:t>
      </w:r>
      <w:r>
        <w:rPr>
          <w:spacing w:val="-3"/>
          <w:sz w:val="24"/>
        </w:rPr>
        <w:t>assigned </w:t>
      </w:r>
      <w:r>
        <w:rPr>
          <w:sz w:val="24"/>
        </w:rPr>
        <w:t>a </w:t>
      </w:r>
      <w:r>
        <w:rPr>
          <w:spacing w:val="-3"/>
          <w:sz w:val="24"/>
        </w:rPr>
        <w:t>weighted conversion factor associated with </w:t>
      </w:r>
      <w:r>
        <w:rPr>
          <w:sz w:val="24"/>
        </w:rPr>
        <w:t>the </w:t>
      </w:r>
      <w:r>
        <w:rPr>
          <w:spacing w:val="-3"/>
          <w:sz w:val="24"/>
        </w:rPr>
        <w:t>decile threshold, </w:t>
      </w:r>
      <w:r>
        <w:rPr>
          <w:sz w:val="24"/>
        </w:rPr>
        <w:t>as </w:t>
      </w:r>
      <w:r>
        <w:rPr>
          <w:spacing w:val="-3"/>
          <w:sz w:val="24"/>
        </w:rPr>
        <w:t>shown </w:t>
      </w:r>
      <w:r>
        <w:rPr>
          <w:sz w:val="24"/>
        </w:rPr>
        <w:t>in </w:t>
      </w:r>
      <w:r>
        <w:rPr>
          <w:b/>
          <w:spacing w:val="-3"/>
          <w:sz w:val="24"/>
        </w:rPr>
        <w:t>Table </w:t>
      </w:r>
      <w:r>
        <w:rPr>
          <w:b/>
          <w:sz w:val="24"/>
        </w:rPr>
        <w:t>7-2</w:t>
      </w:r>
      <w:r>
        <w:rPr>
          <w:b/>
          <w:spacing w:val="-31"/>
          <w:sz w:val="24"/>
        </w:rPr>
        <w:t> </w:t>
      </w:r>
      <w:r>
        <w:rPr>
          <w:spacing w:val="-3"/>
          <w:sz w:val="24"/>
        </w:rPr>
        <w:t>below.</w:t>
      </w:r>
    </w:p>
    <w:p>
      <w:pPr>
        <w:pStyle w:val="BodyText"/>
      </w:pPr>
    </w:p>
    <w:p>
      <w:pPr>
        <w:pStyle w:val="Heading3"/>
        <w:spacing w:before="1"/>
        <w:ind w:left="2451" w:firstLine="0"/>
      </w:pPr>
      <w:r>
        <w:rPr/>
        <w:t>Table 7-2. Decile Performance Thresholds</w:t>
      </w:r>
    </w:p>
    <w:p>
      <w:pPr>
        <w:pStyle w:val="BodyText"/>
        <w:spacing w:before="4"/>
        <w:rPr>
          <w:b/>
          <w:sz w:val="10"/>
        </w:rPr>
      </w:pPr>
    </w:p>
    <w:tbl>
      <w:tblPr>
        <w:tblW w:w="0" w:type="auto"/>
        <w:jc w:val="left"/>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2086"/>
        <w:gridCol w:w="2160"/>
      </w:tblGrid>
      <w:tr>
        <w:trPr>
          <w:trHeight w:val="220" w:hRule="atLeast"/>
        </w:trPr>
        <w:tc>
          <w:tcPr>
            <w:tcW w:w="2914" w:type="dxa"/>
          </w:tcPr>
          <w:p>
            <w:pPr>
              <w:pStyle w:val="TableParagraph"/>
              <w:spacing w:line="210" w:lineRule="exact" w:before="5"/>
              <w:ind w:left="103"/>
              <w:rPr>
                <w:rFonts w:ascii="Times New Roman"/>
                <w:b/>
                <w:sz w:val="20"/>
              </w:rPr>
            </w:pPr>
            <w:r>
              <w:rPr>
                <w:rFonts w:ascii="Times New Roman"/>
                <w:b/>
                <w:sz w:val="20"/>
              </w:rPr>
              <w:t>Performance Threshold</w:t>
            </w:r>
          </w:p>
        </w:tc>
        <w:tc>
          <w:tcPr>
            <w:tcW w:w="2086" w:type="dxa"/>
          </w:tcPr>
          <w:p>
            <w:pPr>
              <w:pStyle w:val="TableParagraph"/>
              <w:spacing w:line="210" w:lineRule="exact" w:before="5"/>
              <w:ind w:left="101"/>
              <w:rPr>
                <w:rFonts w:ascii="Times New Roman"/>
                <w:b/>
                <w:sz w:val="20"/>
              </w:rPr>
            </w:pPr>
            <w:r>
              <w:rPr>
                <w:rFonts w:ascii="Times New Roman"/>
                <w:b/>
                <w:sz w:val="20"/>
              </w:rPr>
              <w:t>Decile Group</w:t>
            </w:r>
          </w:p>
        </w:tc>
        <w:tc>
          <w:tcPr>
            <w:tcW w:w="2160" w:type="dxa"/>
          </w:tcPr>
          <w:p>
            <w:pPr>
              <w:pStyle w:val="TableParagraph"/>
              <w:spacing w:line="210" w:lineRule="exact" w:before="5"/>
              <w:ind w:left="103"/>
              <w:rPr>
                <w:rFonts w:ascii="Times New Roman"/>
                <w:b/>
                <w:sz w:val="20"/>
              </w:rPr>
            </w:pPr>
            <w:r>
              <w:rPr>
                <w:rFonts w:ascii="Times New Roman"/>
                <w:b/>
                <w:sz w:val="20"/>
              </w:rPr>
              <w:t>Conversion Factor</w:t>
            </w:r>
          </w:p>
        </w:tc>
      </w:tr>
      <w:tr>
        <w:trPr>
          <w:trHeight w:val="200" w:hRule="atLeast"/>
        </w:trPr>
        <w:tc>
          <w:tcPr>
            <w:tcW w:w="2914" w:type="dxa"/>
            <w:vMerge w:val="restart"/>
            <w:tcBorders>
              <w:bottom w:val="single" w:sz="24" w:space="0" w:color="000000"/>
            </w:tcBorders>
          </w:tcPr>
          <w:p>
            <w:pPr>
              <w:pStyle w:val="TableParagraph"/>
              <w:spacing w:line="240" w:lineRule="auto" w:before="1"/>
              <w:ind w:left="103"/>
              <w:rPr>
                <w:rFonts w:ascii="Times New Roman"/>
                <w:sz w:val="20"/>
              </w:rPr>
            </w:pPr>
            <w:r>
              <w:rPr>
                <w:rFonts w:ascii="Times New Roman"/>
                <w:sz w:val="20"/>
              </w:rPr>
              <w:t>Top Decile</w:t>
            </w: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before="4"/>
              <w:rPr>
                <w:rFonts w:ascii="Times New Roman"/>
                <w:b/>
                <w:sz w:val="18"/>
              </w:rPr>
            </w:pPr>
          </w:p>
          <w:p>
            <w:pPr>
              <w:pStyle w:val="TableParagraph"/>
              <w:spacing w:line="211" w:lineRule="exact"/>
              <w:ind w:left="103"/>
              <w:rPr>
                <w:rFonts w:ascii="Times New Roman"/>
                <w:b/>
                <w:i/>
                <w:sz w:val="20"/>
              </w:rPr>
            </w:pPr>
            <w:r>
              <w:rPr>
                <w:rFonts w:ascii="Times New Roman"/>
                <w:b/>
                <w:i/>
                <w:sz w:val="20"/>
              </w:rPr>
              <w:t>Target Attainment</w:t>
            </w:r>
          </w:p>
        </w:tc>
        <w:tc>
          <w:tcPr>
            <w:tcW w:w="2086" w:type="dxa"/>
          </w:tcPr>
          <w:p>
            <w:pPr>
              <w:pStyle w:val="TableParagraph"/>
              <w:spacing w:line="189" w:lineRule="exact"/>
              <w:ind w:left="103"/>
              <w:rPr>
                <w:rFonts w:ascii="Times New Roman"/>
                <w:sz w:val="20"/>
              </w:rPr>
            </w:pPr>
            <w:r>
              <w:rPr>
                <w:rFonts w:ascii="Times New Roman"/>
                <w:sz w:val="20"/>
              </w:rPr>
              <w:t>10</w:t>
            </w:r>
            <w:r>
              <w:rPr>
                <w:rFonts w:ascii="Times New Roman"/>
                <w:position w:val="9"/>
                <w:sz w:val="13"/>
              </w:rPr>
              <w:t>th </w:t>
            </w:r>
            <w:r>
              <w:rPr>
                <w:rFonts w:ascii="Times New Roman"/>
                <w:sz w:val="20"/>
              </w:rPr>
              <w:t>decile</w:t>
            </w:r>
          </w:p>
        </w:tc>
        <w:tc>
          <w:tcPr>
            <w:tcW w:w="2160" w:type="dxa"/>
          </w:tcPr>
          <w:p>
            <w:pPr>
              <w:pStyle w:val="TableParagraph"/>
              <w:spacing w:line="187" w:lineRule="exact" w:before="1"/>
              <w:ind w:left="816" w:right="815"/>
              <w:jc w:val="center"/>
              <w:rPr>
                <w:rFonts w:ascii="Times New Roman"/>
                <w:sz w:val="20"/>
              </w:rPr>
            </w:pPr>
            <w:r>
              <w:rPr>
                <w:rFonts w:ascii="Times New Roman"/>
                <w:sz w:val="20"/>
              </w:rPr>
              <w:t>1.0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9</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.90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8</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.80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7</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.70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6</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.60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5</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.50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4</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.40</w:t>
            </w:r>
          </w:p>
        </w:tc>
      </w:tr>
      <w:tr>
        <w:trPr>
          <w:trHeight w:val="200" w:hRule="atLeast"/>
        </w:trPr>
        <w:tc>
          <w:tcPr>
            <w:tcW w:w="2914" w:type="dxa"/>
            <w:vMerge/>
            <w:tcBorders>
              <w:top w:val="nil"/>
              <w:bottom w:val="single" w:sz="24" w:space="0" w:color="000000"/>
            </w:tcBorders>
          </w:tcPr>
          <w:p>
            <w:pPr>
              <w:rPr>
                <w:sz w:val="2"/>
                <w:szCs w:val="2"/>
              </w:rPr>
            </w:pPr>
          </w:p>
        </w:tc>
        <w:tc>
          <w:tcPr>
            <w:tcW w:w="2086" w:type="dxa"/>
            <w:tcBorders>
              <w:bottom w:val="single" w:sz="24" w:space="0" w:color="000000"/>
            </w:tcBorders>
          </w:tcPr>
          <w:p>
            <w:pPr>
              <w:pStyle w:val="TableParagraph"/>
              <w:spacing w:line="189" w:lineRule="exact"/>
              <w:ind w:left="102"/>
              <w:rPr>
                <w:rFonts w:ascii="Times New Roman"/>
                <w:sz w:val="20"/>
              </w:rPr>
            </w:pPr>
            <w:r>
              <w:rPr>
                <w:rFonts w:ascii="Times New Roman"/>
                <w:sz w:val="20"/>
              </w:rPr>
              <w:t>3</w:t>
            </w:r>
            <w:r>
              <w:rPr>
                <w:rFonts w:ascii="Times New Roman"/>
                <w:position w:val="9"/>
                <w:sz w:val="13"/>
              </w:rPr>
              <w:t>rd </w:t>
            </w:r>
            <w:r>
              <w:rPr>
                <w:rFonts w:ascii="Times New Roman"/>
                <w:sz w:val="20"/>
              </w:rPr>
              <w:t>decile</w:t>
            </w:r>
          </w:p>
        </w:tc>
        <w:tc>
          <w:tcPr>
            <w:tcW w:w="2160" w:type="dxa"/>
            <w:tcBorders>
              <w:bottom w:val="single" w:sz="24" w:space="0" w:color="000000"/>
            </w:tcBorders>
          </w:tcPr>
          <w:p>
            <w:pPr>
              <w:pStyle w:val="TableParagraph"/>
              <w:spacing w:line="189" w:lineRule="exact"/>
              <w:ind w:left="816" w:right="815"/>
              <w:jc w:val="center"/>
              <w:rPr>
                <w:rFonts w:ascii="Times New Roman"/>
                <w:sz w:val="20"/>
              </w:rPr>
            </w:pPr>
            <w:r>
              <w:rPr>
                <w:rFonts w:ascii="Times New Roman"/>
                <w:sz w:val="20"/>
              </w:rPr>
              <w:t>.30</w:t>
            </w:r>
          </w:p>
        </w:tc>
      </w:tr>
      <w:tr>
        <w:trPr>
          <w:trHeight w:val="220" w:hRule="atLeast"/>
        </w:trPr>
        <w:tc>
          <w:tcPr>
            <w:tcW w:w="2914" w:type="dxa"/>
            <w:tcBorders>
              <w:top w:val="single" w:sz="24" w:space="0" w:color="000000"/>
              <w:bottom w:val="nil"/>
            </w:tcBorders>
          </w:tcPr>
          <w:p>
            <w:pPr>
              <w:pStyle w:val="TableParagraph"/>
              <w:spacing w:line="212" w:lineRule="exact" w:before="1"/>
              <w:ind w:left="103"/>
              <w:rPr>
                <w:rFonts w:ascii="Times New Roman"/>
                <w:sz w:val="20"/>
              </w:rPr>
            </w:pPr>
            <w:r>
              <w:rPr>
                <w:rFonts w:ascii="Times New Roman"/>
                <w:sz w:val="20"/>
              </w:rPr>
              <w:t>Lower Deciles</w:t>
            </w:r>
          </w:p>
        </w:tc>
        <w:tc>
          <w:tcPr>
            <w:tcW w:w="2086" w:type="dxa"/>
            <w:tcBorders>
              <w:top w:val="single" w:sz="24" w:space="0" w:color="000000"/>
            </w:tcBorders>
          </w:tcPr>
          <w:p>
            <w:pPr>
              <w:pStyle w:val="TableParagraph"/>
              <w:spacing w:line="214" w:lineRule="exact"/>
              <w:ind w:left="103"/>
              <w:rPr>
                <w:rFonts w:ascii="Times New Roman"/>
                <w:sz w:val="20"/>
              </w:rPr>
            </w:pPr>
            <w:r>
              <w:rPr>
                <w:rFonts w:ascii="Times New Roman"/>
                <w:sz w:val="20"/>
              </w:rPr>
              <w:t>2</w:t>
            </w:r>
            <w:r>
              <w:rPr>
                <w:rFonts w:ascii="Times New Roman"/>
                <w:position w:val="9"/>
                <w:sz w:val="13"/>
              </w:rPr>
              <w:t>nd </w:t>
            </w:r>
            <w:r>
              <w:rPr>
                <w:rFonts w:ascii="Times New Roman"/>
                <w:sz w:val="20"/>
              </w:rPr>
              <w:t>decile</w:t>
            </w:r>
          </w:p>
        </w:tc>
        <w:tc>
          <w:tcPr>
            <w:tcW w:w="2160" w:type="dxa"/>
            <w:tcBorders>
              <w:top w:val="single" w:sz="24" w:space="0" w:color="000000"/>
              <w:bottom w:val="nil"/>
            </w:tcBorders>
          </w:tcPr>
          <w:p>
            <w:pPr>
              <w:pStyle w:val="TableParagraph"/>
              <w:spacing w:line="212" w:lineRule="exact" w:before="1"/>
              <w:jc w:val="center"/>
              <w:rPr>
                <w:rFonts w:ascii="Times New Roman"/>
                <w:sz w:val="20"/>
              </w:rPr>
            </w:pPr>
            <w:r>
              <w:rPr>
                <w:rFonts w:ascii="Times New Roman"/>
                <w:w w:val="100"/>
                <w:sz w:val="20"/>
              </w:rPr>
              <w:t>0</w:t>
            </w:r>
          </w:p>
        </w:tc>
      </w:tr>
    </w:tbl>
    <w:p>
      <w:pPr>
        <w:spacing w:after="0" w:line="212" w:lineRule="exact"/>
        <w:jc w:val="center"/>
        <w:rPr>
          <w:rFonts w:ascii="Times New Roman"/>
          <w:sz w:val="20"/>
        </w:rPr>
        <w:sectPr>
          <w:pgSz w:w="12240" w:h="15840"/>
          <w:pgMar w:header="0" w:footer="744" w:top="1380" w:bottom="940" w:left="1580" w:right="980"/>
        </w:sectPr>
      </w:pPr>
    </w:p>
    <w:tbl>
      <w:tblPr>
        <w:tblW w:w="0" w:type="auto"/>
        <w:jc w:val="left"/>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2086"/>
        <w:gridCol w:w="2160"/>
      </w:tblGrid>
      <w:tr>
        <w:trPr>
          <w:trHeight w:val="220" w:hRule="atLeast"/>
        </w:trPr>
        <w:tc>
          <w:tcPr>
            <w:tcW w:w="2914" w:type="dxa"/>
          </w:tcPr>
          <w:p>
            <w:pPr>
              <w:pStyle w:val="TableParagraph"/>
              <w:spacing w:line="210" w:lineRule="exact" w:before="5"/>
              <w:ind w:left="103"/>
              <w:rPr>
                <w:rFonts w:ascii="Times New Roman"/>
                <w:b/>
                <w:sz w:val="20"/>
              </w:rPr>
            </w:pPr>
            <w:r>
              <w:rPr>
                <w:rFonts w:ascii="Times New Roman"/>
                <w:b/>
                <w:sz w:val="20"/>
              </w:rPr>
              <w:t>Performance Threshold</w:t>
            </w:r>
          </w:p>
        </w:tc>
        <w:tc>
          <w:tcPr>
            <w:tcW w:w="2086" w:type="dxa"/>
          </w:tcPr>
          <w:p>
            <w:pPr>
              <w:pStyle w:val="TableParagraph"/>
              <w:spacing w:line="210" w:lineRule="exact" w:before="5"/>
              <w:ind w:left="101"/>
              <w:rPr>
                <w:rFonts w:ascii="Times New Roman"/>
                <w:b/>
                <w:sz w:val="20"/>
              </w:rPr>
            </w:pPr>
            <w:r>
              <w:rPr>
                <w:rFonts w:ascii="Times New Roman"/>
                <w:b/>
                <w:sz w:val="20"/>
              </w:rPr>
              <w:t>Decile Group</w:t>
            </w:r>
          </w:p>
        </w:tc>
        <w:tc>
          <w:tcPr>
            <w:tcW w:w="2160" w:type="dxa"/>
          </w:tcPr>
          <w:p>
            <w:pPr>
              <w:pStyle w:val="TableParagraph"/>
              <w:spacing w:line="210" w:lineRule="exact" w:before="5"/>
              <w:ind w:left="103"/>
              <w:rPr>
                <w:rFonts w:ascii="Times New Roman"/>
                <w:b/>
                <w:sz w:val="20"/>
              </w:rPr>
            </w:pPr>
            <w:r>
              <w:rPr>
                <w:rFonts w:ascii="Times New Roman"/>
                <w:b/>
                <w:sz w:val="20"/>
              </w:rPr>
              <w:t>Conversion Factor</w:t>
            </w:r>
          </w:p>
        </w:tc>
      </w:tr>
      <w:tr>
        <w:trPr>
          <w:trHeight w:val="220" w:hRule="atLeast"/>
        </w:trPr>
        <w:tc>
          <w:tcPr>
            <w:tcW w:w="2914" w:type="dxa"/>
          </w:tcPr>
          <w:p>
            <w:pPr>
              <w:pStyle w:val="TableParagraph"/>
              <w:spacing w:line="240" w:lineRule="auto"/>
              <w:rPr>
                <w:rFonts w:ascii="Times New Roman"/>
                <w:sz w:val="16"/>
              </w:rPr>
            </w:pPr>
          </w:p>
        </w:tc>
        <w:tc>
          <w:tcPr>
            <w:tcW w:w="2086" w:type="dxa"/>
          </w:tcPr>
          <w:p>
            <w:pPr>
              <w:pStyle w:val="TableParagraph"/>
              <w:spacing w:line="214" w:lineRule="exact"/>
              <w:ind w:left="102"/>
              <w:rPr>
                <w:rFonts w:ascii="Times New Roman"/>
                <w:sz w:val="20"/>
              </w:rPr>
            </w:pPr>
            <w:r>
              <w:rPr>
                <w:rFonts w:ascii="Times New Roman"/>
                <w:sz w:val="20"/>
              </w:rPr>
              <w:t>1</w:t>
            </w:r>
            <w:r>
              <w:rPr>
                <w:rFonts w:ascii="Times New Roman"/>
                <w:position w:val="9"/>
                <w:sz w:val="13"/>
              </w:rPr>
              <w:t>st </w:t>
            </w:r>
            <w:r>
              <w:rPr>
                <w:rFonts w:ascii="Times New Roman"/>
                <w:sz w:val="20"/>
              </w:rPr>
              <w:t>decile</w:t>
            </w:r>
          </w:p>
        </w:tc>
        <w:tc>
          <w:tcPr>
            <w:tcW w:w="2160" w:type="dxa"/>
          </w:tcPr>
          <w:p>
            <w:pPr>
              <w:pStyle w:val="TableParagraph"/>
              <w:spacing w:line="212" w:lineRule="exact" w:before="1"/>
              <w:ind w:left="816" w:right="815"/>
              <w:jc w:val="center"/>
              <w:rPr>
                <w:rFonts w:ascii="Times New Roman"/>
                <w:sz w:val="20"/>
              </w:rPr>
            </w:pPr>
            <w:r>
              <w:rPr>
                <w:rFonts w:ascii="Times New Roman"/>
                <w:sz w:val="20"/>
              </w:rPr>
              <w:t>(zero)</w:t>
            </w:r>
          </w:p>
        </w:tc>
      </w:tr>
    </w:tbl>
    <w:p>
      <w:pPr>
        <w:pStyle w:val="BodyText"/>
        <w:spacing w:before="7"/>
        <w:rPr>
          <w:b/>
          <w:sz w:val="16"/>
        </w:rPr>
      </w:pPr>
    </w:p>
    <w:p>
      <w:pPr>
        <w:pStyle w:val="BodyText"/>
        <w:spacing w:line="223" w:lineRule="auto" w:before="109"/>
        <w:ind w:left="1011" w:right="171"/>
      </w:pPr>
      <w:r>
        <w:rPr/>
        <w:t>To meet the target attainment threshold the Hospital’s disparity index value must exceed the value above the 2</w:t>
      </w:r>
      <w:r>
        <w:rPr>
          <w:position w:val="11"/>
          <w:sz w:val="16"/>
        </w:rPr>
        <w:t>nd </w:t>
      </w:r>
      <w:r>
        <w:rPr/>
        <w:t>decile cut-off point to fall in the next decile. Index values that fall into the 1</w:t>
      </w:r>
      <w:r>
        <w:rPr>
          <w:position w:val="11"/>
          <w:sz w:val="16"/>
        </w:rPr>
        <w:t>st </w:t>
      </w:r>
      <w:r>
        <w:rPr/>
        <w:t>and 2</w:t>
      </w:r>
      <w:r>
        <w:rPr>
          <w:position w:val="11"/>
          <w:sz w:val="16"/>
        </w:rPr>
        <w:t>nd </w:t>
      </w:r>
      <w:r>
        <w:rPr/>
        <w:t>decile group are assigned a conversion factor of zero. A disparity index </w:t>
      </w:r>
      <w:r>
        <w:rPr>
          <w:spacing w:val="-3"/>
        </w:rPr>
        <w:t>value that falls within </w:t>
      </w:r>
      <w:r>
        <w:rPr/>
        <w:t>the </w:t>
      </w:r>
      <w:r>
        <w:rPr>
          <w:spacing w:val="-3"/>
        </w:rPr>
        <w:t>same given decile group </w:t>
      </w:r>
      <w:r>
        <w:rPr/>
        <w:t>are </w:t>
      </w:r>
      <w:r>
        <w:rPr>
          <w:spacing w:val="-3"/>
        </w:rPr>
        <w:t>assigned </w:t>
      </w:r>
      <w:r>
        <w:rPr/>
        <w:t>the </w:t>
      </w:r>
      <w:r>
        <w:rPr>
          <w:spacing w:val="-3"/>
        </w:rPr>
        <w:t>same conversion factor.</w:t>
      </w:r>
    </w:p>
    <w:p>
      <w:pPr>
        <w:pStyle w:val="BodyText"/>
        <w:spacing w:before="10"/>
      </w:pPr>
    </w:p>
    <w:p>
      <w:pPr>
        <w:pStyle w:val="ListParagraph"/>
        <w:numPr>
          <w:ilvl w:val="2"/>
          <w:numId w:val="13"/>
        </w:numPr>
        <w:tabs>
          <w:tab w:pos="693" w:val="left" w:leader="none"/>
        </w:tabs>
        <w:spacing w:line="242" w:lineRule="auto" w:before="0" w:after="0"/>
        <w:ind w:left="652" w:right="440" w:hanging="360"/>
        <w:jc w:val="left"/>
        <w:rPr>
          <w:sz w:val="24"/>
        </w:rPr>
      </w:pPr>
      <w:r>
        <w:rPr>
          <w:b/>
          <w:sz w:val="24"/>
        </w:rPr>
        <w:t>Performance Score Calculations. </w:t>
      </w:r>
      <w:r>
        <w:rPr>
          <w:sz w:val="24"/>
        </w:rPr>
        <w:t>A Hospital’s performance score for the individual and health disparities composite measures will be computed using the methods described</w:t>
      </w:r>
      <w:r>
        <w:rPr>
          <w:spacing w:val="-9"/>
          <w:sz w:val="24"/>
        </w:rPr>
        <w:t> </w:t>
      </w:r>
      <w:r>
        <w:rPr>
          <w:sz w:val="24"/>
        </w:rPr>
        <w:t>below:</w:t>
      </w:r>
    </w:p>
    <w:p>
      <w:pPr>
        <w:pStyle w:val="BodyText"/>
        <w:spacing w:before="9"/>
      </w:pPr>
    </w:p>
    <w:p>
      <w:pPr>
        <w:pStyle w:val="ListParagraph"/>
        <w:numPr>
          <w:ilvl w:val="0"/>
          <w:numId w:val="16"/>
        </w:numPr>
        <w:tabs>
          <w:tab w:pos="847" w:val="left" w:leader="none"/>
        </w:tabs>
        <w:spacing w:line="244" w:lineRule="auto" w:before="0" w:after="0"/>
        <w:ind w:left="832" w:right="476" w:hanging="360"/>
        <w:jc w:val="left"/>
        <w:rPr>
          <w:sz w:val="24"/>
        </w:rPr>
      </w:pPr>
      <w:r>
        <w:rPr>
          <w:b/>
          <w:sz w:val="24"/>
        </w:rPr>
        <w:t>Individual Measures. </w:t>
      </w:r>
      <w:r>
        <w:rPr>
          <w:sz w:val="24"/>
        </w:rPr>
        <w:t>A Hospital’s performance score, for each individual measure it is eligible to report on, is calculated based on the quality point system methods outlined in </w:t>
      </w:r>
      <w:r>
        <w:rPr>
          <w:b/>
          <w:sz w:val="24"/>
        </w:rPr>
        <w:t>Section 7.4.C </w:t>
      </w:r>
      <w:r>
        <w:rPr>
          <w:sz w:val="24"/>
        </w:rPr>
        <w:t>of this RFA</w:t>
      </w:r>
      <w:r>
        <w:rPr>
          <w:b/>
          <w:sz w:val="24"/>
        </w:rPr>
        <w:t>.  </w:t>
      </w:r>
      <w:r>
        <w:rPr>
          <w:sz w:val="24"/>
        </w:rPr>
        <w:t>The following methods apply to computing the points</w:t>
      </w:r>
      <w:r>
        <w:rPr>
          <w:spacing w:val="-10"/>
          <w:sz w:val="24"/>
        </w:rPr>
        <w:t> </w:t>
      </w:r>
      <w:r>
        <w:rPr>
          <w:sz w:val="24"/>
        </w:rPr>
        <w:t>earned:</w:t>
      </w:r>
    </w:p>
    <w:p>
      <w:pPr>
        <w:pStyle w:val="ListParagraph"/>
        <w:numPr>
          <w:ilvl w:val="1"/>
          <w:numId w:val="16"/>
        </w:numPr>
        <w:tabs>
          <w:tab w:pos="1371" w:val="left" w:leader="none"/>
          <w:tab w:pos="1372" w:val="left" w:leader="none"/>
        </w:tabs>
        <w:spacing w:line="242" w:lineRule="auto" w:before="118" w:after="0"/>
        <w:ind w:left="1372" w:right="215" w:hanging="488"/>
        <w:jc w:val="left"/>
        <w:rPr>
          <w:sz w:val="24"/>
        </w:rPr>
      </w:pPr>
      <w:r>
        <w:rPr>
          <w:i/>
          <w:sz w:val="24"/>
        </w:rPr>
        <w:t>Attainment Points. </w:t>
      </w:r>
      <w:r>
        <w:rPr>
          <w:sz w:val="24"/>
        </w:rPr>
        <w:t>The number of “attainment points” a Hospital receives is determined by the ratio of the difference between the Hospital’s measure rate and the attainment threshold divided by the difference between the </w:t>
      </w:r>
      <w:r>
        <w:rPr>
          <w:i/>
          <w:sz w:val="24"/>
        </w:rPr>
        <w:t>benchmark </w:t>
      </w:r>
      <w:r>
        <w:rPr>
          <w:sz w:val="24"/>
        </w:rPr>
        <w:t>and the </w:t>
      </w:r>
      <w:r>
        <w:rPr>
          <w:i/>
          <w:sz w:val="24"/>
        </w:rPr>
        <w:t>attainment threshold</w:t>
      </w:r>
      <w:r>
        <w:rPr>
          <w:sz w:val="24"/>
        </w:rPr>
        <w:t>. This ratio is multiplied by 9 and increased by 0.5. The Hospital’s “attainment points” will be calculated based on the following</w:t>
      </w:r>
      <w:r>
        <w:rPr>
          <w:spacing w:val="-7"/>
          <w:sz w:val="24"/>
        </w:rPr>
        <w:t> </w:t>
      </w:r>
      <w:r>
        <w:rPr>
          <w:sz w:val="24"/>
        </w:rPr>
        <w:t>formula:</w:t>
      </w:r>
    </w:p>
    <w:p>
      <w:pPr>
        <w:pStyle w:val="BodyText"/>
        <w:rPr>
          <w:sz w:val="20"/>
        </w:rPr>
      </w:pPr>
    </w:p>
    <w:p>
      <w:pPr>
        <w:pStyle w:val="BodyText"/>
        <w:spacing w:before="7"/>
        <w:rPr>
          <w:sz w:val="14"/>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2"/>
        <w:gridCol w:w="4968"/>
      </w:tblGrid>
      <w:tr>
        <w:trPr>
          <w:trHeight w:val="460" w:hRule="atLeast"/>
        </w:trPr>
        <w:tc>
          <w:tcPr>
            <w:tcW w:w="4572" w:type="dxa"/>
          </w:tcPr>
          <w:p>
            <w:pPr>
              <w:pStyle w:val="TableParagraph"/>
              <w:spacing w:line="258" w:lineRule="exact" w:before="189"/>
              <w:ind w:left="414" w:right="415"/>
              <w:jc w:val="center"/>
              <w:rPr>
                <w:rFonts w:ascii="Times New Roman" w:hAnsi="Times New Roman"/>
                <w:sz w:val="24"/>
              </w:rPr>
            </w:pPr>
            <w:r>
              <w:rPr>
                <w:rFonts w:ascii="Times New Roman" w:hAnsi="Times New Roman"/>
                <w:sz w:val="24"/>
              </w:rPr>
              <w:t>Hospital’s Measure Rate – Attainment</w:t>
            </w:r>
          </w:p>
        </w:tc>
        <w:tc>
          <w:tcPr>
            <w:tcW w:w="4968" w:type="dxa"/>
            <w:vMerge w:val="restart"/>
          </w:tcPr>
          <w:p>
            <w:pPr>
              <w:pStyle w:val="TableParagraph"/>
              <w:spacing w:line="240" w:lineRule="auto" w:before="194"/>
              <w:ind w:left="102"/>
              <w:rPr>
                <w:rFonts w:ascii="Times New Roman" w:hAnsi="Times New Roman"/>
                <w:sz w:val="24"/>
              </w:rPr>
            </w:pPr>
            <w:r>
              <w:rPr>
                <w:rFonts w:ascii="Times New Roman" w:hAnsi="Times New Roman"/>
                <w:sz w:val="24"/>
              </w:rPr>
              <w:t>× 9 + 0.5 = Hospital’s Attainment Points Earned</w:t>
            </w:r>
          </w:p>
        </w:tc>
      </w:tr>
      <w:tr>
        <w:trPr>
          <w:trHeight w:val="260" w:hRule="atLeast"/>
        </w:trPr>
        <w:tc>
          <w:tcPr>
            <w:tcW w:w="4572" w:type="dxa"/>
          </w:tcPr>
          <w:p>
            <w:pPr>
              <w:pStyle w:val="TableParagraph"/>
              <w:spacing w:line="258" w:lineRule="exact" w:before="1"/>
              <w:ind w:left="414" w:right="414"/>
              <w:jc w:val="center"/>
              <w:rPr>
                <w:rFonts w:ascii="Times New Roman"/>
                <w:sz w:val="24"/>
              </w:rPr>
            </w:pPr>
            <w:r>
              <w:rPr>
                <w:rFonts w:ascii="Times New Roman"/>
                <w:sz w:val="24"/>
              </w:rPr>
              <w:t>Benchmark - Attainment</w:t>
            </w:r>
          </w:p>
        </w:tc>
        <w:tc>
          <w:tcPr>
            <w:tcW w:w="4968" w:type="dxa"/>
            <w:vMerge/>
            <w:tcBorders>
              <w:top w:val="nil"/>
            </w:tcBorders>
          </w:tcPr>
          <w:p>
            <w:pPr>
              <w:rPr>
                <w:sz w:val="2"/>
                <w:szCs w:val="2"/>
              </w:rPr>
            </w:pPr>
          </w:p>
        </w:tc>
      </w:tr>
    </w:tbl>
    <w:p>
      <w:pPr>
        <w:pStyle w:val="ListParagraph"/>
        <w:numPr>
          <w:ilvl w:val="1"/>
          <w:numId w:val="16"/>
        </w:numPr>
        <w:tabs>
          <w:tab w:pos="1371" w:val="left" w:leader="none"/>
          <w:tab w:pos="1372" w:val="left" w:leader="none"/>
        </w:tabs>
        <w:spacing w:line="242" w:lineRule="auto" w:before="121" w:after="0"/>
        <w:ind w:left="1372" w:right="257" w:hanging="555"/>
        <w:jc w:val="left"/>
        <w:rPr>
          <w:sz w:val="24"/>
        </w:rPr>
      </w:pPr>
      <w:r>
        <w:rPr>
          <w:i/>
          <w:sz w:val="24"/>
        </w:rPr>
        <w:t>Improvement Points</w:t>
      </w:r>
      <w:r>
        <w:rPr>
          <w:sz w:val="24"/>
        </w:rPr>
        <w:t>.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w:t>
      </w:r>
      <w:r>
        <w:rPr>
          <w:spacing w:val="-2"/>
          <w:sz w:val="24"/>
        </w:rPr>
        <w:t> </w:t>
      </w:r>
      <w:r>
        <w:rPr>
          <w:sz w:val="24"/>
        </w:rPr>
        <w:t>formula:</w:t>
      </w:r>
    </w:p>
    <w:p>
      <w:pPr>
        <w:pStyle w:val="BodyText"/>
        <w:rPr>
          <w:sz w:val="20"/>
        </w:rPr>
      </w:pPr>
    </w:p>
    <w:p>
      <w:pPr>
        <w:pStyle w:val="BodyText"/>
        <w:spacing w:before="7"/>
        <w:rPr>
          <w:sz w:val="14"/>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6"/>
        <w:gridCol w:w="4214"/>
      </w:tblGrid>
      <w:tr>
        <w:trPr>
          <w:trHeight w:val="820" w:hRule="atLeast"/>
        </w:trPr>
        <w:tc>
          <w:tcPr>
            <w:tcW w:w="5506" w:type="dxa"/>
          </w:tcPr>
          <w:p>
            <w:pPr>
              <w:pStyle w:val="TableParagraph"/>
              <w:spacing w:line="240" w:lineRule="auto"/>
              <w:rPr>
                <w:rFonts w:ascii="Times New Roman"/>
                <w:sz w:val="24"/>
              </w:rPr>
            </w:pPr>
          </w:p>
          <w:p>
            <w:pPr>
              <w:pStyle w:val="TableParagraph"/>
              <w:spacing w:line="280" w:lineRule="atLeast" w:before="1"/>
              <w:ind w:left="2526" w:right="340" w:hanging="2176"/>
              <w:rPr>
                <w:rFonts w:ascii="Times New Roman" w:hAnsi="Times New Roman"/>
                <w:sz w:val="24"/>
              </w:rPr>
            </w:pPr>
            <w:r>
              <w:rPr>
                <w:rFonts w:ascii="Times New Roman" w:hAnsi="Times New Roman"/>
                <w:sz w:val="24"/>
              </w:rPr>
              <w:t>Current Measure Rate – Previous Year’s Measure Rate</w:t>
            </w:r>
          </w:p>
        </w:tc>
        <w:tc>
          <w:tcPr>
            <w:tcW w:w="4214" w:type="dxa"/>
            <w:vMerge w:val="restart"/>
          </w:tcPr>
          <w:p>
            <w:pPr>
              <w:pStyle w:val="TableParagraph"/>
              <w:spacing w:line="240" w:lineRule="auto" w:before="10"/>
              <w:rPr>
                <w:rFonts w:ascii="Times New Roman"/>
                <w:sz w:val="36"/>
              </w:rPr>
            </w:pPr>
          </w:p>
          <w:p>
            <w:pPr>
              <w:pStyle w:val="TableParagraph"/>
              <w:spacing w:line="240" w:lineRule="auto" w:before="1"/>
              <w:ind w:left="103"/>
              <w:rPr>
                <w:rFonts w:ascii="Times New Roman" w:hAnsi="Times New Roman"/>
                <w:sz w:val="24"/>
              </w:rPr>
            </w:pPr>
            <w:r>
              <w:rPr>
                <w:rFonts w:ascii="Times New Roman" w:hAnsi="Times New Roman"/>
                <w:sz w:val="24"/>
              </w:rPr>
              <w:t>× 10 - 0.5 = Hospital’s Improvement</w:t>
            </w:r>
          </w:p>
          <w:p>
            <w:pPr>
              <w:pStyle w:val="TableParagraph"/>
              <w:spacing w:line="240" w:lineRule="auto" w:before="3"/>
              <w:ind w:left="1363"/>
              <w:rPr>
                <w:rFonts w:ascii="Times New Roman"/>
                <w:sz w:val="24"/>
              </w:rPr>
            </w:pPr>
            <w:r>
              <w:rPr>
                <w:rFonts w:ascii="Times New Roman"/>
                <w:sz w:val="24"/>
              </w:rPr>
              <w:t>Points Earned</w:t>
            </w:r>
          </w:p>
        </w:tc>
      </w:tr>
      <w:tr>
        <w:trPr>
          <w:trHeight w:val="260" w:hRule="atLeast"/>
        </w:trPr>
        <w:tc>
          <w:tcPr>
            <w:tcW w:w="5506" w:type="dxa"/>
          </w:tcPr>
          <w:p>
            <w:pPr>
              <w:pStyle w:val="TableParagraph"/>
              <w:spacing w:line="258" w:lineRule="exact" w:before="1"/>
              <w:ind w:left="609"/>
              <w:rPr>
                <w:rFonts w:ascii="Times New Roman" w:hAnsi="Times New Roman"/>
                <w:sz w:val="24"/>
              </w:rPr>
            </w:pPr>
            <w:r>
              <w:rPr>
                <w:rFonts w:ascii="Times New Roman" w:hAnsi="Times New Roman"/>
                <w:sz w:val="24"/>
              </w:rPr>
              <w:t>Benchmark – Previous Year’s Measure Rate</w:t>
            </w:r>
          </w:p>
        </w:tc>
        <w:tc>
          <w:tcPr>
            <w:tcW w:w="4214" w:type="dxa"/>
            <w:vMerge/>
            <w:tcBorders>
              <w:top w:val="nil"/>
            </w:tcBorders>
          </w:tcPr>
          <w:p>
            <w:pPr>
              <w:rPr>
                <w:sz w:val="2"/>
                <w:szCs w:val="2"/>
              </w:rPr>
            </w:pPr>
          </w:p>
        </w:tc>
      </w:tr>
    </w:tbl>
    <w:p>
      <w:pPr>
        <w:pStyle w:val="BodyText"/>
        <w:spacing w:before="7"/>
        <w:rPr>
          <w:sz w:val="16"/>
        </w:rPr>
      </w:pPr>
    </w:p>
    <w:p>
      <w:pPr>
        <w:pStyle w:val="BodyText"/>
        <w:spacing w:line="242" w:lineRule="auto" w:before="90"/>
        <w:ind w:left="1372" w:right="543"/>
      </w:pPr>
      <w:r>
        <w:rPr/>
        <w:t>All attainment and improvement points earned will be rounded to the nearest whole number (i.e., 3.3 = 3.0 and 3.5 = 4.0).</w:t>
      </w:r>
    </w:p>
    <w:p>
      <w:pPr>
        <w:pStyle w:val="BodyText"/>
        <w:spacing w:before="8"/>
      </w:pPr>
    </w:p>
    <w:p>
      <w:pPr>
        <w:pStyle w:val="ListParagraph"/>
        <w:numPr>
          <w:ilvl w:val="1"/>
          <w:numId w:val="16"/>
        </w:numPr>
        <w:tabs>
          <w:tab w:pos="1371" w:val="left" w:leader="none"/>
          <w:tab w:pos="1372" w:val="left" w:leader="none"/>
        </w:tabs>
        <w:spacing w:line="244" w:lineRule="auto" w:before="0" w:after="0"/>
        <w:ind w:left="1372" w:right="197" w:hanging="622"/>
        <w:jc w:val="left"/>
        <w:rPr>
          <w:sz w:val="24"/>
        </w:rPr>
      </w:pPr>
      <w:r>
        <w:rPr>
          <w:b/>
          <w:i/>
          <w:spacing w:val="-3"/>
          <w:sz w:val="24"/>
        </w:rPr>
        <w:t>Total Performance Score</w:t>
      </w:r>
      <w:r>
        <w:rPr>
          <w:b/>
          <w:spacing w:val="-3"/>
          <w:sz w:val="24"/>
        </w:rPr>
        <w:t>. </w:t>
      </w:r>
      <w:r>
        <w:rPr>
          <w:sz w:val="24"/>
        </w:rPr>
        <w:t>The </w:t>
      </w:r>
      <w:r>
        <w:rPr>
          <w:spacing w:val="-3"/>
          <w:sz w:val="24"/>
        </w:rPr>
        <w:t>total performance score, </w:t>
      </w:r>
      <w:r>
        <w:rPr>
          <w:sz w:val="24"/>
        </w:rPr>
        <w:t>for the </w:t>
      </w:r>
      <w:r>
        <w:rPr>
          <w:spacing w:val="-3"/>
          <w:sz w:val="24"/>
        </w:rPr>
        <w:t>individual </w:t>
      </w:r>
      <w:r>
        <w:rPr>
          <w:spacing w:val="-4"/>
          <w:sz w:val="24"/>
        </w:rPr>
        <w:t>measures, </w:t>
      </w:r>
      <w:r>
        <w:rPr>
          <w:spacing w:val="-3"/>
          <w:sz w:val="24"/>
        </w:rPr>
        <w:t>reflects </w:t>
      </w:r>
      <w:r>
        <w:rPr>
          <w:sz w:val="24"/>
        </w:rPr>
        <w:t>a </w:t>
      </w:r>
      <w:r>
        <w:rPr>
          <w:spacing w:val="-3"/>
          <w:sz w:val="24"/>
        </w:rPr>
        <w:t>percentage </w:t>
      </w:r>
      <w:r>
        <w:rPr>
          <w:sz w:val="24"/>
        </w:rPr>
        <w:t>of </w:t>
      </w:r>
      <w:r>
        <w:rPr>
          <w:spacing w:val="-3"/>
          <w:sz w:val="24"/>
        </w:rPr>
        <w:t>quality points earned </w:t>
      </w:r>
      <w:r>
        <w:rPr>
          <w:sz w:val="24"/>
        </w:rPr>
        <w:t>out of the </w:t>
      </w:r>
      <w:r>
        <w:rPr>
          <w:spacing w:val="-3"/>
          <w:sz w:val="24"/>
        </w:rPr>
        <w:t>total possible points for each measure category, pursuant </w:t>
      </w:r>
      <w:r>
        <w:rPr>
          <w:sz w:val="24"/>
        </w:rPr>
        <w:t>to </w:t>
      </w:r>
      <w:r>
        <w:rPr>
          <w:b/>
          <w:spacing w:val="-3"/>
          <w:sz w:val="24"/>
        </w:rPr>
        <w:t>Section </w:t>
      </w:r>
      <w:r>
        <w:rPr>
          <w:b/>
          <w:sz w:val="24"/>
        </w:rPr>
        <w:t>7.5</w:t>
      </w:r>
      <w:r>
        <w:rPr>
          <w:sz w:val="24"/>
        </w:rPr>
        <w:t>.  For </w:t>
      </w:r>
      <w:r>
        <w:rPr>
          <w:spacing w:val="-3"/>
          <w:sz w:val="24"/>
        </w:rPr>
        <w:t>each quality measure category, the quality points awarded </w:t>
      </w:r>
      <w:r>
        <w:rPr>
          <w:sz w:val="24"/>
        </w:rPr>
        <w:t>are the </w:t>
      </w:r>
      <w:r>
        <w:rPr>
          <w:spacing w:val="-3"/>
          <w:sz w:val="24"/>
        </w:rPr>
        <w:t>higher </w:t>
      </w:r>
      <w:r>
        <w:rPr>
          <w:sz w:val="24"/>
        </w:rPr>
        <w:t>of the </w:t>
      </w:r>
      <w:r>
        <w:rPr>
          <w:spacing w:val="-3"/>
          <w:sz w:val="24"/>
        </w:rPr>
        <w:t>attainment </w:t>
      </w:r>
      <w:r>
        <w:rPr>
          <w:sz w:val="24"/>
        </w:rPr>
        <w:t>or the </w:t>
      </w:r>
      <w:r>
        <w:rPr>
          <w:spacing w:val="-4"/>
          <w:sz w:val="24"/>
        </w:rPr>
        <w:t>improvements </w:t>
      </w:r>
      <w:r>
        <w:rPr>
          <w:spacing w:val="-3"/>
          <w:sz w:val="24"/>
        </w:rPr>
        <w:t>points earned. </w:t>
      </w:r>
      <w:r>
        <w:rPr>
          <w:sz w:val="24"/>
        </w:rPr>
        <w:t>The </w:t>
      </w:r>
      <w:r>
        <w:rPr>
          <w:spacing w:val="-3"/>
          <w:sz w:val="24"/>
        </w:rPr>
        <w:t>total awarded quality points </w:t>
      </w:r>
      <w:r>
        <w:rPr>
          <w:sz w:val="24"/>
        </w:rPr>
        <w:t>for </w:t>
      </w:r>
      <w:r>
        <w:rPr>
          <w:spacing w:val="-3"/>
          <w:sz w:val="24"/>
        </w:rPr>
        <w:t>each measure category </w:t>
      </w:r>
      <w:r>
        <w:rPr>
          <w:sz w:val="24"/>
        </w:rPr>
        <w:t>is </w:t>
      </w:r>
      <w:r>
        <w:rPr>
          <w:spacing w:val="-3"/>
          <w:sz w:val="24"/>
        </w:rPr>
        <w:t>divided </w:t>
      </w:r>
      <w:r>
        <w:rPr>
          <w:sz w:val="24"/>
        </w:rPr>
        <w:t>by the </w:t>
      </w:r>
      <w:r>
        <w:rPr>
          <w:spacing w:val="-3"/>
          <w:sz w:val="24"/>
        </w:rPr>
        <w:t>total possible points </w:t>
      </w:r>
      <w:r>
        <w:rPr>
          <w:sz w:val="24"/>
        </w:rPr>
        <w:t>to </w:t>
      </w:r>
      <w:r>
        <w:rPr>
          <w:spacing w:val="-3"/>
          <w:sz w:val="24"/>
        </w:rPr>
        <w:t>obtain </w:t>
      </w:r>
      <w:r>
        <w:rPr>
          <w:sz w:val="24"/>
        </w:rPr>
        <w:t>the </w:t>
      </w:r>
      <w:r>
        <w:rPr>
          <w:spacing w:val="-3"/>
          <w:sz w:val="24"/>
        </w:rPr>
        <w:t>total performance score based </w:t>
      </w:r>
      <w:r>
        <w:rPr>
          <w:sz w:val="24"/>
        </w:rPr>
        <w:t>on the </w:t>
      </w:r>
      <w:r>
        <w:rPr>
          <w:spacing w:val="-3"/>
          <w:sz w:val="24"/>
        </w:rPr>
        <w:t>following</w:t>
      </w:r>
      <w:r>
        <w:rPr>
          <w:spacing w:val="-29"/>
          <w:sz w:val="24"/>
        </w:rPr>
        <w:t> </w:t>
      </w:r>
      <w:r>
        <w:rPr>
          <w:spacing w:val="-4"/>
          <w:sz w:val="24"/>
        </w:rPr>
        <w:t>formula:</w:t>
      </w:r>
    </w:p>
    <w:p>
      <w:pPr>
        <w:spacing w:after="0" w:line="244" w:lineRule="auto"/>
        <w:jc w:val="left"/>
        <w:rPr>
          <w:sz w:val="24"/>
        </w:rPr>
        <w:sectPr>
          <w:pgSz w:w="12240" w:h="15840"/>
          <w:pgMar w:header="0" w:footer="744" w:top="1440" w:bottom="940" w:left="1400" w:right="880"/>
        </w:sectPr>
      </w:pPr>
    </w:p>
    <w:tbl>
      <w:tblPr>
        <w:tblW w:w="0" w:type="auto"/>
        <w:jc w:val="left"/>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2"/>
        <w:gridCol w:w="5348"/>
      </w:tblGrid>
      <w:tr>
        <w:trPr>
          <w:trHeight w:val="260" w:hRule="atLeast"/>
        </w:trPr>
        <w:tc>
          <w:tcPr>
            <w:tcW w:w="3292" w:type="dxa"/>
          </w:tcPr>
          <w:p>
            <w:pPr>
              <w:pStyle w:val="TableParagraph"/>
              <w:spacing w:line="258" w:lineRule="exact" w:before="1"/>
              <w:ind w:left="610"/>
              <w:rPr>
                <w:rFonts w:ascii="Times New Roman"/>
                <w:sz w:val="24"/>
              </w:rPr>
            </w:pPr>
            <w:r>
              <w:rPr>
                <w:rFonts w:ascii="Times New Roman"/>
                <w:sz w:val="24"/>
              </w:rPr>
              <w:t>Total Awarded Points</w:t>
            </w:r>
          </w:p>
        </w:tc>
        <w:tc>
          <w:tcPr>
            <w:tcW w:w="5348" w:type="dxa"/>
            <w:vMerge w:val="restart"/>
          </w:tcPr>
          <w:p>
            <w:pPr>
              <w:pStyle w:val="TableParagraph"/>
              <w:spacing w:line="240" w:lineRule="auto" w:before="145"/>
              <w:ind w:left="103"/>
              <w:rPr>
                <w:rFonts w:ascii="Times New Roman" w:hAnsi="Times New Roman"/>
                <w:sz w:val="24"/>
              </w:rPr>
            </w:pPr>
            <w:r>
              <w:rPr>
                <w:rFonts w:ascii="Times New Roman" w:hAnsi="Times New Roman"/>
                <w:sz w:val="24"/>
              </w:rPr>
              <w:t>× 100%  = Total Performance Score</w:t>
            </w:r>
          </w:p>
        </w:tc>
      </w:tr>
      <w:tr>
        <w:trPr>
          <w:trHeight w:val="260" w:hRule="atLeast"/>
        </w:trPr>
        <w:tc>
          <w:tcPr>
            <w:tcW w:w="3292" w:type="dxa"/>
          </w:tcPr>
          <w:p>
            <w:pPr>
              <w:pStyle w:val="TableParagraph"/>
              <w:spacing w:line="258" w:lineRule="exact" w:before="1"/>
              <w:ind w:left="650"/>
              <w:rPr>
                <w:rFonts w:ascii="Times New Roman"/>
                <w:sz w:val="24"/>
              </w:rPr>
            </w:pPr>
            <w:r>
              <w:rPr>
                <w:rFonts w:ascii="Times New Roman"/>
                <w:sz w:val="24"/>
              </w:rPr>
              <w:t>Total Possible Points</w:t>
            </w:r>
          </w:p>
        </w:tc>
        <w:tc>
          <w:tcPr>
            <w:tcW w:w="5348" w:type="dxa"/>
            <w:vMerge/>
            <w:tcBorders>
              <w:top w:val="nil"/>
            </w:tcBorders>
          </w:tcPr>
          <w:p>
            <w:pPr>
              <w:rPr>
                <w:sz w:val="2"/>
                <w:szCs w:val="2"/>
              </w:rPr>
            </w:pPr>
          </w:p>
        </w:tc>
      </w:tr>
    </w:tbl>
    <w:p>
      <w:pPr>
        <w:pStyle w:val="BodyText"/>
        <w:rPr>
          <w:sz w:val="17"/>
        </w:rPr>
      </w:pPr>
    </w:p>
    <w:p>
      <w:pPr>
        <w:pStyle w:val="ListParagraph"/>
        <w:numPr>
          <w:ilvl w:val="0"/>
          <w:numId w:val="16"/>
        </w:numPr>
        <w:tabs>
          <w:tab w:pos="1192" w:val="left" w:leader="none"/>
        </w:tabs>
        <w:spacing w:line="244" w:lineRule="auto" w:before="90" w:after="0"/>
        <w:ind w:left="1192" w:right="325" w:hanging="360"/>
        <w:jc w:val="both"/>
        <w:rPr>
          <w:sz w:val="24"/>
        </w:rPr>
      </w:pPr>
      <w:r>
        <w:rPr>
          <w:b/>
          <w:sz w:val="24"/>
        </w:rPr>
        <w:t>Health Disparities Composite Measure Performance Score. </w:t>
      </w:r>
      <w:r>
        <w:rPr>
          <w:sz w:val="24"/>
        </w:rPr>
        <w:t>The performance score for the health disparities measure reflects the equivalent of the assigned conversion factor, per </w:t>
      </w:r>
      <w:r>
        <w:rPr>
          <w:b/>
          <w:sz w:val="24"/>
        </w:rPr>
        <w:t>Section 7.4.D</w:t>
      </w:r>
      <w:r>
        <w:rPr>
          <w:sz w:val="24"/>
        </w:rPr>
        <w:t>, that is </w:t>
      </w:r>
      <w:r>
        <w:rPr>
          <w:spacing w:val="-3"/>
          <w:sz w:val="24"/>
        </w:rPr>
        <w:t>calculated based </w:t>
      </w:r>
      <w:r>
        <w:rPr>
          <w:sz w:val="24"/>
        </w:rPr>
        <w:t>on the </w:t>
      </w:r>
      <w:r>
        <w:rPr>
          <w:spacing w:val="-3"/>
          <w:sz w:val="24"/>
        </w:rPr>
        <w:t>following</w:t>
      </w:r>
      <w:r>
        <w:rPr>
          <w:spacing w:val="-10"/>
          <w:sz w:val="24"/>
        </w:rPr>
        <w:t> </w:t>
      </w:r>
      <w:r>
        <w:rPr>
          <w:spacing w:val="-4"/>
          <w:sz w:val="24"/>
        </w:rPr>
        <w:t>formula:</w:t>
      </w:r>
    </w:p>
    <w:p>
      <w:pPr>
        <w:pStyle w:val="BodyText"/>
        <w:spacing w:before="7"/>
        <w:rPr>
          <w:sz w:val="20"/>
        </w:rPr>
      </w:pPr>
      <w:r>
        <w:rPr/>
        <w:pict>
          <v:shape style="position:absolute;margin-left:124.199997pt;margin-top:14.095788pt;width:432pt;height:27.5pt;mso-position-horizontal-relative:page;mso-position-vertical-relative:paragraph;z-index:1048;mso-wrap-distance-left:0;mso-wrap-distance-right:0" type="#_x0000_t202" filled="false" stroked="true" strokeweight=".47998pt" strokecolor="#000000">
            <v:textbox inset="0,0,0,0">
              <w:txbxContent>
                <w:p>
                  <w:pPr>
                    <w:pStyle w:val="BodyText"/>
                    <w:tabs>
                      <w:tab w:pos="3393" w:val="left" w:leader="none"/>
                    </w:tabs>
                    <w:spacing w:before="131"/>
                    <w:ind w:left="300"/>
                  </w:pPr>
                  <w:r>
                    <w:rPr>
                      <w:spacing w:val="-3"/>
                    </w:rPr>
                    <w:t>(Conversion Factor)</w:t>
                  </w:r>
                  <w:r>
                    <w:rPr>
                      <w:spacing w:val="-4"/>
                    </w:rPr>
                    <w:t> </w:t>
                  </w:r>
                  <w:r>
                    <w:rPr/>
                    <w:t>x</w:t>
                  </w:r>
                  <w:r>
                    <w:rPr>
                      <w:spacing w:val="-4"/>
                    </w:rPr>
                    <w:t> </w:t>
                  </w:r>
                  <w:r>
                    <w:rPr>
                      <w:spacing w:val="-3"/>
                    </w:rPr>
                    <w:t>100%</w:t>
                    <w:tab/>
                  </w:r>
                  <w:r>
                    <w:rPr/>
                    <w:t>=  </w:t>
                  </w:r>
                  <w:r>
                    <w:rPr>
                      <w:spacing w:val="-3"/>
                    </w:rPr>
                    <w:t>Composite Performance</w:t>
                  </w:r>
                  <w:r>
                    <w:rPr>
                      <w:spacing w:val="-13"/>
                    </w:rPr>
                    <w:t> </w:t>
                  </w:r>
                  <w:r>
                    <w:rPr>
                      <w:spacing w:val="-3"/>
                    </w:rPr>
                    <w:t>Score</w:t>
                  </w:r>
                </w:p>
              </w:txbxContent>
            </v:textbox>
            <v:stroke dashstyle="solid"/>
            <w10:wrap type="topAndBottom"/>
          </v:shape>
        </w:pict>
      </w:r>
    </w:p>
    <w:p>
      <w:pPr>
        <w:pStyle w:val="BodyText"/>
        <w:spacing w:before="5"/>
        <w:rPr>
          <w:sz w:val="14"/>
        </w:rPr>
      </w:pPr>
    </w:p>
    <w:p>
      <w:pPr>
        <w:pStyle w:val="ListParagraph"/>
        <w:numPr>
          <w:ilvl w:val="2"/>
          <w:numId w:val="13"/>
        </w:numPr>
        <w:tabs>
          <w:tab w:pos="1012" w:val="left" w:leader="none"/>
        </w:tabs>
        <w:spacing w:line="242" w:lineRule="auto" w:before="90" w:after="0"/>
        <w:ind w:left="1012" w:right="394" w:hanging="360"/>
        <w:jc w:val="left"/>
        <w:rPr>
          <w:sz w:val="24"/>
        </w:rPr>
      </w:pPr>
      <w:r>
        <w:rPr>
          <w:b/>
          <w:sz w:val="24"/>
        </w:rPr>
        <w:t>Performance Evaluation Periods</w:t>
      </w:r>
      <w:r>
        <w:rPr>
          <w:i/>
          <w:sz w:val="24"/>
        </w:rPr>
        <w:t>. </w:t>
      </w:r>
      <w:r>
        <w:rPr>
          <w:sz w:val="24"/>
        </w:rPr>
        <w:t>In RY14, the following performance evaluation periods apply:</w:t>
      </w:r>
    </w:p>
    <w:p>
      <w:pPr>
        <w:pStyle w:val="ListParagraph"/>
        <w:numPr>
          <w:ilvl w:val="3"/>
          <w:numId w:val="13"/>
        </w:numPr>
        <w:tabs>
          <w:tab w:pos="1372" w:val="left" w:leader="none"/>
        </w:tabs>
        <w:spacing w:line="244" w:lineRule="auto" w:before="184" w:after="0"/>
        <w:ind w:left="1372" w:right="168" w:hanging="360"/>
        <w:jc w:val="left"/>
        <w:rPr>
          <w:sz w:val="24"/>
        </w:rPr>
      </w:pPr>
      <w:r>
        <w:rPr>
          <w:b/>
          <w:sz w:val="24"/>
        </w:rPr>
        <w:t>Individual Measures: </w:t>
      </w:r>
      <w:r>
        <w:rPr>
          <w:sz w:val="24"/>
        </w:rPr>
        <w:t>Individual measures will be evaluated using calendar year measures data reported in the comparison year (January 1, 2013 to December 31, 2013 discharge period) and previous year’s reported data (January 1, 2012 to December 31, 2012 discharge period). For detailed information about comparative performance periods that apply to individual measures, refer to the applicable </w:t>
      </w:r>
      <w:r>
        <w:rPr>
          <w:i/>
          <w:sz w:val="24"/>
        </w:rPr>
        <w:t>EOHHS Technical Specifications </w:t>
      </w:r>
      <w:r>
        <w:rPr>
          <w:i/>
          <w:sz w:val="24"/>
        </w:rPr>
        <w:t>Manual </w:t>
      </w:r>
      <w:r>
        <w:rPr>
          <w:sz w:val="24"/>
        </w:rPr>
        <w:t>version listed in </w:t>
      </w:r>
      <w:r>
        <w:rPr>
          <w:b/>
          <w:sz w:val="24"/>
        </w:rPr>
        <w:t>Section</w:t>
      </w:r>
      <w:r>
        <w:rPr>
          <w:b/>
          <w:spacing w:val="-1"/>
          <w:sz w:val="24"/>
        </w:rPr>
        <w:t> </w:t>
      </w:r>
      <w:r>
        <w:rPr>
          <w:b/>
          <w:sz w:val="24"/>
        </w:rPr>
        <w:t>7.6.A</w:t>
      </w:r>
      <w:r>
        <w:rPr>
          <w:sz w:val="24"/>
        </w:rPr>
        <w:t>.</w:t>
      </w:r>
    </w:p>
    <w:p>
      <w:pPr>
        <w:pStyle w:val="ListParagraph"/>
        <w:numPr>
          <w:ilvl w:val="3"/>
          <w:numId w:val="13"/>
        </w:numPr>
        <w:tabs>
          <w:tab w:pos="1372" w:val="left" w:leader="none"/>
        </w:tabs>
        <w:spacing w:line="244" w:lineRule="auto" w:before="182" w:after="0"/>
        <w:ind w:left="1372" w:right="113" w:hanging="360"/>
        <w:jc w:val="left"/>
        <w:rPr>
          <w:sz w:val="24"/>
        </w:rPr>
      </w:pPr>
      <w:r>
        <w:rPr>
          <w:b/>
          <w:sz w:val="24"/>
        </w:rPr>
        <w:t>Health Disparities Composite Measure: </w:t>
      </w:r>
      <w:r>
        <w:rPr>
          <w:sz w:val="24"/>
        </w:rPr>
        <w:t>each Hospital’s performance score will be evaluated using all applicable measures data reported, pursuant to </w:t>
      </w:r>
      <w:r>
        <w:rPr>
          <w:b/>
          <w:sz w:val="24"/>
        </w:rPr>
        <w:t>Section 7.4.A.2</w:t>
      </w:r>
      <w:r>
        <w:rPr>
          <w:sz w:val="24"/>
        </w:rPr>
        <w:t>, for the calendar year (January 1, 2013 to December 31, 2013) discharge periods </w:t>
      </w:r>
      <w:r>
        <w:rPr>
          <w:i/>
          <w:sz w:val="24"/>
        </w:rPr>
        <w:t>only</w:t>
      </w:r>
      <w:r>
        <w:rPr>
          <w:sz w:val="24"/>
        </w:rPr>
        <w:t>. The decile ranking method evaluates performance on a year-by-year basis and does not use comparison year data. Each year the Hospital’s performance rank will be determined using the decile ranking method described in </w:t>
      </w:r>
      <w:r>
        <w:rPr>
          <w:b/>
          <w:sz w:val="24"/>
        </w:rPr>
        <w:t>Section</w:t>
      </w:r>
      <w:r>
        <w:rPr>
          <w:b/>
          <w:spacing w:val="-3"/>
          <w:sz w:val="24"/>
        </w:rPr>
        <w:t> </w:t>
      </w:r>
      <w:r>
        <w:rPr>
          <w:b/>
          <w:sz w:val="24"/>
        </w:rPr>
        <w:t>7.4.D</w:t>
      </w:r>
      <w:r>
        <w:rPr>
          <w:sz w:val="24"/>
        </w:rPr>
        <w:t>.</w:t>
      </w:r>
    </w:p>
    <w:p>
      <w:pPr>
        <w:pStyle w:val="BodyText"/>
        <w:spacing w:before="1"/>
        <w:rPr>
          <w:sz w:val="21"/>
        </w:rPr>
      </w:pPr>
    </w:p>
    <w:p>
      <w:pPr>
        <w:pStyle w:val="Heading2"/>
        <w:numPr>
          <w:ilvl w:val="1"/>
          <w:numId w:val="13"/>
        </w:numPr>
        <w:tabs>
          <w:tab w:pos="658" w:val="left" w:leader="none"/>
          <w:tab w:pos="659" w:val="left" w:leader="none"/>
        </w:tabs>
        <w:spacing w:line="240" w:lineRule="auto" w:before="0" w:after="0"/>
        <w:ind w:left="658" w:right="0" w:hanging="546"/>
        <w:jc w:val="left"/>
      </w:pPr>
      <w:r>
        <w:rPr>
          <w:spacing w:val="-3"/>
        </w:rPr>
        <w:t>Pay-for-Performance (P4P) Payment Calculation</w:t>
      </w:r>
      <w:r>
        <w:rPr>
          <w:spacing w:val="-11"/>
        </w:rPr>
        <w:t> </w:t>
      </w:r>
      <w:r>
        <w:rPr>
          <w:spacing w:val="-3"/>
        </w:rPr>
        <w:t>Methods</w:t>
      </w:r>
    </w:p>
    <w:p>
      <w:pPr>
        <w:pStyle w:val="BodyText"/>
        <w:spacing w:line="244" w:lineRule="auto" w:before="244"/>
        <w:ind w:left="741" w:right="146"/>
      </w:pPr>
      <w:r>
        <w:rPr/>
        <w:t>As set forth in </w:t>
      </w:r>
      <w:r>
        <w:rPr>
          <w:b/>
        </w:rPr>
        <w:t>Section 7.4 </w:t>
      </w:r>
      <w:r>
        <w:rPr/>
        <w:t>of this RFA, a Hospital may qualify to earn P4P payments if they meet data completeness requirements, data validation requirements and achieve performance thresholds for measures listed in </w:t>
      </w:r>
      <w:r>
        <w:rPr>
          <w:b/>
        </w:rPr>
        <w:t>Section 7.3 </w:t>
      </w:r>
      <w:r>
        <w:rPr/>
        <w:t>of this RFA. Each measure set’s performance is calculated from the calendar year reported data, using the methods outlined in </w:t>
      </w:r>
      <w:r>
        <w:rPr>
          <w:b/>
        </w:rPr>
        <w:t>Section 7.4 </w:t>
      </w:r>
      <w:r>
        <w:rPr/>
        <w:t>to produce performance scores that are converted into P4P payments. This section describes the methods used to convert individual and composite measure performance scores into hospital P4P payments.</w:t>
      </w:r>
    </w:p>
    <w:p>
      <w:pPr>
        <w:pStyle w:val="BodyText"/>
        <w:spacing w:before="5"/>
      </w:pPr>
    </w:p>
    <w:p>
      <w:pPr>
        <w:pStyle w:val="ListParagraph"/>
        <w:numPr>
          <w:ilvl w:val="0"/>
          <w:numId w:val="17"/>
        </w:numPr>
        <w:tabs>
          <w:tab w:pos="1012" w:val="left" w:leader="none"/>
        </w:tabs>
        <w:spacing w:line="242" w:lineRule="auto" w:before="0" w:after="0"/>
        <w:ind w:left="1012" w:right="315" w:hanging="360"/>
        <w:jc w:val="left"/>
        <w:rPr>
          <w:sz w:val="24"/>
        </w:rPr>
      </w:pPr>
      <w:r>
        <w:rPr>
          <w:b/>
          <w:spacing w:val="-3"/>
          <w:sz w:val="24"/>
        </w:rPr>
        <w:t>Incentive Payment Approach. </w:t>
      </w:r>
      <w:r>
        <w:rPr>
          <w:sz w:val="24"/>
        </w:rPr>
        <w:t>In </w:t>
      </w:r>
      <w:r>
        <w:rPr>
          <w:spacing w:val="-3"/>
          <w:sz w:val="24"/>
        </w:rPr>
        <w:t>RY14, incentive payment approaches will </w:t>
      </w:r>
      <w:r>
        <w:rPr>
          <w:sz w:val="24"/>
        </w:rPr>
        <w:t>be </w:t>
      </w:r>
      <w:r>
        <w:rPr>
          <w:spacing w:val="-3"/>
          <w:sz w:val="24"/>
        </w:rPr>
        <w:t>based </w:t>
      </w:r>
      <w:r>
        <w:rPr>
          <w:sz w:val="24"/>
        </w:rPr>
        <w:t>on </w:t>
      </w:r>
      <w:r>
        <w:rPr>
          <w:spacing w:val="-3"/>
          <w:sz w:val="24"/>
        </w:rPr>
        <w:t>both pay-for-performance </w:t>
      </w:r>
      <w:r>
        <w:rPr>
          <w:sz w:val="24"/>
        </w:rPr>
        <w:t>and </w:t>
      </w:r>
      <w:r>
        <w:rPr>
          <w:spacing w:val="-3"/>
          <w:sz w:val="24"/>
        </w:rPr>
        <w:t>pay-for-reporting </w:t>
      </w:r>
      <w:r>
        <w:rPr>
          <w:sz w:val="24"/>
        </w:rPr>
        <w:t>as </w:t>
      </w:r>
      <w:r>
        <w:rPr>
          <w:spacing w:val="-3"/>
          <w:sz w:val="24"/>
        </w:rPr>
        <w:t>described</w:t>
      </w:r>
      <w:r>
        <w:rPr>
          <w:spacing w:val="-21"/>
          <w:sz w:val="24"/>
        </w:rPr>
        <w:t> </w:t>
      </w:r>
      <w:r>
        <w:rPr>
          <w:spacing w:val="-3"/>
          <w:sz w:val="24"/>
        </w:rPr>
        <w:t>below:</w:t>
      </w:r>
    </w:p>
    <w:p>
      <w:pPr>
        <w:pStyle w:val="BodyText"/>
        <w:spacing w:before="5"/>
      </w:pPr>
    </w:p>
    <w:p>
      <w:pPr>
        <w:pStyle w:val="ListParagraph"/>
        <w:numPr>
          <w:ilvl w:val="1"/>
          <w:numId w:val="17"/>
        </w:numPr>
        <w:tabs>
          <w:tab w:pos="1372" w:val="left" w:leader="none"/>
        </w:tabs>
        <w:spacing w:line="244" w:lineRule="auto" w:before="0" w:after="0"/>
        <w:ind w:left="1372" w:right="100" w:hanging="360"/>
        <w:jc w:val="left"/>
        <w:rPr>
          <w:sz w:val="24"/>
        </w:rPr>
      </w:pPr>
      <w:r>
        <w:rPr>
          <w:b/>
          <w:i/>
          <w:spacing w:val="-3"/>
          <w:sz w:val="24"/>
        </w:rPr>
        <w:t>Pay-for-Performance Measures</w:t>
      </w:r>
      <w:r>
        <w:rPr>
          <w:spacing w:val="-3"/>
          <w:sz w:val="24"/>
        </w:rPr>
        <w:t>: Incentive payments </w:t>
      </w:r>
      <w:r>
        <w:rPr>
          <w:sz w:val="24"/>
        </w:rPr>
        <w:t>on the </w:t>
      </w:r>
      <w:r>
        <w:rPr>
          <w:spacing w:val="-3"/>
          <w:sz w:val="24"/>
        </w:rPr>
        <w:t>existing measure sets, listed in </w:t>
      </w:r>
      <w:r>
        <w:rPr>
          <w:b/>
          <w:spacing w:val="-3"/>
          <w:sz w:val="24"/>
        </w:rPr>
        <w:t>Table </w:t>
      </w:r>
      <w:r>
        <w:rPr>
          <w:b/>
          <w:sz w:val="24"/>
        </w:rPr>
        <w:t>7-1 </w:t>
      </w:r>
      <w:r>
        <w:rPr>
          <w:spacing w:val="-3"/>
          <w:sz w:val="24"/>
        </w:rPr>
        <w:t>(maternity, pediatric asthma, </w:t>
      </w:r>
      <w:r>
        <w:rPr>
          <w:spacing w:val="-4"/>
          <w:sz w:val="24"/>
        </w:rPr>
        <w:t>community </w:t>
      </w:r>
      <w:r>
        <w:rPr>
          <w:spacing w:val="-3"/>
          <w:sz w:val="24"/>
        </w:rPr>
        <w:t>acquired pneumonia, surgical care infection prevention, care coordination, </w:t>
      </w:r>
      <w:r>
        <w:rPr>
          <w:sz w:val="24"/>
        </w:rPr>
        <w:t>and </w:t>
      </w:r>
      <w:r>
        <w:rPr>
          <w:spacing w:val="-3"/>
          <w:sz w:val="24"/>
        </w:rPr>
        <w:t>health disparities), will </w:t>
      </w:r>
      <w:r>
        <w:rPr>
          <w:sz w:val="24"/>
        </w:rPr>
        <w:t>be </w:t>
      </w:r>
      <w:r>
        <w:rPr>
          <w:spacing w:val="-3"/>
          <w:sz w:val="24"/>
        </w:rPr>
        <w:t>contingent </w:t>
      </w:r>
      <w:r>
        <w:rPr>
          <w:sz w:val="24"/>
        </w:rPr>
        <w:t>on </w:t>
      </w:r>
      <w:r>
        <w:rPr>
          <w:spacing w:val="-4"/>
          <w:sz w:val="24"/>
        </w:rPr>
        <w:t>meeting </w:t>
      </w:r>
      <w:r>
        <w:rPr>
          <w:spacing w:val="-3"/>
          <w:sz w:val="24"/>
        </w:rPr>
        <w:t>data validation standards </w:t>
      </w:r>
      <w:r>
        <w:rPr>
          <w:sz w:val="24"/>
        </w:rPr>
        <w:t>and </w:t>
      </w:r>
      <w:r>
        <w:rPr>
          <w:spacing w:val="-3"/>
          <w:sz w:val="24"/>
        </w:rPr>
        <w:t>achieving performance thresholds </w:t>
      </w:r>
      <w:r>
        <w:rPr>
          <w:sz w:val="24"/>
        </w:rPr>
        <w:t>set </w:t>
      </w:r>
      <w:r>
        <w:rPr>
          <w:spacing w:val="-3"/>
          <w:sz w:val="24"/>
        </w:rPr>
        <w:t>forth under </w:t>
      </w:r>
      <w:r>
        <w:rPr>
          <w:b/>
          <w:spacing w:val="-3"/>
          <w:sz w:val="24"/>
        </w:rPr>
        <w:t>Section 7.4  </w:t>
      </w:r>
      <w:r>
        <w:rPr>
          <w:sz w:val="24"/>
        </w:rPr>
        <w:t>of </w:t>
      </w:r>
      <w:r>
        <w:rPr>
          <w:spacing w:val="-3"/>
          <w:sz w:val="24"/>
        </w:rPr>
        <w:t>this</w:t>
      </w:r>
      <w:r>
        <w:rPr>
          <w:spacing w:val="-11"/>
          <w:sz w:val="24"/>
        </w:rPr>
        <w:t> </w:t>
      </w:r>
      <w:r>
        <w:rPr>
          <w:spacing w:val="-3"/>
          <w:sz w:val="24"/>
        </w:rPr>
        <w:t>RFA.</w:t>
      </w:r>
    </w:p>
    <w:p>
      <w:pPr>
        <w:spacing w:after="0" w:line="244" w:lineRule="auto"/>
        <w:jc w:val="left"/>
        <w:rPr>
          <w:sz w:val="24"/>
        </w:rPr>
        <w:sectPr>
          <w:pgSz w:w="12240" w:h="15840"/>
          <w:pgMar w:header="0" w:footer="744" w:top="1440" w:bottom="940" w:left="1040" w:right="980"/>
        </w:sectPr>
      </w:pPr>
    </w:p>
    <w:p>
      <w:pPr>
        <w:pStyle w:val="ListParagraph"/>
        <w:numPr>
          <w:ilvl w:val="1"/>
          <w:numId w:val="17"/>
        </w:numPr>
        <w:tabs>
          <w:tab w:pos="832" w:val="left" w:leader="none"/>
        </w:tabs>
        <w:spacing w:line="242" w:lineRule="auto" w:before="62" w:after="0"/>
        <w:ind w:left="832" w:right="173" w:hanging="360"/>
        <w:jc w:val="left"/>
        <w:rPr>
          <w:sz w:val="24"/>
        </w:rPr>
      </w:pPr>
      <w:r>
        <w:rPr>
          <w:b/>
          <w:i/>
          <w:spacing w:val="-3"/>
          <w:sz w:val="24"/>
        </w:rPr>
        <w:t>Pay-for-Reporting Measures</w:t>
      </w:r>
      <w:r>
        <w:rPr>
          <w:spacing w:val="-3"/>
          <w:sz w:val="24"/>
        </w:rPr>
        <w:t>: </w:t>
      </w:r>
      <w:r>
        <w:rPr>
          <w:sz w:val="24"/>
        </w:rPr>
        <w:t>In </w:t>
      </w:r>
      <w:r>
        <w:rPr>
          <w:spacing w:val="-3"/>
          <w:sz w:val="24"/>
        </w:rPr>
        <w:t>RY14, </w:t>
      </w:r>
      <w:r>
        <w:rPr>
          <w:sz w:val="24"/>
        </w:rPr>
        <w:t>the </w:t>
      </w:r>
      <w:r>
        <w:rPr>
          <w:spacing w:val="-3"/>
          <w:sz w:val="24"/>
        </w:rPr>
        <w:t>pay-for-reporting measure applies </w:t>
      </w:r>
      <w:r>
        <w:rPr>
          <w:i/>
          <w:spacing w:val="-3"/>
          <w:sz w:val="24"/>
        </w:rPr>
        <w:t>solely </w:t>
      </w:r>
      <w:r>
        <w:rPr>
          <w:sz w:val="24"/>
        </w:rPr>
        <w:t>to </w:t>
      </w:r>
      <w:r>
        <w:rPr>
          <w:spacing w:val="-3"/>
          <w:sz w:val="24"/>
        </w:rPr>
        <w:t>the emergency department measure set. Incentive payments will </w:t>
      </w:r>
      <w:r>
        <w:rPr>
          <w:sz w:val="24"/>
        </w:rPr>
        <w:t>be </w:t>
      </w:r>
      <w:r>
        <w:rPr>
          <w:spacing w:val="-3"/>
          <w:sz w:val="24"/>
        </w:rPr>
        <w:t>contingent </w:t>
      </w:r>
      <w:r>
        <w:rPr>
          <w:sz w:val="24"/>
        </w:rPr>
        <w:t>on </w:t>
      </w:r>
      <w:r>
        <w:rPr>
          <w:spacing w:val="-3"/>
          <w:sz w:val="24"/>
        </w:rPr>
        <w:t>meeting the data validation standard (.80) </w:t>
      </w:r>
      <w:r>
        <w:rPr>
          <w:sz w:val="24"/>
        </w:rPr>
        <w:t>for the </w:t>
      </w:r>
      <w:r>
        <w:rPr>
          <w:spacing w:val="-3"/>
          <w:sz w:val="24"/>
        </w:rPr>
        <w:t>measure’s required data elements. Performance scoring will apply </w:t>
      </w:r>
      <w:r>
        <w:rPr>
          <w:sz w:val="24"/>
        </w:rPr>
        <w:t>a </w:t>
      </w:r>
      <w:r>
        <w:rPr>
          <w:spacing w:val="-3"/>
          <w:sz w:val="24"/>
        </w:rPr>
        <w:t>“Pass/Fail” criterion based </w:t>
      </w:r>
      <w:r>
        <w:rPr>
          <w:i/>
          <w:spacing w:val="-3"/>
          <w:sz w:val="24"/>
          <w:u w:val="single"/>
        </w:rPr>
        <w:t>solely</w:t>
      </w:r>
      <w:r>
        <w:rPr>
          <w:i/>
          <w:spacing w:val="-3"/>
          <w:sz w:val="24"/>
        </w:rPr>
        <w:t> </w:t>
      </w:r>
      <w:r>
        <w:rPr>
          <w:sz w:val="24"/>
        </w:rPr>
        <w:t>on </w:t>
      </w:r>
      <w:r>
        <w:rPr>
          <w:spacing w:val="-3"/>
          <w:sz w:val="24"/>
        </w:rPr>
        <w:t>meeting </w:t>
      </w:r>
      <w:r>
        <w:rPr>
          <w:sz w:val="24"/>
        </w:rPr>
        <w:t>the </w:t>
      </w:r>
      <w:r>
        <w:rPr>
          <w:spacing w:val="-3"/>
          <w:sz w:val="24"/>
        </w:rPr>
        <w:t>data validation standard (.80) requirement. Hospitals that fail validation will receive </w:t>
      </w:r>
      <w:r>
        <w:rPr>
          <w:sz w:val="24"/>
        </w:rPr>
        <w:t>a </w:t>
      </w:r>
      <w:r>
        <w:rPr>
          <w:spacing w:val="-3"/>
          <w:sz w:val="24"/>
        </w:rPr>
        <w:t>performance score </w:t>
      </w:r>
      <w:r>
        <w:rPr>
          <w:sz w:val="24"/>
        </w:rPr>
        <w:t>of 0%, </w:t>
      </w:r>
      <w:r>
        <w:rPr>
          <w:spacing w:val="-3"/>
          <w:sz w:val="24"/>
        </w:rPr>
        <w:t>and Hospitals that pass validation will receive </w:t>
      </w:r>
      <w:r>
        <w:rPr>
          <w:sz w:val="24"/>
        </w:rPr>
        <w:t>a </w:t>
      </w:r>
      <w:r>
        <w:rPr>
          <w:spacing w:val="-3"/>
          <w:sz w:val="24"/>
        </w:rPr>
        <w:t>performance score </w:t>
      </w:r>
      <w:r>
        <w:rPr>
          <w:sz w:val="24"/>
        </w:rPr>
        <w:t>of</w:t>
      </w:r>
      <w:r>
        <w:rPr>
          <w:spacing w:val="-7"/>
          <w:sz w:val="24"/>
        </w:rPr>
        <w:t> </w:t>
      </w:r>
      <w:r>
        <w:rPr>
          <w:spacing w:val="-3"/>
          <w:sz w:val="24"/>
        </w:rPr>
        <w:t>100%.</w:t>
      </w:r>
    </w:p>
    <w:p>
      <w:pPr>
        <w:pStyle w:val="BodyText"/>
        <w:spacing w:before="8"/>
      </w:pPr>
    </w:p>
    <w:p>
      <w:pPr>
        <w:pStyle w:val="ListParagraph"/>
        <w:numPr>
          <w:ilvl w:val="0"/>
          <w:numId w:val="17"/>
        </w:numPr>
        <w:tabs>
          <w:tab w:pos="472" w:val="left" w:leader="none"/>
        </w:tabs>
        <w:spacing w:line="242" w:lineRule="auto" w:before="0" w:after="0"/>
        <w:ind w:left="472" w:right="958" w:hanging="360"/>
        <w:jc w:val="left"/>
        <w:rPr>
          <w:sz w:val="24"/>
        </w:rPr>
      </w:pPr>
      <w:r>
        <w:rPr>
          <w:b/>
          <w:sz w:val="24"/>
        </w:rPr>
        <w:t>Payment Calculation. </w:t>
      </w:r>
      <w:r>
        <w:rPr>
          <w:sz w:val="24"/>
        </w:rPr>
        <w:t>Incentive payments for each quality measure category will be calculated using methods described</w:t>
      </w:r>
      <w:r>
        <w:rPr>
          <w:spacing w:val="-2"/>
          <w:sz w:val="24"/>
        </w:rPr>
        <w:t> </w:t>
      </w:r>
      <w:r>
        <w:rPr>
          <w:sz w:val="24"/>
        </w:rPr>
        <w:t>below.</w:t>
      </w:r>
    </w:p>
    <w:p>
      <w:pPr>
        <w:pStyle w:val="BodyText"/>
        <w:spacing w:before="3"/>
      </w:pPr>
    </w:p>
    <w:p>
      <w:pPr>
        <w:pStyle w:val="ListParagraph"/>
        <w:numPr>
          <w:ilvl w:val="0"/>
          <w:numId w:val="18"/>
        </w:numPr>
        <w:tabs>
          <w:tab w:pos="831" w:val="left" w:leader="none"/>
          <w:tab w:pos="832" w:val="left" w:leader="none"/>
        </w:tabs>
        <w:spacing w:line="247" w:lineRule="auto" w:before="1" w:after="0"/>
        <w:ind w:left="832" w:right="166" w:hanging="488"/>
        <w:jc w:val="left"/>
        <w:rPr>
          <w:sz w:val="24"/>
        </w:rPr>
      </w:pPr>
      <w:r>
        <w:rPr>
          <w:i/>
          <w:sz w:val="24"/>
        </w:rPr>
        <w:t>Maximum Allocated Amount</w:t>
      </w:r>
      <w:r>
        <w:rPr>
          <w:sz w:val="24"/>
        </w:rPr>
        <w:t>. Incentive payments under the RFA may cumulatively total no more than the maximum amount allotted for each quality measure category in </w:t>
      </w:r>
      <w:r>
        <w:rPr>
          <w:b/>
          <w:sz w:val="24"/>
        </w:rPr>
        <w:t>Table 7- 3 </w:t>
      </w:r>
      <w:r>
        <w:rPr>
          <w:sz w:val="24"/>
        </w:rPr>
        <w:t>below.</w:t>
      </w:r>
    </w:p>
    <w:p>
      <w:pPr>
        <w:pStyle w:val="BodyText"/>
        <w:spacing w:before="2"/>
      </w:pPr>
    </w:p>
    <w:p>
      <w:pPr>
        <w:pStyle w:val="Heading3"/>
        <w:spacing w:before="1"/>
        <w:ind w:left="2502" w:firstLine="0"/>
      </w:pPr>
      <w:r>
        <w:rPr/>
        <w:t>Table 7-3. Payment Calculation Components</w:t>
      </w:r>
    </w:p>
    <w:p>
      <w:pPr>
        <w:pStyle w:val="BodyText"/>
        <w:spacing w:before="5"/>
        <w:rPr>
          <w:b/>
          <w:sz w:val="25"/>
        </w:rPr>
      </w:pPr>
    </w:p>
    <w:tbl>
      <w:tblPr>
        <w:tblW w:w="0" w:type="auto"/>
        <w:jc w:val="left"/>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7"/>
        <w:gridCol w:w="2013"/>
        <w:gridCol w:w="1471"/>
        <w:gridCol w:w="1675"/>
      </w:tblGrid>
      <w:tr>
        <w:trPr>
          <w:trHeight w:val="920" w:hRule="atLeast"/>
        </w:trPr>
        <w:tc>
          <w:tcPr>
            <w:tcW w:w="3697" w:type="dxa"/>
          </w:tcPr>
          <w:p>
            <w:pPr>
              <w:pStyle w:val="TableParagraph"/>
              <w:spacing w:line="222" w:lineRule="exact"/>
              <w:ind w:left="754"/>
              <w:rPr>
                <w:rFonts w:ascii="Times New Roman"/>
                <w:b/>
                <w:sz w:val="20"/>
              </w:rPr>
            </w:pPr>
            <w:r>
              <w:rPr>
                <w:rFonts w:ascii="Times New Roman"/>
                <w:b/>
                <w:sz w:val="20"/>
              </w:rPr>
              <w:t>Quality Measure Category</w:t>
            </w:r>
          </w:p>
        </w:tc>
        <w:tc>
          <w:tcPr>
            <w:tcW w:w="2013" w:type="dxa"/>
          </w:tcPr>
          <w:p>
            <w:pPr>
              <w:pStyle w:val="TableParagraph"/>
              <w:spacing w:line="244" w:lineRule="auto"/>
              <w:ind w:left="247" w:right="185" w:firstLine="313"/>
              <w:rPr>
                <w:rFonts w:ascii="Times New Roman"/>
                <w:b/>
                <w:sz w:val="20"/>
              </w:rPr>
            </w:pPr>
            <w:r>
              <w:rPr>
                <w:rFonts w:ascii="Times New Roman"/>
                <w:b/>
                <w:sz w:val="20"/>
              </w:rPr>
              <w:t>Maximum Allocated Amount</w:t>
            </w:r>
          </w:p>
        </w:tc>
        <w:tc>
          <w:tcPr>
            <w:tcW w:w="1471" w:type="dxa"/>
          </w:tcPr>
          <w:p>
            <w:pPr>
              <w:pStyle w:val="TableParagraph"/>
              <w:spacing w:line="244" w:lineRule="auto"/>
              <w:ind w:left="180" w:right="215"/>
              <w:jc w:val="center"/>
              <w:rPr>
                <w:rFonts w:ascii="Times New Roman"/>
                <w:b/>
                <w:sz w:val="20"/>
              </w:rPr>
            </w:pPr>
            <w:r>
              <w:rPr>
                <w:rFonts w:ascii="Times New Roman"/>
                <w:b/>
                <w:sz w:val="20"/>
              </w:rPr>
              <w:t>Estimated Eligible Medicaid</w:t>
            </w:r>
          </w:p>
          <w:p>
            <w:pPr>
              <w:pStyle w:val="TableParagraph"/>
              <w:spacing w:line="216" w:lineRule="exact" w:before="9"/>
              <w:ind w:left="181" w:right="215"/>
              <w:jc w:val="center"/>
              <w:rPr>
                <w:rFonts w:ascii="Times New Roman"/>
                <w:b/>
                <w:sz w:val="20"/>
              </w:rPr>
            </w:pPr>
            <w:r>
              <w:rPr>
                <w:rFonts w:ascii="Times New Roman"/>
                <w:b/>
                <w:sz w:val="20"/>
              </w:rPr>
              <w:t>Discharges*</w:t>
            </w:r>
          </w:p>
        </w:tc>
        <w:tc>
          <w:tcPr>
            <w:tcW w:w="1675" w:type="dxa"/>
          </w:tcPr>
          <w:p>
            <w:pPr>
              <w:pStyle w:val="TableParagraph"/>
              <w:spacing w:line="244" w:lineRule="auto"/>
              <w:ind w:left="133" w:right="116"/>
              <w:jc w:val="center"/>
              <w:rPr>
                <w:rFonts w:ascii="Times New Roman"/>
                <w:b/>
                <w:sz w:val="20"/>
              </w:rPr>
            </w:pPr>
            <w:r>
              <w:rPr>
                <w:rFonts w:ascii="Times New Roman"/>
                <w:b/>
                <w:sz w:val="20"/>
              </w:rPr>
              <w:t>Estimated Per Discharge Amount*</w:t>
            </w:r>
          </w:p>
        </w:tc>
      </w:tr>
      <w:tr>
        <w:trPr>
          <w:trHeight w:val="280" w:hRule="atLeast"/>
        </w:trPr>
        <w:tc>
          <w:tcPr>
            <w:tcW w:w="3697" w:type="dxa"/>
          </w:tcPr>
          <w:p>
            <w:pPr>
              <w:pStyle w:val="TableParagraph"/>
              <w:spacing w:line="272" w:lineRule="exact"/>
              <w:ind w:left="108"/>
              <w:rPr>
                <w:rFonts w:ascii="Times New Roman"/>
                <w:sz w:val="24"/>
              </w:rPr>
            </w:pPr>
            <w:r>
              <w:rPr>
                <w:rFonts w:ascii="Times New Roman"/>
                <w:sz w:val="24"/>
              </w:rPr>
              <w:t>Maternity</w:t>
            </w:r>
          </w:p>
        </w:tc>
        <w:tc>
          <w:tcPr>
            <w:tcW w:w="2013" w:type="dxa"/>
          </w:tcPr>
          <w:p>
            <w:pPr>
              <w:pStyle w:val="TableParagraph"/>
              <w:spacing w:line="272" w:lineRule="exact"/>
              <w:ind w:left="378" w:right="273"/>
              <w:jc w:val="center"/>
              <w:rPr>
                <w:rFonts w:ascii="Times New Roman"/>
                <w:sz w:val="24"/>
              </w:rPr>
            </w:pPr>
            <w:r>
              <w:rPr>
                <w:rFonts w:ascii="Times New Roman"/>
                <w:sz w:val="24"/>
              </w:rPr>
              <w:t>$ 21,500,000</w:t>
            </w:r>
          </w:p>
        </w:tc>
        <w:tc>
          <w:tcPr>
            <w:tcW w:w="1471" w:type="dxa"/>
          </w:tcPr>
          <w:p>
            <w:pPr>
              <w:pStyle w:val="TableParagraph"/>
              <w:spacing w:line="272" w:lineRule="exact"/>
              <w:ind w:left="179" w:right="215"/>
              <w:jc w:val="center"/>
              <w:rPr>
                <w:rFonts w:ascii="Times New Roman"/>
                <w:sz w:val="24"/>
              </w:rPr>
            </w:pPr>
            <w:r>
              <w:rPr>
                <w:rFonts w:ascii="Times New Roman"/>
                <w:sz w:val="24"/>
              </w:rPr>
              <w:t>12,976</w:t>
            </w:r>
          </w:p>
        </w:tc>
        <w:tc>
          <w:tcPr>
            <w:tcW w:w="1675" w:type="dxa"/>
          </w:tcPr>
          <w:p>
            <w:pPr>
              <w:pStyle w:val="TableParagraph"/>
              <w:spacing w:line="272" w:lineRule="exact"/>
              <w:ind w:left="133"/>
              <w:jc w:val="center"/>
              <w:rPr>
                <w:rFonts w:ascii="Times New Roman"/>
                <w:sz w:val="24"/>
              </w:rPr>
            </w:pPr>
            <w:r>
              <w:rPr>
                <w:rFonts w:ascii="Times New Roman"/>
                <w:sz w:val="24"/>
              </w:rPr>
              <w:t>$  1,656.91</w:t>
            </w:r>
          </w:p>
        </w:tc>
      </w:tr>
      <w:tr>
        <w:trPr>
          <w:trHeight w:val="300" w:hRule="atLeast"/>
        </w:trPr>
        <w:tc>
          <w:tcPr>
            <w:tcW w:w="3697" w:type="dxa"/>
          </w:tcPr>
          <w:p>
            <w:pPr>
              <w:pStyle w:val="TableParagraph"/>
              <w:spacing w:line="240" w:lineRule="auto" w:before="14"/>
              <w:ind w:left="108"/>
              <w:rPr>
                <w:rFonts w:ascii="Times New Roman"/>
                <w:sz w:val="24"/>
              </w:rPr>
            </w:pPr>
            <w:r>
              <w:rPr>
                <w:rFonts w:ascii="Times New Roman"/>
                <w:sz w:val="24"/>
              </w:rPr>
              <w:t>Pediatric Asthma</w:t>
            </w:r>
          </w:p>
        </w:tc>
        <w:tc>
          <w:tcPr>
            <w:tcW w:w="2013" w:type="dxa"/>
          </w:tcPr>
          <w:p>
            <w:pPr>
              <w:pStyle w:val="TableParagraph"/>
              <w:spacing w:line="240" w:lineRule="auto" w:before="14"/>
              <w:ind w:left="378" w:right="272"/>
              <w:jc w:val="center"/>
              <w:rPr>
                <w:rFonts w:ascii="Times New Roman"/>
                <w:sz w:val="24"/>
              </w:rPr>
            </w:pPr>
            <w:r>
              <w:rPr>
                <w:rFonts w:ascii="Times New Roman"/>
                <w:sz w:val="24"/>
              </w:rPr>
              <w:t>$ </w:t>
            </w:r>
            <w:r>
              <w:rPr>
                <w:rFonts w:ascii="Times New Roman"/>
                <w:spacing w:val="60"/>
                <w:sz w:val="24"/>
              </w:rPr>
              <w:t> </w:t>
            </w:r>
            <w:r>
              <w:rPr>
                <w:rFonts w:ascii="Times New Roman"/>
                <w:sz w:val="24"/>
              </w:rPr>
              <w:t>1,500,000</w:t>
            </w:r>
          </w:p>
        </w:tc>
        <w:tc>
          <w:tcPr>
            <w:tcW w:w="1471" w:type="dxa"/>
          </w:tcPr>
          <w:p>
            <w:pPr>
              <w:pStyle w:val="TableParagraph"/>
              <w:spacing w:line="240" w:lineRule="auto" w:before="14"/>
              <w:ind w:left="179" w:right="215"/>
              <w:jc w:val="center"/>
              <w:rPr>
                <w:rFonts w:ascii="Times New Roman"/>
                <w:sz w:val="24"/>
              </w:rPr>
            </w:pPr>
            <w:r>
              <w:rPr>
                <w:rFonts w:ascii="Times New Roman"/>
                <w:sz w:val="24"/>
              </w:rPr>
              <w:t>497</w:t>
            </w:r>
          </w:p>
        </w:tc>
        <w:tc>
          <w:tcPr>
            <w:tcW w:w="1675" w:type="dxa"/>
          </w:tcPr>
          <w:p>
            <w:pPr>
              <w:pStyle w:val="TableParagraph"/>
              <w:spacing w:line="240" w:lineRule="auto" w:before="14"/>
              <w:ind w:left="133" w:right="5"/>
              <w:jc w:val="center"/>
              <w:rPr>
                <w:rFonts w:ascii="Times New Roman"/>
                <w:sz w:val="24"/>
              </w:rPr>
            </w:pPr>
            <w:r>
              <w:rPr>
                <w:rFonts w:ascii="Times New Roman"/>
                <w:sz w:val="24"/>
              </w:rPr>
              <w:t>$  3,018.11</w:t>
            </w:r>
          </w:p>
        </w:tc>
      </w:tr>
      <w:tr>
        <w:trPr>
          <w:trHeight w:val="300" w:hRule="atLeast"/>
        </w:trPr>
        <w:tc>
          <w:tcPr>
            <w:tcW w:w="3697" w:type="dxa"/>
          </w:tcPr>
          <w:p>
            <w:pPr>
              <w:pStyle w:val="TableParagraph"/>
              <w:spacing w:line="240" w:lineRule="auto" w:before="14"/>
              <w:ind w:left="108"/>
              <w:rPr>
                <w:rFonts w:ascii="Times New Roman"/>
                <w:sz w:val="24"/>
              </w:rPr>
            </w:pPr>
            <w:r>
              <w:rPr>
                <w:rFonts w:ascii="Times New Roman"/>
                <w:sz w:val="24"/>
              </w:rPr>
              <w:t>Community Acquired Pneumonia</w:t>
            </w:r>
          </w:p>
        </w:tc>
        <w:tc>
          <w:tcPr>
            <w:tcW w:w="2013" w:type="dxa"/>
          </w:tcPr>
          <w:p>
            <w:pPr>
              <w:pStyle w:val="TableParagraph"/>
              <w:spacing w:line="240" w:lineRule="auto" w:before="14"/>
              <w:ind w:left="350" w:right="303"/>
              <w:jc w:val="center"/>
              <w:rPr>
                <w:rFonts w:ascii="Times New Roman"/>
                <w:sz w:val="24"/>
              </w:rPr>
            </w:pPr>
            <w:r>
              <w:rPr>
                <w:rFonts w:ascii="Times New Roman"/>
                <w:sz w:val="24"/>
              </w:rPr>
              <w:t>$   3,500,000</w:t>
            </w:r>
          </w:p>
        </w:tc>
        <w:tc>
          <w:tcPr>
            <w:tcW w:w="1471" w:type="dxa"/>
          </w:tcPr>
          <w:p>
            <w:pPr>
              <w:pStyle w:val="TableParagraph"/>
              <w:spacing w:line="240" w:lineRule="auto" w:before="14"/>
              <w:ind w:left="180" w:right="215"/>
              <w:jc w:val="center"/>
              <w:rPr>
                <w:rFonts w:ascii="Times New Roman"/>
                <w:sz w:val="24"/>
              </w:rPr>
            </w:pPr>
            <w:r>
              <w:rPr>
                <w:rFonts w:ascii="Times New Roman"/>
                <w:sz w:val="24"/>
              </w:rPr>
              <w:t>1,543</w:t>
            </w:r>
          </w:p>
        </w:tc>
        <w:tc>
          <w:tcPr>
            <w:tcW w:w="1675" w:type="dxa"/>
          </w:tcPr>
          <w:p>
            <w:pPr>
              <w:pStyle w:val="TableParagraph"/>
              <w:spacing w:line="240" w:lineRule="auto" w:before="14"/>
              <w:ind w:left="133" w:right="4"/>
              <w:jc w:val="center"/>
              <w:rPr>
                <w:rFonts w:ascii="Times New Roman"/>
                <w:sz w:val="24"/>
              </w:rPr>
            </w:pPr>
            <w:r>
              <w:rPr>
                <w:rFonts w:ascii="Times New Roman"/>
                <w:sz w:val="24"/>
              </w:rPr>
              <w:t>$  2,268.31</w:t>
            </w:r>
          </w:p>
        </w:tc>
      </w:tr>
      <w:tr>
        <w:trPr>
          <w:trHeight w:val="300" w:hRule="atLeast"/>
        </w:trPr>
        <w:tc>
          <w:tcPr>
            <w:tcW w:w="3697" w:type="dxa"/>
          </w:tcPr>
          <w:p>
            <w:pPr>
              <w:pStyle w:val="TableParagraph"/>
              <w:spacing w:line="240" w:lineRule="auto" w:before="14"/>
              <w:ind w:left="108"/>
              <w:rPr>
                <w:rFonts w:ascii="Times New Roman"/>
                <w:sz w:val="24"/>
              </w:rPr>
            </w:pPr>
            <w:r>
              <w:rPr>
                <w:rFonts w:ascii="Times New Roman"/>
                <w:sz w:val="24"/>
              </w:rPr>
              <w:t>Surgical Care Infection Prevention</w:t>
            </w:r>
          </w:p>
        </w:tc>
        <w:tc>
          <w:tcPr>
            <w:tcW w:w="2013" w:type="dxa"/>
          </w:tcPr>
          <w:p>
            <w:pPr>
              <w:pStyle w:val="TableParagraph"/>
              <w:spacing w:line="240" w:lineRule="auto" w:before="14"/>
              <w:ind w:left="346" w:right="303"/>
              <w:jc w:val="center"/>
              <w:rPr>
                <w:rFonts w:ascii="Times New Roman"/>
                <w:sz w:val="24"/>
              </w:rPr>
            </w:pPr>
            <w:r>
              <w:rPr>
                <w:rFonts w:ascii="Times New Roman"/>
                <w:sz w:val="24"/>
              </w:rPr>
              <w:t>$   3,000,000</w:t>
            </w:r>
          </w:p>
        </w:tc>
        <w:tc>
          <w:tcPr>
            <w:tcW w:w="1471" w:type="dxa"/>
          </w:tcPr>
          <w:p>
            <w:pPr>
              <w:pStyle w:val="TableParagraph"/>
              <w:spacing w:line="240" w:lineRule="auto" w:before="14"/>
              <w:ind w:left="177" w:right="215"/>
              <w:jc w:val="center"/>
              <w:rPr>
                <w:rFonts w:ascii="Times New Roman"/>
                <w:sz w:val="24"/>
              </w:rPr>
            </w:pPr>
            <w:r>
              <w:rPr>
                <w:rFonts w:ascii="Times New Roman"/>
                <w:sz w:val="24"/>
              </w:rPr>
              <w:t>1,121</w:t>
            </w:r>
          </w:p>
        </w:tc>
        <w:tc>
          <w:tcPr>
            <w:tcW w:w="1675" w:type="dxa"/>
          </w:tcPr>
          <w:p>
            <w:pPr>
              <w:pStyle w:val="TableParagraph"/>
              <w:spacing w:line="240" w:lineRule="auto" w:before="14"/>
              <w:ind w:left="133" w:right="7"/>
              <w:jc w:val="center"/>
              <w:rPr>
                <w:rFonts w:ascii="Times New Roman"/>
                <w:sz w:val="24"/>
              </w:rPr>
            </w:pPr>
            <w:r>
              <w:rPr>
                <w:rFonts w:ascii="Times New Roman"/>
                <w:sz w:val="24"/>
              </w:rPr>
              <w:t>$</w:t>
            </w:r>
            <w:r>
              <w:rPr>
                <w:rFonts w:ascii="Times New Roman"/>
                <w:spacing w:val="60"/>
                <w:sz w:val="24"/>
              </w:rPr>
              <w:t> </w:t>
            </w:r>
            <w:r>
              <w:rPr>
                <w:rFonts w:ascii="Times New Roman"/>
                <w:sz w:val="24"/>
              </w:rPr>
              <w:t>2,676.18</w:t>
            </w:r>
          </w:p>
        </w:tc>
      </w:tr>
      <w:tr>
        <w:trPr>
          <w:trHeight w:val="300" w:hRule="atLeast"/>
        </w:trPr>
        <w:tc>
          <w:tcPr>
            <w:tcW w:w="3697" w:type="dxa"/>
          </w:tcPr>
          <w:p>
            <w:pPr>
              <w:pStyle w:val="TableParagraph"/>
              <w:spacing w:line="240" w:lineRule="auto" w:before="14"/>
              <w:ind w:left="108"/>
              <w:rPr>
                <w:rFonts w:ascii="Times New Roman"/>
                <w:sz w:val="24"/>
              </w:rPr>
            </w:pPr>
            <w:r>
              <w:rPr>
                <w:rFonts w:ascii="Times New Roman"/>
                <w:sz w:val="24"/>
              </w:rPr>
              <w:t>Health Disparities Composite</w:t>
            </w:r>
          </w:p>
        </w:tc>
        <w:tc>
          <w:tcPr>
            <w:tcW w:w="2013" w:type="dxa"/>
          </w:tcPr>
          <w:p>
            <w:pPr>
              <w:pStyle w:val="TableParagraph"/>
              <w:spacing w:line="240" w:lineRule="auto" w:before="14"/>
              <w:ind w:left="346" w:right="303"/>
              <w:jc w:val="center"/>
              <w:rPr>
                <w:rFonts w:ascii="Times New Roman"/>
                <w:sz w:val="24"/>
              </w:rPr>
            </w:pPr>
            <w:r>
              <w:rPr>
                <w:rFonts w:ascii="Times New Roman"/>
                <w:sz w:val="24"/>
              </w:rPr>
              <w:t>$   2,500,000</w:t>
            </w:r>
          </w:p>
        </w:tc>
        <w:tc>
          <w:tcPr>
            <w:tcW w:w="1471" w:type="dxa"/>
          </w:tcPr>
          <w:p>
            <w:pPr>
              <w:pStyle w:val="TableParagraph"/>
              <w:spacing w:line="240" w:lineRule="auto" w:before="14"/>
              <w:ind w:left="176" w:right="215"/>
              <w:jc w:val="center"/>
              <w:rPr>
                <w:rFonts w:ascii="Times New Roman"/>
                <w:sz w:val="24"/>
              </w:rPr>
            </w:pPr>
            <w:r>
              <w:rPr>
                <w:rFonts w:ascii="Times New Roman"/>
                <w:sz w:val="24"/>
              </w:rPr>
              <w:t>69,618</w:t>
            </w:r>
          </w:p>
        </w:tc>
        <w:tc>
          <w:tcPr>
            <w:tcW w:w="1675" w:type="dxa"/>
          </w:tcPr>
          <w:p>
            <w:pPr>
              <w:pStyle w:val="TableParagraph"/>
              <w:tabs>
                <w:tab w:pos="545" w:val="left" w:leader="none"/>
              </w:tabs>
              <w:spacing w:line="240" w:lineRule="auto" w:before="14"/>
              <w:ind w:left="65"/>
              <w:jc w:val="center"/>
              <w:rPr>
                <w:rFonts w:ascii="Times New Roman"/>
                <w:sz w:val="24"/>
              </w:rPr>
            </w:pPr>
            <w:r>
              <w:rPr>
                <w:rFonts w:ascii="Times New Roman"/>
                <w:sz w:val="24"/>
              </w:rPr>
              <w:t>$</w:t>
              <w:tab/>
              <w:t>35.91</w:t>
            </w:r>
          </w:p>
        </w:tc>
      </w:tr>
      <w:tr>
        <w:trPr>
          <w:trHeight w:val="300" w:hRule="atLeast"/>
        </w:trPr>
        <w:tc>
          <w:tcPr>
            <w:tcW w:w="3697" w:type="dxa"/>
          </w:tcPr>
          <w:p>
            <w:pPr>
              <w:pStyle w:val="TableParagraph"/>
              <w:spacing w:line="240" w:lineRule="auto" w:before="14"/>
              <w:ind w:left="108"/>
              <w:rPr>
                <w:rFonts w:ascii="Times New Roman"/>
                <w:sz w:val="24"/>
              </w:rPr>
            </w:pPr>
            <w:r>
              <w:rPr>
                <w:rFonts w:ascii="Times New Roman"/>
                <w:sz w:val="24"/>
              </w:rPr>
              <w:t>Care Coordination</w:t>
            </w:r>
          </w:p>
        </w:tc>
        <w:tc>
          <w:tcPr>
            <w:tcW w:w="2013" w:type="dxa"/>
          </w:tcPr>
          <w:p>
            <w:pPr>
              <w:pStyle w:val="TableParagraph"/>
              <w:spacing w:line="240" w:lineRule="auto" w:before="14"/>
              <w:ind w:left="349" w:right="303"/>
              <w:jc w:val="center"/>
              <w:rPr>
                <w:rFonts w:ascii="Times New Roman"/>
                <w:sz w:val="24"/>
              </w:rPr>
            </w:pPr>
            <w:r>
              <w:rPr>
                <w:rFonts w:ascii="Times New Roman"/>
                <w:sz w:val="24"/>
              </w:rPr>
              <w:t>$ 11,000,000</w:t>
            </w:r>
          </w:p>
        </w:tc>
        <w:tc>
          <w:tcPr>
            <w:tcW w:w="1471" w:type="dxa"/>
          </w:tcPr>
          <w:p>
            <w:pPr>
              <w:pStyle w:val="TableParagraph"/>
              <w:spacing w:line="240" w:lineRule="auto" w:before="14"/>
              <w:ind w:left="180" w:right="215"/>
              <w:jc w:val="center"/>
              <w:rPr>
                <w:rFonts w:ascii="Times New Roman"/>
                <w:sz w:val="24"/>
              </w:rPr>
            </w:pPr>
            <w:r>
              <w:rPr>
                <w:rFonts w:ascii="Times New Roman"/>
                <w:sz w:val="24"/>
              </w:rPr>
              <w:t>53,481</w:t>
            </w:r>
          </w:p>
        </w:tc>
        <w:tc>
          <w:tcPr>
            <w:tcW w:w="1675" w:type="dxa"/>
          </w:tcPr>
          <w:p>
            <w:pPr>
              <w:pStyle w:val="TableParagraph"/>
              <w:tabs>
                <w:tab w:pos="428" w:val="left" w:leader="none"/>
              </w:tabs>
              <w:spacing w:line="240" w:lineRule="auto" w:before="14"/>
              <w:ind w:left="68"/>
              <w:jc w:val="center"/>
              <w:rPr>
                <w:rFonts w:ascii="Times New Roman"/>
                <w:sz w:val="24"/>
              </w:rPr>
            </w:pPr>
            <w:r>
              <w:rPr>
                <w:rFonts w:ascii="Times New Roman"/>
                <w:sz w:val="24"/>
              </w:rPr>
              <w:t>$</w:t>
              <w:tab/>
              <w:t>205.68</w:t>
            </w:r>
          </w:p>
        </w:tc>
      </w:tr>
      <w:tr>
        <w:trPr>
          <w:trHeight w:val="320" w:hRule="atLeast"/>
        </w:trPr>
        <w:tc>
          <w:tcPr>
            <w:tcW w:w="3697" w:type="dxa"/>
            <w:tcBorders>
              <w:bottom w:val="single" w:sz="4" w:space="0" w:color="000000"/>
            </w:tcBorders>
          </w:tcPr>
          <w:p>
            <w:pPr>
              <w:pStyle w:val="TableParagraph"/>
              <w:spacing w:line="240" w:lineRule="auto" w:before="14"/>
              <w:ind w:left="108"/>
              <w:rPr>
                <w:rFonts w:ascii="Times New Roman"/>
                <w:sz w:val="24"/>
              </w:rPr>
            </w:pPr>
            <w:r>
              <w:rPr>
                <w:rFonts w:ascii="Times New Roman"/>
                <w:sz w:val="24"/>
              </w:rPr>
              <w:t>Emergency Department</w:t>
            </w:r>
          </w:p>
        </w:tc>
        <w:tc>
          <w:tcPr>
            <w:tcW w:w="2013" w:type="dxa"/>
            <w:tcBorders>
              <w:bottom w:val="single" w:sz="4" w:space="0" w:color="000000"/>
            </w:tcBorders>
          </w:tcPr>
          <w:p>
            <w:pPr>
              <w:pStyle w:val="TableParagraph"/>
              <w:spacing w:line="240" w:lineRule="auto" w:before="14"/>
              <w:ind w:left="349" w:right="303"/>
              <w:jc w:val="center"/>
              <w:rPr>
                <w:rFonts w:ascii="Times New Roman"/>
                <w:sz w:val="24"/>
              </w:rPr>
            </w:pPr>
            <w:r>
              <w:rPr>
                <w:rFonts w:ascii="Times New Roman"/>
                <w:sz w:val="24"/>
              </w:rPr>
              <w:t>$ </w:t>
            </w:r>
            <w:r>
              <w:rPr>
                <w:rFonts w:ascii="Times New Roman"/>
                <w:spacing w:val="60"/>
                <w:sz w:val="24"/>
              </w:rPr>
              <w:t> </w:t>
            </w:r>
            <w:r>
              <w:rPr>
                <w:rFonts w:ascii="Times New Roman"/>
                <w:sz w:val="24"/>
              </w:rPr>
              <w:t>7,000,000</w:t>
            </w:r>
          </w:p>
        </w:tc>
        <w:tc>
          <w:tcPr>
            <w:tcW w:w="1471" w:type="dxa"/>
            <w:tcBorders>
              <w:bottom w:val="single" w:sz="4" w:space="0" w:color="000000"/>
            </w:tcBorders>
          </w:tcPr>
          <w:p>
            <w:pPr>
              <w:pStyle w:val="TableParagraph"/>
              <w:spacing w:line="240" w:lineRule="auto" w:before="14"/>
              <w:ind w:left="179" w:right="215"/>
              <w:jc w:val="center"/>
              <w:rPr>
                <w:rFonts w:ascii="Times New Roman"/>
                <w:sz w:val="24"/>
              </w:rPr>
            </w:pPr>
            <w:r>
              <w:rPr>
                <w:rFonts w:ascii="Times New Roman"/>
                <w:sz w:val="24"/>
              </w:rPr>
              <w:t>31,182</w:t>
            </w:r>
          </w:p>
        </w:tc>
        <w:tc>
          <w:tcPr>
            <w:tcW w:w="1675" w:type="dxa"/>
            <w:tcBorders>
              <w:bottom w:val="single" w:sz="4" w:space="0" w:color="000000"/>
            </w:tcBorders>
          </w:tcPr>
          <w:p>
            <w:pPr>
              <w:pStyle w:val="TableParagraph"/>
              <w:tabs>
                <w:tab w:pos="493" w:val="left" w:leader="none"/>
              </w:tabs>
              <w:spacing w:line="240" w:lineRule="auto" w:before="14"/>
              <w:ind w:left="133"/>
              <w:jc w:val="center"/>
              <w:rPr>
                <w:rFonts w:ascii="Times New Roman"/>
                <w:sz w:val="24"/>
              </w:rPr>
            </w:pPr>
            <w:r>
              <w:rPr>
                <w:rFonts w:ascii="Times New Roman"/>
                <w:sz w:val="24"/>
              </w:rPr>
              <w:t>$</w:t>
              <w:tab/>
              <w:t>224.49</w:t>
            </w:r>
          </w:p>
        </w:tc>
      </w:tr>
      <w:tr>
        <w:trPr>
          <w:trHeight w:val="280" w:hRule="atLeast"/>
        </w:trPr>
        <w:tc>
          <w:tcPr>
            <w:tcW w:w="3697" w:type="dxa"/>
            <w:tcBorders>
              <w:top w:val="single" w:sz="4" w:space="0" w:color="000000"/>
            </w:tcBorders>
          </w:tcPr>
          <w:p>
            <w:pPr>
              <w:pStyle w:val="TableParagraph"/>
              <w:spacing w:line="256" w:lineRule="exact" w:before="5"/>
              <w:ind w:left="108"/>
              <w:rPr>
                <w:rFonts w:ascii="Times New Roman"/>
                <w:b/>
                <w:sz w:val="24"/>
              </w:rPr>
            </w:pPr>
            <w:r>
              <w:rPr>
                <w:rFonts w:ascii="Times New Roman"/>
                <w:b/>
                <w:sz w:val="24"/>
              </w:rPr>
              <w:t>TOTAL</w:t>
            </w:r>
          </w:p>
        </w:tc>
        <w:tc>
          <w:tcPr>
            <w:tcW w:w="2013" w:type="dxa"/>
            <w:tcBorders>
              <w:top w:val="single" w:sz="4" w:space="0" w:color="000000"/>
            </w:tcBorders>
          </w:tcPr>
          <w:p>
            <w:pPr>
              <w:pStyle w:val="TableParagraph"/>
              <w:spacing w:line="256" w:lineRule="exact" w:before="5"/>
              <w:ind w:left="352" w:right="303"/>
              <w:jc w:val="center"/>
              <w:rPr>
                <w:rFonts w:ascii="Times New Roman"/>
                <w:b/>
                <w:sz w:val="24"/>
              </w:rPr>
            </w:pPr>
            <w:r>
              <w:rPr>
                <w:rFonts w:ascii="Times New Roman"/>
                <w:b/>
                <w:sz w:val="24"/>
              </w:rPr>
              <w:t>$50,000,000</w:t>
            </w:r>
          </w:p>
        </w:tc>
        <w:tc>
          <w:tcPr>
            <w:tcW w:w="1471" w:type="dxa"/>
            <w:tcBorders>
              <w:top w:val="single" w:sz="4" w:space="0" w:color="000000"/>
            </w:tcBorders>
          </w:tcPr>
          <w:p>
            <w:pPr>
              <w:pStyle w:val="TableParagraph"/>
              <w:spacing w:line="260" w:lineRule="exact" w:before="1"/>
              <w:ind w:left="181" w:right="158"/>
              <w:jc w:val="center"/>
              <w:rPr>
                <w:rFonts w:ascii="Times New Roman"/>
                <w:sz w:val="24"/>
              </w:rPr>
            </w:pPr>
            <w:r>
              <w:rPr>
                <w:rFonts w:ascii="Times New Roman"/>
                <w:sz w:val="24"/>
              </w:rPr>
              <w:t>--</w:t>
            </w:r>
          </w:p>
        </w:tc>
        <w:tc>
          <w:tcPr>
            <w:tcW w:w="1675" w:type="dxa"/>
            <w:tcBorders>
              <w:top w:val="single" w:sz="4" w:space="0" w:color="000000"/>
            </w:tcBorders>
          </w:tcPr>
          <w:p>
            <w:pPr>
              <w:pStyle w:val="TableParagraph"/>
              <w:spacing w:line="260" w:lineRule="exact" w:before="1"/>
              <w:ind w:left="133" w:right="119"/>
              <w:jc w:val="center"/>
              <w:rPr>
                <w:rFonts w:ascii="Times New Roman"/>
                <w:sz w:val="24"/>
              </w:rPr>
            </w:pPr>
            <w:r>
              <w:rPr>
                <w:rFonts w:ascii="Times New Roman"/>
                <w:sz w:val="24"/>
              </w:rPr>
              <w:t>--</w:t>
            </w:r>
          </w:p>
        </w:tc>
      </w:tr>
    </w:tbl>
    <w:p>
      <w:pPr>
        <w:pStyle w:val="BodyText"/>
        <w:spacing w:before="1"/>
        <w:rPr>
          <w:b/>
          <w:sz w:val="23"/>
        </w:rPr>
      </w:pPr>
    </w:p>
    <w:p>
      <w:pPr>
        <w:pStyle w:val="BodyText"/>
        <w:spacing w:line="242" w:lineRule="auto" w:before="1"/>
        <w:ind w:left="471" w:right="311" w:hanging="180"/>
      </w:pPr>
      <w:r>
        <w:rPr/>
        <w:t>* The estimated eligible Medicaid discharges and estimated per-discharge amount for each measure category are based on FY12 HDD. The final numbers on these two columns will be determined based on FY13 HDD, when that data becomes available.</w:t>
      </w:r>
    </w:p>
    <w:p>
      <w:pPr>
        <w:pStyle w:val="BodyText"/>
        <w:spacing w:before="11"/>
        <w:rPr>
          <w:sz w:val="20"/>
        </w:rPr>
      </w:pPr>
    </w:p>
    <w:p>
      <w:pPr>
        <w:pStyle w:val="ListParagraph"/>
        <w:numPr>
          <w:ilvl w:val="0"/>
          <w:numId w:val="18"/>
        </w:numPr>
        <w:tabs>
          <w:tab w:pos="832" w:val="left" w:leader="none"/>
        </w:tabs>
        <w:spacing w:line="244" w:lineRule="auto" w:before="0" w:after="0"/>
        <w:ind w:left="832" w:right="215" w:hanging="555"/>
        <w:jc w:val="both"/>
        <w:rPr>
          <w:sz w:val="24"/>
        </w:rPr>
      </w:pPr>
      <w:r>
        <w:rPr>
          <w:i/>
          <w:sz w:val="24"/>
        </w:rPr>
        <w:t>Eligible Medicaid Discharges</w:t>
      </w:r>
      <w:r>
        <w:rPr>
          <w:sz w:val="24"/>
        </w:rPr>
        <w:t>. The eligible Medicaid discharges for each quality measure category listed in </w:t>
      </w:r>
      <w:r>
        <w:rPr>
          <w:b/>
          <w:sz w:val="24"/>
        </w:rPr>
        <w:t>Table 7-3 </w:t>
      </w:r>
      <w:r>
        <w:rPr>
          <w:sz w:val="24"/>
        </w:rPr>
        <w:t>will be calculated based on the FY13 hospital discharge data (HDD) for payer codes 103 and 104 </w:t>
      </w:r>
      <w:r>
        <w:rPr>
          <w:i/>
          <w:sz w:val="24"/>
          <w:u w:val="single"/>
        </w:rPr>
        <w:t>only</w:t>
      </w:r>
      <w:r>
        <w:rPr>
          <w:i/>
          <w:sz w:val="24"/>
        </w:rPr>
        <w:t> </w:t>
      </w:r>
      <w:r>
        <w:rPr>
          <w:sz w:val="24"/>
        </w:rPr>
        <w:t>using the following</w:t>
      </w:r>
      <w:r>
        <w:rPr>
          <w:spacing w:val="-4"/>
          <w:sz w:val="24"/>
        </w:rPr>
        <w:t> </w:t>
      </w:r>
      <w:r>
        <w:rPr>
          <w:sz w:val="24"/>
        </w:rPr>
        <w:t>methods:</w:t>
      </w:r>
    </w:p>
    <w:p>
      <w:pPr>
        <w:pStyle w:val="BodyText"/>
        <w:rPr>
          <w:sz w:val="21"/>
        </w:rPr>
      </w:pPr>
    </w:p>
    <w:p>
      <w:pPr>
        <w:pStyle w:val="ListParagraph"/>
        <w:numPr>
          <w:ilvl w:val="1"/>
          <w:numId w:val="18"/>
        </w:numPr>
        <w:tabs>
          <w:tab w:pos="1192" w:val="left" w:leader="none"/>
        </w:tabs>
        <w:spacing w:line="244" w:lineRule="auto" w:before="0" w:after="0"/>
        <w:ind w:left="1192" w:right="156" w:hanging="360"/>
        <w:jc w:val="left"/>
        <w:rPr>
          <w:sz w:val="24"/>
        </w:rPr>
      </w:pPr>
      <w:r>
        <w:rPr>
          <w:b/>
          <w:sz w:val="24"/>
        </w:rPr>
        <w:t>Individual Measure Categories. </w:t>
      </w:r>
      <w:r>
        <w:rPr>
          <w:sz w:val="24"/>
        </w:rPr>
        <w:t>For the individual measures (maternity, pediatric asthma, community acquired pneumonia, care coordination, surgical care infection prevention, and emergency department), the eligible Medicaid discharges are based on the FY13 HDD casemix data that met payer codes 103 and 104 and the International Classification of Diseases (ICD) population requirements referenced in the EOHHS </w:t>
      </w:r>
      <w:r>
        <w:rPr>
          <w:i/>
          <w:sz w:val="24"/>
        </w:rPr>
        <w:t>Technical Specifications Manual </w:t>
      </w:r>
      <w:r>
        <w:rPr>
          <w:sz w:val="24"/>
        </w:rPr>
        <w:t>for each measure category the hospital reported on, pursuant to </w:t>
      </w:r>
      <w:r>
        <w:rPr>
          <w:b/>
          <w:sz w:val="24"/>
        </w:rPr>
        <w:t>Section</w:t>
      </w:r>
      <w:r>
        <w:rPr>
          <w:b/>
          <w:spacing w:val="-2"/>
          <w:sz w:val="24"/>
        </w:rPr>
        <w:t> </w:t>
      </w:r>
      <w:r>
        <w:rPr>
          <w:b/>
          <w:sz w:val="24"/>
        </w:rPr>
        <w:t>7.3</w:t>
      </w:r>
      <w:r>
        <w:rPr>
          <w:sz w:val="24"/>
        </w:rPr>
        <w:t>.</w:t>
      </w:r>
    </w:p>
    <w:p>
      <w:pPr>
        <w:spacing w:after="0" w:line="244" w:lineRule="auto"/>
        <w:jc w:val="left"/>
        <w:rPr>
          <w:sz w:val="24"/>
        </w:rPr>
        <w:sectPr>
          <w:pgSz w:w="12240" w:h="15840"/>
          <w:pgMar w:header="0" w:footer="744" w:top="1380" w:bottom="940" w:left="1580" w:right="980"/>
        </w:sectPr>
      </w:pPr>
    </w:p>
    <w:p>
      <w:pPr>
        <w:pStyle w:val="ListParagraph"/>
        <w:numPr>
          <w:ilvl w:val="1"/>
          <w:numId w:val="18"/>
        </w:numPr>
        <w:tabs>
          <w:tab w:pos="1552" w:val="left" w:leader="none"/>
        </w:tabs>
        <w:spacing w:line="244" w:lineRule="auto" w:before="65" w:after="0"/>
        <w:ind w:left="1552" w:right="154" w:hanging="360"/>
        <w:jc w:val="left"/>
        <w:rPr>
          <w:sz w:val="24"/>
        </w:rPr>
      </w:pPr>
      <w:r>
        <w:rPr>
          <w:b/>
          <w:sz w:val="24"/>
        </w:rPr>
        <w:t>Health Disparities Composite Measure Category. </w:t>
      </w:r>
      <w:r>
        <w:rPr>
          <w:sz w:val="24"/>
        </w:rPr>
        <w:t>For the health disparities composite measure, the eligible Medicaid discharges are based </w:t>
      </w:r>
      <w:r>
        <w:rPr>
          <w:i/>
          <w:sz w:val="24"/>
        </w:rPr>
        <w:t>only </w:t>
      </w:r>
      <w:r>
        <w:rPr>
          <w:sz w:val="24"/>
        </w:rPr>
        <w:t>on the sum of - discharges for the specific individual measure categories (maternity, pediatric asthma, community acquired pneumonia, care coordination, surgical care infection prevention) that the hospital reported on and that meets the criteria for the composite measure calculation per </w:t>
      </w:r>
      <w:r>
        <w:rPr>
          <w:b/>
          <w:sz w:val="24"/>
        </w:rPr>
        <w:t>Section 7.4.A.2</w:t>
      </w:r>
      <w:r>
        <w:rPr>
          <w:sz w:val="24"/>
        </w:rPr>
        <w:t>. The emergency department measure is the only individual measure category for which Medicaid discharges will not be included in the health disparities measure pursuant to the measure calculation conditions explained in </w:t>
      </w:r>
      <w:r>
        <w:rPr>
          <w:b/>
          <w:sz w:val="24"/>
        </w:rPr>
        <w:t>Section</w:t>
      </w:r>
      <w:r>
        <w:rPr>
          <w:b/>
          <w:spacing w:val="-1"/>
          <w:sz w:val="24"/>
        </w:rPr>
        <w:t> </w:t>
      </w:r>
      <w:r>
        <w:rPr>
          <w:b/>
          <w:sz w:val="24"/>
        </w:rPr>
        <w:t>7.4.A.2</w:t>
      </w:r>
      <w:r>
        <w:rPr>
          <w:sz w:val="24"/>
        </w:rPr>
        <w:t>.</w:t>
      </w:r>
    </w:p>
    <w:p>
      <w:pPr>
        <w:pStyle w:val="BodyText"/>
        <w:spacing w:before="5"/>
      </w:pPr>
    </w:p>
    <w:p>
      <w:pPr>
        <w:pStyle w:val="ListParagraph"/>
        <w:numPr>
          <w:ilvl w:val="3"/>
          <w:numId w:val="13"/>
        </w:numPr>
        <w:tabs>
          <w:tab w:pos="1252" w:val="left" w:leader="none"/>
          <w:tab w:pos="1253" w:val="left" w:leader="none"/>
        </w:tabs>
        <w:spacing w:line="242" w:lineRule="auto" w:before="0" w:after="0"/>
        <w:ind w:left="1192" w:right="104" w:hanging="360"/>
        <w:jc w:val="left"/>
        <w:rPr>
          <w:sz w:val="24"/>
        </w:rPr>
      </w:pPr>
      <w:r>
        <w:rPr>
          <w:i/>
          <w:sz w:val="24"/>
        </w:rPr>
        <w:t>Quality Measure Category per Discharge Amount</w:t>
      </w:r>
      <w:r>
        <w:rPr>
          <w:sz w:val="24"/>
        </w:rPr>
        <w:t>. </w:t>
      </w:r>
      <w:r>
        <w:rPr>
          <w:b/>
          <w:sz w:val="24"/>
        </w:rPr>
        <w:t>Table 7-3 </w:t>
      </w:r>
      <w:r>
        <w:rPr>
          <w:sz w:val="24"/>
        </w:rPr>
        <w:t>above estimates the per- discharge amount based on FY12 HDD for each measure category. The final per-discharge amounts will be determined based upon FY13 HDD for each measure category. To determine these amounts, EOHHS will use the following</w:t>
      </w:r>
      <w:r>
        <w:rPr>
          <w:spacing w:val="-7"/>
          <w:sz w:val="24"/>
        </w:rPr>
        <w:t> </w:t>
      </w:r>
      <w:r>
        <w:rPr>
          <w:sz w:val="24"/>
        </w:rPr>
        <w:t>formula:</w:t>
      </w:r>
    </w:p>
    <w:p>
      <w:pPr>
        <w:pStyle w:val="BodyText"/>
        <w:spacing w:before="2"/>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6"/>
        <w:gridCol w:w="3674"/>
      </w:tblGrid>
      <w:tr>
        <w:trPr>
          <w:trHeight w:val="260" w:hRule="atLeast"/>
        </w:trPr>
        <w:tc>
          <w:tcPr>
            <w:tcW w:w="5506" w:type="dxa"/>
          </w:tcPr>
          <w:p>
            <w:pPr>
              <w:pStyle w:val="TableParagraph"/>
              <w:spacing w:line="258" w:lineRule="exact" w:before="1"/>
              <w:ind w:left="1329"/>
              <w:rPr>
                <w:rFonts w:ascii="Times New Roman"/>
                <w:sz w:val="24"/>
              </w:rPr>
            </w:pPr>
            <w:r>
              <w:rPr>
                <w:rFonts w:ascii="Times New Roman"/>
                <w:sz w:val="24"/>
              </w:rPr>
              <w:t>Maximum Allocated Amount</w:t>
            </w:r>
          </w:p>
        </w:tc>
        <w:tc>
          <w:tcPr>
            <w:tcW w:w="3674" w:type="dxa"/>
            <w:vMerge w:val="restart"/>
          </w:tcPr>
          <w:p>
            <w:pPr>
              <w:pStyle w:val="TableParagraph"/>
              <w:spacing w:line="240" w:lineRule="auto" w:before="9"/>
              <w:rPr>
                <w:rFonts w:ascii="Times New Roman"/>
                <w:sz w:val="24"/>
              </w:rPr>
            </w:pPr>
          </w:p>
          <w:p>
            <w:pPr>
              <w:pStyle w:val="TableParagraph"/>
              <w:spacing w:line="242" w:lineRule="auto"/>
              <w:ind w:left="342" w:right="814" w:hanging="240"/>
              <w:rPr>
                <w:rFonts w:ascii="Times New Roman"/>
                <w:sz w:val="24"/>
              </w:rPr>
            </w:pPr>
            <w:r>
              <w:rPr>
                <w:rFonts w:ascii="Times New Roman"/>
                <w:sz w:val="24"/>
              </w:rPr>
              <w:t>= Quality Measure Category per-Discharge Amount</w:t>
            </w:r>
          </w:p>
        </w:tc>
      </w:tr>
      <w:tr>
        <w:trPr>
          <w:trHeight w:val="820" w:hRule="atLeast"/>
        </w:trPr>
        <w:tc>
          <w:tcPr>
            <w:tcW w:w="5506" w:type="dxa"/>
          </w:tcPr>
          <w:p>
            <w:pPr>
              <w:pStyle w:val="TableParagraph"/>
              <w:spacing w:line="240" w:lineRule="auto" w:before="1"/>
              <w:ind w:left="1301" w:right="1301"/>
              <w:jc w:val="center"/>
              <w:rPr>
                <w:rFonts w:ascii="Times New Roman"/>
                <w:sz w:val="24"/>
              </w:rPr>
            </w:pPr>
            <w:r>
              <w:rPr>
                <w:rFonts w:ascii="Times New Roman"/>
                <w:sz w:val="24"/>
              </w:rPr>
              <w:t>Statewide</w:t>
            </w:r>
          </w:p>
          <w:p>
            <w:pPr>
              <w:pStyle w:val="TableParagraph"/>
              <w:spacing w:line="240" w:lineRule="auto" w:before="3"/>
              <w:ind w:left="1301" w:right="1301"/>
              <w:jc w:val="center"/>
              <w:rPr>
                <w:rFonts w:ascii="Times New Roman"/>
                <w:sz w:val="24"/>
              </w:rPr>
            </w:pPr>
            <w:r>
              <w:rPr>
                <w:rFonts w:ascii="Times New Roman"/>
                <w:sz w:val="24"/>
              </w:rPr>
              <w:t>Eligible Medicaid Discharges</w:t>
            </w:r>
          </w:p>
        </w:tc>
        <w:tc>
          <w:tcPr>
            <w:tcW w:w="3674" w:type="dxa"/>
            <w:vMerge/>
            <w:tcBorders>
              <w:top w:val="nil"/>
            </w:tcBorders>
          </w:tcPr>
          <w:p>
            <w:pPr>
              <w:rPr>
                <w:sz w:val="2"/>
                <w:szCs w:val="2"/>
              </w:rPr>
            </w:pPr>
          </w:p>
        </w:tc>
      </w:tr>
    </w:tbl>
    <w:p>
      <w:pPr>
        <w:pStyle w:val="BodyText"/>
        <w:spacing w:before="5"/>
      </w:pPr>
    </w:p>
    <w:p>
      <w:pPr>
        <w:pStyle w:val="BodyText"/>
        <w:spacing w:line="244" w:lineRule="auto"/>
        <w:ind w:left="1191" w:right="131"/>
      </w:pPr>
      <w:r>
        <w:rPr/>
        <w:t>For each quality measure category, EOHHS has established a maximum allocated amount, noted in </w:t>
      </w:r>
      <w:r>
        <w:rPr>
          <w:b/>
        </w:rPr>
        <w:t>Table 7-3</w:t>
      </w:r>
      <w:r>
        <w:rPr/>
        <w:t>. The maximum allocated amount will be divided by the statewide eligible Medicaid discharges to determine the per-discharge amount for each measure category.</w:t>
      </w:r>
    </w:p>
    <w:p>
      <w:pPr>
        <w:pStyle w:val="BodyText"/>
        <w:spacing w:before="6"/>
      </w:pPr>
    </w:p>
    <w:p>
      <w:pPr>
        <w:pStyle w:val="ListParagraph"/>
        <w:numPr>
          <w:ilvl w:val="1"/>
          <w:numId w:val="12"/>
        </w:numPr>
        <w:tabs>
          <w:tab w:pos="833" w:val="left" w:leader="none"/>
        </w:tabs>
        <w:spacing w:line="242" w:lineRule="auto" w:before="0" w:after="0"/>
        <w:ind w:left="832" w:right="118" w:hanging="360"/>
        <w:jc w:val="left"/>
        <w:rPr>
          <w:sz w:val="24"/>
        </w:rPr>
      </w:pPr>
      <w:r>
        <w:rPr>
          <w:b/>
          <w:sz w:val="24"/>
        </w:rPr>
        <w:t>Incentive Payment Formulas. </w:t>
      </w:r>
      <w:r>
        <w:rPr>
          <w:sz w:val="24"/>
        </w:rPr>
        <w:t>Payments for each quality measure category will be calculated based on the following</w:t>
      </w:r>
      <w:r>
        <w:rPr>
          <w:spacing w:val="-2"/>
          <w:sz w:val="24"/>
        </w:rPr>
        <w:t> </w:t>
      </w:r>
      <w:r>
        <w:rPr>
          <w:sz w:val="24"/>
        </w:rPr>
        <w:t>formulas:</w:t>
      </w:r>
    </w:p>
    <w:p>
      <w:pPr>
        <w:pStyle w:val="BodyText"/>
        <w:spacing w:before="7"/>
      </w:pPr>
    </w:p>
    <w:p>
      <w:pPr>
        <w:pStyle w:val="ListParagraph"/>
        <w:numPr>
          <w:ilvl w:val="2"/>
          <w:numId w:val="12"/>
        </w:numPr>
        <w:tabs>
          <w:tab w:pos="1193" w:val="left" w:leader="none"/>
        </w:tabs>
        <w:spacing w:line="244" w:lineRule="auto" w:before="0" w:after="0"/>
        <w:ind w:left="1192" w:right="429" w:hanging="360"/>
        <w:jc w:val="left"/>
        <w:rPr>
          <w:sz w:val="24"/>
        </w:rPr>
      </w:pPr>
      <w:r>
        <w:rPr>
          <w:b/>
          <w:sz w:val="24"/>
        </w:rPr>
        <w:t>Individual Measure Categories</w:t>
      </w:r>
      <w:r>
        <w:rPr>
          <w:sz w:val="24"/>
        </w:rPr>
        <w:t>: Incentive payments will be calculated by multiplying the Hospital’s eligible Medicaid discharges by quality measure category per-discharge amount by the total performance score, per </w:t>
      </w:r>
      <w:r>
        <w:rPr>
          <w:b/>
          <w:sz w:val="24"/>
        </w:rPr>
        <w:t>Section 7.4.E </w:t>
      </w:r>
      <w:r>
        <w:rPr>
          <w:sz w:val="24"/>
        </w:rPr>
        <w:t>using the following</w:t>
      </w:r>
      <w:r>
        <w:rPr>
          <w:spacing w:val="-8"/>
          <w:sz w:val="24"/>
        </w:rPr>
        <w:t> </w:t>
      </w:r>
      <w:r>
        <w:rPr>
          <w:sz w:val="24"/>
        </w:rPr>
        <w:t>formula:</w:t>
      </w:r>
    </w:p>
    <w:p>
      <w:pPr>
        <w:pStyle w:val="BodyText"/>
        <w:rPr>
          <w:sz w:val="20"/>
        </w:rPr>
      </w:pPr>
    </w:p>
    <w:p>
      <w:pPr>
        <w:pStyle w:val="BodyText"/>
        <w:spacing w:before="10"/>
      </w:pPr>
      <w:r>
        <w:rPr/>
        <w:pict>
          <v:shape style="position:absolute;margin-left:66.600006pt;margin-top:16.508518pt;width:306pt;height:56.4pt;mso-position-horizontal-relative:page;mso-position-vertical-relative:paragraph;z-index:1072;mso-wrap-distance-left:0;mso-wrap-distance-right:0" type="#_x0000_t202" filled="false" stroked="true" strokeweight=".47998pt" strokecolor="#000000">
            <v:textbox inset="0,0,0,0">
              <w:txbxContent>
                <w:p>
                  <w:pPr>
                    <w:pStyle w:val="BodyText"/>
                    <w:spacing w:line="242" w:lineRule="auto" w:before="1"/>
                    <w:ind w:left="476" w:right="472" w:firstLine="481"/>
                  </w:pPr>
                  <w:r>
                    <w:rPr/>
                    <w:t>(Hospital’s Eligible Medicaid discharges) x (Quality Measure Category per-Discharge Amount) x</w:t>
                  </w:r>
                </w:p>
                <w:p>
                  <w:pPr>
                    <w:pStyle w:val="BodyText"/>
                    <w:ind w:left="1774"/>
                  </w:pPr>
                  <w:r>
                    <w:rPr/>
                    <w:t>(Total Performance Score)</w:t>
                  </w:r>
                </w:p>
              </w:txbxContent>
            </v:textbox>
            <v:stroke dashstyle="solid"/>
            <w10:wrap type="topAndBottom"/>
          </v:shape>
        </w:pict>
      </w:r>
    </w:p>
    <w:p>
      <w:pPr>
        <w:pStyle w:val="BodyText"/>
        <w:spacing w:before="4"/>
        <w:rPr>
          <w:sz w:val="14"/>
        </w:rPr>
      </w:pPr>
    </w:p>
    <w:p>
      <w:pPr>
        <w:pStyle w:val="ListParagraph"/>
        <w:numPr>
          <w:ilvl w:val="2"/>
          <w:numId w:val="12"/>
        </w:numPr>
        <w:tabs>
          <w:tab w:pos="1283" w:val="left" w:leader="none"/>
        </w:tabs>
        <w:spacing w:line="244" w:lineRule="auto" w:before="90" w:after="0"/>
        <w:ind w:left="1282" w:right="183" w:hanging="360"/>
        <w:jc w:val="left"/>
        <w:rPr>
          <w:sz w:val="24"/>
        </w:rPr>
      </w:pPr>
      <w:r>
        <w:rPr/>
        <w:pict>
          <v:shape style="position:absolute;margin-left:372.599976pt;margin-top:-66.376884pt;width:158.4pt;height:56.4pt;mso-position-horizontal-relative:page;mso-position-vertical-relative:paragraph;z-index:-129784" type="#_x0000_t202" filled="false" stroked="true" strokeweight=".47998pt" strokecolor="#000000">
            <v:textbox inset="0,0,0,0">
              <w:txbxContent>
                <w:p>
                  <w:pPr>
                    <w:pStyle w:val="BodyText"/>
                    <w:spacing w:before="5"/>
                  </w:pPr>
                </w:p>
                <w:p>
                  <w:pPr>
                    <w:pStyle w:val="BodyText"/>
                    <w:spacing w:line="242" w:lineRule="auto"/>
                    <w:ind w:left="103" w:right="232"/>
                  </w:pPr>
                  <w:r>
                    <w:rPr/>
                    <w:t>= Hospital P4P Payment Individual Measure Category</w:t>
                  </w:r>
                </w:p>
              </w:txbxContent>
            </v:textbox>
            <v:stroke dashstyle="solid"/>
            <w10:wrap type="none"/>
          </v:shape>
        </w:pict>
      </w:r>
      <w:r>
        <w:rPr>
          <w:b/>
          <w:sz w:val="24"/>
        </w:rPr>
        <w:t>Health Disparities Composite Measure</w:t>
      </w:r>
      <w:r>
        <w:rPr>
          <w:sz w:val="24"/>
        </w:rPr>
        <w:t>: Incentive payments will be calculated by multiplying the Hospital’s eligible Medicaid discharges by quality measure category per- discharge amount by the composite performance score per </w:t>
      </w:r>
      <w:r>
        <w:rPr>
          <w:b/>
          <w:sz w:val="24"/>
        </w:rPr>
        <w:t>Section 7.4.E </w:t>
      </w:r>
      <w:r>
        <w:rPr>
          <w:sz w:val="24"/>
        </w:rPr>
        <w:t>using the following</w:t>
      </w:r>
      <w:r>
        <w:rPr>
          <w:spacing w:val="-2"/>
          <w:sz w:val="24"/>
        </w:rPr>
        <w:t> </w:t>
      </w:r>
      <w:r>
        <w:rPr>
          <w:sz w:val="24"/>
        </w:rPr>
        <w:t>formula:</w:t>
      </w:r>
    </w:p>
    <w:p>
      <w:pPr>
        <w:spacing w:after="0" w:line="244" w:lineRule="auto"/>
        <w:jc w:val="left"/>
        <w:rPr>
          <w:sz w:val="24"/>
        </w:rPr>
        <w:sectPr>
          <w:pgSz w:w="12240" w:h="15840"/>
          <w:pgMar w:header="0" w:footer="744" w:top="1380" w:bottom="940" w:left="1220" w:right="980"/>
        </w:sectPr>
      </w:pPr>
    </w:p>
    <w:p>
      <w:pPr>
        <w:pStyle w:val="BodyText"/>
        <w:spacing w:before="2"/>
        <w:rPr>
          <w:sz w:val="19"/>
        </w:rPr>
      </w:pPr>
    </w:p>
    <w:p>
      <w:pPr>
        <w:spacing w:line="240" w:lineRule="auto"/>
        <w:ind w:left="407" w:right="0" w:firstLine="0"/>
        <w:rPr>
          <w:sz w:val="20"/>
        </w:rPr>
      </w:pPr>
      <w:r>
        <w:rPr>
          <w:spacing w:val="-49"/>
          <w:sz w:val="20"/>
        </w:rPr>
        <w:t> </w:t>
      </w:r>
      <w:r>
        <w:rPr>
          <w:spacing w:val="-49"/>
          <w:sz w:val="20"/>
        </w:rPr>
        <w:pict>
          <v:shape style="width:271.6pt;height:56.4pt;mso-position-horizontal-relative:char;mso-position-vertical-relative:line" type="#_x0000_t202" filled="false" stroked="true" strokeweight=".47998pt" strokecolor="#000000">
            <w10:anchorlock/>
            <v:textbox inset="0,0,0,0">
              <w:txbxContent>
                <w:p>
                  <w:pPr>
                    <w:pStyle w:val="BodyText"/>
                    <w:spacing w:line="242" w:lineRule="auto" w:before="1"/>
                    <w:ind w:left="132" w:right="128" w:firstLine="481"/>
                  </w:pPr>
                  <w:r>
                    <w:rPr/>
                    <w:t>(Hospital’s Eligible Medicaid discharges) x (Quality Measure Category per-Discharge Amount) x</w:t>
                  </w:r>
                </w:p>
                <w:p>
                  <w:pPr>
                    <w:pStyle w:val="BodyText"/>
                    <w:ind w:left="1164"/>
                  </w:pPr>
                  <w:r>
                    <w:rPr/>
                    <w:t>(Composite Performance Score)</w:t>
                  </w:r>
                </w:p>
              </w:txbxContent>
            </v:textbox>
            <v:stroke dashstyle="solid"/>
          </v:shape>
        </w:pict>
      </w:r>
      <w:r>
        <w:rPr>
          <w:spacing w:val="-49"/>
          <w:sz w:val="20"/>
        </w:rPr>
      </w:r>
    </w:p>
    <w:p>
      <w:pPr>
        <w:pStyle w:val="BodyText"/>
        <w:spacing w:before="3"/>
        <w:rPr>
          <w:sz w:val="14"/>
        </w:rPr>
      </w:pPr>
    </w:p>
    <w:p>
      <w:pPr>
        <w:pStyle w:val="BodyText"/>
        <w:spacing w:line="242" w:lineRule="auto" w:before="90"/>
        <w:ind w:left="1492" w:right="862"/>
      </w:pPr>
      <w:r>
        <w:rPr/>
        <w:pict>
          <v:shape style="position:absolute;margin-left:338.160004pt;margin-top:-66.256882pt;width:192.85pt;height:56.4pt;mso-position-horizontal-relative:page;mso-position-vertical-relative:paragraph;z-index:-129736" type="#_x0000_t202" filled="false" stroked="true" strokeweight=".47998pt" strokecolor="#000000">
            <v:textbox inset="0,0,0,0">
              <w:txbxContent>
                <w:p>
                  <w:pPr>
                    <w:pStyle w:val="BodyText"/>
                    <w:spacing w:before="5"/>
                  </w:pPr>
                </w:p>
                <w:p>
                  <w:pPr>
                    <w:pStyle w:val="BodyText"/>
                    <w:spacing w:line="242" w:lineRule="auto"/>
                    <w:ind w:left="211" w:right="207" w:firstLine="534"/>
                  </w:pPr>
                  <w:r>
                    <w:rPr/>
                    <w:t>= Hospital P4P Payment Health Disparity Measure Category</w:t>
                  </w:r>
                </w:p>
              </w:txbxContent>
            </v:textbox>
            <v:stroke dashstyle="solid"/>
            <w10:wrap type="none"/>
          </v:shape>
        </w:pict>
      </w:r>
      <w:r>
        <w:rPr/>
        <w:t>A Hospital’s total RY14 P4P payment will be the sum of the P4P payments for each quality measure category for which the hospital qualifies for payment.</w:t>
      </w:r>
    </w:p>
    <w:p>
      <w:pPr>
        <w:pStyle w:val="BodyText"/>
        <w:spacing w:before="8"/>
      </w:pPr>
    </w:p>
    <w:p>
      <w:pPr>
        <w:pStyle w:val="Heading2"/>
        <w:numPr>
          <w:ilvl w:val="1"/>
          <w:numId w:val="13"/>
        </w:numPr>
        <w:tabs>
          <w:tab w:pos="777" w:val="left" w:leader="none"/>
        </w:tabs>
        <w:spacing w:line="240" w:lineRule="auto" w:before="0" w:after="0"/>
        <w:ind w:left="776" w:right="0" w:hanging="544"/>
        <w:jc w:val="left"/>
      </w:pPr>
      <w:r>
        <w:rPr>
          <w:spacing w:val="-3"/>
        </w:rPr>
        <w:t>Pay-for-Performance Reporting</w:t>
      </w:r>
      <w:r>
        <w:rPr>
          <w:spacing w:val="-11"/>
        </w:rPr>
        <w:t> </w:t>
      </w:r>
      <w:r>
        <w:rPr>
          <w:spacing w:val="-3"/>
        </w:rPr>
        <w:t>Requirements</w:t>
      </w:r>
    </w:p>
    <w:p>
      <w:pPr>
        <w:pStyle w:val="BodyText"/>
        <w:spacing w:line="242" w:lineRule="auto" w:before="239"/>
        <w:ind w:left="772" w:right="623"/>
      </w:pPr>
      <w:r>
        <w:rPr/>
        <w:t>Each Hospital must submit all information required for each measure listed in </w:t>
      </w:r>
      <w:r>
        <w:rPr>
          <w:b/>
        </w:rPr>
        <w:t>Section 7.3 </w:t>
      </w:r>
      <w:r>
        <w:rPr/>
        <w:t>and comply in accordance with reporting requirements set forth below.</w:t>
      </w:r>
    </w:p>
    <w:p>
      <w:pPr>
        <w:pStyle w:val="ListParagraph"/>
        <w:numPr>
          <w:ilvl w:val="2"/>
          <w:numId w:val="13"/>
        </w:numPr>
        <w:tabs>
          <w:tab w:pos="1132" w:val="left" w:leader="none"/>
        </w:tabs>
        <w:spacing w:line="247" w:lineRule="auto" w:before="185" w:after="0"/>
        <w:ind w:left="1132" w:right="225" w:hanging="360"/>
        <w:jc w:val="left"/>
        <w:rPr>
          <w:sz w:val="24"/>
        </w:rPr>
      </w:pPr>
      <w:r>
        <w:rPr>
          <w:b/>
          <w:sz w:val="24"/>
        </w:rPr>
        <w:t>Data Submission Timelines. </w:t>
      </w:r>
      <w:r>
        <w:rPr>
          <w:sz w:val="24"/>
        </w:rPr>
        <w:t>All measures data for the hospital quality performance measures listed in </w:t>
      </w:r>
      <w:r>
        <w:rPr>
          <w:b/>
          <w:sz w:val="24"/>
        </w:rPr>
        <w:t>Section 7.3 </w:t>
      </w:r>
      <w:r>
        <w:rPr>
          <w:sz w:val="24"/>
        </w:rPr>
        <w:t>must be submitted in quarter reporting cycles on the due dates noted in </w:t>
      </w:r>
      <w:r>
        <w:rPr>
          <w:b/>
          <w:sz w:val="24"/>
        </w:rPr>
        <w:t>Table 7-4</w:t>
      </w:r>
      <w:r>
        <w:rPr>
          <w:sz w:val="24"/>
        </w:rPr>
        <w:t>.  The hospital contact information must be submitted per instructions set forth below under </w:t>
      </w:r>
      <w:r>
        <w:rPr>
          <w:b/>
          <w:sz w:val="24"/>
        </w:rPr>
        <w:t>Section</w:t>
      </w:r>
      <w:r>
        <w:rPr>
          <w:b/>
          <w:spacing w:val="-1"/>
          <w:sz w:val="24"/>
        </w:rPr>
        <w:t> </w:t>
      </w:r>
      <w:r>
        <w:rPr>
          <w:b/>
          <w:sz w:val="24"/>
        </w:rPr>
        <w:t>7.6.E</w:t>
      </w:r>
      <w:r>
        <w:rPr>
          <w:sz w:val="24"/>
        </w:rPr>
        <w:t>.</w:t>
      </w:r>
    </w:p>
    <w:p>
      <w:pPr>
        <w:pStyle w:val="Heading3"/>
        <w:spacing w:before="178"/>
        <w:ind w:left="2572" w:firstLine="0"/>
      </w:pPr>
      <w:r>
        <w:rPr/>
        <w:t>Table 7-4. Data Submission Timelines</w:t>
      </w:r>
    </w:p>
    <w:p>
      <w:pPr>
        <w:pStyle w:val="BodyText"/>
        <w:spacing w:before="4"/>
        <w:rPr>
          <w:b/>
          <w:sz w:val="16"/>
        </w:rPr>
      </w:pPr>
    </w:p>
    <w:tbl>
      <w:tblPr>
        <w:tblW w:w="0" w:type="auto"/>
        <w:jc w:val="left"/>
        <w:tblInd w:w="1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183"/>
        <w:gridCol w:w="2785"/>
        <w:gridCol w:w="2620"/>
        <w:gridCol w:w="2621"/>
      </w:tblGrid>
      <w:tr>
        <w:trPr>
          <w:trHeight w:val="480" w:hRule="atLeast"/>
        </w:trPr>
        <w:tc>
          <w:tcPr>
            <w:tcW w:w="2183" w:type="dxa"/>
            <w:tcBorders>
              <w:left w:val="single" w:sz="4" w:space="0" w:color="000000"/>
              <w:right w:val="single" w:sz="4" w:space="0" w:color="000000"/>
            </w:tcBorders>
            <w:shd w:val="clear" w:color="auto" w:fill="CCCCCC"/>
          </w:tcPr>
          <w:p>
            <w:pPr>
              <w:pStyle w:val="TableParagraph"/>
              <w:spacing w:line="240" w:lineRule="auto" w:before="16"/>
              <w:ind w:left="171"/>
              <w:rPr>
                <w:rFonts w:ascii="Times New Roman"/>
                <w:b/>
                <w:sz w:val="20"/>
              </w:rPr>
            </w:pPr>
            <w:r>
              <w:rPr>
                <w:rFonts w:ascii="Times New Roman"/>
                <w:b/>
                <w:sz w:val="20"/>
              </w:rPr>
              <w:t>Submission Due Date</w:t>
            </w:r>
          </w:p>
        </w:tc>
        <w:tc>
          <w:tcPr>
            <w:tcW w:w="2785" w:type="dxa"/>
            <w:tcBorders>
              <w:left w:val="single" w:sz="4" w:space="0" w:color="000000"/>
              <w:right w:val="single" w:sz="4" w:space="0" w:color="000000"/>
            </w:tcBorders>
            <w:shd w:val="clear" w:color="auto" w:fill="CCCCCC"/>
          </w:tcPr>
          <w:p>
            <w:pPr>
              <w:pStyle w:val="TableParagraph"/>
              <w:spacing w:line="230" w:lineRule="atLeast" w:before="16"/>
              <w:ind w:left="309" w:right="295" w:firstLine="871"/>
              <w:rPr>
                <w:rFonts w:ascii="Times New Roman"/>
                <w:b/>
                <w:sz w:val="20"/>
              </w:rPr>
            </w:pPr>
            <w:r>
              <w:rPr>
                <w:rFonts w:ascii="Times New Roman"/>
                <w:b/>
                <w:sz w:val="20"/>
              </w:rPr>
              <w:t>Data Submission Requirement</w:t>
            </w:r>
          </w:p>
        </w:tc>
        <w:tc>
          <w:tcPr>
            <w:tcW w:w="2620" w:type="dxa"/>
            <w:tcBorders>
              <w:left w:val="single" w:sz="4" w:space="0" w:color="000000"/>
              <w:right w:val="single" w:sz="4" w:space="0" w:color="000000"/>
            </w:tcBorders>
            <w:shd w:val="clear" w:color="auto" w:fill="CCCCCC"/>
          </w:tcPr>
          <w:p>
            <w:pPr>
              <w:pStyle w:val="TableParagraph"/>
              <w:spacing w:line="230" w:lineRule="atLeast" w:before="16"/>
              <w:ind w:left="520" w:right="508" w:firstLine="577"/>
              <w:rPr>
                <w:rFonts w:ascii="Times New Roman"/>
                <w:b/>
                <w:sz w:val="20"/>
              </w:rPr>
            </w:pPr>
            <w:r>
              <w:rPr>
                <w:rFonts w:ascii="Times New Roman"/>
                <w:b/>
                <w:sz w:val="20"/>
              </w:rPr>
              <w:t>Data Reporting Format</w:t>
            </w:r>
          </w:p>
        </w:tc>
        <w:tc>
          <w:tcPr>
            <w:tcW w:w="2621" w:type="dxa"/>
            <w:tcBorders>
              <w:left w:val="single" w:sz="4" w:space="0" w:color="000000"/>
              <w:right w:val="single" w:sz="4" w:space="0" w:color="000000"/>
            </w:tcBorders>
            <w:shd w:val="clear" w:color="auto" w:fill="CCCCCC"/>
          </w:tcPr>
          <w:p>
            <w:pPr>
              <w:pStyle w:val="TableParagraph"/>
              <w:spacing w:line="230" w:lineRule="atLeast" w:before="16"/>
              <w:ind w:left="300" w:right="290" w:firstLine="646"/>
              <w:rPr>
                <w:rFonts w:ascii="Times New Roman"/>
                <w:b/>
                <w:sz w:val="20"/>
              </w:rPr>
            </w:pPr>
            <w:r>
              <w:rPr>
                <w:rFonts w:ascii="Times New Roman"/>
                <w:b/>
                <w:sz w:val="20"/>
              </w:rPr>
              <w:t>Detailed Reporting  Instructions</w:t>
            </w:r>
          </w:p>
        </w:tc>
      </w:tr>
      <w:tr>
        <w:trPr>
          <w:trHeight w:val="700" w:hRule="atLeast"/>
        </w:trPr>
        <w:tc>
          <w:tcPr>
            <w:tcW w:w="2183" w:type="dxa"/>
            <w:tcBorders>
              <w:left w:val="single" w:sz="4" w:space="0" w:color="000000"/>
              <w:bottom w:val="single" w:sz="4" w:space="0" w:color="000000"/>
              <w:right w:val="single" w:sz="4" w:space="0" w:color="000000"/>
            </w:tcBorders>
          </w:tcPr>
          <w:p>
            <w:pPr>
              <w:pStyle w:val="TableParagraph"/>
              <w:spacing w:line="240" w:lineRule="auto" w:before="16"/>
              <w:ind w:left="102"/>
              <w:rPr>
                <w:rFonts w:ascii="Times New Roman"/>
                <w:b/>
                <w:sz w:val="24"/>
              </w:rPr>
            </w:pPr>
            <w:r>
              <w:rPr>
                <w:rFonts w:ascii="Times New Roman"/>
                <w:b/>
                <w:sz w:val="24"/>
              </w:rPr>
              <w:t>October  1, 2013</w:t>
            </w:r>
          </w:p>
        </w:tc>
        <w:tc>
          <w:tcPr>
            <w:tcW w:w="2785" w:type="dxa"/>
            <w:tcBorders>
              <w:left w:val="single" w:sz="4" w:space="0" w:color="000000"/>
              <w:bottom w:val="single" w:sz="4" w:space="0" w:color="000000"/>
              <w:right w:val="single" w:sz="4" w:space="0" w:color="000000"/>
            </w:tcBorders>
          </w:tcPr>
          <w:p>
            <w:pPr>
              <w:pStyle w:val="TableParagraph"/>
              <w:spacing w:line="230" w:lineRule="atLeast" w:before="13"/>
              <w:ind w:left="102" w:right="92"/>
              <w:rPr>
                <w:rFonts w:ascii="Times New Roman"/>
                <w:sz w:val="20"/>
              </w:rPr>
            </w:pPr>
            <w:r>
              <w:rPr>
                <w:rFonts w:ascii="Times New Roman"/>
                <w:sz w:val="20"/>
              </w:rPr>
              <w:t>Hospital Quality Contacts Form Hospital Data Accuracy and Completeness Attestation Form</w:t>
            </w:r>
          </w:p>
        </w:tc>
        <w:tc>
          <w:tcPr>
            <w:tcW w:w="2620" w:type="dxa"/>
            <w:tcBorders>
              <w:left w:val="single" w:sz="4" w:space="0" w:color="000000"/>
              <w:bottom w:val="single" w:sz="4" w:space="0" w:color="000000"/>
              <w:right w:val="single" w:sz="4" w:space="0" w:color="000000"/>
            </w:tcBorders>
          </w:tcPr>
          <w:p>
            <w:pPr>
              <w:pStyle w:val="TableParagraph"/>
              <w:spacing w:line="244" w:lineRule="auto" w:before="13"/>
              <w:ind w:left="102" w:right="298"/>
              <w:rPr>
                <w:rFonts w:ascii="Times New Roman"/>
                <w:sz w:val="20"/>
              </w:rPr>
            </w:pPr>
            <w:r>
              <w:rPr>
                <w:rFonts w:ascii="Times New Roman"/>
                <w:sz w:val="20"/>
              </w:rPr>
              <w:t>HospContact_2014 Form HospDACA_2014 Form</w:t>
            </w:r>
          </w:p>
        </w:tc>
        <w:tc>
          <w:tcPr>
            <w:tcW w:w="2621" w:type="dxa"/>
            <w:tcBorders>
              <w:left w:val="single" w:sz="4" w:space="0" w:color="000000"/>
              <w:bottom w:val="single" w:sz="4" w:space="0" w:color="000000"/>
              <w:right w:val="single" w:sz="4" w:space="0" w:color="000000"/>
            </w:tcBorders>
          </w:tcPr>
          <w:p>
            <w:pPr>
              <w:pStyle w:val="TableParagraph"/>
              <w:spacing w:line="244" w:lineRule="auto" w:before="13"/>
              <w:ind w:left="103" w:right="954"/>
              <w:rPr>
                <w:rFonts w:ascii="Times New Roman"/>
                <w:sz w:val="20"/>
              </w:rPr>
            </w:pPr>
            <w:r>
              <w:rPr>
                <w:rFonts w:ascii="Times New Roman"/>
                <w:sz w:val="20"/>
              </w:rPr>
              <w:t>RFA Section 7.2.D RFA Section 7.6.E</w:t>
            </w:r>
          </w:p>
        </w:tc>
      </w:tr>
      <w:tr>
        <w:trPr>
          <w:trHeight w:val="700"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left="102"/>
              <w:rPr>
                <w:rFonts w:ascii="Times New Roman"/>
                <w:b/>
                <w:sz w:val="24"/>
              </w:rPr>
            </w:pPr>
            <w:r>
              <w:rPr>
                <w:rFonts w:ascii="Times New Roman"/>
                <w:b/>
                <w:sz w:val="24"/>
              </w:rPr>
              <w:t>November 15, 2013</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left="102"/>
              <w:rPr>
                <w:rFonts w:ascii="Times New Roman"/>
                <w:sz w:val="20"/>
              </w:rPr>
            </w:pPr>
            <w:r>
              <w:rPr>
                <w:rFonts w:ascii="Times New Roman"/>
                <w:sz w:val="20"/>
              </w:rPr>
              <w:t>Q2-2013 (Apr - June 2013)</w:t>
            </w:r>
          </w:p>
          <w:p>
            <w:pPr>
              <w:pStyle w:val="TableParagraph"/>
              <w:spacing w:line="240" w:lineRule="auto" w:before="3"/>
              <w:ind w:left="102"/>
              <w:rPr>
                <w:rFonts w:ascii="Times New Roman"/>
                <w:sz w:val="20"/>
              </w:rPr>
            </w:pPr>
            <w:r>
              <w:rPr>
                <w:rFonts w:ascii="Times New Roman"/>
                <w:sz w:val="20"/>
              </w:rPr>
              <w:t>Q2-2013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
              <w:ind w:left="102" w:right="298"/>
              <w:rPr>
                <w:rFonts w:ascii="Times New Roman"/>
                <w:sz w:val="20"/>
              </w:rPr>
            </w:pPr>
            <w:r>
              <w:rPr>
                <w:rFonts w:ascii="Times New Roman"/>
                <w:spacing w:val="-4"/>
                <w:sz w:val="20"/>
              </w:rPr>
              <w:t>Electronic </w:t>
            </w:r>
            <w:r>
              <w:rPr>
                <w:rFonts w:ascii="Times New Roman"/>
                <w:spacing w:val="-3"/>
                <w:sz w:val="20"/>
              </w:rPr>
              <w:t>Data </w:t>
            </w:r>
            <w:r>
              <w:rPr>
                <w:rFonts w:ascii="Times New Roman"/>
                <w:spacing w:val="-4"/>
                <w:sz w:val="20"/>
              </w:rPr>
              <w:t>Files; and </w:t>
            </w: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1"/>
              <w:ind w:left="103" w:right="454"/>
              <w:rPr>
                <w:rFonts w:ascii="Times New Roman"/>
                <w:sz w:val="20"/>
              </w:rPr>
            </w:pPr>
            <w:r>
              <w:rPr>
                <w:rFonts w:ascii="Times New Roman"/>
                <w:sz w:val="20"/>
              </w:rPr>
              <w:t>RY2013 Technical Specs Manual Version 6.0, 6.1a</w:t>
            </w:r>
          </w:p>
        </w:tc>
      </w:tr>
      <w:tr>
        <w:trPr>
          <w:trHeight w:val="699"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102"/>
              <w:rPr>
                <w:rFonts w:ascii="Times New Roman"/>
                <w:b/>
                <w:sz w:val="24"/>
              </w:rPr>
            </w:pPr>
            <w:r>
              <w:rPr>
                <w:rFonts w:ascii="Times New Roman"/>
                <w:b/>
                <w:sz w:val="24"/>
              </w:rPr>
              <w:t>February 14, 2014</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2"/>
              <w:rPr>
                <w:rFonts w:ascii="Times New Roman" w:hAnsi="Times New Roman"/>
                <w:sz w:val="20"/>
              </w:rPr>
            </w:pPr>
            <w:r>
              <w:rPr>
                <w:rFonts w:ascii="Times New Roman" w:hAnsi="Times New Roman"/>
                <w:sz w:val="20"/>
              </w:rPr>
              <w:t>Q3-2013 (July – Sept 2013)</w:t>
            </w:r>
          </w:p>
          <w:p>
            <w:pPr>
              <w:pStyle w:val="TableParagraph"/>
              <w:spacing w:line="240" w:lineRule="auto" w:before="4"/>
              <w:ind w:left="102"/>
              <w:rPr>
                <w:rFonts w:ascii="Times New Roman"/>
                <w:sz w:val="20"/>
              </w:rPr>
            </w:pPr>
            <w:r>
              <w:rPr>
                <w:rFonts w:ascii="Times New Roman"/>
                <w:sz w:val="20"/>
              </w:rPr>
              <w:t>Q3-2013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2"/>
              <w:rPr>
                <w:rFonts w:ascii="Times New Roman"/>
                <w:sz w:val="20"/>
              </w:rPr>
            </w:pPr>
            <w:r>
              <w:rPr>
                <w:rFonts w:ascii="Times New Roman"/>
                <w:sz w:val="20"/>
              </w:rPr>
              <w:t>Electronic Data Files; and</w:t>
            </w:r>
          </w:p>
          <w:p>
            <w:pPr>
              <w:pStyle w:val="TableParagraph"/>
              <w:spacing w:line="230" w:lineRule="atLeast" w:before="4"/>
              <w:ind w:left="102" w:right="298"/>
              <w:rPr>
                <w:rFonts w:ascii="Times New Roman"/>
                <w:sz w:val="20"/>
              </w:rPr>
            </w:pP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03" w:right="454"/>
              <w:rPr>
                <w:rFonts w:ascii="Times New Roman"/>
                <w:sz w:val="20"/>
              </w:rPr>
            </w:pPr>
            <w:r>
              <w:rPr>
                <w:rFonts w:ascii="Times New Roman"/>
                <w:sz w:val="20"/>
              </w:rPr>
              <w:t>RY2013 Technical Specs Manual (Version 7.0)</w:t>
            </w:r>
          </w:p>
        </w:tc>
      </w:tr>
      <w:tr>
        <w:trPr>
          <w:trHeight w:val="700"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left="102"/>
              <w:rPr>
                <w:rFonts w:ascii="Times New Roman"/>
                <w:b/>
                <w:sz w:val="24"/>
              </w:rPr>
            </w:pPr>
            <w:r>
              <w:rPr>
                <w:rFonts w:ascii="Times New Roman"/>
                <w:b/>
                <w:sz w:val="24"/>
              </w:rPr>
              <w:t>May 16, 2014</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left="102"/>
              <w:rPr>
                <w:rFonts w:ascii="Times New Roman" w:hAnsi="Times New Roman"/>
                <w:sz w:val="20"/>
              </w:rPr>
            </w:pPr>
            <w:r>
              <w:rPr>
                <w:rFonts w:ascii="Times New Roman" w:hAnsi="Times New Roman"/>
                <w:sz w:val="20"/>
              </w:rPr>
              <w:t>Q4-2013 (Oct – Dec 2013)</w:t>
            </w:r>
          </w:p>
          <w:p>
            <w:pPr>
              <w:pStyle w:val="TableParagraph"/>
              <w:spacing w:line="240" w:lineRule="auto" w:before="3"/>
              <w:ind w:left="102"/>
              <w:rPr>
                <w:rFonts w:ascii="Times New Roman"/>
                <w:sz w:val="20"/>
              </w:rPr>
            </w:pPr>
            <w:r>
              <w:rPr>
                <w:rFonts w:ascii="Times New Roman"/>
                <w:sz w:val="20"/>
              </w:rPr>
              <w:t>Q4-2013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
              <w:ind w:left="102" w:right="298"/>
              <w:rPr>
                <w:rFonts w:ascii="Times New Roman"/>
                <w:sz w:val="20"/>
              </w:rPr>
            </w:pPr>
            <w:r>
              <w:rPr>
                <w:rFonts w:ascii="Times New Roman"/>
                <w:spacing w:val="-4"/>
                <w:sz w:val="20"/>
              </w:rPr>
              <w:t>Electronic </w:t>
            </w:r>
            <w:r>
              <w:rPr>
                <w:rFonts w:ascii="Times New Roman"/>
                <w:spacing w:val="-3"/>
                <w:sz w:val="20"/>
              </w:rPr>
              <w:t>Data </w:t>
            </w:r>
            <w:r>
              <w:rPr>
                <w:rFonts w:ascii="Times New Roman"/>
                <w:spacing w:val="-4"/>
                <w:sz w:val="20"/>
              </w:rPr>
              <w:t>Files; and </w:t>
            </w: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1"/>
              <w:ind w:left="103" w:right="454"/>
              <w:rPr>
                <w:rFonts w:ascii="Times New Roman"/>
                <w:sz w:val="20"/>
              </w:rPr>
            </w:pPr>
            <w:r>
              <w:rPr>
                <w:rFonts w:ascii="Times New Roman"/>
                <w:sz w:val="20"/>
              </w:rPr>
              <w:t>RY2013 Technical Specs Manual (Version 7.0)</w:t>
            </w:r>
          </w:p>
        </w:tc>
      </w:tr>
      <w:tr>
        <w:trPr>
          <w:trHeight w:val="879"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102"/>
              <w:rPr>
                <w:rFonts w:ascii="Times New Roman"/>
                <w:b/>
                <w:sz w:val="24"/>
              </w:rPr>
            </w:pPr>
            <w:r>
              <w:rPr>
                <w:rFonts w:ascii="Times New Roman"/>
                <w:b/>
                <w:sz w:val="24"/>
              </w:rPr>
              <w:t>August 15, 2014</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2"/>
              <w:rPr>
                <w:rFonts w:ascii="Times New Roman" w:hAnsi="Times New Roman"/>
                <w:sz w:val="20"/>
              </w:rPr>
            </w:pPr>
            <w:r>
              <w:rPr>
                <w:rFonts w:ascii="Times New Roman" w:hAnsi="Times New Roman"/>
                <w:sz w:val="20"/>
              </w:rPr>
              <w:t>Q1-2014 (Jan – Mar. 2014)</w:t>
            </w:r>
          </w:p>
          <w:p>
            <w:pPr>
              <w:pStyle w:val="TableParagraph"/>
              <w:spacing w:line="240" w:lineRule="auto" w:before="4"/>
              <w:ind w:left="102"/>
              <w:rPr>
                <w:rFonts w:ascii="Times New Roman"/>
                <w:sz w:val="20"/>
              </w:rPr>
            </w:pPr>
            <w:r>
              <w:rPr>
                <w:rFonts w:ascii="Times New Roman"/>
                <w:sz w:val="20"/>
              </w:rPr>
              <w:t>Q1-2014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02" w:right="298"/>
              <w:rPr>
                <w:rFonts w:ascii="Times New Roman"/>
                <w:sz w:val="20"/>
              </w:rPr>
            </w:pPr>
            <w:r>
              <w:rPr>
                <w:rFonts w:ascii="Times New Roman"/>
                <w:spacing w:val="-4"/>
                <w:sz w:val="20"/>
              </w:rPr>
              <w:t>Electronic </w:t>
            </w:r>
            <w:r>
              <w:rPr>
                <w:rFonts w:ascii="Times New Roman"/>
                <w:spacing w:val="-3"/>
                <w:sz w:val="20"/>
              </w:rPr>
              <w:t>Data </w:t>
            </w:r>
            <w:r>
              <w:rPr>
                <w:rFonts w:ascii="Times New Roman"/>
                <w:spacing w:val="-4"/>
                <w:sz w:val="20"/>
              </w:rPr>
              <w:t>Files; and </w:t>
            </w: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02" w:right="475" w:firstLine="47"/>
              <w:rPr>
                <w:rFonts w:ascii="Times New Roman"/>
                <w:sz w:val="20"/>
              </w:rPr>
            </w:pPr>
            <w:r>
              <w:rPr>
                <w:rFonts w:ascii="Times New Roman"/>
                <w:sz w:val="20"/>
              </w:rPr>
              <w:t>Technical Specs Manual (Version TBD)</w:t>
            </w:r>
          </w:p>
        </w:tc>
      </w:tr>
    </w:tbl>
    <w:p>
      <w:pPr>
        <w:pStyle w:val="BodyText"/>
        <w:spacing w:before="8"/>
        <w:rPr>
          <w:b/>
        </w:rPr>
      </w:pPr>
    </w:p>
    <w:p>
      <w:pPr>
        <w:pStyle w:val="ListParagraph"/>
        <w:numPr>
          <w:ilvl w:val="2"/>
          <w:numId w:val="13"/>
        </w:numPr>
        <w:tabs>
          <w:tab w:pos="1132" w:val="left" w:leader="none"/>
        </w:tabs>
        <w:spacing w:line="240" w:lineRule="auto" w:before="0" w:after="0"/>
        <w:ind w:left="1132" w:right="0" w:hanging="360"/>
        <w:jc w:val="left"/>
        <w:rPr>
          <w:sz w:val="24"/>
        </w:rPr>
      </w:pPr>
      <w:r>
        <w:rPr>
          <w:b/>
          <w:sz w:val="24"/>
        </w:rPr>
        <w:t>Data Reporting Format. </w:t>
      </w:r>
      <w:r>
        <w:rPr>
          <w:sz w:val="24"/>
        </w:rPr>
        <w:t>All electronic data must be submitted using the following</w:t>
      </w:r>
      <w:r>
        <w:rPr>
          <w:spacing w:val="-10"/>
          <w:sz w:val="24"/>
        </w:rPr>
        <w:t> </w:t>
      </w:r>
      <w:r>
        <w:rPr>
          <w:sz w:val="24"/>
        </w:rPr>
        <w:t>formats:</w:t>
      </w:r>
    </w:p>
    <w:p>
      <w:pPr>
        <w:pStyle w:val="ListParagraph"/>
        <w:numPr>
          <w:ilvl w:val="3"/>
          <w:numId w:val="13"/>
        </w:numPr>
        <w:tabs>
          <w:tab w:pos="1492" w:val="left" w:leader="none"/>
        </w:tabs>
        <w:spacing w:line="242" w:lineRule="auto" w:before="186" w:after="0"/>
        <w:ind w:left="1492" w:right="304" w:hanging="360"/>
        <w:jc w:val="left"/>
        <w:rPr>
          <w:sz w:val="24"/>
        </w:rPr>
      </w:pPr>
      <w:r>
        <w:rPr>
          <w:b/>
          <w:sz w:val="24"/>
        </w:rPr>
        <w:t>MassHealth Quality Exchange (MassQEX) Portal. </w:t>
      </w:r>
      <w:r>
        <w:rPr>
          <w:sz w:val="24"/>
        </w:rPr>
        <w:t>EOHHS has designated the MassQEX website as the secure portal for the submission of all electronic data files required in </w:t>
      </w:r>
      <w:r>
        <w:rPr>
          <w:b/>
          <w:sz w:val="24"/>
        </w:rPr>
        <w:t>Section 7.3 </w:t>
      </w:r>
      <w:r>
        <w:rPr>
          <w:sz w:val="24"/>
        </w:rPr>
        <w:t>that meets HIPAA requirements to ensure data confidentiality is protected. All Hospitals must identify and authorize staff that will conduct data transactions on their behalf, plus meet portal system requirements. All users of the MassQEX portal system are required to complete the on-line registration form via the website, which requires authorization from the Hospital’s Chief Executive Officer and the EOHHS vendor to establish user accounts for uploading data, per instructions set forth</w:t>
      </w:r>
      <w:r>
        <w:rPr>
          <w:spacing w:val="-1"/>
          <w:sz w:val="24"/>
        </w:rPr>
        <w:t> </w:t>
      </w:r>
      <w:r>
        <w:rPr>
          <w:sz w:val="24"/>
        </w:rPr>
        <w:t>in</w:t>
      </w:r>
    </w:p>
    <w:p>
      <w:pPr>
        <w:spacing w:after="0" w:line="242" w:lineRule="auto"/>
        <w:jc w:val="left"/>
        <w:rPr>
          <w:sz w:val="24"/>
        </w:rPr>
        <w:sectPr>
          <w:pgSz w:w="12240" w:h="15840"/>
          <w:pgMar w:header="0" w:footer="744" w:top="1500" w:bottom="940" w:left="920" w:right="860"/>
        </w:sectPr>
      </w:pPr>
    </w:p>
    <w:p>
      <w:pPr>
        <w:spacing w:line="242" w:lineRule="auto" w:before="61"/>
        <w:ind w:left="832" w:right="336" w:firstLine="0"/>
        <w:jc w:val="left"/>
        <w:rPr>
          <w:sz w:val="24"/>
        </w:rPr>
      </w:pPr>
      <w:r>
        <w:rPr>
          <w:sz w:val="24"/>
        </w:rPr>
        <w:t>the </w:t>
      </w:r>
      <w:r>
        <w:rPr>
          <w:i/>
          <w:sz w:val="24"/>
        </w:rPr>
        <w:t>EOHHS Technical Specifications Manual</w:t>
      </w:r>
      <w:r>
        <w:rPr>
          <w:sz w:val="24"/>
        </w:rPr>
        <w:t>. The MassQEX web portal can only be accessed by registered users through the following URL: </w:t>
      </w:r>
      <w:hyperlink r:id="rId25">
        <w:r>
          <w:rPr>
            <w:color w:val="0000FF"/>
            <w:sz w:val="24"/>
            <w:u w:val="single" w:color="0000FF"/>
          </w:rPr>
          <w:t>http://massqex.ehs.state.ma.us/</w:t>
        </w:r>
      </w:hyperlink>
    </w:p>
    <w:p>
      <w:pPr>
        <w:pStyle w:val="ListParagraph"/>
        <w:numPr>
          <w:ilvl w:val="3"/>
          <w:numId w:val="13"/>
        </w:numPr>
        <w:tabs>
          <w:tab w:pos="832" w:val="left" w:leader="none"/>
        </w:tabs>
        <w:spacing w:line="242" w:lineRule="auto" w:before="184" w:after="0"/>
        <w:ind w:left="832" w:right="148" w:hanging="360"/>
        <w:jc w:val="left"/>
        <w:rPr>
          <w:sz w:val="24"/>
        </w:rPr>
      </w:pPr>
      <w:r>
        <w:rPr>
          <w:b/>
          <w:sz w:val="24"/>
        </w:rPr>
        <w:t>ICD On-line Data Entry Form. </w:t>
      </w:r>
      <w:r>
        <w:rPr>
          <w:sz w:val="24"/>
        </w:rPr>
        <w:t>All aggregate ICD patient population data must be reported via the secure web portal using the on-line data entry form. This form is only </w:t>
      </w:r>
      <w:r>
        <w:rPr>
          <w:spacing w:val="-3"/>
          <w:sz w:val="24"/>
        </w:rPr>
        <w:t>visible </w:t>
      </w:r>
      <w:r>
        <w:rPr>
          <w:sz w:val="24"/>
        </w:rPr>
        <w:t>to </w:t>
      </w:r>
      <w:r>
        <w:rPr>
          <w:spacing w:val="-3"/>
          <w:sz w:val="24"/>
        </w:rPr>
        <w:t>registered users after they have logged into </w:t>
      </w:r>
      <w:r>
        <w:rPr>
          <w:sz w:val="24"/>
        </w:rPr>
        <w:t>the </w:t>
      </w:r>
      <w:r>
        <w:rPr>
          <w:spacing w:val="-3"/>
          <w:sz w:val="24"/>
        </w:rPr>
        <w:t>MassQEX system. </w:t>
      </w:r>
      <w:r>
        <w:rPr>
          <w:sz w:val="24"/>
        </w:rPr>
        <w:t>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w:t>
      </w:r>
      <w:r>
        <w:rPr>
          <w:i/>
          <w:sz w:val="24"/>
        </w:rPr>
        <w:t>EOHHS Technical Specifications</w:t>
      </w:r>
      <w:r>
        <w:rPr>
          <w:i/>
          <w:spacing w:val="-2"/>
          <w:sz w:val="24"/>
        </w:rPr>
        <w:t> </w:t>
      </w:r>
      <w:r>
        <w:rPr>
          <w:i/>
          <w:sz w:val="24"/>
        </w:rPr>
        <w:t>Manual</w:t>
      </w:r>
      <w:r>
        <w:rPr>
          <w:sz w:val="24"/>
        </w:rPr>
        <w:t>.</w:t>
      </w:r>
    </w:p>
    <w:p>
      <w:pPr>
        <w:pStyle w:val="ListParagraph"/>
        <w:numPr>
          <w:ilvl w:val="2"/>
          <w:numId w:val="13"/>
        </w:numPr>
        <w:tabs>
          <w:tab w:pos="472" w:val="left" w:leader="none"/>
        </w:tabs>
        <w:spacing w:line="244" w:lineRule="auto" w:before="184" w:after="0"/>
        <w:ind w:left="472" w:right="200" w:hanging="360"/>
        <w:jc w:val="left"/>
        <w:rPr>
          <w:sz w:val="24"/>
        </w:rPr>
      </w:pPr>
      <w:r>
        <w:rPr>
          <w:b/>
          <w:sz w:val="24"/>
        </w:rPr>
        <w:t>Technical Specifications Manual. </w:t>
      </w:r>
      <w:r>
        <w:rPr>
          <w:sz w:val="24"/>
        </w:rPr>
        <w:t>EOHHS publishes a comprehensive manual as a supplement to this RFA, which contains technical instructions, as described in </w:t>
      </w:r>
      <w:r>
        <w:rPr>
          <w:b/>
          <w:sz w:val="24"/>
        </w:rPr>
        <w:t>Section 7.3</w:t>
      </w:r>
      <w:r>
        <w:rPr>
          <w:sz w:val="24"/>
        </w:rPr>
        <w:t>, to assist hospitals in data collection and reporting of measures required in </w:t>
      </w:r>
      <w:r>
        <w:rPr>
          <w:b/>
          <w:sz w:val="24"/>
        </w:rPr>
        <w:t>Section 7.3</w:t>
      </w:r>
      <w:r>
        <w:rPr>
          <w:sz w:val="24"/>
        </w:rPr>
        <w:t>. The contents of this manual may be updated during the contract Rate Year to clarify measurement and reporting instructions as needed. Hospitals are responsible for downloading and using the appropriate versions of EOHHS Technical Specifications Manual that apply to each quarterly discharge data period being collected and submitted, as noted in </w:t>
      </w:r>
      <w:r>
        <w:rPr>
          <w:b/>
          <w:sz w:val="24"/>
        </w:rPr>
        <w:t>Section 7.6.A</w:t>
      </w:r>
      <w:r>
        <w:rPr>
          <w:sz w:val="24"/>
        </w:rPr>
        <w:t>. Failure to adhere to appropriate versions of the manual will result in the portal rejecting clinical data files. All versions of the manuals are available on the MassQEX website at</w:t>
      </w:r>
      <w:r>
        <w:rPr>
          <w:color w:val="0000FF"/>
          <w:sz w:val="24"/>
          <w:u w:val="single" w:color="0000FF"/>
        </w:rPr>
        <w:t> </w:t>
      </w:r>
      <w:hyperlink r:id="rId26">
        <w:r>
          <w:rPr>
            <w:color w:val="0000FF"/>
            <w:sz w:val="24"/>
            <w:u w:val="single" w:color="0000FF"/>
          </w:rPr>
          <w:t>http://massqex.ehs.state.ma.us/</w:t>
        </w:r>
        <w:r>
          <w:rPr>
            <w:sz w:val="24"/>
          </w:rPr>
          <w:t>; </w:t>
        </w:r>
      </w:hyperlink>
      <w:r>
        <w:rPr>
          <w:sz w:val="24"/>
        </w:rPr>
        <w:t>click on the “Specifications Manual”</w:t>
      </w:r>
      <w:r>
        <w:rPr>
          <w:spacing w:val="-5"/>
          <w:sz w:val="24"/>
        </w:rPr>
        <w:t> </w:t>
      </w:r>
      <w:r>
        <w:rPr>
          <w:sz w:val="24"/>
        </w:rPr>
        <w:t>tab.</w:t>
      </w:r>
    </w:p>
    <w:p>
      <w:pPr>
        <w:pStyle w:val="ListParagraph"/>
        <w:numPr>
          <w:ilvl w:val="2"/>
          <w:numId w:val="13"/>
        </w:numPr>
        <w:tabs>
          <w:tab w:pos="472" w:val="left" w:leader="none"/>
        </w:tabs>
        <w:spacing w:line="244" w:lineRule="auto" w:before="181" w:after="0"/>
        <w:ind w:left="472" w:right="119" w:hanging="360"/>
        <w:jc w:val="left"/>
        <w:rPr>
          <w:sz w:val="24"/>
        </w:rPr>
      </w:pPr>
      <w:r>
        <w:rPr>
          <w:b/>
          <w:sz w:val="24"/>
        </w:rPr>
        <w:t>Third-Party Data Vendors. </w:t>
      </w:r>
      <w:r>
        <w:rPr>
          <w:sz w:val="24"/>
        </w:rPr>
        <w:t>Hospitals can identify third-party vendors to conduct clinical data file transactions on their behalf via the MassQEX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Pr>
          <w:b/>
          <w:sz w:val="24"/>
        </w:rPr>
        <w:t>Section 7 </w:t>
      </w:r>
      <w:r>
        <w:rPr>
          <w:sz w:val="24"/>
        </w:rPr>
        <w:t>of this RFA, including adherence to the appropriate versions of the </w:t>
      </w:r>
      <w:r>
        <w:rPr>
          <w:i/>
          <w:sz w:val="24"/>
        </w:rPr>
        <w:t>EOHHS Technical Specifications Manual </w:t>
      </w:r>
      <w:r>
        <w:rPr>
          <w:sz w:val="24"/>
        </w:rPr>
        <w:t>to ensure completeness and accuracy of data files submitted on the Hospital’s</w:t>
      </w:r>
      <w:r>
        <w:rPr>
          <w:spacing w:val="-5"/>
          <w:sz w:val="24"/>
        </w:rPr>
        <w:t> </w:t>
      </w:r>
      <w:r>
        <w:rPr>
          <w:sz w:val="24"/>
        </w:rPr>
        <w:t>behalf.</w:t>
      </w:r>
    </w:p>
    <w:p>
      <w:pPr>
        <w:pStyle w:val="Heading3"/>
        <w:numPr>
          <w:ilvl w:val="2"/>
          <w:numId w:val="13"/>
        </w:numPr>
        <w:tabs>
          <w:tab w:pos="472" w:val="left" w:leader="none"/>
        </w:tabs>
        <w:spacing w:line="240" w:lineRule="auto" w:before="181" w:after="0"/>
        <w:ind w:left="472" w:right="0" w:hanging="360"/>
        <w:jc w:val="left"/>
      </w:pPr>
      <w:r>
        <w:rPr/>
        <w:t>Hard Copy Reporting</w:t>
      </w:r>
      <w:r>
        <w:rPr>
          <w:spacing w:val="-1"/>
        </w:rPr>
        <w:t> </w:t>
      </w:r>
      <w:r>
        <w:rPr/>
        <w:t>Forms</w:t>
      </w:r>
    </w:p>
    <w:p>
      <w:pPr>
        <w:pStyle w:val="ListParagraph"/>
        <w:numPr>
          <w:ilvl w:val="3"/>
          <w:numId w:val="13"/>
        </w:numPr>
        <w:tabs>
          <w:tab w:pos="832" w:val="left" w:leader="none"/>
        </w:tabs>
        <w:spacing w:line="242" w:lineRule="auto" w:before="184" w:after="0"/>
        <w:ind w:left="832" w:right="382" w:hanging="360"/>
        <w:jc w:val="left"/>
        <w:rPr>
          <w:sz w:val="24"/>
        </w:rPr>
      </w:pPr>
      <w:r>
        <w:rPr>
          <w:b/>
          <w:sz w:val="24"/>
        </w:rPr>
        <w:t>Hospital Quality Contact Form. </w:t>
      </w:r>
      <w:r>
        <w:rPr>
          <w:sz w:val="24"/>
        </w:rPr>
        <w:t>Each Hospital must complete and submit information on all staff involved in quality reporting using the HospContact 2014.pdf fillable form. This form is due at the beginning of the rate year and must be resubmitted when any change in key quality representatives occurs.</w:t>
      </w:r>
    </w:p>
    <w:p>
      <w:pPr>
        <w:pStyle w:val="ListParagraph"/>
        <w:numPr>
          <w:ilvl w:val="3"/>
          <w:numId w:val="13"/>
        </w:numPr>
        <w:tabs>
          <w:tab w:pos="832" w:val="left" w:leader="none"/>
        </w:tabs>
        <w:spacing w:line="244" w:lineRule="auto" w:before="184" w:after="0"/>
        <w:ind w:left="832" w:right="137" w:hanging="360"/>
        <w:jc w:val="left"/>
        <w:rPr>
          <w:sz w:val="24"/>
        </w:rPr>
      </w:pPr>
      <w:r>
        <w:rPr>
          <w:b/>
          <w:sz w:val="24"/>
        </w:rPr>
        <w:t>Hospital Data Accuracy and Completeness Attestation Form. </w:t>
      </w:r>
      <w:r>
        <w:rPr>
          <w:sz w:val="24"/>
        </w:rPr>
        <w:t>As of RY14, each Hospital must submit this form to acknowledge data completeness requirements pursuant to </w:t>
      </w:r>
      <w:r>
        <w:rPr>
          <w:b/>
          <w:sz w:val="24"/>
        </w:rPr>
        <w:t>Section 7.3.D </w:t>
      </w:r>
      <w:r>
        <w:rPr>
          <w:sz w:val="24"/>
        </w:rPr>
        <w:t>using the HospDACA_2014.pdf fillable form. This form must be signed by the Hospital’s chief executive officer and is due only at the beginning of each rate</w:t>
      </w:r>
      <w:r>
        <w:rPr>
          <w:spacing w:val="-1"/>
          <w:sz w:val="24"/>
        </w:rPr>
        <w:t> </w:t>
      </w:r>
      <w:r>
        <w:rPr>
          <w:sz w:val="24"/>
        </w:rPr>
        <w:t>year.</w:t>
      </w:r>
    </w:p>
    <w:p>
      <w:pPr>
        <w:pStyle w:val="BodyText"/>
        <w:spacing w:line="242" w:lineRule="auto" w:before="178"/>
        <w:ind w:left="471" w:right="236"/>
      </w:pPr>
      <w:r>
        <w:rPr/>
        <w:t>Electronic versions of these forms are posted on the Mass.gov website “</w:t>
      </w:r>
      <w:r>
        <w:rPr>
          <w:i/>
        </w:rPr>
        <w:t>Special Notices to </w:t>
      </w:r>
      <w:r>
        <w:rPr>
          <w:i/>
        </w:rPr>
        <w:t>Hospitals</w:t>
      </w:r>
      <w:r>
        <w:rPr/>
        <w:t>” at: </w:t>
      </w:r>
      <w:hyperlink r:id="rId27">
        <w:r>
          <w:rPr>
            <w:color w:val="0000FF"/>
            <w:u w:val="single" w:color="0000FF"/>
          </w:rPr>
          <w:t>http://www.mass.gov/eohhs/gov/laws-regs/masshealth/special-notices-for-</w:t>
        </w:r>
      </w:hyperlink>
      <w:r>
        <w:rPr>
          <w:color w:val="0000FF"/>
        </w:rPr>
        <w:t> </w:t>
      </w:r>
      <w:r>
        <w:rPr>
          <w:color w:val="0000FF"/>
          <w:u w:val="single" w:color="0000FF"/>
        </w:rPr>
        <w:t>hospitals.html</w:t>
      </w:r>
      <w:r>
        <w:rPr>
          <w:color w:val="0000FF"/>
        </w:rPr>
        <w:t> </w:t>
      </w:r>
      <w:r>
        <w:rPr/>
        <w:t>The form can also be obtained by sending a request to the EOHHS mailbox at </w:t>
      </w:r>
      <w:hyperlink r:id="rId21">
        <w:r>
          <w:rPr>
            <w:color w:val="0000FF"/>
            <w:u w:val="single" w:color="0000FF"/>
          </w:rPr>
          <w:t>Masshealthhospitalquality@state.ma.us</w:t>
        </w:r>
        <w:r>
          <w:rPr/>
          <w:t>.</w:t>
        </w:r>
      </w:hyperlink>
    </w:p>
    <w:p>
      <w:pPr>
        <w:spacing w:after="0" w:line="242" w:lineRule="auto"/>
        <w:sectPr>
          <w:footerReference w:type="default" r:id="rId24"/>
          <w:pgSz w:w="12240" w:h="15840"/>
          <w:pgMar w:footer="744" w:header="0" w:top="1380" w:bottom="940" w:left="1580" w:right="980"/>
        </w:sectPr>
      </w:pPr>
    </w:p>
    <w:p>
      <w:pPr>
        <w:spacing w:line="242" w:lineRule="auto" w:before="62"/>
        <w:ind w:left="331" w:right="334" w:firstLine="0"/>
        <w:jc w:val="both"/>
        <w:rPr>
          <w:sz w:val="24"/>
        </w:rPr>
      </w:pPr>
      <w:r>
        <w:rPr>
          <w:sz w:val="24"/>
        </w:rPr>
        <w:t>Hospitals must mail </w:t>
      </w:r>
      <w:r>
        <w:rPr>
          <w:b/>
          <w:i/>
          <w:sz w:val="24"/>
          <w:u w:val="thick"/>
        </w:rPr>
        <w:t>one</w:t>
      </w:r>
      <w:r>
        <w:rPr>
          <w:b/>
          <w:i/>
          <w:sz w:val="24"/>
        </w:rPr>
        <w:t> </w:t>
      </w:r>
      <w:r>
        <w:rPr>
          <w:sz w:val="24"/>
        </w:rPr>
        <w:t>hard copy of the </w:t>
      </w:r>
      <w:r>
        <w:rPr>
          <w:i/>
          <w:sz w:val="24"/>
        </w:rPr>
        <w:t>Hospital Quality Contacts Form and the Hospital </w:t>
      </w:r>
      <w:r>
        <w:rPr>
          <w:i/>
          <w:sz w:val="24"/>
        </w:rPr>
        <w:t>Data Accuracy and Completeness Attestation Form</w:t>
      </w:r>
      <w:r>
        <w:rPr>
          <w:sz w:val="24"/>
        </w:rPr>
        <w:t>, with a typed cover letter using Hospital stationary that identifies content enclosed, to Kiki Feldmar at the following address:</w:t>
      </w:r>
    </w:p>
    <w:p>
      <w:pPr>
        <w:pStyle w:val="BodyText"/>
        <w:spacing w:before="180"/>
        <w:ind w:left="1232"/>
      </w:pPr>
      <w:r>
        <w:rPr/>
        <w:t>Ms. Kiki Feldmar</w:t>
      </w:r>
    </w:p>
    <w:p>
      <w:pPr>
        <w:pStyle w:val="BodyText"/>
        <w:spacing w:line="242" w:lineRule="auto" w:before="3"/>
        <w:ind w:left="1232" w:right="3649"/>
      </w:pPr>
      <w:r>
        <w:rPr/>
        <w:t>Executive Office of Health and Human Services MassHealth Office of Providers and Plans</w:t>
      </w:r>
    </w:p>
    <w:p>
      <w:pPr>
        <w:pStyle w:val="BodyText"/>
        <w:spacing w:line="280" w:lineRule="exact"/>
        <w:ind w:left="1231" w:right="4745"/>
      </w:pPr>
      <w:r>
        <w:rPr/>
        <w:t>100 Hancock Street, 6</w:t>
      </w:r>
      <w:r>
        <w:rPr>
          <w:position w:val="11"/>
          <w:sz w:val="16"/>
        </w:rPr>
        <w:t>th </w:t>
      </w:r>
      <w:r>
        <w:rPr/>
        <w:t>Floor Quincy, MA 02171</w:t>
      </w:r>
    </w:p>
    <w:p>
      <w:pPr>
        <w:pStyle w:val="BodyText"/>
        <w:spacing w:before="2"/>
      </w:pPr>
    </w:p>
    <w:p>
      <w:pPr>
        <w:pStyle w:val="BodyText"/>
        <w:ind w:left="331"/>
        <w:jc w:val="both"/>
      </w:pPr>
      <w:r>
        <w:rPr/>
        <w:t>Hard-copy submissions must be postmarked by close of business on the due date specified in</w:t>
      </w:r>
    </w:p>
    <w:p>
      <w:pPr>
        <w:pStyle w:val="Heading3"/>
        <w:spacing w:before="6"/>
        <w:ind w:left="331" w:firstLine="0"/>
        <w:jc w:val="both"/>
        <w:rPr>
          <w:b w:val="0"/>
        </w:rPr>
      </w:pPr>
      <w:r>
        <w:rPr/>
        <w:t>Table 7-4</w:t>
      </w:r>
      <w:r>
        <w:rPr>
          <w:b w:val="0"/>
        </w:rPr>
        <w:t>.</w:t>
      </w:r>
    </w:p>
    <w:p>
      <w:pPr>
        <w:spacing w:after="0"/>
        <w:jc w:val="both"/>
        <w:sectPr>
          <w:footerReference w:type="default" r:id="rId28"/>
          <w:pgSz w:w="12240" w:h="15840"/>
          <w:pgMar w:footer="744" w:header="0" w:top="1380" w:bottom="940" w:left="1720" w:right="980"/>
          <w:pgNumType w:start="71"/>
        </w:sectPr>
      </w:pPr>
    </w:p>
    <w:p>
      <w:pPr>
        <w:spacing w:before="60"/>
        <w:ind w:left="1049" w:right="0" w:firstLine="0"/>
        <w:jc w:val="left"/>
        <w:rPr>
          <w:b/>
          <w:sz w:val="32"/>
        </w:rPr>
      </w:pPr>
      <w:r>
        <w:rPr>
          <w:b/>
          <w:sz w:val="32"/>
        </w:rPr>
        <w:t>Section 8: Other Quality- and Performance-Based Payments</w:t>
      </w:r>
    </w:p>
    <w:p>
      <w:pPr>
        <w:pStyle w:val="BodyText"/>
        <w:spacing w:before="9"/>
        <w:rPr>
          <w:b/>
          <w:sz w:val="48"/>
        </w:rPr>
      </w:pPr>
    </w:p>
    <w:p>
      <w:pPr>
        <w:pStyle w:val="BodyText"/>
        <w:spacing w:line="242" w:lineRule="auto"/>
        <w:ind w:left="111" w:right="267"/>
      </w:pPr>
      <w:r>
        <w:rPr/>
        <w:t>The </w:t>
      </w:r>
      <w:r>
        <w:rPr>
          <w:spacing w:val="-3"/>
        </w:rPr>
        <w:t>following provisions regarding Potentially Preventable Readmissions (PPRs), Provider Preventable Conditions (PPCs), </w:t>
      </w:r>
      <w:r>
        <w:rPr/>
        <w:t>and </w:t>
      </w:r>
      <w:r>
        <w:rPr>
          <w:spacing w:val="-3"/>
        </w:rPr>
        <w:t>Serious Reportable Events (SREs), reflect </w:t>
      </w:r>
      <w:r>
        <w:rPr/>
        <w:t>and </w:t>
      </w:r>
      <w:r>
        <w:rPr>
          <w:spacing w:val="-3"/>
        </w:rPr>
        <w:t>further EOHHS’ </w:t>
      </w:r>
      <w:r>
        <w:rPr>
          <w:spacing w:val="-4"/>
        </w:rPr>
        <w:t>commitment </w:t>
      </w:r>
      <w:r>
        <w:rPr>
          <w:spacing w:val="-3"/>
        </w:rPr>
        <w:t>to value-based purchasing </w:t>
      </w:r>
      <w:r>
        <w:rPr/>
        <w:t>and to </w:t>
      </w:r>
      <w:r>
        <w:rPr>
          <w:spacing w:val="-3"/>
        </w:rPr>
        <w:t>help ensure safer </w:t>
      </w:r>
      <w:r>
        <w:rPr/>
        <w:t>and </w:t>
      </w:r>
      <w:r>
        <w:rPr>
          <w:spacing w:val="-3"/>
        </w:rPr>
        <w:t>cost-effective care delivery </w:t>
      </w:r>
      <w:r>
        <w:rPr/>
        <w:t>to </w:t>
      </w:r>
      <w:r>
        <w:rPr>
          <w:spacing w:val="-3"/>
        </w:rPr>
        <w:t>MassHealth </w:t>
      </w:r>
      <w:r>
        <w:rPr>
          <w:spacing w:val="-4"/>
        </w:rPr>
        <w:t>members </w:t>
      </w:r>
      <w:r>
        <w:rPr/>
        <w:t>by </w:t>
      </w:r>
      <w:r>
        <w:rPr>
          <w:spacing w:val="-3"/>
        </w:rPr>
        <w:t>encouraging Hospitals </w:t>
      </w:r>
      <w:r>
        <w:rPr/>
        <w:t>to </w:t>
      </w:r>
      <w:r>
        <w:rPr>
          <w:spacing w:val="-3"/>
        </w:rPr>
        <w:t>establish measures </w:t>
      </w:r>
      <w:r>
        <w:rPr/>
        <w:t>and </w:t>
      </w:r>
      <w:r>
        <w:rPr>
          <w:spacing w:val="-3"/>
        </w:rPr>
        <w:t>actions </w:t>
      </w:r>
      <w:r>
        <w:rPr/>
        <w:t>to </w:t>
      </w:r>
      <w:r>
        <w:rPr>
          <w:spacing w:val="-3"/>
        </w:rPr>
        <w:t>actively improve performance </w:t>
      </w:r>
      <w:r>
        <w:rPr/>
        <w:t>in </w:t>
      </w:r>
      <w:r>
        <w:rPr>
          <w:spacing w:val="-3"/>
        </w:rPr>
        <w:t>patient care safety, reduce readmissions, </w:t>
      </w:r>
      <w:r>
        <w:rPr/>
        <w:t>and </w:t>
      </w:r>
      <w:r>
        <w:rPr>
          <w:spacing w:val="-3"/>
        </w:rPr>
        <w:t>avoid preventable errors.</w:t>
      </w:r>
    </w:p>
    <w:p>
      <w:pPr>
        <w:pStyle w:val="BodyText"/>
        <w:spacing w:before="9"/>
      </w:pPr>
    </w:p>
    <w:p>
      <w:pPr>
        <w:pStyle w:val="Heading2"/>
        <w:numPr>
          <w:ilvl w:val="1"/>
          <w:numId w:val="19"/>
        </w:numPr>
        <w:tabs>
          <w:tab w:pos="652" w:val="left" w:leader="none"/>
        </w:tabs>
        <w:spacing w:line="240" w:lineRule="auto" w:before="0" w:after="0"/>
        <w:ind w:left="651" w:right="0" w:hanging="539"/>
        <w:jc w:val="left"/>
      </w:pPr>
      <w:r>
        <w:rPr>
          <w:spacing w:val="-3"/>
        </w:rPr>
        <w:t>30-day Potentially Preventable Readmissions</w:t>
      </w:r>
      <w:r>
        <w:rPr>
          <w:spacing w:val="-8"/>
        </w:rPr>
        <w:t> </w:t>
      </w:r>
      <w:r>
        <w:rPr>
          <w:spacing w:val="-3"/>
        </w:rPr>
        <w:t>(PPRs)</w:t>
      </w:r>
    </w:p>
    <w:p>
      <w:pPr>
        <w:pStyle w:val="BodyText"/>
        <w:spacing w:before="4"/>
        <w:rPr>
          <w:b/>
        </w:rPr>
      </w:pPr>
    </w:p>
    <w:p>
      <w:pPr>
        <w:pStyle w:val="BodyText"/>
        <w:spacing w:line="244" w:lineRule="auto"/>
        <w:ind w:left="651" w:right="130" w:firstLine="3"/>
      </w:pPr>
      <w:r>
        <w:rPr>
          <w:spacing w:val="-3"/>
        </w:rPr>
        <w:t>Hospitals with </w:t>
      </w:r>
      <w:r>
        <w:rPr/>
        <w:t>a </w:t>
      </w:r>
      <w:r>
        <w:rPr>
          <w:spacing w:val="-3"/>
        </w:rPr>
        <w:t>greater number </w:t>
      </w:r>
      <w:r>
        <w:rPr/>
        <w:t>of </w:t>
      </w:r>
      <w:r>
        <w:rPr>
          <w:spacing w:val="-3"/>
        </w:rPr>
        <w:t>Actual Potentially Preventable Readmission (PPR) Chains than Expected </w:t>
      </w:r>
      <w:r>
        <w:rPr/>
        <w:t>PPR </w:t>
      </w:r>
      <w:r>
        <w:rPr>
          <w:spacing w:val="-3"/>
        </w:rPr>
        <w:t>Chains, based </w:t>
      </w:r>
      <w:r>
        <w:rPr/>
        <w:t>on </w:t>
      </w:r>
      <w:r>
        <w:rPr>
          <w:spacing w:val="-3"/>
        </w:rPr>
        <w:t>data specified </w:t>
      </w:r>
      <w:r>
        <w:rPr/>
        <w:t>in </w:t>
      </w:r>
      <w:r>
        <w:rPr>
          <w:b/>
          <w:spacing w:val="-3"/>
        </w:rPr>
        <w:t>8.1.B </w:t>
      </w:r>
      <w:r>
        <w:rPr>
          <w:spacing w:val="-3"/>
        </w:rPr>
        <w:t>will receive </w:t>
      </w:r>
      <w:r>
        <w:rPr/>
        <w:t>a </w:t>
      </w:r>
      <w:r>
        <w:rPr>
          <w:spacing w:val="-3"/>
        </w:rPr>
        <w:t>reduction </w:t>
      </w:r>
      <w:r>
        <w:rPr/>
        <w:t>to </w:t>
      </w:r>
      <w:r>
        <w:rPr>
          <w:spacing w:val="-3"/>
        </w:rPr>
        <w:t>their Standard Payment Amount </w:t>
      </w:r>
      <w:r>
        <w:rPr/>
        <w:t>per </w:t>
      </w:r>
      <w:r>
        <w:rPr>
          <w:spacing w:val="-3"/>
        </w:rPr>
        <w:t>Discharge (SPAD) (including Pediatric SPAD). This reduction will </w:t>
      </w:r>
      <w:r>
        <w:rPr/>
        <w:t>be </w:t>
      </w:r>
      <w:r>
        <w:rPr>
          <w:spacing w:val="-3"/>
        </w:rPr>
        <w:t>applied </w:t>
      </w:r>
      <w:r>
        <w:rPr/>
        <w:t>to </w:t>
      </w:r>
      <w:r>
        <w:rPr>
          <w:spacing w:val="-3"/>
        </w:rPr>
        <w:t>Hospitals identified using </w:t>
      </w:r>
      <w:r>
        <w:rPr/>
        <w:t>the </w:t>
      </w:r>
      <w:r>
        <w:rPr>
          <w:spacing w:val="-3"/>
        </w:rPr>
        <w:t>methodology described below.</w:t>
      </w:r>
    </w:p>
    <w:p>
      <w:pPr>
        <w:pStyle w:val="BodyText"/>
        <w:spacing w:before="5"/>
      </w:pPr>
    </w:p>
    <w:p>
      <w:pPr>
        <w:pStyle w:val="Heading3"/>
        <w:numPr>
          <w:ilvl w:val="2"/>
          <w:numId w:val="19"/>
        </w:numPr>
        <w:tabs>
          <w:tab w:pos="1013" w:val="left" w:leader="none"/>
        </w:tabs>
        <w:spacing w:line="240" w:lineRule="auto" w:before="0" w:after="0"/>
        <w:ind w:left="1012" w:right="0" w:hanging="353"/>
        <w:jc w:val="left"/>
      </w:pPr>
      <w:r>
        <w:rPr>
          <w:spacing w:val="-3"/>
        </w:rPr>
        <w:t>Definitions</w:t>
      </w:r>
    </w:p>
    <w:p>
      <w:pPr>
        <w:pStyle w:val="BodyText"/>
        <w:spacing w:before="8"/>
        <w:rPr>
          <w:b/>
        </w:rPr>
      </w:pPr>
    </w:p>
    <w:p>
      <w:pPr>
        <w:spacing w:before="0"/>
        <w:ind w:left="1012" w:right="0" w:firstLine="0"/>
        <w:jc w:val="left"/>
        <w:rPr>
          <w:sz w:val="24"/>
        </w:rPr>
      </w:pPr>
      <w:r>
        <w:rPr>
          <w:b/>
          <w:sz w:val="24"/>
        </w:rPr>
        <w:t>Actual PPR Chains: </w:t>
      </w:r>
      <w:r>
        <w:rPr>
          <w:sz w:val="24"/>
        </w:rPr>
        <w:t>The actual number of PPR Chains for a specific Hospital.</w:t>
      </w:r>
    </w:p>
    <w:p>
      <w:pPr>
        <w:pStyle w:val="BodyText"/>
        <w:rPr>
          <w:sz w:val="25"/>
        </w:rPr>
      </w:pPr>
    </w:p>
    <w:p>
      <w:pPr>
        <w:spacing w:before="0"/>
        <w:ind w:left="1012" w:right="0" w:firstLine="0"/>
        <w:jc w:val="left"/>
        <w:rPr>
          <w:sz w:val="24"/>
        </w:rPr>
      </w:pPr>
      <w:r>
        <w:rPr>
          <w:b/>
          <w:sz w:val="24"/>
        </w:rPr>
        <w:t>Actual PPR Volume</w:t>
      </w:r>
      <w:r>
        <w:rPr>
          <w:sz w:val="24"/>
        </w:rPr>
        <w:t>: The number of Actual PPR Chains for the time period.</w:t>
      </w:r>
    </w:p>
    <w:p>
      <w:pPr>
        <w:pStyle w:val="BodyText"/>
        <w:spacing w:before="10"/>
      </w:pPr>
    </w:p>
    <w:p>
      <w:pPr>
        <w:pStyle w:val="BodyText"/>
        <w:spacing w:line="242" w:lineRule="auto"/>
        <w:ind w:left="1012" w:right="498"/>
      </w:pPr>
      <w:r>
        <w:rPr>
          <w:b/>
          <w:spacing w:val="-3"/>
        </w:rPr>
        <w:t>Actual </w:t>
      </w:r>
      <w:r>
        <w:rPr>
          <w:b/>
        </w:rPr>
        <w:t>PPR </w:t>
      </w:r>
      <w:r>
        <w:rPr>
          <w:b/>
          <w:spacing w:val="-3"/>
        </w:rPr>
        <w:t>Rate: </w:t>
      </w:r>
      <w:r>
        <w:rPr/>
        <w:t>The </w:t>
      </w:r>
      <w:r>
        <w:rPr>
          <w:spacing w:val="-3"/>
        </w:rPr>
        <w:t>number </w:t>
      </w:r>
      <w:r>
        <w:rPr/>
        <w:t>of </w:t>
      </w:r>
      <w:r>
        <w:rPr>
          <w:spacing w:val="-3"/>
        </w:rPr>
        <w:t>Initial Admissions with </w:t>
      </w:r>
      <w:r>
        <w:rPr/>
        <w:t>one or </w:t>
      </w:r>
      <w:r>
        <w:rPr>
          <w:spacing w:val="-3"/>
        </w:rPr>
        <w:t>more qualifying Clinically Related PPRs within </w:t>
      </w:r>
      <w:r>
        <w:rPr/>
        <w:t>a </w:t>
      </w:r>
      <w:r>
        <w:rPr>
          <w:spacing w:val="-3"/>
        </w:rPr>
        <w:t>30-day period divided </w:t>
      </w:r>
      <w:r>
        <w:rPr/>
        <w:t>by the </w:t>
      </w:r>
      <w:r>
        <w:rPr>
          <w:spacing w:val="-3"/>
        </w:rPr>
        <w:t>total number </w:t>
      </w:r>
      <w:r>
        <w:rPr/>
        <w:t>of </w:t>
      </w:r>
      <w:r>
        <w:rPr>
          <w:spacing w:val="-3"/>
        </w:rPr>
        <w:t>At-risk </w:t>
      </w:r>
      <w:r>
        <w:rPr>
          <w:spacing w:val="-4"/>
        </w:rPr>
        <w:t>Admissions.</w:t>
      </w:r>
    </w:p>
    <w:p>
      <w:pPr>
        <w:pStyle w:val="BodyText"/>
        <w:spacing w:before="7"/>
      </w:pPr>
    </w:p>
    <w:p>
      <w:pPr>
        <w:pStyle w:val="BodyText"/>
        <w:spacing w:line="242" w:lineRule="auto"/>
        <w:ind w:left="1012" w:right="130"/>
      </w:pPr>
      <w:r>
        <w:rPr>
          <w:b/>
          <w:spacing w:val="-3"/>
        </w:rPr>
        <w:t>At-risk Admissions: </w:t>
      </w:r>
      <w:r>
        <w:rPr/>
        <w:t>The </w:t>
      </w:r>
      <w:r>
        <w:rPr>
          <w:spacing w:val="-3"/>
        </w:rPr>
        <w:t>number </w:t>
      </w:r>
      <w:r>
        <w:rPr/>
        <w:t>of </w:t>
      </w:r>
      <w:r>
        <w:rPr>
          <w:spacing w:val="-3"/>
        </w:rPr>
        <w:t>Total Admissions considered </w:t>
      </w:r>
      <w:r>
        <w:rPr/>
        <w:t>at </w:t>
      </w:r>
      <w:r>
        <w:rPr>
          <w:spacing w:val="-3"/>
        </w:rPr>
        <w:t>risk </w:t>
      </w:r>
      <w:r>
        <w:rPr/>
        <w:t>for </w:t>
      </w:r>
      <w:r>
        <w:rPr>
          <w:spacing w:val="-3"/>
        </w:rPr>
        <w:t>readmission, as determined </w:t>
      </w:r>
      <w:r>
        <w:rPr/>
        <w:t>by the 3M PPR </w:t>
      </w:r>
      <w:r>
        <w:rPr>
          <w:spacing w:val="-4"/>
        </w:rPr>
        <w:t>methodology.</w:t>
      </w:r>
    </w:p>
    <w:p>
      <w:pPr>
        <w:pStyle w:val="BodyText"/>
        <w:spacing w:before="8"/>
      </w:pPr>
    </w:p>
    <w:p>
      <w:pPr>
        <w:pStyle w:val="BodyText"/>
        <w:spacing w:line="242" w:lineRule="auto" w:before="1"/>
        <w:ind w:left="1012" w:right="130"/>
      </w:pPr>
      <w:r>
        <w:rPr>
          <w:b/>
          <w:spacing w:val="-3"/>
        </w:rPr>
        <w:t>Clinically Related: </w:t>
      </w:r>
      <w:r>
        <w:rPr/>
        <w:t>A </w:t>
      </w:r>
      <w:r>
        <w:rPr>
          <w:spacing w:val="-3"/>
        </w:rPr>
        <w:t>requirement that </w:t>
      </w:r>
      <w:r>
        <w:rPr/>
        <w:t>the </w:t>
      </w:r>
      <w:r>
        <w:rPr>
          <w:spacing w:val="-3"/>
        </w:rPr>
        <w:t>underlying reason </w:t>
      </w:r>
      <w:r>
        <w:rPr/>
        <w:t>for </w:t>
      </w:r>
      <w:r>
        <w:rPr>
          <w:spacing w:val="-3"/>
        </w:rPr>
        <w:t>readmission </w:t>
      </w:r>
      <w:r>
        <w:rPr/>
        <w:t>be </w:t>
      </w:r>
      <w:r>
        <w:rPr>
          <w:spacing w:val="-3"/>
        </w:rPr>
        <w:t>plausibly related </w:t>
      </w:r>
      <w:r>
        <w:rPr/>
        <w:t>to the </w:t>
      </w:r>
      <w:r>
        <w:rPr>
          <w:spacing w:val="-3"/>
        </w:rPr>
        <w:t>care rendered during </w:t>
      </w:r>
      <w:r>
        <w:rPr/>
        <w:t>or </w:t>
      </w:r>
      <w:r>
        <w:rPr>
          <w:spacing w:val="-4"/>
        </w:rPr>
        <w:t>immediately </w:t>
      </w:r>
      <w:r>
        <w:rPr>
          <w:spacing w:val="-3"/>
        </w:rPr>
        <w:t>following </w:t>
      </w:r>
      <w:r>
        <w:rPr/>
        <w:t>a </w:t>
      </w:r>
      <w:r>
        <w:rPr>
          <w:spacing w:val="-3"/>
        </w:rPr>
        <w:t>prior Hospital </w:t>
      </w:r>
      <w:r>
        <w:rPr>
          <w:spacing w:val="-4"/>
        </w:rPr>
        <w:t>admission.</w:t>
      </w:r>
    </w:p>
    <w:p>
      <w:pPr>
        <w:pStyle w:val="BodyText"/>
        <w:spacing w:before="3"/>
        <w:rPr>
          <w:sz w:val="26"/>
        </w:rPr>
      </w:pPr>
    </w:p>
    <w:p>
      <w:pPr>
        <w:pStyle w:val="BodyText"/>
        <w:spacing w:line="242" w:lineRule="auto"/>
        <w:ind w:left="1012" w:right="116"/>
      </w:pPr>
      <w:r>
        <w:rPr>
          <w:b/>
          <w:spacing w:val="-3"/>
        </w:rPr>
        <w:t>Expected </w:t>
      </w:r>
      <w:r>
        <w:rPr>
          <w:b/>
        </w:rPr>
        <w:t>PPR </w:t>
      </w:r>
      <w:r>
        <w:rPr>
          <w:b/>
          <w:spacing w:val="-3"/>
        </w:rPr>
        <w:t>Chains: </w:t>
      </w:r>
      <w:r>
        <w:rPr/>
        <w:t>The </w:t>
      </w:r>
      <w:r>
        <w:rPr>
          <w:spacing w:val="-3"/>
        </w:rPr>
        <w:t>number </w:t>
      </w:r>
      <w:r>
        <w:rPr/>
        <w:t>of PPR </w:t>
      </w:r>
      <w:r>
        <w:rPr>
          <w:spacing w:val="-3"/>
        </w:rPr>
        <w:t>Chains </w:t>
      </w:r>
      <w:r>
        <w:rPr/>
        <w:t>a </w:t>
      </w:r>
      <w:r>
        <w:rPr>
          <w:spacing w:val="-3"/>
        </w:rPr>
        <w:t>Hospital, given </w:t>
      </w:r>
      <w:r>
        <w:rPr/>
        <w:t>its </w:t>
      </w:r>
      <w:r>
        <w:rPr>
          <w:spacing w:val="-3"/>
        </w:rPr>
        <w:t>mix </w:t>
      </w:r>
      <w:r>
        <w:rPr/>
        <w:t>of </w:t>
      </w:r>
      <w:r>
        <w:rPr>
          <w:spacing w:val="-3"/>
        </w:rPr>
        <w:t>patients as defined </w:t>
      </w:r>
      <w:r>
        <w:rPr/>
        <w:t>by All </w:t>
      </w:r>
      <w:r>
        <w:rPr>
          <w:spacing w:val="-3"/>
        </w:rPr>
        <w:t>Patient Refined Diagnosis Related Group (APR-DRG) category </w:t>
      </w:r>
      <w:r>
        <w:rPr/>
        <w:t>and </w:t>
      </w:r>
      <w:r>
        <w:rPr>
          <w:spacing w:val="-3"/>
        </w:rPr>
        <w:t>severity of illness level, would have experienced </w:t>
      </w:r>
      <w:r>
        <w:rPr/>
        <w:t>had its </w:t>
      </w:r>
      <w:r>
        <w:rPr>
          <w:spacing w:val="-3"/>
        </w:rPr>
        <w:t>rate </w:t>
      </w:r>
      <w:r>
        <w:rPr/>
        <w:t>of </w:t>
      </w:r>
      <w:r>
        <w:rPr>
          <w:spacing w:val="-3"/>
        </w:rPr>
        <w:t>PPRs been identical </w:t>
      </w:r>
      <w:r>
        <w:rPr/>
        <w:t>to </w:t>
      </w:r>
      <w:r>
        <w:rPr>
          <w:spacing w:val="-3"/>
        </w:rPr>
        <w:t>that experienced </w:t>
      </w:r>
      <w:r>
        <w:rPr/>
        <w:t>by a </w:t>
      </w:r>
      <w:r>
        <w:rPr>
          <w:spacing w:val="-3"/>
        </w:rPr>
        <w:t>reference </w:t>
      </w:r>
      <w:r>
        <w:rPr/>
        <w:t>or </w:t>
      </w:r>
      <w:r>
        <w:rPr>
          <w:spacing w:val="-3"/>
        </w:rPr>
        <w:t>normative </w:t>
      </w:r>
      <w:r>
        <w:rPr/>
        <w:t>set of </w:t>
      </w:r>
      <w:r>
        <w:rPr>
          <w:spacing w:val="-3"/>
        </w:rPr>
        <w:t>Hospitals.</w:t>
      </w:r>
    </w:p>
    <w:p>
      <w:pPr>
        <w:pStyle w:val="BodyText"/>
        <w:spacing w:before="9"/>
      </w:pPr>
    </w:p>
    <w:p>
      <w:pPr>
        <w:pStyle w:val="BodyText"/>
        <w:spacing w:line="242" w:lineRule="auto"/>
        <w:ind w:left="1012" w:right="184"/>
      </w:pPr>
      <w:r>
        <w:rPr>
          <w:b/>
          <w:spacing w:val="-3"/>
        </w:rPr>
        <w:t>Expected </w:t>
      </w:r>
      <w:r>
        <w:rPr>
          <w:b/>
        </w:rPr>
        <w:t>PPR </w:t>
      </w:r>
      <w:r>
        <w:rPr>
          <w:b/>
          <w:spacing w:val="-3"/>
        </w:rPr>
        <w:t>Rate</w:t>
      </w:r>
      <w:r>
        <w:rPr>
          <w:spacing w:val="-3"/>
        </w:rPr>
        <w:t>: </w:t>
      </w:r>
      <w:r>
        <w:rPr/>
        <w:t>The </w:t>
      </w:r>
      <w:r>
        <w:rPr>
          <w:spacing w:val="-3"/>
        </w:rPr>
        <w:t>number </w:t>
      </w:r>
      <w:r>
        <w:rPr/>
        <w:t>of </w:t>
      </w:r>
      <w:r>
        <w:rPr>
          <w:spacing w:val="-3"/>
        </w:rPr>
        <w:t>Expected </w:t>
      </w:r>
      <w:r>
        <w:rPr/>
        <w:t>PPR </w:t>
      </w:r>
      <w:r>
        <w:rPr>
          <w:spacing w:val="-3"/>
        </w:rPr>
        <w:t>Chains divided </w:t>
      </w:r>
      <w:r>
        <w:rPr/>
        <w:t>by the </w:t>
      </w:r>
      <w:r>
        <w:rPr>
          <w:spacing w:val="-3"/>
        </w:rPr>
        <w:t>total number </w:t>
      </w:r>
      <w:r>
        <w:rPr/>
        <w:t>of </w:t>
      </w:r>
      <w:r>
        <w:rPr>
          <w:spacing w:val="-3"/>
        </w:rPr>
        <w:t>At- risk Admissions. </w:t>
      </w:r>
      <w:r>
        <w:rPr/>
        <w:t>The </w:t>
      </w:r>
      <w:r>
        <w:rPr>
          <w:spacing w:val="-3"/>
        </w:rPr>
        <w:t>expected rate </w:t>
      </w:r>
      <w:r>
        <w:rPr/>
        <w:t>for </w:t>
      </w:r>
      <w:r>
        <w:rPr>
          <w:spacing w:val="-3"/>
        </w:rPr>
        <w:t>each APR-DRG </w:t>
      </w:r>
      <w:r>
        <w:rPr/>
        <w:t>is the </w:t>
      </w:r>
      <w:r>
        <w:rPr>
          <w:spacing w:val="-3"/>
        </w:rPr>
        <w:t>statewide average Actual PPR Rate </w:t>
      </w:r>
      <w:r>
        <w:rPr/>
        <w:t>for </w:t>
      </w:r>
      <w:r>
        <w:rPr>
          <w:spacing w:val="-3"/>
        </w:rPr>
        <w:t>that APR-DRG.</w:t>
      </w:r>
    </w:p>
    <w:p>
      <w:pPr>
        <w:pStyle w:val="BodyText"/>
        <w:spacing w:before="9"/>
      </w:pPr>
    </w:p>
    <w:p>
      <w:pPr>
        <w:pStyle w:val="BodyText"/>
        <w:spacing w:line="242" w:lineRule="auto"/>
        <w:ind w:left="1012" w:right="130"/>
      </w:pPr>
      <w:r>
        <w:rPr>
          <w:b/>
          <w:spacing w:val="-3"/>
        </w:rPr>
        <w:t>Excess </w:t>
      </w:r>
      <w:r>
        <w:rPr>
          <w:b/>
        </w:rPr>
        <w:t>PPR </w:t>
      </w:r>
      <w:r>
        <w:rPr>
          <w:b/>
          <w:spacing w:val="-3"/>
        </w:rPr>
        <w:t>Volume</w:t>
      </w:r>
      <w:r>
        <w:rPr>
          <w:spacing w:val="-3"/>
        </w:rPr>
        <w:t>: </w:t>
      </w:r>
      <w:r>
        <w:rPr/>
        <w:t>The </w:t>
      </w:r>
      <w:r>
        <w:rPr>
          <w:spacing w:val="-3"/>
        </w:rPr>
        <w:t>number </w:t>
      </w:r>
      <w:r>
        <w:rPr/>
        <w:t>of </w:t>
      </w:r>
      <w:r>
        <w:rPr>
          <w:spacing w:val="-3"/>
        </w:rPr>
        <w:t>Actual </w:t>
      </w:r>
      <w:r>
        <w:rPr/>
        <w:t>PPR </w:t>
      </w:r>
      <w:r>
        <w:rPr>
          <w:spacing w:val="-3"/>
        </w:rPr>
        <w:t>Chains above </w:t>
      </w:r>
      <w:r>
        <w:rPr/>
        <w:t>the </w:t>
      </w:r>
      <w:r>
        <w:rPr>
          <w:spacing w:val="-3"/>
        </w:rPr>
        <w:t>number </w:t>
      </w:r>
      <w:r>
        <w:rPr/>
        <w:t>of </w:t>
      </w:r>
      <w:r>
        <w:rPr>
          <w:spacing w:val="-3"/>
        </w:rPr>
        <w:t>Expected PPR Chains, </w:t>
      </w:r>
      <w:r>
        <w:rPr/>
        <w:t>as </w:t>
      </w:r>
      <w:r>
        <w:rPr>
          <w:spacing w:val="-3"/>
        </w:rPr>
        <w:t>calculated </w:t>
      </w:r>
      <w:r>
        <w:rPr/>
        <w:t>by the 3M PPR </w:t>
      </w:r>
      <w:r>
        <w:rPr>
          <w:spacing w:val="-3"/>
        </w:rPr>
        <w:t>methodology, </w:t>
      </w:r>
      <w:r>
        <w:rPr/>
        <w:t>for a </w:t>
      </w:r>
      <w:r>
        <w:rPr>
          <w:spacing w:val="-3"/>
        </w:rPr>
        <w:t>specific Hospital. </w:t>
      </w:r>
      <w:r>
        <w:rPr/>
        <w:t>For a </w:t>
      </w:r>
      <w:r>
        <w:rPr>
          <w:spacing w:val="-3"/>
        </w:rPr>
        <w:t>Hospital for which </w:t>
      </w:r>
      <w:r>
        <w:rPr/>
        <w:t>the </w:t>
      </w:r>
      <w:r>
        <w:rPr>
          <w:spacing w:val="-3"/>
        </w:rPr>
        <w:t>number </w:t>
      </w:r>
      <w:r>
        <w:rPr/>
        <w:t>of </w:t>
      </w:r>
      <w:r>
        <w:rPr>
          <w:spacing w:val="-3"/>
        </w:rPr>
        <w:t>Actual </w:t>
      </w:r>
      <w:r>
        <w:rPr/>
        <w:t>PPR </w:t>
      </w:r>
      <w:r>
        <w:rPr>
          <w:spacing w:val="-3"/>
        </w:rPr>
        <w:t>Chains </w:t>
      </w:r>
      <w:r>
        <w:rPr/>
        <w:t>is </w:t>
      </w:r>
      <w:r>
        <w:rPr>
          <w:spacing w:val="-3"/>
        </w:rPr>
        <w:t>equal </w:t>
      </w:r>
      <w:r>
        <w:rPr/>
        <w:t>to or </w:t>
      </w:r>
      <w:r>
        <w:rPr>
          <w:spacing w:val="-3"/>
        </w:rPr>
        <w:t>less than </w:t>
      </w:r>
      <w:r>
        <w:rPr/>
        <w:t>the </w:t>
      </w:r>
      <w:r>
        <w:rPr>
          <w:spacing w:val="-3"/>
        </w:rPr>
        <w:t>number </w:t>
      </w:r>
      <w:r>
        <w:rPr/>
        <w:t>of </w:t>
      </w:r>
      <w:r>
        <w:rPr>
          <w:spacing w:val="-3"/>
        </w:rPr>
        <w:t>Expected PPR Chains, there </w:t>
      </w:r>
      <w:r>
        <w:rPr/>
        <w:t>is no </w:t>
      </w:r>
      <w:r>
        <w:rPr>
          <w:spacing w:val="-3"/>
        </w:rPr>
        <w:t>Excess </w:t>
      </w:r>
      <w:r>
        <w:rPr/>
        <w:t>PPR </w:t>
      </w:r>
      <w:r>
        <w:rPr>
          <w:spacing w:val="-3"/>
        </w:rPr>
        <w:t>Volume.</w:t>
      </w:r>
    </w:p>
    <w:p>
      <w:pPr>
        <w:spacing w:after="0" w:line="242" w:lineRule="auto"/>
        <w:sectPr>
          <w:pgSz w:w="12240" w:h="15840"/>
          <w:pgMar w:header="0" w:footer="744" w:top="1380" w:bottom="940" w:left="1040" w:right="980"/>
        </w:sectPr>
      </w:pPr>
    </w:p>
    <w:p>
      <w:pPr>
        <w:pStyle w:val="BodyText"/>
        <w:spacing w:line="242" w:lineRule="auto" w:before="65"/>
        <w:ind w:left="411" w:right="127"/>
      </w:pPr>
      <w:r>
        <w:rPr>
          <w:b/>
          <w:spacing w:val="-3"/>
        </w:rPr>
        <w:t>Hospital Discharge Volume: </w:t>
      </w:r>
      <w:r>
        <w:rPr/>
        <w:t>The </w:t>
      </w:r>
      <w:r>
        <w:rPr>
          <w:spacing w:val="-3"/>
        </w:rPr>
        <w:t>number </w:t>
      </w:r>
      <w:r>
        <w:rPr/>
        <w:t>of </w:t>
      </w:r>
      <w:r>
        <w:rPr>
          <w:spacing w:val="-3"/>
        </w:rPr>
        <w:t>Hospital discharges </w:t>
      </w:r>
      <w:r>
        <w:rPr/>
        <w:t>in </w:t>
      </w:r>
      <w:r>
        <w:rPr>
          <w:spacing w:val="-3"/>
        </w:rPr>
        <w:t>FY12 </w:t>
      </w:r>
      <w:r>
        <w:rPr/>
        <w:t>for </w:t>
      </w:r>
      <w:r>
        <w:rPr>
          <w:spacing w:val="-3"/>
        </w:rPr>
        <w:t>which </w:t>
      </w:r>
      <w:r>
        <w:rPr/>
        <w:t>a </w:t>
      </w:r>
      <w:r>
        <w:rPr>
          <w:spacing w:val="-3"/>
        </w:rPr>
        <w:t>SPAD </w:t>
      </w:r>
      <w:r>
        <w:rPr/>
        <w:t>was </w:t>
      </w:r>
      <w:r>
        <w:rPr>
          <w:spacing w:val="-3"/>
        </w:rPr>
        <w:t>paid, </w:t>
      </w:r>
      <w:r>
        <w:rPr/>
        <w:t>as </w:t>
      </w:r>
      <w:r>
        <w:rPr>
          <w:spacing w:val="-3"/>
        </w:rPr>
        <w:t>determined </w:t>
      </w:r>
      <w:r>
        <w:rPr/>
        <w:t>by </w:t>
      </w:r>
      <w:r>
        <w:rPr>
          <w:spacing w:val="-3"/>
        </w:rPr>
        <w:t>claims </w:t>
      </w:r>
      <w:r>
        <w:rPr/>
        <w:t>in </w:t>
      </w:r>
      <w:r>
        <w:rPr>
          <w:spacing w:val="-3"/>
        </w:rPr>
        <w:t>MMIS </w:t>
      </w:r>
      <w:r>
        <w:rPr/>
        <w:t>as of May 11, </w:t>
      </w:r>
      <w:r>
        <w:rPr>
          <w:spacing w:val="-3"/>
        </w:rPr>
        <w:t>2013 </w:t>
      </w:r>
      <w:r>
        <w:rPr/>
        <w:t>and for </w:t>
      </w:r>
      <w:r>
        <w:rPr>
          <w:spacing w:val="-3"/>
        </w:rPr>
        <w:t>which MassHealth is </w:t>
      </w:r>
      <w:r>
        <w:rPr/>
        <w:t>the </w:t>
      </w:r>
      <w:r>
        <w:rPr>
          <w:spacing w:val="-3"/>
        </w:rPr>
        <w:t>primary payer.</w:t>
      </w:r>
    </w:p>
    <w:p>
      <w:pPr>
        <w:pStyle w:val="BodyText"/>
        <w:spacing w:before="8"/>
      </w:pPr>
    </w:p>
    <w:p>
      <w:pPr>
        <w:pStyle w:val="BodyText"/>
        <w:spacing w:line="242" w:lineRule="auto"/>
        <w:ind w:left="411" w:right="135"/>
        <w:jc w:val="both"/>
      </w:pPr>
      <w:r>
        <w:rPr>
          <w:b/>
          <w:spacing w:val="-3"/>
        </w:rPr>
        <w:t>Hospital </w:t>
      </w:r>
      <w:r>
        <w:rPr>
          <w:b/>
        </w:rPr>
        <w:t>PPR </w:t>
      </w:r>
      <w:r>
        <w:rPr>
          <w:b/>
          <w:spacing w:val="-3"/>
        </w:rPr>
        <w:t>Payment Reduction</w:t>
      </w:r>
      <w:r>
        <w:rPr>
          <w:spacing w:val="-3"/>
        </w:rPr>
        <w:t>: </w:t>
      </w:r>
      <w:r>
        <w:rPr/>
        <w:t>The </w:t>
      </w:r>
      <w:r>
        <w:rPr>
          <w:spacing w:val="-3"/>
        </w:rPr>
        <w:t>Excess </w:t>
      </w:r>
      <w:r>
        <w:rPr/>
        <w:t>PPR </w:t>
      </w:r>
      <w:r>
        <w:rPr>
          <w:spacing w:val="-3"/>
        </w:rPr>
        <w:t>Volume for </w:t>
      </w:r>
      <w:r>
        <w:rPr/>
        <w:t>a </w:t>
      </w:r>
      <w:r>
        <w:rPr>
          <w:spacing w:val="-3"/>
        </w:rPr>
        <w:t>specific Hospital </w:t>
      </w:r>
      <w:r>
        <w:rPr>
          <w:spacing w:val="-4"/>
        </w:rPr>
        <w:t>multiplied </w:t>
      </w:r>
      <w:r>
        <w:rPr/>
        <w:t>by </w:t>
      </w:r>
      <w:r>
        <w:rPr>
          <w:spacing w:val="-3"/>
        </w:rPr>
        <w:t>that Hospital’s RY14 SPAD (exclusive </w:t>
      </w:r>
      <w:r>
        <w:rPr/>
        <w:t>of any PPR </w:t>
      </w:r>
      <w:r>
        <w:rPr>
          <w:spacing w:val="-3"/>
        </w:rPr>
        <w:t>adjustment) multiplied </w:t>
      </w:r>
      <w:r>
        <w:rPr/>
        <w:t>by the </w:t>
      </w:r>
      <w:r>
        <w:rPr>
          <w:spacing w:val="-4"/>
        </w:rPr>
        <w:t>Adjustment </w:t>
      </w:r>
      <w:r>
        <w:rPr>
          <w:spacing w:val="-3"/>
        </w:rPr>
        <w:t>Factor </w:t>
      </w:r>
      <w:r>
        <w:rPr/>
        <w:t>of </w:t>
      </w:r>
      <w:r>
        <w:rPr>
          <w:spacing w:val="-3"/>
        </w:rPr>
        <w:t>3.</w:t>
      </w:r>
    </w:p>
    <w:p>
      <w:pPr>
        <w:pStyle w:val="BodyText"/>
        <w:spacing w:before="9"/>
      </w:pPr>
    </w:p>
    <w:p>
      <w:pPr>
        <w:pStyle w:val="BodyText"/>
        <w:spacing w:line="242" w:lineRule="auto"/>
        <w:ind w:left="411" w:right="127"/>
      </w:pPr>
      <w:r>
        <w:rPr>
          <w:b/>
          <w:spacing w:val="-3"/>
        </w:rPr>
        <w:t>Initial Admission: </w:t>
      </w:r>
      <w:r>
        <w:rPr/>
        <w:t>An </w:t>
      </w:r>
      <w:r>
        <w:rPr>
          <w:spacing w:val="-3"/>
        </w:rPr>
        <w:t>admission that </w:t>
      </w:r>
      <w:r>
        <w:rPr/>
        <w:t>is </w:t>
      </w:r>
      <w:r>
        <w:rPr>
          <w:spacing w:val="-3"/>
        </w:rPr>
        <w:t>followed </w:t>
      </w:r>
      <w:r>
        <w:rPr/>
        <w:t>by a </w:t>
      </w:r>
      <w:r>
        <w:rPr>
          <w:spacing w:val="-3"/>
        </w:rPr>
        <w:t>Clinically Related readmission within </w:t>
      </w:r>
      <w:r>
        <w:rPr/>
        <w:t>a </w:t>
      </w:r>
      <w:r>
        <w:rPr>
          <w:spacing w:val="-3"/>
        </w:rPr>
        <w:t>specified readmission time interval. Subsequent readmissions relate back </w:t>
      </w:r>
      <w:r>
        <w:rPr/>
        <w:t>to the </w:t>
      </w:r>
      <w:r>
        <w:rPr>
          <w:spacing w:val="-3"/>
        </w:rPr>
        <w:t>care rendered during </w:t>
      </w:r>
      <w:r>
        <w:rPr/>
        <w:t>or </w:t>
      </w:r>
      <w:r>
        <w:rPr>
          <w:spacing w:val="-3"/>
        </w:rPr>
        <w:t>following </w:t>
      </w:r>
      <w:r>
        <w:rPr/>
        <w:t>the </w:t>
      </w:r>
      <w:r>
        <w:rPr>
          <w:spacing w:val="-3"/>
        </w:rPr>
        <w:t>Initial Admission. </w:t>
      </w:r>
      <w:r>
        <w:rPr/>
        <w:t>The </w:t>
      </w:r>
      <w:r>
        <w:rPr>
          <w:spacing w:val="-3"/>
        </w:rPr>
        <w:t>Initial Admission initiates </w:t>
      </w:r>
      <w:r>
        <w:rPr/>
        <w:t>a PPR </w:t>
      </w:r>
      <w:r>
        <w:rPr>
          <w:spacing w:val="-3"/>
        </w:rPr>
        <w:t>Chain.</w:t>
      </w:r>
    </w:p>
    <w:p>
      <w:pPr>
        <w:pStyle w:val="BodyText"/>
        <w:spacing w:before="9"/>
      </w:pPr>
    </w:p>
    <w:p>
      <w:pPr>
        <w:spacing w:line="242" w:lineRule="auto" w:before="0"/>
        <w:ind w:left="411" w:right="127" w:firstLine="0"/>
        <w:jc w:val="left"/>
        <w:rPr>
          <w:sz w:val="24"/>
        </w:rPr>
      </w:pPr>
      <w:r>
        <w:rPr>
          <w:b/>
          <w:spacing w:val="-3"/>
          <w:sz w:val="24"/>
        </w:rPr>
        <w:t>Potentially Preventable Readmission (PPR): </w:t>
      </w:r>
      <w:r>
        <w:rPr>
          <w:sz w:val="24"/>
        </w:rPr>
        <w:t>A </w:t>
      </w:r>
      <w:r>
        <w:rPr>
          <w:spacing w:val="-3"/>
          <w:sz w:val="24"/>
        </w:rPr>
        <w:t>readmission (return hospitalization within the specified readmission time interval) that </w:t>
      </w:r>
      <w:r>
        <w:rPr>
          <w:sz w:val="24"/>
        </w:rPr>
        <w:t>is </w:t>
      </w:r>
      <w:r>
        <w:rPr>
          <w:spacing w:val="-3"/>
          <w:sz w:val="24"/>
        </w:rPr>
        <w:t>Clinically Related </w:t>
      </w:r>
      <w:r>
        <w:rPr>
          <w:sz w:val="24"/>
        </w:rPr>
        <w:t>to the </w:t>
      </w:r>
      <w:r>
        <w:rPr>
          <w:spacing w:val="-3"/>
          <w:sz w:val="24"/>
        </w:rPr>
        <w:t>Initial </w:t>
      </w:r>
      <w:r>
        <w:rPr>
          <w:spacing w:val="-4"/>
          <w:sz w:val="24"/>
        </w:rPr>
        <w:t>Admission.</w:t>
      </w:r>
    </w:p>
    <w:p>
      <w:pPr>
        <w:pStyle w:val="BodyText"/>
        <w:spacing w:before="3"/>
        <w:rPr>
          <w:sz w:val="26"/>
        </w:rPr>
      </w:pPr>
    </w:p>
    <w:p>
      <w:pPr>
        <w:pStyle w:val="BodyText"/>
        <w:spacing w:line="242" w:lineRule="auto"/>
        <w:ind w:left="411" w:right="53"/>
      </w:pPr>
      <w:r>
        <w:rPr>
          <w:b/>
        </w:rPr>
        <w:t>PPR </w:t>
      </w:r>
      <w:r>
        <w:rPr>
          <w:b/>
          <w:spacing w:val="-3"/>
        </w:rPr>
        <w:t>Chain: </w:t>
      </w:r>
      <w:r>
        <w:rPr/>
        <w:t>A PPR or a </w:t>
      </w:r>
      <w:r>
        <w:rPr>
          <w:spacing w:val="-3"/>
        </w:rPr>
        <w:t>sequence </w:t>
      </w:r>
      <w:r>
        <w:rPr/>
        <w:t>of </w:t>
      </w:r>
      <w:r>
        <w:rPr>
          <w:spacing w:val="-3"/>
        </w:rPr>
        <w:t>PPRs. </w:t>
      </w:r>
      <w:r>
        <w:rPr/>
        <w:t>A PPR </w:t>
      </w:r>
      <w:r>
        <w:rPr>
          <w:spacing w:val="-3"/>
        </w:rPr>
        <w:t>Chain </w:t>
      </w:r>
      <w:r>
        <w:rPr/>
        <w:t>can </w:t>
      </w:r>
      <w:r>
        <w:rPr>
          <w:spacing w:val="-3"/>
        </w:rPr>
        <w:t>extend beyond </w:t>
      </w:r>
      <w:r>
        <w:rPr/>
        <w:t>30 </w:t>
      </w:r>
      <w:r>
        <w:rPr>
          <w:spacing w:val="-3"/>
        </w:rPr>
        <w:t>days, </w:t>
      </w:r>
      <w:r>
        <w:rPr/>
        <w:t>as </w:t>
      </w:r>
      <w:r>
        <w:rPr>
          <w:spacing w:val="-3"/>
        </w:rPr>
        <w:t>long as </w:t>
      </w:r>
      <w:r>
        <w:rPr/>
        <w:t>the </w:t>
      </w:r>
      <w:r>
        <w:rPr>
          <w:spacing w:val="-3"/>
        </w:rPr>
        <w:t>time between each discharge </w:t>
      </w:r>
      <w:r>
        <w:rPr/>
        <w:t>and </w:t>
      </w:r>
      <w:r>
        <w:rPr>
          <w:spacing w:val="-3"/>
        </w:rPr>
        <w:t>subsequent readmission </w:t>
      </w:r>
      <w:r>
        <w:rPr/>
        <w:t>is </w:t>
      </w:r>
      <w:r>
        <w:rPr>
          <w:spacing w:val="-3"/>
        </w:rPr>
        <w:t>within </w:t>
      </w:r>
      <w:r>
        <w:rPr/>
        <w:t>the </w:t>
      </w:r>
      <w:r>
        <w:rPr>
          <w:spacing w:val="-3"/>
        </w:rPr>
        <w:t>30-day time </w:t>
      </w:r>
      <w:r>
        <w:rPr>
          <w:spacing w:val="-4"/>
        </w:rPr>
        <w:t>frame.</w:t>
      </w:r>
    </w:p>
    <w:p>
      <w:pPr>
        <w:pStyle w:val="BodyText"/>
        <w:spacing w:line="216" w:lineRule="auto"/>
        <w:ind w:left="411" w:right="985"/>
      </w:pPr>
      <w:r>
        <w:rPr>
          <w:spacing w:val="-3"/>
        </w:rPr>
        <w:t>Therefore, </w:t>
      </w:r>
      <w:r>
        <w:rPr/>
        <w:t>if </w:t>
      </w:r>
      <w:r>
        <w:rPr>
          <w:spacing w:val="-3"/>
        </w:rPr>
        <w:t>Patient </w:t>
      </w:r>
      <w:r>
        <w:rPr/>
        <w:t>X is </w:t>
      </w:r>
      <w:r>
        <w:rPr>
          <w:spacing w:val="-3"/>
        </w:rPr>
        <w:t>admitted </w:t>
      </w:r>
      <w:r>
        <w:rPr/>
        <w:t>on </w:t>
      </w:r>
      <w:r>
        <w:rPr>
          <w:spacing w:val="-3"/>
        </w:rPr>
        <w:t>September </w:t>
      </w:r>
      <w:r>
        <w:rPr/>
        <w:t>4</w:t>
      </w:r>
      <w:r>
        <w:rPr>
          <w:position w:val="11"/>
          <w:sz w:val="16"/>
        </w:rPr>
        <w:t>th</w:t>
      </w:r>
      <w:r>
        <w:rPr/>
        <w:t>, </w:t>
      </w:r>
      <w:r>
        <w:rPr>
          <w:spacing w:val="-3"/>
        </w:rPr>
        <w:t>readmitted </w:t>
      </w:r>
      <w:r>
        <w:rPr/>
        <w:t>on </w:t>
      </w:r>
      <w:r>
        <w:rPr>
          <w:spacing w:val="-3"/>
        </w:rPr>
        <w:t>September 20</w:t>
      </w:r>
      <w:r>
        <w:rPr>
          <w:spacing w:val="-3"/>
          <w:position w:val="11"/>
          <w:sz w:val="16"/>
        </w:rPr>
        <w:t>th</w:t>
      </w:r>
      <w:r>
        <w:rPr>
          <w:spacing w:val="-3"/>
        </w:rPr>
        <w:t>, and readmitted again </w:t>
      </w:r>
      <w:r>
        <w:rPr/>
        <w:t>on </w:t>
      </w:r>
      <w:r>
        <w:rPr>
          <w:spacing w:val="-3"/>
        </w:rPr>
        <w:t>October 18</w:t>
      </w:r>
      <w:r>
        <w:rPr>
          <w:spacing w:val="-3"/>
          <w:position w:val="11"/>
          <w:sz w:val="16"/>
        </w:rPr>
        <w:t>th</w:t>
      </w:r>
      <w:r>
        <w:rPr>
          <w:spacing w:val="-3"/>
        </w:rPr>
        <w:t>, that sequence </w:t>
      </w:r>
      <w:r>
        <w:rPr/>
        <w:t>is </w:t>
      </w:r>
      <w:r>
        <w:rPr>
          <w:spacing w:val="-3"/>
        </w:rPr>
        <w:t>calculated </w:t>
      </w:r>
      <w:r>
        <w:rPr/>
        <w:t>as one (1) PPR </w:t>
      </w:r>
      <w:r>
        <w:rPr>
          <w:spacing w:val="-3"/>
        </w:rPr>
        <w:t>Chain.</w:t>
      </w:r>
    </w:p>
    <w:p>
      <w:pPr>
        <w:pStyle w:val="BodyText"/>
        <w:spacing w:before="7"/>
        <w:rPr>
          <w:sz w:val="25"/>
        </w:rPr>
      </w:pPr>
    </w:p>
    <w:p>
      <w:pPr>
        <w:pStyle w:val="BodyText"/>
        <w:spacing w:line="242" w:lineRule="auto"/>
        <w:ind w:left="412" w:right="127"/>
      </w:pPr>
      <w:r>
        <w:rPr>
          <w:b/>
          <w:spacing w:val="-3"/>
        </w:rPr>
        <w:t>Readmission: </w:t>
      </w:r>
      <w:r>
        <w:rPr/>
        <w:t>A </w:t>
      </w:r>
      <w:r>
        <w:rPr>
          <w:spacing w:val="-3"/>
        </w:rPr>
        <w:t>return hospitalization </w:t>
      </w:r>
      <w:r>
        <w:rPr/>
        <w:t>to an </w:t>
      </w:r>
      <w:r>
        <w:rPr>
          <w:spacing w:val="-3"/>
        </w:rPr>
        <w:t>acute care Hospital that follows </w:t>
      </w:r>
      <w:r>
        <w:rPr/>
        <w:t>a </w:t>
      </w:r>
      <w:r>
        <w:rPr>
          <w:spacing w:val="-3"/>
        </w:rPr>
        <w:t>prior Initial Admission from </w:t>
      </w:r>
      <w:r>
        <w:rPr/>
        <w:t>an </w:t>
      </w:r>
      <w:r>
        <w:rPr>
          <w:spacing w:val="-3"/>
        </w:rPr>
        <w:t>acute care Hospital. Intervening admissions </w:t>
      </w:r>
      <w:r>
        <w:rPr/>
        <w:t>to </w:t>
      </w:r>
      <w:r>
        <w:rPr>
          <w:spacing w:val="-3"/>
        </w:rPr>
        <w:t>non-acute care facilities are </w:t>
      </w:r>
      <w:r>
        <w:rPr/>
        <w:t>not </w:t>
      </w:r>
      <w:r>
        <w:rPr>
          <w:spacing w:val="-3"/>
        </w:rPr>
        <w:t>considered </w:t>
      </w:r>
      <w:r>
        <w:rPr>
          <w:spacing w:val="-4"/>
        </w:rPr>
        <w:t>readmissions.</w:t>
      </w:r>
    </w:p>
    <w:p>
      <w:pPr>
        <w:pStyle w:val="BodyText"/>
        <w:spacing w:before="7"/>
      </w:pPr>
    </w:p>
    <w:p>
      <w:pPr>
        <w:pStyle w:val="BodyText"/>
        <w:spacing w:line="242" w:lineRule="auto"/>
        <w:ind w:left="412" w:right="108"/>
      </w:pPr>
      <w:r>
        <w:rPr>
          <w:b/>
          <w:spacing w:val="-3"/>
        </w:rPr>
        <w:t>Total Admissions: </w:t>
      </w:r>
      <w:r>
        <w:rPr/>
        <w:t>The </w:t>
      </w:r>
      <w:r>
        <w:rPr>
          <w:spacing w:val="-3"/>
        </w:rPr>
        <w:t>total number </w:t>
      </w:r>
      <w:r>
        <w:rPr/>
        <w:t>of </w:t>
      </w:r>
      <w:r>
        <w:rPr>
          <w:spacing w:val="-3"/>
        </w:rPr>
        <w:t>Medicaid FFS/PCC Plan admissions </w:t>
      </w:r>
      <w:r>
        <w:rPr/>
        <w:t>for the </w:t>
      </w:r>
      <w:r>
        <w:rPr>
          <w:spacing w:val="-3"/>
        </w:rPr>
        <w:t>time period, excluding mental health </w:t>
      </w:r>
      <w:r>
        <w:rPr/>
        <w:t>and </w:t>
      </w:r>
      <w:r>
        <w:rPr>
          <w:spacing w:val="-3"/>
        </w:rPr>
        <w:t>substance abuse diagnoses.</w:t>
      </w:r>
    </w:p>
    <w:p>
      <w:pPr>
        <w:pStyle w:val="BodyText"/>
        <w:spacing w:before="2"/>
        <w:rPr>
          <w:sz w:val="21"/>
        </w:rPr>
      </w:pPr>
    </w:p>
    <w:p>
      <w:pPr>
        <w:pStyle w:val="Heading3"/>
        <w:numPr>
          <w:ilvl w:val="2"/>
          <w:numId w:val="19"/>
        </w:numPr>
        <w:tabs>
          <w:tab w:pos="413" w:val="left" w:leader="none"/>
        </w:tabs>
        <w:spacing w:line="240" w:lineRule="auto" w:before="0" w:after="0"/>
        <w:ind w:left="412" w:right="0" w:hanging="296"/>
        <w:jc w:val="left"/>
      </w:pPr>
      <w:r>
        <w:rPr>
          <w:spacing w:val="-3"/>
        </w:rPr>
        <w:t>Determination </w:t>
      </w:r>
      <w:r>
        <w:rPr/>
        <w:t>of </w:t>
      </w:r>
      <w:r>
        <w:rPr>
          <w:spacing w:val="-3"/>
        </w:rPr>
        <w:t>Readmission Rates </w:t>
      </w:r>
      <w:r>
        <w:rPr/>
        <w:t>and</w:t>
      </w:r>
      <w:r>
        <w:rPr>
          <w:spacing w:val="-17"/>
        </w:rPr>
        <w:t> </w:t>
      </w:r>
      <w:r>
        <w:rPr>
          <w:spacing w:val="-3"/>
        </w:rPr>
        <w:t>Volumes</w:t>
      </w:r>
    </w:p>
    <w:p>
      <w:pPr>
        <w:pStyle w:val="BodyText"/>
        <w:spacing w:before="4"/>
        <w:rPr>
          <w:b/>
        </w:rPr>
      </w:pPr>
    </w:p>
    <w:p>
      <w:pPr>
        <w:pStyle w:val="BodyText"/>
        <w:spacing w:line="242" w:lineRule="auto"/>
        <w:ind w:left="412" w:right="127" w:firstLine="3"/>
      </w:pPr>
      <w:r>
        <w:rPr>
          <w:spacing w:val="-3"/>
        </w:rPr>
        <w:t>PPRs </w:t>
      </w:r>
      <w:r>
        <w:rPr/>
        <w:t>are </w:t>
      </w:r>
      <w:r>
        <w:rPr>
          <w:spacing w:val="-3"/>
        </w:rPr>
        <w:t>identified </w:t>
      </w:r>
      <w:r>
        <w:rPr/>
        <w:t>in </w:t>
      </w:r>
      <w:r>
        <w:rPr>
          <w:spacing w:val="-3"/>
        </w:rPr>
        <w:t>CHIA’s Hospital Discharge Data (HDD) </w:t>
      </w:r>
      <w:r>
        <w:rPr/>
        <w:t>for </w:t>
      </w:r>
      <w:r>
        <w:rPr>
          <w:spacing w:val="-3"/>
        </w:rPr>
        <w:t>MassHealth Primary Care Clinician </w:t>
      </w:r>
      <w:r>
        <w:rPr/>
        <w:t>and </w:t>
      </w:r>
      <w:r>
        <w:rPr>
          <w:spacing w:val="-3"/>
        </w:rPr>
        <w:t>Fee-for-Service non-psychiatric discharges (payer types </w:t>
      </w:r>
      <w:r>
        <w:rPr/>
        <w:t>103 and 104 as </w:t>
      </w:r>
      <w:r>
        <w:rPr>
          <w:spacing w:val="-3"/>
        </w:rPr>
        <w:t>reported </w:t>
      </w:r>
      <w:r>
        <w:rPr/>
        <w:t>by the </w:t>
      </w:r>
      <w:r>
        <w:rPr>
          <w:spacing w:val="-3"/>
        </w:rPr>
        <w:t>Hospital) </w:t>
      </w:r>
      <w:r>
        <w:rPr/>
        <w:t>by </w:t>
      </w:r>
      <w:r>
        <w:rPr>
          <w:spacing w:val="-3"/>
        </w:rPr>
        <w:t>using </w:t>
      </w:r>
      <w:r>
        <w:rPr/>
        <w:t>the 3M PPR </w:t>
      </w:r>
      <w:r>
        <w:rPr>
          <w:spacing w:val="-3"/>
        </w:rPr>
        <w:t>software version </w:t>
      </w:r>
      <w:r>
        <w:rPr/>
        <w:t>30.  The </w:t>
      </w:r>
      <w:r>
        <w:rPr>
          <w:spacing w:val="-3"/>
        </w:rPr>
        <w:t>time period </w:t>
      </w:r>
      <w:r>
        <w:rPr/>
        <w:t>for </w:t>
      </w:r>
      <w:r>
        <w:rPr>
          <w:spacing w:val="-3"/>
        </w:rPr>
        <w:t>identifying Total </w:t>
      </w:r>
      <w:r>
        <w:rPr/>
        <w:t>and </w:t>
      </w:r>
      <w:r>
        <w:rPr>
          <w:spacing w:val="-3"/>
        </w:rPr>
        <w:t>At-risk Admissions </w:t>
      </w:r>
      <w:r>
        <w:rPr/>
        <w:t>was </w:t>
      </w:r>
      <w:r>
        <w:rPr>
          <w:spacing w:val="-3"/>
        </w:rPr>
        <w:t>from September </w:t>
      </w:r>
      <w:r>
        <w:rPr/>
        <w:t>1, </w:t>
      </w:r>
      <w:r>
        <w:rPr>
          <w:spacing w:val="-3"/>
        </w:rPr>
        <w:t>2011 </w:t>
      </w:r>
      <w:r>
        <w:rPr/>
        <w:t>to </w:t>
      </w:r>
      <w:r>
        <w:rPr>
          <w:spacing w:val="-3"/>
        </w:rPr>
        <w:t>August </w:t>
      </w:r>
      <w:r>
        <w:rPr/>
        <w:t>31, </w:t>
      </w:r>
      <w:r>
        <w:rPr>
          <w:spacing w:val="-3"/>
        </w:rPr>
        <w:t>2012, based </w:t>
      </w:r>
      <w:r>
        <w:rPr/>
        <w:t>on </w:t>
      </w:r>
      <w:r>
        <w:rPr>
          <w:spacing w:val="-3"/>
        </w:rPr>
        <w:t>date of discharge. </w:t>
      </w:r>
      <w:r>
        <w:rPr/>
        <w:t>The </w:t>
      </w:r>
      <w:r>
        <w:rPr>
          <w:spacing w:val="-3"/>
        </w:rPr>
        <w:t>time period </w:t>
      </w:r>
      <w:r>
        <w:rPr/>
        <w:t>for </w:t>
      </w:r>
      <w:r>
        <w:rPr>
          <w:spacing w:val="-3"/>
        </w:rPr>
        <w:t>identifying PPRs associated with these At-risk Admissions was from September </w:t>
      </w:r>
      <w:r>
        <w:rPr/>
        <w:t>1, </w:t>
      </w:r>
      <w:r>
        <w:rPr>
          <w:spacing w:val="-3"/>
        </w:rPr>
        <w:t>2011 </w:t>
      </w:r>
      <w:r>
        <w:rPr/>
        <w:t>to </w:t>
      </w:r>
      <w:r>
        <w:rPr>
          <w:spacing w:val="-3"/>
        </w:rPr>
        <w:t>September </w:t>
      </w:r>
      <w:r>
        <w:rPr/>
        <w:t>30, </w:t>
      </w:r>
      <w:r>
        <w:rPr>
          <w:spacing w:val="-3"/>
        </w:rPr>
        <w:t>2012 based </w:t>
      </w:r>
      <w:r>
        <w:rPr/>
        <w:t>on </w:t>
      </w:r>
      <w:r>
        <w:rPr>
          <w:spacing w:val="-3"/>
        </w:rPr>
        <w:t>date </w:t>
      </w:r>
      <w:r>
        <w:rPr/>
        <w:t>of </w:t>
      </w:r>
      <w:r>
        <w:rPr>
          <w:spacing w:val="-3"/>
        </w:rPr>
        <w:t>discharge.</w:t>
      </w:r>
    </w:p>
    <w:p>
      <w:pPr>
        <w:pStyle w:val="BodyText"/>
        <w:spacing w:before="7"/>
      </w:pPr>
    </w:p>
    <w:p>
      <w:pPr>
        <w:pStyle w:val="Heading3"/>
        <w:numPr>
          <w:ilvl w:val="3"/>
          <w:numId w:val="19"/>
        </w:numPr>
        <w:tabs>
          <w:tab w:pos="773" w:val="left" w:leader="none"/>
        </w:tabs>
        <w:spacing w:line="240" w:lineRule="auto" w:before="0" w:after="0"/>
        <w:ind w:left="772" w:right="0" w:hanging="360"/>
        <w:jc w:val="left"/>
      </w:pPr>
      <w:r>
        <w:rPr>
          <w:spacing w:val="-3"/>
        </w:rPr>
        <w:t>Statewide Average </w:t>
      </w:r>
      <w:r>
        <w:rPr/>
        <w:t>PPR</w:t>
      </w:r>
      <w:r>
        <w:rPr>
          <w:spacing w:val="-11"/>
        </w:rPr>
        <w:t> </w:t>
      </w:r>
      <w:r>
        <w:rPr>
          <w:spacing w:val="-3"/>
        </w:rPr>
        <w:t>Rate</w:t>
      </w:r>
    </w:p>
    <w:p>
      <w:pPr>
        <w:pStyle w:val="BodyText"/>
        <w:spacing w:before="4"/>
        <w:rPr>
          <w:b/>
        </w:rPr>
      </w:pPr>
    </w:p>
    <w:p>
      <w:pPr>
        <w:pStyle w:val="BodyText"/>
        <w:spacing w:line="242" w:lineRule="auto"/>
        <w:ind w:left="772" w:right="127" w:firstLine="3"/>
      </w:pPr>
      <w:r>
        <w:rPr/>
        <w:t>The </w:t>
      </w:r>
      <w:r>
        <w:rPr>
          <w:spacing w:val="-3"/>
        </w:rPr>
        <w:t>statewide average Actual </w:t>
      </w:r>
      <w:r>
        <w:rPr/>
        <w:t>PPR </w:t>
      </w:r>
      <w:r>
        <w:rPr>
          <w:spacing w:val="-3"/>
        </w:rPr>
        <w:t>Rate </w:t>
      </w:r>
      <w:r>
        <w:rPr/>
        <w:t>for </w:t>
      </w:r>
      <w:r>
        <w:rPr>
          <w:spacing w:val="-3"/>
        </w:rPr>
        <w:t>each </w:t>
      </w:r>
      <w:r>
        <w:rPr/>
        <w:t>All </w:t>
      </w:r>
      <w:r>
        <w:rPr>
          <w:spacing w:val="-3"/>
        </w:rPr>
        <w:t>Patient Refined Diagnosis Related Group (APR-DRG) </w:t>
      </w:r>
      <w:r>
        <w:rPr/>
        <w:t>is </w:t>
      </w:r>
      <w:r>
        <w:rPr>
          <w:spacing w:val="-3"/>
        </w:rPr>
        <w:t>calculated </w:t>
      </w:r>
      <w:r>
        <w:rPr/>
        <w:t>and </w:t>
      </w:r>
      <w:r>
        <w:rPr>
          <w:spacing w:val="-3"/>
        </w:rPr>
        <w:t>represents </w:t>
      </w:r>
      <w:r>
        <w:rPr/>
        <w:t>the PPR </w:t>
      </w:r>
      <w:r>
        <w:rPr>
          <w:spacing w:val="-3"/>
        </w:rPr>
        <w:t>benchmark </w:t>
      </w:r>
      <w:r>
        <w:rPr/>
        <w:t>for </w:t>
      </w:r>
      <w:r>
        <w:rPr>
          <w:spacing w:val="-3"/>
        </w:rPr>
        <w:t>that APR-DRG.</w:t>
      </w:r>
    </w:p>
    <w:p>
      <w:pPr>
        <w:pStyle w:val="BodyText"/>
        <w:spacing w:before="8"/>
      </w:pPr>
    </w:p>
    <w:p>
      <w:pPr>
        <w:pStyle w:val="Heading3"/>
        <w:numPr>
          <w:ilvl w:val="3"/>
          <w:numId w:val="19"/>
        </w:numPr>
        <w:tabs>
          <w:tab w:pos="773" w:val="left" w:leader="none"/>
        </w:tabs>
        <w:spacing w:line="240" w:lineRule="auto" w:before="0" w:after="0"/>
        <w:ind w:left="772" w:right="0" w:hanging="360"/>
        <w:jc w:val="left"/>
      </w:pPr>
      <w:r>
        <w:rPr>
          <w:spacing w:val="-3"/>
        </w:rPr>
        <w:t>Hospital-specific Actual </w:t>
      </w:r>
      <w:r>
        <w:rPr/>
        <w:t>PPR</w:t>
      </w:r>
      <w:r>
        <w:rPr>
          <w:spacing w:val="-9"/>
        </w:rPr>
        <w:t> </w:t>
      </w:r>
      <w:r>
        <w:rPr>
          <w:spacing w:val="-3"/>
        </w:rPr>
        <w:t>Volume</w:t>
      </w:r>
    </w:p>
    <w:p>
      <w:pPr>
        <w:pStyle w:val="BodyText"/>
        <w:spacing w:before="6"/>
        <w:rPr>
          <w:b/>
        </w:rPr>
      </w:pPr>
    </w:p>
    <w:p>
      <w:pPr>
        <w:pStyle w:val="BodyText"/>
        <w:spacing w:line="242" w:lineRule="auto"/>
        <w:ind w:left="772" w:right="127"/>
      </w:pPr>
      <w:r>
        <w:rPr>
          <w:spacing w:val="-3"/>
        </w:rPr>
        <w:t>Each Hospital’s Actual </w:t>
      </w:r>
      <w:r>
        <w:rPr/>
        <w:t>PPR </w:t>
      </w:r>
      <w:r>
        <w:rPr>
          <w:spacing w:val="-3"/>
        </w:rPr>
        <w:t>Volume </w:t>
      </w:r>
      <w:r>
        <w:rPr/>
        <w:t>is the </w:t>
      </w:r>
      <w:r>
        <w:rPr>
          <w:spacing w:val="-3"/>
        </w:rPr>
        <w:t>number </w:t>
      </w:r>
      <w:r>
        <w:rPr/>
        <w:t>of PPR </w:t>
      </w:r>
      <w:r>
        <w:rPr>
          <w:spacing w:val="-3"/>
        </w:rPr>
        <w:t>Chains </w:t>
      </w:r>
      <w:r>
        <w:rPr/>
        <w:t>in the </w:t>
      </w:r>
      <w:r>
        <w:rPr>
          <w:spacing w:val="-3"/>
        </w:rPr>
        <w:t>specified time period.</w:t>
      </w:r>
    </w:p>
    <w:p>
      <w:pPr>
        <w:spacing w:after="0" w:line="242" w:lineRule="auto"/>
        <w:sectPr>
          <w:pgSz w:w="12240" w:h="15840"/>
          <w:pgMar w:header="0" w:footer="744" w:top="1380" w:bottom="940" w:left="1640" w:right="980"/>
        </w:sectPr>
      </w:pPr>
    </w:p>
    <w:p>
      <w:pPr>
        <w:pStyle w:val="Heading3"/>
        <w:numPr>
          <w:ilvl w:val="3"/>
          <w:numId w:val="19"/>
        </w:numPr>
        <w:tabs>
          <w:tab w:pos="693" w:val="left" w:leader="none"/>
        </w:tabs>
        <w:spacing w:line="240" w:lineRule="auto" w:before="65" w:after="0"/>
        <w:ind w:left="692" w:right="0" w:hanging="360"/>
        <w:jc w:val="left"/>
      </w:pPr>
      <w:r>
        <w:rPr>
          <w:spacing w:val="-3"/>
        </w:rPr>
        <w:t>Hospital-specific Expected </w:t>
      </w:r>
      <w:r>
        <w:rPr/>
        <w:t>PPR</w:t>
      </w:r>
      <w:r>
        <w:rPr>
          <w:spacing w:val="-9"/>
        </w:rPr>
        <w:t> </w:t>
      </w:r>
      <w:r>
        <w:rPr>
          <w:spacing w:val="-3"/>
        </w:rPr>
        <w:t>Volume</w:t>
      </w:r>
    </w:p>
    <w:p>
      <w:pPr>
        <w:pStyle w:val="BodyText"/>
        <w:spacing w:before="5"/>
        <w:rPr>
          <w:b/>
        </w:rPr>
      </w:pPr>
    </w:p>
    <w:p>
      <w:pPr>
        <w:pStyle w:val="BodyText"/>
        <w:spacing w:line="242" w:lineRule="auto" w:before="1"/>
        <w:ind w:left="692" w:right="108"/>
      </w:pPr>
      <w:r>
        <w:rPr/>
        <w:t>In </w:t>
      </w:r>
      <w:r>
        <w:rPr>
          <w:spacing w:val="-3"/>
        </w:rPr>
        <w:t>order </w:t>
      </w:r>
      <w:r>
        <w:rPr/>
        <w:t>to </w:t>
      </w:r>
      <w:r>
        <w:rPr>
          <w:spacing w:val="-3"/>
        </w:rPr>
        <w:t>derive </w:t>
      </w:r>
      <w:r>
        <w:rPr/>
        <w:t>the </w:t>
      </w:r>
      <w:r>
        <w:rPr>
          <w:spacing w:val="-3"/>
        </w:rPr>
        <w:t>Hospital-specific Expected </w:t>
      </w:r>
      <w:r>
        <w:rPr/>
        <w:t>PPR </w:t>
      </w:r>
      <w:r>
        <w:rPr>
          <w:spacing w:val="-3"/>
        </w:rPr>
        <w:t>Volume, </w:t>
      </w:r>
      <w:r>
        <w:rPr/>
        <w:t>the </w:t>
      </w:r>
      <w:r>
        <w:rPr>
          <w:spacing w:val="-3"/>
        </w:rPr>
        <w:t>statewide average Actual </w:t>
      </w:r>
      <w:r>
        <w:rPr/>
        <w:t>PPR </w:t>
      </w:r>
      <w:r>
        <w:rPr>
          <w:spacing w:val="-3"/>
        </w:rPr>
        <w:t>Rates </w:t>
      </w:r>
      <w:r>
        <w:rPr/>
        <w:t>for </w:t>
      </w:r>
      <w:r>
        <w:rPr>
          <w:spacing w:val="-3"/>
        </w:rPr>
        <w:t>each APR-DRG </w:t>
      </w:r>
      <w:r>
        <w:rPr/>
        <w:t>are </w:t>
      </w:r>
      <w:r>
        <w:rPr>
          <w:spacing w:val="-3"/>
        </w:rPr>
        <w:t>applied </w:t>
      </w:r>
      <w:r>
        <w:rPr/>
        <w:t>to </w:t>
      </w:r>
      <w:r>
        <w:rPr>
          <w:spacing w:val="-3"/>
        </w:rPr>
        <w:t>each Hospital’s volume </w:t>
      </w:r>
      <w:r>
        <w:rPr/>
        <w:t>of </w:t>
      </w:r>
      <w:r>
        <w:rPr>
          <w:spacing w:val="-3"/>
        </w:rPr>
        <w:t>At-risk </w:t>
      </w:r>
      <w:r>
        <w:rPr>
          <w:spacing w:val="-4"/>
        </w:rPr>
        <w:t>Admissions </w:t>
      </w:r>
      <w:r>
        <w:rPr/>
        <w:t>by </w:t>
      </w:r>
      <w:r>
        <w:rPr>
          <w:spacing w:val="-3"/>
        </w:rPr>
        <w:t>APR-DRG </w:t>
      </w:r>
      <w:r>
        <w:rPr/>
        <w:t>for the </w:t>
      </w:r>
      <w:r>
        <w:rPr>
          <w:spacing w:val="-3"/>
        </w:rPr>
        <w:t>time period specified above </w:t>
      </w:r>
      <w:r>
        <w:rPr/>
        <w:t>and </w:t>
      </w:r>
      <w:r>
        <w:rPr>
          <w:spacing w:val="-4"/>
        </w:rPr>
        <w:t>summed </w:t>
      </w:r>
      <w:r>
        <w:rPr>
          <w:spacing w:val="-3"/>
        </w:rPr>
        <w:t>across </w:t>
      </w:r>
      <w:r>
        <w:rPr/>
        <w:t>all of the </w:t>
      </w:r>
      <w:r>
        <w:rPr>
          <w:spacing w:val="-3"/>
        </w:rPr>
        <w:t>Hospital’s APR-DRGs.</w:t>
      </w:r>
    </w:p>
    <w:p>
      <w:pPr>
        <w:pStyle w:val="BodyText"/>
        <w:spacing w:before="4"/>
      </w:pPr>
    </w:p>
    <w:p>
      <w:pPr>
        <w:pStyle w:val="BodyText"/>
        <w:spacing w:line="242" w:lineRule="auto"/>
        <w:ind w:left="692" w:right="322"/>
      </w:pPr>
      <w:r>
        <w:rPr/>
        <w:t>The </w:t>
      </w:r>
      <w:r>
        <w:rPr>
          <w:spacing w:val="-3"/>
        </w:rPr>
        <w:t>Expected </w:t>
      </w:r>
      <w:r>
        <w:rPr/>
        <w:t>PPR </w:t>
      </w:r>
      <w:r>
        <w:rPr>
          <w:spacing w:val="-3"/>
        </w:rPr>
        <w:t>Volume therefore reflects </w:t>
      </w:r>
      <w:r>
        <w:rPr/>
        <w:t>how a </w:t>
      </w:r>
      <w:r>
        <w:rPr>
          <w:spacing w:val="-3"/>
        </w:rPr>
        <w:t>given Hospital should have performed </w:t>
      </w:r>
      <w:r>
        <w:rPr/>
        <w:t>on </w:t>
      </w:r>
      <w:r>
        <w:rPr>
          <w:spacing w:val="-3"/>
        </w:rPr>
        <w:t>each APR-DRG recorded </w:t>
      </w:r>
      <w:r>
        <w:rPr/>
        <w:t>in </w:t>
      </w:r>
      <w:r>
        <w:rPr>
          <w:spacing w:val="-3"/>
        </w:rPr>
        <w:t>their </w:t>
      </w:r>
      <w:r>
        <w:rPr/>
        <w:t>HDD </w:t>
      </w:r>
      <w:r>
        <w:rPr>
          <w:spacing w:val="-3"/>
        </w:rPr>
        <w:t>filing</w:t>
      </w:r>
    </w:p>
    <w:p>
      <w:pPr>
        <w:pStyle w:val="BodyText"/>
        <w:spacing w:before="8"/>
      </w:pPr>
    </w:p>
    <w:p>
      <w:pPr>
        <w:pStyle w:val="Heading3"/>
        <w:numPr>
          <w:ilvl w:val="3"/>
          <w:numId w:val="19"/>
        </w:numPr>
        <w:tabs>
          <w:tab w:pos="700" w:val="left" w:leader="none"/>
        </w:tabs>
        <w:spacing w:line="240" w:lineRule="auto" w:before="0" w:after="0"/>
        <w:ind w:left="699" w:right="0" w:hanging="360"/>
        <w:jc w:val="left"/>
      </w:pPr>
      <w:r>
        <w:rPr>
          <w:spacing w:val="-3"/>
        </w:rPr>
        <w:t>Hospital-specific Excess </w:t>
      </w:r>
      <w:r>
        <w:rPr/>
        <w:t>PPR</w:t>
      </w:r>
      <w:r>
        <w:rPr>
          <w:spacing w:val="-9"/>
        </w:rPr>
        <w:t> </w:t>
      </w:r>
      <w:r>
        <w:rPr>
          <w:spacing w:val="-3"/>
        </w:rPr>
        <w:t>Volume</w:t>
      </w:r>
    </w:p>
    <w:p>
      <w:pPr>
        <w:pStyle w:val="BodyText"/>
        <w:spacing w:before="4"/>
        <w:rPr>
          <w:b/>
        </w:rPr>
      </w:pPr>
    </w:p>
    <w:p>
      <w:pPr>
        <w:pStyle w:val="BodyText"/>
        <w:spacing w:line="242" w:lineRule="auto"/>
        <w:ind w:left="692" w:right="176" w:firstLine="3"/>
      </w:pPr>
      <w:r>
        <w:rPr/>
        <w:t>The </w:t>
      </w:r>
      <w:r>
        <w:rPr>
          <w:spacing w:val="-3"/>
        </w:rPr>
        <w:t>Hospital-specific Excess </w:t>
      </w:r>
      <w:r>
        <w:rPr/>
        <w:t>PPR </w:t>
      </w:r>
      <w:r>
        <w:rPr>
          <w:spacing w:val="-3"/>
        </w:rPr>
        <w:t>Volume </w:t>
      </w:r>
      <w:r>
        <w:rPr/>
        <w:t>is </w:t>
      </w:r>
      <w:r>
        <w:rPr>
          <w:spacing w:val="-3"/>
        </w:rPr>
        <w:t>calculated </w:t>
      </w:r>
      <w:r>
        <w:rPr/>
        <w:t>as the </w:t>
      </w:r>
      <w:r>
        <w:rPr>
          <w:spacing w:val="-3"/>
        </w:rPr>
        <w:t>number </w:t>
      </w:r>
      <w:r>
        <w:rPr/>
        <w:t>of </w:t>
      </w:r>
      <w:r>
        <w:rPr>
          <w:spacing w:val="-3"/>
        </w:rPr>
        <w:t>Actual PPR Chains </w:t>
      </w:r>
      <w:r>
        <w:rPr/>
        <w:t>in </w:t>
      </w:r>
      <w:r>
        <w:rPr>
          <w:spacing w:val="-3"/>
        </w:rPr>
        <w:t>excess </w:t>
      </w:r>
      <w:r>
        <w:rPr/>
        <w:t>of the </w:t>
      </w:r>
      <w:r>
        <w:rPr>
          <w:spacing w:val="-3"/>
        </w:rPr>
        <w:t>number </w:t>
      </w:r>
      <w:r>
        <w:rPr/>
        <w:t>of </w:t>
      </w:r>
      <w:r>
        <w:rPr>
          <w:spacing w:val="-3"/>
        </w:rPr>
        <w:t>Expected </w:t>
      </w:r>
      <w:r>
        <w:rPr/>
        <w:t>PPR </w:t>
      </w:r>
      <w:r>
        <w:rPr>
          <w:spacing w:val="-3"/>
        </w:rPr>
        <w:t>Chains, </w:t>
      </w:r>
      <w:r>
        <w:rPr/>
        <w:t>as </w:t>
      </w:r>
      <w:r>
        <w:rPr>
          <w:spacing w:val="-3"/>
        </w:rPr>
        <w:t>calculated </w:t>
      </w:r>
      <w:r>
        <w:rPr/>
        <w:t>by the 3M </w:t>
      </w:r>
      <w:r>
        <w:rPr>
          <w:spacing w:val="-3"/>
        </w:rPr>
        <w:t>PPR methodology, </w:t>
      </w:r>
      <w:r>
        <w:rPr/>
        <w:t>for a </w:t>
      </w:r>
      <w:r>
        <w:rPr>
          <w:spacing w:val="-3"/>
        </w:rPr>
        <w:t>specific Hospital. </w:t>
      </w:r>
      <w:r>
        <w:rPr/>
        <w:t>For a </w:t>
      </w:r>
      <w:r>
        <w:rPr>
          <w:spacing w:val="-3"/>
        </w:rPr>
        <w:t>Hospital </w:t>
      </w:r>
      <w:r>
        <w:rPr/>
        <w:t>for </w:t>
      </w:r>
      <w:r>
        <w:rPr>
          <w:spacing w:val="-3"/>
        </w:rPr>
        <w:t>which </w:t>
      </w:r>
      <w:r>
        <w:rPr/>
        <w:t>the </w:t>
      </w:r>
      <w:r>
        <w:rPr>
          <w:spacing w:val="-3"/>
        </w:rPr>
        <w:t>number </w:t>
      </w:r>
      <w:r>
        <w:rPr/>
        <w:t>of </w:t>
      </w:r>
      <w:r>
        <w:rPr>
          <w:spacing w:val="-3"/>
        </w:rPr>
        <w:t>Actual PPR Chains </w:t>
      </w:r>
      <w:r>
        <w:rPr/>
        <w:t>is </w:t>
      </w:r>
      <w:r>
        <w:rPr>
          <w:spacing w:val="-3"/>
        </w:rPr>
        <w:t>equal </w:t>
      </w:r>
      <w:r>
        <w:rPr/>
        <w:t>to or </w:t>
      </w:r>
      <w:r>
        <w:rPr>
          <w:spacing w:val="-3"/>
        </w:rPr>
        <w:t>less than </w:t>
      </w:r>
      <w:r>
        <w:rPr/>
        <w:t>the </w:t>
      </w:r>
      <w:r>
        <w:rPr>
          <w:spacing w:val="-3"/>
        </w:rPr>
        <w:t>number </w:t>
      </w:r>
      <w:r>
        <w:rPr/>
        <w:t>of </w:t>
      </w:r>
      <w:r>
        <w:rPr>
          <w:spacing w:val="-3"/>
        </w:rPr>
        <w:t>Expected </w:t>
      </w:r>
      <w:r>
        <w:rPr/>
        <w:t>PPR </w:t>
      </w:r>
      <w:r>
        <w:rPr>
          <w:spacing w:val="-3"/>
        </w:rPr>
        <w:t>Chains, there </w:t>
      </w:r>
      <w:r>
        <w:rPr/>
        <w:t>is no </w:t>
      </w:r>
      <w:r>
        <w:rPr>
          <w:spacing w:val="-3"/>
        </w:rPr>
        <w:t>Excess PPR Volume.</w:t>
      </w:r>
    </w:p>
    <w:p>
      <w:pPr>
        <w:pStyle w:val="BodyText"/>
        <w:spacing w:before="8"/>
      </w:pPr>
    </w:p>
    <w:p>
      <w:pPr>
        <w:pStyle w:val="Heading3"/>
        <w:numPr>
          <w:ilvl w:val="3"/>
          <w:numId w:val="19"/>
        </w:numPr>
        <w:tabs>
          <w:tab w:pos="693" w:val="left" w:leader="none"/>
        </w:tabs>
        <w:spacing w:line="240" w:lineRule="auto" w:before="0" w:after="0"/>
        <w:ind w:left="692" w:right="0" w:hanging="360"/>
        <w:jc w:val="left"/>
      </w:pPr>
      <w:r>
        <w:rPr>
          <w:spacing w:val="-3"/>
        </w:rPr>
        <w:t>Hospital-specific Actual </w:t>
      </w:r>
      <w:r>
        <w:rPr/>
        <w:t>PPR</w:t>
      </w:r>
      <w:r>
        <w:rPr>
          <w:spacing w:val="-9"/>
        </w:rPr>
        <w:t> </w:t>
      </w:r>
      <w:r>
        <w:rPr>
          <w:spacing w:val="-3"/>
        </w:rPr>
        <w:t>Rate</w:t>
      </w:r>
    </w:p>
    <w:p>
      <w:pPr>
        <w:pStyle w:val="BodyText"/>
        <w:spacing w:before="4"/>
        <w:rPr>
          <w:b/>
        </w:rPr>
      </w:pPr>
    </w:p>
    <w:p>
      <w:pPr>
        <w:pStyle w:val="BodyText"/>
        <w:spacing w:line="242" w:lineRule="auto"/>
        <w:ind w:left="692" w:right="236" w:firstLine="7"/>
      </w:pPr>
      <w:r>
        <w:rPr>
          <w:spacing w:val="-3"/>
        </w:rPr>
        <w:t>Each Hospital’s Actual </w:t>
      </w:r>
      <w:r>
        <w:rPr/>
        <w:t>PPR </w:t>
      </w:r>
      <w:r>
        <w:rPr>
          <w:spacing w:val="-3"/>
        </w:rPr>
        <w:t>Rate </w:t>
      </w:r>
      <w:r>
        <w:rPr/>
        <w:t>is </w:t>
      </w:r>
      <w:r>
        <w:rPr>
          <w:spacing w:val="-3"/>
        </w:rPr>
        <w:t>derived </w:t>
      </w:r>
      <w:r>
        <w:rPr/>
        <w:t>by </w:t>
      </w:r>
      <w:r>
        <w:rPr>
          <w:spacing w:val="-3"/>
        </w:rPr>
        <w:t>dividing </w:t>
      </w:r>
      <w:r>
        <w:rPr/>
        <w:t>the </w:t>
      </w:r>
      <w:r>
        <w:rPr>
          <w:spacing w:val="-3"/>
        </w:rPr>
        <w:t>number </w:t>
      </w:r>
      <w:r>
        <w:rPr/>
        <w:t>of </w:t>
      </w:r>
      <w:r>
        <w:rPr>
          <w:spacing w:val="-3"/>
        </w:rPr>
        <w:t>Actual </w:t>
      </w:r>
      <w:r>
        <w:rPr/>
        <w:t>PPR </w:t>
      </w:r>
      <w:r>
        <w:rPr>
          <w:spacing w:val="-3"/>
        </w:rPr>
        <w:t>Chains </w:t>
      </w:r>
      <w:r>
        <w:rPr/>
        <w:t>in the </w:t>
      </w:r>
      <w:r>
        <w:rPr>
          <w:spacing w:val="-3"/>
        </w:rPr>
        <w:t>specified time period </w:t>
      </w:r>
      <w:r>
        <w:rPr/>
        <w:t>by the </w:t>
      </w:r>
      <w:r>
        <w:rPr>
          <w:spacing w:val="-3"/>
        </w:rPr>
        <w:t>total number </w:t>
      </w:r>
      <w:r>
        <w:rPr/>
        <w:t>of </w:t>
      </w:r>
      <w:r>
        <w:rPr>
          <w:spacing w:val="-3"/>
        </w:rPr>
        <w:t>At-risk </w:t>
      </w:r>
      <w:r>
        <w:rPr>
          <w:spacing w:val="-4"/>
        </w:rPr>
        <w:t>Admissions.</w:t>
      </w:r>
    </w:p>
    <w:p>
      <w:pPr>
        <w:pStyle w:val="BodyText"/>
        <w:spacing w:before="7"/>
      </w:pPr>
    </w:p>
    <w:p>
      <w:pPr>
        <w:pStyle w:val="Heading3"/>
        <w:numPr>
          <w:ilvl w:val="3"/>
          <w:numId w:val="19"/>
        </w:numPr>
        <w:tabs>
          <w:tab w:pos="693" w:val="left" w:leader="none"/>
        </w:tabs>
        <w:spacing w:line="240" w:lineRule="auto" w:before="0" w:after="0"/>
        <w:ind w:left="692" w:right="0" w:hanging="360"/>
        <w:jc w:val="left"/>
      </w:pPr>
      <w:r>
        <w:rPr>
          <w:spacing w:val="-3"/>
        </w:rPr>
        <w:t>Hospital-specific Expected </w:t>
      </w:r>
      <w:r>
        <w:rPr/>
        <w:t>PPR</w:t>
      </w:r>
      <w:r>
        <w:rPr>
          <w:spacing w:val="-9"/>
        </w:rPr>
        <w:t> </w:t>
      </w:r>
      <w:r>
        <w:rPr>
          <w:spacing w:val="-3"/>
        </w:rPr>
        <w:t>Rate</w:t>
      </w:r>
    </w:p>
    <w:p>
      <w:pPr>
        <w:pStyle w:val="BodyText"/>
        <w:spacing w:before="4"/>
        <w:rPr>
          <w:b/>
        </w:rPr>
      </w:pPr>
    </w:p>
    <w:p>
      <w:pPr>
        <w:pStyle w:val="BodyText"/>
        <w:spacing w:line="242" w:lineRule="auto"/>
        <w:ind w:left="691" w:right="109" w:firstLine="7"/>
      </w:pPr>
      <w:r>
        <w:rPr/>
        <w:t>In </w:t>
      </w:r>
      <w:r>
        <w:rPr>
          <w:spacing w:val="-3"/>
        </w:rPr>
        <w:t>order </w:t>
      </w:r>
      <w:r>
        <w:rPr/>
        <w:t>to </w:t>
      </w:r>
      <w:r>
        <w:rPr>
          <w:spacing w:val="-3"/>
        </w:rPr>
        <w:t>derive </w:t>
      </w:r>
      <w:r>
        <w:rPr/>
        <w:t>the </w:t>
      </w:r>
      <w:r>
        <w:rPr>
          <w:spacing w:val="-3"/>
        </w:rPr>
        <w:t>Hospital-specific Expected </w:t>
      </w:r>
      <w:r>
        <w:rPr/>
        <w:t>PPR </w:t>
      </w:r>
      <w:r>
        <w:rPr>
          <w:spacing w:val="-3"/>
        </w:rPr>
        <w:t>Rate, </w:t>
      </w:r>
      <w:r>
        <w:rPr/>
        <w:t>the </w:t>
      </w:r>
      <w:r>
        <w:rPr>
          <w:spacing w:val="-3"/>
        </w:rPr>
        <w:t>statewide average Actual </w:t>
      </w:r>
      <w:r>
        <w:rPr/>
        <w:t>PPR </w:t>
      </w:r>
      <w:r>
        <w:rPr>
          <w:spacing w:val="-3"/>
        </w:rPr>
        <w:t>Rates </w:t>
      </w:r>
      <w:r>
        <w:rPr/>
        <w:t>for </w:t>
      </w:r>
      <w:r>
        <w:rPr>
          <w:spacing w:val="-3"/>
        </w:rPr>
        <w:t>each APR-DRG </w:t>
      </w:r>
      <w:r>
        <w:rPr/>
        <w:t>are </w:t>
      </w:r>
      <w:r>
        <w:rPr>
          <w:spacing w:val="-3"/>
        </w:rPr>
        <w:t>applied </w:t>
      </w:r>
      <w:r>
        <w:rPr/>
        <w:t>to </w:t>
      </w:r>
      <w:r>
        <w:rPr>
          <w:spacing w:val="-3"/>
        </w:rPr>
        <w:t>each Hospital’s volume </w:t>
      </w:r>
      <w:r>
        <w:rPr/>
        <w:t>of </w:t>
      </w:r>
      <w:r>
        <w:rPr>
          <w:spacing w:val="-3"/>
        </w:rPr>
        <w:t>At-risk </w:t>
      </w:r>
      <w:r>
        <w:rPr>
          <w:spacing w:val="-4"/>
        </w:rPr>
        <w:t>Admissions </w:t>
      </w:r>
      <w:r>
        <w:rPr/>
        <w:t>by </w:t>
      </w:r>
      <w:r>
        <w:rPr>
          <w:spacing w:val="-3"/>
        </w:rPr>
        <w:t>APR-DRG casemix. </w:t>
      </w:r>
      <w:r>
        <w:rPr/>
        <w:t>The </w:t>
      </w:r>
      <w:r>
        <w:rPr>
          <w:spacing w:val="-3"/>
        </w:rPr>
        <w:t>Expected </w:t>
      </w:r>
      <w:r>
        <w:rPr/>
        <w:t>PPR </w:t>
      </w:r>
      <w:r>
        <w:rPr>
          <w:spacing w:val="-3"/>
        </w:rPr>
        <w:t>Rate </w:t>
      </w:r>
      <w:r>
        <w:rPr/>
        <w:t>is </w:t>
      </w:r>
      <w:r>
        <w:rPr>
          <w:spacing w:val="-3"/>
        </w:rPr>
        <w:t>therefore risk-adjusted </w:t>
      </w:r>
      <w:r>
        <w:rPr/>
        <w:t>and </w:t>
      </w:r>
      <w:r>
        <w:rPr>
          <w:spacing w:val="-3"/>
        </w:rPr>
        <w:t>reflects </w:t>
      </w:r>
      <w:r>
        <w:rPr/>
        <w:t>how a </w:t>
      </w:r>
      <w:r>
        <w:rPr>
          <w:spacing w:val="-3"/>
        </w:rPr>
        <w:t>given Hospital should have performed </w:t>
      </w:r>
      <w:r>
        <w:rPr/>
        <w:t>on </w:t>
      </w:r>
      <w:r>
        <w:rPr>
          <w:spacing w:val="-3"/>
        </w:rPr>
        <w:t>each APR-DRG </w:t>
      </w:r>
      <w:r>
        <w:rPr/>
        <w:t>for the </w:t>
      </w:r>
      <w:r>
        <w:rPr>
          <w:spacing w:val="-3"/>
        </w:rPr>
        <w:t>time period specified above.</w:t>
      </w:r>
    </w:p>
    <w:p>
      <w:pPr>
        <w:pStyle w:val="BodyText"/>
        <w:spacing w:before="8"/>
      </w:pPr>
    </w:p>
    <w:p>
      <w:pPr>
        <w:pStyle w:val="Heading3"/>
        <w:numPr>
          <w:ilvl w:val="3"/>
          <w:numId w:val="19"/>
        </w:numPr>
        <w:tabs>
          <w:tab w:pos="700" w:val="left" w:leader="none"/>
        </w:tabs>
        <w:spacing w:line="240" w:lineRule="auto" w:before="1" w:after="0"/>
        <w:ind w:left="699" w:right="0" w:hanging="360"/>
        <w:jc w:val="left"/>
      </w:pPr>
      <w:r>
        <w:rPr>
          <w:spacing w:val="-3"/>
        </w:rPr>
        <w:t>Hospital-specific Actual-to-Expected </w:t>
      </w:r>
      <w:r>
        <w:rPr/>
        <w:t>PPR</w:t>
      </w:r>
      <w:r>
        <w:rPr>
          <w:spacing w:val="-9"/>
        </w:rPr>
        <w:t> </w:t>
      </w:r>
      <w:r>
        <w:rPr>
          <w:spacing w:val="-3"/>
        </w:rPr>
        <w:t>Ratio</w:t>
      </w:r>
    </w:p>
    <w:p>
      <w:pPr>
        <w:pStyle w:val="BodyText"/>
        <w:spacing w:before="4"/>
        <w:rPr>
          <w:b/>
        </w:rPr>
      </w:pPr>
    </w:p>
    <w:p>
      <w:pPr>
        <w:pStyle w:val="BodyText"/>
        <w:spacing w:before="1"/>
        <w:ind w:left="695"/>
      </w:pPr>
      <w:r>
        <w:rPr/>
        <w:t>Each Hospital's Actual-to-Expected (A:E) ratio is calculated as:</w:t>
      </w:r>
    </w:p>
    <w:p>
      <w:pPr>
        <w:pStyle w:val="BodyText"/>
        <w:rPr>
          <w:sz w:val="26"/>
        </w:rPr>
      </w:pPr>
    </w:p>
    <w:p>
      <w:pPr>
        <w:pStyle w:val="BodyText"/>
        <w:spacing w:before="10"/>
        <w:rPr>
          <w:sz w:val="22"/>
        </w:rPr>
      </w:pPr>
    </w:p>
    <w:p>
      <w:pPr>
        <w:pStyle w:val="BodyText"/>
        <w:spacing w:before="1"/>
        <w:ind w:left="2690"/>
      </w:pPr>
      <w:r>
        <w:rPr/>
        <w:t>Actual PPR Rate/Expected PPR Rate</w:t>
      </w:r>
    </w:p>
    <w:p>
      <w:pPr>
        <w:spacing w:after="0"/>
        <w:sectPr>
          <w:pgSz w:w="12240" w:h="15840"/>
          <w:pgMar w:header="0" w:footer="744" w:top="1380" w:bottom="940" w:left="1720" w:right="980"/>
        </w:sectPr>
      </w:pPr>
    </w:p>
    <w:p>
      <w:pPr>
        <w:pStyle w:val="Heading3"/>
        <w:numPr>
          <w:ilvl w:val="2"/>
          <w:numId w:val="19"/>
        </w:numPr>
        <w:tabs>
          <w:tab w:pos="473" w:val="left" w:leader="none"/>
        </w:tabs>
        <w:spacing w:line="240" w:lineRule="auto" w:before="185" w:after="0"/>
        <w:ind w:left="472" w:right="0" w:hanging="353"/>
        <w:jc w:val="left"/>
      </w:pPr>
      <w:r>
        <w:rPr>
          <w:spacing w:val="-3"/>
        </w:rPr>
        <w:t>Calculation </w:t>
      </w:r>
      <w:r>
        <w:rPr/>
        <w:t>of </w:t>
      </w:r>
      <w:r>
        <w:rPr>
          <w:spacing w:val="-3"/>
        </w:rPr>
        <w:t>Payment</w:t>
      </w:r>
      <w:r>
        <w:rPr>
          <w:spacing w:val="-9"/>
        </w:rPr>
        <w:t> </w:t>
      </w:r>
      <w:r>
        <w:rPr>
          <w:spacing w:val="-3"/>
        </w:rPr>
        <w:t>Reduction</w:t>
      </w:r>
    </w:p>
    <w:p>
      <w:pPr>
        <w:pStyle w:val="BodyText"/>
        <w:spacing w:before="4"/>
        <w:rPr>
          <w:b/>
        </w:rPr>
      </w:pPr>
    </w:p>
    <w:p>
      <w:pPr>
        <w:pStyle w:val="BodyText"/>
        <w:spacing w:line="242" w:lineRule="auto"/>
        <w:ind w:left="471" w:right="918"/>
      </w:pPr>
      <w:r>
        <w:rPr>
          <w:spacing w:val="-3"/>
        </w:rPr>
        <w:t>Only Hospitals with more than </w:t>
      </w:r>
      <w:r>
        <w:rPr/>
        <w:t>40 </w:t>
      </w:r>
      <w:r>
        <w:rPr>
          <w:spacing w:val="-3"/>
        </w:rPr>
        <w:t>Initial Admissions </w:t>
      </w:r>
      <w:r>
        <w:rPr/>
        <w:t>at </w:t>
      </w:r>
      <w:r>
        <w:rPr>
          <w:spacing w:val="-3"/>
        </w:rPr>
        <w:t>risk for </w:t>
      </w:r>
      <w:r>
        <w:rPr/>
        <w:t>a PPR are </w:t>
      </w:r>
      <w:r>
        <w:rPr>
          <w:spacing w:val="-3"/>
        </w:rPr>
        <w:t>subject </w:t>
      </w:r>
      <w:r>
        <w:rPr/>
        <w:t>to </w:t>
      </w:r>
      <w:r>
        <w:rPr>
          <w:spacing w:val="-3"/>
        </w:rPr>
        <w:t>this reduction.</w:t>
      </w:r>
    </w:p>
    <w:p>
      <w:pPr>
        <w:pStyle w:val="BodyText"/>
        <w:spacing w:before="3"/>
      </w:pPr>
    </w:p>
    <w:p>
      <w:pPr>
        <w:pStyle w:val="BodyText"/>
        <w:spacing w:before="1"/>
        <w:ind w:left="471"/>
      </w:pPr>
      <w:r>
        <w:rPr/>
        <w:t>Each Hospital’s PPR Payment Reduction will initially be calculated as follows:</w:t>
      </w:r>
    </w:p>
    <w:p>
      <w:pPr>
        <w:pStyle w:val="BodyText"/>
        <w:rPr>
          <w:sz w:val="26"/>
        </w:rPr>
      </w:pPr>
    </w:p>
    <w:p>
      <w:pPr>
        <w:pStyle w:val="BodyText"/>
        <w:rPr>
          <w:sz w:val="26"/>
        </w:rPr>
      </w:pPr>
    </w:p>
    <w:p>
      <w:pPr>
        <w:pStyle w:val="BodyText"/>
        <w:spacing w:line="242" w:lineRule="auto" w:before="205"/>
        <w:ind w:left="930" w:right="550"/>
        <w:jc w:val="center"/>
      </w:pPr>
      <w:r>
        <w:rPr>
          <w:spacing w:val="-3"/>
        </w:rPr>
        <w:t>[(Hospital-Specific Excess </w:t>
      </w:r>
      <w:r>
        <w:rPr/>
        <w:t>PPR </w:t>
      </w:r>
      <w:r>
        <w:rPr>
          <w:spacing w:val="-3"/>
        </w:rPr>
        <w:t>Volume) </w:t>
      </w:r>
      <w:r>
        <w:rPr/>
        <w:t>X </w:t>
      </w:r>
      <w:r>
        <w:rPr>
          <w:spacing w:val="-3"/>
        </w:rPr>
        <w:t>(Hospital’s RY14 SPAD Exclusive </w:t>
      </w:r>
      <w:r>
        <w:rPr/>
        <w:t>of </w:t>
      </w:r>
      <w:r>
        <w:rPr>
          <w:spacing w:val="-3"/>
        </w:rPr>
        <w:t>PPR Reduction) </w:t>
      </w:r>
      <w:r>
        <w:rPr/>
        <w:t>X </w:t>
      </w:r>
      <w:r>
        <w:rPr>
          <w:spacing w:val="-3"/>
        </w:rPr>
        <w:t>(Adjustment Factor)] </w:t>
      </w:r>
      <w:r>
        <w:rPr/>
        <w:t>/ </w:t>
      </w:r>
      <w:r>
        <w:rPr>
          <w:spacing w:val="-3"/>
        </w:rPr>
        <w:t>(Hospital Discharge Volume)</w:t>
      </w:r>
    </w:p>
    <w:p>
      <w:pPr>
        <w:pStyle w:val="BodyText"/>
        <w:spacing w:before="1"/>
        <w:ind w:left="380"/>
        <w:jc w:val="center"/>
      </w:pPr>
      <w:r>
        <w:rPr/>
        <w:t>=</w:t>
      </w:r>
    </w:p>
    <w:p>
      <w:pPr>
        <w:pStyle w:val="BodyText"/>
        <w:spacing w:before="123"/>
        <w:ind w:left="928" w:right="550"/>
        <w:jc w:val="center"/>
      </w:pPr>
      <w:r>
        <w:rPr/>
        <w:t>Hospital’s PPR Payment Reduction per Discharge</w:t>
      </w:r>
    </w:p>
    <w:p>
      <w:pPr>
        <w:pStyle w:val="BodyText"/>
        <w:rPr>
          <w:sz w:val="26"/>
        </w:rPr>
      </w:pPr>
    </w:p>
    <w:p>
      <w:pPr>
        <w:pStyle w:val="BodyText"/>
        <w:spacing w:before="3"/>
        <w:rPr>
          <w:sz w:val="33"/>
        </w:rPr>
      </w:pPr>
    </w:p>
    <w:p>
      <w:pPr>
        <w:pStyle w:val="BodyText"/>
        <w:spacing w:line="244" w:lineRule="auto"/>
        <w:ind w:left="472" w:right="284"/>
      </w:pPr>
      <w:r>
        <w:rPr>
          <w:spacing w:val="-3"/>
        </w:rPr>
        <w:t>Where </w:t>
      </w:r>
      <w:r>
        <w:rPr/>
        <w:t>the </w:t>
      </w:r>
      <w:r>
        <w:rPr>
          <w:spacing w:val="-3"/>
        </w:rPr>
        <w:t>“Adjustment Factor” for RY14 </w:t>
      </w:r>
      <w:r>
        <w:rPr/>
        <w:t>is 3 and </w:t>
      </w:r>
      <w:r>
        <w:rPr>
          <w:spacing w:val="-3"/>
        </w:rPr>
        <w:t>which </w:t>
      </w:r>
      <w:r>
        <w:rPr/>
        <w:t>is a </w:t>
      </w:r>
      <w:r>
        <w:rPr>
          <w:spacing w:val="-3"/>
        </w:rPr>
        <w:t>multiplier intended </w:t>
      </w:r>
      <w:r>
        <w:rPr/>
        <w:t>to </w:t>
      </w:r>
      <w:r>
        <w:rPr>
          <w:spacing w:val="-3"/>
        </w:rPr>
        <w:t>provide incentive </w:t>
      </w:r>
      <w:r>
        <w:rPr/>
        <w:t>for </w:t>
      </w:r>
      <w:r>
        <w:rPr>
          <w:spacing w:val="-3"/>
        </w:rPr>
        <w:t>Hospitals </w:t>
      </w:r>
      <w:r>
        <w:rPr/>
        <w:t>to </w:t>
      </w:r>
      <w:r>
        <w:rPr>
          <w:spacing w:val="-3"/>
        </w:rPr>
        <w:t>identify </w:t>
      </w:r>
      <w:r>
        <w:rPr/>
        <w:t>and </w:t>
      </w:r>
      <w:r>
        <w:rPr>
          <w:spacing w:val="-4"/>
        </w:rPr>
        <w:t>implement </w:t>
      </w:r>
      <w:r>
        <w:rPr>
          <w:spacing w:val="-3"/>
        </w:rPr>
        <w:t>methods </w:t>
      </w:r>
      <w:r>
        <w:rPr/>
        <w:t>to </w:t>
      </w:r>
      <w:r>
        <w:rPr>
          <w:spacing w:val="-3"/>
        </w:rPr>
        <w:t>reduce PPRs. </w:t>
      </w:r>
      <w:r>
        <w:rPr/>
        <w:t>The </w:t>
      </w:r>
      <w:r>
        <w:rPr>
          <w:spacing w:val="-3"/>
        </w:rPr>
        <w:t>RY14 Hospital SPAD </w:t>
      </w:r>
      <w:r>
        <w:rPr/>
        <w:t>is as </w:t>
      </w:r>
      <w:r>
        <w:rPr>
          <w:spacing w:val="-3"/>
        </w:rPr>
        <w:t>calculated </w:t>
      </w:r>
      <w:r>
        <w:rPr/>
        <w:t>in </w:t>
      </w:r>
      <w:r>
        <w:rPr>
          <w:b/>
          <w:spacing w:val="-3"/>
        </w:rPr>
        <w:t>Sections 5.B.2 </w:t>
      </w:r>
      <w:r>
        <w:rPr>
          <w:spacing w:val="-3"/>
        </w:rPr>
        <w:t>through </w:t>
      </w:r>
      <w:r>
        <w:rPr>
          <w:b/>
          <w:spacing w:val="-3"/>
        </w:rPr>
        <w:t>5.B.4</w:t>
      </w:r>
      <w:r>
        <w:rPr>
          <w:spacing w:val="-3"/>
        </w:rPr>
        <w:t>. </w:t>
      </w:r>
      <w:r>
        <w:rPr/>
        <w:t>The </w:t>
      </w:r>
      <w:r>
        <w:rPr>
          <w:spacing w:val="-3"/>
        </w:rPr>
        <w:t>rest </w:t>
      </w:r>
      <w:r>
        <w:rPr/>
        <w:t>of the </w:t>
      </w:r>
      <w:r>
        <w:rPr>
          <w:spacing w:val="-3"/>
        </w:rPr>
        <w:t>calculation depends on whether </w:t>
      </w:r>
      <w:r>
        <w:rPr/>
        <w:t>a </w:t>
      </w:r>
      <w:r>
        <w:rPr>
          <w:spacing w:val="-3"/>
        </w:rPr>
        <w:t>Hospital qualifies </w:t>
      </w:r>
      <w:r>
        <w:rPr/>
        <w:t>for an </w:t>
      </w:r>
      <w:r>
        <w:rPr>
          <w:spacing w:val="-4"/>
        </w:rPr>
        <w:t>Improvement </w:t>
      </w:r>
      <w:r>
        <w:rPr>
          <w:spacing w:val="-3"/>
        </w:rPr>
        <w:t>Adjustment </w:t>
      </w:r>
      <w:r>
        <w:rPr/>
        <w:t>in </w:t>
      </w:r>
      <w:r>
        <w:rPr>
          <w:spacing w:val="-3"/>
        </w:rPr>
        <w:t>accordance with </w:t>
      </w:r>
      <w:r>
        <w:rPr>
          <w:b/>
          <w:spacing w:val="-3"/>
        </w:rPr>
        <w:t>Section 8.1.D </w:t>
      </w:r>
      <w:r>
        <w:rPr>
          <w:spacing w:val="-3"/>
        </w:rPr>
        <w:t>below.</w:t>
      </w:r>
    </w:p>
    <w:p>
      <w:pPr>
        <w:pStyle w:val="BodyText"/>
        <w:spacing w:before="4"/>
      </w:pPr>
    </w:p>
    <w:p>
      <w:pPr>
        <w:pStyle w:val="Heading3"/>
        <w:numPr>
          <w:ilvl w:val="3"/>
          <w:numId w:val="19"/>
        </w:numPr>
        <w:tabs>
          <w:tab w:pos="832" w:val="left" w:leader="none"/>
        </w:tabs>
        <w:spacing w:line="240" w:lineRule="auto" w:before="1" w:after="0"/>
        <w:ind w:left="832" w:right="0" w:hanging="360"/>
        <w:jc w:val="left"/>
      </w:pPr>
      <w:r>
        <w:rPr>
          <w:spacing w:val="-3"/>
        </w:rPr>
        <w:t>Hospitals Without Improvement</w:t>
      </w:r>
      <w:r>
        <w:rPr/>
        <w:t> </w:t>
      </w:r>
      <w:r>
        <w:rPr>
          <w:spacing w:val="-3"/>
        </w:rPr>
        <w:t>Adjustment</w:t>
      </w:r>
    </w:p>
    <w:p>
      <w:pPr>
        <w:pStyle w:val="BodyText"/>
        <w:spacing w:before="7"/>
        <w:rPr>
          <w:b/>
        </w:rPr>
      </w:pPr>
    </w:p>
    <w:p>
      <w:pPr>
        <w:pStyle w:val="BodyText"/>
        <w:spacing w:line="244" w:lineRule="auto"/>
        <w:ind w:left="832" w:right="361"/>
        <w:jc w:val="both"/>
      </w:pPr>
      <w:r>
        <w:rPr>
          <w:spacing w:val="-3"/>
        </w:rPr>
        <w:t>Hospitals with Excess </w:t>
      </w:r>
      <w:r>
        <w:rPr/>
        <w:t>PPR </w:t>
      </w:r>
      <w:r>
        <w:rPr>
          <w:spacing w:val="-3"/>
        </w:rPr>
        <w:t>Volume that </w:t>
      </w:r>
      <w:r>
        <w:rPr/>
        <w:t>do not </w:t>
      </w:r>
      <w:r>
        <w:rPr>
          <w:spacing w:val="-3"/>
        </w:rPr>
        <w:t>qualify </w:t>
      </w:r>
      <w:r>
        <w:rPr/>
        <w:t>for an </w:t>
      </w:r>
      <w:r>
        <w:rPr>
          <w:spacing w:val="-4"/>
        </w:rPr>
        <w:t>Improvement </w:t>
      </w:r>
      <w:r>
        <w:rPr>
          <w:spacing w:val="-3"/>
        </w:rPr>
        <w:t>Adjustment in accordance with </w:t>
      </w:r>
      <w:r>
        <w:rPr>
          <w:b/>
          <w:spacing w:val="-3"/>
        </w:rPr>
        <w:t>Section 8.1.D</w:t>
      </w:r>
      <w:r>
        <w:rPr>
          <w:spacing w:val="-3"/>
        </w:rPr>
        <w:t>. below, receive </w:t>
      </w:r>
      <w:r>
        <w:rPr/>
        <w:t>a </w:t>
      </w:r>
      <w:r>
        <w:rPr>
          <w:spacing w:val="-3"/>
        </w:rPr>
        <w:t>SPAD percentage reduction calculated as </w:t>
      </w:r>
      <w:r>
        <w:rPr>
          <w:spacing w:val="-4"/>
        </w:rPr>
        <w:t>follows:</w:t>
      </w:r>
    </w:p>
    <w:p>
      <w:pPr>
        <w:pStyle w:val="BodyText"/>
        <w:rPr>
          <w:sz w:val="20"/>
        </w:rPr>
      </w:pPr>
    </w:p>
    <w:p>
      <w:pPr>
        <w:pStyle w:val="BodyText"/>
        <w:rPr>
          <w:sz w:val="20"/>
        </w:rPr>
      </w:pPr>
    </w:p>
    <w:p>
      <w:pPr>
        <w:pStyle w:val="BodyText"/>
        <w:spacing w:before="10"/>
      </w:pPr>
    </w:p>
    <w:p>
      <w:pPr>
        <w:spacing w:after="0"/>
        <w:sectPr>
          <w:pgSz w:w="12240" w:h="15840"/>
          <w:pgMar w:header="0" w:footer="744" w:top="1500" w:bottom="940" w:left="1580" w:right="980"/>
        </w:sectPr>
      </w:pPr>
    </w:p>
    <w:p>
      <w:pPr>
        <w:pStyle w:val="BodyText"/>
        <w:spacing w:before="90"/>
        <w:ind w:left="2672"/>
      </w:pPr>
      <w:r>
        <w:rPr/>
        <w:t>Hospital’s PPR Payment Reduction per Discharge</w:t>
      </w:r>
    </w:p>
    <w:p>
      <w:pPr>
        <w:pStyle w:val="BodyText"/>
        <w:rPr>
          <w:sz w:val="20"/>
        </w:rPr>
      </w:pPr>
      <w:r>
        <w:rPr/>
        <w:pict>
          <v:line style="position:absolute;mso-position-horizontal-relative:page;mso-position-vertical-relative:paragraph;z-index:1168;mso-wrap-distance-left:0;mso-wrap-distance-right:0" from="135.539993pt,13.70005pt" to="458.874009pt,13.70005pt" stroked="true" strokeweight=".48pt" strokecolor="#000000">
            <v:stroke dashstyle="solid"/>
            <w10:wrap type="topAndBottom"/>
          </v:line>
        </w:pict>
      </w:r>
    </w:p>
    <w:p>
      <w:pPr>
        <w:pStyle w:val="BodyText"/>
        <w:spacing w:before="94"/>
        <w:ind w:left="1882"/>
        <w:jc w:val="center"/>
      </w:pPr>
      <w:r>
        <w:rPr/>
        <w:t>Hospital’s RY14 SPAD Exclusive of PPR Payment Reduction</w:t>
      </w:r>
    </w:p>
    <w:p>
      <w:pPr>
        <w:pStyle w:val="BodyText"/>
        <w:spacing w:before="123"/>
        <w:ind w:left="1944"/>
        <w:jc w:val="center"/>
      </w:pPr>
      <w:r>
        <w:rPr/>
        <w:t>=</w:t>
      </w:r>
    </w:p>
    <w:p>
      <w:pPr>
        <w:pStyle w:val="BodyText"/>
        <w:spacing w:before="204"/>
        <w:ind w:left="1885"/>
        <w:jc w:val="center"/>
      </w:pPr>
      <w:r>
        <w:rPr>
          <w:spacing w:val="-3"/>
        </w:rPr>
        <w:t>Hospital’s Percent Reduction </w:t>
      </w:r>
      <w:r>
        <w:rPr/>
        <w:t>to </w:t>
      </w:r>
      <w:r>
        <w:rPr>
          <w:spacing w:val="-3"/>
        </w:rPr>
        <w:t>SPAD </w:t>
      </w:r>
      <w:r>
        <w:rPr/>
        <w:t>due to </w:t>
      </w:r>
      <w:r>
        <w:rPr>
          <w:spacing w:val="-3"/>
        </w:rPr>
        <w:t>Excess </w:t>
      </w:r>
      <w:r>
        <w:rPr/>
        <w:t>PPR</w:t>
      </w:r>
      <w:r>
        <w:rPr>
          <w:spacing w:val="-32"/>
        </w:rPr>
        <w:t> </w:t>
      </w:r>
      <w:r>
        <w:rPr>
          <w:spacing w:val="-3"/>
        </w:rPr>
        <w:t>Volume</w:t>
      </w:r>
    </w:p>
    <w:p>
      <w:pPr>
        <w:pStyle w:val="BodyText"/>
        <w:rPr>
          <w:sz w:val="26"/>
        </w:rPr>
      </w:pPr>
    </w:p>
    <w:p>
      <w:pPr>
        <w:pStyle w:val="BodyText"/>
        <w:spacing w:before="3"/>
        <w:rPr>
          <w:sz w:val="23"/>
        </w:rPr>
      </w:pPr>
    </w:p>
    <w:p>
      <w:pPr>
        <w:pStyle w:val="Heading3"/>
        <w:numPr>
          <w:ilvl w:val="3"/>
          <w:numId w:val="19"/>
        </w:numPr>
        <w:tabs>
          <w:tab w:pos="832" w:val="left" w:leader="none"/>
        </w:tabs>
        <w:spacing w:line="240" w:lineRule="auto" w:before="0" w:after="0"/>
        <w:ind w:left="832" w:right="0" w:hanging="360"/>
        <w:jc w:val="left"/>
      </w:pPr>
      <w:r>
        <w:rPr>
          <w:spacing w:val="-3"/>
        </w:rPr>
        <w:t>Hospitals Qualifying </w:t>
      </w:r>
      <w:r>
        <w:rPr/>
        <w:t>for </w:t>
      </w:r>
      <w:r>
        <w:rPr>
          <w:spacing w:val="-3"/>
        </w:rPr>
        <w:t>Improvement</w:t>
      </w:r>
      <w:r>
        <w:rPr>
          <w:spacing w:val="-11"/>
        </w:rPr>
        <w:t> </w:t>
      </w:r>
      <w:r>
        <w:rPr>
          <w:spacing w:val="-3"/>
        </w:rPr>
        <w:t>Adjustment</w:t>
      </w:r>
    </w:p>
    <w:p>
      <w:pPr>
        <w:pStyle w:val="BodyText"/>
        <w:spacing w:before="2"/>
        <w:rPr>
          <w:b/>
          <w:sz w:val="32"/>
        </w:rPr>
      </w:pPr>
      <w:r>
        <w:rPr/>
        <w:br w:type="column"/>
      </w:r>
      <w:r>
        <w:rPr>
          <w:b/>
          <w:sz w:val="32"/>
        </w:rPr>
      </w:r>
    </w:p>
    <w:p>
      <w:pPr>
        <w:pStyle w:val="BodyText"/>
        <w:ind w:left="130"/>
      </w:pPr>
      <w:r>
        <w:rPr/>
        <w:t>X 100</w:t>
      </w:r>
    </w:p>
    <w:p>
      <w:pPr>
        <w:spacing w:after="0"/>
        <w:sectPr>
          <w:type w:val="continuous"/>
          <w:pgSz w:w="12240" w:h="15840"/>
          <w:pgMar w:top="1380" w:bottom="940" w:left="1580" w:right="980"/>
          <w:cols w:num="2" w:equalWidth="0">
            <w:col w:w="8177" w:space="40"/>
            <w:col w:w="1463"/>
          </w:cols>
        </w:sectPr>
      </w:pPr>
    </w:p>
    <w:p>
      <w:pPr>
        <w:pStyle w:val="BodyText"/>
        <w:spacing w:before="6"/>
        <w:rPr>
          <w:sz w:val="16"/>
        </w:rPr>
      </w:pPr>
    </w:p>
    <w:p>
      <w:pPr>
        <w:pStyle w:val="BodyText"/>
        <w:spacing w:line="244" w:lineRule="auto" w:before="90"/>
        <w:ind w:left="832" w:right="236"/>
      </w:pPr>
      <w:r>
        <w:rPr>
          <w:spacing w:val="-3"/>
        </w:rPr>
        <w:t>Hospitals with Excess </w:t>
      </w:r>
      <w:r>
        <w:rPr/>
        <w:t>PPR </w:t>
      </w:r>
      <w:r>
        <w:rPr>
          <w:spacing w:val="-3"/>
        </w:rPr>
        <w:t>Volume that qualify </w:t>
      </w:r>
      <w:r>
        <w:rPr/>
        <w:t>for an </w:t>
      </w:r>
      <w:r>
        <w:rPr>
          <w:spacing w:val="-4"/>
        </w:rPr>
        <w:t>Improvement </w:t>
      </w:r>
      <w:r>
        <w:rPr>
          <w:spacing w:val="-3"/>
        </w:rPr>
        <w:t>Adjustment in accordance with </w:t>
      </w:r>
      <w:r>
        <w:rPr>
          <w:b/>
          <w:spacing w:val="-3"/>
        </w:rPr>
        <w:t>Section 8.1.D</w:t>
      </w:r>
      <w:r>
        <w:rPr>
          <w:spacing w:val="-3"/>
        </w:rPr>
        <w:t>, below, receive </w:t>
      </w:r>
      <w:r>
        <w:rPr/>
        <w:t>a </w:t>
      </w:r>
      <w:r>
        <w:rPr>
          <w:spacing w:val="-3"/>
        </w:rPr>
        <w:t>SPAD percentage reduction calculated using </w:t>
      </w:r>
      <w:r>
        <w:rPr/>
        <w:t>the </w:t>
      </w:r>
      <w:r>
        <w:rPr>
          <w:spacing w:val="-3"/>
        </w:rPr>
        <w:t>following </w:t>
      </w:r>
      <w:r>
        <w:rPr/>
        <w:t>two </w:t>
      </w:r>
      <w:r>
        <w:rPr>
          <w:spacing w:val="-3"/>
        </w:rPr>
        <w:t>steps:</w:t>
      </w:r>
    </w:p>
    <w:p>
      <w:pPr>
        <w:spacing w:after="0" w:line="244" w:lineRule="auto"/>
        <w:sectPr>
          <w:type w:val="continuous"/>
          <w:pgSz w:w="12240" w:h="15840"/>
          <w:pgMar w:top="1380" w:bottom="940" w:left="1580" w:right="980"/>
        </w:sectPr>
      </w:pPr>
    </w:p>
    <w:p>
      <w:pPr>
        <w:pStyle w:val="Heading3"/>
        <w:spacing w:before="65"/>
        <w:ind w:left="479" w:firstLine="0"/>
      </w:pPr>
      <w:r>
        <w:rPr/>
        <w:t>Step 1:</w:t>
      </w:r>
    </w:p>
    <w:p>
      <w:pPr>
        <w:pStyle w:val="BodyText"/>
        <w:spacing w:before="200"/>
        <w:ind w:left="481"/>
      </w:pPr>
      <w:r>
        <w:rPr/>
        <w:t>Actual to Expected PPR Ratio RY 14</w:t>
      </w:r>
    </w:p>
    <w:p>
      <w:pPr>
        <w:pStyle w:val="BodyText"/>
        <w:tabs>
          <w:tab w:pos="4246" w:val="left" w:leader="none"/>
        </w:tabs>
        <w:spacing w:before="3"/>
        <w:ind w:left="481"/>
      </w:pPr>
      <w:r>
        <w:rPr>
          <w:u w:val="single"/>
        </w:rPr>
        <w:t> </w:t>
        <w:tab/>
      </w:r>
      <w:r>
        <w:rPr>
          <w:spacing w:val="-3"/>
        </w:rPr>
        <w:t> </w:t>
      </w:r>
      <w:r>
        <w:rPr/>
        <w:t>X </w:t>
      </w:r>
      <w:r>
        <w:rPr>
          <w:spacing w:val="-3"/>
        </w:rPr>
        <w:t>Hospital’s </w:t>
      </w:r>
      <w:r>
        <w:rPr/>
        <w:t>PPR </w:t>
      </w:r>
      <w:r>
        <w:rPr>
          <w:spacing w:val="-3"/>
        </w:rPr>
        <w:t>Payment Reduction </w:t>
      </w:r>
      <w:r>
        <w:rPr/>
        <w:t>per</w:t>
      </w:r>
      <w:r>
        <w:rPr>
          <w:spacing w:val="-26"/>
        </w:rPr>
        <w:t> </w:t>
      </w:r>
      <w:r>
        <w:rPr>
          <w:spacing w:val="-3"/>
        </w:rPr>
        <w:t>Discharge</w:t>
      </w:r>
    </w:p>
    <w:p>
      <w:pPr>
        <w:pStyle w:val="BodyText"/>
        <w:spacing w:before="123"/>
        <w:ind w:left="479"/>
      </w:pPr>
      <w:r>
        <w:rPr/>
        <w:t>Actual to Expected PPR Ratio RY13</w:t>
      </w:r>
    </w:p>
    <w:p>
      <w:pPr>
        <w:pStyle w:val="BodyText"/>
        <w:spacing w:before="3"/>
        <w:ind w:left="382"/>
        <w:jc w:val="center"/>
      </w:pPr>
      <w:r>
        <w:rPr/>
        <w:t>=</w:t>
      </w:r>
    </w:p>
    <w:p>
      <w:pPr>
        <w:pStyle w:val="BodyText"/>
        <w:spacing w:before="6"/>
      </w:pPr>
    </w:p>
    <w:p>
      <w:pPr>
        <w:pStyle w:val="BodyText"/>
        <w:spacing w:before="1"/>
        <w:ind w:left="1644"/>
      </w:pPr>
      <w:r>
        <w:rPr/>
        <w:t>Improvement Adjusted Hospital PPR Payment Reduction per Discharge</w:t>
      </w:r>
    </w:p>
    <w:p>
      <w:pPr>
        <w:pStyle w:val="BodyText"/>
        <w:rPr>
          <w:sz w:val="26"/>
        </w:rPr>
      </w:pPr>
    </w:p>
    <w:p>
      <w:pPr>
        <w:pStyle w:val="BodyText"/>
        <w:spacing w:before="10"/>
        <w:rPr>
          <w:sz w:val="31"/>
        </w:rPr>
      </w:pPr>
    </w:p>
    <w:p>
      <w:pPr>
        <w:pStyle w:val="Heading3"/>
        <w:ind w:left="479" w:firstLine="0"/>
      </w:pPr>
      <w:r>
        <w:rPr/>
        <w:t>Step 2:</w:t>
      </w:r>
    </w:p>
    <w:p>
      <w:pPr>
        <w:pStyle w:val="BodyText"/>
        <w:spacing w:before="10"/>
        <w:rPr>
          <w:b/>
          <w:sz w:val="20"/>
        </w:rPr>
      </w:pPr>
    </w:p>
    <w:p>
      <w:pPr>
        <w:pStyle w:val="BodyText"/>
        <w:ind w:left="479"/>
      </w:pPr>
      <w:r>
        <w:rPr/>
        <w:t>Improvement Adjusted Hospital’s PPR Payment Reduction per Discharge</w:t>
      </w:r>
    </w:p>
    <w:p>
      <w:pPr>
        <w:pStyle w:val="BodyText"/>
        <w:tabs>
          <w:tab w:pos="7327" w:val="left" w:leader="none"/>
          <w:tab w:pos="7605" w:val="left" w:leader="none"/>
        </w:tabs>
        <w:spacing w:before="3"/>
        <w:ind w:left="479"/>
      </w:pPr>
      <w:r>
        <w:rPr>
          <w:u w:val="single"/>
        </w:rPr>
        <w:t> </w:t>
        <w:tab/>
      </w:r>
      <w:r>
        <w:rPr/>
        <w:tab/>
        <w:t>X</w:t>
      </w:r>
      <w:r>
        <w:rPr>
          <w:spacing w:val="-6"/>
        </w:rPr>
        <w:t> </w:t>
      </w:r>
      <w:r>
        <w:rPr>
          <w:spacing w:val="-3"/>
        </w:rPr>
        <w:t>100</w:t>
      </w:r>
    </w:p>
    <w:p>
      <w:pPr>
        <w:pStyle w:val="BodyText"/>
        <w:spacing w:before="123"/>
        <w:ind w:left="536"/>
      </w:pPr>
      <w:r>
        <w:rPr/>
        <w:t>Hospital’s RY14 SPAD Exclusive of PPR Payment Reduction</w:t>
      </w:r>
    </w:p>
    <w:p>
      <w:pPr>
        <w:pStyle w:val="BodyText"/>
        <w:spacing w:before="123"/>
        <w:ind w:left="440"/>
        <w:jc w:val="center"/>
      </w:pPr>
      <w:r>
        <w:rPr/>
        <w:t>=</w:t>
      </w:r>
    </w:p>
    <w:p>
      <w:pPr>
        <w:pStyle w:val="BodyText"/>
        <w:spacing w:before="204"/>
        <w:ind w:left="930" w:right="549"/>
        <w:jc w:val="center"/>
      </w:pPr>
      <w:r>
        <w:rPr/>
        <w:t>Hospital’s Percent Reduction to SPAD due to Excess PPR Volume</w:t>
      </w:r>
    </w:p>
    <w:p>
      <w:pPr>
        <w:pStyle w:val="BodyText"/>
        <w:spacing w:before="10"/>
      </w:pPr>
    </w:p>
    <w:p>
      <w:pPr>
        <w:pStyle w:val="Heading3"/>
        <w:numPr>
          <w:ilvl w:val="2"/>
          <w:numId w:val="19"/>
        </w:numPr>
        <w:tabs>
          <w:tab w:pos="473" w:val="left" w:leader="none"/>
        </w:tabs>
        <w:spacing w:line="240" w:lineRule="auto" w:before="1" w:after="0"/>
        <w:ind w:left="472" w:right="0" w:hanging="353"/>
        <w:jc w:val="left"/>
      </w:pPr>
      <w:r>
        <w:rPr>
          <w:spacing w:val="-3"/>
        </w:rPr>
        <w:t>Improvement</w:t>
      </w:r>
      <w:r>
        <w:rPr>
          <w:spacing w:val="-2"/>
        </w:rPr>
        <w:t> </w:t>
      </w:r>
      <w:r>
        <w:rPr>
          <w:spacing w:val="-3"/>
        </w:rPr>
        <w:t>Adjustment</w:t>
      </w:r>
    </w:p>
    <w:p>
      <w:pPr>
        <w:pStyle w:val="BodyText"/>
        <w:spacing w:before="4"/>
        <w:rPr>
          <w:b/>
        </w:rPr>
      </w:pPr>
    </w:p>
    <w:p>
      <w:pPr>
        <w:pStyle w:val="BodyText"/>
        <w:spacing w:line="242" w:lineRule="auto" w:before="1"/>
        <w:ind w:left="472" w:right="121" w:firstLine="7"/>
      </w:pPr>
      <w:r>
        <w:rPr/>
        <w:t>If a </w:t>
      </w:r>
      <w:r>
        <w:rPr>
          <w:spacing w:val="-3"/>
        </w:rPr>
        <w:t>Hospital </w:t>
      </w:r>
      <w:r>
        <w:rPr/>
        <w:t>has </w:t>
      </w:r>
      <w:r>
        <w:rPr>
          <w:spacing w:val="-3"/>
        </w:rPr>
        <w:t>Excess </w:t>
      </w:r>
      <w:r>
        <w:rPr/>
        <w:t>PPR </w:t>
      </w:r>
      <w:r>
        <w:rPr>
          <w:spacing w:val="-3"/>
        </w:rPr>
        <w:t>Volume </w:t>
      </w:r>
      <w:r>
        <w:rPr/>
        <w:t>for </w:t>
      </w:r>
      <w:r>
        <w:rPr>
          <w:spacing w:val="-3"/>
        </w:rPr>
        <w:t>RY14 </w:t>
      </w:r>
      <w:r>
        <w:rPr/>
        <w:t>but has </w:t>
      </w:r>
      <w:r>
        <w:rPr>
          <w:spacing w:val="-3"/>
        </w:rPr>
        <w:t>achieved </w:t>
      </w:r>
      <w:r>
        <w:rPr/>
        <w:t>an </w:t>
      </w:r>
      <w:r>
        <w:rPr>
          <w:spacing w:val="-4"/>
        </w:rPr>
        <w:t>improvement </w:t>
      </w:r>
      <w:r>
        <w:rPr/>
        <w:t>as </w:t>
      </w:r>
      <w:r>
        <w:rPr>
          <w:spacing w:val="-3"/>
        </w:rPr>
        <w:t>indicated </w:t>
      </w:r>
      <w:r>
        <w:rPr/>
        <w:t>by a </w:t>
      </w:r>
      <w:r>
        <w:rPr>
          <w:spacing w:val="-3"/>
        </w:rPr>
        <w:t>decrease </w:t>
      </w:r>
      <w:r>
        <w:rPr/>
        <w:t>to its </w:t>
      </w:r>
      <w:r>
        <w:rPr>
          <w:spacing w:val="-3"/>
        </w:rPr>
        <w:t>Actual-to-Expected </w:t>
      </w:r>
      <w:r>
        <w:rPr/>
        <w:t>PPR </w:t>
      </w:r>
      <w:r>
        <w:rPr>
          <w:spacing w:val="-3"/>
        </w:rPr>
        <w:t>Ratio </w:t>
      </w:r>
      <w:r>
        <w:rPr/>
        <w:t>in </w:t>
      </w:r>
      <w:r>
        <w:rPr>
          <w:spacing w:val="-3"/>
        </w:rPr>
        <w:t>RY14 compared </w:t>
      </w:r>
      <w:r>
        <w:rPr/>
        <w:t>to </w:t>
      </w:r>
      <w:r>
        <w:rPr>
          <w:spacing w:val="-3"/>
        </w:rPr>
        <w:t>RY13, EOHHS shall adjust downward </w:t>
      </w:r>
      <w:r>
        <w:rPr/>
        <w:t>the PPR </w:t>
      </w:r>
      <w:r>
        <w:rPr>
          <w:spacing w:val="-3"/>
        </w:rPr>
        <w:t>Payment Reduction </w:t>
      </w:r>
      <w:r>
        <w:rPr/>
        <w:t>the </w:t>
      </w:r>
      <w:r>
        <w:rPr>
          <w:spacing w:val="-3"/>
        </w:rPr>
        <w:t>Hospital would otherwise receive. This </w:t>
      </w:r>
      <w:r>
        <w:rPr>
          <w:spacing w:val="-4"/>
        </w:rPr>
        <w:t>“Improvement </w:t>
      </w:r>
      <w:r>
        <w:rPr>
          <w:spacing w:val="-3"/>
        </w:rPr>
        <w:t>Adjustment” </w:t>
      </w:r>
      <w:r>
        <w:rPr/>
        <w:t>to the PPR </w:t>
      </w:r>
      <w:r>
        <w:rPr>
          <w:spacing w:val="-3"/>
        </w:rPr>
        <w:t>Payment Reduction </w:t>
      </w:r>
      <w:r>
        <w:rPr/>
        <w:t>is </w:t>
      </w:r>
      <w:r>
        <w:rPr>
          <w:spacing w:val="-3"/>
        </w:rPr>
        <w:t>calculated </w:t>
      </w:r>
      <w:r>
        <w:rPr/>
        <w:t>by </w:t>
      </w:r>
      <w:r>
        <w:rPr>
          <w:spacing w:val="-3"/>
        </w:rPr>
        <w:t>applying </w:t>
      </w:r>
      <w:r>
        <w:rPr/>
        <w:t>the </w:t>
      </w:r>
      <w:r>
        <w:rPr>
          <w:spacing w:val="-3"/>
        </w:rPr>
        <w:t>percent decrease </w:t>
      </w:r>
      <w:r>
        <w:rPr/>
        <w:t>in the </w:t>
      </w:r>
      <w:r>
        <w:rPr>
          <w:spacing w:val="-3"/>
        </w:rPr>
        <w:t>RY14 Actual-to-Expected </w:t>
      </w:r>
      <w:r>
        <w:rPr/>
        <w:t>PPR </w:t>
      </w:r>
      <w:r>
        <w:rPr>
          <w:spacing w:val="-3"/>
        </w:rPr>
        <w:t>Ratio </w:t>
      </w:r>
      <w:r>
        <w:rPr/>
        <w:t>to the </w:t>
      </w:r>
      <w:r>
        <w:rPr>
          <w:spacing w:val="-3"/>
        </w:rPr>
        <w:t>Hospital’s </w:t>
      </w:r>
      <w:r>
        <w:rPr/>
        <w:t>PPR </w:t>
      </w:r>
      <w:r>
        <w:rPr>
          <w:spacing w:val="-3"/>
        </w:rPr>
        <w:t>Payment Reduction. </w:t>
      </w:r>
      <w:r>
        <w:rPr/>
        <w:t>For </w:t>
      </w:r>
      <w:r>
        <w:rPr>
          <w:spacing w:val="-3"/>
        </w:rPr>
        <w:t>example, </w:t>
      </w:r>
      <w:r>
        <w:rPr/>
        <w:t>if a </w:t>
      </w:r>
      <w:r>
        <w:rPr>
          <w:spacing w:val="-3"/>
        </w:rPr>
        <w:t>Hospital </w:t>
      </w:r>
      <w:r>
        <w:rPr/>
        <w:t>had a </w:t>
      </w:r>
      <w:r>
        <w:rPr>
          <w:spacing w:val="-3"/>
        </w:rPr>
        <w:t>RY13 Actual-to-Expected </w:t>
      </w:r>
      <w:r>
        <w:rPr/>
        <w:t>PPR </w:t>
      </w:r>
      <w:r>
        <w:rPr>
          <w:spacing w:val="-3"/>
        </w:rPr>
        <w:t>Ratio </w:t>
      </w:r>
      <w:r>
        <w:rPr/>
        <w:t>of </w:t>
      </w:r>
      <w:r>
        <w:rPr>
          <w:spacing w:val="-3"/>
        </w:rPr>
        <w:t>1.30 </w:t>
      </w:r>
      <w:r>
        <w:rPr/>
        <w:t>and a </w:t>
      </w:r>
      <w:r>
        <w:rPr>
          <w:spacing w:val="-3"/>
        </w:rPr>
        <w:t>RY14 Actual-to-Expected </w:t>
      </w:r>
      <w:r>
        <w:rPr/>
        <w:t>PPR </w:t>
      </w:r>
      <w:r>
        <w:rPr>
          <w:spacing w:val="-3"/>
        </w:rPr>
        <w:t>Ratio </w:t>
      </w:r>
      <w:r>
        <w:rPr/>
        <w:t>of </w:t>
      </w:r>
      <w:r>
        <w:rPr>
          <w:spacing w:val="-3"/>
        </w:rPr>
        <w:t>1.17, which </w:t>
      </w:r>
      <w:r>
        <w:rPr/>
        <w:t>is a </w:t>
      </w:r>
      <w:r>
        <w:rPr>
          <w:spacing w:val="-3"/>
        </w:rPr>
        <w:t>decrease </w:t>
      </w:r>
      <w:r>
        <w:rPr/>
        <w:t>of </w:t>
      </w:r>
      <w:r>
        <w:rPr>
          <w:spacing w:val="-3"/>
        </w:rPr>
        <w:t>10%, </w:t>
      </w:r>
      <w:r>
        <w:rPr/>
        <w:t>and a </w:t>
      </w:r>
      <w:r>
        <w:rPr>
          <w:spacing w:val="-3"/>
        </w:rPr>
        <w:t>RY14 </w:t>
      </w:r>
      <w:r>
        <w:rPr/>
        <w:t>PPR </w:t>
      </w:r>
      <w:r>
        <w:rPr>
          <w:spacing w:val="-4"/>
        </w:rPr>
        <w:t>Payment </w:t>
      </w:r>
      <w:r>
        <w:rPr>
          <w:spacing w:val="-3"/>
        </w:rPr>
        <w:t>Reduction </w:t>
      </w:r>
      <w:r>
        <w:rPr/>
        <w:t>of </w:t>
      </w:r>
      <w:r>
        <w:rPr>
          <w:spacing w:val="-3"/>
        </w:rPr>
        <w:t>$300,000, </w:t>
      </w:r>
      <w:r>
        <w:rPr/>
        <w:t>its </w:t>
      </w:r>
      <w:r>
        <w:rPr>
          <w:spacing w:val="-3"/>
        </w:rPr>
        <w:t>RY14 </w:t>
      </w:r>
      <w:r>
        <w:rPr/>
        <w:t>PPR </w:t>
      </w:r>
      <w:r>
        <w:rPr>
          <w:spacing w:val="-3"/>
        </w:rPr>
        <w:t>Payment Reduction would </w:t>
      </w:r>
      <w:r>
        <w:rPr/>
        <w:t>be </w:t>
      </w:r>
      <w:r>
        <w:rPr>
          <w:spacing w:val="-3"/>
        </w:rPr>
        <w:t>adjusted </w:t>
      </w:r>
      <w:r>
        <w:rPr/>
        <w:t>as </w:t>
      </w:r>
      <w:r>
        <w:rPr>
          <w:spacing w:val="-3"/>
        </w:rPr>
        <w:t>follows:</w:t>
      </w:r>
    </w:p>
    <w:p>
      <w:pPr>
        <w:pStyle w:val="BodyText"/>
        <w:spacing w:before="4"/>
      </w:pPr>
    </w:p>
    <w:p>
      <w:pPr>
        <w:pStyle w:val="BodyText"/>
        <w:ind w:left="472"/>
      </w:pPr>
      <w:r>
        <w:rPr/>
        <w:t>Adjusted Payment Reduction = 1.17/1.30 x $300,000 = 90% x $300,000 = $270,000</w:t>
      </w:r>
    </w:p>
    <w:p>
      <w:pPr>
        <w:pStyle w:val="BodyText"/>
        <w:spacing w:before="10"/>
      </w:pPr>
    </w:p>
    <w:p>
      <w:pPr>
        <w:pStyle w:val="Heading3"/>
        <w:numPr>
          <w:ilvl w:val="2"/>
          <w:numId w:val="19"/>
        </w:numPr>
        <w:tabs>
          <w:tab w:pos="473" w:val="left" w:leader="none"/>
        </w:tabs>
        <w:spacing w:line="240" w:lineRule="auto" w:before="0" w:after="0"/>
        <w:ind w:left="472" w:right="0" w:hanging="353"/>
        <w:jc w:val="left"/>
      </w:pPr>
      <w:r>
        <w:rPr>
          <w:spacing w:val="-3"/>
        </w:rPr>
        <w:t>Maximum Adjustment </w:t>
      </w:r>
      <w:r>
        <w:rPr/>
        <w:t>to</w:t>
      </w:r>
      <w:r>
        <w:rPr>
          <w:spacing w:val="-7"/>
        </w:rPr>
        <w:t> </w:t>
      </w:r>
      <w:r>
        <w:rPr>
          <w:spacing w:val="-3"/>
        </w:rPr>
        <w:t>SPAD</w:t>
      </w:r>
    </w:p>
    <w:p>
      <w:pPr>
        <w:pStyle w:val="BodyText"/>
        <w:spacing w:before="3"/>
        <w:rPr>
          <w:b/>
          <w:sz w:val="21"/>
        </w:rPr>
      </w:pPr>
    </w:p>
    <w:p>
      <w:pPr>
        <w:pStyle w:val="BodyText"/>
        <w:spacing w:line="242" w:lineRule="auto"/>
        <w:ind w:left="471" w:right="143"/>
      </w:pPr>
      <w:r>
        <w:rPr/>
        <w:t>Notwithstanding </w:t>
      </w:r>
      <w:r>
        <w:rPr>
          <w:b/>
        </w:rPr>
        <w:t>Sections 8.1.C </w:t>
      </w:r>
      <w:r>
        <w:rPr/>
        <w:t>and </w:t>
      </w:r>
      <w:r>
        <w:rPr>
          <w:b/>
        </w:rPr>
        <w:t>8.1.D</w:t>
      </w:r>
      <w:r>
        <w:rPr/>
        <w:t>, a Hospital’s percentage reduction to its SPAD due to the Hospital’s Excess PPR Volume shall be capped at 4.4%.</w:t>
      </w:r>
    </w:p>
    <w:p>
      <w:pPr>
        <w:pStyle w:val="BodyText"/>
        <w:spacing w:before="2"/>
        <w:rPr>
          <w:sz w:val="21"/>
        </w:rPr>
      </w:pPr>
    </w:p>
    <w:p>
      <w:pPr>
        <w:pStyle w:val="Heading3"/>
        <w:numPr>
          <w:ilvl w:val="2"/>
          <w:numId w:val="19"/>
        </w:numPr>
        <w:tabs>
          <w:tab w:pos="473" w:val="left" w:leader="none"/>
        </w:tabs>
        <w:spacing w:line="240" w:lineRule="auto" w:before="1" w:after="0"/>
        <w:ind w:left="472" w:right="0" w:hanging="353"/>
        <w:jc w:val="left"/>
      </w:pPr>
      <w:r>
        <w:rPr>
          <w:spacing w:val="-3"/>
        </w:rPr>
        <w:t>Monitoring </w:t>
      </w:r>
      <w:r>
        <w:rPr/>
        <w:t>and </w:t>
      </w:r>
      <w:r>
        <w:rPr>
          <w:spacing w:val="-3"/>
        </w:rPr>
        <w:t>future refinement </w:t>
      </w:r>
      <w:r>
        <w:rPr/>
        <w:t>of </w:t>
      </w:r>
      <w:r>
        <w:rPr>
          <w:spacing w:val="-3"/>
        </w:rPr>
        <w:t>Actual </w:t>
      </w:r>
      <w:r>
        <w:rPr/>
        <w:t>PPR</w:t>
      </w:r>
      <w:r>
        <w:rPr>
          <w:spacing w:val="-26"/>
        </w:rPr>
        <w:t> </w:t>
      </w:r>
      <w:r>
        <w:rPr>
          <w:spacing w:val="-3"/>
        </w:rPr>
        <w:t>Volume</w:t>
      </w:r>
    </w:p>
    <w:p>
      <w:pPr>
        <w:pStyle w:val="BodyText"/>
        <w:spacing w:before="4"/>
        <w:rPr>
          <w:b/>
        </w:rPr>
      </w:pPr>
    </w:p>
    <w:p>
      <w:pPr>
        <w:pStyle w:val="BodyText"/>
        <w:spacing w:line="242" w:lineRule="auto" w:before="1"/>
        <w:ind w:left="471" w:right="144"/>
      </w:pPr>
      <w:r>
        <w:rPr/>
        <w:t>To </w:t>
      </w:r>
      <w:r>
        <w:rPr>
          <w:spacing w:val="-3"/>
        </w:rPr>
        <w:t>assist each Hospital </w:t>
      </w:r>
      <w:r>
        <w:rPr/>
        <w:t>in </w:t>
      </w:r>
      <w:r>
        <w:rPr>
          <w:spacing w:val="-3"/>
        </w:rPr>
        <w:t>monitoring </w:t>
      </w:r>
      <w:r>
        <w:rPr/>
        <w:t>and </w:t>
      </w:r>
      <w:r>
        <w:rPr>
          <w:spacing w:val="-3"/>
        </w:rPr>
        <w:t>improving performance </w:t>
      </w:r>
      <w:r>
        <w:rPr/>
        <w:t>in </w:t>
      </w:r>
      <w:r>
        <w:rPr>
          <w:spacing w:val="-3"/>
        </w:rPr>
        <w:t>PPRs, </w:t>
      </w:r>
      <w:r>
        <w:rPr/>
        <w:t>and to </w:t>
      </w:r>
      <w:r>
        <w:rPr>
          <w:spacing w:val="-3"/>
        </w:rPr>
        <w:t>refine future determinations </w:t>
      </w:r>
      <w:r>
        <w:rPr/>
        <w:t>of </w:t>
      </w:r>
      <w:r>
        <w:rPr>
          <w:spacing w:val="-3"/>
        </w:rPr>
        <w:t>Actual </w:t>
      </w:r>
      <w:r>
        <w:rPr/>
        <w:t>PPR </w:t>
      </w:r>
      <w:r>
        <w:rPr>
          <w:spacing w:val="-3"/>
        </w:rPr>
        <w:t>Rates </w:t>
      </w:r>
      <w:r>
        <w:rPr/>
        <w:t>for </w:t>
      </w:r>
      <w:r>
        <w:rPr>
          <w:spacing w:val="-3"/>
        </w:rPr>
        <w:t>RFA15 </w:t>
      </w:r>
      <w:r>
        <w:rPr/>
        <w:t>and </w:t>
      </w:r>
      <w:r>
        <w:rPr>
          <w:spacing w:val="-3"/>
        </w:rPr>
        <w:t>beyond, EOHHS will provide each Hospital with periodic reports </w:t>
      </w:r>
      <w:r>
        <w:rPr/>
        <w:t>of its </w:t>
      </w:r>
      <w:r>
        <w:rPr>
          <w:spacing w:val="-3"/>
        </w:rPr>
        <w:t>Actual </w:t>
      </w:r>
      <w:r>
        <w:rPr/>
        <w:t>PPR </w:t>
      </w:r>
      <w:r>
        <w:rPr>
          <w:spacing w:val="-3"/>
        </w:rPr>
        <w:t>Volume </w:t>
      </w:r>
      <w:r>
        <w:rPr/>
        <w:t>in </w:t>
      </w:r>
      <w:r>
        <w:rPr>
          <w:spacing w:val="-3"/>
        </w:rPr>
        <w:t>subsequent time periods after calculating the Hospital’s RY14 Actual </w:t>
      </w:r>
      <w:r>
        <w:rPr/>
        <w:t>PPR </w:t>
      </w:r>
      <w:r>
        <w:rPr>
          <w:spacing w:val="-3"/>
        </w:rPr>
        <w:t>Volume.</w:t>
      </w:r>
    </w:p>
    <w:p>
      <w:pPr>
        <w:spacing w:after="0" w:line="242" w:lineRule="auto"/>
        <w:sectPr>
          <w:pgSz w:w="12240" w:h="15840"/>
          <w:pgMar w:header="0" w:footer="744" w:top="1380" w:bottom="940" w:left="1580" w:right="980"/>
        </w:sectPr>
      </w:pPr>
    </w:p>
    <w:p>
      <w:pPr>
        <w:pStyle w:val="BodyText"/>
        <w:spacing w:line="242" w:lineRule="auto" w:before="61"/>
        <w:ind w:left="1011" w:right="159"/>
      </w:pPr>
      <w:r>
        <w:rPr/>
        <w:t>In </w:t>
      </w:r>
      <w:r>
        <w:rPr>
          <w:spacing w:val="-3"/>
        </w:rPr>
        <w:t>addition, each Hospital may identify within these same time periods those At-risk </w:t>
      </w:r>
      <w:r>
        <w:rPr>
          <w:spacing w:val="-4"/>
        </w:rPr>
        <w:t>Admissions </w:t>
      </w:r>
      <w:r>
        <w:rPr/>
        <w:t>for </w:t>
      </w:r>
      <w:r>
        <w:rPr>
          <w:spacing w:val="-3"/>
        </w:rPr>
        <w:t>which readmissions within </w:t>
      </w:r>
      <w:r>
        <w:rPr/>
        <w:t>30 </w:t>
      </w:r>
      <w:r>
        <w:rPr>
          <w:spacing w:val="-3"/>
        </w:rPr>
        <w:t>days </w:t>
      </w:r>
      <w:r>
        <w:rPr/>
        <w:t>are </w:t>
      </w:r>
      <w:r>
        <w:rPr>
          <w:spacing w:val="-3"/>
        </w:rPr>
        <w:t>planned. EOHHS </w:t>
      </w:r>
      <w:r>
        <w:rPr/>
        <w:t>at its </w:t>
      </w:r>
      <w:r>
        <w:rPr>
          <w:spacing w:val="-3"/>
        </w:rPr>
        <w:t>discretion will determine the means </w:t>
      </w:r>
      <w:r>
        <w:rPr/>
        <w:t>by </w:t>
      </w:r>
      <w:r>
        <w:rPr>
          <w:spacing w:val="-3"/>
        </w:rPr>
        <w:t>which planned readmissions data will </w:t>
      </w:r>
      <w:r>
        <w:rPr/>
        <w:t>be </w:t>
      </w:r>
      <w:r>
        <w:rPr>
          <w:spacing w:val="-3"/>
        </w:rPr>
        <w:t>collected </w:t>
      </w:r>
      <w:r>
        <w:rPr/>
        <w:t>and the </w:t>
      </w:r>
      <w:r>
        <w:rPr>
          <w:spacing w:val="-3"/>
        </w:rPr>
        <w:t>methods </w:t>
      </w:r>
      <w:r>
        <w:rPr/>
        <w:t>by </w:t>
      </w:r>
      <w:r>
        <w:rPr>
          <w:spacing w:val="-3"/>
        </w:rPr>
        <w:t>which such data will </w:t>
      </w:r>
      <w:r>
        <w:rPr/>
        <w:t>be </w:t>
      </w:r>
      <w:r>
        <w:rPr>
          <w:spacing w:val="-3"/>
        </w:rPr>
        <w:t>incorporated into future year rate</w:t>
      </w:r>
      <w:r>
        <w:rPr>
          <w:spacing w:val="5"/>
        </w:rPr>
        <w:t> </w:t>
      </w:r>
      <w:r>
        <w:rPr>
          <w:spacing w:val="-4"/>
        </w:rPr>
        <w:t>adjustments.</w:t>
      </w:r>
    </w:p>
    <w:p>
      <w:pPr>
        <w:pStyle w:val="BodyText"/>
        <w:spacing w:before="7"/>
      </w:pPr>
    </w:p>
    <w:p>
      <w:pPr>
        <w:pStyle w:val="Heading3"/>
        <w:numPr>
          <w:ilvl w:val="2"/>
          <w:numId w:val="19"/>
        </w:numPr>
        <w:tabs>
          <w:tab w:pos="1012" w:val="left" w:leader="none"/>
        </w:tabs>
        <w:spacing w:line="240" w:lineRule="auto" w:before="0" w:after="0"/>
        <w:ind w:left="1011" w:right="0" w:hanging="352"/>
        <w:jc w:val="left"/>
      </w:pPr>
      <w:r>
        <w:rPr>
          <w:spacing w:val="-3"/>
        </w:rPr>
        <w:t>Impact </w:t>
      </w:r>
      <w:r>
        <w:rPr/>
        <w:t>on Per </w:t>
      </w:r>
      <w:r>
        <w:rPr>
          <w:spacing w:val="-3"/>
        </w:rPr>
        <w:t>Diem</w:t>
      </w:r>
      <w:r>
        <w:rPr>
          <w:spacing w:val="-21"/>
        </w:rPr>
        <w:t> </w:t>
      </w:r>
      <w:r>
        <w:rPr>
          <w:spacing w:val="-3"/>
        </w:rPr>
        <w:t>Rates</w:t>
      </w:r>
    </w:p>
    <w:p>
      <w:pPr>
        <w:pStyle w:val="BodyText"/>
        <w:spacing w:before="2"/>
        <w:rPr>
          <w:b/>
          <w:sz w:val="21"/>
        </w:rPr>
      </w:pPr>
    </w:p>
    <w:p>
      <w:pPr>
        <w:pStyle w:val="BodyText"/>
        <w:spacing w:line="242" w:lineRule="auto"/>
        <w:ind w:left="1011" w:right="607"/>
        <w:jc w:val="both"/>
      </w:pPr>
      <w:r>
        <w:rPr/>
        <w:t>The </w:t>
      </w:r>
      <w:r>
        <w:rPr>
          <w:spacing w:val="-3"/>
        </w:rPr>
        <w:t>adjustments </w:t>
      </w:r>
      <w:r>
        <w:rPr/>
        <w:t>to the </w:t>
      </w:r>
      <w:r>
        <w:rPr>
          <w:spacing w:val="-3"/>
        </w:rPr>
        <w:t>SPAD specified </w:t>
      </w:r>
      <w:r>
        <w:rPr/>
        <w:t>in </w:t>
      </w:r>
      <w:r>
        <w:rPr>
          <w:spacing w:val="-3"/>
        </w:rPr>
        <w:t>this </w:t>
      </w:r>
      <w:r>
        <w:rPr>
          <w:b/>
          <w:spacing w:val="-3"/>
        </w:rPr>
        <w:t>Section </w:t>
      </w:r>
      <w:r>
        <w:rPr>
          <w:b/>
        </w:rPr>
        <w:t>8.1 </w:t>
      </w:r>
      <w:r>
        <w:rPr>
          <w:spacing w:val="-3"/>
        </w:rPr>
        <w:t>shall </w:t>
      </w:r>
      <w:r>
        <w:rPr/>
        <w:t>not </w:t>
      </w:r>
      <w:r>
        <w:rPr>
          <w:spacing w:val="-3"/>
        </w:rPr>
        <w:t>apply when calculating inpatient </w:t>
      </w:r>
      <w:r>
        <w:rPr/>
        <w:t>per </w:t>
      </w:r>
      <w:r>
        <w:rPr>
          <w:spacing w:val="-3"/>
        </w:rPr>
        <w:t>diem rates </w:t>
      </w:r>
      <w:r>
        <w:rPr/>
        <w:t>for </w:t>
      </w:r>
      <w:r>
        <w:rPr>
          <w:spacing w:val="-3"/>
        </w:rPr>
        <w:t>Hospitals; provided, however, that </w:t>
      </w:r>
      <w:r>
        <w:rPr/>
        <w:t>the </w:t>
      </w:r>
      <w:r>
        <w:rPr>
          <w:spacing w:val="-3"/>
        </w:rPr>
        <w:t>adjustments </w:t>
      </w:r>
      <w:r>
        <w:rPr/>
        <w:t>to the </w:t>
      </w:r>
      <w:r>
        <w:rPr>
          <w:spacing w:val="-3"/>
        </w:rPr>
        <w:t>SPAD apply when capping </w:t>
      </w:r>
      <w:r>
        <w:rPr/>
        <w:t>the </w:t>
      </w:r>
      <w:r>
        <w:rPr>
          <w:spacing w:val="-3"/>
        </w:rPr>
        <w:t>transfer </w:t>
      </w:r>
      <w:r>
        <w:rPr/>
        <w:t>per </w:t>
      </w:r>
      <w:r>
        <w:rPr>
          <w:spacing w:val="-3"/>
        </w:rPr>
        <w:t>diem rate </w:t>
      </w:r>
      <w:r>
        <w:rPr/>
        <w:t>at the </w:t>
      </w:r>
      <w:r>
        <w:rPr>
          <w:spacing w:val="-3"/>
        </w:rPr>
        <w:t>Hospital-specific SPAD.</w:t>
      </w:r>
    </w:p>
    <w:p>
      <w:pPr>
        <w:pStyle w:val="BodyText"/>
        <w:spacing w:before="8"/>
      </w:pPr>
    </w:p>
    <w:p>
      <w:pPr>
        <w:pStyle w:val="Heading2"/>
        <w:numPr>
          <w:ilvl w:val="1"/>
          <w:numId w:val="19"/>
        </w:numPr>
        <w:tabs>
          <w:tab w:pos="652" w:val="left" w:leader="none"/>
        </w:tabs>
        <w:spacing w:line="240" w:lineRule="auto" w:before="0" w:after="0"/>
        <w:ind w:left="651" w:right="0" w:hanging="539"/>
        <w:jc w:val="left"/>
      </w:pPr>
      <w:r>
        <w:rPr>
          <w:spacing w:val="-3"/>
        </w:rPr>
        <w:t>Provider Preventable</w:t>
      </w:r>
      <w:r>
        <w:rPr>
          <w:spacing w:val="-9"/>
        </w:rPr>
        <w:t> </w:t>
      </w:r>
      <w:r>
        <w:rPr>
          <w:spacing w:val="-3"/>
        </w:rPr>
        <w:t>Conditions</w:t>
      </w:r>
    </w:p>
    <w:p>
      <w:pPr>
        <w:pStyle w:val="Heading3"/>
        <w:numPr>
          <w:ilvl w:val="2"/>
          <w:numId w:val="19"/>
        </w:numPr>
        <w:tabs>
          <w:tab w:pos="1013" w:val="left" w:leader="none"/>
        </w:tabs>
        <w:spacing w:line="240" w:lineRule="auto" w:before="244" w:after="0"/>
        <w:ind w:left="1012" w:right="0" w:hanging="353"/>
        <w:jc w:val="left"/>
      </w:pPr>
      <w:r>
        <w:rPr>
          <w:spacing w:val="-3"/>
        </w:rPr>
        <w:t>Introduction</w:t>
      </w:r>
    </w:p>
    <w:p>
      <w:pPr>
        <w:pStyle w:val="BodyText"/>
        <w:spacing w:before="11"/>
        <w:rPr>
          <w:b/>
          <w:sz w:val="20"/>
        </w:rPr>
      </w:pPr>
    </w:p>
    <w:p>
      <w:pPr>
        <w:pStyle w:val="BodyText"/>
        <w:spacing w:line="242" w:lineRule="auto"/>
        <w:ind w:left="1012" w:right="116"/>
      </w:pPr>
      <w:r>
        <w:rPr>
          <w:spacing w:val="-3"/>
        </w:rPr>
        <w:t>Under Section 2702 </w:t>
      </w:r>
      <w:r>
        <w:rPr/>
        <w:t>of the </w:t>
      </w:r>
      <w:r>
        <w:rPr>
          <w:spacing w:val="-3"/>
        </w:rPr>
        <w:t>Patient Protection </w:t>
      </w:r>
      <w:r>
        <w:rPr/>
        <w:t>and </w:t>
      </w:r>
      <w:r>
        <w:rPr>
          <w:spacing w:val="-3"/>
        </w:rPr>
        <w:t>Affordable Care </w:t>
      </w:r>
      <w:r>
        <w:rPr/>
        <w:t>Act </w:t>
      </w:r>
      <w:r>
        <w:rPr>
          <w:spacing w:val="-3"/>
        </w:rPr>
        <w:t>(Pub. </w:t>
      </w:r>
      <w:r>
        <w:rPr/>
        <w:t>L. </w:t>
      </w:r>
      <w:r>
        <w:rPr>
          <w:spacing w:val="-3"/>
        </w:rPr>
        <w:t>111.-148) (the ACA), </w:t>
      </w:r>
      <w:r>
        <w:rPr/>
        <w:t>and </w:t>
      </w:r>
      <w:r>
        <w:rPr>
          <w:spacing w:val="-3"/>
        </w:rPr>
        <w:t>corresponding federal regulations </w:t>
      </w:r>
      <w:r>
        <w:rPr/>
        <w:t>at 42 </w:t>
      </w:r>
      <w:r>
        <w:rPr>
          <w:spacing w:val="-3"/>
        </w:rPr>
        <w:t>C.F.R. 447.26, Hospitals must report “provider preventable conditions” </w:t>
      </w:r>
      <w:r>
        <w:rPr/>
        <w:t>to </w:t>
      </w:r>
      <w:r>
        <w:rPr>
          <w:spacing w:val="-3"/>
        </w:rPr>
        <w:t>Medicaid agencies; </w:t>
      </w:r>
      <w:r>
        <w:rPr/>
        <w:t>and </w:t>
      </w:r>
      <w:r>
        <w:rPr>
          <w:spacing w:val="-3"/>
        </w:rPr>
        <w:t>Medicaid agencies </w:t>
      </w:r>
      <w:r>
        <w:rPr/>
        <w:t>are </w:t>
      </w:r>
      <w:r>
        <w:rPr>
          <w:spacing w:val="-3"/>
        </w:rPr>
        <w:t>prohibited from paying Hospitals </w:t>
      </w:r>
      <w:r>
        <w:rPr/>
        <w:t>for </w:t>
      </w:r>
      <w:r>
        <w:rPr>
          <w:spacing w:val="-3"/>
        </w:rPr>
        <w:t>services resulting from </w:t>
      </w:r>
      <w:r>
        <w:rPr/>
        <w:t>a </w:t>
      </w:r>
      <w:r>
        <w:rPr>
          <w:spacing w:val="-3"/>
        </w:rPr>
        <w:t>“provider preventable condition” </w:t>
      </w:r>
      <w:r>
        <w:rPr/>
        <w:t>in </w:t>
      </w:r>
      <w:r>
        <w:rPr>
          <w:spacing w:val="-3"/>
        </w:rPr>
        <w:t>violation </w:t>
      </w:r>
      <w:r>
        <w:rPr/>
        <w:t>of the </w:t>
      </w:r>
      <w:r>
        <w:rPr>
          <w:spacing w:val="-3"/>
        </w:rPr>
        <w:t>federal requirements. EOHHS </w:t>
      </w:r>
      <w:r>
        <w:rPr/>
        <w:t>has </w:t>
      </w:r>
      <w:r>
        <w:rPr>
          <w:spacing w:val="-4"/>
        </w:rPr>
        <w:t>implemented </w:t>
      </w:r>
      <w:r>
        <w:rPr>
          <w:spacing w:val="-3"/>
        </w:rPr>
        <w:t>policies that conform </w:t>
      </w:r>
      <w:r>
        <w:rPr/>
        <w:t>to the </w:t>
      </w:r>
      <w:r>
        <w:rPr>
          <w:spacing w:val="-3"/>
        </w:rPr>
        <w:t>federal requirements. </w:t>
      </w:r>
      <w:r>
        <w:rPr/>
        <w:t>The </w:t>
      </w:r>
      <w:r>
        <w:rPr>
          <w:spacing w:val="-3"/>
        </w:rPr>
        <w:t>following provisions </w:t>
      </w:r>
      <w:r>
        <w:rPr/>
        <w:t>and </w:t>
      </w:r>
      <w:r>
        <w:rPr>
          <w:spacing w:val="-3"/>
        </w:rPr>
        <w:t>payment methods governing “provider preventable conditions” apply </w:t>
      </w:r>
      <w:r>
        <w:rPr/>
        <w:t>to the </w:t>
      </w:r>
      <w:r>
        <w:rPr>
          <w:spacing w:val="-3"/>
        </w:rPr>
        <w:t>Hospital, </w:t>
      </w:r>
      <w:r>
        <w:rPr/>
        <w:t>and the </w:t>
      </w:r>
      <w:r>
        <w:rPr>
          <w:spacing w:val="-3"/>
        </w:rPr>
        <w:t>Hospital must comply with such provisions.</w:t>
      </w:r>
    </w:p>
    <w:p>
      <w:pPr>
        <w:pStyle w:val="BodyText"/>
        <w:spacing w:before="4"/>
      </w:pPr>
    </w:p>
    <w:p>
      <w:pPr>
        <w:pStyle w:val="BodyText"/>
        <w:spacing w:line="242" w:lineRule="auto"/>
        <w:ind w:left="1011" w:right="230"/>
      </w:pPr>
      <w:r>
        <w:rPr/>
        <w:t>As </w:t>
      </w:r>
      <w:r>
        <w:rPr>
          <w:spacing w:val="-3"/>
        </w:rPr>
        <w:t>part </w:t>
      </w:r>
      <w:r>
        <w:rPr/>
        <w:t>of the </w:t>
      </w:r>
      <w:r>
        <w:rPr>
          <w:spacing w:val="-3"/>
        </w:rPr>
        <w:t>MassHealth “provider preventable condition” policy, certain </w:t>
      </w:r>
      <w:r>
        <w:rPr/>
        <w:t>of the </w:t>
      </w:r>
      <w:r>
        <w:rPr>
          <w:spacing w:val="-3"/>
        </w:rPr>
        <w:t>“serious reportable events” designated </w:t>
      </w:r>
      <w:r>
        <w:rPr/>
        <w:t>by the </w:t>
      </w:r>
      <w:r>
        <w:rPr>
          <w:spacing w:val="-3"/>
        </w:rPr>
        <w:t>Massachusetts Department </w:t>
      </w:r>
      <w:r>
        <w:rPr/>
        <w:t>of </w:t>
      </w:r>
      <w:r>
        <w:rPr>
          <w:spacing w:val="-3"/>
        </w:rPr>
        <w:t>Public Health (DPH) pursuant </w:t>
      </w:r>
      <w:r>
        <w:rPr/>
        <w:t>to its </w:t>
      </w:r>
      <w:r>
        <w:rPr>
          <w:spacing w:val="-3"/>
        </w:rPr>
        <w:t>regulations </w:t>
      </w:r>
      <w:r>
        <w:rPr/>
        <w:t>at 105 CMR </w:t>
      </w:r>
      <w:r>
        <w:rPr>
          <w:spacing w:val="-3"/>
        </w:rPr>
        <w:t>130.332, </w:t>
      </w:r>
      <w:r>
        <w:rPr/>
        <w:t>as </w:t>
      </w:r>
      <w:r>
        <w:rPr>
          <w:spacing w:val="-3"/>
        </w:rPr>
        <w:t>they pertain </w:t>
      </w:r>
      <w:r>
        <w:rPr/>
        <w:t>to </w:t>
      </w:r>
      <w:r>
        <w:rPr>
          <w:spacing w:val="-3"/>
        </w:rPr>
        <w:t>MassHealth </w:t>
      </w:r>
      <w:r>
        <w:rPr>
          <w:spacing w:val="-4"/>
        </w:rPr>
        <w:t>members, </w:t>
      </w:r>
      <w:r>
        <w:rPr>
          <w:spacing w:val="-3"/>
        </w:rPr>
        <w:t>shall </w:t>
      </w:r>
      <w:r>
        <w:rPr/>
        <w:t>be </w:t>
      </w:r>
      <w:r>
        <w:rPr>
          <w:spacing w:val="-3"/>
        </w:rPr>
        <w:t>excepted from </w:t>
      </w:r>
      <w:r>
        <w:rPr/>
        <w:t>the </w:t>
      </w:r>
      <w:r>
        <w:rPr>
          <w:spacing w:val="-3"/>
        </w:rPr>
        <w:t>requirement that </w:t>
      </w:r>
      <w:r>
        <w:rPr/>
        <w:t>the </w:t>
      </w:r>
      <w:r>
        <w:rPr>
          <w:spacing w:val="-3"/>
        </w:rPr>
        <w:t>Hospital shall </w:t>
      </w:r>
      <w:r>
        <w:rPr/>
        <w:t>not </w:t>
      </w:r>
      <w:r>
        <w:rPr>
          <w:spacing w:val="-3"/>
        </w:rPr>
        <w:t>charge </w:t>
      </w:r>
      <w:r>
        <w:rPr/>
        <w:t>or </w:t>
      </w:r>
      <w:r>
        <w:rPr>
          <w:spacing w:val="-3"/>
        </w:rPr>
        <w:t>seek </w:t>
      </w:r>
      <w:r>
        <w:rPr>
          <w:spacing w:val="-4"/>
        </w:rPr>
        <w:t>reimbursement </w:t>
      </w:r>
      <w:r>
        <w:rPr>
          <w:spacing w:val="-3"/>
        </w:rPr>
        <w:t>for </w:t>
      </w:r>
      <w:r>
        <w:rPr/>
        <w:t>the </w:t>
      </w:r>
      <w:r>
        <w:rPr>
          <w:spacing w:val="-3"/>
        </w:rPr>
        <w:t>event, </w:t>
      </w:r>
      <w:r>
        <w:rPr/>
        <w:t>as </w:t>
      </w:r>
      <w:r>
        <w:rPr>
          <w:spacing w:val="-3"/>
        </w:rPr>
        <w:t>described </w:t>
      </w:r>
      <w:r>
        <w:rPr/>
        <w:t>in </w:t>
      </w:r>
      <w:r>
        <w:rPr>
          <w:b/>
          <w:spacing w:val="-3"/>
        </w:rPr>
        <w:t>Section </w:t>
      </w:r>
      <w:r>
        <w:rPr>
          <w:b/>
        </w:rPr>
        <w:t>8.3</w:t>
      </w:r>
      <w:r>
        <w:rPr/>
        <w:t>, </w:t>
      </w:r>
      <w:r>
        <w:rPr>
          <w:spacing w:val="-3"/>
        </w:rPr>
        <w:t>below. </w:t>
      </w:r>
      <w:r>
        <w:rPr/>
        <w:t>The </w:t>
      </w:r>
      <w:r>
        <w:rPr>
          <w:spacing w:val="-3"/>
        </w:rPr>
        <w:t>excepted “serious reportable events” </w:t>
      </w:r>
      <w:r>
        <w:rPr/>
        <w:t>are </w:t>
      </w:r>
      <w:r>
        <w:rPr>
          <w:spacing w:val="-3"/>
        </w:rPr>
        <w:t>any “serious reportable events” designated </w:t>
      </w:r>
      <w:r>
        <w:rPr/>
        <w:t>by DPH </w:t>
      </w:r>
      <w:r>
        <w:rPr>
          <w:spacing w:val="-3"/>
        </w:rPr>
        <w:t>pursuant </w:t>
      </w:r>
      <w:r>
        <w:rPr/>
        <w:t>to its </w:t>
      </w:r>
      <w:r>
        <w:rPr>
          <w:spacing w:val="-3"/>
        </w:rPr>
        <w:t>regulations </w:t>
      </w:r>
      <w:r>
        <w:rPr/>
        <w:t>at 105 CMR </w:t>
      </w:r>
      <w:r>
        <w:rPr>
          <w:spacing w:val="-3"/>
        </w:rPr>
        <w:t>130.332 which </w:t>
      </w:r>
      <w:r>
        <w:rPr/>
        <w:t>are not </w:t>
      </w:r>
      <w:r>
        <w:rPr>
          <w:spacing w:val="-3"/>
        </w:rPr>
        <w:t>identified </w:t>
      </w:r>
      <w:r>
        <w:rPr/>
        <w:t>in </w:t>
      </w:r>
      <w:r>
        <w:rPr>
          <w:i/>
          <w:spacing w:val="-3"/>
        </w:rPr>
        <w:t>Appendix </w:t>
      </w:r>
      <w:r>
        <w:rPr>
          <w:i/>
        </w:rPr>
        <w:t>U </w:t>
      </w:r>
      <w:r>
        <w:rPr/>
        <w:t>of the </w:t>
      </w:r>
      <w:r>
        <w:rPr>
          <w:spacing w:val="-3"/>
        </w:rPr>
        <w:t>Hospital’s Acute Inpatient Hospital </w:t>
      </w:r>
      <w:r>
        <w:rPr/>
        <w:t>and </w:t>
      </w:r>
      <w:r>
        <w:rPr>
          <w:spacing w:val="-3"/>
        </w:rPr>
        <w:t>Acute Outpatient Hospital MassHealth provider manuals.  </w:t>
      </w:r>
      <w:r>
        <w:rPr/>
        <w:t>The </w:t>
      </w:r>
      <w:r>
        <w:rPr>
          <w:spacing w:val="-3"/>
        </w:rPr>
        <w:t>Hospital shall bill </w:t>
      </w:r>
      <w:r>
        <w:rPr/>
        <w:t>and </w:t>
      </w:r>
      <w:r>
        <w:rPr>
          <w:spacing w:val="-3"/>
        </w:rPr>
        <w:t>report, and related payment adjustments shall </w:t>
      </w:r>
      <w:r>
        <w:rPr/>
        <w:t>be </w:t>
      </w:r>
      <w:r>
        <w:rPr>
          <w:spacing w:val="-3"/>
        </w:rPr>
        <w:t>made for, these excepted “serious reportable events” as “provider preventable conditions” </w:t>
      </w:r>
      <w:r>
        <w:rPr/>
        <w:t>in </w:t>
      </w:r>
      <w:r>
        <w:rPr>
          <w:spacing w:val="-3"/>
        </w:rPr>
        <w:t>accordance with this </w:t>
      </w:r>
      <w:r>
        <w:rPr>
          <w:b/>
          <w:spacing w:val="-3"/>
        </w:rPr>
        <w:t>Section </w:t>
      </w:r>
      <w:r>
        <w:rPr>
          <w:b/>
        </w:rPr>
        <w:t>8.2 </w:t>
      </w:r>
      <w:r>
        <w:rPr>
          <w:spacing w:val="-3"/>
        </w:rPr>
        <w:t>governing Provider Preventable Conditions. </w:t>
      </w:r>
      <w:r>
        <w:rPr/>
        <w:t>The </w:t>
      </w:r>
      <w:r>
        <w:rPr>
          <w:spacing w:val="-3"/>
        </w:rPr>
        <w:t>Hospital also shall continue </w:t>
      </w:r>
      <w:r>
        <w:rPr/>
        <w:t>to </w:t>
      </w:r>
      <w:r>
        <w:rPr>
          <w:spacing w:val="-3"/>
        </w:rPr>
        <w:t>perform </w:t>
      </w:r>
      <w:r>
        <w:rPr/>
        <w:t>the </w:t>
      </w:r>
      <w:r>
        <w:rPr>
          <w:spacing w:val="-3"/>
        </w:rPr>
        <w:t>documented review process </w:t>
      </w:r>
      <w:r>
        <w:rPr/>
        <w:t>and </w:t>
      </w:r>
      <w:r>
        <w:rPr>
          <w:spacing w:val="-3"/>
        </w:rPr>
        <w:t>determination </w:t>
      </w:r>
      <w:r>
        <w:rPr/>
        <w:t>for </w:t>
      </w:r>
      <w:r>
        <w:rPr>
          <w:spacing w:val="-3"/>
        </w:rPr>
        <w:t>these events, </w:t>
      </w:r>
      <w:r>
        <w:rPr/>
        <w:t>as </w:t>
      </w:r>
      <w:r>
        <w:rPr>
          <w:spacing w:val="-3"/>
        </w:rPr>
        <w:t>further described </w:t>
      </w:r>
      <w:r>
        <w:rPr/>
        <w:t>in </w:t>
      </w:r>
      <w:r>
        <w:rPr>
          <w:b/>
          <w:spacing w:val="-3"/>
        </w:rPr>
        <w:t>Section 8.2.F</w:t>
      </w:r>
      <w:r>
        <w:rPr>
          <w:spacing w:val="-3"/>
        </w:rPr>
        <w:t>, below, solely </w:t>
      </w:r>
      <w:r>
        <w:rPr/>
        <w:t>for the </w:t>
      </w:r>
      <w:r>
        <w:rPr>
          <w:spacing w:val="-3"/>
        </w:rPr>
        <w:t>purposes </w:t>
      </w:r>
      <w:r>
        <w:rPr/>
        <w:t>of </w:t>
      </w:r>
      <w:r>
        <w:rPr>
          <w:spacing w:val="-3"/>
        </w:rPr>
        <w:t>reporting </w:t>
      </w:r>
      <w:r>
        <w:rPr/>
        <w:t>to </w:t>
      </w:r>
      <w:r>
        <w:rPr>
          <w:spacing w:val="-3"/>
        </w:rPr>
        <w:t>DPH. </w:t>
      </w:r>
      <w:r>
        <w:rPr/>
        <w:t>The </w:t>
      </w:r>
      <w:r>
        <w:rPr>
          <w:spacing w:val="-3"/>
        </w:rPr>
        <w:t>remaining “serious reportable events” identified in </w:t>
      </w:r>
      <w:r>
        <w:rPr>
          <w:i/>
          <w:spacing w:val="-3"/>
        </w:rPr>
        <w:t>Appendix </w:t>
      </w:r>
      <w:r>
        <w:rPr>
          <w:i/>
        </w:rPr>
        <w:t>U </w:t>
      </w:r>
      <w:r>
        <w:rPr/>
        <w:t>of the </w:t>
      </w:r>
      <w:r>
        <w:rPr>
          <w:spacing w:val="-3"/>
        </w:rPr>
        <w:t>Hospital’s Acute Inpatient Hospital </w:t>
      </w:r>
      <w:r>
        <w:rPr/>
        <w:t>and </w:t>
      </w:r>
      <w:r>
        <w:rPr>
          <w:spacing w:val="-3"/>
        </w:rPr>
        <w:t>Acute Outpatient Hospital MassHealth provider manuals shall </w:t>
      </w:r>
      <w:r>
        <w:rPr/>
        <w:t>be </w:t>
      </w:r>
      <w:r>
        <w:rPr>
          <w:spacing w:val="-3"/>
        </w:rPr>
        <w:t>governed entirely </w:t>
      </w:r>
      <w:r>
        <w:rPr/>
        <w:t>by the </w:t>
      </w:r>
      <w:r>
        <w:rPr>
          <w:spacing w:val="-3"/>
        </w:rPr>
        <w:t>Serious Reportable Events provisions </w:t>
      </w:r>
      <w:r>
        <w:rPr/>
        <w:t>in </w:t>
      </w:r>
      <w:r>
        <w:rPr>
          <w:b/>
          <w:spacing w:val="-3"/>
        </w:rPr>
        <w:t>Section </w:t>
      </w:r>
      <w:r>
        <w:rPr>
          <w:b/>
        </w:rPr>
        <w:t>8.3</w:t>
      </w:r>
      <w:r>
        <w:rPr/>
        <w:t>, </w:t>
      </w:r>
      <w:r>
        <w:rPr>
          <w:spacing w:val="-3"/>
        </w:rPr>
        <w:t>below.</w:t>
      </w:r>
    </w:p>
    <w:p>
      <w:pPr>
        <w:spacing w:after="0" w:line="242" w:lineRule="auto"/>
        <w:sectPr>
          <w:pgSz w:w="12240" w:h="15840"/>
          <w:pgMar w:header="0" w:footer="744" w:top="1380" w:bottom="940" w:left="1040" w:right="980"/>
        </w:sectPr>
      </w:pPr>
    </w:p>
    <w:p>
      <w:pPr>
        <w:pStyle w:val="Heading3"/>
        <w:numPr>
          <w:ilvl w:val="2"/>
          <w:numId w:val="19"/>
        </w:numPr>
        <w:tabs>
          <w:tab w:pos="473" w:val="left" w:leader="none"/>
        </w:tabs>
        <w:spacing w:line="240" w:lineRule="auto" w:before="65" w:after="0"/>
        <w:ind w:left="472" w:right="0" w:hanging="353"/>
        <w:jc w:val="left"/>
      </w:pPr>
      <w:r>
        <w:rPr>
          <w:spacing w:val="-3"/>
        </w:rPr>
        <w:t>Definitions</w:t>
      </w:r>
    </w:p>
    <w:p>
      <w:pPr>
        <w:pStyle w:val="BodyText"/>
        <w:spacing w:before="3"/>
        <w:rPr>
          <w:b/>
          <w:sz w:val="21"/>
        </w:rPr>
      </w:pPr>
    </w:p>
    <w:p>
      <w:pPr>
        <w:spacing w:before="0"/>
        <w:ind w:left="471" w:right="0" w:firstLine="0"/>
        <w:jc w:val="left"/>
        <w:rPr>
          <w:sz w:val="24"/>
        </w:rPr>
      </w:pPr>
      <w:r>
        <w:rPr>
          <w:sz w:val="24"/>
        </w:rPr>
        <w:t>The following definitions apply to this </w:t>
      </w:r>
      <w:r>
        <w:rPr>
          <w:b/>
          <w:sz w:val="24"/>
        </w:rPr>
        <w:t>Section 8.2</w:t>
      </w:r>
      <w:r>
        <w:rPr>
          <w:sz w:val="24"/>
        </w:rPr>
        <w:t>:</w:t>
      </w:r>
    </w:p>
    <w:p>
      <w:pPr>
        <w:pStyle w:val="BodyText"/>
        <w:spacing w:before="7"/>
      </w:pPr>
    </w:p>
    <w:p>
      <w:pPr>
        <w:pStyle w:val="ListParagraph"/>
        <w:numPr>
          <w:ilvl w:val="3"/>
          <w:numId w:val="19"/>
        </w:numPr>
        <w:tabs>
          <w:tab w:pos="889" w:val="left" w:leader="none"/>
          <w:tab w:pos="890" w:val="left" w:leader="none"/>
        </w:tabs>
        <w:spacing w:line="242" w:lineRule="auto" w:before="0" w:after="0"/>
        <w:ind w:left="832" w:right="140" w:hanging="360"/>
        <w:jc w:val="left"/>
        <w:rPr>
          <w:sz w:val="24"/>
        </w:rPr>
      </w:pPr>
      <w:r>
        <w:rPr>
          <w:spacing w:val="-3"/>
          <w:sz w:val="24"/>
          <w:u w:val="single"/>
        </w:rPr>
        <w:t>Provider Preventable Condition (PPC)</w:t>
      </w:r>
      <w:r>
        <w:rPr>
          <w:spacing w:val="-3"/>
          <w:sz w:val="24"/>
        </w:rPr>
        <w:t> </w:t>
      </w:r>
      <w:r>
        <w:rPr>
          <w:sz w:val="24"/>
        </w:rPr>
        <w:t>-- a </w:t>
      </w:r>
      <w:r>
        <w:rPr>
          <w:spacing w:val="-3"/>
          <w:sz w:val="24"/>
        </w:rPr>
        <w:t>condition that meets </w:t>
      </w:r>
      <w:r>
        <w:rPr>
          <w:sz w:val="24"/>
        </w:rPr>
        <w:t>the </w:t>
      </w:r>
      <w:r>
        <w:rPr>
          <w:spacing w:val="-3"/>
          <w:sz w:val="24"/>
        </w:rPr>
        <w:t>definition </w:t>
      </w:r>
      <w:r>
        <w:rPr>
          <w:sz w:val="24"/>
        </w:rPr>
        <w:t>of a </w:t>
      </w:r>
      <w:r>
        <w:rPr>
          <w:spacing w:val="-3"/>
          <w:sz w:val="24"/>
        </w:rPr>
        <w:t>“Health Care Acquired Condition” </w:t>
      </w:r>
      <w:r>
        <w:rPr>
          <w:sz w:val="24"/>
        </w:rPr>
        <w:t>or an </w:t>
      </w:r>
      <w:r>
        <w:rPr>
          <w:spacing w:val="-3"/>
          <w:sz w:val="24"/>
        </w:rPr>
        <w:t>“Other Provider Preventable Condition” </w:t>
      </w:r>
      <w:r>
        <w:rPr>
          <w:sz w:val="24"/>
        </w:rPr>
        <w:t>as </w:t>
      </w:r>
      <w:r>
        <w:rPr>
          <w:spacing w:val="-3"/>
          <w:sz w:val="24"/>
        </w:rPr>
        <w:t>defined </w:t>
      </w:r>
      <w:r>
        <w:rPr>
          <w:sz w:val="24"/>
        </w:rPr>
        <w:t>by </w:t>
      </w:r>
      <w:r>
        <w:rPr>
          <w:spacing w:val="-3"/>
          <w:sz w:val="24"/>
        </w:rPr>
        <w:t>CMS </w:t>
      </w:r>
      <w:r>
        <w:rPr>
          <w:sz w:val="24"/>
        </w:rPr>
        <w:t>in </w:t>
      </w:r>
      <w:r>
        <w:rPr>
          <w:spacing w:val="-3"/>
          <w:sz w:val="24"/>
        </w:rPr>
        <w:t>federal regulations </w:t>
      </w:r>
      <w:r>
        <w:rPr>
          <w:sz w:val="24"/>
        </w:rPr>
        <w:t>at 42 </w:t>
      </w:r>
      <w:r>
        <w:rPr>
          <w:spacing w:val="-3"/>
          <w:sz w:val="24"/>
        </w:rPr>
        <w:t>C.F.R.</w:t>
      </w:r>
      <w:r>
        <w:rPr>
          <w:spacing w:val="-24"/>
          <w:sz w:val="24"/>
        </w:rPr>
        <w:t> </w:t>
      </w:r>
      <w:r>
        <w:rPr>
          <w:spacing w:val="-3"/>
          <w:sz w:val="24"/>
        </w:rPr>
        <w:t>447.26(b).</w:t>
      </w:r>
    </w:p>
    <w:p>
      <w:pPr>
        <w:pStyle w:val="BodyText"/>
        <w:spacing w:before="4"/>
      </w:pPr>
    </w:p>
    <w:p>
      <w:pPr>
        <w:pStyle w:val="ListParagraph"/>
        <w:numPr>
          <w:ilvl w:val="3"/>
          <w:numId w:val="19"/>
        </w:numPr>
        <w:tabs>
          <w:tab w:pos="833" w:val="left" w:leader="none"/>
        </w:tabs>
        <w:spacing w:line="242" w:lineRule="auto" w:before="0" w:after="0"/>
        <w:ind w:left="832" w:right="371" w:hanging="360"/>
        <w:jc w:val="left"/>
        <w:rPr>
          <w:sz w:val="24"/>
        </w:rPr>
      </w:pPr>
      <w:r>
        <w:rPr>
          <w:spacing w:val="-3"/>
          <w:sz w:val="24"/>
          <w:u w:val="single"/>
        </w:rPr>
        <w:t>Health Care Acquired Conditions (HCACs) </w:t>
      </w:r>
      <w:r>
        <w:rPr>
          <w:sz w:val="24"/>
          <w:u w:val="single"/>
        </w:rPr>
        <w:t>–</w:t>
      </w:r>
      <w:r>
        <w:rPr>
          <w:sz w:val="24"/>
        </w:rPr>
        <w:t> </w:t>
      </w:r>
      <w:r>
        <w:rPr>
          <w:spacing w:val="-3"/>
          <w:sz w:val="24"/>
        </w:rPr>
        <w:t>conditions occurring </w:t>
      </w:r>
      <w:r>
        <w:rPr>
          <w:sz w:val="24"/>
        </w:rPr>
        <w:t>in an </w:t>
      </w:r>
      <w:r>
        <w:rPr>
          <w:spacing w:val="-3"/>
          <w:sz w:val="24"/>
        </w:rPr>
        <w:t>inpatient hospital setting, which Medicare designates </w:t>
      </w:r>
      <w:r>
        <w:rPr>
          <w:sz w:val="24"/>
        </w:rPr>
        <w:t>as </w:t>
      </w:r>
      <w:r>
        <w:rPr>
          <w:spacing w:val="-3"/>
          <w:sz w:val="24"/>
        </w:rPr>
        <w:t>hospital-acquired conditions (HACs) pursuant to Section 1886(d)(4)(D)(iv) </w:t>
      </w:r>
      <w:r>
        <w:rPr>
          <w:sz w:val="24"/>
        </w:rPr>
        <w:t>of the </w:t>
      </w:r>
      <w:r>
        <w:rPr>
          <w:spacing w:val="-3"/>
          <w:sz w:val="24"/>
        </w:rPr>
        <w:t>Social Security </w:t>
      </w:r>
      <w:r>
        <w:rPr>
          <w:sz w:val="24"/>
        </w:rPr>
        <w:t>Act </w:t>
      </w:r>
      <w:r>
        <w:rPr>
          <w:spacing w:val="-3"/>
          <w:sz w:val="24"/>
        </w:rPr>
        <w:t>(SSA) </w:t>
      </w:r>
      <w:r>
        <w:rPr>
          <w:sz w:val="24"/>
        </w:rPr>
        <w:t>(as </w:t>
      </w:r>
      <w:r>
        <w:rPr>
          <w:spacing w:val="-3"/>
          <w:sz w:val="24"/>
        </w:rPr>
        <w:t>described </w:t>
      </w:r>
      <w:r>
        <w:rPr>
          <w:sz w:val="24"/>
        </w:rPr>
        <w:t>in </w:t>
      </w:r>
      <w:r>
        <w:rPr>
          <w:spacing w:val="-3"/>
          <w:sz w:val="24"/>
        </w:rPr>
        <w:t>Section 1886(d)(4)(D)(ii) </w:t>
      </w:r>
      <w:r>
        <w:rPr>
          <w:sz w:val="24"/>
        </w:rPr>
        <w:t>and </w:t>
      </w:r>
      <w:r>
        <w:rPr>
          <w:spacing w:val="-3"/>
          <w:sz w:val="24"/>
        </w:rPr>
        <w:t>(iv) </w:t>
      </w:r>
      <w:r>
        <w:rPr>
          <w:sz w:val="24"/>
        </w:rPr>
        <w:t>of the </w:t>
      </w:r>
      <w:r>
        <w:rPr>
          <w:spacing w:val="-3"/>
          <w:sz w:val="24"/>
        </w:rPr>
        <w:t>SSA), with </w:t>
      </w:r>
      <w:r>
        <w:rPr>
          <w:sz w:val="24"/>
        </w:rPr>
        <w:t>the </w:t>
      </w:r>
      <w:r>
        <w:rPr>
          <w:spacing w:val="-3"/>
          <w:sz w:val="24"/>
        </w:rPr>
        <w:t>exception </w:t>
      </w:r>
      <w:r>
        <w:rPr>
          <w:sz w:val="24"/>
        </w:rPr>
        <w:t>of </w:t>
      </w:r>
      <w:r>
        <w:rPr>
          <w:spacing w:val="-3"/>
          <w:sz w:val="24"/>
        </w:rPr>
        <w:t>deep vein </w:t>
      </w:r>
      <w:r>
        <w:rPr>
          <w:spacing w:val="-4"/>
          <w:sz w:val="24"/>
        </w:rPr>
        <w:t>thrombosis </w:t>
      </w:r>
      <w:r>
        <w:rPr>
          <w:spacing w:val="-3"/>
          <w:sz w:val="24"/>
        </w:rPr>
        <w:t>(DVT)/pulmonary embolism (PE) </w:t>
      </w:r>
      <w:r>
        <w:rPr>
          <w:sz w:val="24"/>
        </w:rPr>
        <w:t>as </w:t>
      </w:r>
      <w:r>
        <w:rPr>
          <w:spacing w:val="-3"/>
          <w:sz w:val="24"/>
        </w:rPr>
        <w:t>related </w:t>
      </w:r>
      <w:r>
        <w:rPr>
          <w:sz w:val="24"/>
        </w:rPr>
        <w:t>to </w:t>
      </w:r>
      <w:r>
        <w:rPr>
          <w:spacing w:val="-3"/>
          <w:sz w:val="24"/>
        </w:rPr>
        <w:t>total knee replacement </w:t>
      </w:r>
      <w:r>
        <w:rPr>
          <w:sz w:val="24"/>
        </w:rPr>
        <w:t>or hip </w:t>
      </w:r>
      <w:r>
        <w:rPr>
          <w:spacing w:val="-4"/>
          <w:sz w:val="24"/>
        </w:rPr>
        <w:t>replacement </w:t>
      </w:r>
      <w:r>
        <w:rPr>
          <w:spacing w:val="-3"/>
          <w:sz w:val="24"/>
        </w:rPr>
        <w:t>surgery </w:t>
      </w:r>
      <w:r>
        <w:rPr>
          <w:sz w:val="24"/>
        </w:rPr>
        <w:t>in </w:t>
      </w:r>
      <w:r>
        <w:rPr>
          <w:spacing w:val="-3"/>
          <w:sz w:val="24"/>
        </w:rPr>
        <w:t>pediatric </w:t>
      </w:r>
      <w:r>
        <w:rPr>
          <w:sz w:val="24"/>
        </w:rPr>
        <w:t>and </w:t>
      </w:r>
      <w:r>
        <w:rPr>
          <w:spacing w:val="-3"/>
          <w:sz w:val="24"/>
        </w:rPr>
        <w:t>obstetric</w:t>
      </w:r>
      <w:r>
        <w:rPr>
          <w:spacing w:val="-19"/>
          <w:sz w:val="24"/>
        </w:rPr>
        <w:t> </w:t>
      </w:r>
      <w:r>
        <w:rPr>
          <w:spacing w:val="-3"/>
          <w:sz w:val="24"/>
        </w:rPr>
        <w:t>patients.</w:t>
      </w:r>
    </w:p>
    <w:p>
      <w:pPr>
        <w:pStyle w:val="BodyText"/>
        <w:spacing w:before="4"/>
      </w:pPr>
    </w:p>
    <w:p>
      <w:pPr>
        <w:pStyle w:val="ListParagraph"/>
        <w:numPr>
          <w:ilvl w:val="3"/>
          <w:numId w:val="19"/>
        </w:numPr>
        <w:tabs>
          <w:tab w:pos="833" w:val="left" w:leader="none"/>
        </w:tabs>
        <w:spacing w:line="242" w:lineRule="auto" w:before="0" w:after="0"/>
        <w:ind w:left="832" w:right="297" w:hanging="360"/>
        <w:jc w:val="left"/>
        <w:rPr>
          <w:sz w:val="24"/>
        </w:rPr>
      </w:pPr>
      <w:r>
        <w:rPr>
          <w:spacing w:val="-3"/>
          <w:sz w:val="24"/>
          <w:u w:val="single"/>
        </w:rPr>
        <w:t>Other Provider Preventable Condition (OPPC)</w:t>
      </w:r>
      <w:r>
        <w:rPr>
          <w:spacing w:val="-3"/>
          <w:sz w:val="24"/>
        </w:rPr>
        <w:t>—a condition that meets </w:t>
      </w:r>
      <w:r>
        <w:rPr>
          <w:sz w:val="24"/>
        </w:rPr>
        <w:t>the </w:t>
      </w:r>
      <w:r>
        <w:rPr>
          <w:spacing w:val="-3"/>
          <w:sz w:val="24"/>
        </w:rPr>
        <w:t>requirements of </w:t>
      </w:r>
      <w:r>
        <w:rPr>
          <w:sz w:val="24"/>
        </w:rPr>
        <w:t>an </w:t>
      </w:r>
      <w:r>
        <w:rPr>
          <w:spacing w:val="-3"/>
          <w:sz w:val="24"/>
        </w:rPr>
        <w:t>“Other Provider Preventable Condition” pursuant </w:t>
      </w:r>
      <w:r>
        <w:rPr>
          <w:sz w:val="24"/>
        </w:rPr>
        <w:t>to 42 </w:t>
      </w:r>
      <w:r>
        <w:rPr>
          <w:spacing w:val="-3"/>
          <w:sz w:val="24"/>
        </w:rPr>
        <w:t>C.F.R. 447.26(b). OPPCs may occur</w:t>
      </w:r>
      <w:r>
        <w:rPr>
          <w:spacing w:val="-6"/>
          <w:sz w:val="24"/>
        </w:rPr>
        <w:t> </w:t>
      </w:r>
      <w:r>
        <w:rPr>
          <w:sz w:val="24"/>
        </w:rPr>
        <w:t>in</w:t>
      </w:r>
      <w:r>
        <w:rPr>
          <w:spacing w:val="-6"/>
          <w:sz w:val="24"/>
        </w:rPr>
        <w:t> </w:t>
      </w:r>
      <w:r>
        <w:rPr>
          <w:sz w:val="24"/>
        </w:rPr>
        <w:t>any</w:t>
      </w:r>
      <w:r>
        <w:rPr>
          <w:spacing w:val="-6"/>
          <w:sz w:val="24"/>
        </w:rPr>
        <w:t> </w:t>
      </w:r>
      <w:r>
        <w:rPr>
          <w:spacing w:val="-3"/>
          <w:sz w:val="24"/>
        </w:rPr>
        <w:t>health</w:t>
      </w:r>
      <w:r>
        <w:rPr>
          <w:spacing w:val="-6"/>
          <w:sz w:val="24"/>
        </w:rPr>
        <w:t> </w:t>
      </w:r>
      <w:r>
        <w:rPr>
          <w:spacing w:val="-3"/>
          <w:sz w:val="24"/>
        </w:rPr>
        <w:t>care</w:t>
      </w:r>
      <w:r>
        <w:rPr>
          <w:spacing w:val="-6"/>
          <w:sz w:val="24"/>
        </w:rPr>
        <w:t> </w:t>
      </w:r>
      <w:r>
        <w:rPr>
          <w:spacing w:val="-3"/>
          <w:sz w:val="24"/>
        </w:rPr>
        <w:t>setting</w:t>
      </w:r>
      <w:r>
        <w:rPr>
          <w:spacing w:val="-6"/>
          <w:sz w:val="24"/>
        </w:rPr>
        <w:t> </w:t>
      </w:r>
      <w:r>
        <w:rPr>
          <w:sz w:val="24"/>
        </w:rPr>
        <w:t>and</w:t>
      </w:r>
      <w:r>
        <w:rPr>
          <w:spacing w:val="-6"/>
          <w:sz w:val="24"/>
        </w:rPr>
        <w:t> </w:t>
      </w:r>
      <w:r>
        <w:rPr>
          <w:sz w:val="24"/>
        </w:rPr>
        <w:t>are</w:t>
      </w:r>
      <w:r>
        <w:rPr>
          <w:spacing w:val="-6"/>
          <w:sz w:val="24"/>
        </w:rPr>
        <w:t> </w:t>
      </w:r>
      <w:r>
        <w:rPr>
          <w:spacing w:val="-3"/>
          <w:sz w:val="24"/>
        </w:rPr>
        <w:t>divided</w:t>
      </w:r>
      <w:r>
        <w:rPr>
          <w:spacing w:val="-6"/>
          <w:sz w:val="24"/>
        </w:rPr>
        <w:t> </w:t>
      </w:r>
      <w:r>
        <w:rPr>
          <w:spacing w:val="-3"/>
          <w:sz w:val="24"/>
        </w:rPr>
        <w:t>into</w:t>
      </w:r>
      <w:r>
        <w:rPr>
          <w:spacing w:val="-6"/>
          <w:sz w:val="24"/>
        </w:rPr>
        <w:t> </w:t>
      </w:r>
      <w:r>
        <w:rPr>
          <w:sz w:val="24"/>
        </w:rPr>
        <w:t>two</w:t>
      </w:r>
      <w:r>
        <w:rPr>
          <w:spacing w:val="-6"/>
          <w:sz w:val="24"/>
        </w:rPr>
        <w:t> </w:t>
      </w:r>
      <w:r>
        <w:rPr>
          <w:spacing w:val="-3"/>
          <w:sz w:val="24"/>
        </w:rPr>
        <w:t>sub-categories:</w:t>
      </w:r>
    </w:p>
    <w:p>
      <w:pPr>
        <w:pStyle w:val="BodyText"/>
        <w:spacing w:before="4"/>
      </w:pPr>
    </w:p>
    <w:p>
      <w:pPr>
        <w:pStyle w:val="ListParagraph"/>
        <w:numPr>
          <w:ilvl w:val="4"/>
          <w:numId w:val="19"/>
        </w:numPr>
        <w:tabs>
          <w:tab w:pos="1192" w:val="left" w:leader="none"/>
        </w:tabs>
        <w:spacing w:line="240" w:lineRule="auto" w:before="0" w:after="0"/>
        <w:ind w:left="1192" w:right="0" w:hanging="360"/>
        <w:jc w:val="left"/>
        <w:rPr>
          <w:sz w:val="24"/>
        </w:rPr>
      </w:pPr>
      <w:r>
        <w:rPr>
          <w:spacing w:val="-3"/>
          <w:sz w:val="24"/>
          <w:u w:val="single"/>
        </w:rPr>
        <w:t>National Coverage Determinations (NCDs)</w:t>
      </w:r>
      <w:r>
        <w:rPr>
          <w:spacing w:val="-3"/>
          <w:sz w:val="24"/>
        </w:rPr>
        <w:t> </w:t>
      </w:r>
      <w:r>
        <w:rPr>
          <w:sz w:val="24"/>
        </w:rPr>
        <w:t>– The </w:t>
      </w:r>
      <w:r>
        <w:rPr>
          <w:spacing w:val="-3"/>
          <w:sz w:val="24"/>
        </w:rPr>
        <w:t>NCDs </w:t>
      </w:r>
      <w:r>
        <w:rPr>
          <w:sz w:val="24"/>
        </w:rPr>
        <w:t>are </w:t>
      </w:r>
      <w:r>
        <w:rPr>
          <w:spacing w:val="-3"/>
          <w:sz w:val="24"/>
        </w:rPr>
        <w:t>mandatory OPPCs under</w:t>
      </w:r>
      <w:r>
        <w:rPr>
          <w:spacing w:val="-24"/>
          <w:sz w:val="24"/>
        </w:rPr>
        <w:t> </w:t>
      </w:r>
      <w:r>
        <w:rPr>
          <w:spacing w:val="-3"/>
          <w:sz w:val="24"/>
        </w:rPr>
        <w:t>42</w:t>
      </w:r>
    </w:p>
    <w:p>
      <w:pPr>
        <w:pStyle w:val="BodyText"/>
        <w:spacing w:before="3"/>
        <w:ind w:left="1191"/>
      </w:pPr>
      <w:r>
        <w:rPr/>
        <w:t>C.F.R. 447.26(b) and consist of the following:</w:t>
      </w:r>
    </w:p>
    <w:p>
      <w:pPr>
        <w:pStyle w:val="ListParagraph"/>
        <w:numPr>
          <w:ilvl w:val="0"/>
          <w:numId w:val="20"/>
        </w:numPr>
        <w:tabs>
          <w:tab w:pos="1552" w:val="left" w:leader="none"/>
        </w:tabs>
        <w:spacing w:line="240" w:lineRule="auto" w:before="123" w:after="0"/>
        <w:ind w:left="1552" w:right="0" w:hanging="360"/>
        <w:jc w:val="left"/>
        <w:rPr>
          <w:sz w:val="24"/>
        </w:rPr>
      </w:pPr>
      <w:r>
        <w:rPr>
          <w:spacing w:val="-3"/>
          <w:sz w:val="24"/>
        </w:rPr>
        <w:t>Wrong surgical </w:t>
      </w:r>
      <w:r>
        <w:rPr>
          <w:sz w:val="24"/>
        </w:rPr>
        <w:t>or </w:t>
      </w:r>
      <w:r>
        <w:rPr>
          <w:spacing w:val="-3"/>
          <w:sz w:val="24"/>
        </w:rPr>
        <w:t>other invasive procedure performed </w:t>
      </w:r>
      <w:r>
        <w:rPr>
          <w:sz w:val="24"/>
        </w:rPr>
        <w:t>on a</w:t>
      </w:r>
      <w:r>
        <w:rPr>
          <w:spacing w:val="-18"/>
          <w:sz w:val="24"/>
        </w:rPr>
        <w:t> </w:t>
      </w:r>
      <w:r>
        <w:rPr>
          <w:spacing w:val="-3"/>
          <w:sz w:val="24"/>
        </w:rPr>
        <w:t>patient;</w:t>
      </w:r>
    </w:p>
    <w:p>
      <w:pPr>
        <w:pStyle w:val="ListParagraph"/>
        <w:numPr>
          <w:ilvl w:val="0"/>
          <w:numId w:val="20"/>
        </w:numPr>
        <w:tabs>
          <w:tab w:pos="1552" w:val="left" w:leader="none"/>
        </w:tabs>
        <w:spacing w:line="240" w:lineRule="auto" w:before="123" w:after="0"/>
        <w:ind w:left="1552" w:right="0" w:hanging="360"/>
        <w:jc w:val="left"/>
        <w:rPr>
          <w:sz w:val="24"/>
        </w:rPr>
      </w:pPr>
      <w:r>
        <w:rPr>
          <w:spacing w:val="-3"/>
          <w:sz w:val="24"/>
        </w:rPr>
        <w:t>Surgical </w:t>
      </w:r>
      <w:r>
        <w:rPr>
          <w:sz w:val="24"/>
        </w:rPr>
        <w:t>or </w:t>
      </w:r>
      <w:r>
        <w:rPr>
          <w:spacing w:val="-3"/>
          <w:sz w:val="24"/>
        </w:rPr>
        <w:t>other invasive procedure performed </w:t>
      </w:r>
      <w:r>
        <w:rPr>
          <w:sz w:val="24"/>
        </w:rPr>
        <w:t>on the </w:t>
      </w:r>
      <w:r>
        <w:rPr>
          <w:spacing w:val="-3"/>
          <w:sz w:val="24"/>
        </w:rPr>
        <w:t>wrong body</w:t>
      </w:r>
      <w:r>
        <w:rPr>
          <w:spacing w:val="-25"/>
          <w:sz w:val="24"/>
        </w:rPr>
        <w:t> </w:t>
      </w:r>
      <w:r>
        <w:rPr>
          <w:spacing w:val="-3"/>
          <w:sz w:val="24"/>
        </w:rPr>
        <w:t>part;</w:t>
      </w:r>
    </w:p>
    <w:p>
      <w:pPr>
        <w:pStyle w:val="ListParagraph"/>
        <w:numPr>
          <w:ilvl w:val="0"/>
          <w:numId w:val="20"/>
        </w:numPr>
        <w:tabs>
          <w:tab w:pos="1552" w:val="left" w:leader="none"/>
        </w:tabs>
        <w:spacing w:line="240" w:lineRule="auto" w:before="123" w:after="0"/>
        <w:ind w:left="1552" w:right="0" w:hanging="360"/>
        <w:jc w:val="left"/>
        <w:rPr>
          <w:sz w:val="24"/>
        </w:rPr>
      </w:pPr>
      <w:r>
        <w:rPr>
          <w:spacing w:val="-3"/>
          <w:sz w:val="24"/>
        </w:rPr>
        <w:t>Surgical </w:t>
      </w:r>
      <w:r>
        <w:rPr>
          <w:sz w:val="24"/>
        </w:rPr>
        <w:t>or </w:t>
      </w:r>
      <w:r>
        <w:rPr>
          <w:spacing w:val="-3"/>
          <w:sz w:val="24"/>
        </w:rPr>
        <w:t>other invasive procedure performed </w:t>
      </w:r>
      <w:r>
        <w:rPr>
          <w:sz w:val="24"/>
        </w:rPr>
        <w:t>on the </w:t>
      </w:r>
      <w:r>
        <w:rPr>
          <w:spacing w:val="-3"/>
          <w:sz w:val="24"/>
        </w:rPr>
        <w:t>wrong</w:t>
      </w:r>
      <w:r>
        <w:rPr>
          <w:spacing w:val="-26"/>
          <w:sz w:val="24"/>
        </w:rPr>
        <w:t> </w:t>
      </w:r>
      <w:r>
        <w:rPr>
          <w:spacing w:val="-3"/>
          <w:sz w:val="24"/>
        </w:rPr>
        <w:t>patient.</w:t>
      </w:r>
    </w:p>
    <w:p>
      <w:pPr>
        <w:pStyle w:val="BodyText"/>
        <w:spacing w:line="242" w:lineRule="auto" w:before="123"/>
        <w:ind w:left="1191" w:right="236"/>
      </w:pPr>
      <w:r>
        <w:rPr/>
        <w:t>For </w:t>
      </w:r>
      <w:r>
        <w:rPr>
          <w:spacing w:val="-3"/>
        </w:rPr>
        <w:t>each </w:t>
      </w:r>
      <w:r>
        <w:rPr/>
        <w:t>of A. </w:t>
      </w:r>
      <w:r>
        <w:rPr>
          <w:spacing w:val="-3"/>
        </w:rPr>
        <w:t>through </w:t>
      </w:r>
      <w:r>
        <w:rPr/>
        <w:t>C., </w:t>
      </w:r>
      <w:r>
        <w:rPr>
          <w:spacing w:val="-3"/>
        </w:rPr>
        <w:t>above, </w:t>
      </w:r>
      <w:r>
        <w:rPr/>
        <w:t>the </w:t>
      </w:r>
      <w:r>
        <w:rPr>
          <w:spacing w:val="-3"/>
        </w:rPr>
        <w:t>term “surgical </w:t>
      </w:r>
      <w:r>
        <w:rPr/>
        <w:t>or </w:t>
      </w:r>
      <w:r>
        <w:rPr>
          <w:spacing w:val="-3"/>
        </w:rPr>
        <w:t>other invasive procedure” </w:t>
      </w:r>
      <w:r>
        <w:rPr/>
        <w:t>is </w:t>
      </w:r>
      <w:r>
        <w:rPr>
          <w:spacing w:val="-3"/>
        </w:rPr>
        <w:t>as defined </w:t>
      </w:r>
      <w:r>
        <w:rPr/>
        <w:t>in CMS </w:t>
      </w:r>
      <w:r>
        <w:rPr>
          <w:spacing w:val="-3"/>
        </w:rPr>
        <w:t>Medicare guidance </w:t>
      </w:r>
      <w:r>
        <w:rPr/>
        <w:t>on </w:t>
      </w:r>
      <w:r>
        <w:rPr>
          <w:spacing w:val="-3"/>
        </w:rPr>
        <w:t>NCDs.</w:t>
      </w:r>
    </w:p>
    <w:p>
      <w:pPr>
        <w:pStyle w:val="BodyText"/>
        <w:spacing w:before="4"/>
      </w:pPr>
    </w:p>
    <w:p>
      <w:pPr>
        <w:pStyle w:val="ListParagraph"/>
        <w:numPr>
          <w:ilvl w:val="4"/>
          <w:numId w:val="19"/>
        </w:numPr>
        <w:tabs>
          <w:tab w:pos="1192" w:val="left" w:leader="none"/>
        </w:tabs>
        <w:spacing w:line="242" w:lineRule="auto" w:before="0" w:after="0"/>
        <w:ind w:left="1192" w:right="550" w:hanging="360"/>
        <w:jc w:val="left"/>
        <w:rPr>
          <w:sz w:val="24"/>
        </w:rPr>
      </w:pPr>
      <w:r>
        <w:rPr>
          <w:spacing w:val="-3"/>
          <w:sz w:val="24"/>
          <w:u w:val="single"/>
        </w:rPr>
        <w:t>Additional Other Provider Preventable Condition (Additional OPPCs) </w:t>
      </w:r>
      <w:r>
        <w:rPr>
          <w:sz w:val="24"/>
          <w:u w:val="single"/>
        </w:rPr>
        <w:t>–</w:t>
      </w:r>
      <w:r>
        <w:rPr>
          <w:sz w:val="24"/>
        </w:rPr>
        <w:t> </w:t>
      </w:r>
      <w:r>
        <w:rPr>
          <w:spacing w:val="-3"/>
          <w:sz w:val="24"/>
        </w:rPr>
        <w:t>Additional OPPCs </w:t>
      </w:r>
      <w:r>
        <w:rPr>
          <w:sz w:val="24"/>
        </w:rPr>
        <w:t>are </w:t>
      </w:r>
      <w:r>
        <w:rPr>
          <w:spacing w:val="-3"/>
          <w:sz w:val="24"/>
        </w:rPr>
        <w:t>state-defined OPPCs that meet </w:t>
      </w:r>
      <w:r>
        <w:rPr>
          <w:sz w:val="24"/>
        </w:rPr>
        <w:t>the </w:t>
      </w:r>
      <w:r>
        <w:rPr>
          <w:spacing w:val="-3"/>
          <w:sz w:val="24"/>
        </w:rPr>
        <w:t>requirements </w:t>
      </w:r>
      <w:r>
        <w:rPr>
          <w:sz w:val="24"/>
        </w:rPr>
        <w:t>of 42 </w:t>
      </w:r>
      <w:r>
        <w:rPr>
          <w:spacing w:val="-3"/>
          <w:sz w:val="24"/>
        </w:rPr>
        <w:t>C.F.R. 447.26(b). EOHHS </w:t>
      </w:r>
      <w:r>
        <w:rPr>
          <w:sz w:val="24"/>
        </w:rPr>
        <w:t>has </w:t>
      </w:r>
      <w:r>
        <w:rPr>
          <w:spacing w:val="-3"/>
          <w:sz w:val="24"/>
        </w:rPr>
        <w:t>designated certain conditions </w:t>
      </w:r>
      <w:r>
        <w:rPr>
          <w:sz w:val="24"/>
        </w:rPr>
        <w:t>as </w:t>
      </w:r>
      <w:r>
        <w:rPr>
          <w:spacing w:val="-3"/>
          <w:sz w:val="24"/>
        </w:rPr>
        <w:t>Additional</w:t>
      </w:r>
      <w:r>
        <w:rPr>
          <w:spacing w:val="-17"/>
          <w:sz w:val="24"/>
        </w:rPr>
        <w:t> </w:t>
      </w:r>
      <w:r>
        <w:rPr>
          <w:spacing w:val="-3"/>
          <w:sz w:val="24"/>
        </w:rPr>
        <w:t>OPPCs.</w:t>
      </w:r>
    </w:p>
    <w:p>
      <w:pPr>
        <w:pStyle w:val="BodyText"/>
        <w:spacing w:before="7"/>
      </w:pPr>
    </w:p>
    <w:p>
      <w:pPr>
        <w:pStyle w:val="Heading3"/>
        <w:numPr>
          <w:ilvl w:val="0"/>
          <w:numId w:val="21"/>
        </w:numPr>
        <w:tabs>
          <w:tab w:pos="480" w:val="left" w:leader="none"/>
        </w:tabs>
        <w:spacing w:line="240" w:lineRule="auto" w:before="0" w:after="0"/>
        <w:ind w:left="479" w:right="0" w:hanging="367"/>
        <w:jc w:val="left"/>
      </w:pPr>
      <w:r>
        <w:rPr>
          <w:spacing w:val="-3"/>
        </w:rPr>
        <w:t>Hospital Reporting </w:t>
      </w:r>
      <w:r>
        <w:rPr/>
        <w:t>of </w:t>
      </w:r>
      <w:r>
        <w:rPr>
          <w:spacing w:val="-3"/>
        </w:rPr>
        <w:t>PPCs </w:t>
      </w:r>
      <w:r>
        <w:rPr/>
        <w:t>to</w:t>
      </w:r>
      <w:r>
        <w:rPr>
          <w:spacing w:val="-13"/>
        </w:rPr>
        <w:t> </w:t>
      </w:r>
      <w:r>
        <w:rPr>
          <w:spacing w:val="-3"/>
        </w:rPr>
        <w:t>EOHHS</w:t>
      </w:r>
    </w:p>
    <w:p>
      <w:pPr>
        <w:pStyle w:val="BodyText"/>
        <w:spacing w:before="7"/>
        <w:rPr>
          <w:b/>
        </w:rPr>
      </w:pPr>
    </w:p>
    <w:p>
      <w:pPr>
        <w:pStyle w:val="ListParagraph"/>
        <w:numPr>
          <w:ilvl w:val="1"/>
          <w:numId w:val="21"/>
        </w:numPr>
        <w:tabs>
          <w:tab w:pos="832" w:val="left" w:leader="none"/>
        </w:tabs>
        <w:spacing w:line="242" w:lineRule="auto" w:before="0" w:after="0"/>
        <w:ind w:left="832" w:right="106" w:hanging="360"/>
        <w:jc w:val="left"/>
        <w:rPr>
          <w:sz w:val="24"/>
        </w:rPr>
      </w:pPr>
      <w:r>
        <w:rPr>
          <w:i/>
          <w:spacing w:val="-3"/>
          <w:sz w:val="24"/>
        </w:rPr>
        <w:t>Appendix </w:t>
      </w:r>
      <w:r>
        <w:rPr>
          <w:i/>
          <w:sz w:val="24"/>
        </w:rPr>
        <w:t>V </w:t>
      </w:r>
      <w:r>
        <w:rPr>
          <w:sz w:val="24"/>
        </w:rPr>
        <w:t>of the </w:t>
      </w:r>
      <w:r>
        <w:rPr>
          <w:spacing w:val="-3"/>
          <w:sz w:val="24"/>
        </w:rPr>
        <w:t>Hospital’s Acute Inpatient Hospital </w:t>
      </w:r>
      <w:r>
        <w:rPr>
          <w:sz w:val="24"/>
        </w:rPr>
        <w:t>and </w:t>
      </w:r>
      <w:r>
        <w:rPr>
          <w:spacing w:val="-3"/>
          <w:sz w:val="24"/>
        </w:rPr>
        <w:t>Acute Outpatient Hospital MassHealth provider manuals identifies those PPCs that apply </w:t>
      </w:r>
      <w:r>
        <w:rPr>
          <w:sz w:val="24"/>
        </w:rPr>
        <w:t>to the </w:t>
      </w:r>
      <w:r>
        <w:rPr>
          <w:spacing w:val="-3"/>
          <w:sz w:val="24"/>
        </w:rPr>
        <w:t>Hospital for inpatient </w:t>
      </w:r>
      <w:r>
        <w:rPr>
          <w:sz w:val="24"/>
        </w:rPr>
        <w:t>and </w:t>
      </w:r>
      <w:r>
        <w:rPr>
          <w:spacing w:val="-3"/>
          <w:sz w:val="24"/>
        </w:rPr>
        <w:t>outpatient hospital services </w:t>
      </w:r>
      <w:r>
        <w:rPr>
          <w:sz w:val="24"/>
        </w:rPr>
        <w:t>and </w:t>
      </w:r>
      <w:r>
        <w:rPr>
          <w:spacing w:val="-3"/>
          <w:sz w:val="24"/>
        </w:rPr>
        <w:t>hospital-based physician services, respectively. EOHHS may also provide this information </w:t>
      </w:r>
      <w:r>
        <w:rPr>
          <w:sz w:val="24"/>
        </w:rPr>
        <w:t>to </w:t>
      </w:r>
      <w:r>
        <w:rPr>
          <w:spacing w:val="-3"/>
          <w:sz w:val="24"/>
        </w:rPr>
        <w:t>Hospitals through provider bulletins, </w:t>
      </w:r>
      <w:r>
        <w:rPr>
          <w:sz w:val="24"/>
        </w:rPr>
        <w:t>or </w:t>
      </w:r>
      <w:r>
        <w:rPr>
          <w:spacing w:val="-3"/>
          <w:sz w:val="24"/>
        </w:rPr>
        <w:t>other written statements </w:t>
      </w:r>
      <w:r>
        <w:rPr>
          <w:sz w:val="24"/>
        </w:rPr>
        <w:t>of </w:t>
      </w:r>
      <w:r>
        <w:rPr>
          <w:spacing w:val="-3"/>
          <w:sz w:val="24"/>
        </w:rPr>
        <w:t>policy, </w:t>
      </w:r>
      <w:r>
        <w:rPr>
          <w:sz w:val="24"/>
        </w:rPr>
        <w:t>and all </w:t>
      </w:r>
      <w:r>
        <w:rPr>
          <w:spacing w:val="-3"/>
          <w:sz w:val="24"/>
        </w:rPr>
        <w:t>such documentation, including without limitation </w:t>
      </w:r>
      <w:r>
        <w:rPr>
          <w:i/>
          <w:spacing w:val="-3"/>
          <w:sz w:val="24"/>
        </w:rPr>
        <w:t>Appendix </w:t>
      </w:r>
      <w:r>
        <w:rPr>
          <w:i/>
          <w:sz w:val="24"/>
        </w:rPr>
        <w:t>V</w:t>
      </w:r>
      <w:r>
        <w:rPr>
          <w:sz w:val="24"/>
        </w:rPr>
        <w:t>, </w:t>
      </w:r>
      <w:r>
        <w:rPr>
          <w:spacing w:val="-3"/>
          <w:sz w:val="24"/>
        </w:rPr>
        <w:t>may </w:t>
      </w:r>
      <w:r>
        <w:rPr>
          <w:sz w:val="24"/>
        </w:rPr>
        <w:t>be </w:t>
      </w:r>
      <w:r>
        <w:rPr>
          <w:spacing w:val="-3"/>
          <w:sz w:val="24"/>
        </w:rPr>
        <w:t>amended from time </w:t>
      </w:r>
      <w:r>
        <w:rPr>
          <w:sz w:val="24"/>
        </w:rPr>
        <w:t>to</w:t>
      </w:r>
      <w:r>
        <w:rPr>
          <w:spacing w:val="-17"/>
          <w:sz w:val="24"/>
        </w:rPr>
        <w:t> </w:t>
      </w:r>
      <w:r>
        <w:rPr>
          <w:spacing w:val="-4"/>
          <w:sz w:val="24"/>
        </w:rPr>
        <w:t>time.</w:t>
      </w:r>
    </w:p>
    <w:p>
      <w:pPr>
        <w:pStyle w:val="BodyText"/>
        <w:spacing w:before="2"/>
        <w:rPr>
          <w:sz w:val="21"/>
        </w:rPr>
      </w:pPr>
    </w:p>
    <w:p>
      <w:pPr>
        <w:pStyle w:val="ListParagraph"/>
        <w:numPr>
          <w:ilvl w:val="1"/>
          <w:numId w:val="21"/>
        </w:numPr>
        <w:tabs>
          <w:tab w:pos="832" w:val="left" w:leader="none"/>
        </w:tabs>
        <w:spacing w:line="242" w:lineRule="auto" w:before="0" w:after="0"/>
        <w:ind w:left="832" w:right="623" w:hanging="360"/>
        <w:jc w:val="left"/>
        <w:rPr>
          <w:sz w:val="24"/>
        </w:rPr>
      </w:pPr>
      <w:r>
        <w:rPr>
          <w:spacing w:val="-3"/>
          <w:sz w:val="24"/>
        </w:rPr>
        <w:t>Hospitals must report </w:t>
      </w:r>
      <w:r>
        <w:rPr>
          <w:sz w:val="24"/>
        </w:rPr>
        <w:t>the </w:t>
      </w:r>
      <w:r>
        <w:rPr>
          <w:spacing w:val="-3"/>
          <w:sz w:val="24"/>
        </w:rPr>
        <w:t>occurrence </w:t>
      </w:r>
      <w:r>
        <w:rPr>
          <w:sz w:val="24"/>
        </w:rPr>
        <w:t>of a PPC and </w:t>
      </w:r>
      <w:r>
        <w:rPr>
          <w:spacing w:val="-3"/>
          <w:sz w:val="24"/>
        </w:rPr>
        <w:t>PPC-related services through MMIS claims submissions </w:t>
      </w:r>
      <w:r>
        <w:rPr>
          <w:sz w:val="24"/>
        </w:rPr>
        <w:t>to </w:t>
      </w:r>
      <w:r>
        <w:rPr>
          <w:spacing w:val="-3"/>
          <w:sz w:val="24"/>
        </w:rPr>
        <w:t>MassHealth. Hospital reporting </w:t>
      </w:r>
      <w:r>
        <w:rPr>
          <w:sz w:val="24"/>
        </w:rPr>
        <w:t>of </w:t>
      </w:r>
      <w:r>
        <w:rPr>
          <w:spacing w:val="-3"/>
          <w:sz w:val="24"/>
        </w:rPr>
        <w:t>PPCs, </w:t>
      </w:r>
      <w:r>
        <w:rPr>
          <w:sz w:val="24"/>
        </w:rPr>
        <w:t>and </w:t>
      </w:r>
      <w:r>
        <w:rPr>
          <w:spacing w:val="-3"/>
          <w:sz w:val="24"/>
        </w:rPr>
        <w:t>related claims submissions, must </w:t>
      </w:r>
      <w:r>
        <w:rPr>
          <w:sz w:val="24"/>
        </w:rPr>
        <w:t>be </w:t>
      </w:r>
      <w:r>
        <w:rPr>
          <w:spacing w:val="-3"/>
          <w:sz w:val="24"/>
        </w:rPr>
        <w:t>conducted </w:t>
      </w:r>
      <w:r>
        <w:rPr>
          <w:sz w:val="24"/>
        </w:rPr>
        <w:t>in </w:t>
      </w:r>
      <w:r>
        <w:rPr>
          <w:spacing w:val="-3"/>
          <w:sz w:val="24"/>
        </w:rPr>
        <w:t>accordance with applicable MassHealth regulations, provider manuals </w:t>
      </w:r>
      <w:r>
        <w:rPr>
          <w:sz w:val="24"/>
        </w:rPr>
        <w:t>and </w:t>
      </w:r>
      <w:r>
        <w:rPr>
          <w:spacing w:val="-3"/>
          <w:sz w:val="24"/>
        </w:rPr>
        <w:t>billing instructions, including without limitation </w:t>
      </w:r>
      <w:r>
        <w:rPr>
          <w:sz w:val="24"/>
        </w:rPr>
        <w:t>as set </w:t>
      </w:r>
      <w:r>
        <w:rPr>
          <w:spacing w:val="-3"/>
          <w:sz w:val="24"/>
        </w:rPr>
        <w:t>forth</w:t>
      </w:r>
      <w:r>
        <w:rPr>
          <w:spacing w:val="-29"/>
          <w:sz w:val="24"/>
        </w:rPr>
        <w:t> </w:t>
      </w:r>
      <w:r>
        <w:rPr>
          <w:spacing w:val="-3"/>
          <w:sz w:val="24"/>
        </w:rPr>
        <w:t>in</w:t>
      </w:r>
    </w:p>
    <w:p>
      <w:pPr>
        <w:spacing w:after="0" w:line="242" w:lineRule="auto"/>
        <w:jc w:val="left"/>
        <w:rPr>
          <w:sz w:val="24"/>
        </w:rPr>
        <w:sectPr>
          <w:pgSz w:w="12240" w:h="15840"/>
          <w:pgMar w:header="0" w:footer="744" w:top="1380" w:bottom="940" w:left="1580" w:right="980"/>
        </w:sectPr>
      </w:pPr>
    </w:p>
    <w:p>
      <w:pPr>
        <w:pStyle w:val="BodyText"/>
        <w:spacing w:line="242" w:lineRule="auto" w:before="61"/>
        <w:ind w:left="831" w:right="154"/>
      </w:pPr>
      <w:r>
        <w:rPr>
          <w:i/>
          <w:spacing w:val="-3"/>
        </w:rPr>
        <w:t>Appendix </w:t>
      </w:r>
      <w:r>
        <w:rPr>
          <w:i/>
        </w:rPr>
        <w:t>V </w:t>
      </w:r>
      <w:r>
        <w:rPr/>
        <w:t>of the </w:t>
      </w:r>
      <w:r>
        <w:rPr>
          <w:spacing w:val="-3"/>
        </w:rPr>
        <w:t>MassHealth Acute Inpatient Hospital </w:t>
      </w:r>
      <w:r>
        <w:rPr/>
        <w:t>and </w:t>
      </w:r>
      <w:r>
        <w:rPr>
          <w:spacing w:val="-3"/>
        </w:rPr>
        <w:t>Acute Outpatient Hospital provider manual, respectively. EOHHS may also provide such instructions through provider bulletins, </w:t>
      </w:r>
      <w:r>
        <w:rPr/>
        <w:t>or </w:t>
      </w:r>
      <w:r>
        <w:rPr>
          <w:spacing w:val="-3"/>
        </w:rPr>
        <w:t>other written statements </w:t>
      </w:r>
      <w:r>
        <w:rPr/>
        <w:t>of </w:t>
      </w:r>
      <w:r>
        <w:rPr>
          <w:spacing w:val="-3"/>
        </w:rPr>
        <w:t>policy, </w:t>
      </w:r>
      <w:r>
        <w:rPr/>
        <w:t>and all </w:t>
      </w:r>
      <w:r>
        <w:rPr>
          <w:spacing w:val="-3"/>
        </w:rPr>
        <w:t>such documentation, including without limitation, </w:t>
      </w:r>
      <w:r>
        <w:rPr>
          <w:i/>
          <w:spacing w:val="-3"/>
        </w:rPr>
        <w:t>Appendix </w:t>
      </w:r>
      <w:r>
        <w:rPr>
          <w:i/>
        </w:rPr>
        <w:t>V </w:t>
      </w:r>
      <w:r>
        <w:rPr/>
        <w:t>, </w:t>
      </w:r>
      <w:r>
        <w:rPr>
          <w:spacing w:val="-3"/>
        </w:rPr>
        <w:t>may </w:t>
      </w:r>
      <w:r>
        <w:rPr/>
        <w:t>be </w:t>
      </w:r>
      <w:r>
        <w:rPr>
          <w:spacing w:val="-3"/>
        </w:rPr>
        <w:t>amended from time </w:t>
      </w:r>
      <w:r>
        <w:rPr/>
        <w:t>to</w:t>
      </w:r>
      <w:r>
        <w:rPr>
          <w:spacing w:val="-27"/>
        </w:rPr>
        <w:t> </w:t>
      </w:r>
      <w:r>
        <w:rPr>
          <w:spacing w:val="-4"/>
        </w:rPr>
        <w:t>time.</w:t>
      </w:r>
    </w:p>
    <w:p>
      <w:pPr>
        <w:pStyle w:val="BodyText"/>
        <w:spacing w:before="2"/>
        <w:rPr>
          <w:sz w:val="21"/>
        </w:rPr>
      </w:pPr>
    </w:p>
    <w:p>
      <w:pPr>
        <w:pStyle w:val="ListParagraph"/>
        <w:numPr>
          <w:ilvl w:val="1"/>
          <w:numId w:val="21"/>
        </w:numPr>
        <w:tabs>
          <w:tab w:pos="832" w:val="left" w:leader="none"/>
        </w:tabs>
        <w:spacing w:line="244" w:lineRule="auto" w:before="0" w:after="0"/>
        <w:ind w:left="832" w:right="132" w:hanging="360"/>
        <w:jc w:val="left"/>
        <w:rPr>
          <w:sz w:val="24"/>
        </w:rPr>
      </w:pPr>
      <w:r>
        <w:rPr>
          <w:sz w:val="24"/>
        </w:rPr>
        <w:t>In </w:t>
      </w:r>
      <w:r>
        <w:rPr>
          <w:spacing w:val="-3"/>
          <w:sz w:val="24"/>
        </w:rPr>
        <w:t>accordance with state </w:t>
      </w:r>
      <w:r>
        <w:rPr>
          <w:sz w:val="24"/>
        </w:rPr>
        <w:t>and </w:t>
      </w:r>
      <w:r>
        <w:rPr>
          <w:spacing w:val="-3"/>
          <w:sz w:val="24"/>
        </w:rPr>
        <w:t>federal statutes, rules, </w:t>
      </w:r>
      <w:r>
        <w:rPr>
          <w:sz w:val="24"/>
        </w:rPr>
        <w:t>and </w:t>
      </w:r>
      <w:r>
        <w:rPr>
          <w:spacing w:val="-3"/>
          <w:sz w:val="24"/>
        </w:rPr>
        <w:t>regulations governing the MassHealth</w:t>
      </w:r>
      <w:r>
        <w:rPr>
          <w:spacing w:val="-6"/>
          <w:sz w:val="24"/>
        </w:rPr>
        <w:t> </w:t>
      </w:r>
      <w:r>
        <w:rPr>
          <w:spacing w:val="-3"/>
          <w:sz w:val="24"/>
        </w:rPr>
        <w:t>program,</w:t>
      </w:r>
      <w:r>
        <w:rPr>
          <w:spacing w:val="-6"/>
          <w:sz w:val="24"/>
        </w:rPr>
        <w:t> </w:t>
      </w:r>
      <w:r>
        <w:rPr>
          <w:spacing w:val="-3"/>
          <w:sz w:val="24"/>
        </w:rPr>
        <w:t>including</w:t>
      </w:r>
      <w:r>
        <w:rPr>
          <w:spacing w:val="-6"/>
          <w:sz w:val="24"/>
        </w:rPr>
        <w:t> </w:t>
      </w:r>
      <w:r>
        <w:rPr>
          <w:sz w:val="24"/>
        </w:rPr>
        <w:t>but</w:t>
      </w:r>
      <w:r>
        <w:rPr>
          <w:spacing w:val="-6"/>
          <w:sz w:val="24"/>
        </w:rPr>
        <w:t> </w:t>
      </w:r>
      <w:r>
        <w:rPr>
          <w:sz w:val="24"/>
        </w:rPr>
        <w:t>not</w:t>
      </w:r>
      <w:r>
        <w:rPr>
          <w:spacing w:val="-6"/>
          <w:sz w:val="24"/>
        </w:rPr>
        <w:t> </w:t>
      </w:r>
      <w:r>
        <w:rPr>
          <w:spacing w:val="-3"/>
          <w:sz w:val="24"/>
        </w:rPr>
        <w:t>limited</w:t>
      </w:r>
      <w:r>
        <w:rPr>
          <w:spacing w:val="-6"/>
          <w:sz w:val="24"/>
        </w:rPr>
        <w:t> </w:t>
      </w:r>
      <w:r>
        <w:rPr>
          <w:sz w:val="24"/>
        </w:rPr>
        <w:t>to</w:t>
      </w:r>
      <w:r>
        <w:rPr>
          <w:spacing w:val="-6"/>
          <w:sz w:val="24"/>
        </w:rPr>
        <w:t> </w:t>
      </w:r>
      <w:r>
        <w:rPr>
          <w:sz w:val="24"/>
        </w:rPr>
        <w:t>130</w:t>
      </w:r>
      <w:r>
        <w:rPr>
          <w:spacing w:val="-6"/>
          <w:sz w:val="24"/>
        </w:rPr>
        <w:t> </w:t>
      </w:r>
      <w:r>
        <w:rPr>
          <w:sz w:val="24"/>
        </w:rPr>
        <w:t>CMR</w:t>
      </w:r>
      <w:r>
        <w:rPr>
          <w:spacing w:val="-6"/>
          <w:sz w:val="24"/>
        </w:rPr>
        <w:t> </w:t>
      </w:r>
      <w:r>
        <w:rPr>
          <w:spacing w:val="-3"/>
          <w:sz w:val="24"/>
        </w:rPr>
        <w:t>415.000</w:t>
      </w:r>
      <w:r>
        <w:rPr>
          <w:spacing w:val="-6"/>
          <w:sz w:val="24"/>
        </w:rPr>
        <w:t> </w:t>
      </w:r>
      <w:r>
        <w:rPr>
          <w:i/>
          <w:sz w:val="24"/>
        </w:rPr>
        <w:t>et</w:t>
      </w:r>
      <w:r>
        <w:rPr>
          <w:i/>
          <w:spacing w:val="-6"/>
          <w:sz w:val="24"/>
        </w:rPr>
        <w:t> </w:t>
      </w:r>
      <w:r>
        <w:rPr>
          <w:i/>
          <w:spacing w:val="-3"/>
          <w:sz w:val="24"/>
        </w:rPr>
        <w:t>seq.</w:t>
      </w:r>
      <w:r>
        <w:rPr>
          <w:i/>
          <w:spacing w:val="-6"/>
          <w:sz w:val="24"/>
        </w:rPr>
        <w:t> </w:t>
      </w:r>
      <w:r>
        <w:rPr>
          <w:spacing w:val="-3"/>
          <w:sz w:val="24"/>
        </w:rPr>
        <w:t>(Acute</w:t>
      </w:r>
      <w:r>
        <w:rPr>
          <w:spacing w:val="-6"/>
          <w:sz w:val="24"/>
        </w:rPr>
        <w:t> </w:t>
      </w:r>
      <w:r>
        <w:rPr>
          <w:spacing w:val="-3"/>
          <w:sz w:val="24"/>
        </w:rPr>
        <w:t>Inpatient Hospitals); </w:t>
      </w:r>
      <w:r>
        <w:rPr>
          <w:sz w:val="24"/>
        </w:rPr>
        <w:t>130 CMR </w:t>
      </w:r>
      <w:r>
        <w:rPr>
          <w:spacing w:val="-3"/>
          <w:sz w:val="24"/>
        </w:rPr>
        <w:t>410.000 </w:t>
      </w:r>
      <w:r>
        <w:rPr>
          <w:i/>
          <w:sz w:val="24"/>
        </w:rPr>
        <w:t>et </w:t>
      </w:r>
      <w:r>
        <w:rPr>
          <w:i/>
          <w:spacing w:val="-3"/>
          <w:sz w:val="24"/>
        </w:rPr>
        <w:t>seq. </w:t>
      </w:r>
      <w:r>
        <w:rPr>
          <w:spacing w:val="-3"/>
          <w:sz w:val="24"/>
        </w:rPr>
        <w:t>(Acute Outpatient Hospitals) </w:t>
      </w:r>
      <w:r>
        <w:rPr>
          <w:sz w:val="24"/>
        </w:rPr>
        <w:t>and 130 CMR </w:t>
      </w:r>
      <w:r>
        <w:rPr>
          <w:spacing w:val="-3"/>
          <w:sz w:val="24"/>
        </w:rPr>
        <w:t>450.000, </w:t>
      </w:r>
      <w:r>
        <w:rPr>
          <w:i/>
          <w:sz w:val="24"/>
        </w:rPr>
        <w:t>et </w:t>
      </w:r>
      <w:r>
        <w:rPr>
          <w:i/>
          <w:spacing w:val="-3"/>
          <w:sz w:val="24"/>
        </w:rPr>
        <w:t>seq. </w:t>
      </w:r>
      <w:r>
        <w:rPr>
          <w:spacing w:val="-3"/>
          <w:sz w:val="24"/>
        </w:rPr>
        <w:t>(administrative </w:t>
      </w:r>
      <w:r>
        <w:rPr>
          <w:sz w:val="24"/>
        </w:rPr>
        <w:t>and </w:t>
      </w:r>
      <w:r>
        <w:rPr>
          <w:spacing w:val="-3"/>
          <w:sz w:val="24"/>
        </w:rPr>
        <w:t>billing instructions), EOHHS may request additional </w:t>
      </w:r>
      <w:r>
        <w:rPr>
          <w:spacing w:val="-4"/>
          <w:sz w:val="24"/>
        </w:rPr>
        <w:t>information </w:t>
      </w:r>
      <w:r>
        <w:rPr>
          <w:spacing w:val="-3"/>
          <w:sz w:val="24"/>
        </w:rPr>
        <w:t>from </w:t>
      </w:r>
      <w:r>
        <w:rPr>
          <w:sz w:val="24"/>
        </w:rPr>
        <w:t>the </w:t>
      </w:r>
      <w:r>
        <w:rPr>
          <w:spacing w:val="-3"/>
          <w:sz w:val="24"/>
        </w:rPr>
        <w:t>Hospital which EOHHS deems necessary </w:t>
      </w:r>
      <w:r>
        <w:rPr>
          <w:sz w:val="24"/>
        </w:rPr>
        <w:t>to </w:t>
      </w:r>
      <w:r>
        <w:rPr>
          <w:spacing w:val="-3"/>
          <w:sz w:val="24"/>
        </w:rPr>
        <w:t>facilitate </w:t>
      </w:r>
      <w:r>
        <w:rPr>
          <w:sz w:val="24"/>
        </w:rPr>
        <w:t>its </w:t>
      </w:r>
      <w:r>
        <w:rPr>
          <w:spacing w:val="-3"/>
          <w:sz w:val="24"/>
        </w:rPr>
        <w:t>review </w:t>
      </w:r>
      <w:r>
        <w:rPr>
          <w:sz w:val="24"/>
        </w:rPr>
        <w:t>of any PPC or </w:t>
      </w:r>
      <w:r>
        <w:rPr>
          <w:spacing w:val="-3"/>
          <w:sz w:val="24"/>
        </w:rPr>
        <w:t>to carry </w:t>
      </w:r>
      <w:r>
        <w:rPr>
          <w:sz w:val="24"/>
        </w:rPr>
        <w:t>out </w:t>
      </w:r>
      <w:r>
        <w:rPr>
          <w:spacing w:val="-3"/>
          <w:sz w:val="24"/>
        </w:rPr>
        <w:t>payment, provider enrollment, quality </w:t>
      </w:r>
      <w:r>
        <w:rPr>
          <w:sz w:val="24"/>
        </w:rPr>
        <w:t>or </w:t>
      </w:r>
      <w:r>
        <w:rPr>
          <w:spacing w:val="-3"/>
          <w:sz w:val="24"/>
        </w:rPr>
        <w:t>other routine functions </w:t>
      </w:r>
      <w:r>
        <w:rPr>
          <w:sz w:val="24"/>
        </w:rPr>
        <w:t>of the </w:t>
      </w:r>
      <w:r>
        <w:rPr>
          <w:spacing w:val="-3"/>
          <w:sz w:val="24"/>
        </w:rPr>
        <w:t>MassHealth program, </w:t>
      </w:r>
      <w:r>
        <w:rPr>
          <w:sz w:val="24"/>
        </w:rPr>
        <w:t>and the </w:t>
      </w:r>
      <w:r>
        <w:rPr>
          <w:spacing w:val="-3"/>
          <w:sz w:val="24"/>
        </w:rPr>
        <w:t>Hospital must comply with </w:t>
      </w:r>
      <w:r>
        <w:rPr>
          <w:sz w:val="24"/>
        </w:rPr>
        <w:t>the </w:t>
      </w:r>
      <w:r>
        <w:rPr>
          <w:spacing w:val="-3"/>
          <w:sz w:val="24"/>
        </w:rPr>
        <w:t>request. EOHHS may </w:t>
      </w:r>
      <w:r>
        <w:rPr>
          <w:sz w:val="24"/>
        </w:rPr>
        <w:t>use </w:t>
      </w:r>
      <w:r>
        <w:rPr>
          <w:spacing w:val="-3"/>
          <w:sz w:val="24"/>
        </w:rPr>
        <w:t>this </w:t>
      </w:r>
      <w:r>
        <w:rPr>
          <w:spacing w:val="-4"/>
          <w:sz w:val="24"/>
        </w:rPr>
        <w:t>information, </w:t>
      </w:r>
      <w:r>
        <w:rPr>
          <w:sz w:val="24"/>
        </w:rPr>
        <w:t>as </w:t>
      </w:r>
      <w:r>
        <w:rPr>
          <w:spacing w:val="-3"/>
          <w:sz w:val="24"/>
        </w:rPr>
        <w:t>well </w:t>
      </w:r>
      <w:r>
        <w:rPr>
          <w:sz w:val="24"/>
        </w:rPr>
        <w:t>as the </w:t>
      </w:r>
      <w:r>
        <w:rPr>
          <w:spacing w:val="-3"/>
          <w:sz w:val="24"/>
        </w:rPr>
        <w:t>reports provided pursuant </w:t>
      </w:r>
      <w:r>
        <w:rPr>
          <w:sz w:val="24"/>
        </w:rPr>
        <w:t>to </w:t>
      </w:r>
      <w:r>
        <w:rPr>
          <w:b/>
          <w:spacing w:val="-3"/>
          <w:sz w:val="24"/>
        </w:rPr>
        <w:t>Section 8.2.F</w:t>
      </w:r>
      <w:r>
        <w:rPr>
          <w:spacing w:val="-3"/>
          <w:sz w:val="24"/>
        </w:rPr>
        <w:t>, </w:t>
      </w:r>
      <w:r>
        <w:rPr>
          <w:sz w:val="24"/>
        </w:rPr>
        <w:t>in </w:t>
      </w:r>
      <w:r>
        <w:rPr>
          <w:spacing w:val="-3"/>
          <w:sz w:val="24"/>
        </w:rPr>
        <w:t>reviewing </w:t>
      </w:r>
      <w:r>
        <w:rPr>
          <w:sz w:val="24"/>
        </w:rPr>
        <w:t>any </w:t>
      </w:r>
      <w:r>
        <w:rPr>
          <w:spacing w:val="-3"/>
          <w:sz w:val="24"/>
        </w:rPr>
        <w:t>PPC, </w:t>
      </w:r>
      <w:r>
        <w:rPr>
          <w:sz w:val="24"/>
        </w:rPr>
        <w:t>and </w:t>
      </w:r>
      <w:r>
        <w:rPr>
          <w:spacing w:val="-3"/>
          <w:sz w:val="24"/>
        </w:rPr>
        <w:t>in applying </w:t>
      </w:r>
      <w:r>
        <w:rPr>
          <w:sz w:val="24"/>
        </w:rPr>
        <w:t>any </w:t>
      </w:r>
      <w:r>
        <w:rPr>
          <w:spacing w:val="-3"/>
          <w:sz w:val="24"/>
        </w:rPr>
        <w:t>payment adjustment </w:t>
      </w:r>
      <w:r>
        <w:rPr>
          <w:sz w:val="24"/>
        </w:rPr>
        <w:t>as set </w:t>
      </w:r>
      <w:r>
        <w:rPr>
          <w:spacing w:val="-3"/>
          <w:sz w:val="24"/>
        </w:rPr>
        <w:t>forth </w:t>
      </w:r>
      <w:r>
        <w:rPr>
          <w:sz w:val="24"/>
        </w:rPr>
        <w:t>in </w:t>
      </w:r>
      <w:r>
        <w:rPr>
          <w:b/>
          <w:spacing w:val="-3"/>
          <w:sz w:val="24"/>
        </w:rPr>
        <w:t>Section 8.2.D</w:t>
      </w:r>
      <w:r>
        <w:rPr>
          <w:spacing w:val="-3"/>
          <w:sz w:val="24"/>
        </w:rPr>
        <w:t>,</w:t>
      </w:r>
      <w:r>
        <w:rPr>
          <w:spacing w:val="-40"/>
          <w:sz w:val="24"/>
        </w:rPr>
        <w:t> </w:t>
      </w:r>
      <w:r>
        <w:rPr>
          <w:spacing w:val="-3"/>
          <w:sz w:val="24"/>
        </w:rPr>
        <w:t>below.</w:t>
      </w:r>
    </w:p>
    <w:p>
      <w:pPr>
        <w:pStyle w:val="BodyText"/>
        <w:spacing w:before="4"/>
      </w:pPr>
    </w:p>
    <w:p>
      <w:pPr>
        <w:pStyle w:val="Heading3"/>
        <w:numPr>
          <w:ilvl w:val="0"/>
          <w:numId w:val="21"/>
        </w:numPr>
        <w:tabs>
          <w:tab w:pos="473" w:val="left" w:leader="none"/>
        </w:tabs>
        <w:spacing w:line="240" w:lineRule="auto" w:before="1" w:after="0"/>
        <w:ind w:left="472" w:right="0" w:hanging="353"/>
        <w:jc w:val="left"/>
      </w:pPr>
      <w:r>
        <w:rPr>
          <w:spacing w:val="-3"/>
        </w:rPr>
        <w:t>Payment Adjustments </w:t>
      </w:r>
      <w:r>
        <w:rPr/>
        <w:t>to </w:t>
      </w:r>
      <w:r>
        <w:rPr>
          <w:spacing w:val="-3"/>
        </w:rPr>
        <w:t>Hospitals </w:t>
      </w:r>
      <w:r>
        <w:rPr/>
        <w:t>for </w:t>
      </w:r>
      <w:r>
        <w:rPr>
          <w:spacing w:val="-3"/>
        </w:rPr>
        <w:t>Provider Preventable</w:t>
      </w:r>
      <w:r>
        <w:rPr>
          <w:spacing w:val="-17"/>
        </w:rPr>
        <w:t> </w:t>
      </w:r>
      <w:r>
        <w:rPr>
          <w:spacing w:val="-3"/>
        </w:rPr>
        <w:t>Conditions</w:t>
      </w:r>
    </w:p>
    <w:p>
      <w:pPr>
        <w:pStyle w:val="BodyText"/>
        <w:spacing w:before="8"/>
        <w:rPr>
          <w:b/>
        </w:rPr>
      </w:pPr>
    </w:p>
    <w:p>
      <w:pPr>
        <w:pStyle w:val="ListParagraph"/>
        <w:numPr>
          <w:ilvl w:val="1"/>
          <w:numId w:val="21"/>
        </w:numPr>
        <w:tabs>
          <w:tab w:pos="832" w:val="left" w:leader="none"/>
        </w:tabs>
        <w:spacing w:line="242" w:lineRule="auto" w:before="0" w:after="0"/>
        <w:ind w:left="832" w:right="144" w:hanging="360"/>
        <w:jc w:val="left"/>
        <w:rPr>
          <w:sz w:val="24"/>
        </w:rPr>
      </w:pPr>
      <w:r>
        <w:rPr>
          <w:b/>
          <w:spacing w:val="-3"/>
          <w:sz w:val="24"/>
        </w:rPr>
        <w:t>Inpatient Hospital Services </w:t>
      </w:r>
      <w:r>
        <w:rPr>
          <w:b/>
          <w:sz w:val="24"/>
        </w:rPr>
        <w:t>– </w:t>
      </w:r>
      <w:r>
        <w:rPr>
          <w:sz w:val="24"/>
        </w:rPr>
        <w:t>For </w:t>
      </w:r>
      <w:r>
        <w:rPr>
          <w:spacing w:val="-3"/>
          <w:sz w:val="24"/>
        </w:rPr>
        <w:t>inpatient hospital services, when </w:t>
      </w:r>
      <w:r>
        <w:rPr>
          <w:sz w:val="24"/>
        </w:rPr>
        <w:t>a </w:t>
      </w:r>
      <w:r>
        <w:rPr>
          <w:spacing w:val="-3"/>
          <w:sz w:val="24"/>
        </w:rPr>
        <w:t>Hospital reports </w:t>
      </w:r>
      <w:r>
        <w:rPr>
          <w:sz w:val="24"/>
        </w:rPr>
        <w:t>a PPC </w:t>
      </w:r>
      <w:r>
        <w:rPr>
          <w:spacing w:val="-3"/>
          <w:sz w:val="24"/>
        </w:rPr>
        <w:t>that </w:t>
      </w:r>
      <w:r>
        <w:rPr>
          <w:sz w:val="24"/>
        </w:rPr>
        <w:t>the </w:t>
      </w:r>
      <w:r>
        <w:rPr>
          <w:spacing w:val="-3"/>
          <w:sz w:val="24"/>
        </w:rPr>
        <w:t>Hospital indicates </w:t>
      </w:r>
      <w:r>
        <w:rPr>
          <w:sz w:val="24"/>
        </w:rPr>
        <w:t>was not </w:t>
      </w:r>
      <w:r>
        <w:rPr>
          <w:spacing w:val="-3"/>
          <w:sz w:val="24"/>
        </w:rPr>
        <w:t>present </w:t>
      </w:r>
      <w:r>
        <w:rPr>
          <w:sz w:val="24"/>
        </w:rPr>
        <w:t>on </w:t>
      </w:r>
      <w:r>
        <w:rPr>
          <w:spacing w:val="-3"/>
          <w:sz w:val="24"/>
        </w:rPr>
        <w:t>admission, EOHHS will reduce </w:t>
      </w:r>
      <w:r>
        <w:rPr>
          <w:spacing w:val="-4"/>
          <w:sz w:val="24"/>
        </w:rPr>
        <w:t>payments </w:t>
      </w:r>
      <w:r>
        <w:rPr>
          <w:sz w:val="24"/>
        </w:rPr>
        <w:t>to the </w:t>
      </w:r>
      <w:r>
        <w:rPr>
          <w:spacing w:val="-3"/>
          <w:sz w:val="24"/>
        </w:rPr>
        <w:t>Hospital </w:t>
      </w:r>
      <w:r>
        <w:rPr>
          <w:sz w:val="24"/>
        </w:rPr>
        <w:t>as</w:t>
      </w:r>
      <w:r>
        <w:rPr>
          <w:spacing w:val="-19"/>
          <w:sz w:val="24"/>
        </w:rPr>
        <w:t> </w:t>
      </w:r>
      <w:r>
        <w:rPr>
          <w:spacing w:val="-4"/>
          <w:sz w:val="24"/>
        </w:rPr>
        <w:t>follows:</w:t>
      </w:r>
    </w:p>
    <w:p>
      <w:pPr>
        <w:pStyle w:val="BodyText"/>
        <w:spacing w:before="4"/>
      </w:pPr>
    </w:p>
    <w:p>
      <w:pPr>
        <w:pStyle w:val="ListParagraph"/>
        <w:numPr>
          <w:ilvl w:val="2"/>
          <w:numId w:val="21"/>
        </w:numPr>
        <w:tabs>
          <w:tab w:pos="1192" w:val="left" w:leader="none"/>
        </w:tabs>
        <w:spacing w:line="240" w:lineRule="auto" w:before="0" w:after="0"/>
        <w:ind w:left="1192" w:right="0" w:hanging="360"/>
        <w:jc w:val="left"/>
        <w:rPr>
          <w:sz w:val="24"/>
        </w:rPr>
      </w:pPr>
      <w:r>
        <w:rPr>
          <w:spacing w:val="-3"/>
          <w:sz w:val="24"/>
          <w:u w:val="single"/>
        </w:rPr>
        <w:t>SPAD</w:t>
      </w:r>
      <w:r>
        <w:rPr>
          <w:spacing w:val="-3"/>
          <w:sz w:val="24"/>
        </w:rPr>
        <w:t>.  </w:t>
      </w:r>
      <w:r>
        <w:rPr>
          <w:sz w:val="24"/>
        </w:rPr>
        <w:t>For </w:t>
      </w:r>
      <w:r>
        <w:rPr>
          <w:spacing w:val="-3"/>
          <w:sz w:val="24"/>
        </w:rPr>
        <w:t>inpatient services </w:t>
      </w:r>
      <w:r>
        <w:rPr>
          <w:sz w:val="24"/>
        </w:rPr>
        <w:t>for </w:t>
      </w:r>
      <w:r>
        <w:rPr>
          <w:spacing w:val="-3"/>
          <w:sz w:val="24"/>
        </w:rPr>
        <w:t>which </w:t>
      </w:r>
      <w:r>
        <w:rPr>
          <w:sz w:val="24"/>
        </w:rPr>
        <w:t>the </w:t>
      </w:r>
      <w:r>
        <w:rPr>
          <w:spacing w:val="-3"/>
          <w:sz w:val="24"/>
        </w:rPr>
        <w:t>Hospital would otherwise </w:t>
      </w:r>
      <w:r>
        <w:rPr>
          <w:sz w:val="24"/>
        </w:rPr>
        <w:t>be </w:t>
      </w:r>
      <w:r>
        <w:rPr>
          <w:spacing w:val="-3"/>
          <w:sz w:val="24"/>
        </w:rPr>
        <w:t>paid </w:t>
      </w:r>
      <w:r>
        <w:rPr>
          <w:sz w:val="24"/>
        </w:rPr>
        <w:t>a</w:t>
      </w:r>
      <w:r>
        <w:rPr>
          <w:spacing w:val="-38"/>
          <w:sz w:val="24"/>
        </w:rPr>
        <w:t> </w:t>
      </w:r>
      <w:r>
        <w:rPr>
          <w:spacing w:val="-3"/>
          <w:sz w:val="24"/>
        </w:rPr>
        <w:t>SPAD:</w:t>
      </w:r>
    </w:p>
    <w:p>
      <w:pPr>
        <w:pStyle w:val="ListParagraph"/>
        <w:numPr>
          <w:ilvl w:val="3"/>
          <w:numId w:val="21"/>
        </w:numPr>
        <w:tabs>
          <w:tab w:pos="1551" w:val="left" w:leader="none"/>
          <w:tab w:pos="1552" w:val="left" w:leader="none"/>
        </w:tabs>
        <w:spacing w:line="242" w:lineRule="auto" w:before="123" w:after="0"/>
        <w:ind w:left="1552" w:right="334" w:hanging="360"/>
        <w:jc w:val="left"/>
        <w:rPr>
          <w:sz w:val="24"/>
        </w:rPr>
      </w:pPr>
      <w:r>
        <w:rPr>
          <w:spacing w:val="-3"/>
          <w:sz w:val="24"/>
        </w:rPr>
        <w:t>MassHealth will </w:t>
      </w:r>
      <w:r>
        <w:rPr>
          <w:sz w:val="24"/>
        </w:rPr>
        <w:t>not pay the </w:t>
      </w:r>
      <w:r>
        <w:rPr>
          <w:spacing w:val="-3"/>
          <w:sz w:val="24"/>
        </w:rPr>
        <w:t>SPAD </w:t>
      </w:r>
      <w:r>
        <w:rPr>
          <w:sz w:val="24"/>
        </w:rPr>
        <w:t>if the </w:t>
      </w:r>
      <w:r>
        <w:rPr>
          <w:spacing w:val="-3"/>
          <w:sz w:val="24"/>
        </w:rPr>
        <w:t>Hospital reports that only PPC-related services were delivered during </w:t>
      </w:r>
      <w:r>
        <w:rPr>
          <w:sz w:val="24"/>
        </w:rPr>
        <w:t>the </w:t>
      </w:r>
      <w:r>
        <w:rPr>
          <w:spacing w:val="-3"/>
          <w:sz w:val="24"/>
        </w:rPr>
        <w:t>first </w:t>
      </w:r>
      <w:r>
        <w:rPr>
          <w:sz w:val="24"/>
        </w:rPr>
        <w:t>20 </w:t>
      </w:r>
      <w:r>
        <w:rPr>
          <w:spacing w:val="-3"/>
          <w:sz w:val="24"/>
        </w:rPr>
        <w:t>days </w:t>
      </w:r>
      <w:r>
        <w:rPr>
          <w:sz w:val="24"/>
        </w:rPr>
        <w:t>of the </w:t>
      </w:r>
      <w:r>
        <w:rPr>
          <w:spacing w:val="-3"/>
          <w:sz w:val="24"/>
        </w:rPr>
        <w:t>inpatient admission, </w:t>
      </w:r>
      <w:r>
        <w:rPr>
          <w:sz w:val="24"/>
        </w:rPr>
        <w:t>and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12"/>
          <w:sz w:val="24"/>
        </w:rPr>
        <w:t> </w:t>
      </w:r>
      <w:r>
        <w:rPr>
          <w:spacing w:val="-3"/>
          <w:sz w:val="24"/>
        </w:rPr>
        <w:t>PPC.</w:t>
      </w:r>
    </w:p>
    <w:p>
      <w:pPr>
        <w:pStyle w:val="ListParagraph"/>
        <w:numPr>
          <w:ilvl w:val="3"/>
          <w:numId w:val="21"/>
        </w:numPr>
        <w:tabs>
          <w:tab w:pos="1552" w:val="left" w:leader="none"/>
        </w:tabs>
        <w:spacing w:line="242" w:lineRule="auto" w:before="120" w:after="0"/>
        <w:ind w:left="1552" w:right="245" w:hanging="360"/>
        <w:jc w:val="left"/>
        <w:rPr>
          <w:sz w:val="24"/>
        </w:rPr>
      </w:pPr>
      <w:r>
        <w:rPr>
          <w:spacing w:val="-3"/>
          <w:sz w:val="24"/>
        </w:rPr>
        <w:t>MassHealth will </w:t>
      </w:r>
      <w:r>
        <w:rPr>
          <w:sz w:val="24"/>
        </w:rPr>
        <w:t>pay the </w:t>
      </w:r>
      <w:r>
        <w:rPr>
          <w:spacing w:val="-3"/>
          <w:sz w:val="24"/>
        </w:rPr>
        <w:t>SPAD </w:t>
      </w:r>
      <w:r>
        <w:rPr>
          <w:sz w:val="24"/>
        </w:rPr>
        <w:t>if the </w:t>
      </w:r>
      <w:r>
        <w:rPr>
          <w:spacing w:val="-3"/>
          <w:sz w:val="24"/>
        </w:rPr>
        <w:t>Hospital reports that non-PPC related services were also delivered during </w:t>
      </w:r>
      <w:r>
        <w:rPr>
          <w:sz w:val="24"/>
        </w:rPr>
        <w:t>the </w:t>
      </w:r>
      <w:r>
        <w:rPr>
          <w:spacing w:val="-3"/>
          <w:sz w:val="24"/>
        </w:rPr>
        <w:t>first </w:t>
      </w:r>
      <w:r>
        <w:rPr>
          <w:sz w:val="24"/>
        </w:rPr>
        <w:t>20 </w:t>
      </w:r>
      <w:r>
        <w:rPr>
          <w:spacing w:val="-3"/>
          <w:sz w:val="24"/>
        </w:rPr>
        <w:t>days </w:t>
      </w:r>
      <w:r>
        <w:rPr>
          <w:sz w:val="24"/>
        </w:rPr>
        <w:t>of the </w:t>
      </w:r>
      <w:r>
        <w:rPr>
          <w:spacing w:val="-3"/>
          <w:sz w:val="24"/>
        </w:rPr>
        <w:t>inpatient admission, </w:t>
      </w:r>
      <w:r>
        <w:rPr>
          <w:sz w:val="24"/>
        </w:rPr>
        <w:t>but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12"/>
          <w:sz w:val="24"/>
        </w:rPr>
        <w:t> </w:t>
      </w:r>
      <w:r>
        <w:rPr>
          <w:spacing w:val="-3"/>
          <w:sz w:val="24"/>
        </w:rPr>
        <w:t>PPC.</w:t>
      </w:r>
    </w:p>
    <w:p>
      <w:pPr>
        <w:pStyle w:val="BodyText"/>
        <w:spacing w:before="4"/>
      </w:pPr>
    </w:p>
    <w:p>
      <w:pPr>
        <w:pStyle w:val="ListParagraph"/>
        <w:numPr>
          <w:ilvl w:val="2"/>
          <w:numId w:val="21"/>
        </w:numPr>
        <w:tabs>
          <w:tab w:pos="1192" w:val="left" w:leader="none"/>
        </w:tabs>
        <w:spacing w:line="242" w:lineRule="auto" w:before="0" w:after="0"/>
        <w:ind w:left="1192" w:right="174" w:hanging="360"/>
        <w:jc w:val="left"/>
        <w:rPr>
          <w:sz w:val="24"/>
        </w:rPr>
      </w:pPr>
      <w:r>
        <w:rPr>
          <w:spacing w:val="-3"/>
          <w:sz w:val="24"/>
          <w:u w:val="single"/>
        </w:rPr>
        <w:t>Psychiatric, Rehabilitation, Administrative Day, Outlier </w:t>
      </w:r>
      <w:r>
        <w:rPr>
          <w:sz w:val="24"/>
          <w:u w:val="single"/>
        </w:rPr>
        <w:t>or </w:t>
      </w:r>
      <w:r>
        <w:rPr>
          <w:spacing w:val="-3"/>
          <w:sz w:val="24"/>
          <w:u w:val="single"/>
        </w:rPr>
        <w:t>Transfer </w:t>
      </w:r>
      <w:r>
        <w:rPr>
          <w:sz w:val="24"/>
          <w:u w:val="single"/>
        </w:rPr>
        <w:t>Per </w:t>
      </w:r>
      <w:r>
        <w:rPr>
          <w:spacing w:val="-3"/>
          <w:sz w:val="24"/>
          <w:u w:val="single"/>
        </w:rPr>
        <w:t>Diem </w:t>
      </w:r>
      <w:r>
        <w:rPr>
          <w:spacing w:val="-4"/>
          <w:sz w:val="24"/>
          <w:u w:val="single"/>
        </w:rPr>
        <w:t>payments</w:t>
      </w:r>
      <w:r>
        <w:rPr>
          <w:spacing w:val="-4"/>
          <w:sz w:val="24"/>
        </w:rPr>
        <w:t>. </w:t>
      </w:r>
      <w:r>
        <w:rPr>
          <w:sz w:val="24"/>
        </w:rPr>
        <w:t>For</w:t>
      </w:r>
      <w:r>
        <w:rPr>
          <w:spacing w:val="-6"/>
          <w:sz w:val="24"/>
        </w:rPr>
        <w:t> </w:t>
      </w:r>
      <w:r>
        <w:rPr>
          <w:spacing w:val="-3"/>
          <w:sz w:val="24"/>
        </w:rPr>
        <w:t>inpatient</w:t>
      </w:r>
      <w:r>
        <w:rPr>
          <w:spacing w:val="-6"/>
          <w:sz w:val="24"/>
        </w:rPr>
        <w:t> </w:t>
      </w:r>
      <w:r>
        <w:rPr>
          <w:spacing w:val="-3"/>
          <w:sz w:val="24"/>
        </w:rPr>
        <w:t>services</w:t>
      </w:r>
      <w:r>
        <w:rPr>
          <w:spacing w:val="-6"/>
          <w:sz w:val="24"/>
        </w:rPr>
        <w:t> </w:t>
      </w:r>
      <w:r>
        <w:rPr>
          <w:sz w:val="24"/>
        </w:rPr>
        <w:t>for</w:t>
      </w:r>
      <w:r>
        <w:rPr>
          <w:spacing w:val="-6"/>
          <w:sz w:val="24"/>
        </w:rPr>
        <w:t> </w:t>
      </w:r>
      <w:r>
        <w:rPr>
          <w:spacing w:val="-3"/>
          <w:sz w:val="24"/>
        </w:rPr>
        <w:t>which</w:t>
      </w:r>
      <w:r>
        <w:rPr>
          <w:spacing w:val="-6"/>
          <w:sz w:val="24"/>
        </w:rPr>
        <w:t> </w:t>
      </w:r>
      <w:r>
        <w:rPr>
          <w:sz w:val="24"/>
        </w:rPr>
        <w:t>the</w:t>
      </w:r>
      <w:r>
        <w:rPr>
          <w:spacing w:val="-6"/>
          <w:sz w:val="24"/>
        </w:rPr>
        <w:t> </w:t>
      </w:r>
      <w:r>
        <w:rPr>
          <w:spacing w:val="-3"/>
          <w:sz w:val="24"/>
        </w:rPr>
        <w:t>Hospital</w:t>
      </w:r>
      <w:r>
        <w:rPr>
          <w:spacing w:val="-6"/>
          <w:sz w:val="24"/>
        </w:rPr>
        <w:t> </w:t>
      </w:r>
      <w:r>
        <w:rPr>
          <w:spacing w:val="-3"/>
          <w:sz w:val="24"/>
        </w:rPr>
        <w:t>would</w:t>
      </w:r>
      <w:r>
        <w:rPr>
          <w:spacing w:val="-6"/>
          <w:sz w:val="24"/>
        </w:rPr>
        <w:t> </w:t>
      </w:r>
      <w:r>
        <w:rPr>
          <w:spacing w:val="-3"/>
          <w:sz w:val="24"/>
        </w:rPr>
        <w:t>otherwise</w:t>
      </w:r>
      <w:r>
        <w:rPr>
          <w:spacing w:val="-6"/>
          <w:sz w:val="24"/>
        </w:rPr>
        <w:t> </w:t>
      </w:r>
      <w:r>
        <w:rPr>
          <w:sz w:val="24"/>
        </w:rPr>
        <w:t>be</w:t>
      </w:r>
      <w:r>
        <w:rPr>
          <w:spacing w:val="-6"/>
          <w:sz w:val="24"/>
        </w:rPr>
        <w:t> </w:t>
      </w:r>
      <w:r>
        <w:rPr>
          <w:spacing w:val="-3"/>
          <w:sz w:val="24"/>
        </w:rPr>
        <w:t>paid</w:t>
      </w:r>
      <w:r>
        <w:rPr>
          <w:spacing w:val="-6"/>
          <w:sz w:val="24"/>
        </w:rPr>
        <w:t> </w:t>
      </w:r>
      <w:r>
        <w:rPr>
          <w:sz w:val="24"/>
        </w:rPr>
        <w:t>a</w:t>
      </w:r>
      <w:r>
        <w:rPr>
          <w:spacing w:val="-6"/>
          <w:sz w:val="24"/>
        </w:rPr>
        <w:t> </w:t>
      </w:r>
      <w:r>
        <w:rPr>
          <w:sz w:val="24"/>
        </w:rPr>
        <w:t>per</w:t>
      </w:r>
      <w:r>
        <w:rPr>
          <w:spacing w:val="-6"/>
          <w:sz w:val="24"/>
        </w:rPr>
        <w:t> </w:t>
      </w:r>
      <w:r>
        <w:rPr>
          <w:spacing w:val="-3"/>
          <w:sz w:val="24"/>
        </w:rPr>
        <w:t>diem:</w:t>
      </w:r>
    </w:p>
    <w:p>
      <w:pPr>
        <w:pStyle w:val="ListParagraph"/>
        <w:numPr>
          <w:ilvl w:val="3"/>
          <w:numId w:val="21"/>
        </w:numPr>
        <w:tabs>
          <w:tab w:pos="1551" w:val="left" w:leader="none"/>
          <w:tab w:pos="1552" w:val="left" w:leader="none"/>
        </w:tabs>
        <w:spacing w:line="242" w:lineRule="auto" w:before="121" w:after="0"/>
        <w:ind w:left="1552" w:right="138" w:hanging="360"/>
        <w:jc w:val="left"/>
        <w:rPr>
          <w:sz w:val="24"/>
        </w:rPr>
      </w:pPr>
      <w:r>
        <w:rPr>
          <w:spacing w:val="-3"/>
          <w:sz w:val="24"/>
        </w:rPr>
        <w:t>MassHealth will </w:t>
      </w:r>
      <w:r>
        <w:rPr>
          <w:sz w:val="24"/>
        </w:rPr>
        <w:t>not pay the per </w:t>
      </w:r>
      <w:r>
        <w:rPr>
          <w:spacing w:val="-3"/>
          <w:sz w:val="24"/>
        </w:rPr>
        <w:t>diem </w:t>
      </w:r>
      <w:r>
        <w:rPr>
          <w:sz w:val="24"/>
        </w:rPr>
        <w:t>if the </w:t>
      </w:r>
      <w:r>
        <w:rPr>
          <w:spacing w:val="-3"/>
          <w:sz w:val="24"/>
        </w:rPr>
        <w:t>Hospital reports that only PPC-related services were delivered </w:t>
      </w:r>
      <w:r>
        <w:rPr>
          <w:sz w:val="24"/>
        </w:rPr>
        <w:t>on </w:t>
      </w:r>
      <w:r>
        <w:rPr>
          <w:spacing w:val="-3"/>
          <w:sz w:val="24"/>
        </w:rPr>
        <w:t>that day, </w:t>
      </w:r>
      <w:r>
        <w:rPr>
          <w:sz w:val="24"/>
        </w:rPr>
        <w:t>and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5"/>
          <w:sz w:val="24"/>
        </w:rPr>
        <w:t> </w:t>
      </w:r>
      <w:r>
        <w:rPr>
          <w:spacing w:val="-3"/>
          <w:sz w:val="24"/>
        </w:rPr>
        <w:t>PPC.</w:t>
      </w:r>
    </w:p>
    <w:p>
      <w:pPr>
        <w:pStyle w:val="ListParagraph"/>
        <w:numPr>
          <w:ilvl w:val="3"/>
          <w:numId w:val="21"/>
        </w:numPr>
        <w:tabs>
          <w:tab w:pos="1552" w:val="left" w:leader="none"/>
        </w:tabs>
        <w:spacing w:line="242" w:lineRule="auto" w:before="121" w:after="0"/>
        <w:ind w:left="1552" w:right="140" w:hanging="360"/>
        <w:jc w:val="left"/>
        <w:rPr>
          <w:sz w:val="24"/>
        </w:rPr>
      </w:pPr>
      <w:r>
        <w:rPr>
          <w:spacing w:val="-3"/>
          <w:sz w:val="24"/>
        </w:rPr>
        <w:t>MassHealth will </w:t>
      </w:r>
      <w:r>
        <w:rPr>
          <w:sz w:val="24"/>
        </w:rPr>
        <w:t>pay the per </w:t>
      </w:r>
      <w:r>
        <w:rPr>
          <w:spacing w:val="-3"/>
          <w:sz w:val="24"/>
        </w:rPr>
        <w:t>diem </w:t>
      </w:r>
      <w:r>
        <w:rPr>
          <w:sz w:val="24"/>
        </w:rPr>
        <w:t>if the </w:t>
      </w:r>
      <w:r>
        <w:rPr>
          <w:spacing w:val="-3"/>
          <w:sz w:val="24"/>
        </w:rPr>
        <w:t>Hospital reports that non-PPC related services were also delivered </w:t>
      </w:r>
      <w:r>
        <w:rPr>
          <w:sz w:val="24"/>
        </w:rPr>
        <w:t>on </w:t>
      </w:r>
      <w:r>
        <w:rPr>
          <w:spacing w:val="-3"/>
          <w:sz w:val="24"/>
        </w:rPr>
        <w:t>that day, </w:t>
      </w:r>
      <w:r>
        <w:rPr>
          <w:sz w:val="24"/>
        </w:rPr>
        <w:t>but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5"/>
          <w:sz w:val="24"/>
        </w:rPr>
        <w:t> </w:t>
      </w:r>
      <w:r>
        <w:rPr>
          <w:spacing w:val="-3"/>
          <w:sz w:val="24"/>
        </w:rPr>
        <w:t>PPC.</w:t>
      </w:r>
    </w:p>
    <w:p>
      <w:pPr>
        <w:spacing w:after="0" w:line="242" w:lineRule="auto"/>
        <w:jc w:val="left"/>
        <w:rPr>
          <w:sz w:val="24"/>
        </w:rPr>
        <w:sectPr>
          <w:pgSz w:w="12240" w:h="15840"/>
          <w:pgMar w:header="0" w:footer="744" w:top="1380" w:bottom="940" w:left="1580" w:right="980"/>
        </w:sectPr>
      </w:pPr>
    </w:p>
    <w:p>
      <w:pPr>
        <w:pStyle w:val="ListParagraph"/>
        <w:numPr>
          <w:ilvl w:val="2"/>
          <w:numId w:val="21"/>
        </w:numPr>
        <w:tabs>
          <w:tab w:pos="1052" w:val="left" w:leader="none"/>
        </w:tabs>
        <w:spacing w:line="242" w:lineRule="auto" w:before="61" w:after="0"/>
        <w:ind w:left="1052" w:right="184" w:hanging="360"/>
        <w:jc w:val="left"/>
        <w:rPr>
          <w:sz w:val="24"/>
        </w:rPr>
      </w:pPr>
      <w:r>
        <w:rPr>
          <w:spacing w:val="-3"/>
          <w:sz w:val="24"/>
          <w:u w:val="single"/>
        </w:rPr>
        <w:t>Inpatient Hospital Payments for Hospital-Based Physician Services</w:t>
      </w:r>
      <w:r>
        <w:rPr>
          <w:spacing w:val="-3"/>
          <w:sz w:val="24"/>
        </w:rPr>
        <w:t>:  MassHealth will </w:t>
      </w:r>
      <w:r>
        <w:rPr>
          <w:sz w:val="24"/>
        </w:rPr>
        <w:t>not pay for </w:t>
      </w:r>
      <w:r>
        <w:rPr>
          <w:spacing w:val="-3"/>
          <w:sz w:val="24"/>
        </w:rPr>
        <w:t>inpatient Hospital-based physician services reported </w:t>
      </w:r>
      <w:r>
        <w:rPr>
          <w:sz w:val="24"/>
        </w:rPr>
        <w:t>as </w:t>
      </w:r>
      <w:r>
        <w:rPr>
          <w:spacing w:val="-3"/>
          <w:sz w:val="24"/>
        </w:rPr>
        <w:t>PPC-related</w:t>
      </w:r>
      <w:r>
        <w:rPr>
          <w:spacing w:val="-38"/>
          <w:sz w:val="24"/>
        </w:rPr>
        <w:t> </w:t>
      </w:r>
      <w:r>
        <w:rPr>
          <w:spacing w:val="-3"/>
          <w:sz w:val="24"/>
        </w:rPr>
        <w:t>services.</w:t>
      </w:r>
    </w:p>
    <w:p>
      <w:pPr>
        <w:pStyle w:val="BodyText"/>
        <w:spacing w:before="4"/>
      </w:pPr>
    </w:p>
    <w:p>
      <w:pPr>
        <w:pStyle w:val="ListParagraph"/>
        <w:numPr>
          <w:ilvl w:val="2"/>
          <w:numId w:val="21"/>
        </w:numPr>
        <w:tabs>
          <w:tab w:pos="1052" w:val="left" w:leader="none"/>
        </w:tabs>
        <w:spacing w:line="242" w:lineRule="auto" w:before="0" w:after="0"/>
        <w:ind w:left="1052" w:right="284" w:hanging="360"/>
        <w:jc w:val="left"/>
        <w:rPr>
          <w:sz w:val="24"/>
        </w:rPr>
      </w:pPr>
      <w:r>
        <w:rPr>
          <w:spacing w:val="-3"/>
          <w:sz w:val="24"/>
          <w:u w:val="single"/>
        </w:rPr>
        <w:t>Follow-up Care </w:t>
      </w:r>
      <w:r>
        <w:rPr>
          <w:sz w:val="24"/>
          <w:u w:val="single"/>
        </w:rPr>
        <w:t>in </w:t>
      </w:r>
      <w:r>
        <w:rPr>
          <w:spacing w:val="-3"/>
          <w:sz w:val="24"/>
          <w:u w:val="single"/>
        </w:rPr>
        <w:t>Same Hospital</w:t>
      </w:r>
      <w:r>
        <w:rPr>
          <w:spacing w:val="-3"/>
          <w:sz w:val="24"/>
        </w:rPr>
        <w:t>: </w:t>
      </w:r>
      <w:r>
        <w:rPr>
          <w:sz w:val="24"/>
        </w:rPr>
        <w:t>If a </w:t>
      </w:r>
      <w:r>
        <w:rPr>
          <w:spacing w:val="-3"/>
          <w:sz w:val="24"/>
        </w:rPr>
        <w:t>hospital reports that </w:t>
      </w:r>
      <w:r>
        <w:rPr>
          <w:sz w:val="24"/>
        </w:rPr>
        <w:t>it </w:t>
      </w:r>
      <w:r>
        <w:rPr>
          <w:spacing w:val="-3"/>
          <w:sz w:val="24"/>
        </w:rPr>
        <w:t>provided follow-up inpatient hospital services that were solely </w:t>
      </w:r>
      <w:r>
        <w:rPr>
          <w:sz w:val="24"/>
        </w:rPr>
        <w:t>the </w:t>
      </w:r>
      <w:r>
        <w:rPr>
          <w:spacing w:val="-3"/>
          <w:sz w:val="24"/>
        </w:rPr>
        <w:t>result </w:t>
      </w:r>
      <w:r>
        <w:rPr>
          <w:sz w:val="24"/>
        </w:rPr>
        <w:t>of a </w:t>
      </w:r>
      <w:r>
        <w:rPr>
          <w:spacing w:val="-3"/>
          <w:sz w:val="24"/>
        </w:rPr>
        <w:t>previous </w:t>
      </w:r>
      <w:r>
        <w:rPr>
          <w:sz w:val="24"/>
        </w:rPr>
        <w:t>PPC </w:t>
      </w:r>
      <w:r>
        <w:rPr>
          <w:spacing w:val="-3"/>
          <w:sz w:val="24"/>
        </w:rPr>
        <w:t>(inpatient or outpatient) that occurred while </w:t>
      </w:r>
      <w:r>
        <w:rPr>
          <w:sz w:val="24"/>
        </w:rPr>
        <w:t>the </w:t>
      </w:r>
      <w:r>
        <w:rPr>
          <w:spacing w:val="-4"/>
          <w:sz w:val="24"/>
        </w:rPr>
        <w:t>member </w:t>
      </w:r>
      <w:r>
        <w:rPr>
          <w:sz w:val="24"/>
        </w:rPr>
        <w:t>was </w:t>
      </w:r>
      <w:r>
        <w:rPr>
          <w:spacing w:val="-3"/>
          <w:sz w:val="24"/>
        </w:rPr>
        <w:t>being cared for </w:t>
      </w:r>
      <w:r>
        <w:rPr>
          <w:sz w:val="24"/>
        </w:rPr>
        <w:t>at a </w:t>
      </w:r>
      <w:r>
        <w:rPr>
          <w:spacing w:val="-3"/>
          <w:sz w:val="24"/>
        </w:rPr>
        <w:t>facility covered under </w:t>
      </w:r>
      <w:r>
        <w:rPr>
          <w:sz w:val="24"/>
        </w:rPr>
        <w:t>the </w:t>
      </w:r>
      <w:r>
        <w:rPr>
          <w:spacing w:val="-3"/>
          <w:sz w:val="24"/>
        </w:rPr>
        <w:t>same hospital license, MassHealth will </w:t>
      </w:r>
      <w:r>
        <w:rPr>
          <w:sz w:val="24"/>
        </w:rPr>
        <w:t>not pay for the </w:t>
      </w:r>
      <w:r>
        <w:rPr>
          <w:spacing w:val="-3"/>
          <w:sz w:val="24"/>
        </w:rPr>
        <w:t>reported follow-up services. </w:t>
      </w:r>
      <w:r>
        <w:rPr>
          <w:sz w:val="24"/>
        </w:rPr>
        <w:t>If the </w:t>
      </w:r>
      <w:r>
        <w:rPr>
          <w:spacing w:val="-3"/>
          <w:sz w:val="24"/>
        </w:rPr>
        <w:t>Hospital reports that non-PPC-related services were provided during the follow-up stay, payment will </w:t>
      </w:r>
      <w:r>
        <w:rPr>
          <w:sz w:val="24"/>
        </w:rPr>
        <w:t>be </w:t>
      </w:r>
      <w:r>
        <w:rPr>
          <w:spacing w:val="-3"/>
          <w:sz w:val="24"/>
        </w:rPr>
        <w:t>made, </w:t>
      </w:r>
      <w:r>
        <w:rPr>
          <w:sz w:val="24"/>
        </w:rPr>
        <w:t>but </w:t>
      </w:r>
      <w:r>
        <w:rPr>
          <w:spacing w:val="-3"/>
          <w:sz w:val="24"/>
        </w:rPr>
        <w:t>MassHealth will exclude </w:t>
      </w:r>
      <w:r>
        <w:rPr>
          <w:sz w:val="24"/>
        </w:rPr>
        <w:t>all </w:t>
      </w:r>
      <w:r>
        <w:rPr>
          <w:spacing w:val="-3"/>
          <w:sz w:val="24"/>
        </w:rPr>
        <w:t>reported PPC- 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9"/>
          <w:sz w:val="24"/>
        </w:rPr>
        <w:t> </w:t>
      </w:r>
      <w:r>
        <w:rPr>
          <w:spacing w:val="-3"/>
          <w:sz w:val="24"/>
        </w:rPr>
        <w:t>PPC.</w:t>
      </w:r>
    </w:p>
    <w:p>
      <w:pPr>
        <w:pStyle w:val="BodyText"/>
        <w:spacing w:before="8"/>
      </w:pPr>
    </w:p>
    <w:p>
      <w:pPr>
        <w:pStyle w:val="ListParagraph"/>
        <w:numPr>
          <w:ilvl w:val="1"/>
          <w:numId w:val="21"/>
        </w:numPr>
        <w:tabs>
          <w:tab w:pos="692" w:val="left" w:leader="none"/>
        </w:tabs>
        <w:spacing w:line="242" w:lineRule="auto" w:before="0" w:after="0"/>
        <w:ind w:left="692" w:right="443" w:hanging="360"/>
        <w:jc w:val="left"/>
        <w:rPr>
          <w:sz w:val="24"/>
        </w:rPr>
      </w:pPr>
      <w:r>
        <w:rPr>
          <w:b/>
          <w:spacing w:val="-3"/>
          <w:sz w:val="24"/>
        </w:rPr>
        <w:t>Outpatient Hospital Services </w:t>
      </w:r>
      <w:r>
        <w:rPr>
          <w:sz w:val="24"/>
        </w:rPr>
        <w:t>– For </w:t>
      </w:r>
      <w:r>
        <w:rPr>
          <w:spacing w:val="-3"/>
          <w:sz w:val="24"/>
        </w:rPr>
        <w:t>outpatient hospital services, when </w:t>
      </w:r>
      <w:r>
        <w:rPr>
          <w:sz w:val="24"/>
        </w:rPr>
        <w:t>a </w:t>
      </w:r>
      <w:r>
        <w:rPr>
          <w:spacing w:val="-3"/>
          <w:sz w:val="24"/>
        </w:rPr>
        <w:t>Hospital reports that </w:t>
      </w:r>
      <w:r>
        <w:rPr>
          <w:sz w:val="24"/>
        </w:rPr>
        <w:t>a PPC </w:t>
      </w:r>
      <w:r>
        <w:rPr>
          <w:spacing w:val="-3"/>
          <w:sz w:val="24"/>
        </w:rPr>
        <w:t>occurred during treatment </w:t>
      </w:r>
      <w:r>
        <w:rPr>
          <w:sz w:val="24"/>
        </w:rPr>
        <w:t>at the </w:t>
      </w:r>
      <w:r>
        <w:rPr>
          <w:spacing w:val="-3"/>
          <w:sz w:val="24"/>
        </w:rPr>
        <w:t>Hospital (including </w:t>
      </w:r>
      <w:r>
        <w:rPr>
          <w:sz w:val="24"/>
        </w:rPr>
        <w:t>its </w:t>
      </w:r>
      <w:r>
        <w:rPr>
          <w:spacing w:val="-3"/>
          <w:sz w:val="24"/>
        </w:rPr>
        <w:t>satellite clinics), MassHealth will reduce payments </w:t>
      </w:r>
      <w:r>
        <w:rPr>
          <w:sz w:val="24"/>
        </w:rPr>
        <w:t>to the </w:t>
      </w:r>
      <w:r>
        <w:rPr>
          <w:spacing w:val="-3"/>
          <w:sz w:val="24"/>
        </w:rPr>
        <w:t>Hospital </w:t>
      </w:r>
      <w:r>
        <w:rPr>
          <w:sz w:val="24"/>
        </w:rPr>
        <w:t>as</w:t>
      </w:r>
      <w:r>
        <w:rPr>
          <w:spacing w:val="-17"/>
          <w:sz w:val="24"/>
        </w:rPr>
        <w:t> </w:t>
      </w:r>
      <w:r>
        <w:rPr>
          <w:spacing w:val="-4"/>
          <w:sz w:val="24"/>
        </w:rPr>
        <w:t>follows:</w:t>
      </w:r>
    </w:p>
    <w:p>
      <w:pPr>
        <w:pStyle w:val="BodyText"/>
        <w:spacing w:before="4"/>
      </w:pPr>
    </w:p>
    <w:p>
      <w:pPr>
        <w:pStyle w:val="ListParagraph"/>
        <w:numPr>
          <w:ilvl w:val="2"/>
          <w:numId w:val="21"/>
        </w:numPr>
        <w:tabs>
          <w:tab w:pos="1052" w:val="left" w:leader="none"/>
        </w:tabs>
        <w:spacing w:line="242" w:lineRule="auto" w:before="0" w:after="0"/>
        <w:ind w:left="1052" w:right="739" w:hanging="360"/>
        <w:jc w:val="left"/>
        <w:rPr>
          <w:sz w:val="24"/>
        </w:rPr>
      </w:pPr>
      <w:r>
        <w:rPr>
          <w:spacing w:val="-3"/>
          <w:sz w:val="24"/>
          <w:u w:val="single"/>
        </w:rPr>
        <w:t>PAPE</w:t>
      </w:r>
      <w:r>
        <w:rPr>
          <w:spacing w:val="-3"/>
          <w:sz w:val="24"/>
        </w:rPr>
        <w:t>. </w:t>
      </w:r>
      <w:r>
        <w:rPr>
          <w:sz w:val="24"/>
        </w:rPr>
        <w:t>For </w:t>
      </w:r>
      <w:r>
        <w:rPr>
          <w:spacing w:val="-3"/>
          <w:sz w:val="24"/>
        </w:rPr>
        <w:t>outpatient services </w:t>
      </w:r>
      <w:r>
        <w:rPr>
          <w:sz w:val="24"/>
        </w:rPr>
        <w:t>for </w:t>
      </w:r>
      <w:r>
        <w:rPr>
          <w:spacing w:val="-3"/>
          <w:sz w:val="24"/>
        </w:rPr>
        <w:t>which </w:t>
      </w:r>
      <w:r>
        <w:rPr>
          <w:sz w:val="24"/>
        </w:rPr>
        <w:t>the </w:t>
      </w:r>
      <w:r>
        <w:rPr>
          <w:spacing w:val="-3"/>
          <w:sz w:val="24"/>
        </w:rPr>
        <w:t>Hospital would otherwise </w:t>
      </w:r>
      <w:r>
        <w:rPr>
          <w:sz w:val="24"/>
        </w:rPr>
        <w:t>be </w:t>
      </w:r>
      <w:r>
        <w:rPr>
          <w:spacing w:val="-3"/>
          <w:sz w:val="24"/>
        </w:rPr>
        <w:t>paid the PAPE:</w:t>
      </w:r>
    </w:p>
    <w:p>
      <w:pPr>
        <w:pStyle w:val="ListParagraph"/>
        <w:numPr>
          <w:ilvl w:val="3"/>
          <w:numId w:val="21"/>
        </w:numPr>
        <w:tabs>
          <w:tab w:pos="1412" w:val="left" w:leader="none"/>
        </w:tabs>
        <w:spacing w:line="242" w:lineRule="auto" w:before="120" w:after="0"/>
        <w:ind w:left="1412" w:right="635" w:hanging="360"/>
        <w:jc w:val="both"/>
        <w:rPr>
          <w:sz w:val="24"/>
        </w:rPr>
      </w:pPr>
      <w:r>
        <w:rPr>
          <w:spacing w:val="-3"/>
          <w:sz w:val="24"/>
        </w:rPr>
        <w:t>MassHealth will </w:t>
      </w:r>
      <w:r>
        <w:rPr>
          <w:sz w:val="24"/>
        </w:rPr>
        <w:t>not pay the </w:t>
      </w:r>
      <w:r>
        <w:rPr>
          <w:spacing w:val="-3"/>
          <w:sz w:val="24"/>
        </w:rPr>
        <w:t>PAPE </w:t>
      </w:r>
      <w:r>
        <w:rPr>
          <w:sz w:val="24"/>
        </w:rPr>
        <w:t>if the </w:t>
      </w:r>
      <w:r>
        <w:rPr>
          <w:spacing w:val="-3"/>
          <w:sz w:val="24"/>
        </w:rPr>
        <w:t>Hospital reports that only PPC-related services were delivered during </w:t>
      </w:r>
      <w:r>
        <w:rPr>
          <w:sz w:val="24"/>
        </w:rPr>
        <w:t>the </w:t>
      </w:r>
      <w:r>
        <w:rPr>
          <w:spacing w:val="-3"/>
          <w:sz w:val="24"/>
        </w:rPr>
        <w:t>episode </w:t>
      </w:r>
      <w:r>
        <w:rPr>
          <w:sz w:val="24"/>
        </w:rPr>
        <w:t>of </w:t>
      </w:r>
      <w:r>
        <w:rPr>
          <w:spacing w:val="-3"/>
          <w:sz w:val="24"/>
        </w:rPr>
        <w:t>care, </w:t>
      </w:r>
      <w:r>
        <w:rPr>
          <w:sz w:val="24"/>
        </w:rPr>
        <w:t>and </w:t>
      </w:r>
      <w:r>
        <w:rPr>
          <w:spacing w:val="-3"/>
          <w:sz w:val="24"/>
        </w:rPr>
        <w:t>will exclude </w:t>
      </w:r>
      <w:r>
        <w:rPr>
          <w:sz w:val="24"/>
        </w:rPr>
        <w:t>all </w:t>
      </w:r>
      <w:r>
        <w:rPr>
          <w:spacing w:val="-3"/>
          <w:sz w:val="24"/>
        </w:rPr>
        <w:t>reported PPC-related costs/services when determining future year payment rates that are calculated using </w:t>
      </w:r>
      <w:r>
        <w:rPr>
          <w:sz w:val="24"/>
        </w:rPr>
        <w:t>a </w:t>
      </w:r>
      <w:r>
        <w:rPr>
          <w:spacing w:val="-3"/>
          <w:sz w:val="24"/>
        </w:rPr>
        <w:t>data source that would otherwise include </w:t>
      </w:r>
      <w:r>
        <w:rPr>
          <w:sz w:val="24"/>
        </w:rPr>
        <w:t>the</w:t>
      </w:r>
      <w:r>
        <w:rPr>
          <w:spacing w:val="-8"/>
          <w:sz w:val="24"/>
        </w:rPr>
        <w:t> </w:t>
      </w:r>
      <w:r>
        <w:rPr>
          <w:spacing w:val="-3"/>
          <w:sz w:val="24"/>
        </w:rPr>
        <w:t>PPC.</w:t>
      </w:r>
    </w:p>
    <w:p>
      <w:pPr>
        <w:pStyle w:val="ListParagraph"/>
        <w:numPr>
          <w:ilvl w:val="3"/>
          <w:numId w:val="21"/>
        </w:numPr>
        <w:tabs>
          <w:tab w:pos="1412" w:val="left" w:leader="none"/>
        </w:tabs>
        <w:spacing w:line="242" w:lineRule="auto" w:before="120" w:after="0"/>
        <w:ind w:left="1412" w:right="272" w:hanging="360"/>
        <w:jc w:val="left"/>
        <w:rPr>
          <w:sz w:val="24"/>
        </w:rPr>
      </w:pPr>
      <w:r>
        <w:rPr>
          <w:spacing w:val="-3"/>
          <w:sz w:val="24"/>
        </w:rPr>
        <w:t>MassHealth will </w:t>
      </w:r>
      <w:r>
        <w:rPr>
          <w:sz w:val="24"/>
        </w:rPr>
        <w:t>pay the </w:t>
      </w:r>
      <w:r>
        <w:rPr>
          <w:spacing w:val="-3"/>
          <w:sz w:val="24"/>
        </w:rPr>
        <w:t>PAPE </w:t>
      </w:r>
      <w:r>
        <w:rPr>
          <w:sz w:val="24"/>
        </w:rPr>
        <w:t>if the </w:t>
      </w:r>
      <w:r>
        <w:rPr>
          <w:spacing w:val="-3"/>
          <w:sz w:val="24"/>
        </w:rPr>
        <w:t>Hospital reports that non-PPC related services were also delivered during </w:t>
      </w:r>
      <w:r>
        <w:rPr>
          <w:sz w:val="24"/>
        </w:rPr>
        <w:t>the </w:t>
      </w:r>
      <w:r>
        <w:rPr>
          <w:spacing w:val="-3"/>
          <w:sz w:val="24"/>
        </w:rPr>
        <w:t>same episode </w:t>
      </w:r>
      <w:r>
        <w:rPr>
          <w:sz w:val="24"/>
        </w:rPr>
        <w:t>of </w:t>
      </w:r>
      <w:r>
        <w:rPr>
          <w:spacing w:val="-3"/>
          <w:sz w:val="24"/>
        </w:rPr>
        <w:t>care, </w:t>
      </w:r>
      <w:r>
        <w:rPr>
          <w:sz w:val="24"/>
        </w:rPr>
        <w:t>but </w:t>
      </w:r>
      <w:r>
        <w:rPr>
          <w:spacing w:val="-3"/>
          <w:sz w:val="24"/>
        </w:rPr>
        <w:t>will exclude </w:t>
      </w:r>
      <w:r>
        <w:rPr>
          <w:sz w:val="24"/>
        </w:rPr>
        <w:t>all </w:t>
      </w:r>
      <w:r>
        <w:rPr>
          <w:spacing w:val="-3"/>
          <w:sz w:val="24"/>
        </w:rPr>
        <w:t>reported PPC-related costs/services when determining future year payment rates that are calculated using </w:t>
      </w:r>
      <w:r>
        <w:rPr>
          <w:sz w:val="24"/>
        </w:rPr>
        <w:t>a </w:t>
      </w:r>
      <w:r>
        <w:rPr>
          <w:spacing w:val="-3"/>
          <w:sz w:val="24"/>
        </w:rPr>
        <w:t>data source that would otherwise include </w:t>
      </w:r>
      <w:r>
        <w:rPr>
          <w:sz w:val="24"/>
        </w:rPr>
        <w:t>the</w:t>
      </w:r>
      <w:r>
        <w:rPr>
          <w:spacing w:val="-8"/>
          <w:sz w:val="24"/>
        </w:rPr>
        <w:t> </w:t>
      </w:r>
      <w:r>
        <w:rPr>
          <w:spacing w:val="-3"/>
          <w:sz w:val="24"/>
        </w:rPr>
        <w:t>PPC.</w:t>
      </w:r>
    </w:p>
    <w:p>
      <w:pPr>
        <w:pStyle w:val="BodyText"/>
        <w:spacing w:before="1"/>
      </w:pPr>
    </w:p>
    <w:p>
      <w:pPr>
        <w:pStyle w:val="ListParagraph"/>
        <w:numPr>
          <w:ilvl w:val="2"/>
          <w:numId w:val="21"/>
        </w:numPr>
        <w:tabs>
          <w:tab w:pos="1052" w:val="left" w:leader="none"/>
        </w:tabs>
        <w:spacing w:line="242" w:lineRule="auto" w:before="0" w:after="0"/>
        <w:ind w:left="1052" w:right="284" w:hanging="360"/>
        <w:jc w:val="left"/>
        <w:rPr>
          <w:sz w:val="24"/>
        </w:rPr>
      </w:pPr>
      <w:r>
        <w:rPr>
          <w:spacing w:val="-3"/>
          <w:sz w:val="24"/>
          <w:u w:val="single"/>
        </w:rPr>
        <w:t>Outpatient Hospital Payments for Hospital-Based Physician Services</w:t>
      </w:r>
      <w:r>
        <w:rPr>
          <w:spacing w:val="-3"/>
          <w:sz w:val="24"/>
        </w:rPr>
        <w:t>: MassHealth will </w:t>
      </w:r>
      <w:r>
        <w:rPr>
          <w:sz w:val="24"/>
        </w:rPr>
        <w:t>not pay for </w:t>
      </w:r>
      <w:r>
        <w:rPr>
          <w:spacing w:val="-3"/>
          <w:sz w:val="24"/>
        </w:rPr>
        <w:t>outpatient Hospital-based physician services reported </w:t>
      </w:r>
      <w:r>
        <w:rPr>
          <w:sz w:val="24"/>
        </w:rPr>
        <w:t>as </w:t>
      </w:r>
      <w:r>
        <w:rPr>
          <w:spacing w:val="-3"/>
          <w:sz w:val="24"/>
        </w:rPr>
        <w:t>PPC-related services.</w:t>
      </w:r>
    </w:p>
    <w:p>
      <w:pPr>
        <w:pStyle w:val="BodyText"/>
        <w:spacing w:before="1"/>
      </w:pPr>
    </w:p>
    <w:p>
      <w:pPr>
        <w:pStyle w:val="ListParagraph"/>
        <w:numPr>
          <w:ilvl w:val="2"/>
          <w:numId w:val="21"/>
        </w:numPr>
        <w:tabs>
          <w:tab w:pos="1052" w:val="left" w:leader="none"/>
        </w:tabs>
        <w:spacing w:line="242" w:lineRule="auto" w:before="0" w:after="0"/>
        <w:ind w:left="1052" w:right="236" w:hanging="360"/>
        <w:jc w:val="left"/>
        <w:rPr>
          <w:sz w:val="24"/>
        </w:rPr>
      </w:pPr>
      <w:r>
        <w:rPr>
          <w:spacing w:val="-3"/>
          <w:sz w:val="24"/>
          <w:u w:val="single"/>
        </w:rPr>
        <w:t>Follow-Up Care </w:t>
      </w:r>
      <w:r>
        <w:rPr>
          <w:sz w:val="24"/>
          <w:u w:val="single"/>
        </w:rPr>
        <w:t>in </w:t>
      </w:r>
      <w:r>
        <w:rPr>
          <w:spacing w:val="-3"/>
          <w:sz w:val="24"/>
          <w:u w:val="single"/>
        </w:rPr>
        <w:t>Same Hospital</w:t>
      </w:r>
      <w:r>
        <w:rPr>
          <w:spacing w:val="-3"/>
          <w:sz w:val="24"/>
        </w:rPr>
        <w:t>: </w:t>
      </w:r>
      <w:r>
        <w:rPr>
          <w:sz w:val="24"/>
        </w:rPr>
        <w:t>If a </w:t>
      </w:r>
      <w:r>
        <w:rPr>
          <w:spacing w:val="-3"/>
          <w:sz w:val="24"/>
        </w:rPr>
        <w:t>Hospital reports that </w:t>
      </w:r>
      <w:r>
        <w:rPr>
          <w:sz w:val="24"/>
        </w:rPr>
        <w:t>it </w:t>
      </w:r>
      <w:r>
        <w:rPr>
          <w:spacing w:val="-3"/>
          <w:sz w:val="24"/>
        </w:rPr>
        <w:t>provided </w:t>
      </w:r>
      <w:r>
        <w:rPr>
          <w:spacing w:val="-4"/>
          <w:sz w:val="24"/>
        </w:rPr>
        <w:t>follow-up </w:t>
      </w:r>
      <w:r>
        <w:rPr>
          <w:spacing w:val="-3"/>
          <w:sz w:val="24"/>
        </w:rPr>
        <w:t>outpatient hospital services that were solely </w:t>
      </w:r>
      <w:r>
        <w:rPr>
          <w:sz w:val="24"/>
        </w:rPr>
        <w:t>the </w:t>
      </w:r>
      <w:r>
        <w:rPr>
          <w:spacing w:val="-3"/>
          <w:sz w:val="24"/>
        </w:rPr>
        <w:t>result </w:t>
      </w:r>
      <w:r>
        <w:rPr>
          <w:sz w:val="24"/>
        </w:rPr>
        <w:t>of a </w:t>
      </w:r>
      <w:r>
        <w:rPr>
          <w:spacing w:val="-3"/>
          <w:sz w:val="24"/>
        </w:rPr>
        <w:t>previous </w:t>
      </w:r>
      <w:r>
        <w:rPr>
          <w:sz w:val="24"/>
        </w:rPr>
        <w:t>PPC </w:t>
      </w:r>
      <w:r>
        <w:rPr>
          <w:spacing w:val="-3"/>
          <w:sz w:val="24"/>
        </w:rPr>
        <w:t>(inpatient or outpatient) that occurred while </w:t>
      </w:r>
      <w:r>
        <w:rPr>
          <w:sz w:val="24"/>
        </w:rPr>
        <w:t>the </w:t>
      </w:r>
      <w:r>
        <w:rPr>
          <w:spacing w:val="-4"/>
          <w:sz w:val="24"/>
        </w:rPr>
        <w:t>member </w:t>
      </w:r>
      <w:r>
        <w:rPr>
          <w:sz w:val="24"/>
        </w:rPr>
        <w:t>was </w:t>
      </w:r>
      <w:r>
        <w:rPr>
          <w:spacing w:val="-3"/>
          <w:sz w:val="24"/>
        </w:rPr>
        <w:t>being cared for </w:t>
      </w:r>
      <w:r>
        <w:rPr>
          <w:sz w:val="24"/>
        </w:rPr>
        <w:t>at a </w:t>
      </w:r>
      <w:r>
        <w:rPr>
          <w:spacing w:val="-3"/>
          <w:sz w:val="24"/>
        </w:rPr>
        <w:t>facility covered under </w:t>
      </w:r>
      <w:r>
        <w:rPr>
          <w:sz w:val="24"/>
        </w:rPr>
        <w:t>the </w:t>
      </w:r>
      <w:r>
        <w:rPr>
          <w:spacing w:val="-3"/>
          <w:sz w:val="24"/>
        </w:rPr>
        <w:t>same hospital license, MassHealth will </w:t>
      </w:r>
      <w:r>
        <w:rPr>
          <w:sz w:val="24"/>
        </w:rPr>
        <w:t>not pay for the </w:t>
      </w:r>
      <w:r>
        <w:rPr>
          <w:spacing w:val="-3"/>
          <w:sz w:val="24"/>
        </w:rPr>
        <w:t>reported follow-up services. </w:t>
      </w:r>
      <w:r>
        <w:rPr>
          <w:sz w:val="24"/>
        </w:rPr>
        <w:t>If the </w:t>
      </w:r>
      <w:r>
        <w:rPr>
          <w:spacing w:val="-3"/>
          <w:sz w:val="24"/>
        </w:rPr>
        <w:t>hospital reports that non–PPC-related services were provided during the follow-up episode </w:t>
      </w:r>
      <w:r>
        <w:rPr>
          <w:sz w:val="24"/>
        </w:rPr>
        <w:t>of </w:t>
      </w:r>
      <w:r>
        <w:rPr>
          <w:spacing w:val="-3"/>
          <w:sz w:val="24"/>
        </w:rPr>
        <w:t>care, payment will </w:t>
      </w:r>
      <w:r>
        <w:rPr>
          <w:sz w:val="24"/>
        </w:rPr>
        <w:t>be </w:t>
      </w:r>
      <w:r>
        <w:rPr>
          <w:spacing w:val="-3"/>
          <w:sz w:val="24"/>
        </w:rPr>
        <w:t>made, </w:t>
      </w:r>
      <w:r>
        <w:rPr>
          <w:sz w:val="24"/>
        </w:rPr>
        <w:t>but </w:t>
      </w:r>
      <w:r>
        <w:rPr>
          <w:spacing w:val="-3"/>
          <w:sz w:val="24"/>
        </w:rPr>
        <w:t>MassHealth will exclude </w:t>
      </w:r>
      <w:r>
        <w:rPr>
          <w:sz w:val="24"/>
        </w:rPr>
        <w:t>all </w:t>
      </w:r>
      <w:r>
        <w:rPr>
          <w:spacing w:val="-3"/>
          <w:sz w:val="24"/>
        </w:rPr>
        <w:t>PPC- 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9"/>
          <w:sz w:val="24"/>
        </w:rPr>
        <w:t> </w:t>
      </w:r>
      <w:r>
        <w:rPr>
          <w:spacing w:val="-3"/>
          <w:sz w:val="24"/>
        </w:rPr>
        <w:t>PPC.</w:t>
      </w:r>
    </w:p>
    <w:p>
      <w:pPr>
        <w:pStyle w:val="BodyText"/>
        <w:spacing w:before="7"/>
      </w:pPr>
    </w:p>
    <w:p>
      <w:pPr>
        <w:pStyle w:val="ListParagraph"/>
        <w:numPr>
          <w:ilvl w:val="1"/>
          <w:numId w:val="21"/>
        </w:numPr>
        <w:tabs>
          <w:tab w:pos="692" w:val="left" w:leader="none"/>
        </w:tabs>
        <w:spacing w:line="242" w:lineRule="auto" w:before="0" w:after="0"/>
        <w:ind w:left="692" w:right="383" w:hanging="360"/>
        <w:jc w:val="left"/>
        <w:rPr>
          <w:sz w:val="24"/>
        </w:rPr>
      </w:pPr>
      <w:r>
        <w:rPr>
          <w:sz w:val="24"/>
        </w:rPr>
        <w:t>For</w:t>
      </w:r>
      <w:r>
        <w:rPr>
          <w:spacing w:val="-6"/>
          <w:sz w:val="24"/>
        </w:rPr>
        <w:t> </w:t>
      </w:r>
      <w:r>
        <w:rPr>
          <w:spacing w:val="-3"/>
          <w:sz w:val="24"/>
        </w:rPr>
        <w:t>each</w:t>
      </w:r>
      <w:r>
        <w:rPr>
          <w:spacing w:val="-6"/>
          <w:sz w:val="24"/>
        </w:rPr>
        <w:t> </w:t>
      </w:r>
      <w:r>
        <w:rPr>
          <w:sz w:val="24"/>
        </w:rPr>
        <w:t>of</w:t>
      </w:r>
      <w:r>
        <w:rPr>
          <w:spacing w:val="-6"/>
          <w:sz w:val="24"/>
        </w:rPr>
        <w:t> </w:t>
      </w:r>
      <w:r>
        <w:rPr>
          <w:spacing w:val="-3"/>
          <w:sz w:val="24"/>
        </w:rPr>
        <w:t>subsection</w:t>
      </w:r>
      <w:r>
        <w:rPr>
          <w:spacing w:val="-6"/>
          <w:sz w:val="24"/>
        </w:rPr>
        <w:t> </w:t>
      </w:r>
      <w:r>
        <w:rPr>
          <w:b/>
          <w:sz w:val="24"/>
        </w:rPr>
        <w:t>D.1</w:t>
      </w:r>
      <w:r>
        <w:rPr>
          <w:b/>
          <w:spacing w:val="-6"/>
          <w:sz w:val="24"/>
        </w:rPr>
        <w:t> </w:t>
      </w:r>
      <w:r>
        <w:rPr>
          <w:sz w:val="24"/>
        </w:rPr>
        <w:t>and</w:t>
      </w:r>
      <w:r>
        <w:rPr>
          <w:spacing w:val="-6"/>
          <w:sz w:val="24"/>
        </w:rPr>
        <w:t> </w:t>
      </w:r>
      <w:r>
        <w:rPr>
          <w:b/>
          <w:spacing w:val="-3"/>
          <w:sz w:val="24"/>
        </w:rPr>
        <w:t>D.2</w:t>
      </w:r>
      <w:r>
        <w:rPr>
          <w:spacing w:val="-3"/>
          <w:sz w:val="24"/>
        </w:rPr>
        <w:t>,</w:t>
      </w:r>
      <w:r>
        <w:rPr>
          <w:spacing w:val="-6"/>
          <w:sz w:val="24"/>
        </w:rPr>
        <w:t> </w:t>
      </w:r>
      <w:r>
        <w:rPr>
          <w:spacing w:val="-3"/>
          <w:sz w:val="24"/>
        </w:rPr>
        <w:t>above,</w:t>
      </w:r>
      <w:r>
        <w:rPr>
          <w:spacing w:val="-6"/>
          <w:sz w:val="24"/>
        </w:rPr>
        <w:t> </w:t>
      </w:r>
      <w:r>
        <w:rPr>
          <w:sz w:val="24"/>
        </w:rPr>
        <w:t>the</w:t>
      </w:r>
      <w:r>
        <w:rPr>
          <w:spacing w:val="-6"/>
          <w:sz w:val="24"/>
        </w:rPr>
        <w:t> </w:t>
      </w:r>
      <w:r>
        <w:rPr>
          <w:sz w:val="24"/>
        </w:rPr>
        <w:t>PPC</w:t>
      </w:r>
      <w:r>
        <w:rPr>
          <w:spacing w:val="-6"/>
          <w:sz w:val="24"/>
        </w:rPr>
        <w:t> </w:t>
      </w:r>
      <w:r>
        <w:rPr>
          <w:spacing w:val="-3"/>
          <w:sz w:val="24"/>
        </w:rPr>
        <w:t>non-payment</w:t>
      </w:r>
      <w:r>
        <w:rPr>
          <w:spacing w:val="-6"/>
          <w:sz w:val="24"/>
        </w:rPr>
        <w:t> </w:t>
      </w:r>
      <w:r>
        <w:rPr>
          <w:spacing w:val="-3"/>
          <w:sz w:val="24"/>
        </w:rPr>
        <w:t>provisions</w:t>
      </w:r>
      <w:r>
        <w:rPr>
          <w:spacing w:val="-6"/>
          <w:sz w:val="24"/>
        </w:rPr>
        <w:t> </w:t>
      </w:r>
      <w:r>
        <w:rPr>
          <w:spacing w:val="-3"/>
          <w:sz w:val="24"/>
        </w:rPr>
        <w:t>also</w:t>
      </w:r>
      <w:r>
        <w:rPr>
          <w:spacing w:val="-6"/>
          <w:sz w:val="24"/>
        </w:rPr>
        <w:t> </w:t>
      </w:r>
      <w:r>
        <w:rPr>
          <w:spacing w:val="-3"/>
          <w:sz w:val="24"/>
        </w:rPr>
        <w:t>apply</w:t>
      </w:r>
      <w:r>
        <w:rPr>
          <w:spacing w:val="-6"/>
          <w:sz w:val="24"/>
        </w:rPr>
        <w:t> </w:t>
      </w:r>
      <w:r>
        <w:rPr>
          <w:spacing w:val="-3"/>
          <w:sz w:val="24"/>
        </w:rPr>
        <w:t>to third-party liability </w:t>
      </w:r>
      <w:r>
        <w:rPr>
          <w:sz w:val="24"/>
        </w:rPr>
        <w:t>and </w:t>
      </w:r>
      <w:r>
        <w:rPr>
          <w:spacing w:val="-3"/>
          <w:sz w:val="24"/>
        </w:rPr>
        <w:t>crossover payments </w:t>
      </w:r>
      <w:r>
        <w:rPr>
          <w:sz w:val="24"/>
        </w:rPr>
        <w:t>by</w:t>
      </w:r>
      <w:r>
        <w:rPr>
          <w:spacing w:val="-17"/>
          <w:sz w:val="24"/>
        </w:rPr>
        <w:t> </w:t>
      </w:r>
      <w:r>
        <w:rPr>
          <w:spacing w:val="-3"/>
          <w:sz w:val="24"/>
        </w:rPr>
        <w:t>MassHealth.</w:t>
      </w:r>
    </w:p>
    <w:p>
      <w:pPr>
        <w:pStyle w:val="ListParagraph"/>
        <w:numPr>
          <w:ilvl w:val="1"/>
          <w:numId w:val="21"/>
        </w:numPr>
        <w:tabs>
          <w:tab w:pos="692" w:val="left" w:leader="none"/>
        </w:tabs>
        <w:spacing w:line="242" w:lineRule="auto" w:before="124" w:after="0"/>
        <w:ind w:left="692" w:right="260" w:hanging="360"/>
        <w:jc w:val="left"/>
        <w:rPr>
          <w:sz w:val="24"/>
        </w:rPr>
      </w:pPr>
      <w:r>
        <w:rPr>
          <w:spacing w:val="-3"/>
          <w:sz w:val="24"/>
        </w:rPr>
        <w:t>Hospitals </w:t>
      </w:r>
      <w:r>
        <w:rPr>
          <w:sz w:val="24"/>
        </w:rPr>
        <w:t>are </w:t>
      </w:r>
      <w:r>
        <w:rPr>
          <w:spacing w:val="-3"/>
          <w:sz w:val="24"/>
        </w:rPr>
        <w:t>prohibited from charging </w:t>
      </w:r>
      <w:r>
        <w:rPr>
          <w:spacing w:val="-4"/>
          <w:sz w:val="24"/>
        </w:rPr>
        <w:t>members </w:t>
      </w:r>
      <w:r>
        <w:rPr>
          <w:sz w:val="24"/>
        </w:rPr>
        <w:t>for </w:t>
      </w:r>
      <w:r>
        <w:rPr>
          <w:spacing w:val="-3"/>
          <w:sz w:val="24"/>
        </w:rPr>
        <w:t>PPCs </w:t>
      </w:r>
      <w:r>
        <w:rPr>
          <w:sz w:val="24"/>
        </w:rPr>
        <w:t>and </w:t>
      </w:r>
      <w:r>
        <w:rPr>
          <w:spacing w:val="-3"/>
          <w:sz w:val="24"/>
        </w:rPr>
        <w:t>PPC-related services, including without limitation co-payments </w:t>
      </w:r>
      <w:r>
        <w:rPr>
          <w:sz w:val="24"/>
        </w:rPr>
        <w:t>or </w:t>
      </w:r>
      <w:r>
        <w:rPr>
          <w:spacing w:val="-3"/>
          <w:sz w:val="24"/>
        </w:rPr>
        <w:t>deductibles. Hospitals </w:t>
      </w:r>
      <w:r>
        <w:rPr>
          <w:sz w:val="24"/>
        </w:rPr>
        <w:t>are </w:t>
      </w:r>
      <w:r>
        <w:rPr>
          <w:spacing w:val="-3"/>
          <w:sz w:val="24"/>
        </w:rPr>
        <w:t>also prohibited</w:t>
      </w:r>
      <w:r>
        <w:rPr>
          <w:spacing w:val="-18"/>
          <w:sz w:val="24"/>
        </w:rPr>
        <w:t> </w:t>
      </w:r>
      <w:r>
        <w:rPr>
          <w:spacing w:val="-3"/>
          <w:sz w:val="24"/>
        </w:rPr>
        <w:t>from</w:t>
      </w:r>
    </w:p>
    <w:p>
      <w:pPr>
        <w:spacing w:after="0" w:line="242" w:lineRule="auto"/>
        <w:jc w:val="left"/>
        <w:rPr>
          <w:sz w:val="24"/>
        </w:rPr>
        <w:sectPr>
          <w:footerReference w:type="default" r:id="rId29"/>
          <w:pgSz w:w="12240" w:h="15840"/>
          <w:pgMar w:footer="744" w:header="0" w:top="1380" w:bottom="940" w:left="1720" w:right="980"/>
        </w:sectPr>
      </w:pPr>
    </w:p>
    <w:p>
      <w:pPr>
        <w:pStyle w:val="BodyText"/>
        <w:spacing w:line="242" w:lineRule="auto" w:before="61"/>
        <w:ind w:left="1372" w:right="130"/>
      </w:pPr>
      <w:r>
        <w:rPr>
          <w:spacing w:val="-3"/>
        </w:rPr>
        <w:t>seeking </w:t>
      </w:r>
      <w:r>
        <w:rPr>
          <w:spacing w:val="-4"/>
        </w:rPr>
        <w:t>reimbursement </w:t>
      </w:r>
      <w:r>
        <w:rPr/>
        <w:t>for </w:t>
      </w:r>
      <w:r>
        <w:rPr>
          <w:spacing w:val="-3"/>
        </w:rPr>
        <w:t>identified PPC-related services through </w:t>
      </w:r>
      <w:r>
        <w:rPr/>
        <w:t>the </w:t>
      </w:r>
      <w:r>
        <w:rPr>
          <w:spacing w:val="-3"/>
        </w:rPr>
        <w:t>Health Safety Net (HSN) </w:t>
      </w:r>
      <w:r>
        <w:rPr/>
        <w:t>or </w:t>
      </w:r>
      <w:r>
        <w:rPr>
          <w:spacing w:val="-3"/>
        </w:rPr>
        <w:t>otherwise, </w:t>
      </w:r>
      <w:r>
        <w:rPr/>
        <w:t>and </w:t>
      </w:r>
      <w:r>
        <w:rPr>
          <w:spacing w:val="-3"/>
        </w:rPr>
        <w:t>from including such services </w:t>
      </w:r>
      <w:r>
        <w:rPr/>
        <w:t>in any </w:t>
      </w:r>
      <w:r>
        <w:rPr>
          <w:spacing w:val="-3"/>
        </w:rPr>
        <w:t>unreimbursed cost reporting.</w:t>
      </w:r>
    </w:p>
    <w:p>
      <w:pPr>
        <w:pStyle w:val="ListParagraph"/>
        <w:numPr>
          <w:ilvl w:val="1"/>
          <w:numId w:val="21"/>
        </w:numPr>
        <w:tabs>
          <w:tab w:pos="1372" w:val="left" w:leader="none"/>
        </w:tabs>
        <w:spacing w:line="242" w:lineRule="auto" w:before="124" w:after="0"/>
        <w:ind w:left="1379" w:right="393" w:hanging="360"/>
        <w:jc w:val="left"/>
        <w:rPr>
          <w:sz w:val="24"/>
        </w:rPr>
      </w:pPr>
      <w:r>
        <w:rPr>
          <w:sz w:val="24"/>
        </w:rPr>
        <w:t>In the </w:t>
      </w:r>
      <w:r>
        <w:rPr>
          <w:spacing w:val="-3"/>
          <w:sz w:val="24"/>
        </w:rPr>
        <w:t>event that individual cases </w:t>
      </w:r>
      <w:r>
        <w:rPr>
          <w:sz w:val="24"/>
        </w:rPr>
        <w:t>are </w:t>
      </w:r>
      <w:r>
        <w:rPr>
          <w:spacing w:val="-3"/>
          <w:sz w:val="24"/>
        </w:rPr>
        <w:t>identified throughout </w:t>
      </w:r>
      <w:r>
        <w:rPr>
          <w:sz w:val="24"/>
        </w:rPr>
        <w:t>the </w:t>
      </w:r>
      <w:r>
        <w:rPr>
          <w:spacing w:val="-3"/>
          <w:sz w:val="24"/>
        </w:rPr>
        <w:t>MassHealth PPC </w:t>
      </w:r>
      <w:r>
        <w:rPr>
          <w:spacing w:val="-4"/>
          <w:sz w:val="24"/>
        </w:rPr>
        <w:t>implementation </w:t>
      </w:r>
      <w:r>
        <w:rPr>
          <w:spacing w:val="-3"/>
          <w:sz w:val="24"/>
        </w:rPr>
        <w:t>period, EOHHS may adjust </w:t>
      </w:r>
      <w:r>
        <w:rPr>
          <w:spacing w:val="-4"/>
          <w:sz w:val="24"/>
        </w:rPr>
        <w:t>reimbursement </w:t>
      </w:r>
      <w:r>
        <w:rPr>
          <w:spacing w:val="-3"/>
          <w:sz w:val="24"/>
        </w:rPr>
        <w:t>according </w:t>
      </w:r>
      <w:r>
        <w:rPr>
          <w:sz w:val="24"/>
        </w:rPr>
        <w:t>to the </w:t>
      </w:r>
      <w:r>
        <w:rPr>
          <w:spacing w:val="-4"/>
          <w:sz w:val="24"/>
        </w:rPr>
        <w:t>methodology </w:t>
      </w:r>
      <w:r>
        <w:rPr>
          <w:spacing w:val="-3"/>
          <w:sz w:val="24"/>
        </w:rPr>
        <w:t>above.</w:t>
      </w:r>
    </w:p>
    <w:p>
      <w:pPr>
        <w:pStyle w:val="BodyText"/>
        <w:spacing w:before="3"/>
        <w:rPr>
          <w:sz w:val="21"/>
        </w:rPr>
      </w:pPr>
    </w:p>
    <w:p>
      <w:pPr>
        <w:pStyle w:val="Heading3"/>
        <w:numPr>
          <w:ilvl w:val="0"/>
          <w:numId w:val="21"/>
        </w:numPr>
        <w:tabs>
          <w:tab w:pos="1013" w:val="left" w:leader="none"/>
        </w:tabs>
        <w:spacing w:line="240" w:lineRule="auto" w:before="0" w:after="0"/>
        <w:ind w:left="1012" w:right="0" w:hanging="353"/>
        <w:jc w:val="left"/>
      </w:pPr>
      <w:r>
        <w:rPr>
          <w:spacing w:val="-3"/>
        </w:rPr>
        <w:t>Additional Requirements</w:t>
      </w:r>
    </w:p>
    <w:p>
      <w:pPr>
        <w:pStyle w:val="BodyText"/>
        <w:spacing w:before="11"/>
        <w:rPr>
          <w:b/>
          <w:sz w:val="20"/>
        </w:rPr>
      </w:pPr>
    </w:p>
    <w:p>
      <w:pPr>
        <w:pStyle w:val="BodyText"/>
        <w:spacing w:line="242" w:lineRule="auto"/>
        <w:ind w:left="1011" w:right="130"/>
      </w:pPr>
      <w:r>
        <w:rPr/>
        <w:t>The </w:t>
      </w:r>
      <w:r>
        <w:rPr>
          <w:spacing w:val="-3"/>
        </w:rPr>
        <w:t>Hospital agrees </w:t>
      </w:r>
      <w:r>
        <w:rPr/>
        <w:t>to </w:t>
      </w:r>
      <w:r>
        <w:rPr>
          <w:spacing w:val="-3"/>
        </w:rPr>
        <w:t>take such action </w:t>
      </w:r>
      <w:r>
        <w:rPr/>
        <w:t>as is </w:t>
      </w:r>
      <w:r>
        <w:rPr>
          <w:spacing w:val="-3"/>
        </w:rPr>
        <w:t>necessary </w:t>
      </w:r>
      <w:r>
        <w:rPr/>
        <w:t>in </w:t>
      </w:r>
      <w:r>
        <w:rPr>
          <w:spacing w:val="-3"/>
        </w:rPr>
        <w:t>order </w:t>
      </w:r>
      <w:r>
        <w:rPr/>
        <w:t>for </w:t>
      </w:r>
      <w:r>
        <w:rPr>
          <w:spacing w:val="-3"/>
        </w:rPr>
        <w:t>EOHHS </w:t>
      </w:r>
      <w:r>
        <w:rPr/>
        <w:t>to </w:t>
      </w:r>
      <w:r>
        <w:rPr>
          <w:spacing w:val="-3"/>
        </w:rPr>
        <w:t>comply with all federal </w:t>
      </w:r>
      <w:r>
        <w:rPr/>
        <w:t>and </w:t>
      </w:r>
      <w:r>
        <w:rPr>
          <w:spacing w:val="-3"/>
        </w:rPr>
        <w:t>state laws, regulations, </w:t>
      </w:r>
      <w:r>
        <w:rPr/>
        <w:t>and </w:t>
      </w:r>
      <w:r>
        <w:rPr>
          <w:spacing w:val="-3"/>
        </w:rPr>
        <w:t>policy guidance relating </w:t>
      </w:r>
      <w:r>
        <w:rPr/>
        <w:t>to the </w:t>
      </w:r>
      <w:r>
        <w:rPr>
          <w:spacing w:val="-3"/>
        </w:rPr>
        <w:t>reporting </w:t>
      </w:r>
      <w:r>
        <w:rPr/>
        <w:t>and </w:t>
      </w:r>
      <w:r>
        <w:rPr>
          <w:spacing w:val="-3"/>
        </w:rPr>
        <w:t>non- payment </w:t>
      </w:r>
      <w:r>
        <w:rPr/>
        <w:t>of </w:t>
      </w:r>
      <w:r>
        <w:rPr>
          <w:spacing w:val="-3"/>
        </w:rPr>
        <w:t>provider preventable conditions, including, without limitation, Section 2702 </w:t>
      </w:r>
      <w:r>
        <w:rPr/>
        <w:t>of </w:t>
      </w:r>
      <w:r>
        <w:rPr>
          <w:spacing w:val="-3"/>
        </w:rPr>
        <w:t>the ACA. </w:t>
      </w:r>
      <w:r>
        <w:rPr/>
        <w:t>In </w:t>
      </w:r>
      <w:r>
        <w:rPr>
          <w:spacing w:val="-3"/>
        </w:rPr>
        <w:t>addition, should EOHHS, </w:t>
      </w:r>
      <w:r>
        <w:rPr/>
        <w:t>in its </w:t>
      </w:r>
      <w:r>
        <w:rPr>
          <w:spacing w:val="-3"/>
        </w:rPr>
        <w:t>sole discretion, deem </w:t>
      </w:r>
      <w:r>
        <w:rPr/>
        <w:t>it </w:t>
      </w:r>
      <w:r>
        <w:rPr>
          <w:spacing w:val="-3"/>
        </w:rPr>
        <w:t>necessary </w:t>
      </w:r>
      <w:r>
        <w:rPr/>
        <w:t>to </w:t>
      </w:r>
      <w:r>
        <w:rPr>
          <w:spacing w:val="-3"/>
        </w:rPr>
        <w:t>further amend this </w:t>
      </w:r>
      <w:r>
        <w:rPr/>
        <w:t>RFA and </w:t>
      </w:r>
      <w:r>
        <w:rPr>
          <w:spacing w:val="-3"/>
        </w:rPr>
        <w:t>Contract </w:t>
      </w:r>
      <w:r>
        <w:rPr/>
        <w:t>to </w:t>
      </w:r>
      <w:r>
        <w:rPr>
          <w:spacing w:val="-4"/>
        </w:rPr>
        <w:t>implement </w:t>
      </w:r>
      <w:r>
        <w:rPr/>
        <w:t>any </w:t>
      </w:r>
      <w:r>
        <w:rPr>
          <w:spacing w:val="-3"/>
        </w:rPr>
        <w:t>such laws, </w:t>
      </w:r>
      <w:r>
        <w:rPr/>
        <w:t>the </w:t>
      </w:r>
      <w:r>
        <w:rPr>
          <w:spacing w:val="-3"/>
        </w:rPr>
        <w:t>Hospital agrees that, notwithstanding any other provision </w:t>
      </w:r>
      <w:r>
        <w:rPr/>
        <w:t>in </w:t>
      </w:r>
      <w:r>
        <w:rPr>
          <w:spacing w:val="-3"/>
        </w:rPr>
        <w:t>this </w:t>
      </w:r>
      <w:r>
        <w:rPr/>
        <w:t>RFA and </w:t>
      </w:r>
      <w:r>
        <w:rPr>
          <w:spacing w:val="-3"/>
        </w:rPr>
        <w:t>Contract, EOHHS may terminate </w:t>
      </w:r>
      <w:r>
        <w:rPr/>
        <w:t>the </w:t>
      </w:r>
      <w:r>
        <w:rPr>
          <w:spacing w:val="-3"/>
        </w:rPr>
        <w:t>Hospital’s Contract </w:t>
      </w:r>
      <w:r>
        <w:rPr>
          <w:spacing w:val="-4"/>
        </w:rPr>
        <w:t>immediately </w:t>
      </w:r>
      <w:r>
        <w:rPr>
          <w:spacing w:val="-3"/>
        </w:rPr>
        <w:t>upon written notice </w:t>
      </w:r>
      <w:r>
        <w:rPr/>
        <w:t>in the </w:t>
      </w:r>
      <w:r>
        <w:rPr>
          <w:spacing w:val="-3"/>
        </w:rPr>
        <w:t>event </w:t>
      </w:r>
      <w:r>
        <w:rPr/>
        <w:t>the </w:t>
      </w:r>
      <w:r>
        <w:rPr>
          <w:spacing w:val="-3"/>
        </w:rPr>
        <w:t>Hospital fails </w:t>
      </w:r>
      <w:r>
        <w:rPr/>
        <w:t>to </w:t>
      </w:r>
      <w:r>
        <w:rPr>
          <w:spacing w:val="-3"/>
        </w:rPr>
        <w:t>agree </w:t>
      </w:r>
      <w:r>
        <w:rPr/>
        <w:t>to any </w:t>
      </w:r>
      <w:r>
        <w:rPr>
          <w:spacing w:val="-3"/>
        </w:rPr>
        <w:t>such </w:t>
      </w:r>
      <w:r>
        <w:rPr>
          <w:spacing w:val="-4"/>
        </w:rPr>
        <w:t>amendment.</w:t>
      </w:r>
    </w:p>
    <w:p>
      <w:pPr>
        <w:pStyle w:val="BodyText"/>
        <w:spacing w:before="8"/>
      </w:pPr>
    </w:p>
    <w:p>
      <w:pPr>
        <w:pStyle w:val="Heading3"/>
        <w:numPr>
          <w:ilvl w:val="0"/>
          <w:numId w:val="21"/>
        </w:numPr>
        <w:tabs>
          <w:tab w:pos="1013" w:val="left" w:leader="none"/>
        </w:tabs>
        <w:spacing w:line="240" w:lineRule="auto" w:before="0" w:after="0"/>
        <w:ind w:left="1012" w:right="0" w:hanging="353"/>
        <w:jc w:val="left"/>
      </w:pPr>
      <w:r>
        <w:rPr>
          <w:spacing w:val="-3"/>
        </w:rPr>
        <w:t>Reporting </w:t>
      </w:r>
      <w:r>
        <w:rPr/>
        <w:t>to the </w:t>
      </w:r>
      <w:r>
        <w:rPr>
          <w:spacing w:val="-3"/>
        </w:rPr>
        <w:t>Massachusetts Department </w:t>
      </w:r>
      <w:r>
        <w:rPr/>
        <w:t>of </w:t>
      </w:r>
      <w:r>
        <w:rPr>
          <w:spacing w:val="-3"/>
        </w:rPr>
        <w:t>Public</w:t>
      </w:r>
      <w:r>
        <w:rPr>
          <w:spacing w:val="-26"/>
        </w:rPr>
        <w:t> </w:t>
      </w:r>
      <w:r>
        <w:rPr>
          <w:spacing w:val="-3"/>
        </w:rPr>
        <w:t>Health</w:t>
      </w:r>
    </w:p>
    <w:p>
      <w:pPr>
        <w:pStyle w:val="BodyText"/>
        <w:spacing w:before="8"/>
        <w:rPr>
          <w:b/>
        </w:rPr>
      </w:pPr>
    </w:p>
    <w:p>
      <w:pPr>
        <w:pStyle w:val="BodyText"/>
        <w:spacing w:line="242" w:lineRule="auto"/>
        <w:ind w:left="1011" w:right="145"/>
      </w:pPr>
      <w:r>
        <w:rPr/>
        <w:t>In </w:t>
      </w:r>
      <w:r>
        <w:rPr>
          <w:spacing w:val="-3"/>
        </w:rPr>
        <w:t>addition </w:t>
      </w:r>
      <w:r>
        <w:rPr/>
        <w:t>to </w:t>
      </w:r>
      <w:r>
        <w:rPr>
          <w:spacing w:val="-3"/>
        </w:rPr>
        <w:t>complying with </w:t>
      </w:r>
      <w:r>
        <w:rPr>
          <w:b/>
          <w:spacing w:val="-3"/>
        </w:rPr>
        <w:t>Sections 8.2.A </w:t>
      </w:r>
      <w:r>
        <w:rPr>
          <w:spacing w:val="-3"/>
        </w:rPr>
        <w:t>through </w:t>
      </w:r>
      <w:r>
        <w:rPr>
          <w:b/>
        </w:rPr>
        <w:t>E</w:t>
      </w:r>
      <w:r>
        <w:rPr/>
        <w:t>, </w:t>
      </w:r>
      <w:r>
        <w:rPr>
          <w:spacing w:val="-3"/>
        </w:rPr>
        <w:t>above, </w:t>
      </w:r>
      <w:r>
        <w:rPr/>
        <w:t>for any PPC </w:t>
      </w:r>
      <w:r>
        <w:rPr>
          <w:spacing w:val="-3"/>
        </w:rPr>
        <w:t>that </w:t>
      </w:r>
      <w:r>
        <w:rPr/>
        <w:t>is </w:t>
      </w:r>
      <w:r>
        <w:rPr>
          <w:spacing w:val="-3"/>
        </w:rPr>
        <w:t>also </w:t>
      </w:r>
      <w:r>
        <w:rPr/>
        <w:t>a </w:t>
      </w:r>
      <w:r>
        <w:rPr>
          <w:spacing w:val="-3"/>
        </w:rPr>
        <w:t>“serious reportable event (SRE)” </w:t>
      </w:r>
      <w:r>
        <w:rPr/>
        <w:t>as </w:t>
      </w:r>
      <w:r>
        <w:rPr>
          <w:spacing w:val="-3"/>
        </w:rPr>
        <w:t>designated </w:t>
      </w:r>
      <w:r>
        <w:rPr/>
        <w:t>by the </w:t>
      </w:r>
      <w:r>
        <w:rPr>
          <w:spacing w:val="-3"/>
        </w:rPr>
        <w:t>Massachusetts Department </w:t>
      </w:r>
      <w:r>
        <w:rPr/>
        <w:t>of </w:t>
      </w:r>
      <w:r>
        <w:rPr>
          <w:spacing w:val="-3"/>
        </w:rPr>
        <w:t>Public Health (DPH) pursuant </w:t>
      </w:r>
      <w:r>
        <w:rPr/>
        <w:t>to its </w:t>
      </w:r>
      <w:r>
        <w:rPr>
          <w:spacing w:val="-3"/>
        </w:rPr>
        <w:t>regulations </w:t>
      </w:r>
      <w:r>
        <w:rPr/>
        <w:t>at 105 CMR </w:t>
      </w:r>
      <w:r>
        <w:rPr>
          <w:spacing w:val="-3"/>
        </w:rPr>
        <w:t>130.332, </w:t>
      </w:r>
      <w:r>
        <w:rPr/>
        <w:t>the </w:t>
      </w:r>
      <w:r>
        <w:rPr>
          <w:spacing w:val="-3"/>
        </w:rPr>
        <w:t>Hospital must also continue </w:t>
      </w:r>
      <w:r>
        <w:rPr/>
        <w:t>to </w:t>
      </w:r>
      <w:r>
        <w:rPr>
          <w:spacing w:val="-3"/>
        </w:rPr>
        <w:t>report </w:t>
      </w:r>
      <w:r>
        <w:rPr/>
        <w:t>the </w:t>
      </w:r>
      <w:r>
        <w:rPr>
          <w:spacing w:val="-3"/>
        </w:rPr>
        <w:t>occurrence </w:t>
      </w:r>
      <w:r>
        <w:rPr/>
        <w:t>of the PPC as an </w:t>
      </w:r>
      <w:r>
        <w:rPr>
          <w:spacing w:val="-3"/>
        </w:rPr>
        <w:t>SRE </w:t>
      </w:r>
      <w:r>
        <w:rPr/>
        <w:t>to </w:t>
      </w:r>
      <w:r>
        <w:rPr>
          <w:spacing w:val="-3"/>
        </w:rPr>
        <w:t>DPH, </w:t>
      </w:r>
      <w:r>
        <w:rPr/>
        <w:t>and </w:t>
      </w:r>
      <w:r>
        <w:rPr>
          <w:spacing w:val="-3"/>
        </w:rPr>
        <w:t>perform </w:t>
      </w:r>
      <w:r>
        <w:rPr/>
        <w:t>the </w:t>
      </w:r>
      <w:r>
        <w:rPr>
          <w:spacing w:val="-3"/>
        </w:rPr>
        <w:t>documented review process</w:t>
      </w:r>
      <w:r>
        <w:rPr>
          <w:spacing w:val="-7"/>
        </w:rPr>
        <w:t> </w:t>
      </w:r>
      <w:r>
        <w:rPr/>
        <w:t>as</w:t>
      </w:r>
      <w:r>
        <w:rPr>
          <w:spacing w:val="-7"/>
        </w:rPr>
        <w:t> </w:t>
      </w:r>
      <w:r>
        <w:rPr/>
        <w:t>set</w:t>
      </w:r>
      <w:r>
        <w:rPr>
          <w:spacing w:val="-7"/>
        </w:rPr>
        <w:t> </w:t>
      </w:r>
      <w:r>
        <w:rPr>
          <w:spacing w:val="-3"/>
        </w:rPr>
        <w:t>forth</w:t>
      </w:r>
      <w:r>
        <w:rPr>
          <w:spacing w:val="-7"/>
        </w:rPr>
        <w:t> </w:t>
      </w:r>
      <w:r>
        <w:rPr/>
        <w:t>in</w:t>
      </w:r>
      <w:r>
        <w:rPr>
          <w:spacing w:val="-7"/>
        </w:rPr>
        <w:t> </w:t>
      </w:r>
      <w:r>
        <w:rPr/>
        <w:t>and</w:t>
      </w:r>
      <w:r>
        <w:rPr>
          <w:spacing w:val="-7"/>
        </w:rPr>
        <w:t> </w:t>
      </w:r>
      <w:r>
        <w:rPr/>
        <w:t>in</w:t>
      </w:r>
      <w:r>
        <w:rPr>
          <w:spacing w:val="-7"/>
        </w:rPr>
        <w:t> </w:t>
      </w:r>
      <w:r>
        <w:rPr>
          <w:spacing w:val="-3"/>
        </w:rPr>
        <w:t>accordance</w:t>
      </w:r>
      <w:r>
        <w:rPr>
          <w:spacing w:val="-7"/>
        </w:rPr>
        <w:t> </w:t>
      </w:r>
      <w:r>
        <w:rPr>
          <w:spacing w:val="-3"/>
        </w:rPr>
        <w:t>with</w:t>
      </w:r>
      <w:r>
        <w:rPr>
          <w:spacing w:val="-7"/>
        </w:rPr>
        <w:t> </w:t>
      </w:r>
      <w:r>
        <w:rPr/>
        <w:t>DPH</w:t>
      </w:r>
      <w:r>
        <w:rPr>
          <w:spacing w:val="-7"/>
        </w:rPr>
        <w:t> </w:t>
      </w:r>
      <w:r>
        <w:rPr>
          <w:spacing w:val="-3"/>
        </w:rPr>
        <w:t>regulations</w:t>
      </w:r>
      <w:r>
        <w:rPr>
          <w:spacing w:val="-7"/>
        </w:rPr>
        <w:t> </w:t>
      </w:r>
      <w:r>
        <w:rPr/>
        <w:t>at</w:t>
      </w:r>
      <w:r>
        <w:rPr>
          <w:spacing w:val="-7"/>
        </w:rPr>
        <w:t> </w:t>
      </w:r>
      <w:r>
        <w:rPr/>
        <w:t>105</w:t>
      </w:r>
      <w:r>
        <w:rPr>
          <w:spacing w:val="-7"/>
        </w:rPr>
        <w:t> </w:t>
      </w:r>
      <w:r>
        <w:rPr/>
        <w:t>CMR</w:t>
      </w:r>
      <w:r>
        <w:rPr>
          <w:spacing w:val="-7"/>
        </w:rPr>
        <w:t> </w:t>
      </w:r>
      <w:r>
        <w:rPr>
          <w:spacing w:val="-3"/>
        </w:rPr>
        <w:t>130.332(B)</w:t>
      </w:r>
      <w:r>
        <w:rPr>
          <w:spacing w:val="-7"/>
        </w:rPr>
        <w:t> </w:t>
      </w:r>
      <w:r>
        <w:rPr/>
        <w:t>and</w:t>
      </w:r>
      <w:r>
        <w:rPr>
          <w:spacing w:val="-7"/>
        </w:rPr>
        <w:t> </w:t>
      </w:r>
      <w:r>
        <w:rPr>
          <w:spacing w:val="-3"/>
        </w:rPr>
        <w:t>(C). </w:t>
      </w:r>
      <w:r>
        <w:rPr/>
        <w:t>The </w:t>
      </w:r>
      <w:r>
        <w:rPr>
          <w:spacing w:val="-3"/>
        </w:rPr>
        <w:t>Hospital must also provide copies </w:t>
      </w:r>
      <w:r>
        <w:rPr/>
        <w:t>of </w:t>
      </w:r>
      <w:r>
        <w:rPr>
          <w:spacing w:val="-3"/>
        </w:rPr>
        <w:t>such reports </w:t>
      </w:r>
      <w:r>
        <w:rPr/>
        <w:t>to </w:t>
      </w:r>
      <w:r>
        <w:rPr>
          <w:spacing w:val="-3"/>
        </w:rPr>
        <w:t>EOHHS </w:t>
      </w:r>
      <w:r>
        <w:rPr/>
        <w:t>and any </w:t>
      </w:r>
      <w:r>
        <w:rPr>
          <w:spacing w:val="-3"/>
        </w:rPr>
        <w:t>other responsible third-party payer </w:t>
      </w:r>
      <w:r>
        <w:rPr/>
        <w:t>and </w:t>
      </w:r>
      <w:r>
        <w:rPr>
          <w:spacing w:val="-3"/>
        </w:rPr>
        <w:t>inform </w:t>
      </w:r>
      <w:r>
        <w:rPr/>
        <w:t>the </w:t>
      </w:r>
      <w:r>
        <w:rPr>
          <w:spacing w:val="-3"/>
        </w:rPr>
        <w:t>patient </w:t>
      </w:r>
      <w:r>
        <w:rPr/>
        <w:t>as </w:t>
      </w:r>
      <w:r>
        <w:rPr>
          <w:spacing w:val="-3"/>
        </w:rPr>
        <w:t>required </w:t>
      </w:r>
      <w:r>
        <w:rPr/>
        <w:t>by and in </w:t>
      </w:r>
      <w:r>
        <w:rPr>
          <w:spacing w:val="-3"/>
        </w:rPr>
        <w:t>accordance with </w:t>
      </w:r>
      <w:r>
        <w:rPr/>
        <w:t>DPH </w:t>
      </w:r>
      <w:r>
        <w:rPr>
          <w:spacing w:val="-3"/>
        </w:rPr>
        <w:t>regulations </w:t>
      </w:r>
      <w:r>
        <w:rPr/>
        <w:t>at 105 CMR </w:t>
      </w:r>
      <w:r>
        <w:rPr>
          <w:spacing w:val="-3"/>
        </w:rPr>
        <w:t>130.332(B) </w:t>
      </w:r>
      <w:r>
        <w:rPr/>
        <w:t>and </w:t>
      </w:r>
      <w:r>
        <w:rPr>
          <w:spacing w:val="-3"/>
        </w:rPr>
        <w:t>(C). </w:t>
      </w:r>
      <w:r>
        <w:rPr/>
        <w:t>The </w:t>
      </w:r>
      <w:r>
        <w:rPr>
          <w:spacing w:val="-3"/>
        </w:rPr>
        <w:t>copies </w:t>
      </w:r>
      <w:r>
        <w:rPr/>
        <w:t>to </w:t>
      </w:r>
      <w:r>
        <w:rPr>
          <w:spacing w:val="-3"/>
        </w:rPr>
        <w:t>MassHealth must </w:t>
      </w:r>
      <w:r>
        <w:rPr/>
        <w:t>be </w:t>
      </w:r>
      <w:r>
        <w:rPr>
          <w:spacing w:val="-3"/>
        </w:rPr>
        <w:t>sent</w:t>
      </w:r>
      <w:r>
        <w:rPr>
          <w:spacing w:val="-10"/>
        </w:rPr>
        <w:t> </w:t>
      </w:r>
      <w:r>
        <w:rPr>
          <w:spacing w:val="-3"/>
        </w:rPr>
        <w:t>to:</w:t>
      </w:r>
    </w:p>
    <w:p>
      <w:pPr>
        <w:pStyle w:val="BodyText"/>
        <w:spacing w:before="4"/>
      </w:pPr>
    </w:p>
    <w:p>
      <w:pPr>
        <w:pStyle w:val="BodyText"/>
        <w:spacing w:line="242" w:lineRule="auto"/>
        <w:ind w:left="1551" w:right="3525"/>
      </w:pPr>
      <w:r>
        <w:rPr>
          <w:spacing w:val="-3"/>
        </w:rPr>
        <w:t>PPC/Serious Reportable Event Coordinator MassHealth</w:t>
      </w:r>
    </w:p>
    <w:p>
      <w:pPr>
        <w:pStyle w:val="BodyText"/>
        <w:spacing w:line="228" w:lineRule="auto" w:before="14"/>
        <w:ind w:left="1551" w:right="5188"/>
      </w:pPr>
      <w:r>
        <w:rPr>
          <w:spacing w:val="-3"/>
        </w:rPr>
        <w:t>Utilization Management </w:t>
      </w:r>
      <w:r>
        <w:rPr>
          <w:spacing w:val="-4"/>
        </w:rPr>
        <w:t>Department </w:t>
      </w:r>
      <w:r>
        <w:rPr/>
        <w:t>100 </w:t>
      </w:r>
      <w:r>
        <w:rPr>
          <w:spacing w:val="-3"/>
        </w:rPr>
        <w:t>Hancock Street, </w:t>
      </w:r>
      <w:r>
        <w:rPr/>
        <w:t>6</w:t>
      </w:r>
      <w:r>
        <w:rPr>
          <w:position w:val="11"/>
          <w:sz w:val="16"/>
        </w:rPr>
        <w:t>th </w:t>
      </w:r>
      <w:r>
        <w:rPr>
          <w:spacing w:val="-3"/>
        </w:rPr>
        <w:t>Floor Quincy, </w:t>
      </w:r>
      <w:r>
        <w:rPr/>
        <w:t>MA </w:t>
      </w:r>
      <w:r>
        <w:rPr>
          <w:spacing w:val="-3"/>
        </w:rPr>
        <w:t>02171</w:t>
      </w:r>
    </w:p>
    <w:p>
      <w:pPr>
        <w:pStyle w:val="BodyText"/>
        <w:spacing w:before="6"/>
      </w:pPr>
    </w:p>
    <w:p>
      <w:pPr>
        <w:pStyle w:val="BodyText"/>
        <w:spacing w:line="244" w:lineRule="auto"/>
        <w:ind w:left="1011" w:right="130"/>
      </w:pPr>
      <w:r>
        <w:rPr>
          <w:spacing w:val="-3"/>
        </w:rPr>
        <w:t>Notwithstanding such reporting </w:t>
      </w:r>
      <w:r>
        <w:rPr/>
        <w:t>and </w:t>
      </w:r>
      <w:r>
        <w:rPr>
          <w:spacing w:val="-3"/>
        </w:rPr>
        <w:t>documented review process </w:t>
      </w:r>
      <w:r>
        <w:rPr/>
        <w:t>as set </w:t>
      </w:r>
      <w:r>
        <w:rPr>
          <w:spacing w:val="-3"/>
        </w:rPr>
        <w:t>forth </w:t>
      </w:r>
      <w:r>
        <w:rPr/>
        <w:t>in 105 </w:t>
      </w:r>
      <w:r>
        <w:rPr>
          <w:spacing w:val="-3"/>
        </w:rPr>
        <w:t>CMR 130.332(B) </w:t>
      </w:r>
      <w:r>
        <w:rPr/>
        <w:t>and </w:t>
      </w:r>
      <w:r>
        <w:rPr>
          <w:spacing w:val="-3"/>
        </w:rPr>
        <w:t>(C), provider claims </w:t>
      </w:r>
      <w:r>
        <w:rPr/>
        <w:t>to </w:t>
      </w:r>
      <w:r>
        <w:rPr>
          <w:spacing w:val="-3"/>
        </w:rPr>
        <w:t>MassHealth </w:t>
      </w:r>
      <w:r>
        <w:rPr/>
        <w:t>and </w:t>
      </w:r>
      <w:r>
        <w:rPr>
          <w:spacing w:val="-3"/>
        </w:rPr>
        <w:t>related payment methods </w:t>
      </w:r>
      <w:r>
        <w:rPr/>
        <w:t>for </w:t>
      </w:r>
      <w:r>
        <w:rPr>
          <w:spacing w:val="-3"/>
        </w:rPr>
        <w:t>PPCs, including without limitation, those that also constitute </w:t>
      </w:r>
      <w:r>
        <w:rPr/>
        <w:t>a </w:t>
      </w:r>
      <w:r>
        <w:rPr>
          <w:spacing w:val="-3"/>
        </w:rPr>
        <w:t>DPH-designated SRE, </w:t>
      </w:r>
      <w:r>
        <w:rPr/>
        <w:t>are </w:t>
      </w:r>
      <w:r>
        <w:rPr>
          <w:spacing w:val="-3"/>
        </w:rPr>
        <w:t>governed by this </w:t>
      </w:r>
      <w:r>
        <w:rPr>
          <w:b/>
          <w:spacing w:val="-3"/>
        </w:rPr>
        <w:t>Section </w:t>
      </w:r>
      <w:r>
        <w:rPr>
          <w:b/>
        </w:rPr>
        <w:t>8.2 </w:t>
      </w:r>
      <w:r>
        <w:rPr/>
        <w:t>and not </w:t>
      </w:r>
      <w:r>
        <w:rPr>
          <w:b/>
          <w:spacing w:val="-3"/>
        </w:rPr>
        <w:t>Section 8.3</w:t>
      </w:r>
      <w:r>
        <w:rPr>
          <w:spacing w:val="-3"/>
        </w:rPr>
        <w:t>, below.</w:t>
      </w:r>
    </w:p>
    <w:p>
      <w:pPr>
        <w:pStyle w:val="BodyText"/>
        <w:rPr>
          <w:sz w:val="21"/>
        </w:rPr>
      </w:pPr>
    </w:p>
    <w:p>
      <w:pPr>
        <w:pStyle w:val="Heading2"/>
        <w:numPr>
          <w:ilvl w:val="1"/>
          <w:numId w:val="19"/>
        </w:numPr>
        <w:tabs>
          <w:tab w:pos="658" w:val="left" w:leader="none"/>
          <w:tab w:pos="659" w:val="left" w:leader="none"/>
        </w:tabs>
        <w:spacing w:line="240" w:lineRule="auto" w:before="1" w:after="0"/>
        <w:ind w:left="658" w:right="0" w:hanging="546"/>
        <w:jc w:val="left"/>
      </w:pPr>
      <w:r>
        <w:rPr>
          <w:spacing w:val="-4"/>
        </w:rPr>
        <w:t>Serious Reportable</w:t>
      </w:r>
      <w:r>
        <w:rPr>
          <w:spacing w:val="-9"/>
        </w:rPr>
        <w:t> </w:t>
      </w:r>
      <w:r>
        <w:rPr>
          <w:spacing w:val="-4"/>
        </w:rPr>
        <w:t>Events</w:t>
      </w:r>
    </w:p>
    <w:p>
      <w:pPr>
        <w:pStyle w:val="Heading3"/>
        <w:numPr>
          <w:ilvl w:val="2"/>
          <w:numId w:val="19"/>
        </w:numPr>
        <w:tabs>
          <w:tab w:pos="1013" w:val="left" w:leader="none"/>
        </w:tabs>
        <w:spacing w:line="240" w:lineRule="auto" w:before="244" w:after="0"/>
        <w:ind w:left="1012" w:right="0" w:hanging="360"/>
        <w:jc w:val="left"/>
      </w:pPr>
      <w:r>
        <w:rPr>
          <w:spacing w:val="-3"/>
        </w:rPr>
        <w:t>Applicability</w:t>
      </w:r>
    </w:p>
    <w:p>
      <w:pPr>
        <w:pStyle w:val="BodyText"/>
        <w:spacing w:before="7"/>
        <w:rPr>
          <w:b/>
          <w:sz w:val="31"/>
        </w:rPr>
      </w:pPr>
    </w:p>
    <w:p>
      <w:pPr>
        <w:pStyle w:val="ListParagraph"/>
        <w:numPr>
          <w:ilvl w:val="3"/>
          <w:numId w:val="19"/>
        </w:numPr>
        <w:tabs>
          <w:tab w:pos="1373" w:val="left" w:leader="none"/>
        </w:tabs>
        <w:spacing w:line="242" w:lineRule="auto" w:before="0" w:after="0"/>
        <w:ind w:left="1372" w:right="669" w:hanging="360"/>
        <w:jc w:val="left"/>
        <w:rPr>
          <w:sz w:val="24"/>
        </w:rPr>
      </w:pPr>
      <w:r>
        <w:rPr>
          <w:spacing w:val="-3"/>
          <w:sz w:val="24"/>
        </w:rPr>
        <w:t>“Serious Reportable Events (SREs)” </w:t>
      </w:r>
      <w:r>
        <w:rPr>
          <w:sz w:val="24"/>
        </w:rPr>
        <w:t>for </w:t>
      </w:r>
      <w:r>
        <w:rPr>
          <w:spacing w:val="-3"/>
          <w:sz w:val="24"/>
        </w:rPr>
        <w:t>purposes </w:t>
      </w:r>
      <w:r>
        <w:rPr>
          <w:sz w:val="24"/>
        </w:rPr>
        <w:t>of </w:t>
      </w:r>
      <w:r>
        <w:rPr>
          <w:spacing w:val="-3"/>
          <w:sz w:val="24"/>
        </w:rPr>
        <w:t>this </w:t>
      </w:r>
      <w:r>
        <w:rPr>
          <w:b/>
          <w:spacing w:val="-3"/>
          <w:sz w:val="24"/>
        </w:rPr>
        <w:t>Section </w:t>
      </w:r>
      <w:r>
        <w:rPr>
          <w:b/>
          <w:sz w:val="24"/>
        </w:rPr>
        <w:t>8.3 </w:t>
      </w:r>
      <w:r>
        <w:rPr>
          <w:spacing w:val="-3"/>
          <w:sz w:val="24"/>
        </w:rPr>
        <w:t>shall mean those serious reportable events (SREs) listed </w:t>
      </w:r>
      <w:r>
        <w:rPr>
          <w:sz w:val="24"/>
        </w:rPr>
        <w:t>in </w:t>
      </w:r>
      <w:r>
        <w:rPr>
          <w:i/>
          <w:spacing w:val="-3"/>
          <w:sz w:val="24"/>
        </w:rPr>
        <w:t>Appendix </w:t>
      </w:r>
      <w:r>
        <w:rPr>
          <w:i/>
          <w:sz w:val="24"/>
        </w:rPr>
        <w:t>U </w:t>
      </w:r>
      <w:r>
        <w:rPr>
          <w:sz w:val="24"/>
        </w:rPr>
        <w:t>of the </w:t>
      </w:r>
      <w:r>
        <w:rPr>
          <w:spacing w:val="-3"/>
          <w:sz w:val="24"/>
        </w:rPr>
        <w:t>Hospital’s Acute</w:t>
      </w:r>
      <w:r>
        <w:rPr>
          <w:spacing w:val="-28"/>
          <w:sz w:val="24"/>
        </w:rPr>
        <w:t> </w:t>
      </w:r>
      <w:r>
        <w:rPr>
          <w:spacing w:val="-3"/>
          <w:sz w:val="24"/>
        </w:rPr>
        <w:t>Inpatient</w:t>
      </w:r>
    </w:p>
    <w:p>
      <w:pPr>
        <w:spacing w:after="0" w:line="242" w:lineRule="auto"/>
        <w:jc w:val="left"/>
        <w:rPr>
          <w:sz w:val="24"/>
        </w:rPr>
        <w:sectPr>
          <w:footerReference w:type="default" r:id="rId30"/>
          <w:pgSz w:w="12240" w:h="15840"/>
          <w:pgMar w:footer="744" w:header="0" w:top="1380" w:bottom="940" w:left="1040" w:right="980"/>
          <w:pgNumType w:start="81"/>
        </w:sectPr>
      </w:pPr>
    </w:p>
    <w:p>
      <w:pPr>
        <w:pStyle w:val="BodyText"/>
        <w:spacing w:line="247" w:lineRule="auto" w:before="61"/>
        <w:ind w:left="831" w:right="236"/>
      </w:pPr>
      <w:r>
        <w:rPr>
          <w:spacing w:val="-3"/>
        </w:rPr>
        <w:t>Hospital </w:t>
      </w:r>
      <w:r>
        <w:rPr/>
        <w:t>and </w:t>
      </w:r>
      <w:r>
        <w:rPr>
          <w:spacing w:val="-3"/>
        </w:rPr>
        <w:t>Acute Outpatient Hospital MassHealth provider manuals. </w:t>
      </w:r>
      <w:r>
        <w:rPr/>
        <w:t>All </w:t>
      </w:r>
      <w:r>
        <w:rPr>
          <w:spacing w:val="-3"/>
        </w:rPr>
        <w:t>references to SREs </w:t>
      </w:r>
      <w:r>
        <w:rPr/>
        <w:t>in </w:t>
      </w:r>
      <w:r>
        <w:rPr>
          <w:b/>
          <w:spacing w:val="-3"/>
        </w:rPr>
        <w:t>Sections 8.3.B </w:t>
      </w:r>
      <w:r>
        <w:rPr>
          <w:spacing w:val="-3"/>
        </w:rPr>
        <w:t>through </w:t>
      </w:r>
      <w:r>
        <w:rPr>
          <w:b/>
          <w:spacing w:val="-3"/>
        </w:rPr>
        <w:t>8.3.D</w:t>
      </w:r>
      <w:r>
        <w:rPr>
          <w:spacing w:val="-3"/>
        </w:rPr>
        <w:t>, below, </w:t>
      </w:r>
      <w:r>
        <w:rPr/>
        <w:t>are </w:t>
      </w:r>
      <w:r>
        <w:rPr>
          <w:spacing w:val="-3"/>
        </w:rPr>
        <w:t>subject </w:t>
      </w:r>
      <w:r>
        <w:rPr/>
        <w:t>to </w:t>
      </w:r>
      <w:r>
        <w:rPr>
          <w:spacing w:val="-3"/>
        </w:rPr>
        <w:t>this </w:t>
      </w:r>
      <w:r>
        <w:rPr>
          <w:b/>
          <w:spacing w:val="-3"/>
        </w:rPr>
        <w:t>Section 8.3.A</w:t>
      </w:r>
      <w:r>
        <w:rPr>
          <w:spacing w:val="-3"/>
        </w:rPr>
        <w:t>.</w:t>
      </w:r>
    </w:p>
    <w:p>
      <w:pPr>
        <w:pStyle w:val="BodyText"/>
        <w:spacing w:before="2"/>
      </w:pPr>
    </w:p>
    <w:p>
      <w:pPr>
        <w:pStyle w:val="BodyText"/>
        <w:spacing w:line="242" w:lineRule="auto"/>
        <w:ind w:left="832" w:right="117"/>
        <w:jc w:val="both"/>
      </w:pPr>
      <w:r>
        <w:rPr/>
        <w:t>From time to time, EOHHS may update the list of SREs that are subject to this </w:t>
      </w:r>
      <w:r>
        <w:rPr>
          <w:b/>
        </w:rPr>
        <w:t>Section 8.3 </w:t>
      </w:r>
      <w:r>
        <w:rPr/>
        <w:t>through issuing provider bulletins or updates to provider manuals, or through other written statements of policy.</w:t>
      </w:r>
    </w:p>
    <w:p>
      <w:pPr>
        <w:pStyle w:val="BodyText"/>
        <w:spacing w:before="4"/>
      </w:pPr>
    </w:p>
    <w:p>
      <w:pPr>
        <w:pStyle w:val="ListParagraph"/>
        <w:numPr>
          <w:ilvl w:val="3"/>
          <w:numId w:val="19"/>
        </w:numPr>
        <w:tabs>
          <w:tab w:pos="833" w:val="left" w:leader="none"/>
        </w:tabs>
        <w:spacing w:line="242" w:lineRule="auto" w:before="0" w:after="0"/>
        <w:ind w:left="832" w:right="385" w:hanging="360"/>
        <w:jc w:val="left"/>
        <w:rPr>
          <w:sz w:val="24"/>
        </w:rPr>
      </w:pPr>
      <w:r>
        <w:rPr>
          <w:sz w:val="24"/>
        </w:rPr>
        <w:t>For purposes of this section, “preventable” is defined as DPH has defined the term in its regulations at 105 CMR 130.332 and means events that could have been avoided by proper adherence to applicable patient safety guidelines, best practices, and hospital policies and</w:t>
      </w:r>
      <w:r>
        <w:rPr>
          <w:spacing w:val="-1"/>
          <w:sz w:val="24"/>
        </w:rPr>
        <w:t> </w:t>
      </w:r>
      <w:r>
        <w:rPr>
          <w:sz w:val="24"/>
        </w:rPr>
        <w:t>procedures.</w:t>
      </w:r>
    </w:p>
    <w:p>
      <w:pPr>
        <w:pStyle w:val="BodyText"/>
        <w:spacing w:before="2"/>
        <w:rPr>
          <w:sz w:val="21"/>
        </w:rPr>
      </w:pPr>
    </w:p>
    <w:p>
      <w:pPr>
        <w:pStyle w:val="Heading3"/>
        <w:numPr>
          <w:ilvl w:val="2"/>
          <w:numId w:val="19"/>
        </w:numPr>
        <w:tabs>
          <w:tab w:pos="473" w:val="left" w:leader="none"/>
        </w:tabs>
        <w:spacing w:line="240" w:lineRule="auto" w:before="1" w:after="0"/>
        <w:ind w:left="472" w:right="0" w:hanging="360"/>
        <w:jc w:val="left"/>
      </w:pPr>
      <w:r>
        <w:rPr>
          <w:spacing w:val="-3"/>
        </w:rPr>
        <w:t>Scope </w:t>
      </w:r>
      <w:r>
        <w:rPr/>
        <w:t>of </w:t>
      </w:r>
      <w:r>
        <w:rPr>
          <w:spacing w:val="-3"/>
        </w:rPr>
        <w:t>Non-Reimbursable</w:t>
      </w:r>
      <w:r>
        <w:rPr>
          <w:spacing w:val="-10"/>
        </w:rPr>
        <w:t> </w:t>
      </w:r>
      <w:r>
        <w:rPr>
          <w:spacing w:val="-3"/>
        </w:rPr>
        <w:t>Services</w:t>
      </w:r>
    </w:p>
    <w:p>
      <w:pPr>
        <w:pStyle w:val="BodyText"/>
        <w:spacing w:before="11"/>
        <w:rPr>
          <w:b/>
          <w:sz w:val="20"/>
        </w:rPr>
      </w:pPr>
    </w:p>
    <w:p>
      <w:pPr>
        <w:pStyle w:val="ListParagraph"/>
        <w:numPr>
          <w:ilvl w:val="3"/>
          <w:numId w:val="19"/>
        </w:numPr>
        <w:tabs>
          <w:tab w:pos="833" w:val="left" w:leader="none"/>
        </w:tabs>
        <w:spacing w:line="240" w:lineRule="auto" w:before="0" w:after="0"/>
        <w:ind w:left="832" w:right="0" w:hanging="360"/>
        <w:jc w:val="left"/>
        <w:rPr>
          <w:sz w:val="24"/>
        </w:rPr>
      </w:pPr>
      <w:r>
        <w:rPr>
          <w:spacing w:val="-3"/>
          <w:sz w:val="24"/>
        </w:rPr>
        <w:t>MassHealth’s </w:t>
      </w:r>
      <w:r>
        <w:rPr>
          <w:sz w:val="24"/>
        </w:rPr>
        <w:t>SRE </w:t>
      </w:r>
      <w:r>
        <w:rPr>
          <w:spacing w:val="-3"/>
          <w:sz w:val="24"/>
        </w:rPr>
        <w:t>policy applies </w:t>
      </w:r>
      <w:r>
        <w:rPr>
          <w:sz w:val="24"/>
        </w:rPr>
        <w:t>to </w:t>
      </w:r>
      <w:r>
        <w:rPr>
          <w:spacing w:val="-3"/>
          <w:sz w:val="24"/>
        </w:rPr>
        <w:t>both Hospitals </w:t>
      </w:r>
      <w:r>
        <w:rPr>
          <w:sz w:val="24"/>
        </w:rPr>
        <w:t>and </w:t>
      </w:r>
      <w:r>
        <w:rPr>
          <w:spacing w:val="-3"/>
          <w:sz w:val="24"/>
        </w:rPr>
        <w:t>Hospital-Based</w:t>
      </w:r>
      <w:r>
        <w:rPr>
          <w:spacing w:val="-27"/>
          <w:sz w:val="24"/>
        </w:rPr>
        <w:t> </w:t>
      </w:r>
      <w:r>
        <w:rPr>
          <w:spacing w:val="-3"/>
          <w:sz w:val="24"/>
        </w:rPr>
        <w:t>Physicians.</w:t>
      </w:r>
    </w:p>
    <w:p>
      <w:pPr>
        <w:pStyle w:val="BodyText"/>
        <w:spacing w:before="6"/>
      </w:pPr>
    </w:p>
    <w:p>
      <w:pPr>
        <w:pStyle w:val="ListParagraph"/>
        <w:numPr>
          <w:ilvl w:val="3"/>
          <w:numId w:val="19"/>
        </w:numPr>
        <w:tabs>
          <w:tab w:pos="833" w:val="left" w:leader="none"/>
        </w:tabs>
        <w:spacing w:line="242" w:lineRule="auto" w:before="1" w:after="0"/>
        <w:ind w:left="832" w:right="159" w:hanging="360"/>
        <w:jc w:val="left"/>
        <w:rPr>
          <w:sz w:val="24"/>
        </w:rPr>
      </w:pPr>
      <w:r>
        <w:rPr>
          <w:spacing w:val="-3"/>
          <w:sz w:val="24"/>
        </w:rPr>
        <w:t>Hospitals </w:t>
      </w:r>
      <w:r>
        <w:rPr>
          <w:sz w:val="24"/>
        </w:rPr>
        <w:t>are </w:t>
      </w:r>
      <w:r>
        <w:rPr>
          <w:spacing w:val="-3"/>
          <w:sz w:val="24"/>
        </w:rPr>
        <w:t>prohibited from charging </w:t>
      </w:r>
      <w:r>
        <w:rPr>
          <w:sz w:val="24"/>
        </w:rPr>
        <w:t>or </w:t>
      </w:r>
      <w:r>
        <w:rPr>
          <w:spacing w:val="-3"/>
          <w:sz w:val="24"/>
        </w:rPr>
        <w:t>seeking </w:t>
      </w:r>
      <w:r>
        <w:rPr>
          <w:spacing w:val="-4"/>
          <w:sz w:val="24"/>
        </w:rPr>
        <w:t>reimbursement </w:t>
      </w:r>
      <w:r>
        <w:rPr>
          <w:spacing w:val="-3"/>
          <w:sz w:val="24"/>
        </w:rPr>
        <w:t>from MassHealth </w:t>
      </w:r>
      <w:r>
        <w:rPr>
          <w:sz w:val="24"/>
        </w:rPr>
        <w:t>or </w:t>
      </w:r>
      <w:r>
        <w:rPr>
          <w:spacing w:val="-3"/>
          <w:sz w:val="24"/>
        </w:rPr>
        <w:t>the </w:t>
      </w:r>
      <w:r>
        <w:rPr>
          <w:spacing w:val="-4"/>
          <w:sz w:val="24"/>
        </w:rPr>
        <w:t>member </w:t>
      </w:r>
      <w:r>
        <w:rPr>
          <w:sz w:val="24"/>
        </w:rPr>
        <w:t>for </w:t>
      </w:r>
      <w:r>
        <w:rPr>
          <w:spacing w:val="-3"/>
          <w:sz w:val="24"/>
        </w:rPr>
        <w:t>Hospital </w:t>
      </w:r>
      <w:r>
        <w:rPr>
          <w:sz w:val="24"/>
        </w:rPr>
        <w:t>and </w:t>
      </w:r>
      <w:r>
        <w:rPr>
          <w:spacing w:val="-3"/>
          <w:sz w:val="24"/>
        </w:rPr>
        <w:t>Hospital-Based Physician services that </w:t>
      </w:r>
      <w:r>
        <w:rPr>
          <w:sz w:val="24"/>
        </w:rPr>
        <w:t>are </w:t>
      </w:r>
      <w:r>
        <w:rPr>
          <w:spacing w:val="-3"/>
          <w:sz w:val="24"/>
        </w:rPr>
        <w:t>made necessary </w:t>
      </w:r>
      <w:r>
        <w:rPr>
          <w:sz w:val="24"/>
        </w:rPr>
        <w:t>by, </w:t>
      </w:r>
      <w:r>
        <w:rPr>
          <w:spacing w:val="-3"/>
          <w:sz w:val="24"/>
        </w:rPr>
        <w:t>or </w:t>
      </w:r>
      <w:r>
        <w:rPr>
          <w:sz w:val="24"/>
        </w:rPr>
        <w:t>are </w:t>
      </w:r>
      <w:r>
        <w:rPr>
          <w:spacing w:val="-3"/>
          <w:sz w:val="24"/>
        </w:rPr>
        <w:t>provided </w:t>
      </w:r>
      <w:r>
        <w:rPr>
          <w:sz w:val="24"/>
        </w:rPr>
        <w:t>as a </w:t>
      </w:r>
      <w:r>
        <w:rPr>
          <w:spacing w:val="-3"/>
          <w:sz w:val="24"/>
        </w:rPr>
        <w:t>result </w:t>
      </w:r>
      <w:r>
        <w:rPr>
          <w:sz w:val="24"/>
        </w:rPr>
        <w:t>of, an SRE </w:t>
      </w:r>
      <w:r>
        <w:rPr>
          <w:spacing w:val="-3"/>
          <w:sz w:val="24"/>
        </w:rPr>
        <w:t>occurring </w:t>
      </w:r>
      <w:r>
        <w:rPr>
          <w:sz w:val="24"/>
        </w:rPr>
        <w:t>on </w:t>
      </w:r>
      <w:r>
        <w:rPr>
          <w:spacing w:val="-3"/>
          <w:sz w:val="24"/>
        </w:rPr>
        <w:t>premises covered </w:t>
      </w:r>
      <w:r>
        <w:rPr>
          <w:sz w:val="24"/>
        </w:rPr>
        <w:t>by the </w:t>
      </w:r>
      <w:r>
        <w:rPr>
          <w:spacing w:val="-3"/>
          <w:sz w:val="24"/>
        </w:rPr>
        <w:t>hospital’s license that </w:t>
      </w:r>
      <w:r>
        <w:rPr>
          <w:sz w:val="24"/>
        </w:rPr>
        <w:t>was </w:t>
      </w:r>
      <w:r>
        <w:rPr>
          <w:spacing w:val="-3"/>
          <w:sz w:val="24"/>
        </w:rPr>
        <w:t>preventable, within </w:t>
      </w:r>
      <w:r>
        <w:rPr>
          <w:sz w:val="24"/>
        </w:rPr>
        <w:t>the </w:t>
      </w:r>
      <w:r>
        <w:rPr>
          <w:spacing w:val="-3"/>
          <w:sz w:val="24"/>
        </w:rPr>
        <w:t>hospital’s control, </w:t>
      </w:r>
      <w:r>
        <w:rPr>
          <w:sz w:val="24"/>
        </w:rPr>
        <w:t>and </w:t>
      </w:r>
      <w:r>
        <w:rPr>
          <w:spacing w:val="-3"/>
          <w:sz w:val="24"/>
        </w:rPr>
        <w:t>unambiguously </w:t>
      </w:r>
      <w:r>
        <w:rPr>
          <w:sz w:val="24"/>
        </w:rPr>
        <w:t>the </w:t>
      </w:r>
      <w:r>
        <w:rPr>
          <w:spacing w:val="-3"/>
          <w:sz w:val="24"/>
        </w:rPr>
        <w:t>result </w:t>
      </w:r>
      <w:r>
        <w:rPr>
          <w:sz w:val="24"/>
        </w:rPr>
        <w:t>of a </w:t>
      </w:r>
      <w:r>
        <w:rPr>
          <w:spacing w:val="-3"/>
          <w:sz w:val="24"/>
        </w:rPr>
        <w:t>system failure, </w:t>
      </w:r>
      <w:r>
        <w:rPr>
          <w:sz w:val="24"/>
        </w:rPr>
        <w:t>as </w:t>
      </w:r>
      <w:r>
        <w:rPr>
          <w:spacing w:val="-3"/>
          <w:sz w:val="24"/>
        </w:rPr>
        <w:t>described </w:t>
      </w:r>
      <w:r>
        <w:rPr>
          <w:sz w:val="24"/>
        </w:rPr>
        <w:t>in DPH </w:t>
      </w:r>
      <w:r>
        <w:rPr>
          <w:spacing w:val="-3"/>
          <w:sz w:val="24"/>
        </w:rPr>
        <w:t>regulations (“preventable SRE”). Non-reimbursable Hospital </w:t>
      </w:r>
      <w:r>
        <w:rPr>
          <w:sz w:val="24"/>
        </w:rPr>
        <w:t>and </w:t>
      </w:r>
      <w:r>
        <w:rPr>
          <w:spacing w:val="-3"/>
          <w:sz w:val="24"/>
        </w:rPr>
        <w:t>Hospital-based physician services</w:t>
      </w:r>
      <w:r>
        <w:rPr>
          <w:spacing w:val="-11"/>
          <w:sz w:val="24"/>
        </w:rPr>
        <w:t> </w:t>
      </w:r>
      <w:r>
        <w:rPr>
          <w:spacing w:val="-3"/>
          <w:sz w:val="24"/>
        </w:rPr>
        <w:t>include:</w:t>
      </w:r>
    </w:p>
    <w:p>
      <w:pPr>
        <w:pStyle w:val="ListParagraph"/>
        <w:numPr>
          <w:ilvl w:val="0"/>
          <w:numId w:val="22"/>
        </w:numPr>
        <w:tabs>
          <w:tab w:pos="1193" w:val="left" w:leader="none"/>
        </w:tabs>
        <w:spacing w:line="242" w:lineRule="auto" w:before="121" w:after="0"/>
        <w:ind w:left="1192" w:right="399" w:hanging="360"/>
        <w:jc w:val="left"/>
        <w:rPr>
          <w:sz w:val="24"/>
        </w:rPr>
      </w:pPr>
      <w:r>
        <w:rPr>
          <w:sz w:val="24"/>
        </w:rPr>
        <w:t>All </w:t>
      </w:r>
      <w:r>
        <w:rPr>
          <w:spacing w:val="-3"/>
          <w:sz w:val="24"/>
        </w:rPr>
        <w:t>services provided during </w:t>
      </w:r>
      <w:r>
        <w:rPr>
          <w:sz w:val="24"/>
        </w:rPr>
        <w:t>the </w:t>
      </w:r>
      <w:r>
        <w:rPr>
          <w:spacing w:val="-3"/>
          <w:sz w:val="24"/>
        </w:rPr>
        <w:t>inpatient admission </w:t>
      </w:r>
      <w:r>
        <w:rPr>
          <w:sz w:val="24"/>
        </w:rPr>
        <w:t>or </w:t>
      </w:r>
      <w:r>
        <w:rPr>
          <w:spacing w:val="-3"/>
          <w:sz w:val="24"/>
        </w:rPr>
        <w:t>outpatient visit during which </w:t>
      </w:r>
      <w:r>
        <w:rPr>
          <w:sz w:val="24"/>
        </w:rPr>
        <w:t>a </w:t>
      </w:r>
      <w:r>
        <w:rPr>
          <w:spacing w:val="-3"/>
          <w:sz w:val="24"/>
        </w:rPr>
        <w:t>preventable </w:t>
      </w:r>
      <w:r>
        <w:rPr>
          <w:sz w:val="24"/>
        </w:rPr>
        <w:t>SRE </w:t>
      </w:r>
      <w:r>
        <w:rPr>
          <w:spacing w:val="-3"/>
          <w:sz w:val="24"/>
        </w:rPr>
        <w:t>occurred;</w:t>
      </w:r>
      <w:r>
        <w:rPr>
          <w:spacing w:val="-12"/>
          <w:sz w:val="24"/>
        </w:rPr>
        <w:t> </w:t>
      </w:r>
      <w:r>
        <w:rPr>
          <w:spacing w:val="-3"/>
          <w:sz w:val="24"/>
        </w:rPr>
        <w:t>and</w:t>
      </w:r>
    </w:p>
    <w:p>
      <w:pPr>
        <w:pStyle w:val="ListParagraph"/>
        <w:numPr>
          <w:ilvl w:val="0"/>
          <w:numId w:val="22"/>
        </w:numPr>
        <w:tabs>
          <w:tab w:pos="1193" w:val="left" w:leader="none"/>
        </w:tabs>
        <w:spacing w:line="242" w:lineRule="auto" w:before="121" w:after="0"/>
        <w:ind w:left="1192" w:right="191" w:hanging="360"/>
        <w:jc w:val="left"/>
        <w:rPr>
          <w:sz w:val="24"/>
        </w:rPr>
      </w:pPr>
      <w:r>
        <w:rPr>
          <w:sz w:val="24"/>
        </w:rPr>
        <w:t>All </w:t>
      </w:r>
      <w:r>
        <w:rPr>
          <w:spacing w:val="-3"/>
          <w:sz w:val="24"/>
        </w:rPr>
        <w:t>services provided during readmissions </w:t>
      </w:r>
      <w:r>
        <w:rPr>
          <w:sz w:val="24"/>
        </w:rPr>
        <w:t>and </w:t>
      </w:r>
      <w:r>
        <w:rPr>
          <w:spacing w:val="-3"/>
          <w:sz w:val="24"/>
        </w:rPr>
        <w:t>follow-up outpatient visits </w:t>
      </w:r>
      <w:r>
        <w:rPr>
          <w:sz w:val="24"/>
        </w:rPr>
        <w:t>as a </w:t>
      </w:r>
      <w:r>
        <w:rPr>
          <w:spacing w:val="-3"/>
          <w:sz w:val="24"/>
        </w:rPr>
        <w:t>result </w:t>
      </w:r>
      <w:r>
        <w:rPr>
          <w:sz w:val="24"/>
        </w:rPr>
        <w:t>of a </w:t>
      </w:r>
      <w:r>
        <w:rPr>
          <w:spacing w:val="-3"/>
          <w:sz w:val="24"/>
        </w:rPr>
        <w:t>non-billable </w:t>
      </w:r>
      <w:r>
        <w:rPr>
          <w:sz w:val="24"/>
        </w:rPr>
        <w:t>SRE</w:t>
      </w:r>
      <w:r>
        <w:rPr>
          <w:spacing w:val="-10"/>
          <w:sz w:val="24"/>
        </w:rPr>
        <w:t> </w:t>
      </w:r>
      <w:r>
        <w:rPr>
          <w:spacing w:val="-3"/>
          <w:sz w:val="24"/>
        </w:rPr>
        <w:t>provided:</w:t>
      </w:r>
    </w:p>
    <w:p>
      <w:pPr>
        <w:pStyle w:val="ListParagraph"/>
        <w:numPr>
          <w:ilvl w:val="1"/>
          <w:numId w:val="22"/>
        </w:numPr>
        <w:tabs>
          <w:tab w:pos="1552" w:val="left" w:leader="none"/>
        </w:tabs>
        <w:spacing w:line="242" w:lineRule="auto" w:before="121" w:after="0"/>
        <w:ind w:left="1552" w:right="721" w:hanging="360"/>
        <w:jc w:val="left"/>
        <w:rPr>
          <w:sz w:val="24"/>
        </w:rPr>
      </w:pPr>
      <w:r>
        <w:rPr>
          <w:sz w:val="24"/>
        </w:rPr>
        <w:t>At</w:t>
      </w:r>
      <w:r>
        <w:rPr>
          <w:spacing w:val="-6"/>
          <w:sz w:val="24"/>
        </w:rPr>
        <w:t> </w:t>
      </w:r>
      <w:r>
        <w:rPr>
          <w:sz w:val="24"/>
        </w:rPr>
        <w:t>a</w:t>
      </w:r>
      <w:r>
        <w:rPr>
          <w:spacing w:val="-6"/>
          <w:sz w:val="24"/>
        </w:rPr>
        <w:t> </w:t>
      </w:r>
      <w:r>
        <w:rPr>
          <w:spacing w:val="-3"/>
          <w:sz w:val="24"/>
        </w:rPr>
        <w:t>facility</w:t>
      </w:r>
      <w:r>
        <w:rPr>
          <w:spacing w:val="-6"/>
          <w:sz w:val="24"/>
        </w:rPr>
        <w:t> </w:t>
      </w:r>
      <w:r>
        <w:rPr>
          <w:spacing w:val="-3"/>
          <w:sz w:val="24"/>
        </w:rPr>
        <w:t>under</w:t>
      </w:r>
      <w:r>
        <w:rPr>
          <w:spacing w:val="-6"/>
          <w:sz w:val="24"/>
        </w:rPr>
        <w:t> </w:t>
      </w:r>
      <w:r>
        <w:rPr>
          <w:sz w:val="24"/>
        </w:rPr>
        <w:t>the</w:t>
      </w:r>
      <w:r>
        <w:rPr>
          <w:spacing w:val="-6"/>
          <w:sz w:val="24"/>
        </w:rPr>
        <w:t> </w:t>
      </w:r>
      <w:r>
        <w:rPr>
          <w:spacing w:val="-3"/>
          <w:sz w:val="24"/>
        </w:rPr>
        <w:t>same</w:t>
      </w:r>
      <w:r>
        <w:rPr>
          <w:spacing w:val="-6"/>
          <w:sz w:val="24"/>
        </w:rPr>
        <w:t> </w:t>
      </w:r>
      <w:r>
        <w:rPr>
          <w:spacing w:val="-3"/>
          <w:sz w:val="24"/>
        </w:rPr>
        <w:t>license</w:t>
      </w:r>
      <w:r>
        <w:rPr>
          <w:spacing w:val="-6"/>
          <w:sz w:val="24"/>
        </w:rPr>
        <w:t> </w:t>
      </w:r>
      <w:r>
        <w:rPr>
          <w:sz w:val="24"/>
        </w:rPr>
        <w:t>as</w:t>
      </w:r>
      <w:r>
        <w:rPr>
          <w:spacing w:val="-6"/>
          <w:sz w:val="24"/>
        </w:rPr>
        <w:t> </w:t>
      </w:r>
      <w:r>
        <w:rPr>
          <w:sz w:val="24"/>
        </w:rPr>
        <w:t>the</w:t>
      </w:r>
      <w:r>
        <w:rPr>
          <w:spacing w:val="-6"/>
          <w:sz w:val="24"/>
        </w:rPr>
        <w:t> </w:t>
      </w:r>
      <w:r>
        <w:rPr>
          <w:spacing w:val="-3"/>
          <w:sz w:val="24"/>
        </w:rPr>
        <w:t>hospital</w:t>
      </w:r>
      <w:r>
        <w:rPr>
          <w:spacing w:val="-6"/>
          <w:sz w:val="24"/>
        </w:rPr>
        <w:t> </w:t>
      </w:r>
      <w:r>
        <w:rPr>
          <w:sz w:val="24"/>
        </w:rPr>
        <w:t>at</w:t>
      </w:r>
      <w:r>
        <w:rPr>
          <w:spacing w:val="-6"/>
          <w:sz w:val="24"/>
        </w:rPr>
        <w:t> </w:t>
      </w:r>
      <w:r>
        <w:rPr>
          <w:spacing w:val="-3"/>
          <w:sz w:val="24"/>
        </w:rPr>
        <w:t>which</w:t>
      </w:r>
      <w:r>
        <w:rPr>
          <w:spacing w:val="-6"/>
          <w:sz w:val="24"/>
        </w:rPr>
        <w:t> </w:t>
      </w:r>
      <w:r>
        <w:rPr>
          <w:sz w:val="24"/>
        </w:rPr>
        <w:t>a</w:t>
      </w:r>
      <w:r>
        <w:rPr>
          <w:spacing w:val="-6"/>
          <w:sz w:val="24"/>
        </w:rPr>
        <w:t> </w:t>
      </w:r>
      <w:r>
        <w:rPr>
          <w:spacing w:val="-3"/>
          <w:sz w:val="24"/>
        </w:rPr>
        <w:t>non-billable</w:t>
      </w:r>
      <w:r>
        <w:rPr>
          <w:spacing w:val="-6"/>
          <w:sz w:val="24"/>
        </w:rPr>
        <w:t> </w:t>
      </w:r>
      <w:r>
        <w:rPr>
          <w:spacing w:val="-3"/>
          <w:sz w:val="24"/>
        </w:rPr>
        <w:t>SRE occurred;</w:t>
      </w:r>
      <w:r>
        <w:rPr>
          <w:spacing w:val="-2"/>
          <w:sz w:val="24"/>
        </w:rPr>
        <w:t> </w:t>
      </w:r>
      <w:r>
        <w:rPr>
          <w:spacing w:val="-3"/>
          <w:sz w:val="24"/>
        </w:rPr>
        <w:t>or</w:t>
      </w:r>
    </w:p>
    <w:p>
      <w:pPr>
        <w:pStyle w:val="ListParagraph"/>
        <w:numPr>
          <w:ilvl w:val="1"/>
          <w:numId w:val="22"/>
        </w:numPr>
        <w:tabs>
          <w:tab w:pos="1552" w:val="left" w:leader="none"/>
        </w:tabs>
        <w:spacing w:line="242" w:lineRule="auto" w:before="121" w:after="0"/>
        <w:ind w:left="1552" w:right="303" w:hanging="360"/>
        <w:jc w:val="left"/>
        <w:rPr>
          <w:sz w:val="24"/>
        </w:rPr>
      </w:pPr>
      <w:r>
        <w:rPr>
          <w:sz w:val="24"/>
        </w:rPr>
        <w:t>On the </w:t>
      </w:r>
      <w:r>
        <w:rPr>
          <w:spacing w:val="-3"/>
          <w:sz w:val="24"/>
        </w:rPr>
        <w:t>premises </w:t>
      </w:r>
      <w:r>
        <w:rPr>
          <w:sz w:val="24"/>
        </w:rPr>
        <w:t>of a </w:t>
      </w:r>
      <w:r>
        <w:rPr>
          <w:spacing w:val="-3"/>
          <w:sz w:val="24"/>
        </w:rPr>
        <w:t>separately licensed hospital </w:t>
      </w:r>
      <w:r>
        <w:rPr>
          <w:sz w:val="24"/>
        </w:rPr>
        <w:t>or </w:t>
      </w:r>
      <w:r>
        <w:rPr>
          <w:spacing w:val="-3"/>
          <w:sz w:val="24"/>
        </w:rPr>
        <w:t>ambulatory surgery center with </w:t>
      </w:r>
      <w:r>
        <w:rPr>
          <w:spacing w:val="-4"/>
          <w:sz w:val="24"/>
        </w:rPr>
        <w:t>common </w:t>
      </w:r>
      <w:r>
        <w:rPr>
          <w:spacing w:val="-3"/>
          <w:sz w:val="24"/>
        </w:rPr>
        <w:t>ownership </w:t>
      </w:r>
      <w:r>
        <w:rPr>
          <w:sz w:val="24"/>
        </w:rPr>
        <w:t>or a </w:t>
      </w:r>
      <w:r>
        <w:rPr>
          <w:spacing w:val="-4"/>
          <w:sz w:val="24"/>
        </w:rPr>
        <w:t>common </w:t>
      </w:r>
      <w:r>
        <w:rPr>
          <w:spacing w:val="-3"/>
          <w:sz w:val="24"/>
        </w:rPr>
        <w:t>corporate parent </w:t>
      </w:r>
      <w:r>
        <w:rPr>
          <w:sz w:val="24"/>
        </w:rPr>
        <w:t>of the </w:t>
      </w:r>
      <w:r>
        <w:rPr>
          <w:spacing w:val="-3"/>
          <w:sz w:val="24"/>
        </w:rPr>
        <w:t>hospital </w:t>
      </w:r>
      <w:r>
        <w:rPr>
          <w:sz w:val="24"/>
        </w:rPr>
        <w:t>at </w:t>
      </w:r>
      <w:r>
        <w:rPr>
          <w:spacing w:val="-3"/>
          <w:sz w:val="24"/>
        </w:rPr>
        <w:t>which </w:t>
      </w:r>
      <w:r>
        <w:rPr>
          <w:sz w:val="24"/>
        </w:rPr>
        <w:t>a </w:t>
      </w:r>
      <w:r>
        <w:rPr>
          <w:spacing w:val="-3"/>
          <w:sz w:val="24"/>
        </w:rPr>
        <w:t>non- billable </w:t>
      </w:r>
      <w:r>
        <w:rPr>
          <w:sz w:val="24"/>
        </w:rPr>
        <w:t>SRE</w:t>
      </w:r>
      <w:r>
        <w:rPr>
          <w:spacing w:val="-10"/>
          <w:sz w:val="24"/>
        </w:rPr>
        <w:t> </w:t>
      </w:r>
      <w:r>
        <w:rPr>
          <w:spacing w:val="-3"/>
          <w:sz w:val="24"/>
        </w:rPr>
        <w:t>occurred.</w:t>
      </w:r>
    </w:p>
    <w:p>
      <w:pPr>
        <w:pStyle w:val="ListParagraph"/>
        <w:numPr>
          <w:ilvl w:val="0"/>
          <w:numId w:val="22"/>
        </w:numPr>
        <w:tabs>
          <w:tab w:pos="1193" w:val="left" w:leader="none"/>
        </w:tabs>
        <w:spacing w:line="242" w:lineRule="auto" w:before="121" w:after="0"/>
        <w:ind w:left="1192" w:right="656" w:hanging="360"/>
        <w:jc w:val="left"/>
        <w:rPr>
          <w:sz w:val="24"/>
        </w:rPr>
      </w:pPr>
      <w:r>
        <w:rPr>
          <w:spacing w:val="-3"/>
          <w:sz w:val="24"/>
        </w:rPr>
        <w:t>Charges </w:t>
      </w:r>
      <w:r>
        <w:rPr>
          <w:sz w:val="24"/>
        </w:rPr>
        <w:t>for </w:t>
      </w:r>
      <w:r>
        <w:rPr>
          <w:spacing w:val="-3"/>
          <w:sz w:val="24"/>
        </w:rPr>
        <w:t>services, including co-payments </w:t>
      </w:r>
      <w:r>
        <w:rPr>
          <w:sz w:val="24"/>
        </w:rPr>
        <w:t>or </w:t>
      </w:r>
      <w:r>
        <w:rPr>
          <w:spacing w:val="-3"/>
          <w:sz w:val="24"/>
        </w:rPr>
        <w:t>deductibles, deemed non-billable to MassHealth </w:t>
      </w:r>
      <w:r>
        <w:rPr>
          <w:sz w:val="24"/>
        </w:rPr>
        <w:t>are not </w:t>
      </w:r>
      <w:r>
        <w:rPr>
          <w:spacing w:val="-3"/>
          <w:sz w:val="24"/>
        </w:rPr>
        <w:t>billable </w:t>
      </w:r>
      <w:r>
        <w:rPr>
          <w:sz w:val="24"/>
        </w:rPr>
        <w:t>to the</w:t>
      </w:r>
      <w:r>
        <w:rPr>
          <w:spacing w:val="-36"/>
          <w:sz w:val="24"/>
        </w:rPr>
        <w:t> </w:t>
      </w:r>
      <w:r>
        <w:rPr>
          <w:spacing w:val="-4"/>
          <w:sz w:val="24"/>
        </w:rPr>
        <w:t>member.</w:t>
      </w:r>
    </w:p>
    <w:p>
      <w:pPr>
        <w:pStyle w:val="ListParagraph"/>
        <w:numPr>
          <w:ilvl w:val="0"/>
          <w:numId w:val="22"/>
        </w:numPr>
        <w:tabs>
          <w:tab w:pos="1193" w:val="left" w:leader="none"/>
        </w:tabs>
        <w:spacing w:line="242" w:lineRule="auto" w:before="121" w:after="0"/>
        <w:ind w:left="1192" w:right="812" w:hanging="360"/>
        <w:jc w:val="left"/>
        <w:rPr>
          <w:sz w:val="24"/>
        </w:rPr>
      </w:pPr>
      <w:r>
        <w:rPr>
          <w:sz w:val="24"/>
        </w:rPr>
        <w:t>The </w:t>
      </w:r>
      <w:r>
        <w:rPr>
          <w:spacing w:val="-3"/>
          <w:sz w:val="24"/>
        </w:rPr>
        <w:t>non-payment provision </w:t>
      </w:r>
      <w:r>
        <w:rPr>
          <w:sz w:val="24"/>
        </w:rPr>
        <w:t>of </w:t>
      </w:r>
      <w:r>
        <w:rPr>
          <w:spacing w:val="-3"/>
          <w:sz w:val="24"/>
        </w:rPr>
        <w:t>this </w:t>
      </w:r>
      <w:r>
        <w:rPr>
          <w:sz w:val="24"/>
        </w:rPr>
        <w:t>RFA </w:t>
      </w:r>
      <w:r>
        <w:rPr>
          <w:spacing w:val="-3"/>
          <w:sz w:val="24"/>
        </w:rPr>
        <w:t>also applies </w:t>
      </w:r>
      <w:r>
        <w:rPr>
          <w:sz w:val="24"/>
        </w:rPr>
        <w:t>to </w:t>
      </w:r>
      <w:r>
        <w:rPr>
          <w:spacing w:val="-3"/>
          <w:sz w:val="24"/>
        </w:rPr>
        <w:t>third-party liability and/or crossover payments </w:t>
      </w:r>
      <w:r>
        <w:rPr>
          <w:sz w:val="24"/>
        </w:rPr>
        <w:t>by</w:t>
      </w:r>
      <w:r>
        <w:rPr>
          <w:spacing w:val="-8"/>
          <w:sz w:val="24"/>
        </w:rPr>
        <w:t> </w:t>
      </w:r>
      <w:r>
        <w:rPr>
          <w:spacing w:val="-3"/>
          <w:sz w:val="24"/>
        </w:rPr>
        <w:t>MassHealth.</w:t>
      </w:r>
    </w:p>
    <w:p>
      <w:pPr>
        <w:pStyle w:val="ListParagraph"/>
        <w:numPr>
          <w:ilvl w:val="0"/>
          <w:numId w:val="22"/>
        </w:numPr>
        <w:tabs>
          <w:tab w:pos="1193" w:val="left" w:leader="none"/>
        </w:tabs>
        <w:spacing w:line="244" w:lineRule="auto" w:before="121" w:after="0"/>
        <w:ind w:left="1192" w:right="290" w:hanging="360"/>
        <w:jc w:val="left"/>
        <w:rPr>
          <w:sz w:val="24"/>
        </w:rPr>
      </w:pPr>
      <w:r>
        <w:rPr>
          <w:sz w:val="24"/>
        </w:rPr>
        <w:t>A</w:t>
      </w:r>
      <w:r>
        <w:rPr>
          <w:spacing w:val="-6"/>
          <w:sz w:val="24"/>
        </w:rPr>
        <w:t> </w:t>
      </w:r>
      <w:r>
        <w:rPr>
          <w:spacing w:val="-3"/>
          <w:sz w:val="24"/>
        </w:rPr>
        <w:t>Hospital</w:t>
      </w:r>
      <w:r>
        <w:rPr>
          <w:spacing w:val="-6"/>
          <w:sz w:val="24"/>
        </w:rPr>
        <w:t> </w:t>
      </w:r>
      <w:r>
        <w:rPr>
          <w:sz w:val="24"/>
        </w:rPr>
        <w:t>not</w:t>
      </w:r>
      <w:r>
        <w:rPr>
          <w:spacing w:val="-6"/>
          <w:sz w:val="24"/>
        </w:rPr>
        <w:t> </w:t>
      </w:r>
      <w:r>
        <w:rPr>
          <w:spacing w:val="-3"/>
          <w:sz w:val="24"/>
        </w:rPr>
        <w:t>involved</w:t>
      </w:r>
      <w:r>
        <w:rPr>
          <w:spacing w:val="-6"/>
          <w:sz w:val="24"/>
        </w:rPr>
        <w:t> </w:t>
      </w:r>
      <w:r>
        <w:rPr>
          <w:sz w:val="24"/>
        </w:rPr>
        <w:t>in</w:t>
      </w:r>
      <w:r>
        <w:rPr>
          <w:spacing w:val="-6"/>
          <w:sz w:val="24"/>
        </w:rPr>
        <w:t> </w:t>
      </w:r>
      <w:r>
        <w:rPr>
          <w:sz w:val="24"/>
        </w:rPr>
        <w:t>the</w:t>
      </w:r>
      <w:r>
        <w:rPr>
          <w:spacing w:val="-6"/>
          <w:sz w:val="24"/>
        </w:rPr>
        <w:t> </w:t>
      </w:r>
      <w:r>
        <w:rPr>
          <w:spacing w:val="-3"/>
          <w:sz w:val="24"/>
        </w:rPr>
        <w:t>occurrence</w:t>
      </w:r>
      <w:r>
        <w:rPr>
          <w:spacing w:val="-6"/>
          <w:sz w:val="24"/>
        </w:rPr>
        <w:t> </w:t>
      </w:r>
      <w:r>
        <w:rPr>
          <w:sz w:val="24"/>
        </w:rPr>
        <w:t>of</w:t>
      </w:r>
      <w:r>
        <w:rPr>
          <w:spacing w:val="-6"/>
          <w:sz w:val="24"/>
        </w:rPr>
        <w:t> </w:t>
      </w:r>
      <w:r>
        <w:rPr>
          <w:sz w:val="24"/>
        </w:rPr>
        <w:t>a</w:t>
      </w:r>
      <w:r>
        <w:rPr>
          <w:spacing w:val="-6"/>
          <w:sz w:val="24"/>
        </w:rPr>
        <w:t> </w:t>
      </w:r>
      <w:r>
        <w:rPr>
          <w:spacing w:val="-3"/>
          <w:sz w:val="24"/>
        </w:rPr>
        <w:t>preventable</w:t>
      </w:r>
      <w:r>
        <w:rPr>
          <w:spacing w:val="-6"/>
          <w:sz w:val="24"/>
        </w:rPr>
        <w:t> </w:t>
      </w:r>
      <w:r>
        <w:rPr>
          <w:sz w:val="24"/>
        </w:rPr>
        <w:t>SRE</w:t>
      </w:r>
      <w:r>
        <w:rPr>
          <w:spacing w:val="-6"/>
          <w:sz w:val="24"/>
        </w:rPr>
        <w:t> </w:t>
      </w:r>
      <w:r>
        <w:rPr>
          <w:spacing w:val="-3"/>
          <w:sz w:val="24"/>
        </w:rPr>
        <w:t>that</w:t>
      </w:r>
      <w:r>
        <w:rPr>
          <w:spacing w:val="-6"/>
          <w:sz w:val="24"/>
        </w:rPr>
        <w:t> </w:t>
      </w:r>
      <w:r>
        <w:rPr>
          <w:spacing w:val="-3"/>
          <w:sz w:val="24"/>
        </w:rPr>
        <w:t>also</w:t>
      </w:r>
      <w:r>
        <w:rPr>
          <w:spacing w:val="-6"/>
          <w:sz w:val="24"/>
        </w:rPr>
        <w:t> </w:t>
      </w:r>
      <w:r>
        <w:rPr>
          <w:spacing w:val="-3"/>
          <w:sz w:val="24"/>
        </w:rPr>
        <w:t>does</w:t>
      </w:r>
      <w:r>
        <w:rPr>
          <w:spacing w:val="-6"/>
          <w:sz w:val="24"/>
        </w:rPr>
        <w:t> </w:t>
      </w:r>
      <w:r>
        <w:rPr>
          <w:sz w:val="24"/>
        </w:rPr>
        <w:t>not</w:t>
      </w:r>
      <w:r>
        <w:rPr>
          <w:spacing w:val="-6"/>
          <w:sz w:val="24"/>
        </w:rPr>
        <w:t> </w:t>
      </w:r>
      <w:r>
        <w:rPr>
          <w:spacing w:val="-4"/>
          <w:sz w:val="24"/>
        </w:rPr>
        <w:t>meet </w:t>
      </w:r>
      <w:r>
        <w:rPr>
          <w:sz w:val="24"/>
        </w:rPr>
        <w:t>the </w:t>
      </w:r>
      <w:r>
        <w:rPr>
          <w:spacing w:val="-3"/>
          <w:sz w:val="24"/>
        </w:rPr>
        <w:t>criteria </w:t>
      </w:r>
      <w:r>
        <w:rPr>
          <w:sz w:val="24"/>
        </w:rPr>
        <w:t>in </w:t>
      </w:r>
      <w:r>
        <w:rPr>
          <w:b/>
          <w:spacing w:val="-3"/>
          <w:sz w:val="24"/>
        </w:rPr>
        <w:t>Section 8.3.B.2.b</w:t>
      </w:r>
      <w:r>
        <w:rPr>
          <w:spacing w:val="-3"/>
          <w:sz w:val="24"/>
        </w:rPr>
        <w:t>, </w:t>
      </w:r>
      <w:r>
        <w:rPr>
          <w:sz w:val="24"/>
        </w:rPr>
        <w:t>and </w:t>
      </w:r>
      <w:r>
        <w:rPr>
          <w:spacing w:val="-3"/>
          <w:sz w:val="24"/>
        </w:rPr>
        <w:t>that provides inpatient </w:t>
      </w:r>
      <w:r>
        <w:rPr>
          <w:sz w:val="24"/>
        </w:rPr>
        <w:t>or </w:t>
      </w:r>
      <w:r>
        <w:rPr>
          <w:spacing w:val="-3"/>
          <w:sz w:val="24"/>
        </w:rPr>
        <w:t>outpatient services </w:t>
      </w:r>
      <w:r>
        <w:rPr>
          <w:sz w:val="24"/>
        </w:rPr>
        <w:t>to a </w:t>
      </w:r>
      <w:r>
        <w:rPr>
          <w:spacing w:val="-3"/>
          <w:sz w:val="24"/>
        </w:rPr>
        <w:t>patient </w:t>
      </w:r>
      <w:r>
        <w:rPr>
          <w:sz w:val="24"/>
        </w:rPr>
        <w:t>who </w:t>
      </w:r>
      <w:r>
        <w:rPr>
          <w:spacing w:val="-3"/>
          <w:sz w:val="24"/>
        </w:rPr>
        <w:t>previously incurred </w:t>
      </w:r>
      <w:r>
        <w:rPr>
          <w:sz w:val="24"/>
        </w:rPr>
        <w:t>an </w:t>
      </w:r>
      <w:r>
        <w:rPr>
          <w:spacing w:val="-3"/>
          <w:sz w:val="24"/>
        </w:rPr>
        <w:t>SRE, may bill MassHealth for </w:t>
      </w:r>
      <w:r>
        <w:rPr>
          <w:sz w:val="24"/>
        </w:rPr>
        <w:t>all </w:t>
      </w:r>
      <w:r>
        <w:rPr>
          <w:spacing w:val="-4"/>
          <w:sz w:val="24"/>
        </w:rPr>
        <w:t>medically </w:t>
      </w:r>
      <w:r>
        <w:rPr>
          <w:spacing w:val="-3"/>
          <w:sz w:val="24"/>
        </w:rPr>
        <w:t>necessary Hospital </w:t>
      </w:r>
      <w:r>
        <w:rPr>
          <w:sz w:val="24"/>
        </w:rPr>
        <w:t>and </w:t>
      </w:r>
      <w:r>
        <w:rPr>
          <w:spacing w:val="-3"/>
          <w:sz w:val="24"/>
        </w:rPr>
        <w:t>Hospital-Based Physician services provided </w:t>
      </w:r>
      <w:r>
        <w:rPr>
          <w:sz w:val="24"/>
        </w:rPr>
        <w:t>to the </w:t>
      </w:r>
      <w:r>
        <w:rPr>
          <w:spacing w:val="-3"/>
          <w:sz w:val="24"/>
        </w:rPr>
        <w:t>patient following </w:t>
      </w:r>
      <w:r>
        <w:rPr>
          <w:sz w:val="24"/>
        </w:rPr>
        <w:t>a </w:t>
      </w:r>
      <w:r>
        <w:rPr>
          <w:spacing w:val="-3"/>
          <w:sz w:val="24"/>
        </w:rPr>
        <w:t>preventable</w:t>
      </w:r>
      <w:r>
        <w:rPr>
          <w:spacing w:val="-6"/>
          <w:sz w:val="24"/>
        </w:rPr>
        <w:t> </w:t>
      </w:r>
      <w:r>
        <w:rPr>
          <w:spacing w:val="-3"/>
          <w:sz w:val="24"/>
        </w:rPr>
        <w:t>SRE.</w:t>
      </w:r>
    </w:p>
    <w:p>
      <w:pPr>
        <w:spacing w:after="0" w:line="244" w:lineRule="auto"/>
        <w:jc w:val="left"/>
        <w:rPr>
          <w:sz w:val="24"/>
        </w:rPr>
        <w:sectPr>
          <w:pgSz w:w="12240" w:h="15840"/>
          <w:pgMar w:header="0" w:footer="744" w:top="1380" w:bottom="940" w:left="1580" w:right="980"/>
        </w:sectPr>
      </w:pPr>
    </w:p>
    <w:p>
      <w:pPr>
        <w:pStyle w:val="Heading3"/>
        <w:numPr>
          <w:ilvl w:val="2"/>
          <w:numId w:val="19"/>
        </w:numPr>
        <w:tabs>
          <w:tab w:pos="480" w:val="left" w:leader="none"/>
        </w:tabs>
        <w:spacing w:line="240" w:lineRule="auto" w:before="65" w:after="0"/>
        <w:ind w:left="479" w:right="0" w:hanging="360"/>
        <w:jc w:val="left"/>
      </w:pPr>
      <w:r>
        <w:rPr>
          <w:spacing w:val="-3"/>
        </w:rPr>
        <w:t>Required Reporting </w:t>
      </w:r>
      <w:r>
        <w:rPr/>
        <w:t>and </w:t>
      </w:r>
      <w:r>
        <w:rPr>
          <w:spacing w:val="-3"/>
        </w:rPr>
        <w:t>Preventability</w:t>
      </w:r>
      <w:r>
        <w:rPr>
          <w:spacing w:val="-11"/>
        </w:rPr>
        <w:t> </w:t>
      </w:r>
      <w:r>
        <w:rPr>
          <w:spacing w:val="-3"/>
        </w:rPr>
        <w:t>Determination</w:t>
      </w:r>
    </w:p>
    <w:p>
      <w:pPr>
        <w:pStyle w:val="BodyText"/>
        <w:spacing w:before="11"/>
        <w:rPr>
          <w:b/>
          <w:sz w:val="20"/>
        </w:rPr>
      </w:pPr>
    </w:p>
    <w:p>
      <w:pPr>
        <w:pStyle w:val="ListParagraph"/>
        <w:numPr>
          <w:ilvl w:val="3"/>
          <w:numId w:val="19"/>
        </w:numPr>
        <w:tabs>
          <w:tab w:pos="825" w:val="left" w:leader="none"/>
        </w:tabs>
        <w:spacing w:line="242" w:lineRule="auto" w:before="0" w:after="0"/>
        <w:ind w:left="824" w:right="99" w:hanging="345"/>
        <w:jc w:val="left"/>
        <w:rPr>
          <w:sz w:val="24"/>
        </w:rPr>
      </w:pPr>
      <w:r>
        <w:rPr>
          <w:sz w:val="24"/>
        </w:rPr>
        <w:t>In accordance with DPH regulations at 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w:t>
      </w:r>
      <w:r>
        <w:rPr>
          <w:spacing w:val="-1"/>
          <w:sz w:val="24"/>
        </w:rPr>
        <w:t> </w:t>
      </w:r>
      <w:r>
        <w:rPr>
          <w:sz w:val="24"/>
        </w:rPr>
        <w:t>regulations.</w:t>
      </w:r>
    </w:p>
    <w:p>
      <w:pPr>
        <w:pStyle w:val="ListParagraph"/>
        <w:numPr>
          <w:ilvl w:val="3"/>
          <w:numId w:val="19"/>
        </w:numPr>
        <w:tabs>
          <w:tab w:pos="833" w:val="left" w:leader="none"/>
        </w:tabs>
        <w:spacing w:line="247" w:lineRule="auto" w:before="121" w:after="0"/>
        <w:ind w:left="832" w:right="181" w:hanging="300"/>
        <w:jc w:val="left"/>
        <w:rPr>
          <w:sz w:val="24"/>
        </w:rPr>
      </w:pPr>
      <w:r>
        <w:rPr>
          <w:sz w:val="24"/>
        </w:rPr>
        <w:t>A Hospital shall notify the MassHealth program of the occurrence of an SRE by mailing a copy of the report as filed with DPH pursuant to </w:t>
      </w:r>
      <w:r>
        <w:rPr>
          <w:b/>
          <w:sz w:val="24"/>
        </w:rPr>
        <w:t>Section 8.3.C.1</w:t>
      </w:r>
      <w:r>
        <w:rPr>
          <w:b/>
          <w:spacing w:val="-2"/>
          <w:sz w:val="24"/>
        </w:rPr>
        <w:t> </w:t>
      </w:r>
      <w:r>
        <w:rPr>
          <w:sz w:val="24"/>
        </w:rPr>
        <w:t>to:</w:t>
      </w:r>
    </w:p>
    <w:p>
      <w:pPr>
        <w:pStyle w:val="BodyText"/>
        <w:spacing w:before="9"/>
      </w:pPr>
    </w:p>
    <w:p>
      <w:pPr>
        <w:pStyle w:val="BodyText"/>
        <w:spacing w:line="242" w:lineRule="auto"/>
        <w:ind w:left="1011" w:right="4976"/>
      </w:pPr>
      <w:r>
        <w:rPr/>
        <w:t>Serious Reportable Event Coordinator MassHealth</w:t>
      </w:r>
    </w:p>
    <w:p>
      <w:pPr>
        <w:pStyle w:val="BodyText"/>
        <w:spacing w:line="228" w:lineRule="auto" w:before="14"/>
        <w:ind w:left="1011" w:right="5188"/>
      </w:pPr>
      <w:r>
        <w:rPr>
          <w:spacing w:val="-3"/>
        </w:rPr>
        <w:t>Utilization Management </w:t>
      </w:r>
      <w:r>
        <w:rPr>
          <w:spacing w:val="-4"/>
        </w:rPr>
        <w:t>Department </w:t>
      </w:r>
      <w:r>
        <w:rPr/>
        <w:t>100 </w:t>
      </w:r>
      <w:r>
        <w:rPr>
          <w:spacing w:val="-3"/>
        </w:rPr>
        <w:t>Hancock Street, </w:t>
      </w:r>
      <w:r>
        <w:rPr/>
        <w:t>6</w:t>
      </w:r>
      <w:r>
        <w:rPr>
          <w:position w:val="11"/>
          <w:sz w:val="16"/>
        </w:rPr>
        <w:t>th </w:t>
      </w:r>
      <w:r>
        <w:rPr>
          <w:spacing w:val="-3"/>
        </w:rPr>
        <w:t>Floor Quincy, </w:t>
      </w:r>
      <w:r>
        <w:rPr/>
        <w:t>MA </w:t>
      </w:r>
      <w:r>
        <w:rPr>
          <w:spacing w:val="-3"/>
        </w:rPr>
        <w:t>02171</w:t>
      </w:r>
    </w:p>
    <w:p>
      <w:pPr>
        <w:pStyle w:val="BodyText"/>
        <w:spacing w:before="6"/>
      </w:pPr>
    </w:p>
    <w:p>
      <w:pPr>
        <w:pStyle w:val="BodyText"/>
        <w:spacing w:line="242" w:lineRule="auto"/>
        <w:ind w:left="831" w:right="118" w:firstLine="21"/>
      </w:pPr>
      <w:r>
        <w:rPr>
          <w:spacing w:val="-3"/>
        </w:rPr>
        <w:t>Hospitals shall also </w:t>
      </w:r>
      <w:r>
        <w:rPr/>
        <w:t>use </w:t>
      </w:r>
      <w:r>
        <w:rPr>
          <w:spacing w:val="-3"/>
        </w:rPr>
        <w:t>this address </w:t>
      </w:r>
      <w:r>
        <w:rPr/>
        <w:t>to </w:t>
      </w:r>
      <w:r>
        <w:rPr>
          <w:spacing w:val="-3"/>
        </w:rPr>
        <w:t>send MassHealth </w:t>
      </w:r>
      <w:r>
        <w:rPr/>
        <w:t>a </w:t>
      </w:r>
      <w:r>
        <w:rPr>
          <w:spacing w:val="-3"/>
        </w:rPr>
        <w:t>copy </w:t>
      </w:r>
      <w:r>
        <w:rPr/>
        <w:t>of the </w:t>
      </w:r>
      <w:r>
        <w:rPr>
          <w:spacing w:val="-3"/>
        </w:rPr>
        <w:t>updated </w:t>
      </w:r>
      <w:r>
        <w:rPr/>
        <w:t>SRE </w:t>
      </w:r>
      <w:r>
        <w:rPr>
          <w:spacing w:val="-3"/>
        </w:rPr>
        <w:t>report as submitted </w:t>
      </w:r>
      <w:r>
        <w:rPr/>
        <w:t>to DPH </w:t>
      </w:r>
      <w:r>
        <w:rPr>
          <w:spacing w:val="-3"/>
        </w:rPr>
        <w:t>containing </w:t>
      </w:r>
      <w:r>
        <w:rPr/>
        <w:t>the </w:t>
      </w:r>
      <w:r>
        <w:rPr>
          <w:spacing w:val="-3"/>
        </w:rPr>
        <w:t>information </w:t>
      </w:r>
      <w:r>
        <w:rPr/>
        <w:t>as </w:t>
      </w:r>
      <w:r>
        <w:rPr>
          <w:spacing w:val="-3"/>
        </w:rPr>
        <w:t>specified under </w:t>
      </w:r>
      <w:r>
        <w:rPr/>
        <w:t>DPH </w:t>
      </w:r>
      <w:r>
        <w:rPr>
          <w:spacing w:val="-3"/>
        </w:rPr>
        <w:t>regulations </w:t>
      </w:r>
      <w:r>
        <w:rPr/>
        <w:t>at </w:t>
      </w:r>
      <w:r>
        <w:rPr>
          <w:spacing w:val="-3"/>
        </w:rPr>
        <w:t>105 </w:t>
      </w:r>
      <w:r>
        <w:rPr/>
        <w:t>CMR </w:t>
      </w:r>
      <w:r>
        <w:rPr>
          <w:spacing w:val="-3"/>
        </w:rPr>
        <w:t>130.332.</w:t>
      </w:r>
    </w:p>
    <w:p>
      <w:pPr>
        <w:pStyle w:val="ListParagraph"/>
        <w:numPr>
          <w:ilvl w:val="3"/>
          <w:numId w:val="19"/>
        </w:numPr>
        <w:tabs>
          <w:tab w:pos="833" w:val="left" w:leader="none"/>
        </w:tabs>
        <w:spacing w:line="244" w:lineRule="auto" w:before="120" w:after="0"/>
        <w:ind w:left="832" w:right="330" w:hanging="360"/>
        <w:jc w:val="left"/>
        <w:rPr>
          <w:sz w:val="24"/>
        </w:rPr>
      </w:pPr>
      <w:r>
        <w:rPr>
          <w:sz w:val="24"/>
        </w:rPr>
        <w:t>No later than thirty days after the date of initial reporting of the SRE to DPH and MassHealth, if upon completing a preventability determination following the occurrence of an SRE pursuant to </w:t>
      </w:r>
      <w:r>
        <w:rPr>
          <w:b/>
          <w:sz w:val="24"/>
        </w:rPr>
        <w:t>Section 8.3.C.1</w:t>
      </w:r>
      <w:r>
        <w:rPr>
          <w:sz w:val="24"/>
        </w:rPr>
        <w:t>, above, the Hospital seeks payment for Inpatient Services or Outpatient Services to a MassHealth member, the Hospital shall submit the following required documentation to MassHealth, using the address set forth in </w:t>
      </w:r>
      <w:r>
        <w:rPr>
          <w:b/>
          <w:sz w:val="24"/>
        </w:rPr>
        <w:t>Section 8.3.C.2</w:t>
      </w:r>
      <w:r>
        <w:rPr>
          <w:sz w:val="24"/>
        </w:rPr>
        <w:t>, above, so it can review the circumstances of the</w:t>
      </w:r>
      <w:r>
        <w:rPr>
          <w:spacing w:val="-10"/>
          <w:sz w:val="24"/>
        </w:rPr>
        <w:t> </w:t>
      </w:r>
      <w:r>
        <w:rPr>
          <w:sz w:val="24"/>
        </w:rPr>
        <w:t>SRE;</w:t>
      </w:r>
    </w:p>
    <w:p>
      <w:pPr>
        <w:pStyle w:val="ListParagraph"/>
        <w:numPr>
          <w:ilvl w:val="0"/>
          <w:numId w:val="23"/>
        </w:numPr>
        <w:tabs>
          <w:tab w:pos="1026" w:val="left" w:leader="none"/>
        </w:tabs>
        <w:spacing w:line="242" w:lineRule="auto" w:before="118" w:after="0"/>
        <w:ind w:left="1012" w:right="129" w:hanging="360"/>
        <w:jc w:val="left"/>
        <w:rPr>
          <w:sz w:val="24"/>
        </w:rPr>
      </w:pPr>
      <w:r>
        <w:rPr>
          <w:sz w:val="24"/>
        </w:rPr>
        <w:t>A copy of the updated SRE report issued to DPH describing the hospital’s preventability determination including, at a minimum, the</w:t>
      </w:r>
      <w:r>
        <w:rPr>
          <w:spacing w:val="-8"/>
          <w:sz w:val="24"/>
        </w:rPr>
        <w:t> </w:t>
      </w:r>
      <w:r>
        <w:rPr>
          <w:sz w:val="24"/>
        </w:rPr>
        <w:t>following:</w:t>
      </w:r>
    </w:p>
    <w:p>
      <w:pPr>
        <w:pStyle w:val="ListParagraph"/>
        <w:numPr>
          <w:ilvl w:val="1"/>
          <w:numId w:val="23"/>
        </w:numPr>
        <w:tabs>
          <w:tab w:pos="1372" w:val="left" w:leader="none"/>
        </w:tabs>
        <w:spacing w:line="240" w:lineRule="auto" w:before="121" w:after="0"/>
        <w:ind w:left="1372" w:right="0" w:hanging="360"/>
        <w:jc w:val="left"/>
        <w:rPr>
          <w:sz w:val="24"/>
        </w:rPr>
      </w:pPr>
      <w:r>
        <w:rPr>
          <w:sz w:val="24"/>
        </w:rPr>
        <w:t>Narrative description of the</w:t>
      </w:r>
      <w:r>
        <w:rPr>
          <w:spacing w:val="-1"/>
          <w:sz w:val="24"/>
        </w:rPr>
        <w:t> </w:t>
      </w:r>
      <w:r>
        <w:rPr>
          <w:sz w:val="24"/>
        </w:rPr>
        <w:t>SRE;</w:t>
      </w:r>
    </w:p>
    <w:p>
      <w:pPr>
        <w:pStyle w:val="ListParagraph"/>
        <w:numPr>
          <w:ilvl w:val="1"/>
          <w:numId w:val="23"/>
        </w:numPr>
        <w:tabs>
          <w:tab w:pos="1372" w:val="left" w:leader="none"/>
        </w:tabs>
        <w:spacing w:line="240" w:lineRule="auto" w:before="123" w:after="0"/>
        <w:ind w:left="1371" w:right="0" w:hanging="359"/>
        <w:jc w:val="left"/>
        <w:rPr>
          <w:sz w:val="24"/>
        </w:rPr>
      </w:pPr>
      <w:r>
        <w:rPr>
          <w:sz w:val="24"/>
        </w:rPr>
        <w:t>Analysis and identification of the root cause of the</w:t>
      </w:r>
      <w:r>
        <w:rPr>
          <w:spacing w:val="-1"/>
          <w:sz w:val="24"/>
        </w:rPr>
        <w:t> </w:t>
      </w:r>
      <w:r>
        <w:rPr>
          <w:sz w:val="24"/>
        </w:rPr>
        <w:t>SRE;</w:t>
      </w:r>
    </w:p>
    <w:p>
      <w:pPr>
        <w:pStyle w:val="ListParagraph"/>
        <w:numPr>
          <w:ilvl w:val="1"/>
          <w:numId w:val="23"/>
        </w:numPr>
        <w:tabs>
          <w:tab w:pos="1372" w:val="left" w:leader="none"/>
        </w:tabs>
        <w:spacing w:line="240" w:lineRule="auto" w:before="123" w:after="0"/>
        <w:ind w:left="1371" w:right="0" w:hanging="359"/>
        <w:jc w:val="left"/>
        <w:rPr>
          <w:sz w:val="24"/>
        </w:rPr>
      </w:pPr>
      <w:r>
        <w:rPr>
          <w:sz w:val="24"/>
        </w:rPr>
        <w:t>Analysis of the preventability criteria required by</w:t>
      </w:r>
      <w:r>
        <w:rPr>
          <w:spacing w:val="-2"/>
          <w:sz w:val="24"/>
        </w:rPr>
        <w:t> </w:t>
      </w:r>
      <w:r>
        <w:rPr>
          <w:sz w:val="24"/>
        </w:rPr>
        <w:t>DPH;</w:t>
      </w:r>
    </w:p>
    <w:p>
      <w:pPr>
        <w:pStyle w:val="ListParagraph"/>
        <w:numPr>
          <w:ilvl w:val="1"/>
          <w:numId w:val="23"/>
        </w:numPr>
        <w:tabs>
          <w:tab w:pos="1372" w:val="left" w:leader="none"/>
        </w:tabs>
        <w:spacing w:line="242" w:lineRule="auto" w:before="123" w:after="0"/>
        <w:ind w:left="1372" w:right="238" w:hanging="360"/>
        <w:jc w:val="left"/>
        <w:rPr>
          <w:sz w:val="24"/>
        </w:rPr>
      </w:pPr>
      <w:r>
        <w:rPr>
          <w:sz w:val="24"/>
        </w:rPr>
        <w:t>Description of any corrective measures taken by the hospital following discovery of the SRE;</w:t>
      </w:r>
      <w:r>
        <w:rPr>
          <w:spacing w:val="-1"/>
          <w:sz w:val="24"/>
        </w:rPr>
        <w:t> </w:t>
      </w:r>
      <w:r>
        <w:rPr>
          <w:sz w:val="24"/>
        </w:rPr>
        <w:t>and</w:t>
      </w:r>
    </w:p>
    <w:p>
      <w:pPr>
        <w:pStyle w:val="ListParagraph"/>
        <w:numPr>
          <w:ilvl w:val="1"/>
          <w:numId w:val="23"/>
        </w:numPr>
        <w:tabs>
          <w:tab w:pos="1372" w:val="left" w:leader="none"/>
        </w:tabs>
        <w:spacing w:line="242" w:lineRule="auto" w:before="120" w:after="0"/>
        <w:ind w:left="1372" w:right="282" w:hanging="360"/>
        <w:jc w:val="left"/>
        <w:rPr>
          <w:sz w:val="24"/>
        </w:rPr>
      </w:pPr>
      <w:r>
        <w:rPr>
          <w:sz w:val="24"/>
        </w:rPr>
        <w:t>Whether the hospital intends to charge or seek reimbursement from MassHealth for services provided at the hospital as a result of the</w:t>
      </w:r>
      <w:r>
        <w:rPr>
          <w:spacing w:val="-1"/>
          <w:sz w:val="24"/>
        </w:rPr>
        <w:t> </w:t>
      </w:r>
      <w:r>
        <w:rPr>
          <w:sz w:val="24"/>
        </w:rPr>
        <w:t>SRE;</w:t>
      </w:r>
    </w:p>
    <w:p>
      <w:pPr>
        <w:pStyle w:val="ListParagraph"/>
        <w:numPr>
          <w:ilvl w:val="0"/>
          <w:numId w:val="23"/>
        </w:numPr>
        <w:tabs>
          <w:tab w:pos="1012" w:val="left" w:leader="none"/>
        </w:tabs>
        <w:spacing w:line="240" w:lineRule="auto" w:before="120" w:after="0"/>
        <w:ind w:left="1011" w:right="0" w:hanging="359"/>
        <w:jc w:val="left"/>
        <w:rPr>
          <w:sz w:val="24"/>
        </w:rPr>
      </w:pPr>
      <w:r>
        <w:rPr>
          <w:sz w:val="24"/>
        </w:rPr>
        <w:t>Copies of the hospital policies and procedures related to</w:t>
      </w:r>
      <w:r>
        <w:rPr>
          <w:spacing w:val="-1"/>
          <w:sz w:val="24"/>
        </w:rPr>
        <w:t> </w:t>
      </w:r>
      <w:r>
        <w:rPr>
          <w:sz w:val="24"/>
        </w:rPr>
        <w:t>SREs;</w:t>
      </w:r>
    </w:p>
    <w:p>
      <w:pPr>
        <w:pStyle w:val="ListParagraph"/>
        <w:numPr>
          <w:ilvl w:val="0"/>
          <w:numId w:val="23"/>
        </w:numPr>
        <w:tabs>
          <w:tab w:pos="1012" w:val="left" w:leader="none"/>
        </w:tabs>
        <w:spacing w:line="242" w:lineRule="auto" w:before="123" w:after="0"/>
        <w:ind w:left="1012" w:right="603" w:hanging="360"/>
        <w:jc w:val="left"/>
        <w:rPr>
          <w:sz w:val="24"/>
        </w:rPr>
      </w:pPr>
      <w:r>
        <w:rPr>
          <w:sz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w:t>
      </w:r>
      <w:r>
        <w:rPr>
          <w:spacing w:val="-3"/>
          <w:sz w:val="24"/>
        </w:rPr>
        <w:t> </w:t>
      </w:r>
      <w:r>
        <w:rPr>
          <w:sz w:val="24"/>
        </w:rPr>
        <w:t>SRE.</w:t>
      </w:r>
    </w:p>
    <w:p>
      <w:pPr>
        <w:spacing w:after="0" w:line="242" w:lineRule="auto"/>
        <w:jc w:val="left"/>
        <w:rPr>
          <w:sz w:val="24"/>
        </w:rPr>
        <w:sectPr>
          <w:pgSz w:w="12240" w:h="15840"/>
          <w:pgMar w:header="0" w:footer="744" w:top="1380" w:bottom="940" w:left="1580" w:right="980"/>
        </w:sectPr>
      </w:pPr>
    </w:p>
    <w:p>
      <w:pPr>
        <w:pStyle w:val="Heading3"/>
        <w:numPr>
          <w:ilvl w:val="2"/>
          <w:numId w:val="19"/>
        </w:numPr>
        <w:tabs>
          <w:tab w:pos="473" w:val="left" w:leader="none"/>
        </w:tabs>
        <w:spacing w:line="240" w:lineRule="auto" w:before="65" w:after="0"/>
        <w:ind w:left="472" w:right="0" w:hanging="360"/>
        <w:jc w:val="left"/>
      </w:pPr>
      <w:r>
        <w:rPr>
          <w:spacing w:val="-3"/>
        </w:rPr>
        <w:t>Non-Payment </w:t>
      </w:r>
      <w:r>
        <w:rPr/>
        <w:t>for</w:t>
      </w:r>
      <w:r>
        <w:rPr>
          <w:spacing w:val="-10"/>
        </w:rPr>
        <w:t> </w:t>
      </w:r>
      <w:r>
        <w:rPr>
          <w:spacing w:val="-3"/>
        </w:rPr>
        <w:t>SREs</w:t>
      </w:r>
    </w:p>
    <w:p>
      <w:pPr>
        <w:pStyle w:val="BodyText"/>
        <w:spacing w:before="3"/>
        <w:rPr>
          <w:b/>
          <w:sz w:val="21"/>
        </w:rPr>
      </w:pPr>
    </w:p>
    <w:p>
      <w:pPr>
        <w:pStyle w:val="ListParagraph"/>
        <w:numPr>
          <w:ilvl w:val="3"/>
          <w:numId w:val="19"/>
        </w:numPr>
        <w:tabs>
          <w:tab w:pos="840" w:val="left" w:leader="none"/>
        </w:tabs>
        <w:spacing w:line="244" w:lineRule="auto" w:before="0" w:after="0"/>
        <w:ind w:left="832" w:right="487" w:hanging="360"/>
        <w:jc w:val="left"/>
        <w:rPr>
          <w:sz w:val="24"/>
        </w:rPr>
      </w:pPr>
      <w:r>
        <w:rPr>
          <w:spacing w:val="-3"/>
          <w:sz w:val="24"/>
        </w:rPr>
        <w:t>MassHealth will review </w:t>
      </w:r>
      <w:r>
        <w:rPr>
          <w:sz w:val="24"/>
        </w:rPr>
        <w:t>the </w:t>
      </w:r>
      <w:r>
        <w:rPr>
          <w:spacing w:val="-3"/>
          <w:sz w:val="24"/>
        </w:rPr>
        <w:t>circumstances </w:t>
      </w:r>
      <w:r>
        <w:rPr>
          <w:sz w:val="24"/>
        </w:rPr>
        <w:t>of the SRE and </w:t>
      </w:r>
      <w:r>
        <w:rPr>
          <w:spacing w:val="-3"/>
          <w:sz w:val="24"/>
        </w:rPr>
        <w:t>shall make </w:t>
      </w:r>
      <w:r>
        <w:rPr>
          <w:sz w:val="24"/>
        </w:rPr>
        <w:t>a </w:t>
      </w:r>
      <w:r>
        <w:rPr>
          <w:spacing w:val="-4"/>
          <w:sz w:val="24"/>
        </w:rPr>
        <w:t>determination </w:t>
      </w:r>
      <w:r>
        <w:rPr>
          <w:spacing w:val="-3"/>
          <w:sz w:val="24"/>
        </w:rPr>
        <w:t>regarding</w:t>
      </w:r>
      <w:r>
        <w:rPr>
          <w:spacing w:val="-7"/>
          <w:sz w:val="24"/>
        </w:rPr>
        <w:t> </w:t>
      </w:r>
      <w:r>
        <w:rPr>
          <w:spacing w:val="-3"/>
          <w:sz w:val="24"/>
        </w:rPr>
        <w:t>payment</w:t>
      </w:r>
      <w:r>
        <w:rPr>
          <w:spacing w:val="-7"/>
          <w:sz w:val="24"/>
        </w:rPr>
        <w:t> </w:t>
      </w:r>
      <w:r>
        <w:rPr>
          <w:spacing w:val="-3"/>
          <w:sz w:val="24"/>
        </w:rPr>
        <w:t>based</w:t>
      </w:r>
      <w:r>
        <w:rPr>
          <w:spacing w:val="-7"/>
          <w:sz w:val="24"/>
        </w:rPr>
        <w:t> </w:t>
      </w:r>
      <w:r>
        <w:rPr>
          <w:sz w:val="24"/>
        </w:rPr>
        <w:t>on</w:t>
      </w:r>
      <w:r>
        <w:rPr>
          <w:spacing w:val="-7"/>
          <w:sz w:val="24"/>
        </w:rPr>
        <w:t> </w:t>
      </w:r>
      <w:r>
        <w:rPr>
          <w:sz w:val="24"/>
        </w:rPr>
        <w:t>the</w:t>
      </w:r>
      <w:r>
        <w:rPr>
          <w:spacing w:val="-7"/>
          <w:sz w:val="24"/>
        </w:rPr>
        <w:t> </w:t>
      </w:r>
      <w:r>
        <w:rPr>
          <w:spacing w:val="-3"/>
          <w:sz w:val="24"/>
        </w:rPr>
        <w:t>criteria</w:t>
      </w:r>
      <w:r>
        <w:rPr>
          <w:spacing w:val="-7"/>
          <w:sz w:val="24"/>
        </w:rPr>
        <w:t> </w:t>
      </w:r>
      <w:r>
        <w:rPr>
          <w:sz w:val="24"/>
        </w:rPr>
        <w:t>set</w:t>
      </w:r>
      <w:r>
        <w:rPr>
          <w:spacing w:val="-7"/>
          <w:sz w:val="24"/>
        </w:rPr>
        <w:t> </w:t>
      </w:r>
      <w:r>
        <w:rPr>
          <w:spacing w:val="-3"/>
          <w:sz w:val="24"/>
        </w:rPr>
        <w:t>forth</w:t>
      </w:r>
      <w:r>
        <w:rPr>
          <w:spacing w:val="-7"/>
          <w:sz w:val="24"/>
        </w:rPr>
        <w:t> </w:t>
      </w:r>
      <w:r>
        <w:rPr>
          <w:sz w:val="24"/>
        </w:rPr>
        <w:t>in</w:t>
      </w:r>
      <w:r>
        <w:rPr>
          <w:spacing w:val="-7"/>
          <w:sz w:val="24"/>
        </w:rPr>
        <w:t> </w:t>
      </w:r>
      <w:r>
        <w:rPr>
          <w:sz w:val="24"/>
        </w:rPr>
        <w:t>DPH</w:t>
      </w:r>
      <w:r>
        <w:rPr>
          <w:spacing w:val="-7"/>
          <w:sz w:val="24"/>
        </w:rPr>
        <w:t> </w:t>
      </w:r>
      <w:r>
        <w:rPr>
          <w:spacing w:val="-3"/>
          <w:sz w:val="24"/>
        </w:rPr>
        <w:t>regulations</w:t>
      </w:r>
      <w:r>
        <w:rPr>
          <w:spacing w:val="-7"/>
          <w:sz w:val="24"/>
        </w:rPr>
        <w:t> </w:t>
      </w:r>
      <w:r>
        <w:rPr>
          <w:sz w:val="24"/>
        </w:rPr>
        <w:t>at</w:t>
      </w:r>
      <w:r>
        <w:rPr>
          <w:spacing w:val="-7"/>
          <w:sz w:val="24"/>
        </w:rPr>
        <w:t> </w:t>
      </w:r>
      <w:r>
        <w:rPr>
          <w:sz w:val="24"/>
        </w:rPr>
        <w:t>105</w:t>
      </w:r>
      <w:r>
        <w:rPr>
          <w:spacing w:val="-7"/>
          <w:sz w:val="24"/>
        </w:rPr>
        <w:t> </w:t>
      </w:r>
      <w:r>
        <w:rPr>
          <w:sz w:val="24"/>
        </w:rPr>
        <w:t>CMR</w:t>
      </w:r>
      <w:r>
        <w:rPr>
          <w:spacing w:val="-7"/>
          <w:sz w:val="24"/>
        </w:rPr>
        <w:t> </w:t>
      </w:r>
      <w:r>
        <w:rPr>
          <w:spacing w:val="-3"/>
          <w:sz w:val="24"/>
        </w:rPr>
        <w:t>130.332 </w:t>
      </w:r>
      <w:r>
        <w:rPr>
          <w:sz w:val="24"/>
        </w:rPr>
        <w:t>and </w:t>
      </w:r>
      <w:r>
        <w:rPr>
          <w:spacing w:val="-3"/>
          <w:sz w:val="24"/>
        </w:rPr>
        <w:t>above, </w:t>
      </w:r>
      <w:r>
        <w:rPr>
          <w:sz w:val="24"/>
        </w:rPr>
        <w:t>and </w:t>
      </w:r>
      <w:r>
        <w:rPr>
          <w:spacing w:val="-3"/>
          <w:sz w:val="24"/>
        </w:rPr>
        <w:t>utilizing </w:t>
      </w:r>
      <w:r>
        <w:rPr>
          <w:b/>
          <w:spacing w:val="-3"/>
          <w:sz w:val="24"/>
        </w:rPr>
        <w:t>Table 8-1</w:t>
      </w:r>
      <w:r>
        <w:rPr>
          <w:spacing w:val="-3"/>
          <w:sz w:val="24"/>
        </w:rPr>
        <w:t>,</w:t>
      </w:r>
      <w:r>
        <w:rPr>
          <w:spacing w:val="-21"/>
          <w:sz w:val="24"/>
        </w:rPr>
        <w:t> </w:t>
      </w:r>
      <w:r>
        <w:rPr>
          <w:spacing w:val="-3"/>
          <w:sz w:val="24"/>
        </w:rPr>
        <w:t>below:</w:t>
      </w:r>
    </w:p>
    <w:p>
      <w:pPr>
        <w:pStyle w:val="BodyText"/>
        <w:spacing w:before="5"/>
      </w:pPr>
    </w:p>
    <w:p>
      <w:pPr>
        <w:pStyle w:val="Heading3"/>
        <w:ind w:left="1511" w:firstLine="0"/>
      </w:pPr>
      <w:r>
        <w:rPr/>
        <w:t>Table 8-1.  MassHealth Non-Payment Methodology, Acute Hospitals</w:t>
      </w:r>
    </w:p>
    <w:p>
      <w:pPr>
        <w:pStyle w:val="BodyText"/>
        <w:spacing w:before="4"/>
        <w:rPr>
          <w:b/>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8"/>
        <w:gridCol w:w="4122"/>
      </w:tblGrid>
      <w:tr>
        <w:trPr>
          <w:trHeight w:val="560" w:hRule="atLeast"/>
        </w:trPr>
        <w:tc>
          <w:tcPr>
            <w:tcW w:w="5148" w:type="dxa"/>
          </w:tcPr>
          <w:p>
            <w:pPr>
              <w:pStyle w:val="TableParagraph"/>
              <w:spacing w:line="280" w:lineRule="atLeast" w:before="1"/>
              <w:ind w:left="102"/>
              <w:rPr>
                <w:rFonts w:ascii="Times New Roman"/>
                <w:b/>
                <w:sz w:val="24"/>
              </w:rPr>
            </w:pPr>
            <w:r>
              <w:rPr>
                <w:rFonts w:ascii="Times New Roman"/>
                <w:b/>
                <w:spacing w:val="-3"/>
                <w:sz w:val="24"/>
              </w:rPr>
              <w:t>Payment Component that includes Preventable SRE</w:t>
            </w:r>
          </w:p>
        </w:tc>
        <w:tc>
          <w:tcPr>
            <w:tcW w:w="4122" w:type="dxa"/>
          </w:tcPr>
          <w:p>
            <w:pPr>
              <w:pStyle w:val="TableParagraph"/>
              <w:spacing w:line="240" w:lineRule="auto" w:before="5"/>
              <w:ind w:left="103"/>
              <w:rPr>
                <w:rFonts w:ascii="Times New Roman"/>
                <w:b/>
                <w:sz w:val="24"/>
              </w:rPr>
            </w:pPr>
            <w:r>
              <w:rPr>
                <w:rFonts w:ascii="Times New Roman"/>
                <w:b/>
                <w:sz w:val="24"/>
              </w:rPr>
              <w:t>Resulting Non-payment</w:t>
            </w:r>
          </w:p>
        </w:tc>
      </w:tr>
      <w:tr>
        <w:trPr>
          <w:trHeight w:val="260" w:hRule="atLeast"/>
        </w:trPr>
        <w:tc>
          <w:tcPr>
            <w:tcW w:w="5148" w:type="dxa"/>
          </w:tcPr>
          <w:p>
            <w:pPr>
              <w:pStyle w:val="TableParagraph"/>
              <w:spacing w:line="258" w:lineRule="exact" w:before="1"/>
              <w:ind w:left="102"/>
              <w:rPr>
                <w:rFonts w:ascii="Times New Roman"/>
                <w:sz w:val="24"/>
              </w:rPr>
            </w:pPr>
            <w:r>
              <w:rPr>
                <w:rFonts w:ascii="Times New Roman"/>
                <w:sz w:val="24"/>
              </w:rPr>
              <w:t>Inpatient acute admission</w:t>
            </w:r>
          </w:p>
        </w:tc>
        <w:tc>
          <w:tcPr>
            <w:tcW w:w="4122" w:type="dxa"/>
          </w:tcPr>
          <w:p>
            <w:pPr>
              <w:pStyle w:val="TableParagraph"/>
              <w:spacing w:line="258" w:lineRule="exact" w:before="1"/>
              <w:ind w:left="99"/>
              <w:rPr>
                <w:rFonts w:ascii="Times New Roman"/>
                <w:sz w:val="24"/>
              </w:rPr>
            </w:pPr>
            <w:r>
              <w:rPr>
                <w:rFonts w:ascii="Times New Roman"/>
                <w:sz w:val="24"/>
              </w:rPr>
              <w:t>Non-payment of SPAD</w:t>
            </w:r>
          </w:p>
        </w:tc>
      </w:tr>
      <w:tr>
        <w:trPr>
          <w:trHeight w:val="540" w:hRule="atLeast"/>
        </w:trPr>
        <w:tc>
          <w:tcPr>
            <w:tcW w:w="5148" w:type="dxa"/>
          </w:tcPr>
          <w:p>
            <w:pPr>
              <w:pStyle w:val="TableParagraph"/>
              <w:spacing w:line="280" w:lineRule="exact" w:before="1"/>
              <w:ind w:left="102" w:right="457"/>
              <w:rPr>
                <w:rFonts w:ascii="Times New Roman"/>
                <w:sz w:val="24"/>
              </w:rPr>
            </w:pPr>
            <w:r>
              <w:rPr>
                <w:rFonts w:ascii="Times New Roman"/>
                <w:spacing w:val="-3"/>
                <w:sz w:val="24"/>
              </w:rPr>
              <w:t>Inpatient </w:t>
            </w:r>
            <w:r>
              <w:rPr>
                <w:rFonts w:ascii="Times New Roman"/>
                <w:sz w:val="24"/>
              </w:rPr>
              <w:t>- </w:t>
            </w:r>
            <w:r>
              <w:rPr>
                <w:rFonts w:ascii="Times New Roman"/>
                <w:spacing w:val="-3"/>
                <w:sz w:val="24"/>
              </w:rPr>
              <w:t>Outlier </w:t>
            </w:r>
            <w:r>
              <w:rPr>
                <w:rFonts w:ascii="Times New Roman"/>
                <w:sz w:val="24"/>
              </w:rPr>
              <w:t>Per </w:t>
            </w:r>
            <w:r>
              <w:rPr>
                <w:rFonts w:ascii="Times New Roman"/>
                <w:spacing w:val="-3"/>
                <w:sz w:val="24"/>
              </w:rPr>
              <w:t>Diem, Transfer </w:t>
            </w:r>
            <w:r>
              <w:rPr>
                <w:rFonts w:ascii="Times New Roman"/>
                <w:sz w:val="24"/>
              </w:rPr>
              <w:t>Per </w:t>
            </w:r>
            <w:r>
              <w:rPr>
                <w:rFonts w:ascii="Times New Roman"/>
                <w:spacing w:val="-3"/>
                <w:sz w:val="24"/>
              </w:rPr>
              <w:t>Diem, Psychiatric </w:t>
            </w:r>
            <w:r>
              <w:rPr>
                <w:rFonts w:ascii="Times New Roman"/>
                <w:sz w:val="24"/>
              </w:rPr>
              <w:t>Per </w:t>
            </w:r>
            <w:r>
              <w:rPr>
                <w:rFonts w:ascii="Times New Roman"/>
                <w:spacing w:val="-3"/>
                <w:sz w:val="24"/>
              </w:rPr>
              <w:t>Diem, </w:t>
            </w:r>
            <w:r>
              <w:rPr>
                <w:rFonts w:ascii="Times New Roman"/>
                <w:sz w:val="24"/>
              </w:rPr>
              <w:t>or </w:t>
            </w:r>
            <w:r>
              <w:rPr>
                <w:rFonts w:ascii="Times New Roman"/>
                <w:spacing w:val="-3"/>
                <w:sz w:val="24"/>
              </w:rPr>
              <w:t>Acute Rehab </w:t>
            </w:r>
            <w:r>
              <w:rPr>
                <w:rFonts w:ascii="Times New Roman"/>
                <w:sz w:val="24"/>
              </w:rPr>
              <w:t>Per </w:t>
            </w:r>
            <w:r>
              <w:rPr>
                <w:rFonts w:ascii="Times New Roman"/>
                <w:spacing w:val="-3"/>
                <w:sz w:val="24"/>
              </w:rPr>
              <w:t>Diem</w:t>
            </w:r>
          </w:p>
        </w:tc>
        <w:tc>
          <w:tcPr>
            <w:tcW w:w="4122" w:type="dxa"/>
          </w:tcPr>
          <w:p>
            <w:pPr>
              <w:pStyle w:val="TableParagraph"/>
              <w:spacing w:line="280" w:lineRule="exact" w:before="1"/>
              <w:ind w:left="103"/>
              <w:rPr>
                <w:rFonts w:ascii="Times New Roman"/>
                <w:sz w:val="24"/>
              </w:rPr>
            </w:pPr>
            <w:r>
              <w:rPr>
                <w:rFonts w:ascii="Times New Roman"/>
                <w:spacing w:val="-3"/>
                <w:sz w:val="24"/>
              </w:rPr>
              <w:t>Non-payment </w:t>
            </w:r>
            <w:r>
              <w:rPr>
                <w:rFonts w:ascii="Times New Roman"/>
                <w:sz w:val="24"/>
              </w:rPr>
              <w:t>of all per </w:t>
            </w:r>
            <w:r>
              <w:rPr>
                <w:rFonts w:ascii="Times New Roman"/>
                <w:spacing w:val="-3"/>
                <w:sz w:val="24"/>
              </w:rPr>
              <w:t>diems associated with </w:t>
            </w:r>
            <w:r>
              <w:rPr>
                <w:rFonts w:ascii="Times New Roman"/>
                <w:sz w:val="24"/>
              </w:rPr>
              <w:t>the </w:t>
            </w:r>
            <w:r>
              <w:rPr>
                <w:rFonts w:ascii="Times New Roman"/>
                <w:spacing w:val="-3"/>
                <w:sz w:val="24"/>
              </w:rPr>
              <w:t>inpatient stay</w:t>
            </w:r>
          </w:p>
        </w:tc>
      </w:tr>
      <w:tr>
        <w:trPr>
          <w:trHeight w:val="817" w:hRule="atLeast"/>
        </w:trPr>
        <w:tc>
          <w:tcPr>
            <w:tcW w:w="5148" w:type="dxa"/>
          </w:tcPr>
          <w:p>
            <w:pPr>
              <w:pStyle w:val="TableParagraph"/>
              <w:spacing w:line="275" w:lineRule="exact"/>
              <w:ind w:left="102"/>
              <w:rPr>
                <w:rFonts w:ascii="Times New Roman"/>
                <w:sz w:val="24"/>
              </w:rPr>
            </w:pPr>
            <w:r>
              <w:rPr>
                <w:rFonts w:ascii="Times New Roman"/>
                <w:sz w:val="24"/>
              </w:rPr>
              <w:t>Outpatient Hospital Services</w:t>
            </w:r>
          </w:p>
        </w:tc>
        <w:tc>
          <w:tcPr>
            <w:tcW w:w="4122" w:type="dxa"/>
          </w:tcPr>
          <w:p>
            <w:pPr>
              <w:pStyle w:val="TableParagraph"/>
              <w:spacing w:line="242" w:lineRule="auto"/>
              <w:ind w:left="103" w:right="396"/>
              <w:rPr>
                <w:rFonts w:ascii="Times New Roman"/>
                <w:sz w:val="24"/>
              </w:rPr>
            </w:pPr>
            <w:r>
              <w:rPr>
                <w:rFonts w:ascii="Times New Roman"/>
                <w:sz w:val="24"/>
              </w:rPr>
              <w:t>Non-payment of PAPE and any other outpatient services payable under the</w:t>
            </w:r>
          </w:p>
          <w:p>
            <w:pPr>
              <w:pStyle w:val="TableParagraph"/>
              <w:spacing w:line="258" w:lineRule="exact" w:before="2"/>
              <w:ind w:left="103"/>
              <w:rPr>
                <w:rFonts w:ascii="Times New Roman"/>
                <w:sz w:val="24"/>
              </w:rPr>
            </w:pPr>
            <w:r>
              <w:rPr>
                <w:rFonts w:ascii="Times New Roman"/>
                <w:sz w:val="24"/>
              </w:rPr>
              <w:t>RFA</w:t>
            </w:r>
          </w:p>
        </w:tc>
      </w:tr>
      <w:tr>
        <w:trPr>
          <w:trHeight w:val="540" w:hRule="atLeast"/>
        </w:trPr>
        <w:tc>
          <w:tcPr>
            <w:tcW w:w="5148" w:type="dxa"/>
          </w:tcPr>
          <w:p>
            <w:pPr>
              <w:pStyle w:val="TableParagraph"/>
              <w:spacing w:line="240" w:lineRule="auto" w:before="1"/>
              <w:ind w:left="102"/>
              <w:rPr>
                <w:rFonts w:ascii="Times New Roman"/>
                <w:sz w:val="24"/>
              </w:rPr>
            </w:pPr>
            <w:r>
              <w:rPr>
                <w:rFonts w:ascii="Times New Roman"/>
                <w:sz w:val="24"/>
              </w:rPr>
              <w:t>Hospital-Based Physician services</w:t>
            </w:r>
          </w:p>
        </w:tc>
        <w:tc>
          <w:tcPr>
            <w:tcW w:w="4122" w:type="dxa"/>
          </w:tcPr>
          <w:p>
            <w:pPr>
              <w:pStyle w:val="TableParagraph"/>
              <w:spacing w:line="280" w:lineRule="exact" w:before="1"/>
              <w:ind w:left="103" w:right="278" w:hanging="2"/>
              <w:rPr>
                <w:rFonts w:ascii="Times New Roman"/>
                <w:sz w:val="24"/>
              </w:rPr>
            </w:pPr>
            <w:r>
              <w:rPr>
                <w:rFonts w:ascii="Times New Roman"/>
                <w:spacing w:val="-3"/>
                <w:sz w:val="24"/>
              </w:rPr>
              <w:t>Non-payment </w:t>
            </w:r>
            <w:r>
              <w:rPr>
                <w:rFonts w:ascii="Times New Roman"/>
                <w:sz w:val="24"/>
              </w:rPr>
              <w:t>of </w:t>
            </w:r>
            <w:r>
              <w:rPr>
                <w:rFonts w:ascii="Times New Roman"/>
                <w:spacing w:val="-3"/>
                <w:sz w:val="24"/>
              </w:rPr>
              <w:t>physician fees </w:t>
            </w:r>
            <w:r>
              <w:rPr>
                <w:rFonts w:ascii="Times New Roman"/>
                <w:sz w:val="24"/>
              </w:rPr>
              <w:t>for </w:t>
            </w:r>
            <w:r>
              <w:rPr>
                <w:rFonts w:ascii="Times New Roman"/>
                <w:spacing w:val="-3"/>
                <w:sz w:val="24"/>
              </w:rPr>
              <w:t>care associated with </w:t>
            </w:r>
            <w:r>
              <w:rPr>
                <w:rFonts w:ascii="Times New Roman"/>
                <w:sz w:val="24"/>
              </w:rPr>
              <w:t>the </w:t>
            </w:r>
            <w:r>
              <w:rPr>
                <w:rFonts w:ascii="Times New Roman"/>
                <w:spacing w:val="-3"/>
                <w:sz w:val="24"/>
              </w:rPr>
              <w:t>SRE</w:t>
            </w:r>
          </w:p>
        </w:tc>
      </w:tr>
    </w:tbl>
    <w:p>
      <w:pPr>
        <w:pStyle w:val="BodyText"/>
        <w:spacing w:before="3"/>
        <w:rPr>
          <w:b/>
          <w:sz w:val="21"/>
        </w:rPr>
      </w:pPr>
    </w:p>
    <w:p>
      <w:pPr>
        <w:pStyle w:val="ListParagraph"/>
        <w:numPr>
          <w:ilvl w:val="3"/>
          <w:numId w:val="19"/>
        </w:numPr>
        <w:tabs>
          <w:tab w:pos="840" w:val="left" w:leader="none"/>
        </w:tabs>
        <w:spacing w:line="242" w:lineRule="auto" w:before="0" w:after="0"/>
        <w:ind w:left="832" w:right="232" w:hanging="360"/>
        <w:jc w:val="left"/>
        <w:rPr>
          <w:sz w:val="24"/>
        </w:rPr>
      </w:pPr>
      <w:r>
        <w:rPr>
          <w:sz w:val="24"/>
        </w:rPr>
        <w:t>In </w:t>
      </w:r>
      <w:r>
        <w:rPr>
          <w:spacing w:val="-3"/>
          <w:sz w:val="24"/>
        </w:rPr>
        <w:t>accordance with state </w:t>
      </w:r>
      <w:r>
        <w:rPr>
          <w:sz w:val="24"/>
        </w:rPr>
        <w:t>and </w:t>
      </w:r>
      <w:r>
        <w:rPr>
          <w:spacing w:val="-3"/>
          <w:sz w:val="24"/>
        </w:rPr>
        <w:t>federal statutes, rules, </w:t>
      </w:r>
      <w:r>
        <w:rPr>
          <w:sz w:val="24"/>
        </w:rPr>
        <w:t>and </w:t>
      </w:r>
      <w:r>
        <w:rPr>
          <w:spacing w:val="-3"/>
          <w:sz w:val="24"/>
        </w:rPr>
        <w:t>regulations governing the MassHealth</w:t>
      </w:r>
      <w:r>
        <w:rPr>
          <w:spacing w:val="-6"/>
          <w:sz w:val="24"/>
        </w:rPr>
        <w:t> </w:t>
      </w:r>
      <w:r>
        <w:rPr>
          <w:spacing w:val="-3"/>
          <w:sz w:val="24"/>
        </w:rPr>
        <w:t>program,</w:t>
      </w:r>
      <w:r>
        <w:rPr>
          <w:spacing w:val="-6"/>
          <w:sz w:val="24"/>
        </w:rPr>
        <w:t> </w:t>
      </w:r>
      <w:r>
        <w:rPr>
          <w:spacing w:val="-3"/>
          <w:sz w:val="24"/>
        </w:rPr>
        <w:t>including</w:t>
      </w:r>
      <w:r>
        <w:rPr>
          <w:spacing w:val="-6"/>
          <w:sz w:val="24"/>
        </w:rPr>
        <w:t> </w:t>
      </w:r>
      <w:r>
        <w:rPr>
          <w:sz w:val="24"/>
        </w:rPr>
        <w:t>but</w:t>
      </w:r>
      <w:r>
        <w:rPr>
          <w:spacing w:val="-6"/>
          <w:sz w:val="24"/>
        </w:rPr>
        <w:t> </w:t>
      </w:r>
      <w:r>
        <w:rPr>
          <w:sz w:val="24"/>
        </w:rPr>
        <w:t>not</w:t>
      </w:r>
      <w:r>
        <w:rPr>
          <w:spacing w:val="-6"/>
          <w:sz w:val="24"/>
        </w:rPr>
        <w:t> </w:t>
      </w:r>
      <w:r>
        <w:rPr>
          <w:spacing w:val="-3"/>
          <w:sz w:val="24"/>
        </w:rPr>
        <w:t>limited</w:t>
      </w:r>
      <w:r>
        <w:rPr>
          <w:spacing w:val="-6"/>
          <w:sz w:val="24"/>
        </w:rPr>
        <w:t> </w:t>
      </w:r>
      <w:r>
        <w:rPr>
          <w:sz w:val="24"/>
        </w:rPr>
        <w:t>to</w:t>
      </w:r>
      <w:r>
        <w:rPr>
          <w:spacing w:val="-6"/>
          <w:sz w:val="24"/>
        </w:rPr>
        <w:t> </w:t>
      </w:r>
      <w:r>
        <w:rPr>
          <w:sz w:val="24"/>
        </w:rPr>
        <w:t>130</w:t>
      </w:r>
      <w:r>
        <w:rPr>
          <w:spacing w:val="-6"/>
          <w:sz w:val="24"/>
        </w:rPr>
        <w:t> </w:t>
      </w:r>
      <w:r>
        <w:rPr>
          <w:sz w:val="24"/>
        </w:rPr>
        <w:t>CMR</w:t>
      </w:r>
      <w:r>
        <w:rPr>
          <w:spacing w:val="-6"/>
          <w:sz w:val="24"/>
        </w:rPr>
        <w:t> </w:t>
      </w:r>
      <w:r>
        <w:rPr>
          <w:spacing w:val="-3"/>
          <w:sz w:val="24"/>
        </w:rPr>
        <w:t>415.000</w:t>
      </w:r>
      <w:r>
        <w:rPr>
          <w:spacing w:val="-6"/>
          <w:sz w:val="24"/>
        </w:rPr>
        <w:t> </w:t>
      </w:r>
      <w:r>
        <w:rPr>
          <w:i/>
          <w:sz w:val="24"/>
        </w:rPr>
        <w:t>et</w:t>
      </w:r>
      <w:r>
        <w:rPr>
          <w:i/>
          <w:spacing w:val="-6"/>
          <w:sz w:val="24"/>
        </w:rPr>
        <w:t> </w:t>
      </w:r>
      <w:r>
        <w:rPr>
          <w:i/>
          <w:spacing w:val="-3"/>
          <w:sz w:val="24"/>
        </w:rPr>
        <w:t>seq.</w:t>
      </w:r>
      <w:r>
        <w:rPr>
          <w:i/>
          <w:spacing w:val="-6"/>
          <w:sz w:val="24"/>
        </w:rPr>
        <w:t> </w:t>
      </w:r>
      <w:r>
        <w:rPr>
          <w:spacing w:val="-3"/>
          <w:sz w:val="24"/>
        </w:rPr>
        <w:t>(Acute</w:t>
      </w:r>
      <w:r>
        <w:rPr>
          <w:spacing w:val="-6"/>
          <w:sz w:val="24"/>
        </w:rPr>
        <w:t> </w:t>
      </w:r>
      <w:r>
        <w:rPr>
          <w:spacing w:val="-3"/>
          <w:sz w:val="24"/>
        </w:rPr>
        <w:t>Inpatient Hospitals); </w:t>
      </w:r>
      <w:r>
        <w:rPr>
          <w:sz w:val="24"/>
        </w:rPr>
        <w:t>130 CMR </w:t>
      </w:r>
      <w:r>
        <w:rPr>
          <w:spacing w:val="-3"/>
          <w:sz w:val="24"/>
        </w:rPr>
        <w:t>410.000 </w:t>
      </w:r>
      <w:r>
        <w:rPr>
          <w:i/>
          <w:sz w:val="24"/>
        </w:rPr>
        <w:t>et </w:t>
      </w:r>
      <w:r>
        <w:rPr>
          <w:i/>
          <w:spacing w:val="-3"/>
          <w:sz w:val="24"/>
        </w:rPr>
        <w:t>seq. </w:t>
      </w:r>
      <w:r>
        <w:rPr>
          <w:spacing w:val="-3"/>
          <w:sz w:val="24"/>
        </w:rPr>
        <w:t>(Acute Outpatient Hospitals) </w:t>
      </w:r>
      <w:r>
        <w:rPr>
          <w:sz w:val="24"/>
        </w:rPr>
        <w:t>and 130 CMR </w:t>
      </w:r>
      <w:r>
        <w:rPr>
          <w:spacing w:val="-3"/>
          <w:sz w:val="24"/>
        </w:rPr>
        <w:t>450.000, </w:t>
      </w:r>
      <w:r>
        <w:rPr>
          <w:i/>
          <w:sz w:val="24"/>
        </w:rPr>
        <w:t>et </w:t>
      </w:r>
      <w:r>
        <w:rPr>
          <w:i/>
          <w:spacing w:val="-3"/>
          <w:sz w:val="24"/>
        </w:rPr>
        <w:t>seq. </w:t>
      </w:r>
      <w:r>
        <w:rPr>
          <w:spacing w:val="-3"/>
          <w:sz w:val="24"/>
        </w:rPr>
        <w:t>(administrative </w:t>
      </w:r>
      <w:r>
        <w:rPr>
          <w:sz w:val="24"/>
        </w:rPr>
        <w:t>and </w:t>
      </w:r>
      <w:r>
        <w:rPr>
          <w:spacing w:val="-3"/>
          <w:sz w:val="24"/>
        </w:rPr>
        <w:t>billing instructions), EOHHS may request additional </w:t>
      </w:r>
      <w:r>
        <w:rPr>
          <w:spacing w:val="-4"/>
          <w:sz w:val="24"/>
        </w:rPr>
        <w:t>information </w:t>
      </w:r>
      <w:r>
        <w:rPr>
          <w:spacing w:val="-3"/>
          <w:sz w:val="24"/>
        </w:rPr>
        <w:t>from </w:t>
      </w:r>
      <w:r>
        <w:rPr>
          <w:sz w:val="24"/>
        </w:rPr>
        <w:t>the </w:t>
      </w:r>
      <w:r>
        <w:rPr>
          <w:spacing w:val="-3"/>
          <w:sz w:val="24"/>
        </w:rPr>
        <w:t>Hospital which EOHHS deems necessary </w:t>
      </w:r>
      <w:r>
        <w:rPr>
          <w:sz w:val="24"/>
        </w:rPr>
        <w:t>to </w:t>
      </w:r>
      <w:r>
        <w:rPr>
          <w:spacing w:val="-3"/>
          <w:sz w:val="24"/>
        </w:rPr>
        <w:t>facilitate </w:t>
      </w:r>
      <w:r>
        <w:rPr>
          <w:sz w:val="24"/>
        </w:rPr>
        <w:t>its </w:t>
      </w:r>
      <w:r>
        <w:rPr>
          <w:spacing w:val="-3"/>
          <w:sz w:val="24"/>
        </w:rPr>
        <w:t>review </w:t>
      </w:r>
      <w:r>
        <w:rPr>
          <w:sz w:val="24"/>
        </w:rPr>
        <w:t>of any SRE or </w:t>
      </w:r>
      <w:r>
        <w:rPr>
          <w:spacing w:val="-3"/>
          <w:sz w:val="24"/>
        </w:rPr>
        <w:t>to carry </w:t>
      </w:r>
      <w:r>
        <w:rPr>
          <w:sz w:val="24"/>
        </w:rPr>
        <w:t>out </w:t>
      </w:r>
      <w:r>
        <w:rPr>
          <w:spacing w:val="-3"/>
          <w:sz w:val="24"/>
        </w:rPr>
        <w:t>payment, quality </w:t>
      </w:r>
      <w:r>
        <w:rPr>
          <w:sz w:val="24"/>
        </w:rPr>
        <w:t>or </w:t>
      </w:r>
      <w:r>
        <w:rPr>
          <w:spacing w:val="-3"/>
          <w:sz w:val="24"/>
        </w:rPr>
        <w:t>other routine functions </w:t>
      </w:r>
      <w:r>
        <w:rPr>
          <w:sz w:val="24"/>
        </w:rPr>
        <w:t>of the </w:t>
      </w:r>
      <w:r>
        <w:rPr>
          <w:spacing w:val="-3"/>
          <w:sz w:val="24"/>
        </w:rPr>
        <w:t>MassHealth program, </w:t>
      </w:r>
      <w:r>
        <w:rPr>
          <w:sz w:val="24"/>
        </w:rPr>
        <w:t>and </w:t>
      </w:r>
      <w:r>
        <w:rPr>
          <w:spacing w:val="-3"/>
          <w:sz w:val="24"/>
        </w:rPr>
        <w:t>the Hospital must comply with </w:t>
      </w:r>
      <w:r>
        <w:rPr>
          <w:sz w:val="24"/>
        </w:rPr>
        <w:t>the</w:t>
      </w:r>
      <w:r>
        <w:rPr>
          <w:spacing w:val="-11"/>
          <w:sz w:val="24"/>
        </w:rPr>
        <w:t> </w:t>
      </w:r>
      <w:r>
        <w:rPr>
          <w:spacing w:val="-3"/>
          <w:sz w:val="24"/>
        </w:rPr>
        <w:t>request.</w:t>
      </w:r>
    </w:p>
    <w:p>
      <w:pPr>
        <w:spacing w:after="0" w:line="242" w:lineRule="auto"/>
        <w:jc w:val="left"/>
        <w:rPr>
          <w:sz w:val="24"/>
        </w:rPr>
        <w:sectPr>
          <w:pgSz w:w="12240" w:h="15840"/>
          <w:pgMar w:header="0" w:footer="744" w:top="1380" w:bottom="940" w:left="1580" w:right="880"/>
        </w:sectPr>
      </w:pPr>
    </w:p>
    <w:p>
      <w:pPr>
        <w:pStyle w:val="Heading1"/>
      </w:pPr>
      <w:r>
        <w:rPr/>
        <w:t>Public Notice</w:t>
      </w:r>
    </w:p>
    <w:p>
      <w:pPr>
        <w:spacing w:before="120"/>
        <w:ind w:left="6898" w:right="6157" w:firstLine="0"/>
        <w:jc w:val="center"/>
        <w:rPr>
          <w:b/>
          <w:sz w:val="32"/>
        </w:rPr>
      </w:pPr>
      <w:r>
        <w:rPr>
          <w:b/>
          <w:sz w:val="32"/>
        </w:rPr>
        <w:t>RY 14 Acute Hospital Inpatient Rates</w:t>
      </w:r>
    </w:p>
    <w:p>
      <w:pPr>
        <w:pStyle w:val="Heading3"/>
        <w:spacing w:before="1"/>
        <w:ind w:left="6897" w:right="6157" w:firstLine="0"/>
        <w:jc w:val="center"/>
        <w:rPr>
          <w:rFonts w:ascii="Book Antiqua"/>
        </w:rPr>
      </w:pPr>
      <w:r>
        <w:rPr>
          <w:rFonts w:ascii="Book Antiqua"/>
        </w:rPr>
        <w:t>Effective 10/1/13</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435"/>
        <w:gridCol w:w="1568"/>
        <w:gridCol w:w="1567"/>
        <w:gridCol w:w="1340"/>
        <w:gridCol w:w="1464"/>
        <w:gridCol w:w="1565"/>
        <w:gridCol w:w="1565"/>
        <w:gridCol w:w="1340"/>
        <w:gridCol w:w="1340"/>
        <w:gridCol w:w="1567"/>
      </w:tblGrid>
      <w:tr>
        <w:trPr>
          <w:trHeight w:val="1480" w:hRule="atLeast"/>
        </w:trPr>
        <w:tc>
          <w:tcPr>
            <w:tcW w:w="326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515" w:right="448" w:firstLine="553"/>
              <w:rPr>
                <w:b/>
                <w:sz w:val="16"/>
              </w:rPr>
            </w:pPr>
            <w:r>
              <w:rPr>
                <w:b/>
                <w:sz w:val="16"/>
              </w:rPr>
              <w:t>Acute Hospital </w:t>
            </w:r>
            <w:r>
              <w:rPr>
                <w:b/>
                <w:w w:val="95"/>
                <w:sz w:val="16"/>
              </w:rPr>
              <w:t>Inpatient  Rates-HRY14-RFA14</w:t>
            </w:r>
          </w:p>
          <w:p>
            <w:pPr>
              <w:pStyle w:val="TableParagraph"/>
              <w:spacing w:line="240" w:lineRule="auto"/>
              <w:ind w:left="653" w:right="653"/>
              <w:jc w:val="center"/>
              <w:rPr>
                <w:b/>
                <w:sz w:val="16"/>
              </w:rPr>
            </w:pPr>
            <w:r>
              <w:rPr>
                <w:b/>
                <w:sz w:val="16"/>
              </w:rPr>
              <w:t>Effective October 1, 2013</w:t>
            </w:r>
          </w:p>
          <w:p>
            <w:pPr>
              <w:pStyle w:val="TableParagraph"/>
              <w:spacing w:line="240" w:lineRule="auto" w:before="11"/>
              <w:rPr>
                <w:rFonts w:ascii="Book Antiqua"/>
                <w:b/>
                <w:sz w:val="15"/>
              </w:rPr>
            </w:pPr>
          </w:p>
          <w:p>
            <w:pPr>
              <w:pStyle w:val="TableParagraph"/>
              <w:ind w:left="652" w:right="653"/>
              <w:jc w:val="center"/>
              <w:rPr>
                <w:b/>
                <w:sz w:val="16"/>
              </w:rPr>
            </w:pPr>
            <w:r>
              <w:rPr>
                <w:b/>
                <w:sz w:val="16"/>
              </w:rPr>
              <w:t>Hospital</w:t>
            </w:r>
          </w:p>
        </w:tc>
        <w:tc>
          <w:tcPr>
            <w:tcW w:w="143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
              <w:jc w:val="center"/>
              <w:rPr>
                <w:b/>
                <w:sz w:val="16"/>
              </w:rPr>
            </w:pPr>
            <w:r>
              <w:rPr>
                <w:b/>
                <w:sz w:val="16"/>
              </w:rPr>
              <w:t>Rate Code 25 UB92=X1</w:t>
            </w:r>
          </w:p>
          <w:p>
            <w:pPr>
              <w:pStyle w:val="TableParagraph"/>
              <w:spacing w:line="188" w:lineRule="exact"/>
              <w:ind w:left="179" w:right="178" w:firstLine="1"/>
              <w:jc w:val="center"/>
              <w:rPr>
                <w:b/>
                <w:sz w:val="16"/>
              </w:rPr>
            </w:pPr>
            <w:r>
              <w:rPr>
                <w:b/>
                <w:sz w:val="16"/>
              </w:rPr>
              <w:t>Standard Payment Amt per Discharge</w:t>
            </w:r>
          </w:p>
        </w:tc>
        <w:tc>
          <w:tcPr>
            <w:tcW w:w="1568"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50" w:right="249"/>
              <w:jc w:val="center"/>
              <w:rPr>
                <w:b/>
                <w:sz w:val="16"/>
              </w:rPr>
            </w:pPr>
            <w:r>
              <w:rPr>
                <w:b/>
                <w:sz w:val="16"/>
              </w:rPr>
              <w:t>Rate Code 61 UB92=X5</w:t>
            </w:r>
          </w:p>
          <w:p>
            <w:pPr>
              <w:pStyle w:val="TableParagraph"/>
              <w:spacing w:line="188" w:lineRule="exact"/>
              <w:ind w:left="250" w:right="249"/>
              <w:jc w:val="center"/>
              <w:rPr>
                <w:b/>
                <w:sz w:val="16"/>
              </w:rPr>
            </w:pPr>
            <w:r>
              <w:rPr>
                <w:b/>
                <w:sz w:val="16"/>
              </w:rPr>
              <w:t>Standard Transfer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50" w:right="248"/>
              <w:jc w:val="center"/>
              <w:rPr>
                <w:b/>
                <w:sz w:val="16"/>
              </w:rPr>
            </w:pPr>
            <w:r>
              <w:rPr>
                <w:b/>
                <w:sz w:val="16"/>
              </w:rPr>
              <w:t>Rate Code 28 UB92=X3</w:t>
            </w:r>
          </w:p>
          <w:p>
            <w:pPr>
              <w:pStyle w:val="TableParagraph"/>
              <w:spacing w:line="188" w:lineRule="exact"/>
              <w:ind w:left="250" w:right="248"/>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105" w:right="104"/>
              <w:jc w:val="center"/>
              <w:rPr>
                <w:b/>
                <w:sz w:val="16"/>
              </w:rPr>
            </w:pPr>
            <w:r>
              <w:rPr>
                <w:b/>
                <w:sz w:val="16"/>
              </w:rPr>
              <w:t>Rate Code 90 UB92=Y4</w:t>
            </w:r>
          </w:p>
          <w:p>
            <w:pPr>
              <w:pStyle w:val="TableParagraph"/>
              <w:spacing w:line="188" w:lineRule="exact"/>
              <w:ind w:left="159" w:right="158" w:firstLine="1"/>
              <w:jc w:val="center"/>
              <w:rPr>
                <w:b/>
                <w:sz w:val="16"/>
              </w:rPr>
            </w:pPr>
            <w:r>
              <w:rPr>
                <w:b/>
                <w:sz w:val="16"/>
              </w:rPr>
              <w:t>Mental Health Payment</w:t>
            </w:r>
            <w:r>
              <w:rPr>
                <w:b/>
                <w:spacing w:val="-19"/>
                <w:sz w:val="16"/>
              </w:rPr>
              <w:t> </w:t>
            </w:r>
            <w:r>
              <w:rPr>
                <w:b/>
                <w:sz w:val="16"/>
              </w:rPr>
              <w:t>Amt</w:t>
            </w:r>
          </w:p>
        </w:tc>
        <w:tc>
          <w:tcPr>
            <w:tcW w:w="1464"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21" w:right="219"/>
              <w:jc w:val="center"/>
              <w:rPr>
                <w:b/>
                <w:sz w:val="16"/>
              </w:rPr>
            </w:pPr>
            <w:r>
              <w:rPr>
                <w:b/>
                <w:sz w:val="16"/>
              </w:rPr>
              <w:t>Rate Code 27 UB92=X1</w:t>
            </w:r>
          </w:p>
          <w:p>
            <w:pPr>
              <w:pStyle w:val="TableParagraph"/>
              <w:spacing w:line="188" w:lineRule="exact"/>
              <w:ind w:left="194" w:right="193" w:firstLine="1"/>
              <w:jc w:val="center"/>
              <w:rPr>
                <w:b/>
                <w:sz w:val="16"/>
              </w:rPr>
            </w:pPr>
            <w:r>
              <w:rPr>
                <w:b/>
                <w:sz w:val="16"/>
              </w:rPr>
              <w:t>Standard Payment Amt per</w:t>
            </w:r>
            <w:r>
              <w:rPr>
                <w:b/>
                <w:spacing w:val="-4"/>
                <w:sz w:val="16"/>
              </w:rPr>
              <w:t> </w:t>
            </w:r>
            <w:r>
              <w:rPr>
                <w:b/>
                <w:sz w:val="16"/>
              </w:rPr>
              <w:t>Discharge</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49" w:right="247"/>
              <w:jc w:val="center"/>
              <w:rPr>
                <w:b/>
                <w:sz w:val="16"/>
              </w:rPr>
            </w:pPr>
            <w:r>
              <w:rPr>
                <w:b/>
                <w:sz w:val="16"/>
              </w:rPr>
              <w:t>Rate Code 63 UB92=X5</w:t>
            </w:r>
          </w:p>
          <w:p>
            <w:pPr>
              <w:pStyle w:val="TableParagraph"/>
              <w:spacing w:line="188" w:lineRule="exact"/>
              <w:ind w:left="249" w:right="247"/>
              <w:jc w:val="center"/>
              <w:rPr>
                <w:b/>
                <w:sz w:val="16"/>
              </w:rPr>
            </w:pPr>
            <w:r>
              <w:rPr>
                <w:b/>
                <w:sz w:val="16"/>
              </w:rPr>
              <w:t>Standard Transfer Payment Amt</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49" w:right="247"/>
              <w:jc w:val="center"/>
              <w:rPr>
                <w:b/>
                <w:sz w:val="16"/>
              </w:rPr>
            </w:pPr>
            <w:r>
              <w:rPr>
                <w:b/>
                <w:sz w:val="16"/>
              </w:rPr>
              <w:t>Rate Code 29 UB92=X3</w:t>
            </w:r>
          </w:p>
          <w:p>
            <w:pPr>
              <w:pStyle w:val="TableParagraph"/>
              <w:spacing w:line="188" w:lineRule="exact"/>
              <w:ind w:left="249" w:right="247"/>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4" w:lineRule="auto" w:before="155"/>
              <w:ind w:left="105" w:right="104"/>
              <w:jc w:val="center"/>
              <w:rPr>
                <w:b/>
                <w:sz w:val="16"/>
              </w:rPr>
            </w:pPr>
            <w:r>
              <w:rPr>
                <w:b/>
                <w:sz w:val="16"/>
              </w:rPr>
              <w:t>Rate Code 84 UB92=Y1</w:t>
            </w:r>
          </w:p>
          <w:p>
            <w:pPr>
              <w:pStyle w:val="TableParagraph"/>
              <w:spacing w:line="188" w:lineRule="exact"/>
              <w:ind w:left="152" w:right="151" w:firstLine="1"/>
              <w:jc w:val="center"/>
              <w:rPr>
                <w:b/>
                <w:sz w:val="16"/>
              </w:rPr>
            </w:pPr>
            <w:r>
              <w:rPr>
                <w:b/>
                <w:sz w:val="16"/>
              </w:rPr>
              <w:t>MassHealth w/Medicare B</w:t>
            </w:r>
            <w:r>
              <w:rPr>
                <w:b/>
                <w:w w:val="99"/>
                <w:sz w:val="16"/>
              </w:rPr>
              <w:t> </w:t>
            </w:r>
            <w:r>
              <w:rPr>
                <w:b/>
                <w:sz w:val="16"/>
              </w:rPr>
              <w:t>AD payment Amt</w:t>
            </w:r>
          </w:p>
        </w:tc>
        <w:tc>
          <w:tcPr>
            <w:tcW w:w="1340" w:type="dxa"/>
          </w:tcPr>
          <w:p>
            <w:pPr>
              <w:pStyle w:val="TableParagraph"/>
              <w:spacing w:line="240" w:lineRule="auto"/>
              <w:rPr>
                <w:rFonts w:ascii="Book Antiqua"/>
                <w:b/>
                <w:sz w:val="18"/>
              </w:rPr>
            </w:pPr>
          </w:p>
          <w:p>
            <w:pPr>
              <w:pStyle w:val="TableParagraph"/>
              <w:spacing w:line="244" w:lineRule="auto" w:before="155"/>
              <w:ind w:left="105" w:right="104"/>
              <w:jc w:val="center"/>
              <w:rPr>
                <w:b/>
                <w:sz w:val="16"/>
              </w:rPr>
            </w:pPr>
            <w:r>
              <w:rPr>
                <w:b/>
                <w:sz w:val="16"/>
              </w:rPr>
              <w:t>Rate Code 85 UB92=Y2</w:t>
            </w:r>
          </w:p>
          <w:p>
            <w:pPr>
              <w:pStyle w:val="TableParagraph"/>
              <w:spacing w:line="244" w:lineRule="auto" w:before="1"/>
              <w:ind w:left="106" w:right="104"/>
              <w:jc w:val="center"/>
              <w:rPr>
                <w:b/>
                <w:sz w:val="16"/>
              </w:rPr>
            </w:pPr>
            <w:r>
              <w:rPr>
                <w:b/>
                <w:sz w:val="16"/>
              </w:rPr>
              <w:t>MassHealth Only</w:t>
            </w:r>
          </w:p>
          <w:p>
            <w:pPr>
              <w:pStyle w:val="TableParagraph"/>
              <w:spacing w:line="188" w:lineRule="exact"/>
              <w:ind w:left="105" w:right="104"/>
              <w:jc w:val="center"/>
              <w:rPr>
                <w:b/>
                <w:sz w:val="16"/>
              </w:rPr>
            </w:pPr>
            <w:r>
              <w:rPr>
                <w:b/>
                <w:sz w:val="16"/>
              </w:rPr>
              <w:t>AD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before="126"/>
              <w:ind w:left="248" w:right="248"/>
              <w:jc w:val="center"/>
              <w:rPr>
                <w:b/>
                <w:sz w:val="16"/>
              </w:rPr>
            </w:pPr>
            <w:r>
              <w:rPr>
                <w:b/>
                <w:sz w:val="16"/>
              </w:rPr>
              <w:t>Rate Code 71</w:t>
            </w:r>
          </w:p>
          <w:p>
            <w:pPr>
              <w:pStyle w:val="TableParagraph"/>
              <w:spacing w:line="240" w:lineRule="auto"/>
              <w:rPr>
                <w:rFonts w:ascii="Book Antiqua"/>
                <w:b/>
                <w:sz w:val="18"/>
              </w:rPr>
            </w:pPr>
          </w:p>
          <w:p>
            <w:pPr>
              <w:pStyle w:val="TableParagraph"/>
              <w:spacing w:line="190" w:lineRule="atLeast" w:before="157"/>
              <w:ind w:left="433" w:right="429" w:hanging="2"/>
              <w:jc w:val="center"/>
              <w:rPr>
                <w:b/>
                <w:sz w:val="16"/>
              </w:rPr>
            </w:pPr>
            <w:r>
              <w:rPr>
                <w:b/>
                <w:sz w:val="16"/>
              </w:rPr>
              <w:t>Rehab Per Diem</w:t>
            </w:r>
          </w:p>
        </w:tc>
      </w:tr>
      <w:tr>
        <w:trPr>
          <w:trHeight w:val="277" w:hRule="atLeast"/>
        </w:trPr>
        <w:tc>
          <w:tcPr>
            <w:tcW w:w="3260" w:type="dxa"/>
          </w:tcPr>
          <w:p>
            <w:pPr>
              <w:pStyle w:val="TableParagraph"/>
              <w:spacing w:before="111"/>
              <w:ind w:left="102"/>
              <w:rPr>
                <w:b/>
                <w:sz w:val="16"/>
              </w:rPr>
            </w:pPr>
            <w:r>
              <w:rPr>
                <w:b/>
                <w:sz w:val="16"/>
              </w:rPr>
              <w:t>ANNA JAQUES HOSPITAL</w:t>
            </w:r>
          </w:p>
        </w:tc>
        <w:tc>
          <w:tcPr>
            <w:tcW w:w="1435" w:type="dxa"/>
          </w:tcPr>
          <w:p>
            <w:pPr>
              <w:pStyle w:val="TableParagraph"/>
              <w:tabs>
                <w:tab w:pos="558" w:val="left" w:leader="none"/>
              </w:tabs>
              <w:spacing w:before="111"/>
              <w:ind w:left="25"/>
              <w:jc w:val="center"/>
              <w:rPr>
                <w:b/>
                <w:sz w:val="16"/>
              </w:rPr>
            </w:pPr>
            <w:r>
              <w:rPr>
                <w:b/>
                <w:sz w:val="16"/>
              </w:rPr>
              <w:t>$</w:t>
              <w:tab/>
              <w:t>6,362.74</w:t>
            </w:r>
          </w:p>
        </w:tc>
        <w:tc>
          <w:tcPr>
            <w:tcW w:w="1568" w:type="dxa"/>
          </w:tcPr>
          <w:p>
            <w:pPr>
              <w:pStyle w:val="TableParagraph"/>
              <w:tabs>
                <w:tab w:pos="681" w:val="left" w:leader="none"/>
              </w:tabs>
              <w:spacing w:before="111"/>
              <w:ind w:left="148"/>
              <w:rPr>
                <w:b/>
                <w:sz w:val="16"/>
              </w:rPr>
            </w:pPr>
            <w:r>
              <w:rPr>
                <w:b/>
                <w:sz w:val="16"/>
              </w:rPr>
              <w:t>$</w:t>
              <w:tab/>
              <w:t>1,484.70</w:t>
            </w:r>
          </w:p>
        </w:tc>
        <w:tc>
          <w:tcPr>
            <w:tcW w:w="1567" w:type="dxa"/>
          </w:tcPr>
          <w:p>
            <w:pPr>
              <w:pStyle w:val="TableParagraph"/>
              <w:tabs>
                <w:tab w:pos="681" w:val="left" w:leader="none"/>
              </w:tabs>
              <w:spacing w:before="111"/>
              <w:ind w:left="148"/>
              <w:rPr>
                <w:b/>
                <w:sz w:val="16"/>
              </w:rPr>
            </w:pPr>
            <w:r>
              <w:rPr>
                <w:b/>
                <w:sz w:val="16"/>
              </w:rPr>
              <w:t>$</w:t>
              <w:tab/>
              <w:t>1,113.53</w:t>
            </w:r>
          </w:p>
        </w:tc>
        <w:tc>
          <w:tcPr>
            <w:tcW w:w="1340" w:type="dxa"/>
          </w:tcPr>
          <w:p>
            <w:pPr>
              <w:pStyle w:val="TableParagraph"/>
              <w:spacing w:before="111"/>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6" w:right="104"/>
              <w:jc w:val="center"/>
              <w:rPr>
                <w:b/>
                <w:sz w:val="16"/>
              </w:rPr>
            </w:pPr>
            <w:r>
              <w:rPr>
                <w:b/>
                <w:sz w:val="16"/>
              </w:rPr>
              <w:t>$258.90</w:t>
            </w:r>
          </w:p>
        </w:tc>
        <w:tc>
          <w:tcPr>
            <w:tcW w:w="1340" w:type="dxa"/>
          </w:tcPr>
          <w:p>
            <w:pPr>
              <w:pStyle w:val="TableParagraph"/>
              <w:spacing w:before="111"/>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ATHOL HOSPITAL **</w:t>
            </w:r>
          </w:p>
        </w:tc>
        <w:tc>
          <w:tcPr>
            <w:tcW w:w="1435" w:type="dxa"/>
          </w:tcPr>
          <w:p>
            <w:pPr>
              <w:pStyle w:val="TableParagraph"/>
              <w:tabs>
                <w:tab w:pos="470" w:val="left" w:leader="none"/>
              </w:tabs>
              <w:spacing w:before="113"/>
              <w:ind w:left="26"/>
              <w:jc w:val="center"/>
              <w:rPr>
                <w:b/>
                <w:sz w:val="16"/>
              </w:rPr>
            </w:pPr>
            <w:r>
              <w:rPr>
                <w:b/>
                <w:sz w:val="16"/>
              </w:rPr>
              <w:t>$</w:t>
              <w:tab/>
              <w:t>16,647.88</w:t>
            </w:r>
          </w:p>
        </w:tc>
        <w:tc>
          <w:tcPr>
            <w:tcW w:w="1568" w:type="dxa"/>
          </w:tcPr>
          <w:p>
            <w:pPr>
              <w:pStyle w:val="TableParagraph"/>
              <w:tabs>
                <w:tab w:pos="681" w:val="left" w:leader="none"/>
              </w:tabs>
              <w:spacing w:before="113"/>
              <w:ind w:left="148"/>
              <w:rPr>
                <w:b/>
                <w:sz w:val="16"/>
              </w:rPr>
            </w:pPr>
            <w:r>
              <w:rPr>
                <w:b/>
                <w:sz w:val="16"/>
              </w:rPr>
              <w:t>$</w:t>
              <w:tab/>
              <w:t>3,862.62</w:t>
            </w:r>
          </w:p>
        </w:tc>
        <w:tc>
          <w:tcPr>
            <w:tcW w:w="1567" w:type="dxa"/>
          </w:tcPr>
          <w:p>
            <w:pPr>
              <w:pStyle w:val="TableParagraph"/>
              <w:tabs>
                <w:tab w:pos="681" w:val="left" w:leader="none"/>
              </w:tabs>
              <w:spacing w:before="113"/>
              <w:ind w:left="148"/>
              <w:rPr>
                <w:b/>
                <w:sz w:val="16"/>
              </w:rPr>
            </w:pPr>
            <w:r>
              <w:rPr>
                <w:b/>
                <w:sz w:val="16"/>
              </w:rPr>
              <w:t>$</w:t>
              <w:tab/>
              <w:t>2,896.96</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BAYSTATE MED. CTR.</w:t>
            </w:r>
          </w:p>
        </w:tc>
        <w:tc>
          <w:tcPr>
            <w:tcW w:w="1435" w:type="dxa"/>
          </w:tcPr>
          <w:p>
            <w:pPr>
              <w:pStyle w:val="TableParagraph"/>
              <w:tabs>
                <w:tab w:pos="556" w:val="left" w:leader="none"/>
              </w:tabs>
              <w:spacing w:before="113"/>
              <w:ind w:left="23"/>
              <w:jc w:val="center"/>
              <w:rPr>
                <w:b/>
                <w:sz w:val="16"/>
              </w:rPr>
            </w:pPr>
            <w:r>
              <w:rPr>
                <w:b/>
                <w:sz w:val="16"/>
              </w:rPr>
              <w:t>$</w:t>
              <w:tab/>
              <w:t>9,467.20</w:t>
            </w:r>
          </w:p>
        </w:tc>
        <w:tc>
          <w:tcPr>
            <w:tcW w:w="1568" w:type="dxa"/>
          </w:tcPr>
          <w:p>
            <w:pPr>
              <w:pStyle w:val="TableParagraph"/>
              <w:tabs>
                <w:tab w:pos="680" w:val="left" w:leader="none"/>
              </w:tabs>
              <w:spacing w:before="113"/>
              <w:ind w:left="147"/>
              <w:rPr>
                <w:b/>
                <w:sz w:val="16"/>
              </w:rPr>
            </w:pPr>
            <w:r>
              <w:rPr>
                <w:b/>
                <w:sz w:val="16"/>
              </w:rPr>
              <w:t>$</w:t>
              <w:tab/>
              <w:t>2,149.78</w:t>
            </w:r>
          </w:p>
        </w:tc>
        <w:tc>
          <w:tcPr>
            <w:tcW w:w="1567" w:type="dxa"/>
          </w:tcPr>
          <w:p>
            <w:pPr>
              <w:pStyle w:val="TableParagraph"/>
              <w:tabs>
                <w:tab w:pos="680" w:val="left" w:leader="none"/>
              </w:tabs>
              <w:spacing w:before="113"/>
              <w:ind w:left="147"/>
              <w:rPr>
                <w:b/>
                <w:sz w:val="16"/>
              </w:rPr>
            </w:pPr>
            <w:r>
              <w:rPr>
                <w:b/>
                <w:sz w:val="16"/>
              </w:rPr>
              <w:t>$</w:t>
              <w:tab/>
              <w:t>1,612.34</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BERKSHIRE MED. CTR.</w:t>
            </w:r>
          </w:p>
        </w:tc>
        <w:tc>
          <w:tcPr>
            <w:tcW w:w="1435" w:type="dxa"/>
          </w:tcPr>
          <w:p>
            <w:pPr>
              <w:pStyle w:val="TableParagraph"/>
              <w:tabs>
                <w:tab w:pos="556" w:val="left" w:leader="none"/>
              </w:tabs>
              <w:spacing w:before="113"/>
              <w:ind w:left="23"/>
              <w:jc w:val="center"/>
              <w:rPr>
                <w:b/>
                <w:sz w:val="16"/>
              </w:rPr>
            </w:pPr>
            <w:r>
              <w:rPr>
                <w:b/>
                <w:sz w:val="16"/>
              </w:rPr>
              <w:t>$</w:t>
              <w:tab/>
              <w:t>7,233.61</w:t>
            </w:r>
          </w:p>
        </w:tc>
        <w:tc>
          <w:tcPr>
            <w:tcW w:w="1568" w:type="dxa"/>
          </w:tcPr>
          <w:p>
            <w:pPr>
              <w:pStyle w:val="TableParagraph"/>
              <w:tabs>
                <w:tab w:pos="680" w:val="left" w:leader="none"/>
              </w:tabs>
              <w:spacing w:before="113"/>
              <w:ind w:left="147"/>
              <w:rPr>
                <w:b/>
                <w:sz w:val="16"/>
              </w:rPr>
            </w:pPr>
            <w:r>
              <w:rPr>
                <w:b/>
                <w:sz w:val="16"/>
              </w:rPr>
              <w:t>$</w:t>
              <w:tab/>
              <w:t>1,666.26</w:t>
            </w:r>
          </w:p>
        </w:tc>
        <w:tc>
          <w:tcPr>
            <w:tcW w:w="1567" w:type="dxa"/>
          </w:tcPr>
          <w:p>
            <w:pPr>
              <w:pStyle w:val="TableParagraph"/>
              <w:tabs>
                <w:tab w:pos="680" w:val="left" w:leader="none"/>
              </w:tabs>
              <w:spacing w:before="113"/>
              <w:ind w:left="147"/>
              <w:rPr>
                <w:b/>
                <w:sz w:val="16"/>
              </w:rPr>
            </w:pPr>
            <w:r>
              <w:rPr>
                <w:b/>
                <w:sz w:val="16"/>
              </w:rPr>
              <w:t>$</w:t>
              <w:tab/>
              <w:t>1,249.69</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tabs>
                <w:tab w:pos="813" w:val="left" w:leader="none"/>
              </w:tabs>
              <w:spacing w:before="113"/>
              <w:ind w:left="148"/>
              <w:rPr>
                <w:b/>
                <w:sz w:val="16"/>
              </w:rPr>
            </w:pPr>
            <w:r>
              <w:rPr>
                <w:b/>
                <w:sz w:val="16"/>
              </w:rPr>
              <w:t>$</w:t>
              <w:tab/>
              <w:t>741.89</w:t>
            </w:r>
          </w:p>
        </w:tc>
      </w:tr>
      <w:tr>
        <w:trPr>
          <w:trHeight w:val="360" w:hRule="atLeast"/>
        </w:trPr>
        <w:tc>
          <w:tcPr>
            <w:tcW w:w="3260" w:type="dxa"/>
          </w:tcPr>
          <w:p>
            <w:pPr>
              <w:pStyle w:val="TableParagraph"/>
              <w:spacing w:line="188" w:lineRule="exact" w:before="1"/>
              <w:ind w:left="102" w:right="448"/>
              <w:rPr>
                <w:b/>
                <w:sz w:val="16"/>
              </w:rPr>
            </w:pPr>
            <w:r>
              <w:rPr>
                <w:b/>
                <w:sz w:val="16"/>
              </w:rPr>
              <w:t>BETH ISRAEL DEAC-NEEDHAM CAMPUS</w:t>
            </w:r>
          </w:p>
        </w:tc>
        <w:tc>
          <w:tcPr>
            <w:tcW w:w="1435" w:type="dxa"/>
          </w:tcPr>
          <w:p>
            <w:pPr>
              <w:pStyle w:val="TableParagraph"/>
              <w:spacing w:line="240" w:lineRule="auto" w:before="9"/>
              <w:rPr>
                <w:rFonts w:ascii="Book Antiqua"/>
                <w:b/>
                <w:sz w:val="15"/>
              </w:rPr>
            </w:pPr>
          </w:p>
          <w:p>
            <w:pPr>
              <w:pStyle w:val="TableParagraph"/>
              <w:tabs>
                <w:tab w:pos="555" w:val="left" w:leader="none"/>
              </w:tabs>
              <w:ind w:left="22"/>
              <w:jc w:val="center"/>
              <w:rPr>
                <w:b/>
                <w:sz w:val="16"/>
              </w:rPr>
            </w:pPr>
            <w:r>
              <w:rPr>
                <w:b/>
                <w:sz w:val="16"/>
              </w:rPr>
              <w:t>$</w:t>
              <w:tab/>
              <w:t>6,194.78</w:t>
            </w:r>
          </w:p>
        </w:tc>
        <w:tc>
          <w:tcPr>
            <w:tcW w:w="1568" w:type="dxa"/>
          </w:tcPr>
          <w:p>
            <w:pPr>
              <w:pStyle w:val="TableParagraph"/>
              <w:spacing w:line="240" w:lineRule="auto" w:before="9"/>
              <w:rPr>
                <w:rFonts w:ascii="Book Antiqua"/>
                <w:b/>
                <w:sz w:val="15"/>
              </w:rPr>
            </w:pPr>
          </w:p>
          <w:p>
            <w:pPr>
              <w:pStyle w:val="TableParagraph"/>
              <w:tabs>
                <w:tab w:pos="679" w:val="left" w:leader="none"/>
              </w:tabs>
              <w:ind w:left="146"/>
              <w:rPr>
                <w:b/>
                <w:sz w:val="16"/>
              </w:rPr>
            </w:pPr>
            <w:r>
              <w:rPr>
                <w:b/>
                <w:sz w:val="16"/>
              </w:rPr>
              <w:t>$</w:t>
              <w:tab/>
              <w:t>1,498.64</w:t>
            </w:r>
          </w:p>
        </w:tc>
        <w:tc>
          <w:tcPr>
            <w:tcW w:w="1567" w:type="dxa"/>
          </w:tcPr>
          <w:p>
            <w:pPr>
              <w:pStyle w:val="TableParagraph"/>
              <w:spacing w:line="240" w:lineRule="auto" w:before="9"/>
              <w:rPr>
                <w:rFonts w:ascii="Book Antiqua"/>
                <w:b/>
                <w:sz w:val="15"/>
              </w:rPr>
            </w:pPr>
          </w:p>
          <w:p>
            <w:pPr>
              <w:pStyle w:val="TableParagraph"/>
              <w:tabs>
                <w:tab w:pos="680" w:val="left" w:leader="none"/>
              </w:tabs>
              <w:ind w:left="147"/>
              <w:rPr>
                <w:b/>
                <w:sz w:val="16"/>
              </w:rPr>
            </w:pPr>
            <w:r>
              <w:rPr>
                <w:b/>
                <w:sz w:val="16"/>
              </w:rPr>
              <w:t>$</w:t>
              <w:tab/>
              <w:t>1,123.98</w:t>
            </w:r>
          </w:p>
        </w:tc>
        <w:tc>
          <w:tcPr>
            <w:tcW w:w="1340" w:type="dxa"/>
          </w:tcPr>
          <w:p>
            <w:pPr>
              <w:pStyle w:val="TableParagraph"/>
              <w:spacing w:line="240" w:lineRule="auto" w:before="9"/>
              <w:rPr>
                <w:rFonts w:ascii="Book Antiqua"/>
                <w:b/>
                <w:sz w:val="15"/>
              </w:rPr>
            </w:pPr>
          </w:p>
          <w:p>
            <w:pPr>
              <w:pStyle w:val="TableParagraph"/>
              <w:ind w:left="105"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line="240" w:lineRule="auto" w:before="9"/>
              <w:rPr>
                <w:rFonts w:ascii="Book Antiqua"/>
                <w:b/>
                <w:sz w:val="15"/>
              </w:rPr>
            </w:pPr>
          </w:p>
          <w:p>
            <w:pPr>
              <w:pStyle w:val="TableParagraph"/>
              <w:ind w:left="107" w:right="103"/>
              <w:jc w:val="center"/>
              <w:rPr>
                <w:b/>
                <w:sz w:val="16"/>
              </w:rPr>
            </w:pPr>
            <w:r>
              <w:rPr>
                <w:b/>
                <w:sz w:val="16"/>
              </w:rPr>
              <w:t>$258.90</w:t>
            </w:r>
          </w:p>
        </w:tc>
        <w:tc>
          <w:tcPr>
            <w:tcW w:w="1340" w:type="dxa"/>
          </w:tcPr>
          <w:p>
            <w:pPr>
              <w:pStyle w:val="TableParagraph"/>
              <w:spacing w:line="240" w:lineRule="auto" w:before="9"/>
              <w:rPr>
                <w:rFonts w:ascii="Book Antiqua"/>
                <w:b/>
                <w:sz w:val="15"/>
              </w:rPr>
            </w:pPr>
          </w:p>
          <w:p>
            <w:pPr>
              <w:pStyle w:val="TableParagraph"/>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77" w:hRule="atLeast"/>
        </w:trPr>
        <w:tc>
          <w:tcPr>
            <w:tcW w:w="3260" w:type="dxa"/>
          </w:tcPr>
          <w:p>
            <w:pPr>
              <w:pStyle w:val="TableParagraph"/>
              <w:spacing w:before="111"/>
              <w:ind w:left="102"/>
              <w:rPr>
                <w:b/>
                <w:sz w:val="16"/>
              </w:rPr>
            </w:pPr>
            <w:r>
              <w:rPr>
                <w:b/>
                <w:sz w:val="16"/>
              </w:rPr>
              <w:t>BETH ISRAEL DEACONESS MED CTR</w:t>
            </w:r>
          </w:p>
        </w:tc>
        <w:tc>
          <w:tcPr>
            <w:tcW w:w="1435" w:type="dxa"/>
          </w:tcPr>
          <w:p>
            <w:pPr>
              <w:pStyle w:val="TableParagraph"/>
              <w:tabs>
                <w:tab w:pos="468" w:val="left" w:leader="none"/>
              </w:tabs>
              <w:spacing w:before="111"/>
              <w:ind w:left="23"/>
              <w:jc w:val="center"/>
              <w:rPr>
                <w:b/>
                <w:sz w:val="16"/>
              </w:rPr>
            </w:pPr>
            <w:r>
              <w:rPr>
                <w:b/>
                <w:sz w:val="16"/>
              </w:rPr>
              <w:t>$</w:t>
              <w:tab/>
              <w:t>10,605.77</w:t>
            </w:r>
          </w:p>
        </w:tc>
        <w:tc>
          <w:tcPr>
            <w:tcW w:w="1568" w:type="dxa"/>
          </w:tcPr>
          <w:p>
            <w:pPr>
              <w:pStyle w:val="TableParagraph"/>
              <w:tabs>
                <w:tab w:pos="680" w:val="left" w:leader="none"/>
              </w:tabs>
              <w:spacing w:before="111"/>
              <w:ind w:left="147"/>
              <w:rPr>
                <w:b/>
                <w:sz w:val="16"/>
              </w:rPr>
            </w:pPr>
            <w:r>
              <w:rPr>
                <w:b/>
                <w:sz w:val="16"/>
              </w:rPr>
              <w:t>$</w:t>
              <w:tab/>
              <w:t>2,413.03</w:t>
            </w:r>
          </w:p>
        </w:tc>
        <w:tc>
          <w:tcPr>
            <w:tcW w:w="1567" w:type="dxa"/>
          </w:tcPr>
          <w:p>
            <w:pPr>
              <w:pStyle w:val="TableParagraph"/>
              <w:tabs>
                <w:tab w:pos="680" w:val="left" w:leader="none"/>
              </w:tabs>
              <w:spacing w:before="111"/>
              <w:ind w:left="147"/>
              <w:rPr>
                <w:b/>
                <w:sz w:val="16"/>
              </w:rPr>
            </w:pPr>
            <w:r>
              <w:rPr>
                <w:b/>
                <w:sz w:val="16"/>
              </w:rPr>
              <w:t>$</w:t>
              <w:tab/>
              <w:t>1,809.77</w:t>
            </w:r>
          </w:p>
        </w:tc>
        <w:tc>
          <w:tcPr>
            <w:tcW w:w="1340" w:type="dxa"/>
          </w:tcPr>
          <w:p>
            <w:pPr>
              <w:pStyle w:val="TableParagraph"/>
              <w:spacing w:before="111"/>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5" w:right="104"/>
              <w:jc w:val="center"/>
              <w:rPr>
                <w:b/>
                <w:sz w:val="16"/>
              </w:rPr>
            </w:pPr>
            <w:r>
              <w:rPr>
                <w:b/>
                <w:sz w:val="16"/>
              </w:rPr>
              <w:t>$258.90</w:t>
            </w:r>
          </w:p>
        </w:tc>
        <w:tc>
          <w:tcPr>
            <w:tcW w:w="1340" w:type="dxa"/>
          </w:tcPr>
          <w:p>
            <w:pPr>
              <w:pStyle w:val="TableParagraph"/>
              <w:spacing w:before="111"/>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BEVERLY HOSPITAL</w:t>
            </w:r>
          </w:p>
        </w:tc>
        <w:tc>
          <w:tcPr>
            <w:tcW w:w="1435" w:type="dxa"/>
          </w:tcPr>
          <w:p>
            <w:pPr>
              <w:pStyle w:val="TableParagraph"/>
              <w:tabs>
                <w:tab w:pos="557" w:val="left" w:leader="none"/>
              </w:tabs>
              <w:spacing w:before="113"/>
              <w:ind w:left="24"/>
              <w:jc w:val="center"/>
              <w:rPr>
                <w:b/>
                <w:sz w:val="16"/>
              </w:rPr>
            </w:pPr>
            <w:r>
              <w:rPr>
                <w:b/>
                <w:sz w:val="16"/>
              </w:rPr>
              <w:t>$</w:t>
              <w:tab/>
              <w:t>5,529.81</w:t>
            </w:r>
          </w:p>
        </w:tc>
        <w:tc>
          <w:tcPr>
            <w:tcW w:w="1568" w:type="dxa"/>
          </w:tcPr>
          <w:p>
            <w:pPr>
              <w:pStyle w:val="TableParagraph"/>
              <w:tabs>
                <w:tab w:pos="680" w:val="left" w:leader="none"/>
              </w:tabs>
              <w:spacing w:before="113"/>
              <w:ind w:left="147"/>
              <w:rPr>
                <w:b/>
                <w:sz w:val="16"/>
              </w:rPr>
            </w:pPr>
            <w:r>
              <w:rPr>
                <w:b/>
                <w:sz w:val="16"/>
              </w:rPr>
              <w:t>$</w:t>
              <w:tab/>
              <w:t>1,278.02</w:t>
            </w:r>
          </w:p>
        </w:tc>
        <w:tc>
          <w:tcPr>
            <w:tcW w:w="1567" w:type="dxa"/>
          </w:tcPr>
          <w:p>
            <w:pPr>
              <w:pStyle w:val="TableParagraph"/>
              <w:tabs>
                <w:tab w:pos="814" w:val="left" w:leader="none"/>
              </w:tabs>
              <w:spacing w:before="113"/>
              <w:ind w:left="148"/>
              <w:rPr>
                <w:b/>
                <w:sz w:val="16"/>
              </w:rPr>
            </w:pPr>
            <w:r>
              <w:rPr>
                <w:b/>
                <w:sz w:val="16"/>
              </w:rPr>
              <w:t>$</w:t>
              <w:tab/>
              <w:t>958.52</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BOSTON MEDICAL CENTER</w:t>
            </w:r>
          </w:p>
        </w:tc>
        <w:tc>
          <w:tcPr>
            <w:tcW w:w="1435" w:type="dxa"/>
          </w:tcPr>
          <w:p>
            <w:pPr>
              <w:pStyle w:val="TableParagraph"/>
              <w:tabs>
                <w:tab w:pos="559" w:val="left" w:leader="none"/>
              </w:tabs>
              <w:spacing w:before="113"/>
              <w:ind w:left="26"/>
              <w:jc w:val="center"/>
              <w:rPr>
                <w:b/>
                <w:sz w:val="16"/>
              </w:rPr>
            </w:pPr>
            <w:r>
              <w:rPr>
                <w:b/>
                <w:sz w:val="16"/>
              </w:rPr>
              <w:t>$</w:t>
              <w:tab/>
              <w:t>9,143.67</w:t>
            </w:r>
          </w:p>
        </w:tc>
        <w:tc>
          <w:tcPr>
            <w:tcW w:w="1568" w:type="dxa"/>
          </w:tcPr>
          <w:p>
            <w:pPr>
              <w:pStyle w:val="TableParagraph"/>
              <w:tabs>
                <w:tab w:pos="681" w:val="left" w:leader="none"/>
              </w:tabs>
              <w:spacing w:before="113"/>
              <w:ind w:left="148"/>
              <w:rPr>
                <w:b/>
                <w:sz w:val="16"/>
              </w:rPr>
            </w:pPr>
            <w:r>
              <w:rPr>
                <w:b/>
                <w:sz w:val="16"/>
              </w:rPr>
              <w:t>$</w:t>
              <w:tab/>
              <w:t>2,084.55</w:t>
            </w:r>
          </w:p>
        </w:tc>
        <w:tc>
          <w:tcPr>
            <w:tcW w:w="1567" w:type="dxa"/>
          </w:tcPr>
          <w:p>
            <w:pPr>
              <w:pStyle w:val="TableParagraph"/>
              <w:tabs>
                <w:tab w:pos="681" w:val="left" w:leader="none"/>
              </w:tabs>
              <w:spacing w:before="113"/>
              <w:ind w:left="148"/>
              <w:rPr>
                <w:b/>
                <w:sz w:val="16"/>
              </w:rPr>
            </w:pPr>
            <w:r>
              <w:rPr>
                <w:b/>
                <w:sz w:val="16"/>
              </w:rPr>
              <w:t>$</w:t>
              <w:tab/>
              <w:t>1,563.41</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BRIGHAM &amp; WOMEN'S HOSPITAL</w:t>
            </w:r>
          </w:p>
        </w:tc>
        <w:tc>
          <w:tcPr>
            <w:tcW w:w="1435" w:type="dxa"/>
          </w:tcPr>
          <w:p>
            <w:pPr>
              <w:pStyle w:val="TableParagraph"/>
              <w:tabs>
                <w:tab w:pos="557" w:val="left" w:leader="none"/>
              </w:tabs>
              <w:spacing w:before="113"/>
              <w:ind w:left="24"/>
              <w:jc w:val="center"/>
              <w:rPr>
                <w:b/>
                <w:sz w:val="16"/>
              </w:rPr>
            </w:pPr>
            <w:r>
              <w:rPr>
                <w:b/>
                <w:sz w:val="16"/>
              </w:rPr>
              <w:t>$</w:t>
              <w:tab/>
              <w:t>9,809.60</w:t>
            </w:r>
          </w:p>
        </w:tc>
        <w:tc>
          <w:tcPr>
            <w:tcW w:w="1568" w:type="dxa"/>
          </w:tcPr>
          <w:p>
            <w:pPr>
              <w:pStyle w:val="TableParagraph"/>
              <w:tabs>
                <w:tab w:pos="680" w:val="left" w:leader="none"/>
              </w:tabs>
              <w:spacing w:before="113"/>
              <w:ind w:left="147"/>
              <w:rPr>
                <w:b/>
                <w:sz w:val="16"/>
              </w:rPr>
            </w:pPr>
            <w:r>
              <w:rPr>
                <w:b/>
                <w:sz w:val="16"/>
              </w:rPr>
              <w:t>$</w:t>
              <w:tab/>
              <w:t>2,206.69</w:t>
            </w:r>
          </w:p>
        </w:tc>
        <w:tc>
          <w:tcPr>
            <w:tcW w:w="1567" w:type="dxa"/>
          </w:tcPr>
          <w:p>
            <w:pPr>
              <w:pStyle w:val="TableParagraph"/>
              <w:tabs>
                <w:tab w:pos="680" w:val="left" w:leader="none"/>
              </w:tabs>
              <w:spacing w:before="113"/>
              <w:ind w:left="147"/>
              <w:rPr>
                <w:b/>
                <w:sz w:val="16"/>
              </w:rPr>
            </w:pPr>
            <w:r>
              <w:rPr>
                <w:b/>
                <w:sz w:val="16"/>
              </w:rPr>
              <w:t>$</w:t>
              <w:tab/>
              <w:t>1,655.02</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BROCKTON HOSPITAL</w:t>
            </w:r>
          </w:p>
        </w:tc>
        <w:tc>
          <w:tcPr>
            <w:tcW w:w="1435" w:type="dxa"/>
          </w:tcPr>
          <w:p>
            <w:pPr>
              <w:pStyle w:val="TableParagraph"/>
              <w:tabs>
                <w:tab w:pos="561" w:val="left" w:leader="none"/>
              </w:tabs>
              <w:spacing w:before="113"/>
              <w:ind w:left="28"/>
              <w:jc w:val="center"/>
              <w:rPr>
                <w:b/>
                <w:sz w:val="16"/>
              </w:rPr>
            </w:pPr>
            <w:r>
              <w:rPr>
                <w:b/>
                <w:sz w:val="16"/>
              </w:rPr>
              <w:t>$</w:t>
              <w:tab/>
              <w:t>5,879.14</w:t>
            </w:r>
          </w:p>
        </w:tc>
        <w:tc>
          <w:tcPr>
            <w:tcW w:w="1568" w:type="dxa"/>
          </w:tcPr>
          <w:p>
            <w:pPr>
              <w:pStyle w:val="TableParagraph"/>
              <w:tabs>
                <w:tab w:pos="682" w:val="left" w:leader="none"/>
              </w:tabs>
              <w:spacing w:before="113"/>
              <w:ind w:left="149"/>
              <w:rPr>
                <w:b/>
                <w:sz w:val="16"/>
              </w:rPr>
            </w:pPr>
            <w:r>
              <w:rPr>
                <w:b/>
                <w:sz w:val="16"/>
              </w:rPr>
              <w:t>$</w:t>
              <w:tab/>
              <w:t>1,377.50</w:t>
            </w:r>
          </w:p>
        </w:tc>
        <w:tc>
          <w:tcPr>
            <w:tcW w:w="1567" w:type="dxa"/>
          </w:tcPr>
          <w:p>
            <w:pPr>
              <w:pStyle w:val="TableParagraph"/>
              <w:tabs>
                <w:tab w:pos="682" w:val="left" w:leader="none"/>
              </w:tabs>
              <w:spacing w:before="113"/>
              <w:ind w:left="149"/>
              <w:rPr>
                <w:b/>
                <w:sz w:val="16"/>
              </w:rPr>
            </w:pPr>
            <w:r>
              <w:rPr>
                <w:b/>
                <w:sz w:val="16"/>
              </w:rPr>
              <w:t>$</w:t>
              <w:tab/>
              <w:t>1,033.12</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CAMBRIDGE HEALTH ALLIANCE</w:t>
            </w:r>
          </w:p>
        </w:tc>
        <w:tc>
          <w:tcPr>
            <w:tcW w:w="1435" w:type="dxa"/>
          </w:tcPr>
          <w:p>
            <w:pPr>
              <w:pStyle w:val="TableParagraph"/>
              <w:tabs>
                <w:tab w:pos="559" w:val="left" w:leader="none"/>
              </w:tabs>
              <w:spacing w:before="113"/>
              <w:ind w:left="26"/>
              <w:jc w:val="center"/>
              <w:rPr>
                <w:b/>
                <w:sz w:val="16"/>
              </w:rPr>
            </w:pPr>
            <w:r>
              <w:rPr>
                <w:b/>
                <w:sz w:val="16"/>
              </w:rPr>
              <w:t>$</w:t>
              <w:tab/>
              <w:t>5,569.43</w:t>
            </w:r>
          </w:p>
        </w:tc>
        <w:tc>
          <w:tcPr>
            <w:tcW w:w="1568" w:type="dxa"/>
          </w:tcPr>
          <w:p>
            <w:pPr>
              <w:pStyle w:val="TableParagraph"/>
              <w:tabs>
                <w:tab w:pos="681" w:val="left" w:leader="none"/>
              </w:tabs>
              <w:spacing w:before="113"/>
              <w:ind w:left="148"/>
              <w:rPr>
                <w:b/>
                <w:sz w:val="16"/>
              </w:rPr>
            </w:pPr>
            <w:r>
              <w:rPr>
                <w:b/>
                <w:sz w:val="16"/>
              </w:rPr>
              <w:t>$</w:t>
              <w:tab/>
              <w:t>1,293.85</w:t>
            </w:r>
          </w:p>
        </w:tc>
        <w:tc>
          <w:tcPr>
            <w:tcW w:w="1567" w:type="dxa"/>
          </w:tcPr>
          <w:p>
            <w:pPr>
              <w:pStyle w:val="TableParagraph"/>
              <w:tabs>
                <w:tab w:pos="815" w:val="left" w:leader="none"/>
              </w:tabs>
              <w:spacing w:before="113"/>
              <w:ind w:left="149"/>
              <w:rPr>
                <w:b/>
                <w:sz w:val="16"/>
              </w:rPr>
            </w:pPr>
            <w:r>
              <w:rPr>
                <w:b/>
                <w:sz w:val="16"/>
              </w:rPr>
              <w:t>$</w:t>
              <w:tab/>
              <w:t>970.39</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CAPE COD HOSPITAL</w:t>
            </w:r>
          </w:p>
        </w:tc>
        <w:tc>
          <w:tcPr>
            <w:tcW w:w="1435" w:type="dxa"/>
          </w:tcPr>
          <w:p>
            <w:pPr>
              <w:pStyle w:val="TableParagraph"/>
              <w:tabs>
                <w:tab w:pos="559" w:val="left" w:leader="none"/>
              </w:tabs>
              <w:spacing w:before="113"/>
              <w:ind w:left="26"/>
              <w:jc w:val="center"/>
              <w:rPr>
                <w:b/>
                <w:sz w:val="16"/>
              </w:rPr>
            </w:pPr>
            <w:r>
              <w:rPr>
                <w:b/>
                <w:sz w:val="16"/>
              </w:rPr>
              <w:t>$</w:t>
              <w:tab/>
              <w:t>7,136.28</w:t>
            </w:r>
          </w:p>
        </w:tc>
        <w:tc>
          <w:tcPr>
            <w:tcW w:w="1568" w:type="dxa"/>
          </w:tcPr>
          <w:p>
            <w:pPr>
              <w:pStyle w:val="TableParagraph"/>
              <w:tabs>
                <w:tab w:pos="681" w:val="left" w:leader="none"/>
              </w:tabs>
              <w:spacing w:before="113"/>
              <w:ind w:left="148"/>
              <w:rPr>
                <w:b/>
                <w:sz w:val="16"/>
              </w:rPr>
            </w:pPr>
            <w:r>
              <w:rPr>
                <w:b/>
                <w:sz w:val="16"/>
              </w:rPr>
              <w:t>$</w:t>
              <w:tab/>
              <w:t>1,644.19</w:t>
            </w:r>
          </w:p>
        </w:tc>
        <w:tc>
          <w:tcPr>
            <w:tcW w:w="1567" w:type="dxa"/>
          </w:tcPr>
          <w:p>
            <w:pPr>
              <w:pStyle w:val="TableParagraph"/>
              <w:tabs>
                <w:tab w:pos="681" w:val="left" w:leader="none"/>
              </w:tabs>
              <w:spacing w:before="113"/>
              <w:ind w:left="148"/>
              <w:rPr>
                <w:b/>
                <w:sz w:val="16"/>
              </w:rPr>
            </w:pPr>
            <w:r>
              <w:rPr>
                <w:b/>
                <w:sz w:val="16"/>
              </w:rPr>
              <w:t>$</w:t>
              <w:tab/>
              <w:t>1,233.14</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CARNEY HOSPITAL</w:t>
            </w:r>
          </w:p>
        </w:tc>
        <w:tc>
          <w:tcPr>
            <w:tcW w:w="1435" w:type="dxa"/>
          </w:tcPr>
          <w:p>
            <w:pPr>
              <w:pStyle w:val="TableParagraph"/>
              <w:tabs>
                <w:tab w:pos="557" w:val="left" w:leader="none"/>
              </w:tabs>
              <w:spacing w:before="113"/>
              <w:ind w:left="24"/>
              <w:jc w:val="center"/>
              <w:rPr>
                <w:b/>
                <w:sz w:val="16"/>
              </w:rPr>
            </w:pPr>
            <w:r>
              <w:rPr>
                <w:b/>
                <w:sz w:val="16"/>
              </w:rPr>
              <w:t>$</w:t>
              <w:tab/>
              <w:t>7,551.23</w:t>
            </w:r>
          </w:p>
        </w:tc>
        <w:tc>
          <w:tcPr>
            <w:tcW w:w="1568" w:type="dxa"/>
          </w:tcPr>
          <w:p>
            <w:pPr>
              <w:pStyle w:val="TableParagraph"/>
              <w:tabs>
                <w:tab w:pos="680" w:val="left" w:leader="none"/>
              </w:tabs>
              <w:spacing w:before="113"/>
              <w:ind w:left="147"/>
              <w:rPr>
                <w:b/>
                <w:sz w:val="16"/>
              </w:rPr>
            </w:pPr>
            <w:r>
              <w:rPr>
                <w:b/>
                <w:sz w:val="16"/>
              </w:rPr>
              <w:t>$</w:t>
              <w:tab/>
              <w:t>1,837.82</w:t>
            </w:r>
          </w:p>
        </w:tc>
        <w:tc>
          <w:tcPr>
            <w:tcW w:w="1567" w:type="dxa"/>
          </w:tcPr>
          <w:p>
            <w:pPr>
              <w:pStyle w:val="TableParagraph"/>
              <w:tabs>
                <w:tab w:pos="681" w:val="left" w:leader="none"/>
              </w:tabs>
              <w:spacing w:before="113"/>
              <w:ind w:left="148"/>
              <w:rPr>
                <w:b/>
                <w:sz w:val="16"/>
              </w:rPr>
            </w:pPr>
            <w:r>
              <w:rPr>
                <w:b/>
                <w:sz w:val="16"/>
              </w:rPr>
              <w:t>$</w:t>
              <w:tab/>
              <w:t>1,378.37</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CHILDREN'S MEDICAL CENTER</w:t>
            </w:r>
          </w:p>
        </w:tc>
        <w:tc>
          <w:tcPr>
            <w:tcW w:w="1435" w:type="dxa"/>
          </w:tcPr>
          <w:p>
            <w:pPr>
              <w:pStyle w:val="TableParagraph"/>
              <w:tabs>
                <w:tab w:pos="468" w:val="left" w:leader="none"/>
              </w:tabs>
              <w:spacing w:before="113"/>
              <w:ind w:left="24"/>
              <w:jc w:val="center"/>
              <w:rPr>
                <w:b/>
                <w:sz w:val="16"/>
              </w:rPr>
            </w:pPr>
            <w:r>
              <w:rPr>
                <w:b/>
                <w:sz w:val="16"/>
              </w:rPr>
              <w:t>$</w:t>
              <w:tab/>
              <w:t>16,452.65</w:t>
            </w:r>
          </w:p>
        </w:tc>
        <w:tc>
          <w:tcPr>
            <w:tcW w:w="1568" w:type="dxa"/>
          </w:tcPr>
          <w:p>
            <w:pPr>
              <w:pStyle w:val="TableParagraph"/>
              <w:tabs>
                <w:tab w:pos="680" w:val="left" w:leader="none"/>
              </w:tabs>
              <w:spacing w:before="113"/>
              <w:ind w:left="147"/>
              <w:rPr>
                <w:b/>
                <w:sz w:val="16"/>
              </w:rPr>
            </w:pPr>
            <w:r>
              <w:rPr>
                <w:b/>
                <w:sz w:val="16"/>
              </w:rPr>
              <w:t>$</w:t>
              <w:tab/>
              <w:t>3,648.26</w:t>
            </w:r>
          </w:p>
        </w:tc>
        <w:tc>
          <w:tcPr>
            <w:tcW w:w="1567" w:type="dxa"/>
          </w:tcPr>
          <w:p>
            <w:pPr>
              <w:pStyle w:val="TableParagraph"/>
              <w:tabs>
                <w:tab w:pos="680" w:val="left" w:leader="none"/>
              </w:tabs>
              <w:spacing w:before="113"/>
              <w:ind w:left="147"/>
              <w:rPr>
                <w:b/>
                <w:sz w:val="16"/>
              </w:rPr>
            </w:pPr>
            <w:r>
              <w:rPr>
                <w:b/>
                <w:sz w:val="16"/>
              </w:rPr>
              <w:t>$</w:t>
              <w:tab/>
              <w:t>2,736.19</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before="113"/>
              <w:ind w:left="328"/>
              <w:rPr>
                <w:b/>
                <w:sz w:val="16"/>
              </w:rPr>
            </w:pPr>
            <w:r>
              <w:rPr>
                <w:b/>
                <w:sz w:val="16"/>
              </w:rPr>
              <w:t>$16,452.65</w:t>
            </w:r>
          </w:p>
        </w:tc>
        <w:tc>
          <w:tcPr>
            <w:tcW w:w="1565" w:type="dxa"/>
          </w:tcPr>
          <w:p>
            <w:pPr>
              <w:pStyle w:val="TableParagraph"/>
              <w:spacing w:before="113"/>
              <w:ind w:left="423"/>
              <w:rPr>
                <w:b/>
                <w:sz w:val="16"/>
              </w:rPr>
            </w:pPr>
            <w:r>
              <w:rPr>
                <w:b/>
                <w:sz w:val="16"/>
              </w:rPr>
              <w:t>$3,648.26</w:t>
            </w:r>
          </w:p>
        </w:tc>
        <w:tc>
          <w:tcPr>
            <w:tcW w:w="1565" w:type="dxa"/>
          </w:tcPr>
          <w:p>
            <w:pPr>
              <w:pStyle w:val="TableParagraph"/>
              <w:spacing w:before="113"/>
              <w:ind w:left="423"/>
              <w:rPr>
                <w:b/>
                <w:sz w:val="16"/>
              </w:rPr>
            </w:pPr>
            <w:r>
              <w:rPr>
                <w:b/>
                <w:sz w:val="16"/>
              </w:rPr>
              <w:t>$2,736.19</w:t>
            </w:r>
          </w:p>
        </w:tc>
        <w:tc>
          <w:tcPr>
            <w:tcW w:w="1340" w:type="dxa"/>
          </w:tcPr>
          <w:p>
            <w:pPr>
              <w:pStyle w:val="TableParagraph"/>
              <w:spacing w:before="113"/>
              <w:ind w:left="104" w:right="104"/>
              <w:jc w:val="center"/>
              <w:rPr>
                <w:b/>
                <w:sz w:val="16"/>
              </w:rPr>
            </w:pPr>
            <w:r>
              <w:rPr>
                <w:b/>
                <w:sz w:val="16"/>
              </w:rPr>
              <w:t>$258.90</w:t>
            </w:r>
          </w:p>
        </w:tc>
        <w:tc>
          <w:tcPr>
            <w:tcW w:w="1340" w:type="dxa"/>
          </w:tcPr>
          <w:p>
            <w:pPr>
              <w:pStyle w:val="TableParagraph"/>
              <w:spacing w:before="113"/>
              <w:ind w:left="104"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CLINTON HOSPITAL</w:t>
            </w:r>
          </w:p>
        </w:tc>
        <w:tc>
          <w:tcPr>
            <w:tcW w:w="1435" w:type="dxa"/>
          </w:tcPr>
          <w:p>
            <w:pPr>
              <w:pStyle w:val="TableParagraph"/>
              <w:tabs>
                <w:tab w:pos="561" w:val="left" w:leader="none"/>
              </w:tabs>
              <w:spacing w:before="113"/>
              <w:ind w:left="28"/>
              <w:jc w:val="center"/>
              <w:rPr>
                <w:b/>
                <w:sz w:val="16"/>
              </w:rPr>
            </w:pPr>
            <w:r>
              <w:rPr>
                <w:b/>
                <w:sz w:val="16"/>
              </w:rPr>
              <w:t>$</w:t>
              <w:tab/>
              <w:t>6,505.97</w:t>
            </w:r>
          </w:p>
        </w:tc>
        <w:tc>
          <w:tcPr>
            <w:tcW w:w="1568" w:type="dxa"/>
          </w:tcPr>
          <w:p>
            <w:pPr>
              <w:pStyle w:val="TableParagraph"/>
              <w:tabs>
                <w:tab w:pos="682" w:val="left" w:leader="none"/>
              </w:tabs>
              <w:spacing w:before="113"/>
              <w:ind w:left="149"/>
              <w:rPr>
                <w:b/>
                <w:sz w:val="16"/>
              </w:rPr>
            </w:pPr>
            <w:r>
              <w:rPr>
                <w:b/>
                <w:sz w:val="16"/>
              </w:rPr>
              <w:t>$</w:t>
              <w:tab/>
              <w:t>1,493.24</w:t>
            </w:r>
          </w:p>
        </w:tc>
        <w:tc>
          <w:tcPr>
            <w:tcW w:w="1567" w:type="dxa"/>
          </w:tcPr>
          <w:p>
            <w:pPr>
              <w:pStyle w:val="TableParagraph"/>
              <w:tabs>
                <w:tab w:pos="682" w:val="left" w:leader="none"/>
              </w:tabs>
              <w:spacing w:before="113"/>
              <w:ind w:left="149"/>
              <w:rPr>
                <w:b/>
                <w:sz w:val="16"/>
              </w:rPr>
            </w:pPr>
            <w:r>
              <w:rPr>
                <w:b/>
                <w:sz w:val="16"/>
              </w:rPr>
              <w:t>$</w:t>
              <w:tab/>
              <w:t>1,119.93</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COOLEY-DICKINSON HOSPITAL</w:t>
            </w:r>
          </w:p>
        </w:tc>
        <w:tc>
          <w:tcPr>
            <w:tcW w:w="1435" w:type="dxa"/>
          </w:tcPr>
          <w:p>
            <w:pPr>
              <w:pStyle w:val="TableParagraph"/>
              <w:tabs>
                <w:tab w:pos="561" w:val="left" w:leader="none"/>
              </w:tabs>
              <w:spacing w:before="113"/>
              <w:ind w:left="28"/>
              <w:jc w:val="center"/>
              <w:rPr>
                <w:b/>
                <w:sz w:val="16"/>
              </w:rPr>
            </w:pPr>
            <w:r>
              <w:rPr>
                <w:b/>
                <w:sz w:val="16"/>
              </w:rPr>
              <w:t>$</w:t>
              <w:tab/>
              <w:t>5,537.37</w:t>
            </w:r>
          </w:p>
        </w:tc>
        <w:tc>
          <w:tcPr>
            <w:tcW w:w="1568" w:type="dxa"/>
          </w:tcPr>
          <w:p>
            <w:pPr>
              <w:pStyle w:val="TableParagraph"/>
              <w:tabs>
                <w:tab w:pos="682" w:val="left" w:leader="none"/>
              </w:tabs>
              <w:spacing w:before="113"/>
              <w:ind w:left="149"/>
              <w:rPr>
                <w:b/>
                <w:sz w:val="16"/>
              </w:rPr>
            </w:pPr>
            <w:r>
              <w:rPr>
                <w:b/>
                <w:sz w:val="16"/>
              </w:rPr>
              <w:t>$</w:t>
              <w:tab/>
              <w:t>1,309.02</w:t>
            </w:r>
          </w:p>
        </w:tc>
        <w:tc>
          <w:tcPr>
            <w:tcW w:w="1567" w:type="dxa"/>
          </w:tcPr>
          <w:p>
            <w:pPr>
              <w:pStyle w:val="TableParagraph"/>
              <w:tabs>
                <w:tab w:pos="816" w:val="left" w:leader="none"/>
              </w:tabs>
              <w:spacing w:before="113"/>
              <w:ind w:left="149"/>
              <w:rPr>
                <w:b/>
                <w:sz w:val="16"/>
              </w:rPr>
            </w:pPr>
            <w:r>
              <w:rPr>
                <w:b/>
                <w:sz w:val="16"/>
              </w:rPr>
              <w:t>$</w:t>
              <w:tab/>
              <w:t>981.77</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DANA FARBER</w:t>
            </w:r>
          </w:p>
        </w:tc>
        <w:tc>
          <w:tcPr>
            <w:tcW w:w="1435" w:type="dxa"/>
          </w:tcPr>
          <w:p>
            <w:pPr>
              <w:pStyle w:val="TableParagraph"/>
              <w:tabs>
                <w:tab w:pos="468" w:val="left" w:leader="none"/>
              </w:tabs>
              <w:spacing w:before="113"/>
              <w:ind w:left="24"/>
              <w:jc w:val="center"/>
              <w:rPr>
                <w:b/>
                <w:sz w:val="16"/>
              </w:rPr>
            </w:pPr>
            <w:r>
              <w:rPr>
                <w:b/>
                <w:sz w:val="16"/>
              </w:rPr>
              <w:t>$</w:t>
              <w:tab/>
              <w:t>18,467.40</w:t>
            </w:r>
          </w:p>
        </w:tc>
        <w:tc>
          <w:tcPr>
            <w:tcW w:w="1568" w:type="dxa"/>
          </w:tcPr>
          <w:p>
            <w:pPr>
              <w:pStyle w:val="TableParagraph"/>
              <w:tabs>
                <w:tab w:pos="680" w:val="left" w:leader="none"/>
              </w:tabs>
              <w:spacing w:before="113"/>
              <w:ind w:left="147"/>
              <w:rPr>
                <w:b/>
                <w:sz w:val="16"/>
              </w:rPr>
            </w:pPr>
            <w:r>
              <w:rPr>
                <w:b/>
                <w:sz w:val="16"/>
              </w:rPr>
              <w:t>$</w:t>
              <w:tab/>
              <w:t>4,126.92</w:t>
            </w:r>
          </w:p>
        </w:tc>
        <w:tc>
          <w:tcPr>
            <w:tcW w:w="1567" w:type="dxa"/>
          </w:tcPr>
          <w:p>
            <w:pPr>
              <w:pStyle w:val="TableParagraph"/>
              <w:tabs>
                <w:tab w:pos="680" w:val="left" w:leader="none"/>
              </w:tabs>
              <w:spacing w:before="113"/>
              <w:ind w:left="147"/>
              <w:rPr>
                <w:b/>
                <w:sz w:val="16"/>
              </w:rPr>
            </w:pPr>
            <w:r>
              <w:rPr>
                <w:b/>
                <w:sz w:val="16"/>
              </w:rPr>
              <w:t>$</w:t>
              <w:tab/>
              <w:t>3,095.19</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EMERSON HOSPITAL</w:t>
            </w:r>
          </w:p>
        </w:tc>
        <w:tc>
          <w:tcPr>
            <w:tcW w:w="1435" w:type="dxa"/>
          </w:tcPr>
          <w:p>
            <w:pPr>
              <w:pStyle w:val="TableParagraph"/>
              <w:tabs>
                <w:tab w:pos="557" w:val="left" w:leader="none"/>
              </w:tabs>
              <w:spacing w:before="113"/>
              <w:ind w:left="24"/>
              <w:jc w:val="center"/>
              <w:rPr>
                <w:b/>
                <w:sz w:val="16"/>
              </w:rPr>
            </w:pPr>
            <w:r>
              <w:rPr>
                <w:b/>
                <w:sz w:val="16"/>
              </w:rPr>
              <w:t>$</w:t>
              <w:tab/>
              <w:t>6,218.42</w:t>
            </w:r>
          </w:p>
        </w:tc>
        <w:tc>
          <w:tcPr>
            <w:tcW w:w="1568" w:type="dxa"/>
          </w:tcPr>
          <w:p>
            <w:pPr>
              <w:pStyle w:val="TableParagraph"/>
              <w:tabs>
                <w:tab w:pos="680" w:val="left" w:leader="none"/>
              </w:tabs>
              <w:spacing w:before="113"/>
              <w:ind w:left="147"/>
              <w:rPr>
                <w:b/>
                <w:sz w:val="16"/>
              </w:rPr>
            </w:pPr>
            <w:r>
              <w:rPr>
                <w:b/>
                <w:sz w:val="16"/>
              </w:rPr>
              <w:t>$</w:t>
              <w:tab/>
              <w:t>1,431.65</w:t>
            </w:r>
          </w:p>
        </w:tc>
        <w:tc>
          <w:tcPr>
            <w:tcW w:w="1567" w:type="dxa"/>
          </w:tcPr>
          <w:p>
            <w:pPr>
              <w:pStyle w:val="TableParagraph"/>
              <w:tabs>
                <w:tab w:pos="681" w:val="left" w:leader="none"/>
              </w:tabs>
              <w:spacing w:before="113"/>
              <w:ind w:left="148"/>
              <w:rPr>
                <w:b/>
                <w:sz w:val="16"/>
              </w:rPr>
            </w:pPr>
            <w:r>
              <w:rPr>
                <w:b/>
                <w:sz w:val="16"/>
              </w:rPr>
              <w:t>$</w:t>
              <w:tab/>
              <w:t>1,073.74</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FAIRVIEW HOSPITAL **</w:t>
            </w:r>
          </w:p>
        </w:tc>
        <w:tc>
          <w:tcPr>
            <w:tcW w:w="1435" w:type="dxa"/>
          </w:tcPr>
          <w:p>
            <w:pPr>
              <w:pStyle w:val="TableParagraph"/>
              <w:tabs>
                <w:tab w:pos="467" w:val="left" w:leader="none"/>
              </w:tabs>
              <w:spacing w:before="113"/>
              <w:ind w:left="23"/>
              <w:jc w:val="center"/>
              <w:rPr>
                <w:b/>
                <w:sz w:val="16"/>
              </w:rPr>
            </w:pPr>
            <w:r>
              <w:rPr>
                <w:b/>
                <w:sz w:val="16"/>
              </w:rPr>
              <w:t>$</w:t>
              <w:tab/>
              <w:t>12,411.34</w:t>
            </w:r>
          </w:p>
        </w:tc>
        <w:tc>
          <w:tcPr>
            <w:tcW w:w="1568" w:type="dxa"/>
          </w:tcPr>
          <w:p>
            <w:pPr>
              <w:pStyle w:val="TableParagraph"/>
              <w:tabs>
                <w:tab w:pos="680" w:val="left" w:leader="none"/>
              </w:tabs>
              <w:spacing w:before="113"/>
              <w:ind w:left="147"/>
              <w:rPr>
                <w:b/>
                <w:sz w:val="16"/>
              </w:rPr>
            </w:pPr>
            <w:r>
              <w:rPr>
                <w:b/>
                <w:sz w:val="16"/>
              </w:rPr>
              <w:t>$</w:t>
              <w:tab/>
              <w:t>2,879.66</w:t>
            </w:r>
          </w:p>
        </w:tc>
        <w:tc>
          <w:tcPr>
            <w:tcW w:w="1567" w:type="dxa"/>
          </w:tcPr>
          <w:p>
            <w:pPr>
              <w:pStyle w:val="TableParagraph"/>
              <w:tabs>
                <w:tab w:pos="680" w:val="left" w:leader="none"/>
              </w:tabs>
              <w:spacing w:before="113"/>
              <w:ind w:left="147"/>
              <w:rPr>
                <w:b/>
                <w:sz w:val="16"/>
              </w:rPr>
            </w:pPr>
            <w:r>
              <w:rPr>
                <w:b/>
                <w:sz w:val="16"/>
              </w:rPr>
              <w:t>$</w:t>
              <w:tab/>
              <w:t>2,159.75</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FALMOUTH HOSPITAL</w:t>
            </w:r>
          </w:p>
        </w:tc>
        <w:tc>
          <w:tcPr>
            <w:tcW w:w="1435" w:type="dxa"/>
          </w:tcPr>
          <w:p>
            <w:pPr>
              <w:pStyle w:val="TableParagraph"/>
              <w:tabs>
                <w:tab w:pos="560" w:val="left" w:leader="none"/>
              </w:tabs>
              <w:spacing w:before="113"/>
              <w:ind w:left="27"/>
              <w:jc w:val="center"/>
              <w:rPr>
                <w:b/>
                <w:sz w:val="16"/>
              </w:rPr>
            </w:pPr>
            <w:r>
              <w:rPr>
                <w:b/>
                <w:sz w:val="16"/>
              </w:rPr>
              <w:t>$</w:t>
              <w:tab/>
              <w:t>6,704.15</w:t>
            </w:r>
          </w:p>
        </w:tc>
        <w:tc>
          <w:tcPr>
            <w:tcW w:w="1568" w:type="dxa"/>
          </w:tcPr>
          <w:p>
            <w:pPr>
              <w:pStyle w:val="TableParagraph"/>
              <w:tabs>
                <w:tab w:pos="682" w:val="left" w:leader="none"/>
              </w:tabs>
              <w:spacing w:before="113"/>
              <w:ind w:left="149"/>
              <w:rPr>
                <w:b/>
                <w:sz w:val="16"/>
              </w:rPr>
            </w:pPr>
            <w:r>
              <w:rPr>
                <w:b/>
                <w:sz w:val="16"/>
              </w:rPr>
              <w:t>$</w:t>
              <w:tab/>
              <w:t>1,576.86</w:t>
            </w:r>
          </w:p>
        </w:tc>
        <w:tc>
          <w:tcPr>
            <w:tcW w:w="1567" w:type="dxa"/>
          </w:tcPr>
          <w:p>
            <w:pPr>
              <w:pStyle w:val="TableParagraph"/>
              <w:tabs>
                <w:tab w:pos="682" w:val="left" w:leader="none"/>
              </w:tabs>
              <w:spacing w:before="113"/>
              <w:ind w:left="149"/>
              <w:rPr>
                <w:b/>
                <w:sz w:val="16"/>
              </w:rPr>
            </w:pPr>
            <w:r>
              <w:rPr>
                <w:b/>
                <w:sz w:val="16"/>
              </w:rPr>
              <w:t>$</w:t>
              <w:tab/>
              <w:t>1,182.65</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FAULKNER HOSPITAL</w:t>
            </w:r>
          </w:p>
        </w:tc>
        <w:tc>
          <w:tcPr>
            <w:tcW w:w="1435" w:type="dxa"/>
          </w:tcPr>
          <w:p>
            <w:pPr>
              <w:pStyle w:val="TableParagraph"/>
              <w:tabs>
                <w:tab w:pos="559" w:val="left" w:leader="none"/>
              </w:tabs>
              <w:spacing w:before="113"/>
              <w:ind w:left="26"/>
              <w:jc w:val="center"/>
              <w:rPr>
                <w:b/>
                <w:sz w:val="16"/>
              </w:rPr>
            </w:pPr>
            <w:r>
              <w:rPr>
                <w:b/>
                <w:sz w:val="16"/>
              </w:rPr>
              <w:t>$</w:t>
              <w:tab/>
              <w:t>7,204.67</w:t>
            </w:r>
          </w:p>
        </w:tc>
        <w:tc>
          <w:tcPr>
            <w:tcW w:w="1568" w:type="dxa"/>
          </w:tcPr>
          <w:p>
            <w:pPr>
              <w:pStyle w:val="TableParagraph"/>
              <w:tabs>
                <w:tab w:pos="682" w:val="left" w:leader="none"/>
              </w:tabs>
              <w:spacing w:before="113"/>
              <w:ind w:left="148"/>
              <w:rPr>
                <w:b/>
                <w:sz w:val="16"/>
              </w:rPr>
            </w:pPr>
            <w:r>
              <w:rPr>
                <w:b/>
                <w:sz w:val="16"/>
              </w:rPr>
              <w:t>$</w:t>
              <w:tab/>
              <w:t>1,718.66</w:t>
            </w:r>
          </w:p>
        </w:tc>
        <w:tc>
          <w:tcPr>
            <w:tcW w:w="1567" w:type="dxa"/>
          </w:tcPr>
          <w:p>
            <w:pPr>
              <w:pStyle w:val="TableParagraph"/>
              <w:tabs>
                <w:tab w:pos="682" w:val="left" w:leader="none"/>
              </w:tabs>
              <w:spacing w:before="113"/>
              <w:ind w:left="149"/>
              <w:rPr>
                <w:b/>
                <w:sz w:val="16"/>
              </w:rPr>
            </w:pPr>
            <w:r>
              <w:rPr>
                <w:b/>
                <w:sz w:val="16"/>
              </w:rPr>
              <w:t>$</w:t>
              <w:tab/>
              <w:t>1,289.00</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FRANKLIN  MED CTR</w:t>
            </w:r>
          </w:p>
        </w:tc>
        <w:tc>
          <w:tcPr>
            <w:tcW w:w="1435" w:type="dxa"/>
          </w:tcPr>
          <w:p>
            <w:pPr>
              <w:pStyle w:val="TableParagraph"/>
              <w:tabs>
                <w:tab w:pos="559" w:val="left" w:leader="none"/>
              </w:tabs>
              <w:spacing w:before="113"/>
              <w:ind w:left="26"/>
              <w:jc w:val="center"/>
              <w:rPr>
                <w:b/>
                <w:sz w:val="16"/>
              </w:rPr>
            </w:pPr>
            <w:r>
              <w:rPr>
                <w:b/>
                <w:sz w:val="16"/>
              </w:rPr>
              <w:t>$</w:t>
              <w:tab/>
              <w:t>5,091.80</w:t>
            </w:r>
          </w:p>
        </w:tc>
        <w:tc>
          <w:tcPr>
            <w:tcW w:w="1568" w:type="dxa"/>
          </w:tcPr>
          <w:p>
            <w:pPr>
              <w:pStyle w:val="TableParagraph"/>
              <w:tabs>
                <w:tab w:pos="681" w:val="left" w:leader="none"/>
              </w:tabs>
              <w:spacing w:before="113"/>
              <w:ind w:left="148"/>
              <w:rPr>
                <w:b/>
                <w:sz w:val="16"/>
              </w:rPr>
            </w:pPr>
            <w:r>
              <w:rPr>
                <w:b/>
                <w:sz w:val="16"/>
              </w:rPr>
              <w:t>$</w:t>
              <w:tab/>
              <w:t>1,180.55</w:t>
            </w:r>
          </w:p>
        </w:tc>
        <w:tc>
          <w:tcPr>
            <w:tcW w:w="1567" w:type="dxa"/>
          </w:tcPr>
          <w:p>
            <w:pPr>
              <w:pStyle w:val="TableParagraph"/>
              <w:tabs>
                <w:tab w:pos="815" w:val="left" w:leader="none"/>
              </w:tabs>
              <w:spacing w:before="113"/>
              <w:ind w:left="148"/>
              <w:rPr>
                <w:b/>
                <w:sz w:val="16"/>
              </w:rPr>
            </w:pPr>
            <w:r>
              <w:rPr>
                <w:b/>
                <w:sz w:val="16"/>
              </w:rPr>
              <w:t>$</w:t>
              <w:tab/>
              <w:t>885.41</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GOOD SAMARITAN MED CTR</w:t>
            </w:r>
          </w:p>
        </w:tc>
        <w:tc>
          <w:tcPr>
            <w:tcW w:w="1435" w:type="dxa"/>
          </w:tcPr>
          <w:p>
            <w:pPr>
              <w:pStyle w:val="TableParagraph"/>
              <w:tabs>
                <w:tab w:pos="560" w:val="left" w:leader="none"/>
              </w:tabs>
              <w:spacing w:before="113"/>
              <w:ind w:left="27"/>
              <w:jc w:val="center"/>
              <w:rPr>
                <w:b/>
                <w:sz w:val="16"/>
              </w:rPr>
            </w:pPr>
            <w:r>
              <w:rPr>
                <w:b/>
                <w:sz w:val="16"/>
              </w:rPr>
              <w:t>$</w:t>
              <w:tab/>
              <w:t>6,181.91</w:t>
            </w:r>
          </w:p>
        </w:tc>
        <w:tc>
          <w:tcPr>
            <w:tcW w:w="1568" w:type="dxa"/>
          </w:tcPr>
          <w:p>
            <w:pPr>
              <w:pStyle w:val="TableParagraph"/>
              <w:tabs>
                <w:tab w:pos="682" w:val="left" w:leader="none"/>
              </w:tabs>
              <w:spacing w:before="113"/>
              <w:ind w:left="149"/>
              <w:rPr>
                <w:b/>
                <w:sz w:val="16"/>
              </w:rPr>
            </w:pPr>
            <w:r>
              <w:rPr>
                <w:b/>
                <w:sz w:val="16"/>
              </w:rPr>
              <w:t>$</w:t>
              <w:tab/>
              <w:t>1,449.31</w:t>
            </w:r>
          </w:p>
        </w:tc>
        <w:tc>
          <w:tcPr>
            <w:tcW w:w="1567" w:type="dxa"/>
          </w:tcPr>
          <w:p>
            <w:pPr>
              <w:pStyle w:val="TableParagraph"/>
              <w:tabs>
                <w:tab w:pos="682" w:val="left" w:leader="none"/>
              </w:tabs>
              <w:spacing w:before="113"/>
              <w:ind w:left="149"/>
              <w:rPr>
                <w:b/>
                <w:sz w:val="16"/>
              </w:rPr>
            </w:pPr>
            <w:r>
              <w:rPr>
                <w:b/>
                <w:sz w:val="16"/>
              </w:rPr>
              <w:t>$</w:t>
              <w:tab/>
              <w:t>1,086.99</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HALLMARK HEALTH</w:t>
            </w:r>
          </w:p>
        </w:tc>
        <w:tc>
          <w:tcPr>
            <w:tcW w:w="1435" w:type="dxa"/>
          </w:tcPr>
          <w:p>
            <w:pPr>
              <w:pStyle w:val="TableParagraph"/>
              <w:tabs>
                <w:tab w:pos="559" w:val="left" w:leader="none"/>
              </w:tabs>
              <w:spacing w:before="113"/>
              <w:ind w:left="26"/>
              <w:jc w:val="center"/>
              <w:rPr>
                <w:b/>
                <w:sz w:val="16"/>
              </w:rPr>
            </w:pPr>
            <w:r>
              <w:rPr>
                <w:b/>
                <w:sz w:val="16"/>
              </w:rPr>
              <w:t>$</w:t>
              <w:tab/>
              <w:t>6,707.49</w:t>
            </w:r>
          </w:p>
        </w:tc>
        <w:tc>
          <w:tcPr>
            <w:tcW w:w="1568" w:type="dxa"/>
          </w:tcPr>
          <w:p>
            <w:pPr>
              <w:pStyle w:val="TableParagraph"/>
              <w:tabs>
                <w:tab w:pos="681" w:val="left" w:leader="none"/>
              </w:tabs>
              <w:spacing w:before="113"/>
              <w:ind w:left="148"/>
              <w:rPr>
                <w:b/>
                <w:sz w:val="16"/>
              </w:rPr>
            </w:pPr>
            <w:r>
              <w:rPr>
                <w:b/>
                <w:sz w:val="16"/>
              </w:rPr>
              <w:t>$</w:t>
              <w:tab/>
              <w:t>1,552.41</w:t>
            </w:r>
          </w:p>
        </w:tc>
        <w:tc>
          <w:tcPr>
            <w:tcW w:w="1567" w:type="dxa"/>
          </w:tcPr>
          <w:p>
            <w:pPr>
              <w:pStyle w:val="TableParagraph"/>
              <w:tabs>
                <w:tab w:pos="681" w:val="left" w:leader="none"/>
              </w:tabs>
              <w:spacing w:before="113"/>
              <w:ind w:left="148"/>
              <w:rPr>
                <w:b/>
                <w:sz w:val="16"/>
              </w:rPr>
            </w:pPr>
            <w:r>
              <w:rPr>
                <w:b/>
                <w:sz w:val="16"/>
              </w:rPr>
              <w:t>$</w:t>
              <w:tab/>
              <w:t>1,164.30</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bl>
    <w:p>
      <w:pPr>
        <w:spacing w:after="0" w:line="240" w:lineRule="auto"/>
        <w:rPr>
          <w:rFonts w:ascii="Times New Roman"/>
          <w:sz w:val="16"/>
        </w:rPr>
        <w:sectPr>
          <w:footerReference w:type="default" r:id="rId31"/>
          <w:pgSz w:w="20160" w:h="12240" w:orient="landscape"/>
          <w:pgMar w:footer="744" w:header="0" w:top="660" w:bottom="940" w:left="580" w:right="1320"/>
          <w:pgNumType w:start="85"/>
        </w:sectPr>
      </w:pPr>
    </w:p>
    <w:p>
      <w:pPr>
        <w:spacing w:before="60"/>
        <w:ind w:left="6896" w:right="6157" w:firstLine="0"/>
        <w:jc w:val="center"/>
        <w:rPr>
          <w:b/>
          <w:sz w:val="32"/>
        </w:rPr>
      </w:pPr>
      <w:r>
        <w:rPr>
          <w:b/>
          <w:sz w:val="32"/>
        </w:rPr>
        <w:t>Public Notice</w:t>
      </w:r>
    </w:p>
    <w:p>
      <w:pPr>
        <w:spacing w:before="120"/>
        <w:ind w:left="6898" w:right="6157" w:firstLine="0"/>
        <w:jc w:val="center"/>
        <w:rPr>
          <w:b/>
          <w:sz w:val="32"/>
        </w:rPr>
      </w:pPr>
      <w:r>
        <w:rPr>
          <w:b/>
          <w:sz w:val="32"/>
        </w:rPr>
        <w:t>RY 14 Acute Hospital Inpatient Rates</w:t>
      </w:r>
    </w:p>
    <w:p>
      <w:pPr>
        <w:spacing w:before="1"/>
        <w:ind w:left="6897" w:right="6157" w:firstLine="0"/>
        <w:jc w:val="center"/>
        <w:rPr>
          <w:rFonts w:ascii="Book Antiqua"/>
          <w:b/>
          <w:sz w:val="24"/>
        </w:rPr>
      </w:pPr>
      <w:r>
        <w:rPr>
          <w:rFonts w:ascii="Book Antiqua"/>
          <w:b/>
          <w:sz w:val="24"/>
        </w:rPr>
        <w:t>Effective 10/1/13</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435"/>
        <w:gridCol w:w="1568"/>
        <w:gridCol w:w="1567"/>
        <w:gridCol w:w="1340"/>
        <w:gridCol w:w="1464"/>
        <w:gridCol w:w="1565"/>
        <w:gridCol w:w="1565"/>
        <w:gridCol w:w="1340"/>
        <w:gridCol w:w="1340"/>
        <w:gridCol w:w="1567"/>
      </w:tblGrid>
      <w:tr>
        <w:trPr>
          <w:trHeight w:val="1480" w:hRule="atLeast"/>
        </w:trPr>
        <w:tc>
          <w:tcPr>
            <w:tcW w:w="326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515" w:right="448" w:firstLine="553"/>
              <w:rPr>
                <w:b/>
                <w:sz w:val="16"/>
              </w:rPr>
            </w:pPr>
            <w:r>
              <w:rPr>
                <w:b/>
                <w:sz w:val="16"/>
              </w:rPr>
              <w:t>Acute Hospital </w:t>
            </w:r>
            <w:r>
              <w:rPr>
                <w:b/>
                <w:w w:val="95"/>
                <w:sz w:val="16"/>
              </w:rPr>
              <w:t>Inpatient  Rates-HRY14-RFA14</w:t>
            </w:r>
          </w:p>
          <w:p>
            <w:pPr>
              <w:pStyle w:val="TableParagraph"/>
              <w:spacing w:line="240" w:lineRule="auto"/>
              <w:ind w:left="653" w:right="653"/>
              <w:jc w:val="center"/>
              <w:rPr>
                <w:b/>
                <w:sz w:val="16"/>
              </w:rPr>
            </w:pPr>
            <w:r>
              <w:rPr>
                <w:b/>
                <w:sz w:val="16"/>
              </w:rPr>
              <w:t>Effective October 1, 2013</w:t>
            </w:r>
          </w:p>
          <w:p>
            <w:pPr>
              <w:pStyle w:val="TableParagraph"/>
              <w:spacing w:line="240" w:lineRule="auto" w:before="11"/>
              <w:rPr>
                <w:rFonts w:ascii="Book Antiqua"/>
                <w:b/>
                <w:sz w:val="15"/>
              </w:rPr>
            </w:pPr>
          </w:p>
          <w:p>
            <w:pPr>
              <w:pStyle w:val="TableParagraph"/>
              <w:ind w:left="652" w:right="653"/>
              <w:jc w:val="center"/>
              <w:rPr>
                <w:b/>
                <w:sz w:val="16"/>
              </w:rPr>
            </w:pPr>
            <w:r>
              <w:rPr>
                <w:b/>
                <w:sz w:val="16"/>
              </w:rPr>
              <w:t>Hospital</w:t>
            </w:r>
          </w:p>
        </w:tc>
        <w:tc>
          <w:tcPr>
            <w:tcW w:w="143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
              <w:jc w:val="center"/>
              <w:rPr>
                <w:b/>
                <w:sz w:val="16"/>
              </w:rPr>
            </w:pPr>
            <w:r>
              <w:rPr>
                <w:b/>
                <w:sz w:val="16"/>
              </w:rPr>
              <w:t>Rate Code 25 UB92=X1</w:t>
            </w:r>
          </w:p>
          <w:p>
            <w:pPr>
              <w:pStyle w:val="TableParagraph"/>
              <w:spacing w:line="188" w:lineRule="exact"/>
              <w:ind w:left="179" w:right="178" w:firstLine="1"/>
              <w:jc w:val="center"/>
              <w:rPr>
                <w:b/>
                <w:sz w:val="16"/>
              </w:rPr>
            </w:pPr>
            <w:r>
              <w:rPr>
                <w:b/>
                <w:sz w:val="16"/>
              </w:rPr>
              <w:t>Standard Payment Amt per Discharge</w:t>
            </w:r>
          </w:p>
        </w:tc>
        <w:tc>
          <w:tcPr>
            <w:tcW w:w="1568"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50" w:right="249"/>
              <w:jc w:val="center"/>
              <w:rPr>
                <w:b/>
                <w:sz w:val="16"/>
              </w:rPr>
            </w:pPr>
            <w:r>
              <w:rPr>
                <w:b/>
                <w:sz w:val="16"/>
              </w:rPr>
              <w:t>Rate Code 61 UB92=X5</w:t>
            </w:r>
          </w:p>
          <w:p>
            <w:pPr>
              <w:pStyle w:val="TableParagraph"/>
              <w:spacing w:line="188" w:lineRule="exact"/>
              <w:ind w:left="250" w:right="249"/>
              <w:jc w:val="center"/>
              <w:rPr>
                <w:b/>
                <w:sz w:val="16"/>
              </w:rPr>
            </w:pPr>
            <w:r>
              <w:rPr>
                <w:b/>
                <w:sz w:val="16"/>
              </w:rPr>
              <w:t>Standard Transfer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50" w:right="248"/>
              <w:jc w:val="center"/>
              <w:rPr>
                <w:b/>
                <w:sz w:val="16"/>
              </w:rPr>
            </w:pPr>
            <w:r>
              <w:rPr>
                <w:b/>
                <w:sz w:val="16"/>
              </w:rPr>
              <w:t>Rate Code 28 UB92=X3</w:t>
            </w:r>
          </w:p>
          <w:p>
            <w:pPr>
              <w:pStyle w:val="TableParagraph"/>
              <w:spacing w:line="188" w:lineRule="exact"/>
              <w:ind w:left="250" w:right="248"/>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105" w:right="104"/>
              <w:jc w:val="center"/>
              <w:rPr>
                <w:b/>
                <w:sz w:val="16"/>
              </w:rPr>
            </w:pPr>
            <w:r>
              <w:rPr>
                <w:b/>
                <w:sz w:val="16"/>
              </w:rPr>
              <w:t>Rate Code 90 UB92=Y4</w:t>
            </w:r>
          </w:p>
          <w:p>
            <w:pPr>
              <w:pStyle w:val="TableParagraph"/>
              <w:spacing w:line="188" w:lineRule="exact"/>
              <w:ind w:left="159" w:right="158" w:firstLine="1"/>
              <w:jc w:val="center"/>
              <w:rPr>
                <w:b/>
                <w:sz w:val="16"/>
              </w:rPr>
            </w:pPr>
            <w:r>
              <w:rPr>
                <w:b/>
                <w:sz w:val="16"/>
              </w:rPr>
              <w:t>Mental Health Payment</w:t>
            </w:r>
            <w:r>
              <w:rPr>
                <w:b/>
                <w:spacing w:val="-19"/>
                <w:sz w:val="16"/>
              </w:rPr>
              <w:t> </w:t>
            </w:r>
            <w:r>
              <w:rPr>
                <w:b/>
                <w:sz w:val="16"/>
              </w:rPr>
              <w:t>Amt</w:t>
            </w:r>
          </w:p>
        </w:tc>
        <w:tc>
          <w:tcPr>
            <w:tcW w:w="1464"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21" w:right="219"/>
              <w:jc w:val="center"/>
              <w:rPr>
                <w:b/>
                <w:sz w:val="16"/>
              </w:rPr>
            </w:pPr>
            <w:r>
              <w:rPr>
                <w:b/>
                <w:sz w:val="16"/>
              </w:rPr>
              <w:t>Rate Code 27 UB92=X1</w:t>
            </w:r>
          </w:p>
          <w:p>
            <w:pPr>
              <w:pStyle w:val="TableParagraph"/>
              <w:spacing w:line="188" w:lineRule="exact"/>
              <w:ind w:left="194" w:right="193" w:firstLine="1"/>
              <w:jc w:val="center"/>
              <w:rPr>
                <w:b/>
                <w:sz w:val="16"/>
              </w:rPr>
            </w:pPr>
            <w:r>
              <w:rPr>
                <w:b/>
                <w:sz w:val="16"/>
              </w:rPr>
              <w:t>Standard Payment Amt per</w:t>
            </w:r>
            <w:r>
              <w:rPr>
                <w:b/>
                <w:spacing w:val="-4"/>
                <w:sz w:val="16"/>
              </w:rPr>
              <w:t> </w:t>
            </w:r>
            <w:r>
              <w:rPr>
                <w:b/>
                <w:sz w:val="16"/>
              </w:rPr>
              <w:t>Discharge</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49" w:right="247"/>
              <w:jc w:val="center"/>
              <w:rPr>
                <w:b/>
                <w:sz w:val="16"/>
              </w:rPr>
            </w:pPr>
            <w:r>
              <w:rPr>
                <w:b/>
                <w:sz w:val="16"/>
              </w:rPr>
              <w:t>Rate Code 63 UB92=X5</w:t>
            </w:r>
          </w:p>
          <w:p>
            <w:pPr>
              <w:pStyle w:val="TableParagraph"/>
              <w:spacing w:line="188" w:lineRule="exact"/>
              <w:ind w:left="249" w:right="247"/>
              <w:jc w:val="center"/>
              <w:rPr>
                <w:b/>
                <w:sz w:val="16"/>
              </w:rPr>
            </w:pPr>
            <w:r>
              <w:rPr>
                <w:b/>
                <w:sz w:val="16"/>
              </w:rPr>
              <w:t>Standard Transfer Payment Amt</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49" w:right="247"/>
              <w:jc w:val="center"/>
              <w:rPr>
                <w:b/>
                <w:sz w:val="16"/>
              </w:rPr>
            </w:pPr>
            <w:r>
              <w:rPr>
                <w:b/>
                <w:sz w:val="16"/>
              </w:rPr>
              <w:t>Rate Code 29 UB92=X3</w:t>
            </w:r>
          </w:p>
          <w:p>
            <w:pPr>
              <w:pStyle w:val="TableParagraph"/>
              <w:spacing w:line="188" w:lineRule="exact"/>
              <w:ind w:left="249" w:right="247"/>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4" w:lineRule="auto" w:before="155"/>
              <w:ind w:left="105" w:right="104"/>
              <w:jc w:val="center"/>
              <w:rPr>
                <w:b/>
                <w:sz w:val="16"/>
              </w:rPr>
            </w:pPr>
            <w:r>
              <w:rPr>
                <w:b/>
                <w:sz w:val="16"/>
              </w:rPr>
              <w:t>Rate Code 84 UB92=Y1</w:t>
            </w:r>
          </w:p>
          <w:p>
            <w:pPr>
              <w:pStyle w:val="TableParagraph"/>
              <w:spacing w:line="188" w:lineRule="exact"/>
              <w:ind w:left="152" w:right="151" w:firstLine="1"/>
              <w:jc w:val="center"/>
              <w:rPr>
                <w:b/>
                <w:sz w:val="16"/>
              </w:rPr>
            </w:pPr>
            <w:r>
              <w:rPr>
                <w:b/>
                <w:sz w:val="16"/>
              </w:rPr>
              <w:t>MassHealth w/Medicare B</w:t>
            </w:r>
            <w:r>
              <w:rPr>
                <w:b/>
                <w:w w:val="99"/>
                <w:sz w:val="16"/>
              </w:rPr>
              <w:t> </w:t>
            </w:r>
            <w:r>
              <w:rPr>
                <w:b/>
                <w:sz w:val="16"/>
              </w:rPr>
              <w:t>AD payment Amt</w:t>
            </w:r>
          </w:p>
        </w:tc>
        <w:tc>
          <w:tcPr>
            <w:tcW w:w="1340" w:type="dxa"/>
          </w:tcPr>
          <w:p>
            <w:pPr>
              <w:pStyle w:val="TableParagraph"/>
              <w:spacing w:line="240" w:lineRule="auto"/>
              <w:rPr>
                <w:rFonts w:ascii="Book Antiqua"/>
                <w:b/>
                <w:sz w:val="18"/>
              </w:rPr>
            </w:pPr>
          </w:p>
          <w:p>
            <w:pPr>
              <w:pStyle w:val="TableParagraph"/>
              <w:spacing w:line="244" w:lineRule="auto" w:before="155"/>
              <w:ind w:left="105" w:right="104"/>
              <w:jc w:val="center"/>
              <w:rPr>
                <w:b/>
                <w:sz w:val="16"/>
              </w:rPr>
            </w:pPr>
            <w:r>
              <w:rPr>
                <w:b/>
                <w:sz w:val="16"/>
              </w:rPr>
              <w:t>Rate Code 85 UB92=Y2</w:t>
            </w:r>
          </w:p>
          <w:p>
            <w:pPr>
              <w:pStyle w:val="TableParagraph"/>
              <w:spacing w:line="244" w:lineRule="auto" w:before="1"/>
              <w:ind w:left="106" w:right="104"/>
              <w:jc w:val="center"/>
              <w:rPr>
                <w:b/>
                <w:sz w:val="16"/>
              </w:rPr>
            </w:pPr>
            <w:r>
              <w:rPr>
                <w:b/>
                <w:sz w:val="16"/>
              </w:rPr>
              <w:t>MassHealth Only</w:t>
            </w:r>
          </w:p>
          <w:p>
            <w:pPr>
              <w:pStyle w:val="TableParagraph"/>
              <w:spacing w:line="188" w:lineRule="exact"/>
              <w:ind w:left="105" w:right="104"/>
              <w:jc w:val="center"/>
              <w:rPr>
                <w:b/>
                <w:sz w:val="16"/>
              </w:rPr>
            </w:pPr>
            <w:r>
              <w:rPr>
                <w:b/>
                <w:sz w:val="16"/>
              </w:rPr>
              <w:t>AD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before="126"/>
              <w:ind w:left="248" w:right="248"/>
              <w:jc w:val="center"/>
              <w:rPr>
                <w:b/>
                <w:sz w:val="16"/>
              </w:rPr>
            </w:pPr>
            <w:r>
              <w:rPr>
                <w:b/>
                <w:sz w:val="16"/>
              </w:rPr>
              <w:t>Rate Code 71</w:t>
            </w:r>
          </w:p>
          <w:p>
            <w:pPr>
              <w:pStyle w:val="TableParagraph"/>
              <w:spacing w:line="240" w:lineRule="auto"/>
              <w:rPr>
                <w:rFonts w:ascii="Book Antiqua"/>
                <w:b/>
                <w:sz w:val="18"/>
              </w:rPr>
            </w:pPr>
          </w:p>
          <w:p>
            <w:pPr>
              <w:pStyle w:val="TableParagraph"/>
              <w:spacing w:line="190" w:lineRule="atLeast" w:before="157"/>
              <w:ind w:left="433" w:right="429" w:hanging="2"/>
              <w:jc w:val="center"/>
              <w:rPr>
                <w:b/>
                <w:sz w:val="16"/>
              </w:rPr>
            </w:pPr>
            <w:r>
              <w:rPr>
                <w:b/>
                <w:sz w:val="16"/>
              </w:rPr>
              <w:t>Rehab Per Diem</w:t>
            </w:r>
          </w:p>
        </w:tc>
      </w:tr>
      <w:tr>
        <w:trPr>
          <w:trHeight w:val="277" w:hRule="atLeast"/>
        </w:trPr>
        <w:tc>
          <w:tcPr>
            <w:tcW w:w="3260" w:type="dxa"/>
          </w:tcPr>
          <w:p>
            <w:pPr>
              <w:pStyle w:val="TableParagraph"/>
              <w:spacing w:before="111"/>
              <w:ind w:left="102"/>
              <w:rPr>
                <w:b/>
                <w:sz w:val="16"/>
              </w:rPr>
            </w:pPr>
            <w:r>
              <w:rPr>
                <w:b/>
                <w:sz w:val="16"/>
              </w:rPr>
              <w:t>HARRINGTON MEM'L HOSPITAL</w:t>
            </w:r>
          </w:p>
        </w:tc>
        <w:tc>
          <w:tcPr>
            <w:tcW w:w="1435" w:type="dxa"/>
          </w:tcPr>
          <w:p>
            <w:pPr>
              <w:pStyle w:val="TableParagraph"/>
              <w:tabs>
                <w:tab w:pos="560" w:val="left" w:leader="none"/>
              </w:tabs>
              <w:spacing w:before="111"/>
              <w:ind w:left="27"/>
              <w:jc w:val="center"/>
              <w:rPr>
                <w:b/>
                <w:sz w:val="16"/>
              </w:rPr>
            </w:pPr>
            <w:r>
              <w:rPr>
                <w:b/>
                <w:sz w:val="16"/>
              </w:rPr>
              <w:t>$</w:t>
              <w:tab/>
              <w:t>5,627.22</w:t>
            </w:r>
          </w:p>
        </w:tc>
        <w:tc>
          <w:tcPr>
            <w:tcW w:w="1568" w:type="dxa"/>
          </w:tcPr>
          <w:p>
            <w:pPr>
              <w:pStyle w:val="TableParagraph"/>
              <w:tabs>
                <w:tab w:pos="681" w:val="left" w:leader="none"/>
              </w:tabs>
              <w:spacing w:before="111"/>
              <w:ind w:left="148"/>
              <w:rPr>
                <w:b/>
                <w:sz w:val="16"/>
              </w:rPr>
            </w:pPr>
            <w:r>
              <w:rPr>
                <w:b/>
                <w:sz w:val="16"/>
              </w:rPr>
              <w:t>$</w:t>
              <w:tab/>
              <w:t>1,313.44</w:t>
            </w:r>
          </w:p>
        </w:tc>
        <w:tc>
          <w:tcPr>
            <w:tcW w:w="1567" w:type="dxa"/>
          </w:tcPr>
          <w:p>
            <w:pPr>
              <w:pStyle w:val="TableParagraph"/>
              <w:tabs>
                <w:tab w:pos="815" w:val="left" w:leader="none"/>
              </w:tabs>
              <w:spacing w:before="111"/>
              <w:ind w:left="149"/>
              <w:rPr>
                <w:b/>
                <w:sz w:val="16"/>
              </w:rPr>
            </w:pPr>
            <w:r>
              <w:rPr>
                <w:b/>
                <w:sz w:val="16"/>
              </w:rPr>
              <w:t>$</w:t>
              <w:tab/>
              <w:t>985.08</w:t>
            </w:r>
          </w:p>
        </w:tc>
        <w:tc>
          <w:tcPr>
            <w:tcW w:w="1340" w:type="dxa"/>
          </w:tcPr>
          <w:p>
            <w:pPr>
              <w:pStyle w:val="TableParagraph"/>
              <w:spacing w:before="111"/>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7" w:right="104"/>
              <w:jc w:val="center"/>
              <w:rPr>
                <w:b/>
                <w:sz w:val="16"/>
              </w:rPr>
            </w:pPr>
            <w:r>
              <w:rPr>
                <w:b/>
                <w:sz w:val="16"/>
              </w:rPr>
              <w:t>$258.90</w:t>
            </w:r>
          </w:p>
        </w:tc>
        <w:tc>
          <w:tcPr>
            <w:tcW w:w="1340" w:type="dxa"/>
          </w:tcPr>
          <w:p>
            <w:pPr>
              <w:pStyle w:val="TableParagraph"/>
              <w:spacing w:before="111"/>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HEALTH ALLIANCE</w:t>
            </w:r>
          </w:p>
        </w:tc>
        <w:tc>
          <w:tcPr>
            <w:tcW w:w="1435" w:type="dxa"/>
          </w:tcPr>
          <w:p>
            <w:pPr>
              <w:pStyle w:val="TableParagraph"/>
              <w:tabs>
                <w:tab w:pos="559" w:val="left" w:leader="none"/>
              </w:tabs>
              <w:spacing w:before="113"/>
              <w:ind w:left="26"/>
              <w:jc w:val="center"/>
              <w:rPr>
                <w:b/>
                <w:sz w:val="16"/>
              </w:rPr>
            </w:pPr>
            <w:r>
              <w:rPr>
                <w:b/>
                <w:sz w:val="16"/>
              </w:rPr>
              <w:t>$</w:t>
              <w:tab/>
              <w:t>5,342.24</w:t>
            </w:r>
          </w:p>
        </w:tc>
        <w:tc>
          <w:tcPr>
            <w:tcW w:w="1568" w:type="dxa"/>
          </w:tcPr>
          <w:p>
            <w:pPr>
              <w:pStyle w:val="TableParagraph"/>
              <w:tabs>
                <w:tab w:pos="681" w:val="left" w:leader="none"/>
              </w:tabs>
              <w:spacing w:before="113"/>
              <w:ind w:left="148"/>
              <w:rPr>
                <w:b/>
                <w:sz w:val="16"/>
              </w:rPr>
            </w:pPr>
            <w:r>
              <w:rPr>
                <w:b/>
                <w:sz w:val="16"/>
              </w:rPr>
              <w:t>$</w:t>
              <w:tab/>
              <w:t>1,262.46</w:t>
            </w:r>
          </w:p>
        </w:tc>
        <w:tc>
          <w:tcPr>
            <w:tcW w:w="1567" w:type="dxa"/>
          </w:tcPr>
          <w:p>
            <w:pPr>
              <w:pStyle w:val="TableParagraph"/>
              <w:tabs>
                <w:tab w:pos="815" w:val="left" w:leader="none"/>
              </w:tabs>
              <w:spacing w:before="113"/>
              <w:ind w:left="148"/>
              <w:rPr>
                <w:b/>
                <w:sz w:val="16"/>
              </w:rPr>
            </w:pPr>
            <w:r>
              <w:rPr>
                <w:b/>
                <w:sz w:val="16"/>
              </w:rPr>
              <w:t>$</w:t>
              <w:tab/>
              <w:t>946.84</w:t>
            </w:r>
          </w:p>
        </w:tc>
        <w:tc>
          <w:tcPr>
            <w:tcW w:w="1340" w:type="dxa"/>
          </w:tcPr>
          <w:p>
            <w:pPr>
              <w:pStyle w:val="TableParagraph"/>
              <w:spacing w:line="240" w:lineRule="auto"/>
              <w:rPr>
                <w:rFonts w:ascii="Times New Roman"/>
                <w:sz w:val="16"/>
              </w:rPr>
            </w:pP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HENRY HEYWOOD HOSPITAL</w:t>
            </w:r>
          </w:p>
        </w:tc>
        <w:tc>
          <w:tcPr>
            <w:tcW w:w="1435" w:type="dxa"/>
          </w:tcPr>
          <w:p>
            <w:pPr>
              <w:pStyle w:val="TableParagraph"/>
              <w:tabs>
                <w:tab w:pos="558" w:val="left" w:leader="none"/>
              </w:tabs>
              <w:spacing w:before="113"/>
              <w:ind w:left="25"/>
              <w:jc w:val="center"/>
              <w:rPr>
                <w:b/>
                <w:sz w:val="16"/>
              </w:rPr>
            </w:pPr>
            <w:r>
              <w:rPr>
                <w:b/>
                <w:sz w:val="16"/>
              </w:rPr>
              <w:t>$</w:t>
              <w:tab/>
              <w:t>5,618.09</w:t>
            </w:r>
          </w:p>
        </w:tc>
        <w:tc>
          <w:tcPr>
            <w:tcW w:w="1568" w:type="dxa"/>
          </w:tcPr>
          <w:p>
            <w:pPr>
              <w:pStyle w:val="TableParagraph"/>
              <w:tabs>
                <w:tab w:pos="681" w:val="left" w:leader="none"/>
              </w:tabs>
              <w:spacing w:before="113"/>
              <w:ind w:left="148"/>
              <w:rPr>
                <w:b/>
                <w:sz w:val="16"/>
              </w:rPr>
            </w:pPr>
            <w:r>
              <w:rPr>
                <w:b/>
                <w:sz w:val="16"/>
              </w:rPr>
              <w:t>$</w:t>
              <w:tab/>
              <w:t>1,304.18</w:t>
            </w:r>
          </w:p>
        </w:tc>
        <w:tc>
          <w:tcPr>
            <w:tcW w:w="1567" w:type="dxa"/>
          </w:tcPr>
          <w:p>
            <w:pPr>
              <w:pStyle w:val="TableParagraph"/>
              <w:tabs>
                <w:tab w:pos="814" w:val="left" w:leader="none"/>
              </w:tabs>
              <w:spacing w:before="113"/>
              <w:ind w:left="148"/>
              <w:rPr>
                <w:b/>
                <w:sz w:val="16"/>
              </w:rPr>
            </w:pPr>
            <w:r>
              <w:rPr>
                <w:b/>
                <w:sz w:val="16"/>
              </w:rPr>
              <w:t>$</w:t>
              <w:tab/>
              <w:t>978.14</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HOLY FAMILY HOSPITAL</w:t>
            </w:r>
          </w:p>
        </w:tc>
        <w:tc>
          <w:tcPr>
            <w:tcW w:w="1435" w:type="dxa"/>
          </w:tcPr>
          <w:p>
            <w:pPr>
              <w:pStyle w:val="TableParagraph"/>
              <w:tabs>
                <w:tab w:pos="560" w:val="left" w:leader="none"/>
              </w:tabs>
              <w:spacing w:before="113"/>
              <w:ind w:left="27"/>
              <w:jc w:val="center"/>
              <w:rPr>
                <w:b/>
                <w:sz w:val="16"/>
              </w:rPr>
            </w:pPr>
            <w:r>
              <w:rPr>
                <w:b/>
                <w:sz w:val="16"/>
              </w:rPr>
              <w:t>$</w:t>
              <w:tab/>
              <w:t>6,259.71</w:t>
            </w:r>
          </w:p>
        </w:tc>
        <w:tc>
          <w:tcPr>
            <w:tcW w:w="1568" w:type="dxa"/>
          </w:tcPr>
          <w:p>
            <w:pPr>
              <w:pStyle w:val="TableParagraph"/>
              <w:tabs>
                <w:tab w:pos="682" w:val="left" w:leader="none"/>
              </w:tabs>
              <w:spacing w:before="113"/>
              <w:ind w:left="149"/>
              <w:rPr>
                <w:b/>
                <w:sz w:val="16"/>
              </w:rPr>
            </w:pPr>
            <w:r>
              <w:rPr>
                <w:b/>
                <w:sz w:val="16"/>
              </w:rPr>
              <w:t>$</w:t>
              <w:tab/>
              <w:t>1,449.57</w:t>
            </w:r>
          </w:p>
        </w:tc>
        <w:tc>
          <w:tcPr>
            <w:tcW w:w="1567" w:type="dxa"/>
          </w:tcPr>
          <w:p>
            <w:pPr>
              <w:pStyle w:val="TableParagraph"/>
              <w:tabs>
                <w:tab w:pos="682" w:val="left" w:leader="none"/>
              </w:tabs>
              <w:spacing w:before="113"/>
              <w:ind w:left="149"/>
              <w:rPr>
                <w:b/>
                <w:sz w:val="16"/>
              </w:rPr>
            </w:pPr>
            <w:r>
              <w:rPr>
                <w:b/>
                <w:sz w:val="16"/>
              </w:rPr>
              <w:t>$</w:t>
              <w:tab/>
              <w:t>1,087.18</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HOLYOKE HOSPITAL</w:t>
            </w:r>
          </w:p>
        </w:tc>
        <w:tc>
          <w:tcPr>
            <w:tcW w:w="1435" w:type="dxa"/>
          </w:tcPr>
          <w:p>
            <w:pPr>
              <w:pStyle w:val="TableParagraph"/>
              <w:tabs>
                <w:tab w:pos="560" w:val="left" w:leader="none"/>
              </w:tabs>
              <w:spacing w:before="113"/>
              <w:ind w:left="27"/>
              <w:jc w:val="center"/>
              <w:rPr>
                <w:b/>
                <w:sz w:val="16"/>
              </w:rPr>
            </w:pPr>
            <w:r>
              <w:rPr>
                <w:b/>
                <w:sz w:val="16"/>
              </w:rPr>
              <w:t>$</w:t>
              <w:tab/>
              <w:t>7,041.91</w:t>
            </w:r>
          </w:p>
        </w:tc>
        <w:tc>
          <w:tcPr>
            <w:tcW w:w="1568" w:type="dxa"/>
          </w:tcPr>
          <w:p>
            <w:pPr>
              <w:pStyle w:val="TableParagraph"/>
              <w:tabs>
                <w:tab w:pos="682" w:val="left" w:leader="none"/>
              </w:tabs>
              <w:spacing w:before="113"/>
              <w:ind w:left="149"/>
              <w:rPr>
                <w:b/>
                <w:sz w:val="16"/>
              </w:rPr>
            </w:pPr>
            <w:r>
              <w:rPr>
                <w:b/>
                <w:sz w:val="16"/>
              </w:rPr>
              <w:t>$</w:t>
              <w:tab/>
              <w:t>1,615.73</w:t>
            </w:r>
          </w:p>
        </w:tc>
        <w:tc>
          <w:tcPr>
            <w:tcW w:w="1567" w:type="dxa"/>
          </w:tcPr>
          <w:p>
            <w:pPr>
              <w:pStyle w:val="TableParagraph"/>
              <w:tabs>
                <w:tab w:pos="682" w:val="left" w:leader="none"/>
              </w:tabs>
              <w:spacing w:before="113"/>
              <w:ind w:left="149"/>
              <w:rPr>
                <w:b/>
                <w:sz w:val="16"/>
              </w:rPr>
            </w:pPr>
            <w:r>
              <w:rPr>
                <w:b/>
                <w:sz w:val="16"/>
              </w:rPr>
              <w:t>$</w:t>
              <w:tab/>
              <w:t>1,211.80</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JORDAN HOSPITAL</w:t>
            </w:r>
          </w:p>
        </w:tc>
        <w:tc>
          <w:tcPr>
            <w:tcW w:w="1435" w:type="dxa"/>
          </w:tcPr>
          <w:p>
            <w:pPr>
              <w:pStyle w:val="TableParagraph"/>
              <w:tabs>
                <w:tab w:pos="559" w:val="left" w:leader="none"/>
              </w:tabs>
              <w:spacing w:before="113"/>
              <w:ind w:left="26"/>
              <w:jc w:val="center"/>
              <w:rPr>
                <w:b/>
                <w:sz w:val="16"/>
              </w:rPr>
            </w:pPr>
            <w:r>
              <w:rPr>
                <w:b/>
                <w:sz w:val="16"/>
              </w:rPr>
              <w:t>$</w:t>
              <w:tab/>
              <w:t>6,971.79</w:t>
            </w:r>
          </w:p>
        </w:tc>
        <w:tc>
          <w:tcPr>
            <w:tcW w:w="1568" w:type="dxa"/>
          </w:tcPr>
          <w:p>
            <w:pPr>
              <w:pStyle w:val="TableParagraph"/>
              <w:tabs>
                <w:tab w:pos="681" w:val="left" w:leader="none"/>
              </w:tabs>
              <w:spacing w:before="113"/>
              <w:ind w:left="148"/>
              <w:rPr>
                <w:b/>
                <w:sz w:val="16"/>
              </w:rPr>
            </w:pPr>
            <w:r>
              <w:rPr>
                <w:b/>
                <w:sz w:val="16"/>
              </w:rPr>
              <w:t>$</w:t>
              <w:tab/>
              <w:t>1,595.73</w:t>
            </w:r>
          </w:p>
        </w:tc>
        <w:tc>
          <w:tcPr>
            <w:tcW w:w="1567" w:type="dxa"/>
          </w:tcPr>
          <w:p>
            <w:pPr>
              <w:pStyle w:val="TableParagraph"/>
              <w:tabs>
                <w:tab w:pos="681" w:val="left" w:leader="none"/>
              </w:tabs>
              <w:spacing w:before="113"/>
              <w:ind w:left="148"/>
              <w:rPr>
                <w:b/>
                <w:sz w:val="16"/>
              </w:rPr>
            </w:pPr>
            <w:r>
              <w:rPr>
                <w:b/>
                <w:sz w:val="16"/>
              </w:rPr>
              <w:t>$</w:t>
              <w:tab/>
              <w:t>1,196.80</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LAHEY CLINIC</w:t>
            </w:r>
          </w:p>
        </w:tc>
        <w:tc>
          <w:tcPr>
            <w:tcW w:w="1435" w:type="dxa"/>
          </w:tcPr>
          <w:p>
            <w:pPr>
              <w:pStyle w:val="TableParagraph"/>
              <w:tabs>
                <w:tab w:pos="468" w:val="left" w:leader="none"/>
              </w:tabs>
              <w:spacing w:before="113"/>
              <w:ind w:left="24"/>
              <w:jc w:val="center"/>
              <w:rPr>
                <w:b/>
                <w:sz w:val="16"/>
              </w:rPr>
            </w:pPr>
            <w:r>
              <w:rPr>
                <w:b/>
                <w:sz w:val="16"/>
              </w:rPr>
              <w:t>$</w:t>
              <w:tab/>
              <w:t>16,009.42</w:t>
            </w:r>
          </w:p>
        </w:tc>
        <w:tc>
          <w:tcPr>
            <w:tcW w:w="1568" w:type="dxa"/>
          </w:tcPr>
          <w:p>
            <w:pPr>
              <w:pStyle w:val="TableParagraph"/>
              <w:tabs>
                <w:tab w:pos="680" w:val="left" w:leader="none"/>
              </w:tabs>
              <w:spacing w:before="113"/>
              <w:ind w:left="147"/>
              <w:rPr>
                <w:b/>
                <w:sz w:val="16"/>
              </w:rPr>
            </w:pPr>
            <w:r>
              <w:rPr>
                <w:b/>
                <w:sz w:val="16"/>
              </w:rPr>
              <w:t>$</w:t>
              <w:tab/>
              <w:t>3,627.10</w:t>
            </w:r>
          </w:p>
        </w:tc>
        <w:tc>
          <w:tcPr>
            <w:tcW w:w="1567" w:type="dxa"/>
          </w:tcPr>
          <w:p>
            <w:pPr>
              <w:pStyle w:val="TableParagraph"/>
              <w:tabs>
                <w:tab w:pos="681" w:val="left" w:leader="none"/>
              </w:tabs>
              <w:spacing w:before="113"/>
              <w:ind w:left="148"/>
              <w:rPr>
                <w:b/>
                <w:sz w:val="16"/>
              </w:rPr>
            </w:pPr>
            <w:r>
              <w:rPr>
                <w:b/>
                <w:sz w:val="16"/>
              </w:rPr>
              <w:t>$</w:t>
              <w:tab/>
              <w:t>2,720.32</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LAWRENCE GENERAL HOSPITAL</w:t>
            </w:r>
          </w:p>
        </w:tc>
        <w:tc>
          <w:tcPr>
            <w:tcW w:w="1435" w:type="dxa"/>
          </w:tcPr>
          <w:p>
            <w:pPr>
              <w:pStyle w:val="TableParagraph"/>
              <w:tabs>
                <w:tab w:pos="558" w:val="left" w:leader="none"/>
              </w:tabs>
              <w:spacing w:before="113"/>
              <w:ind w:left="24"/>
              <w:jc w:val="center"/>
              <w:rPr>
                <w:b/>
                <w:sz w:val="16"/>
              </w:rPr>
            </w:pPr>
            <w:r>
              <w:rPr>
                <w:b/>
                <w:sz w:val="16"/>
              </w:rPr>
              <w:t>$</w:t>
              <w:tab/>
              <w:t>5,851.25</w:t>
            </w:r>
          </w:p>
        </w:tc>
        <w:tc>
          <w:tcPr>
            <w:tcW w:w="1568" w:type="dxa"/>
          </w:tcPr>
          <w:p>
            <w:pPr>
              <w:pStyle w:val="TableParagraph"/>
              <w:tabs>
                <w:tab w:pos="681" w:val="left" w:leader="none"/>
              </w:tabs>
              <w:spacing w:before="113"/>
              <w:ind w:left="148"/>
              <w:rPr>
                <w:b/>
                <w:sz w:val="16"/>
              </w:rPr>
            </w:pPr>
            <w:r>
              <w:rPr>
                <w:b/>
                <w:sz w:val="16"/>
              </w:rPr>
              <w:t>$</w:t>
              <w:tab/>
              <w:t>1,373.54</w:t>
            </w:r>
          </w:p>
        </w:tc>
        <w:tc>
          <w:tcPr>
            <w:tcW w:w="1567" w:type="dxa"/>
          </w:tcPr>
          <w:p>
            <w:pPr>
              <w:pStyle w:val="TableParagraph"/>
              <w:tabs>
                <w:tab w:pos="681" w:val="left" w:leader="none"/>
              </w:tabs>
              <w:spacing w:before="113"/>
              <w:ind w:left="148"/>
              <w:rPr>
                <w:b/>
                <w:sz w:val="16"/>
              </w:rPr>
            </w:pPr>
            <w:r>
              <w:rPr>
                <w:b/>
                <w:sz w:val="16"/>
              </w:rPr>
              <w:t>$</w:t>
              <w:tab/>
              <w:t>1,030.15</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LOWELL GENERAL HOSPITAL</w:t>
            </w:r>
          </w:p>
        </w:tc>
        <w:tc>
          <w:tcPr>
            <w:tcW w:w="1435" w:type="dxa"/>
          </w:tcPr>
          <w:p>
            <w:pPr>
              <w:pStyle w:val="TableParagraph"/>
              <w:tabs>
                <w:tab w:pos="559" w:val="left" w:leader="none"/>
              </w:tabs>
              <w:spacing w:before="113"/>
              <w:ind w:left="26"/>
              <w:jc w:val="center"/>
              <w:rPr>
                <w:b/>
                <w:sz w:val="16"/>
              </w:rPr>
            </w:pPr>
            <w:r>
              <w:rPr>
                <w:b/>
                <w:sz w:val="16"/>
              </w:rPr>
              <w:t>$</w:t>
              <w:tab/>
              <w:t>6,358.87</w:t>
            </w:r>
          </w:p>
        </w:tc>
        <w:tc>
          <w:tcPr>
            <w:tcW w:w="1568" w:type="dxa"/>
          </w:tcPr>
          <w:p>
            <w:pPr>
              <w:pStyle w:val="TableParagraph"/>
              <w:tabs>
                <w:tab w:pos="681" w:val="left" w:leader="none"/>
              </w:tabs>
              <w:spacing w:before="113"/>
              <w:ind w:left="148"/>
              <w:rPr>
                <w:b/>
                <w:sz w:val="16"/>
              </w:rPr>
            </w:pPr>
            <w:r>
              <w:rPr>
                <w:b/>
                <w:sz w:val="16"/>
              </w:rPr>
              <w:t>$</w:t>
              <w:tab/>
              <w:t>1,488.52</w:t>
            </w:r>
          </w:p>
        </w:tc>
        <w:tc>
          <w:tcPr>
            <w:tcW w:w="1567" w:type="dxa"/>
          </w:tcPr>
          <w:p>
            <w:pPr>
              <w:pStyle w:val="TableParagraph"/>
              <w:tabs>
                <w:tab w:pos="681" w:val="left" w:leader="none"/>
              </w:tabs>
              <w:spacing w:before="113"/>
              <w:ind w:left="148"/>
              <w:rPr>
                <w:b/>
                <w:sz w:val="16"/>
              </w:rPr>
            </w:pPr>
            <w:r>
              <w:rPr>
                <w:b/>
                <w:sz w:val="16"/>
              </w:rPr>
              <w:t>$</w:t>
              <w:tab/>
              <w:t>1,116.39</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MARLBOROUGH HOSPITAL</w:t>
            </w:r>
          </w:p>
        </w:tc>
        <w:tc>
          <w:tcPr>
            <w:tcW w:w="1435" w:type="dxa"/>
          </w:tcPr>
          <w:p>
            <w:pPr>
              <w:pStyle w:val="TableParagraph"/>
              <w:tabs>
                <w:tab w:pos="562" w:val="left" w:leader="none"/>
              </w:tabs>
              <w:spacing w:before="113"/>
              <w:ind w:left="29"/>
              <w:jc w:val="center"/>
              <w:rPr>
                <w:b/>
                <w:sz w:val="16"/>
              </w:rPr>
            </w:pPr>
            <w:r>
              <w:rPr>
                <w:b/>
                <w:sz w:val="16"/>
              </w:rPr>
              <w:t>$</w:t>
              <w:tab/>
              <w:t>8,523.28</w:t>
            </w:r>
          </w:p>
        </w:tc>
        <w:tc>
          <w:tcPr>
            <w:tcW w:w="1568" w:type="dxa"/>
          </w:tcPr>
          <w:p>
            <w:pPr>
              <w:pStyle w:val="TableParagraph"/>
              <w:tabs>
                <w:tab w:pos="683" w:val="left" w:leader="none"/>
              </w:tabs>
              <w:spacing w:before="113"/>
              <w:ind w:left="150"/>
              <w:rPr>
                <w:b/>
                <w:sz w:val="16"/>
              </w:rPr>
            </w:pPr>
            <w:r>
              <w:rPr>
                <w:b/>
                <w:sz w:val="16"/>
              </w:rPr>
              <w:t>$</w:t>
              <w:tab/>
              <w:t>1,969.49</w:t>
            </w:r>
          </w:p>
        </w:tc>
        <w:tc>
          <w:tcPr>
            <w:tcW w:w="1567" w:type="dxa"/>
          </w:tcPr>
          <w:p>
            <w:pPr>
              <w:pStyle w:val="TableParagraph"/>
              <w:tabs>
                <w:tab w:pos="683" w:val="left" w:leader="none"/>
              </w:tabs>
              <w:spacing w:before="113"/>
              <w:ind w:left="150"/>
              <w:rPr>
                <w:b/>
                <w:sz w:val="16"/>
              </w:rPr>
            </w:pPr>
            <w:r>
              <w:rPr>
                <w:b/>
                <w:sz w:val="16"/>
              </w:rPr>
              <w:t>$</w:t>
              <w:tab/>
              <w:t>1,477.12</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MARTHA'S VINEYARD HOSPITAL **</w:t>
            </w:r>
          </w:p>
        </w:tc>
        <w:tc>
          <w:tcPr>
            <w:tcW w:w="1435" w:type="dxa"/>
          </w:tcPr>
          <w:p>
            <w:pPr>
              <w:pStyle w:val="TableParagraph"/>
              <w:tabs>
                <w:tab w:pos="466" w:val="left" w:leader="none"/>
              </w:tabs>
              <w:spacing w:before="113"/>
              <w:ind w:left="22"/>
              <w:jc w:val="center"/>
              <w:rPr>
                <w:b/>
                <w:sz w:val="16"/>
              </w:rPr>
            </w:pPr>
            <w:r>
              <w:rPr>
                <w:b/>
                <w:sz w:val="16"/>
              </w:rPr>
              <w:t>$</w:t>
              <w:tab/>
              <w:t>12,473.94</w:t>
            </w:r>
          </w:p>
        </w:tc>
        <w:tc>
          <w:tcPr>
            <w:tcW w:w="1568" w:type="dxa"/>
          </w:tcPr>
          <w:p>
            <w:pPr>
              <w:pStyle w:val="TableParagraph"/>
              <w:tabs>
                <w:tab w:pos="679" w:val="left" w:leader="none"/>
              </w:tabs>
              <w:spacing w:before="113"/>
              <w:ind w:left="146"/>
              <w:rPr>
                <w:b/>
                <w:sz w:val="16"/>
              </w:rPr>
            </w:pPr>
            <w:r>
              <w:rPr>
                <w:b/>
                <w:sz w:val="16"/>
              </w:rPr>
              <w:t>$</w:t>
              <w:tab/>
              <w:t>2,894.19</w:t>
            </w:r>
          </w:p>
        </w:tc>
        <w:tc>
          <w:tcPr>
            <w:tcW w:w="1567" w:type="dxa"/>
          </w:tcPr>
          <w:p>
            <w:pPr>
              <w:pStyle w:val="TableParagraph"/>
              <w:tabs>
                <w:tab w:pos="679" w:val="left" w:leader="none"/>
              </w:tabs>
              <w:spacing w:before="113"/>
              <w:ind w:left="146"/>
              <w:rPr>
                <w:b/>
                <w:sz w:val="16"/>
              </w:rPr>
            </w:pPr>
            <w:r>
              <w:rPr>
                <w:b/>
                <w:sz w:val="16"/>
              </w:rPr>
              <w:t>$</w:t>
              <w:tab/>
              <w:t>2,170.64</w:t>
            </w:r>
          </w:p>
        </w:tc>
        <w:tc>
          <w:tcPr>
            <w:tcW w:w="1340" w:type="dxa"/>
          </w:tcPr>
          <w:p>
            <w:pPr>
              <w:pStyle w:val="TableParagraph"/>
              <w:spacing w:before="113"/>
              <w:ind w:left="105"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MARY LANE HOSPITAL</w:t>
            </w:r>
          </w:p>
        </w:tc>
        <w:tc>
          <w:tcPr>
            <w:tcW w:w="1435" w:type="dxa"/>
          </w:tcPr>
          <w:p>
            <w:pPr>
              <w:pStyle w:val="TableParagraph"/>
              <w:tabs>
                <w:tab w:pos="557" w:val="left" w:leader="none"/>
              </w:tabs>
              <w:spacing w:before="113"/>
              <w:ind w:left="24"/>
              <w:jc w:val="center"/>
              <w:rPr>
                <w:b/>
                <w:sz w:val="16"/>
              </w:rPr>
            </w:pPr>
            <w:r>
              <w:rPr>
                <w:b/>
                <w:sz w:val="16"/>
              </w:rPr>
              <w:t>$</w:t>
              <w:tab/>
              <w:t>7,311.86</w:t>
            </w:r>
          </w:p>
        </w:tc>
        <w:tc>
          <w:tcPr>
            <w:tcW w:w="1568" w:type="dxa"/>
          </w:tcPr>
          <w:p>
            <w:pPr>
              <w:pStyle w:val="TableParagraph"/>
              <w:tabs>
                <w:tab w:pos="680" w:val="left" w:leader="none"/>
              </w:tabs>
              <w:spacing w:before="113"/>
              <w:ind w:left="147"/>
              <w:rPr>
                <w:b/>
                <w:sz w:val="16"/>
              </w:rPr>
            </w:pPr>
            <w:r>
              <w:rPr>
                <w:b/>
                <w:sz w:val="16"/>
              </w:rPr>
              <w:t>$</w:t>
              <w:tab/>
              <w:t>1,699.22</w:t>
            </w:r>
          </w:p>
        </w:tc>
        <w:tc>
          <w:tcPr>
            <w:tcW w:w="1567" w:type="dxa"/>
          </w:tcPr>
          <w:p>
            <w:pPr>
              <w:pStyle w:val="TableParagraph"/>
              <w:tabs>
                <w:tab w:pos="680" w:val="left" w:leader="none"/>
              </w:tabs>
              <w:spacing w:before="113"/>
              <w:ind w:left="147"/>
              <w:rPr>
                <w:b/>
                <w:sz w:val="16"/>
              </w:rPr>
            </w:pPr>
            <w:r>
              <w:rPr>
                <w:b/>
                <w:sz w:val="16"/>
              </w:rPr>
              <w:t>$</w:t>
              <w:tab/>
              <w:t>1,274.42</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MASS. EYE &amp; EAR INFIRMARY</w:t>
            </w:r>
          </w:p>
        </w:tc>
        <w:tc>
          <w:tcPr>
            <w:tcW w:w="1435" w:type="dxa"/>
          </w:tcPr>
          <w:p>
            <w:pPr>
              <w:pStyle w:val="TableParagraph"/>
              <w:tabs>
                <w:tab w:pos="464" w:val="left" w:leader="none"/>
              </w:tabs>
              <w:spacing w:before="113"/>
              <w:ind w:left="20"/>
              <w:jc w:val="center"/>
              <w:rPr>
                <w:b/>
                <w:sz w:val="16"/>
              </w:rPr>
            </w:pPr>
            <w:r>
              <w:rPr>
                <w:b/>
                <w:sz w:val="16"/>
              </w:rPr>
              <w:t>$</w:t>
              <w:tab/>
              <w:t>13,137.93</w:t>
            </w:r>
          </w:p>
        </w:tc>
        <w:tc>
          <w:tcPr>
            <w:tcW w:w="1568" w:type="dxa"/>
          </w:tcPr>
          <w:p>
            <w:pPr>
              <w:pStyle w:val="TableParagraph"/>
              <w:tabs>
                <w:tab w:pos="678" w:val="left" w:leader="none"/>
              </w:tabs>
              <w:spacing w:before="113"/>
              <w:ind w:left="145"/>
              <w:rPr>
                <w:b/>
                <w:sz w:val="16"/>
              </w:rPr>
            </w:pPr>
            <w:r>
              <w:rPr>
                <w:b/>
                <w:sz w:val="16"/>
              </w:rPr>
              <w:t>$</w:t>
              <w:tab/>
              <w:t>2,980.63</w:t>
            </w:r>
          </w:p>
        </w:tc>
        <w:tc>
          <w:tcPr>
            <w:tcW w:w="1567" w:type="dxa"/>
          </w:tcPr>
          <w:p>
            <w:pPr>
              <w:pStyle w:val="TableParagraph"/>
              <w:tabs>
                <w:tab w:pos="679" w:val="left" w:leader="none"/>
              </w:tabs>
              <w:spacing w:before="113"/>
              <w:ind w:left="146"/>
              <w:rPr>
                <w:b/>
                <w:sz w:val="16"/>
              </w:rPr>
            </w:pPr>
            <w:r>
              <w:rPr>
                <w:b/>
                <w:sz w:val="16"/>
              </w:rPr>
              <w:t>$</w:t>
              <w:tab/>
              <w:t>2,235.47</w:t>
            </w:r>
          </w:p>
        </w:tc>
        <w:tc>
          <w:tcPr>
            <w:tcW w:w="1340" w:type="dxa"/>
          </w:tcPr>
          <w:p>
            <w:pPr>
              <w:pStyle w:val="TableParagraph"/>
              <w:spacing w:before="113"/>
              <w:ind w:left="104"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MASS. GENERAL HOSPITAL</w:t>
            </w:r>
          </w:p>
        </w:tc>
        <w:tc>
          <w:tcPr>
            <w:tcW w:w="1435" w:type="dxa"/>
          </w:tcPr>
          <w:p>
            <w:pPr>
              <w:pStyle w:val="TableParagraph"/>
              <w:tabs>
                <w:tab w:pos="468" w:val="left" w:leader="none"/>
              </w:tabs>
              <w:spacing w:before="113"/>
              <w:ind w:left="24"/>
              <w:jc w:val="center"/>
              <w:rPr>
                <w:b/>
                <w:sz w:val="16"/>
              </w:rPr>
            </w:pPr>
            <w:r>
              <w:rPr>
                <w:b/>
                <w:sz w:val="16"/>
              </w:rPr>
              <w:t>$</w:t>
              <w:tab/>
              <w:t>11,543.79</w:t>
            </w:r>
          </w:p>
        </w:tc>
        <w:tc>
          <w:tcPr>
            <w:tcW w:w="1568" w:type="dxa"/>
          </w:tcPr>
          <w:p>
            <w:pPr>
              <w:pStyle w:val="TableParagraph"/>
              <w:tabs>
                <w:tab w:pos="680" w:val="left" w:leader="none"/>
              </w:tabs>
              <w:spacing w:before="113"/>
              <w:ind w:left="147"/>
              <w:rPr>
                <w:b/>
                <w:sz w:val="16"/>
              </w:rPr>
            </w:pPr>
            <w:r>
              <w:rPr>
                <w:b/>
                <w:sz w:val="16"/>
              </w:rPr>
              <w:t>$</w:t>
              <w:tab/>
              <w:t>2,552.81</w:t>
            </w:r>
          </w:p>
        </w:tc>
        <w:tc>
          <w:tcPr>
            <w:tcW w:w="1567" w:type="dxa"/>
          </w:tcPr>
          <w:p>
            <w:pPr>
              <w:pStyle w:val="TableParagraph"/>
              <w:tabs>
                <w:tab w:pos="681" w:val="left" w:leader="none"/>
              </w:tabs>
              <w:spacing w:before="113"/>
              <w:ind w:left="148"/>
              <w:rPr>
                <w:b/>
                <w:sz w:val="16"/>
              </w:rPr>
            </w:pPr>
            <w:r>
              <w:rPr>
                <w:b/>
                <w:sz w:val="16"/>
              </w:rPr>
              <w:t>$</w:t>
              <w:tab/>
              <w:t>1,914.61</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MERCY HOSPITAL</w:t>
            </w:r>
          </w:p>
        </w:tc>
        <w:tc>
          <w:tcPr>
            <w:tcW w:w="1435" w:type="dxa"/>
          </w:tcPr>
          <w:p>
            <w:pPr>
              <w:pStyle w:val="TableParagraph"/>
              <w:tabs>
                <w:tab w:pos="557" w:val="left" w:leader="none"/>
              </w:tabs>
              <w:spacing w:before="113"/>
              <w:ind w:left="24"/>
              <w:jc w:val="center"/>
              <w:rPr>
                <w:b/>
                <w:sz w:val="16"/>
              </w:rPr>
            </w:pPr>
            <w:r>
              <w:rPr>
                <w:b/>
                <w:sz w:val="16"/>
              </w:rPr>
              <w:t>$</w:t>
              <w:tab/>
              <w:t>6,604.68</w:t>
            </w:r>
          </w:p>
        </w:tc>
        <w:tc>
          <w:tcPr>
            <w:tcW w:w="1568" w:type="dxa"/>
          </w:tcPr>
          <w:p>
            <w:pPr>
              <w:pStyle w:val="TableParagraph"/>
              <w:tabs>
                <w:tab w:pos="680" w:val="left" w:leader="none"/>
              </w:tabs>
              <w:spacing w:before="113"/>
              <w:ind w:left="147"/>
              <w:rPr>
                <w:b/>
                <w:sz w:val="16"/>
              </w:rPr>
            </w:pPr>
            <w:r>
              <w:rPr>
                <w:b/>
                <w:sz w:val="16"/>
              </w:rPr>
              <w:t>$</w:t>
              <w:tab/>
              <w:t>1,517.81</w:t>
            </w:r>
          </w:p>
        </w:tc>
        <w:tc>
          <w:tcPr>
            <w:tcW w:w="1567" w:type="dxa"/>
          </w:tcPr>
          <w:p>
            <w:pPr>
              <w:pStyle w:val="TableParagraph"/>
              <w:tabs>
                <w:tab w:pos="681" w:val="left" w:leader="none"/>
              </w:tabs>
              <w:spacing w:before="113"/>
              <w:ind w:left="148"/>
              <w:rPr>
                <w:b/>
                <w:sz w:val="16"/>
              </w:rPr>
            </w:pPr>
            <w:r>
              <w:rPr>
                <w:b/>
                <w:sz w:val="16"/>
              </w:rPr>
              <w:t>$</w:t>
              <w:tab/>
              <w:t>1,138.36</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tabs>
                <w:tab w:pos="813" w:val="left" w:leader="none"/>
              </w:tabs>
              <w:spacing w:before="113"/>
              <w:ind w:left="148"/>
              <w:rPr>
                <w:b/>
                <w:sz w:val="16"/>
              </w:rPr>
            </w:pPr>
            <w:r>
              <w:rPr>
                <w:b/>
                <w:sz w:val="16"/>
              </w:rPr>
              <w:t>$</w:t>
              <w:tab/>
              <w:t>741.89</w:t>
            </w:r>
          </w:p>
        </w:tc>
      </w:tr>
      <w:tr>
        <w:trPr>
          <w:trHeight w:val="280" w:hRule="atLeast"/>
        </w:trPr>
        <w:tc>
          <w:tcPr>
            <w:tcW w:w="3260" w:type="dxa"/>
          </w:tcPr>
          <w:p>
            <w:pPr>
              <w:pStyle w:val="TableParagraph"/>
              <w:spacing w:before="113"/>
              <w:ind w:left="102"/>
              <w:rPr>
                <w:b/>
                <w:sz w:val="16"/>
              </w:rPr>
            </w:pPr>
            <w:r>
              <w:rPr>
                <w:b/>
                <w:sz w:val="16"/>
              </w:rPr>
              <w:t>MERRIMACK VALLEY HOSPITAL</w:t>
            </w:r>
          </w:p>
        </w:tc>
        <w:tc>
          <w:tcPr>
            <w:tcW w:w="1435" w:type="dxa"/>
          </w:tcPr>
          <w:p>
            <w:pPr>
              <w:pStyle w:val="TableParagraph"/>
              <w:tabs>
                <w:tab w:pos="557" w:val="left" w:leader="none"/>
              </w:tabs>
              <w:spacing w:before="113"/>
              <w:ind w:left="24"/>
              <w:jc w:val="center"/>
              <w:rPr>
                <w:b/>
                <w:sz w:val="16"/>
              </w:rPr>
            </w:pPr>
            <w:r>
              <w:rPr>
                <w:b/>
                <w:sz w:val="16"/>
              </w:rPr>
              <w:t>$</w:t>
              <w:tab/>
              <w:t>7,819.15</w:t>
            </w:r>
          </w:p>
        </w:tc>
        <w:tc>
          <w:tcPr>
            <w:tcW w:w="1568" w:type="dxa"/>
          </w:tcPr>
          <w:p>
            <w:pPr>
              <w:pStyle w:val="TableParagraph"/>
              <w:tabs>
                <w:tab w:pos="681" w:val="left" w:leader="none"/>
              </w:tabs>
              <w:spacing w:before="113"/>
              <w:ind w:left="148"/>
              <w:rPr>
                <w:b/>
                <w:sz w:val="16"/>
              </w:rPr>
            </w:pPr>
            <w:r>
              <w:rPr>
                <w:b/>
                <w:sz w:val="16"/>
              </w:rPr>
              <w:t>$</w:t>
              <w:tab/>
              <w:t>1,803.59</w:t>
            </w:r>
          </w:p>
        </w:tc>
        <w:tc>
          <w:tcPr>
            <w:tcW w:w="1567" w:type="dxa"/>
          </w:tcPr>
          <w:p>
            <w:pPr>
              <w:pStyle w:val="TableParagraph"/>
              <w:tabs>
                <w:tab w:pos="681" w:val="left" w:leader="none"/>
              </w:tabs>
              <w:spacing w:before="113"/>
              <w:ind w:left="148"/>
              <w:rPr>
                <w:b/>
                <w:sz w:val="16"/>
              </w:rPr>
            </w:pPr>
            <w:r>
              <w:rPr>
                <w:b/>
                <w:sz w:val="16"/>
              </w:rPr>
              <w:t>$</w:t>
              <w:tab/>
              <w:t>1,352.69</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METROWEST MED CTR</w:t>
            </w:r>
          </w:p>
        </w:tc>
        <w:tc>
          <w:tcPr>
            <w:tcW w:w="1435" w:type="dxa"/>
          </w:tcPr>
          <w:p>
            <w:pPr>
              <w:pStyle w:val="TableParagraph"/>
              <w:tabs>
                <w:tab w:pos="557" w:val="left" w:leader="none"/>
              </w:tabs>
              <w:spacing w:before="113"/>
              <w:ind w:left="24"/>
              <w:jc w:val="center"/>
              <w:rPr>
                <w:b/>
                <w:sz w:val="16"/>
              </w:rPr>
            </w:pPr>
            <w:r>
              <w:rPr>
                <w:b/>
                <w:sz w:val="16"/>
              </w:rPr>
              <w:t>$</w:t>
              <w:tab/>
              <w:t>5,953.88</w:t>
            </w:r>
          </w:p>
        </w:tc>
        <w:tc>
          <w:tcPr>
            <w:tcW w:w="1568" w:type="dxa"/>
          </w:tcPr>
          <w:p>
            <w:pPr>
              <w:pStyle w:val="TableParagraph"/>
              <w:tabs>
                <w:tab w:pos="680" w:val="left" w:leader="none"/>
              </w:tabs>
              <w:spacing w:before="113"/>
              <w:ind w:left="147"/>
              <w:rPr>
                <w:b/>
                <w:sz w:val="16"/>
              </w:rPr>
            </w:pPr>
            <w:r>
              <w:rPr>
                <w:b/>
                <w:sz w:val="16"/>
              </w:rPr>
              <w:t>$</w:t>
              <w:tab/>
              <w:t>1,398.31</w:t>
            </w:r>
          </w:p>
        </w:tc>
        <w:tc>
          <w:tcPr>
            <w:tcW w:w="1567" w:type="dxa"/>
          </w:tcPr>
          <w:p>
            <w:pPr>
              <w:pStyle w:val="TableParagraph"/>
              <w:tabs>
                <w:tab w:pos="681" w:val="left" w:leader="none"/>
              </w:tabs>
              <w:spacing w:before="113"/>
              <w:ind w:left="148"/>
              <w:rPr>
                <w:b/>
                <w:sz w:val="16"/>
              </w:rPr>
            </w:pPr>
            <w:r>
              <w:rPr>
                <w:b/>
                <w:sz w:val="16"/>
              </w:rPr>
              <w:t>$</w:t>
              <w:tab/>
              <w:t>1,048.73</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360" w:hRule="atLeast"/>
        </w:trPr>
        <w:tc>
          <w:tcPr>
            <w:tcW w:w="3260" w:type="dxa"/>
          </w:tcPr>
          <w:p>
            <w:pPr>
              <w:pStyle w:val="TableParagraph"/>
              <w:spacing w:line="188" w:lineRule="exact" w:before="1"/>
              <w:ind w:left="102" w:right="448"/>
              <w:rPr>
                <w:b/>
                <w:sz w:val="16"/>
              </w:rPr>
            </w:pPr>
            <w:r>
              <w:rPr>
                <w:b/>
                <w:sz w:val="16"/>
              </w:rPr>
              <w:t>MILFORD REGIONAL MEDICAL CENTER</w:t>
            </w:r>
          </w:p>
        </w:tc>
        <w:tc>
          <w:tcPr>
            <w:tcW w:w="1435" w:type="dxa"/>
          </w:tcPr>
          <w:p>
            <w:pPr>
              <w:pStyle w:val="TableParagraph"/>
              <w:spacing w:line="240" w:lineRule="auto" w:before="9"/>
              <w:rPr>
                <w:rFonts w:ascii="Book Antiqua"/>
                <w:b/>
                <w:sz w:val="15"/>
              </w:rPr>
            </w:pPr>
          </w:p>
          <w:p>
            <w:pPr>
              <w:pStyle w:val="TableParagraph"/>
              <w:tabs>
                <w:tab w:pos="557" w:val="left" w:leader="none"/>
              </w:tabs>
              <w:ind w:left="24"/>
              <w:jc w:val="center"/>
              <w:rPr>
                <w:b/>
                <w:sz w:val="16"/>
              </w:rPr>
            </w:pPr>
            <w:r>
              <w:rPr>
                <w:b/>
                <w:sz w:val="16"/>
              </w:rPr>
              <w:t>$</w:t>
              <w:tab/>
              <w:t>4,865.61</w:t>
            </w:r>
          </w:p>
        </w:tc>
        <w:tc>
          <w:tcPr>
            <w:tcW w:w="1568" w:type="dxa"/>
          </w:tcPr>
          <w:p>
            <w:pPr>
              <w:pStyle w:val="TableParagraph"/>
              <w:spacing w:line="240" w:lineRule="auto" w:before="9"/>
              <w:rPr>
                <w:rFonts w:ascii="Book Antiqua"/>
                <w:b/>
                <w:sz w:val="15"/>
              </w:rPr>
            </w:pPr>
          </w:p>
          <w:p>
            <w:pPr>
              <w:pStyle w:val="TableParagraph"/>
              <w:tabs>
                <w:tab w:pos="680" w:val="left" w:leader="none"/>
              </w:tabs>
              <w:ind w:left="147"/>
              <w:rPr>
                <w:b/>
                <w:sz w:val="16"/>
              </w:rPr>
            </w:pPr>
            <w:r>
              <w:rPr>
                <w:b/>
                <w:sz w:val="16"/>
              </w:rPr>
              <w:t>$</w:t>
              <w:tab/>
              <w:t>1,130.54</w:t>
            </w:r>
          </w:p>
        </w:tc>
        <w:tc>
          <w:tcPr>
            <w:tcW w:w="1567" w:type="dxa"/>
          </w:tcPr>
          <w:p>
            <w:pPr>
              <w:pStyle w:val="TableParagraph"/>
              <w:spacing w:line="240" w:lineRule="auto" w:before="9"/>
              <w:rPr>
                <w:rFonts w:ascii="Book Antiqua"/>
                <w:b/>
                <w:sz w:val="15"/>
              </w:rPr>
            </w:pPr>
          </w:p>
          <w:p>
            <w:pPr>
              <w:pStyle w:val="TableParagraph"/>
              <w:tabs>
                <w:tab w:pos="814" w:val="left" w:leader="none"/>
              </w:tabs>
              <w:ind w:left="147"/>
              <w:rPr>
                <w:b/>
                <w:sz w:val="16"/>
              </w:rPr>
            </w:pPr>
            <w:r>
              <w:rPr>
                <w:b/>
                <w:sz w:val="16"/>
              </w:rPr>
              <w:t>$</w:t>
              <w:tab/>
              <w:t>847.91</w:t>
            </w:r>
          </w:p>
        </w:tc>
        <w:tc>
          <w:tcPr>
            <w:tcW w:w="1340" w:type="dxa"/>
          </w:tcPr>
          <w:p>
            <w:pPr>
              <w:pStyle w:val="TableParagraph"/>
              <w:spacing w:line="240" w:lineRule="auto" w:before="9"/>
              <w:rPr>
                <w:rFonts w:ascii="Book Antiqua"/>
                <w:b/>
                <w:sz w:val="15"/>
              </w:rPr>
            </w:pPr>
          </w:p>
          <w:p>
            <w:pPr>
              <w:pStyle w:val="TableParagraph"/>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line="240" w:lineRule="auto" w:before="9"/>
              <w:rPr>
                <w:rFonts w:ascii="Book Antiqua"/>
                <w:b/>
                <w:sz w:val="15"/>
              </w:rPr>
            </w:pPr>
          </w:p>
          <w:p>
            <w:pPr>
              <w:pStyle w:val="TableParagraph"/>
              <w:ind w:left="107" w:right="102"/>
              <w:jc w:val="center"/>
              <w:rPr>
                <w:b/>
                <w:sz w:val="16"/>
              </w:rPr>
            </w:pPr>
            <w:r>
              <w:rPr>
                <w:b/>
                <w:sz w:val="16"/>
              </w:rPr>
              <w:t>$258.90</w:t>
            </w:r>
          </w:p>
        </w:tc>
        <w:tc>
          <w:tcPr>
            <w:tcW w:w="1340" w:type="dxa"/>
          </w:tcPr>
          <w:p>
            <w:pPr>
              <w:pStyle w:val="TableParagraph"/>
              <w:spacing w:line="240" w:lineRule="auto" w:before="9"/>
              <w:rPr>
                <w:rFonts w:ascii="Book Antiqua"/>
                <w:b/>
                <w:sz w:val="15"/>
              </w:rPr>
            </w:pPr>
          </w:p>
          <w:p>
            <w:pPr>
              <w:pStyle w:val="TableParagraph"/>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77" w:hRule="atLeast"/>
        </w:trPr>
        <w:tc>
          <w:tcPr>
            <w:tcW w:w="3260" w:type="dxa"/>
          </w:tcPr>
          <w:p>
            <w:pPr>
              <w:pStyle w:val="TableParagraph"/>
              <w:spacing w:before="111"/>
              <w:ind w:left="102"/>
              <w:rPr>
                <w:b/>
                <w:sz w:val="16"/>
              </w:rPr>
            </w:pPr>
            <w:r>
              <w:rPr>
                <w:b/>
                <w:sz w:val="16"/>
              </w:rPr>
              <w:t>MILTON HOSPITAL</w:t>
            </w:r>
          </w:p>
        </w:tc>
        <w:tc>
          <w:tcPr>
            <w:tcW w:w="1435" w:type="dxa"/>
          </w:tcPr>
          <w:p>
            <w:pPr>
              <w:pStyle w:val="TableParagraph"/>
              <w:tabs>
                <w:tab w:pos="559" w:val="left" w:leader="none"/>
              </w:tabs>
              <w:spacing w:before="111"/>
              <w:ind w:left="26"/>
              <w:jc w:val="center"/>
              <w:rPr>
                <w:b/>
                <w:sz w:val="16"/>
              </w:rPr>
            </w:pPr>
            <w:r>
              <w:rPr>
                <w:b/>
                <w:sz w:val="16"/>
              </w:rPr>
              <w:t>$</w:t>
              <w:tab/>
              <w:t>6,835.32</w:t>
            </w:r>
          </w:p>
        </w:tc>
        <w:tc>
          <w:tcPr>
            <w:tcW w:w="1568" w:type="dxa"/>
          </w:tcPr>
          <w:p>
            <w:pPr>
              <w:pStyle w:val="TableParagraph"/>
              <w:tabs>
                <w:tab w:pos="681" w:val="left" w:leader="none"/>
              </w:tabs>
              <w:spacing w:before="111"/>
              <w:ind w:left="148"/>
              <w:rPr>
                <w:b/>
                <w:sz w:val="16"/>
              </w:rPr>
            </w:pPr>
            <w:r>
              <w:rPr>
                <w:b/>
                <w:sz w:val="16"/>
              </w:rPr>
              <w:t>$</w:t>
              <w:tab/>
              <w:t>1,582.11</w:t>
            </w:r>
          </w:p>
        </w:tc>
        <w:tc>
          <w:tcPr>
            <w:tcW w:w="1567" w:type="dxa"/>
          </w:tcPr>
          <w:p>
            <w:pPr>
              <w:pStyle w:val="TableParagraph"/>
              <w:tabs>
                <w:tab w:pos="681" w:val="left" w:leader="none"/>
              </w:tabs>
              <w:spacing w:before="111"/>
              <w:ind w:left="148"/>
              <w:rPr>
                <w:b/>
                <w:sz w:val="16"/>
              </w:rPr>
            </w:pPr>
            <w:r>
              <w:rPr>
                <w:b/>
                <w:sz w:val="16"/>
              </w:rPr>
              <w:t>$</w:t>
              <w:tab/>
              <w:t>1,186.58</w:t>
            </w:r>
          </w:p>
        </w:tc>
        <w:tc>
          <w:tcPr>
            <w:tcW w:w="1340" w:type="dxa"/>
          </w:tcPr>
          <w:p>
            <w:pPr>
              <w:pStyle w:val="TableParagraph"/>
              <w:spacing w:before="111"/>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7" w:right="102"/>
              <w:jc w:val="center"/>
              <w:rPr>
                <w:b/>
                <w:sz w:val="16"/>
              </w:rPr>
            </w:pPr>
            <w:r>
              <w:rPr>
                <w:b/>
                <w:sz w:val="16"/>
              </w:rPr>
              <w:t>$258.90</w:t>
            </w:r>
          </w:p>
        </w:tc>
        <w:tc>
          <w:tcPr>
            <w:tcW w:w="1340" w:type="dxa"/>
          </w:tcPr>
          <w:p>
            <w:pPr>
              <w:pStyle w:val="TableParagraph"/>
              <w:spacing w:before="111"/>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MORTON HOSPITAL</w:t>
            </w:r>
          </w:p>
        </w:tc>
        <w:tc>
          <w:tcPr>
            <w:tcW w:w="1435" w:type="dxa"/>
          </w:tcPr>
          <w:p>
            <w:pPr>
              <w:pStyle w:val="TableParagraph"/>
              <w:tabs>
                <w:tab w:pos="561" w:val="left" w:leader="none"/>
              </w:tabs>
              <w:spacing w:before="113"/>
              <w:ind w:left="28"/>
              <w:jc w:val="center"/>
              <w:rPr>
                <w:b/>
                <w:sz w:val="16"/>
              </w:rPr>
            </w:pPr>
            <w:r>
              <w:rPr>
                <w:b/>
                <w:sz w:val="16"/>
              </w:rPr>
              <w:t>$</w:t>
              <w:tab/>
              <w:t>6,238.39</w:t>
            </w:r>
          </w:p>
        </w:tc>
        <w:tc>
          <w:tcPr>
            <w:tcW w:w="1568" w:type="dxa"/>
          </w:tcPr>
          <w:p>
            <w:pPr>
              <w:pStyle w:val="TableParagraph"/>
              <w:tabs>
                <w:tab w:pos="682" w:val="left" w:leader="none"/>
              </w:tabs>
              <w:spacing w:before="113"/>
              <w:ind w:left="149"/>
              <w:rPr>
                <w:b/>
                <w:sz w:val="16"/>
              </w:rPr>
            </w:pPr>
            <w:r>
              <w:rPr>
                <w:b/>
                <w:sz w:val="16"/>
              </w:rPr>
              <w:t>$</w:t>
              <w:tab/>
              <w:t>1,439.79</w:t>
            </w:r>
          </w:p>
        </w:tc>
        <w:tc>
          <w:tcPr>
            <w:tcW w:w="1567" w:type="dxa"/>
          </w:tcPr>
          <w:p>
            <w:pPr>
              <w:pStyle w:val="TableParagraph"/>
              <w:tabs>
                <w:tab w:pos="683" w:val="left" w:leader="none"/>
              </w:tabs>
              <w:spacing w:before="113"/>
              <w:ind w:left="149"/>
              <w:rPr>
                <w:b/>
                <w:sz w:val="16"/>
              </w:rPr>
            </w:pPr>
            <w:r>
              <w:rPr>
                <w:b/>
                <w:sz w:val="16"/>
              </w:rPr>
              <w:t>$</w:t>
              <w:tab/>
              <w:t>1,079.84</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MOUNT AUBURN HOSPITAL</w:t>
            </w:r>
          </w:p>
        </w:tc>
        <w:tc>
          <w:tcPr>
            <w:tcW w:w="1435" w:type="dxa"/>
          </w:tcPr>
          <w:p>
            <w:pPr>
              <w:pStyle w:val="TableParagraph"/>
              <w:tabs>
                <w:tab w:pos="560" w:val="left" w:leader="none"/>
              </w:tabs>
              <w:spacing w:before="113"/>
              <w:ind w:left="27"/>
              <w:jc w:val="center"/>
              <w:rPr>
                <w:b/>
                <w:sz w:val="16"/>
              </w:rPr>
            </w:pPr>
            <w:r>
              <w:rPr>
                <w:b/>
                <w:sz w:val="16"/>
              </w:rPr>
              <w:t>$</w:t>
              <w:tab/>
              <w:t>5,521.16</w:t>
            </w:r>
          </w:p>
        </w:tc>
        <w:tc>
          <w:tcPr>
            <w:tcW w:w="1568" w:type="dxa"/>
          </w:tcPr>
          <w:p>
            <w:pPr>
              <w:pStyle w:val="TableParagraph"/>
              <w:tabs>
                <w:tab w:pos="682" w:val="left" w:leader="none"/>
              </w:tabs>
              <w:spacing w:before="113"/>
              <w:ind w:left="149"/>
              <w:rPr>
                <w:b/>
                <w:sz w:val="16"/>
              </w:rPr>
            </w:pPr>
            <w:r>
              <w:rPr>
                <w:b/>
                <w:sz w:val="16"/>
              </w:rPr>
              <w:t>$</w:t>
              <w:tab/>
              <w:t>1,284.91</w:t>
            </w:r>
          </w:p>
        </w:tc>
        <w:tc>
          <w:tcPr>
            <w:tcW w:w="1567" w:type="dxa"/>
          </w:tcPr>
          <w:p>
            <w:pPr>
              <w:pStyle w:val="TableParagraph"/>
              <w:tabs>
                <w:tab w:pos="816" w:val="left" w:leader="none"/>
              </w:tabs>
              <w:spacing w:before="113"/>
              <w:ind w:left="149"/>
              <w:rPr>
                <w:b/>
                <w:sz w:val="16"/>
              </w:rPr>
            </w:pPr>
            <w:r>
              <w:rPr>
                <w:b/>
                <w:sz w:val="16"/>
              </w:rPr>
              <w:t>$</w:t>
              <w:tab/>
              <w:t>963.68</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NANTUCKET COTTAGE HOSPITAL</w:t>
            </w:r>
          </w:p>
        </w:tc>
        <w:tc>
          <w:tcPr>
            <w:tcW w:w="1435" w:type="dxa"/>
          </w:tcPr>
          <w:p>
            <w:pPr>
              <w:pStyle w:val="TableParagraph"/>
              <w:tabs>
                <w:tab w:pos="560" w:val="left" w:leader="none"/>
              </w:tabs>
              <w:spacing w:before="113"/>
              <w:ind w:left="27"/>
              <w:jc w:val="center"/>
              <w:rPr>
                <w:b/>
                <w:sz w:val="16"/>
              </w:rPr>
            </w:pPr>
            <w:r>
              <w:rPr>
                <w:b/>
                <w:sz w:val="16"/>
              </w:rPr>
              <w:t>$</w:t>
              <w:tab/>
              <w:t>3,295.21</w:t>
            </w:r>
          </w:p>
        </w:tc>
        <w:tc>
          <w:tcPr>
            <w:tcW w:w="1568" w:type="dxa"/>
          </w:tcPr>
          <w:p>
            <w:pPr>
              <w:pStyle w:val="TableParagraph"/>
              <w:tabs>
                <w:tab w:pos="815" w:val="left" w:leader="none"/>
              </w:tabs>
              <w:spacing w:before="113"/>
              <w:ind w:left="149"/>
              <w:rPr>
                <w:b/>
                <w:sz w:val="16"/>
              </w:rPr>
            </w:pPr>
            <w:r>
              <w:rPr>
                <w:b/>
                <w:sz w:val="16"/>
              </w:rPr>
              <w:t>$</w:t>
              <w:tab/>
              <w:t>777.33</w:t>
            </w:r>
          </w:p>
        </w:tc>
        <w:tc>
          <w:tcPr>
            <w:tcW w:w="1567" w:type="dxa"/>
          </w:tcPr>
          <w:p>
            <w:pPr>
              <w:pStyle w:val="TableParagraph"/>
              <w:tabs>
                <w:tab w:pos="815" w:val="left" w:leader="none"/>
              </w:tabs>
              <w:spacing w:before="113"/>
              <w:ind w:left="149"/>
              <w:rPr>
                <w:b/>
                <w:sz w:val="16"/>
              </w:rPr>
            </w:pPr>
            <w:r>
              <w:rPr>
                <w:b/>
                <w:sz w:val="16"/>
              </w:rPr>
              <w:t>$</w:t>
              <w:tab/>
              <w:t>583.00</w:t>
            </w:r>
          </w:p>
        </w:tc>
        <w:tc>
          <w:tcPr>
            <w:tcW w:w="1340" w:type="dxa"/>
          </w:tcPr>
          <w:p>
            <w:pPr>
              <w:pStyle w:val="TableParagraph"/>
              <w:spacing w:before="113"/>
              <w:ind w:left="107" w:right="102"/>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NASHOBA VALLEY MED CTR</w:t>
            </w:r>
          </w:p>
        </w:tc>
        <w:tc>
          <w:tcPr>
            <w:tcW w:w="1435" w:type="dxa"/>
          </w:tcPr>
          <w:p>
            <w:pPr>
              <w:pStyle w:val="TableParagraph"/>
              <w:tabs>
                <w:tab w:pos="557" w:val="left" w:leader="none"/>
              </w:tabs>
              <w:spacing w:before="113"/>
              <w:ind w:left="24"/>
              <w:jc w:val="center"/>
              <w:rPr>
                <w:b/>
                <w:sz w:val="16"/>
              </w:rPr>
            </w:pPr>
            <w:r>
              <w:rPr>
                <w:b/>
                <w:sz w:val="16"/>
              </w:rPr>
              <w:t>$</w:t>
              <w:tab/>
              <w:t>7,226.25</w:t>
            </w:r>
          </w:p>
        </w:tc>
        <w:tc>
          <w:tcPr>
            <w:tcW w:w="1568" w:type="dxa"/>
          </w:tcPr>
          <w:p>
            <w:pPr>
              <w:pStyle w:val="TableParagraph"/>
              <w:tabs>
                <w:tab w:pos="680" w:val="left" w:leader="none"/>
              </w:tabs>
              <w:spacing w:before="113"/>
              <w:ind w:left="147"/>
              <w:rPr>
                <w:b/>
                <w:sz w:val="16"/>
              </w:rPr>
            </w:pPr>
            <w:r>
              <w:rPr>
                <w:b/>
                <w:sz w:val="16"/>
              </w:rPr>
              <w:t>$</w:t>
              <w:tab/>
              <w:t>1,757.82</w:t>
            </w:r>
          </w:p>
        </w:tc>
        <w:tc>
          <w:tcPr>
            <w:tcW w:w="1567" w:type="dxa"/>
          </w:tcPr>
          <w:p>
            <w:pPr>
              <w:pStyle w:val="TableParagraph"/>
              <w:tabs>
                <w:tab w:pos="681" w:val="left" w:leader="none"/>
              </w:tabs>
              <w:spacing w:before="113"/>
              <w:ind w:left="148"/>
              <w:rPr>
                <w:b/>
                <w:sz w:val="16"/>
              </w:rPr>
            </w:pPr>
            <w:r>
              <w:rPr>
                <w:b/>
                <w:sz w:val="16"/>
              </w:rPr>
              <w:t>$</w:t>
              <w:tab/>
              <w:t>1,318.36</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NEW ENGLAND BAPTIST HOSPITAL</w:t>
            </w:r>
          </w:p>
        </w:tc>
        <w:tc>
          <w:tcPr>
            <w:tcW w:w="1435" w:type="dxa"/>
            <w:tcBorders>
              <w:bottom w:val="nil"/>
            </w:tcBorders>
          </w:tcPr>
          <w:p>
            <w:pPr>
              <w:pStyle w:val="TableParagraph"/>
              <w:tabs>
                <w:tab w:pos="469" w:val="left" w:leader="none"/>
              </w:tabs>
              <w:spacing w:before="113"/>
              <w:ind w:left="25"/>
              <w:jc w:val="center"/>
              <w:rPr>
                <w:b/>
                <w:sz w:val="16"/>
              </w:rPr>
            </w:pPr>
            <w:r>
              <w:rPr>
                <w:b/>
                <w:sz w:val="16"/>
              </w:rPr>
              <w:t>$</w:t>
              <w:tab/>
              <w:t>16,302.29</w:t>
            </w:r>
          </w:p>
        </w:tc>
        <w:tc>
          <w:tcPr>
            <w:tcW w:w="1568" w:type="dxa"/>
            <w:tcBorders>
              <w:bottom w:val="nil"/>
            </w:tcBorders>
          </w:tcPr>
          <w:p>
            <w:pPr>
              <w:pStyle w:val="TableParagraph"/>
              <w:tabs>
                <w:tab w:pos="680" w:val="left" w:leader="none"/>
              </w:tabs>
              <w:spacing w:before="113"/>
              <w:ind w:left="147"/>
              <w:rPr>
                <w:b/>
                <w:sz w:val="16"/>
              </w:rPr>
            </w:pPr>
            <w:r>
              <w:rPr>
                <w:b/>
                <w:sz w:val="16"/>
              </w:rPr>
              <w:t>$</w:t>
              <w:tab/>
              <w:t>3,766.82</w:t>
            </w:r>
          </w:p>
        </w:tc>
        <w:tc>
          <w:tcPr>
            <w:tcW w:w="1567" w:type="dxa"/>
            <w:tcBorders>
              <w:bottom w:val="nil"/>
            </w:tcBorders>
          </w:tcPr>
          <w:p>
            <w:pPr>
              <w:pStyle w:val="TableParagraph"/>
              <w:tabs>
                <w:tab w:pos="681" w:val="left" w:leader="none"/>
              </w:tabs>
              <w:spacing w:before="113"/>
              <w:ind w:left="148"/>
              <w:rPr>
                <w:b/>
                <w:sz w:val="16"/>
              </w:rPr>
            </w:pPr>
            <w:r>
              <w:rPr>
                <w:b/>
                <w:sz w:val="16"/>
              </w:rPr>
              <w:t>$</w:t>
              <w:tab/>
              <w:t>2,825.11</w:t>
            </w:r>
          </w:p>
        </w:tc>
        <w:tc>
          <w:tcPr>
            <w:tcW w:w="1340" w:type="dxa"/>
            <w:tcBorders>
              <w:bottom w:val="nil"/>
            </w:tcBorders>
          </w:tcPr>
          <w:p>
            <w:pPr>
              <w:pStyle w:val="TableParagraph"/>
              <w:spacing w:before="113"/>
              <w:ind w:left="107" w:right="104"/>
              <w:jc w:val="center"/>
              <w:rPr>
                <w:b/>
                <w:sz w:val="16"/>
              </w:rPr>
            </w:pPr>
            <w:r>
              <w:rPr>
                <w:b/>
                <w:sz w:val="16"/>
              </w:rPr>
              <w:t>not applicable</w:t>
            </w:r>
          </w:p>
        </w:tc>
        <w:tc>
          <w:tcPr>
            <w:tcW w:w="1464" w:type="dxa"/>
            <w:tcBorders>
              <w:bottom w:val="nil"/>
            </w:tcBorders>
          </w:tcPr>
          <w:p>
            <w:pPr>
              <w:pStyle w:val="TableParagraph"/>
              <w:spacing w:line="240" w:lineRule="auto"/>
              <w:rPr>
                <w:rFonts w:ascii="Times New Roman"/>
                <w:sz w:val="16"/>
              </w:rPr>
            </w:pPr>
          </w:p>
        </w:tc>
        <w:tc>
          <w:tcPr>
            <w:tcW w:w="1565" w:type="dxa"/>
            <w:tcBorders>
              <w:bottom w:val="nil"/>
            </w:tcBorders>
          </w:tcPr>
          <w:p>
            <w:pPr>
              <w:pStyle w:val="TableParagraph"/>
              <w:spacing w:line="240" w:lineRule="auto"/>
              <w:rPr>
                <w:rFonts w:ascii="Times New Roman"/>
                <w:sz w:val="16"/>
              </w:rPr>
            </w:pPr>
          </w:p>
        </w:tc>
        <w:tc>
          <w:tcPr>
            <w:tcW w:w="1565" w:type="dxa"/>
            <w:tcBorders>
              <w:bottom w:val="nil"/>
            </w:tcBorders>
          </w:tcPr>
          <w:p>
            <w:pPr>
              <w:pStyle w:val="TableParagraph"/>
              <w:spacing w:line="240" w:lineRule="auto"/>
              <w:rPr>
                <w:rFonts w:ascii="Times New Roman"/>
                <w:sz w:val="16"/>
              </w:rPr>
            </w:pPr>
          </w:p>
        </w:tc>
        <w:tc>
          <w:tcPr>
            <w:tcW w:w="1340" w:type="dxa"/>
            <w:tcBorders>
              <w:bottom w:val="nil"/>
            </w:tcBorders>
          </w:tcPr>
          <w:p>
            <w:pPr>
              <w:pStyle w:val="TableParagraph"/>
              <w:spacing w:before="113"/>
              <w:ind w:left="107" w:right="102"/>
              <w:jc w:val="center"/>
              <w:rPr>
                <w:b/>
                <w:sz w:val="16"/>
              </w:rPr>
            </w:pPr>
            <w:r>
              <w:rPr>
                <w:b/>
                <w:sz w:val="16"/>
              </w:rPr>
              <w:t>$258.90</w:t>
            </w:r>
          </w:p>
        </w:tc>
        <w:tc>
          <w:tcPr>
            <w:tcW w:w="1340" w:type="dxa"/>
            <w:tcBorders>
              <w:bottom w:val="nil"/>
            </w:tcBorders>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bl>
    <w:p>
      <w:pPr>
        <w:spacing w:after="0" w:line="240" w:lineRule="auto"/>
        <w:rPr>
          <w:rFonts w:ascii="Times New Roman"/>
          <w:sz w:val="16"/>
        </w:rPr>
        <w:sectPr>
          <w:pgSz w:w="20160" w:h="12240" w:orient="landscape"/>
          <w:pgMar w:header="0" w:footer="744" w:top="660" w:bottom="940" w:left="580" w:right="1320"/>
        </w:sectPr>
      </w:pPr>
    </w:p>
    <w:p>
      <w:pPr>
        <w:spacing w:before="60"/>
        <w:ind w:left="6896" w:right="6157" w:firstLine="0"/>
        <w:jc w:val="center"/>
        <w:rPr>
          <w:b/>
          <w:sz w:val="32"/>
        </w:rPr>
      </w:pPr>
      <w:r>
        <w:rPr>
          <w:b/>
          <w:sz w:val="32"/>
        </w:rPr>
        <w:t>Public Notice</w:t>
      </w:r>
    </w:p>
    <w:p>
      <w:pPr>
        <w:spacing w:before="120"/>
        <w:ind w:left="6898" w:right="6157" w:firstLine="0"/>
        <w:jc w:val="center"/>
        <w:rPr>
          <w:b/>
          <w:sz w:val="32"/>
        </w:rPr>
      </w:pPr>
      <w:r>
        <w:rPr>
          <w:b/>
          <w:sz w:val="32"/>
        </w:rPr>
        <w:t>RY 14 Acute Hospital Inpatient Rates</w:t>
      </w:r>
    </w:p>
    <w:p>
      <w:pPr>
        <w:spacing w:before="1"/>
        <w:ind w:left="6897" w:right="6157" w:firstLine="0"/>
        <w:jc w:val="center"/>
        <w:rPr>
          <w:rFonts w:ascii="Book Antiqua"/>
          <w:b/>
          <w:sz w:val="24"/>
        </w:rPr>
      </w:pPr>
      <w:r>
        <w:rPr>
          <w:rFonts w:ascii="Book Antiqua"/>
          <w:b/>
          <w:sz w:val="24"/>
        </w:rPr>
        <w:t>Effective 10/1/13</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435"/>
        <w:gridCol w:w="1568"/>
        <w:gridCol w:w="1567"/>
        <w:gridCol w:w="1340"/>
        <w:gridCol w:w="1464"/>
        <w:gridCol w:w="1565"/>
        <w:gridCol w:w="1565"/>
        <w:gridCol w:w="1340"/>
        <w:gridCol w:w="1340"/>
        <w:gridCol w:w="1567"/>
      </w:tblGrid>
      <w:tr>
        <w:trPr>
          <w:trHeight w:val="1480" w:hRule="atLeast"/>
        </w:trPr>
        <w:tc>
          <w:tcPr>
            <w:tcW w:w="326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515" w:right="448" w:firstLine="553"/>
              <w:rPr>
                <w:b/>
                <w:sz w:val="16"/>
              </w:rPr>
            </w:pPr>
            <w:r>
              <w:rPr>
                <w:b/>
                <w:sz w:val="16"/>
              </w:rPr>
              <w:t>Acute Hospital </w:t>
            </w:r>
            <w:r>
              <w:rPr>
                <w:b/>
                <w:w w:val="95"/>
                <w:sz w:val="16"/>
              </w:rPr>
              <w:t>Inpatient  Rates-HRY14-RFA14</w:t>
            </w:r>
          </w:p>
          <w:p>
            <w:pPr>
              <w:pStyle w:val="TableParagraph"/>
              <w:spacing w:line="240" w:lineRule="auto"/>
              <w:ind w:left="653" w:right="653"/>
              <w:jc w:val="center"/>
              <w:rPr>
                <w:b/>
                <w:sz w:val="16"/>
              </w:rPr>
            </w:pPr>
            <w:r>
              <w:rPr>
                <w:b/>
                <w:sz w:val="16"/>
              </w:rPr>
              <w:t>Effective October 1, 2013</w:t>
            </w:r>
          </w:p>
          <w:p>
            <w:pPr>
              <w:pStyle w:val="TableParagraph"/>
              <w:spacing w:line="240" w:lineRule="auto" w:before="11"/>
              <w:rPr>
                <w:rFonts w:ascii="Book Antiqua"/>
                <w:b/>
                <w:sz w:val="15"/>
              </w:rPr>
            </w:pPr>
          </w:p>
          <w:p>
            <w:pPr>
              <w:pStyle w:val="TableParagraph"/>
              <w:ind w:left="652" w:right="653"/>
              <w:jc w:val="center"/>
              <w:rPr>
                <w:b/>
                <w:sz w:val="16"/>
              </w:rPr>
            </w:pPr>
            <w:r>
              <w:rPr>
                <w:b/>
                <w:sz w:val="16"/>
              </w:rPr>
              <w:t>Hospital</w:t>
            </w:r>
          </w:p>
        </w:tc>
        <w:tc>
          <w:tcPr>
            <w:tcW w:w="143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
              <w:jc w:val="center"/>
              <w:rPr>
                <w:b/>
                <w:sz w:val="16"/>
              </w:rPr>
            </w:pPr>
            <w:r>
              <w:rPr>
                <w:b/>
                <w:sz w:val="16"/>
              </w:rPr>
              <w:t>Rate Code 25 UB92=X1</w:t>
            </w:r>
          </w:p>
          <w:p>
            <w:pPr>
              <w:pStyle w:val="TableParagraph"/>
              <w:spacing w:line="188" w:lineRule="exact"/>
              <w:ind w:left="179" w:right="178" w:firstLine="1"/>
              <w:jc w:val="center"/>
              <w:rPr>
                <w:b/>
                <w:sz w:val="16"/>
              </w:rPr>
            </w:pPr>
            <w:r>
              <w:rPr>
                <w:b/>
                <w:sz w:val="16"/>
              </w:rPr>
              <w:t>Standard Payment Amt per Discharge</w:t>
            </w:r>
          </w:p>
        </w:tc>
        <w:tc>
          <w:tcPr>
            <w:tcW w:w="1568"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50" w:right="249"/>
              <w:jc w:val="center"/>
              <w:rPr>
                <w:b/>
                <w:sz w:val="16"/>
              </w:rPr>
            </w:pPr>
            <w:r>
              <w:rPr>
                <w:b/>
                <w:sz w:val="16"/>
              </w:rPr>
              <w:t>Rate Code 61 UB92=X5</w:t>
            </w:r>
          </w:p>
          <w:p>
            <w:pPr>
              <w:pStyle w:val="TableParagraph"/>
              <w:spacing w:line="188" w:lineRule="exact"/>
              <w:ind w:left="250" w:right="249"/>
              <w:jc w:val="center"/>
              <w:rPr>
                <w:b/>
                <w:sz w:val="16"/>
              </w:rPr>
            </w:pPr>
            <w:r>
              <w:rPr>
                <w:b/>
                <w:sz w:val="16"/>
              </w:rPr>
              <w:t>Standard Transfer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50" w:right="248"/>
              <w:jc w:val="center"/>
              <w:rPr>
                <w:b/>
                <w:sz w:val="16"/>
              </w:rPr>
            </w:pPr>
            <w:r>
              <w:rPr>
                <w:b/>
                <w:sz w:val="16"/>
              </w:rPr>
              <w:t>Rate Code 28 UB92=X3</w:t>
            </w:r>
          </w:p>
          <w:p>
            <w:pPr>
              <w:pStyle w:val="TableParagraph"/>
              <w:spacing w:line="188" w:lineRule="exact"/>
              <w:ind w:left="250" w:right="248"/>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105" w:right="104"/>
              <w:jc w:val="center"/>
              <w:rPr>
                <w:b/>
                <w:sz w:val="16"/>
              </w:rPr>
            </w:pPr>
            <w:r>
              <w:rPr>
                <w:b/>
                <w:sz w:val="16"/>
              </w:rPr>
              <w:t>Rate Code 90 UB92=Y4</w:t>
            </w:r>
          </w:p>
          <w:p>
            <w:pPr>
              <w:pStyle w:val="TableParagraph"/>
              <w:spacing w:line="188" w:lineRule="exact"/>
              <w:ind w:left="159" w:right="158" w:firstLine="1"/>
              <w:jc w:val="center"/>
              <w:rPr>
                <w:b/>
                <w:sz w:val="16"/>
              </w:rPr>
            </w:pPr>
            <w:r>
              <w:rPr>
                <w:b/>
                <w:sz w:val="16"/>
              </w:rPr>
              <w:t>Mental Health Payment</w:t>
            </w:r>
            <w:r>
              <w:rPr>
                <w:b/>
                <w:spacing w:val="-19"/>
                <w:sz w:val="16"/>
              </w:rPr>
              <w:t> </w:t>
            </w:r>
            <w:r>
              <w:rPr>
                <w:b/>
                <w:sz w:val="16"/>
              </w:rPr>
              <w:t>Amt</w:t>
            </w:r>
          </w:p>
        </w:tc>
        <w:tc>
          <w:tcPr>
            <w:tcW w:w="1464"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21" w:right="219"/>
              <w:jc w:val="center"/>
              <w:rPr>
                <w:b/>
                <w:sz w:val="16"/>
              </w:rPr>
            </w:pPr>
            <w:r>
              <w:rPr>
                <w:b/>
                <w:sz w:val="16"/>
              </w:rPr>
              <w:t>Rate Code 27 UB92=X1</w:t>
            </w:r>
          </w:p>
          <w:p>
            <w:pPr>
              <w:pStyle w:val="TableParagraph"/>
              <w:spacing w:line="188" w:lineRule="exact"/>
              <w:ind w:left="194" w:right="193" w:firstLine="1"/>
              <w:jc w:val="center"/>
              <w:rPr>
                <w:b/>
                <w:sz w:val="16"/>
              </w:rPr>
            </w:pPr>
            <w:r>
              <w:rPr>
                <w:b/>
                <w:sz w:val="16"/>
              </w:rPr>
              <w:t>Standard Payment Amt per</w:t>
            </w:r>
            <w:r>
              <w:rPr>
                <w:b/>
                <w:spacing w:val="-4"/>
                <w:sz w:val="16"/>
              </w:rPr>
              <w:t> </w:t>
            </w:r>
            <w:r>
              <w:rPr>
                <w:b/>
                <w:sz w:val="16"/>
              </w:rPr>
              <w:t>Discharge</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49" w:right="247"/>
              <w:jc w:val="center"/>
              <w:rPr>
                <w:b/>
                <w:sz w:val="16"/>
              </w:rPr>
            </w:pPr>
            <w:r>
              <w:rPr>
                <w:b/>
                <w:sz w:val="16"/>
              </w:rPr>
              <w:t>Rate Code 63 UB92=X5</w:t>
            </w:r>
          </w:p>
          <w:p>
            <w:pPr>
              <w:pStyle w:val="TableParagraph"/>
              <w:spacing w:line="188" w:lineRule="exact"/>
              <w:ind w:left="249" w:right="247"/>
              <w:jc w:val="center"/>
              <w:rPr>
                <w:b/>
                <w:sz w:val="16"/>
              </w:rPr>
            </w:pPr>
            <w:r>
              <w:rPr>
                <w:b/>
                <w:sz w:val="16"/>
              </w:rPr>
              <w:t>Standard Transfer Payment Amt</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4" w:lineRule="auto" w:before="126"/>
              <w:ind w:left="249" w:right="247"/>
              <w:jc w:val="center"/>
              <w:rPr>
                <w:b/>
                <w:sz w:val="16"/>
              </w:rPr>
            </w:pPr>
            <w:r>
              <w:rPr>
                <w:b/>
                <w:sz w:val="16"/>
              </w:rPr>
              <w:t>Rate Code 29 UB92=X3</w:t>
            </w:r>
          </w:p>
          <w:p>
            <w:pPr>
              <w:pStyle w:val="TableParagraph"/>
              <w:spacing w:line="188" w:lineRule="exact"/>
              <w:ind w:left="249" w:right="247"/>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4" w:lineRule="auto" w:before="155"/>
              <w:ind w:left="105" w:right="104"/>
              <w:jc w:val="center"/>
              <w:rPr>
                <w:b/>
                <w:sz w:val="16"/>
              </w:rPr>
            </w:pPr>
            <w:r>
              <w:rPr>
                <w:b/>
                <w:sz w:val="16"/>
              </w:rPr>
              <w:t>Rate Code 84 UB92=Y1</w:t>
            </w:r>
          </w:p>
          <w:p>
            <w:pPr>
              <w:pStyle w:val="TableParagraph"/>
              <w:spacing w:line="188" w:lineRule="exact"/>
              <w:ind w:left="152" w:right="151" w:firstLine="1"/>
              <w:jc w:val="center"/>
              <w:rPr>
                <w:b/>
                <w:sz w:val="16"/>
              </w:rPr>
            </w:pPr>
            <w:r>
              <w:rPr>
                <w:b/>
                <w:sz w:val="16"/>
              </w:rPr>
              <w:t>MassHealth w/Medicare B</w:t>
            </w:r>
            <w:r>
              <w:rPr>
                <w:b/>
                <w:w w:val="99"/>
                <w:sz w:val="16"/>
              </w:rPr>
              <w:t> </w:t>
            </w:r>
            <w:r>
              <w:rPr>
                <w:b/>
                <w:sz w:val="16"/>
              </w:rPr>
              <w:t>AD payment Amt</w:t>
            </w:r>
          </w:p>
        </w:tc>
        <w:tc>
          <w:tcPr>
            <w:tcW w:w="1340" w:type="dxa"/>
          </w:tcPr>
          <w:p>
            <w:pPr>
              <w:pStyle w:val="TableParagraph"/>
              <w:spacing w:line="240" w:lineRule="auto"/>
              <w:rPr>
                <w:rFonts w:ascii="Book Antiqua"/>
                <w:b/>
                <w:sz w:val="18"/>
              </w:rPr>
            </w:pPr>
          </w:p>
          <w:p>
            <w:pPr>
              <w:pStyle w:val="TableParagraph"/>
              <w:spacing w:line="244" w:lineRule="auto" w:before="155"/>
              <w:ind w:left="105" w:right="104"/>
              <w:jc w:val="center"/>
              <w:rPr>
                <w:b/>
                <w:sz w:val="16"/>
              </w:rPr>
            </w:pPr>
            <w:r>
              <w:rPr>
                <w:b/>
                <w:sz w:val="16"/>
              </w:rPr>
              <w:t>Rate Code 85 UB92=Y2</w:t>
            </w:r>
          </w:p>
          <w:p>
            <w:pPr>
              <w:pStyle w:val="TableParagraph"/>
              <w:spacing w:line="244" w:lineRule="auto" w:before="1"/>
              <w:ind w:left="106" w:right="104"/>
              <w:jc w:val="center"/>
              <w:rPr>
                <w:b/>
                <w:sz w:val="16"/>
              </w:rPr>
            </w:pPr>
            <w:r>
              <w:rPr>
                <w:b/>
                <w:sz w:val="16"/>
              </w:rPr>
              <w:t>MassHealth Only</w:t>
            </w:r>
          </w:p>
          <w:p>
            <w:pPr>
              <w:pStyle w:val="TableParagraph"/>
              <w:spacing w:line="188" w:lineRule="exact"/>
              <w:ind w:left="105" w:right="104"/>
              <w:jc w:val="center"/>
              <w:rPr>
                <w:b/>
                <w:sz w:val="16"/>
              </w:rPr>
            </w:pPr>
            <w:r>
              <w:rPr>
                <w:b/>
                <w:sz w:val="16"/>
              </w:rPr>
              <w:t>AD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before="126"/>
              <w:ind w:left="248" w:right="248"/>
              <w:jc w:val="center"/>
              <w:rPr>
                <w:b/>
                <w:sz w:val="16"/>
              </w:rPr>
            </w:pPr>
            <w:r>
              <w:rPr>
                <w:b/>
                <w:sz w:val="16"/>
              </w:rPr>
              <w:t>Rate Code 71</w:t>
            </w:r>
          </w:p>
          <w:p>
            <w:pPr>
              <w:pStyle w:val="TableParagraph"/>
              <w:spacing w:line="240" w:lineRule="auto"/>
              <w:rPr>
                <w:rFonts w:ascii="Book Antiqua"/>
                <w:b/>
                <w:sz w:val="18"/>
              </w:rPr>
            </w:pPr>
          </w:p>
          <w:p>
            <w:pPr>
              <w:pStyle w:val="TableParagraph"/>
              <w:spacing w:line="190" w:lineRule="atLeast" w:before="157"/>
              <w:ind w:left="433" w:right="429" w:hanging="2"/>
              <w:jc w:val="center"/>
              <w:rPr>
                <w:b/>
                <w:sz w:val="16"/>
              </w:rPr>
            </w:pPr>
            <w:r>
              <w:rPr>
                <w:b/>
                <w:sz w:val="16"/>
              </w:rPr>
              <w:t>Rehab Per Diem</w:t>
            </w:r>
          </w:p>
        </w:tc>
      </w:tr>
      <w:tr>
        <w:trPr>
          <w:trHeight w:val="277" w:hRule="atLeast"/>
        </w:trPr>
        <w:tc>
          <w:tcPr>
            <w:tcW w:w="3260" w:type="dxa"/>
          </w:tcPr>
          <w:p>
            <w:pPr>
              <w:pStyle w:val="TableParagraph"/>
              <w:spacing w:before="111"/>
              <w:ind w:left="102"/>
              <w:rPr>
                <w:b/>
                <w:sz w:val="16"/>
              </w:rPr>
            </w:pPr>
            <w:r>
              <w:rPr>
                <w:b/>
                <w:sz w:val="16"/>
              </w:rPr>
              <w:t>TUFTS MEDICAL CTR</w:t>
            </w:r>
          </w:p>
        </w:tc>
        <w:tc>
          <w:tcPr>
            <w:tcW w:w="1435" w:type="dxa"/>
          </w:tcPr>
          <w:p>
            <w:pPr>
              <w:pStyle w:val="TableParagraph"/>
              <w:tabs>
                <w:tab w:pos="470" w:val="left" w:leader="none"/>
              </w:tabs>
              <w:spacing w:before="111"/>
              <w:ind w:left="26"/>
              <w:jc w:val="center"/>
              <w:rPr>
                <w:b/>
                <w:sz w:val="16"/>
              </w:rPr>
            </w:pPr>
            <w:r>
              <w:rPr>
                <w:b/>
                <w:sz w:val="16"/>
              </w:rPr>
              <w:t>$</w:t>
              <w:tab/>
              <w:t>12,343.48</w:t>
            </w:r>
          </w:p>
        </w:tc>
        <w:tc>
          <w:tcPr>
            <w:tcW w:w="1568" w:type="dxa"/>
          </w:tcPr>
          <w:p>
            <w:pPr>
              <w:pStyle w:val="TableParagraph"/>
              <w:tabs>
                <w:tab w:pos="681" w:val="left" w:leader="none"/>
              </w:tabs>
              <w:spacing w:before="111"/>
              <w:ind w:left="148"/>
              <w:rPr>
                <w:b/>
                <w:sz w:val="16"/>
              </w:rPr>
            </w:pPr>
            <w:r>
              <w:rPr>
                <w:b/>
                <w:sz w:val="16"/>
              </w:rPr>
              <w:t>$</w:t>
              <w:tab/>
              <w:t>2,819.48</w:t>
            </w:r>
          </w:p>
        </w:tc>
        <w:tc>
          <w:tcPr>
            <w:tcW w:w="1567" w:type="dxa"/>
          </w:tcPr>
          <w:p>
            <w:pPr>
              <w:pStyle w:val="TableParagraph"/>
              <w:tabs>
                <w:tab w:pos="682" w:val="left" w:leader="none"/>
              </w:tabs>
              <w:spacing w:before="111"/>
              <w:ind w:left="149"/>
              <w:rPr>
                <w:b/>
                <w:sz w:val="16"/>
              </w:rPr>
            </w:pPr>
            <w:r>
              <w:rPr>
                <w:b/>
                <w:sz w:val="16"/>
              </w:rPr>
              <w:t>$</w:t>
              <w:tab/>
              <w:t>2,114.61</w:t>
            </w:r>
          </w:p>
        </w:tc>
        <w:tc>
          <w:tcPr>
            <w:tcW w:w="1340" w:type="dxa"/>
          </w:tcPr>
          <w:p>
            <w:pPr>
              <w:pStyle w:val="TableParagraph"/>
              <w:spacing w:before="111"/>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7" w:right="104"/>
              <w:jc w:val="center"/>
              <w:rPr>
                <w:b/>
                <w:sz w:val="16"/>
              </w:rPr>
            </w:pPr>
            <w:r>
              <w:rPr>
                <w:b/>
                <w:sz w:val="16"/>
              </w:rPr>
              <w:t>$258.90</w:t>
            </w:r>
          </w:p>
        </w:tc>
        <w:tc>
          <w:tcPr>
            <w:tcW w:w="1340" w:type="dxa"/>
          </w:tcPr>
          <w:p>
            <w:pPr>
              <w:pStyle w:val="TableParagraph"/>
              <w:spacing w:before="111"/>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TUFTS MEDICAL CTR-Pediatric</w:t>
            </w:r>
          </w:p>
        </w:tc>
        <w:tc>
          <w:tcPr>
            <w:tcW w:w="1435" w:type="dxa"/>
          </w:tcPr>
          <w:p>
            <w:pPr>
              <w:pStyle w:val="TableParagraph"/>
              <w:spacing w:line="240" w:lineRule="auto"/>
              <w:rPr>
                <w:rFonts w:ascii="Times New Roman"/>
                <w:sz w:val="16"/>
              </w:rPr>
            </w:pPr>
          </w:p>
        </w:tc>
        <w:tc>
          <w:tcPr>
            <w:tcW w:w="1568" w:type="dxa"/>
          </w:tcPr>
          <w:p>
            <w:pPr>
              <w:pStyle w:val="TableParagraph"/>
              <w:spacing w:line="240" w:lineRule="auto"/>
              <w:rPr>
                <w:rFonts w:ascii="Times New Roman"/>
                <w:sz w:val="16"/>
              </w:rPr>
            </w:pPr>
          </w:p>
        </w:tc>
        <w:tc>
          <w:tcPr>
            <w:tcW w:w="1567" w:type="dxa"/>
          </w:tcPr>
          <w:p>
            <w:pPr>
              <w:pStyle w:val="TableParagraph"/>
              <w:spacing w:line="240" w:lineRule="auto"/>
              <w:rPr>
                <w:rFonts w:ascii="Times New Roman"/>
                <w:sz w:val="16"/>
              </w:rPr>
            </w:pPr>
          </w:p>
        </w:tc>
        <w:tc>
          <w:tcPr>
            <w:tcW w:w="1340" w:type="dxa"/>
          </w:tcPr>
          <w:p>
            <w:pPr>
              <w:pStyle w:val="TableParagraph"/>
              <w:spacing w:before="113"/>
              <w:ind w:left="104" w:right="104"/>
              <w:jc w:val="center"/>
              <w:rPr>
                <w:b/>
                <w:sz w:val="16"/>
              </w:rPr>
            </w:pPr>
            <w:r>
              <w:rPr>
                <w:b/>
                <w:sz w:val="16"/>
              </w:rPr>
              <w:t>$856.05</w:t>
            </w:r>
          </w:p>
        </w:tc>
        <w:tc>
          <w:tcPr>
            <w:tcW w:w="1464" w:type="dxa"/>
          </w:tcPr>
          <w:p>
            <w:pPr>
              <w:pStyle w:val="TableParagraph"/>
              <w:tabs>
                <w:tab w:pos="591" w:val="left" w:leader="none"/>
              </w:tabs>
              <w:spacing w:before="113"/>
              <w:ind w:left="147"/>
              <w:rPr>
                <w:b/>
                <w:sz w:val="16"/>
              </w:rPr>
            </w:pPr>
            <w:r>
              <w:rPr>
                <w:b/>
                <w:sz w:val="16"/>
              </w:rPr>
              <w:t>$</w:t>
              <w:tab/>
              <w:t>16,707.44</w:t>
            </w:r>
          </w:p>
        </w:tc>
        <w:tc>
          <w:tcPr>
            <w:tcW w:w="1565" w:type="dxa"/>
          </w:tcPr>
          <w:p>
            <w:pPr>
              <w:pStyle w:val="TableParagraph"/>
              <w:tabs>
                <w:tab w:pos="681" w:val="left" w:leader="none"/>
              </w:tabs>
              <w:spacing w:before="113"/>
              <w:ind w:left="148"/>
              <w:rPr>
                <w:b/>
                <w:sz w:val="16"/>
              </w:rPr>
            </w:pPr>
            <w:r>
              <w:rPr>
                <w:b/>
                <w:sz w:val="16"/>
              </w:rPr>
              <w:t>$</w:t>
              <w:tab/>
              <w:t>3,668.88</w:t>
            </w:r>
          </w:p>
        </w:tc>
        <w:tc>
          <w:tcPr>
            <w:tcW w:w="1565" w:type="dxa"/>
          </w:tcPr>
          <w:p>
            <w:pPr>
              <w:pStyle w:val="TableParagraph"/>
              <w:tabs>
                <w:tab w:pos="682" w:val="left" w:leader="none"/>
              </w:tabs>
              <w:spacing w:before="113"/>
              <w:ind w:left="148"/>
              <w:rPr>
                <w:b/>
                <w:sz w:val="16"/>
              </w:rPr>
            </w:pPr>
            <w:r>
              <w:rPr>
                <w:b/>
                <w:sz w:val="16"/>
              </w:rPr>
              <w:t>$</w:t>
              <w:tab/>
              <w:t>2,751.66</w:t>
            </w: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NEWTON-WELLESLEY HOSPITAL</w:t>
            </w:r>
          </w:p>
        </w:tc>
        <w:tc>
          <w:tcPr>
            <w:tcW w:w="1435" w:type="dxa"/>
          </w:tcPr>
          <w:p>
            <w:pPr>
              <w:pStyle w:val="TableParagraph"/>
              <w:tabs>
                <w:tab w:pos="560" w:val="left" w:leader="none"/>
              </w:tabs>
              <w:spacing w:before="113"/>
              <w:ind w:left="26"/>
              <w:jc w:val="center"/>
              <w:rPr>
                <w:b/>
                <w:sz w:val="16"/>
              </w:rPr>
            </w:pPr>
            <w:r>
              <w:rPr>
                <w:b/>
                <w:sz w:val="16"/>
              </w:rPr>
              <w:t>$</w:t>
              <w:tab/>
              <w:t>6,063.48</w:t>
            </w:r>
          </w:p>
        </w:tc>
        <w:tc>
          <w:tcPr>
            <w:tcW w:w="1568" w:type="dxa"/>
          </w:tcPr>
          <w:p>
            <w:pPr>
              <w:pStyle w:val="TableParagraph"/>
              <w:tabs>
                <w:tab w:pos="682" w:val="left" w:leader="none"/>
              </w:tabs>
              <w:spacing w:before="113"/>
              <w:ind w:left="149"/>
              <w:rPr>
                <w:b/>
                <w:sz w:val="16"/>
              </w:rPr>
            </w:pPr>
            <w:r>
              <w:rPr>
                <w:b/>
                <w:sz w:val="16"/>
              </w:rPr>
              <w:t>$</w:t>
              <w:tab/>
              <w:t>1,406.61</w:t>
            </w:r>
          </w:p>
        </w:tc>
        <w:tc>
          <w:tcPr>
            <w:tcW w:w="1567" w:type="dxa"/>
          </w:tcPr>
          <w:p>
            <w:pPr>
              <w:pStyle w:val="TableParagraph"/>
              <w:tabs>
                <w:tab w:pos="683" w:val="left" w:leader="none"/>
              </w:tabs>
              <w:spacing w:before="113"/>
              <w:ind w:left="149"/>
              <w:rPr>
                <w:b/>
                <w:sz w:val="16"/>
              </w:rPr>
            </w:pPr>
            <w:r>
              <w:rPr>
                <w:b/>
                <w:sz w:val="16"/>
              </w:rPr>
              <w:t>$</w:t>
              <w:tab/>
              <w:t>1,054.96</w:t>
            </w:r>
          </w:p>
        </w:tc>
        <w:tc>
          <w:tcPr>
            <w:tcW w:w="1340" w:type="dxa"/>
          </w:tcPr>
          <w:p>
            <w:pPr>
              <w:pStyle w:val="TableParagraph"/>
              <w:spacing w:before="113"/>
              <w:ind w:left="107" w:right="101"/>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0"/>
              <w:jc w:val="center"/>
              <w:rPr>
                <w:b/>
                <w:sz w:val="16"/>
              </w:rPr>
            </w:pPr>
            <w:r>
              <w:rPr>
                <w:b/>
                <w:sz w:val="16"/>
              </w:rPr>
              <w:t>$258.90</w:t>
            </w:r>
          </w:p>
        </w:tc>
        <w:tc>
          <w:tcPr>
            <w:tcW w:w="1340" w:type="dxa"/>
          </w:tcPr>
          <w:p>
            <w:pPr>
              <w:pStyle w:val="TableParagraph"/>
              <w:spacing w:before="113"/>
              <w:ind w:left="107" w:right="100"/>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NOBLE HOSPITAL</w:t>
            </w:r>
          </w:p>
        </w:tc>
        <w:tc>
          <w:tcPr>
            <w:tcW w:w="1435" w:type="dxa"/>
          </w:tcPr>
          <w:p>
            <w:pPr>
              <w:pStyle w:val="TableParagraph"/>
              <w:tabs>
                <w:tab w:pos="560" w:val="left" w:leader="none"/>
              </w:tabs>
              <w:spacing w:before="113"/>
              <w:ind w:left="27"/>
              <w:jc w:val="center"/>
              <w:rPr>
                <w:b/>
                <w:sz w:val="16"/>
              </w:rPr>
            </w:pPr>
            <w:r>
              <w:rPr>
                <w:b/>
                <w:sz w:val="16"/>
              </w:rPr>
              <w:t>$</w:t>
              <w:tab/>
              <w:t>6,176.27</w:t>
            </w:r>
          </w:p>
        </w:tc>
        <w:tc>
          <w:tcPr>
            <w:tcW w:w="1568" w:type="dxa"/>
          </w:tcPr>
          <w:p>
            <w:pPr>
              <w:pStyle w:val="TableParagraph"/>
              <w:tabs>
                <w:tab w:pos="682" w:val="left" w:leader="none"/>
              </w:tabs>
              <w:spacing w:before="113"/>
              <w:ind w:left="149"/>
              <w:rPr>
                <w:b/>
                <w:sz w:val="16"/>
              </w:rPr>
            </w:pPr>
            <w:r>
              <w:rPr>
                <w:b/>
                <w:sz w:val="16"/>
              </w:rPr>
              <w:t>$</w:t>
              <w:tab/>
              <w:t>1,431.17</w:t>
            </w:r>
          </w:p>
        </w:tc>
        <w:tc>
          <w:tcPr>
            <w:tcW w:w="1567" w:type="dxa"/>
          </w:tcPr>
          <w:p>
            <w:pPr>
              <w:pStyle w:val="TableParagraph"/>
              <w:tabs>
                <w:tab w:pos="682" w:val="left" w:leader="none"/>
              </w:tabs>
              <w:spacing w:before="113"/>
              <w:ind w:left="149"/>
              <w:rPr>
                <w:b/>
                <w:sz w:val="16"/>
              </w:rPr>
            </w:pPr>
            <w:r>
              <w:rPr>
                <w:b/>
                <w:sz w:val="16"/>
              </w:rPr>
              <w:t>$</w:t>
              <w:tab/>
              <w:t>1,073.38</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tabs>
                <w:tab w:pos="813" w:val="left" w:leader="none"/>
              </w:tabs>
              <w:spacing w:before="113"/>
              <w:ind w:left="149"/>
              <w:rPr>
                <w:b/>
                <w:sz w:val="16"/>
              </w:rPr>
            </w:pPr>
            <w:r>
              <w:rPr>
                <w:b/>
                <w:sz w:val="16"/>
              </w:rPr>
              <w:t>$</w:t>
              <w:tab/>
              <w:t>741.89</w:t>
            </w:r>
          </w:p>
        </w:tc>
      </w:tr>
      <w:tr>
        <w:trPr>
          <w:trHeight w:val="280" w:hRule="atLeast"/>
        </w:trPr>
        <w:tc>
          <w:tcPr>
            <w:tcW w:w="3260" w:type="dxa"/>
          </w:tcPr>
          <w:p>
            <w:pPr>
              <w:pStyle w:val="TableParagraph"/>
              <w:spacing w:before="113"/>
              <w:ind w:left="102"/>
              <w:rPr>
                <w:b/>
                <w:sz w:val="16"/>
              </w:rPr>
            </w:pPr>
            <w:r>
              <w:rPr>
                <w:b/>
                <w:sz w:val="16"/>
              </w:rPr>
              <w:t>NORTH ADAMS HOSPITAL</w:t>
            </w:r>
          </w:p>
        </w:tc>
        <w:tc>
          <w:tcPr>
            <w:tcW w:w="1435" w:type="dxa"/>
          </w:tcPr>
          <w:p>
            <w:pPr>
              <w:pStyle w:val="TableParagraph"/>
              <w:tabs>
                <w:tab w:pos="560" w:val="left" w:leader="none"/>
              </w:tabs>
              <w:spacing w:before="113"/>
              <w:ind w:left="27"/>
              <w:jc w:val="center"/>
              <w:rPr>
                <w:b/>
                <w:sz w:val="16"/>
              </w:rPr>
            </w:pPr>
            <w:r>
              <w:rPr>
                <w:b/>
                <w:sz w:val="16"/>
              </w:rPr>
              <w:t>$</w:t>
              <w:tab/>
              <w:t>5,682.46</w:t>
            </w:r>
          </w:p>
        </w:tc>
        <w:tc>
          <w:tcPr>
            <w:tcW w:w="1568" w:type="dxa"/>
          </w:tcPr>
          <w:p>
            <w:pPr>
              <w:pStyle w:val="TableParagraph"/>
              <w:tabs>
                <w:tab w:pos="682" w:val="left" w:leader="none"/>
              </w:tabs>
              <w:spacing w:before="113"/>
              <w:ind w:left="149"/>
              <w:rPr>
                <w:b/>
                <w:sz w:val="16"/>
              </w:rPr>
            </w:pPr>
            <w:r>
              <w:rPr>
                <w:b/>
                <w:sz w:val="16"/>
              </w:rPr>
              <w:t>$</w:t>
              <w:tab/>
              <w:t>1,330.84</w:t>
            </w:r>
          </w:p>
        </w:tc>
        <w:tc>
          <w:tcPr>
            <w:tcW w:w="1567" w:type="dxa"/>
          </w:tcPr>
          <w:p>
            <w:pPr>
              <w:pStyle w:val="TableParagraph"/>
              <w:tabs>
                <w:tab w:pos="815" w:val="left" w:leader="none"/>
              </w:tabs>
              <w:spacing w:before="113"/>
              <w:ind w:left="149"/>
              <w:rPr>
                <w:b/>
                <w:sz w:val="16"/>
              </w:rPr>
            </w:pPr>
            <w:r>
              <w:rPr>
                <w:b/>
                <w:sz w:val="16"/>
              </w:rPr>
              <w:t>$</w:t>
              <w:tab/>
              <w:t>998.13</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NORTH SHORE MEDICAL CENTER</w:t>
            </w:r>
          </w:p>
        </w:tc>
        <w:tc>
          <w:tcPr>
            <w:tcW w:w="1435" w:type="dxa"/>
          </w:tcPr>
          <w:p>
            <w:pPr>
              <w:pStyle w:val="TableParagraph"/>
              <w:tabs>
                <w:tab w:pos="559" w:val="left" w:leader="none"/>
              </w:tabs>
              <w:spacing w:before="113"/>
              <w:ind w:left="26"/>
              <w:jc w:val="center"/>
              <w:rPr>
                <w:b/>
                <w:sz w:val="16"/>
              </w:rPr>
            </w:pPr>
            <w:r>
              <w:rPr>
                <w:b/>
                <w:sz w:val="16"/>
              </w:rPr>
              <w:t>$</w:t>
              <w:tab/>
              <w:t>6,905.57</w:t>
            </w:r>
          </w:p>
        </w:tc>
        <w:tc>
          <w:tcPr>
            <w:tcW w:w="1568" w:type="dxa"/>
          </w:tcPr>
          <w:p>
            <w:pPr>
              <w:pStyle w:val="TableParagraph"/>
              <w:tabs>
                <w:tab w:pos="681" w:val="left" w:leader="none"/>
              </w:tabs>
              <w:spacing w:before="113"/>
              <w:ind w:left="148"/>
              <w:rPr>
                <w:b/>
                <w:sz w:val="16"/>
              </w:rPr>
            </w:pPr>
            <w:r>
              <w:rPr>
                <w:b/>
                <w:sz w:val="16"/>
              </w:rPr>
              <w:t>$</w:t>
              <w:tab/>
              <w:t>1,593.01</w:t>
            </w:r>
          </w:p>
        </w:tc>
        <w:tc>
          <w:tcPr>
            <w:tcW w:w="1567" w:type="dxa"/>
          </w:tcPr>
          <w:p>
            <w:pPr>
              <w:pStyle w:val="TableParagraph"/>
              <w:tabs>
                <w:tab w:pos="682" w:val="left" w:leader="none"/>
              </w:tabs>
              <w:spacing w:before="113"/>
              <w:ind w:left="149"/>
              <w:rPr>
                <w:b/>
                <w:sz w:val="16"/>
              </w:rPr>
            </w:pPr>
            <w:r>
              <w:rPr>
                <w:b/>
                <w:sz w:val="16"/>
              </w:rPr>
              <w:t>$</w:t>
              <w:tab/>
              <w:t>1,194.76</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NORWOOD HOSPITAL</w:t>
            </w:r>
          </w:p>
        </w:tc>
        <w:tc>
          <w:tcPr>
            <w:tcW w:w="1435" w:type="dxa"/>
          </w:tcPr>
          <w:p>
            <w:pPr>
              <w:pStyle w:val="TableParagraph"/>
              <w:tabs>
                <w:tab w:pos="561" w:val="left" w:leader="none"/>
              </w:tabs>
              <w:spacing w:before="113"/>
              <w:ind w:left="28"/>
              <w:jc w:val="center"/>
              <w:rPr>
                <w:b/>
                <w:sz w:val="16"/>
              </w:rPr>
            </w:pPr>
            <w:r>
              <w:rPr>
                <w:b/>
                <w:sz w:val="16"/>
              </w:rPr>
              <w:t>$</w:t>
              <w:tab/>
              <w:t>6,186.57</w:t>
            </w:r>
          </w:p>
        </w:tc>
        <w:tc>
          <w:tcPr>
            <w:tcW w:w="1568" w:type="dxa"/>
          </w:tcPr>
          <w:p>
            <w:pPr>
              <w:pStyle w:val="TableParagraph"/>
              <w:tabs>
                <w:tab w:pos="682" w:val="left" w:leader="none"/>
              </w:tabs>
              <w:spacing w:before="113"/>
              <w:ind w:left="149"/>
              <w:rPr>
                <w:b/>
                <w:sz w:val="16"/>
              </w:rPr>
            </w:pPr>
            <w:r>
              <w:rPr>
                <w:b/>
                <w:sz w:val="16"/>
              </w:rPr>
              <w:t>$</w:t>
              <w:tab/>
              <w:t>1,433.06</w:t>
            </w:r>
          </w:p>
        </w:tc>
        <w:tc>
          <w:tcPr>
            <w:tcW w:w="1567" w:type="dxa"/>
          </w:tcPr>
          <w:p>
            <w:pPr>
              <w:pStyle w:val="TableParagraph"/>
              <w:tabs>
                <w:tab w:pos="682" w:val="left" w:leader="none"/>
              </w:tabs>
              <w:spacing w:before="113"/>
              <w:ind w:left="149"/>
              <w:rPr>
                <w:b/>
                <w:sz w:val="16"/>
              </w:rPr>
            </w:pPr>
            <w:r>
              <w:rPr>
                <w:b/>
                <w:sz w:val="16"/>
              </w:rPr>
              <w:t>$</w:t>
              <w:tab/>
              <w:t>1,074.79</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QUINCY MEDICAL CENTER</w:t>
            </w:r>
          </w:p>
        </w:tc>
        <w:tc>
          <w:tcPr>
            <w:tcW w:w="1435" w:type="dxa"/>
          </w:tcPr>
          <w:p>
            <w:pPr>
              <w:pStyle w:val="TableParagraph"/>
              <w:tabs>
                <w:tab w:pos="557" w:val="left" w:leader="none"/>
              </w:tabs>
              <w:spacing w:before="113"/>
              <w:ind w:left="24"/>
              <w:jc w:val="center"/>
              <w:rPr>
                <w:b/>
                <w:sz w:val="16"/>
              </w:rPr>
            </w:pPr>
            <w:r>
              <w:rPr>
                <w:b/>
                <w:sz w:val="16"/>
              </w:rPr>
              <w:t>$</w:t>
              <w:tab/>
              <w:t>7,984.61</w:t>
            </w:r>
          </w:p>
        </w:tc>
        <w:tc>
          <w:tcPr>
            <w:tcW w:w="1568" w:type="dxa"/>
          </w:tcPr>
          <w:p>
            <w:pPr>
              <w:pStyle w:val="TableParagraph"/>
              <w:tabs>
                <w:tab w:pos="680" w:val="left" w:leader="none"/>
              </w:tabs>
              <w:spacing w:before="113"/>
              <w:ind w:left="147"/>
              <w:rPr>
                <w:b/>
                <w:sz w:val="16"/>
              </w:rPr>
            </w:pPr>
            <w:r>
              <w:rPr>
                <w:b/>
                <w:sz w:val="16"/>
              </w:rPr>
              <w:t>$</w:t>
              <w:tab/>
              <w:t>1,838.49</w:t>
            </w:r>
          </w:p>
        </w:tc>
        <w:tc>
          <w:tcPr>
            <w:tcW w:w="1567" w:type="dxa"/>
          </w:tcPr>
          <w:p>
            <w:pPr>
              <w:pStyle w:val="TableParagraph"/>
              <w:tabs>
                <w:tab w:pos="681" w:val="left" w:leader="none"/>
              </w:tabs>
              <w:spacing w:before="113"/>
              <w:ind w:left="148"/>
              <w:rPr>
                <w:b/>
                <w:sz w:val="16"/>
              </w:rPr>
            </w:pPr>
            <w:r>
              <w:rPr>
                <w:b/>
                <w:sz w:val="16"/>
              </w:rPr>
              <w:t>$</w:t>
              <w:tab/>
              <w:t>1,378.87</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Shriners-Boston</w:t>
            </w:r>
          </w:p>
        </w:tc>
        <w:tc>
          <w:tcPr>
            <w:tcW w:w="1435" w:type="dxa"/>
          </w:tcPr>
          <w:p>
            <w:pPr>
              <w:pStyle w:val="TableParagraph"/>
              <w:tabs>
                <w:tab w:pos="470" w:val="left" w:leader="none"/>
              </w:tabs>
              <w:spacing w:before="113"/>
              <w:ind w:left="26"/>
              <w:jc w:val="center"/>
              <w:rPr>
                <w:b/>
                <w:sz w:val="16"/>
              </w:rPr>
            </w:pPr>
            <w:r>
              <w:rPr>
                <w:b/>
                <w:sz w:val="16"/>
              </w:rPr>
              <w:t>$</w:t>
              <w:tab/>
              <w:t>20,100.09</w:t>
            </w:r>
          </w:p>
        </w:tc>
        <w:tc>
          <w:tcPr>
            <w:tcW w:w="1568" w:type="dxa"/>
          </w:tcPr>
          <w:p>
            <w:pPr>
              <w:pStyle w:val="TableParagraph"/>
              <w:tabs>
                <w:tab w:pos="681" w:val="left" w:leader="none"/>
              </w:tabs>
              <w:spacing w:before="113"/>
              <w:ind w:left="148"/>
              <w:rPr>
                <w:b/>
                <w:sz w:val="16"/>
              </w:rPr>
            </w:pPr>
            <w:r>
              <w:rPr>
                <w:b/>
                <w:sz w:val="16"/>
              </w:rPr>
              <w:t>$</w:t>
              <w:tab/>
              <w:t>4,285.35</w:t>
            </w:r>
          </w:p>
        </w:tc>
        <w:tc>
          <w:tcPr>
            <w:tcW w:w="1567" w:type="dxa"/>
          </w:tcPr>
          <w:p>
            <w:pPr>
              <w:pStyle w:val="TableParagraph"/>
              <w:tabs>
                <w:tab w:pos="681" w:val="left" w:leader="none"/>
              </w:tabs>
              <w:spacing w:before="113"/>
              <w:ind w:left="148"/>
              <w:rPr>
                <w:b/>
                <w:sz w:val="16"/>
              </w:rPr>
            </w:pPr>
            <w:r>
              <w:rPr>
                <w:b/>
                <w:sz w:val="16"/>
              </w:rPr>
              <w:t>$</w:t>
              <w:tab/>
              <w:t>3,214.01</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1"/>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Shriners-Springfield</w:t>
            </w:r>
          </w:p>
        </w:tc>
        <w:tc>
          <w:tcPr>
            <w:tcW w:w="1435" w:type="dxa"/>
          </w:tcPr>
          <w:p>
            <w:pPr>
              <w:pStyle w:val="TableParagraph"/>
              <w:tabs>
                <w:tab w:pos="469" w:val="left" w:leader="none"/>
              </w:tabs>
              <w:spacing w:before="113"/>
              <w:ind w:left="25"/>
              <w:jc w:val="center"/>
              <w:rPr>
                <w:b/>
                <w:sz w:val="16"/>
              </w:rPr>
            </w:pPr>
            <w:r>
              <w:rPr>
                <w:b/>
                <w:sz w:val="16"/>
              </w:rPr>
              <w:t>$</w:t>
              <w:tab/>
              <w:t>12,727.92</w:t>
            </w:r>
          </w:p>
        </w:tc>
        <w:tc>
          <w:tcPr>
            <w:tcW w:w="1568" w:type="dxa"/>
          </w:tcPr>
          <w:p>
            <w:pPr>
              <w:pStyle w:val="TableParagraph"/>
              <w:tabs>
                <w:tab w:pos="681" w:val="left" w:leader="none"/>
              </w:tabs>
              <w:spacing w:before="113"/>
              <w:ind w:left="148"/>
              <w:rPr>
                <w:b/>
                <w:sz w:val="16"/>
              </w:rPr>
            </w:pPr>
            <w:r>
              <w:rPr>
                <w:b/>
                <w:sz w:val="16"/>
              </w:rPr>
              <w:t>$</w:t>
              <w:tab/>
              <w:t>2,773.62</w:t>
            </w:r>
          </w:p>
        </w:tc>
        <w:tc>
          <w:tcPr>
            <w:tcW w:w="1567" w:type="dxa"/>
          </w:tcPr>
          <w:p>
            <w:pPr>
              <w:pStyle w:val="TableParagraph"/>
              <w:tabs>
                <w:tab w:pos="681" w:val="left" w:leader="none"/>
              </w:tabs>
              <w:spacing w:before="113"/>
              <w:ind w:left="148"/>
              <w:rPr>
                <w:b/>
                <w:sz w:val="16"/>
              </w:rPr>
            </w:pPr>
            <w:r>
              <w:rPr>
                <w:b/>
                <w:sz w:val="16"/>
              </w:rPr>
              <w:t>$</w:t>
              <w:tab/>
              <w:t>2,080.21</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SOUTH SHORE HOSPITAL</w:t>
            </w:r>
          </w:p>
        </w:tc>
        <w:tc>
          <w:tcPr>
            <w:tcW w:w="1435" w:type="dxa"/>
          </w:tcPr>
          <w:p>
            <w:pPr>
              <w:pStyle w:val="TableParagraph"/>
              <w:tabs>
                <w:tab w:pos="559" w:val="left" w:leader="none"/>
              </w:tabs>
              <w:spacing w:before="113"/>
              <w:ind w:left="26"/>
              <w:jc w:val="center"/>
              <w:rPr>
                <w:b/>
                <w:sz w:val="16"/>
              </w:rPr>
            </w:pPr>
            <w:r>
              <w:rPr>
                <w:b/>
                <w:sz w:val="16"/>
              </w:rPr>
              <w:t>$</w:t>
              <w:tab/>
              <w:t>7,019.59</w:t>
            </w:r>
          </w:p>
        </w:tc>
        <w:tc>
          <w:tcPr>
            <w:tcW w:w="1568" w:type="dxa"/>
          </w:tcPr>
          <w:p>
            <w:pPr>
              <w:pStyle w:val="TableParagraph"/>
              <w:tabs>
                <w:tab w:pos="681" w:val="left" w:leader="none"/>
              </w:tabs>
              <w:spacing w:before="113"/>
              <w:ind w:left="148"/>
              <w:rPr>
                <w:b/>
                <w:sz w:val="16"/>
              </w:rPr>
            </w:pPr>
            <w:r>
              <w:rPr>
                <w:b/>
                <w:sz w:val="16"/>
              </w:rPr>
              <w:t>$</w:t>
              <w:tab/>
              <w:t>1,646.85</w:t>
            </w:r>
          </w:p>
        </w:tc>
        <w:tc>
          <w:tcPr>
            <w:tcW w:w="1567" w:type="dxa"/>
          </w:tcPr>
          <w:p>
            <w:pPr>
              <w:pStyle w:val="TableParagraph"/>
              <w:tabs>
                <w:tab w:pos="681" w:val="left" w:leader="none"/>
              </w:tabs>
              <w:spacing w:before="113"/>
              <w:ind w:left="148"/>
              <w:rPr>
                <w:b/>
                <w:sz w:val="16"/>
              </w:rPr>
            </w:pPr>
            <w:r>
              <w:rPr>
                <w:b/>
                <w:sz w:val="16"/>
              </w:rPr>
              <w:t>$</w:t>
              <w:tab/>
              <w:t>1,235.14</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1"/>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SOUTHCOAST</w:t>
            </w:r>
          </w:p>
        </w:tc>
        <w:tc>
          <w:tcPr>
            <w:tcW w:w="1435" w:type="dxa"/>
          </w:tcPr>
          <w:p>
            <w:pPr>
              <w:pStyle w:val="TableParagraph"/>
              <w:tabs>
                <w:tab w:pos="560" w:val="left" w:leader="none"/>
              </w:tabs>
              <w:spacing w:before="113"/>
              <w:ind w:left="27"/>
              <w:jc w:val="center"/>
              <w:rPr>
                <w:b/>
                <w:sz w:val="16"/>
              </w:rPr>
            </w:pPr>
            <w:r>
              <w:rPr>
                <w:b/>
                <w:sz w:val="16"/>
              </w:rPr>
              <w:t>$</w:t>
              <w:tab/>
              <w:t>6,512.05</w:t>
            </w:r>
          </w:p>
        </w:tc>
        <w:tc>
          <w:tcPr>
            <w:tcW w:w="1568" w:type="dxa"/>
          </w:tcPr>
          <w:p>
            <w:pPr>
              <w:pStyle w:val="TableParagraph"/>
              <w:tabs>
                <w:tab w:pos="682" w:val="left" w:leader="none"/>
              </w:tabs>
              <w:spacing w:before="113"/>
              <w:ind w:left="149"/>
              <w:rPr>
                <w:b/>
                <w:sz w:val="16"/>
              </w:rPr>
            </w:pPr>
            <w:r>
              <w:rPr>
                <w:b/>
                <w:sz w:val="16"/>
              </w:rPr>
              <w:t>$</w:t>
              <w:tab/>
              <w:t>1,522.38</w:t>
            </w:r>
          </w:p>
        </w:tc>
        <w:tc>
          <w:tcPr>
            <w:tcW w:w="1567" w:type="dxa"/>
          </w:tcPr>
          <w:p>
            <w:pPr>
              <w:pStyle w:val="TableParagraph"/>
              <w:tabs>
                <w:tab w:pos="682" w:val="left" w:leader="none"/>
              </w:tabs>
              <w:spacing w:before="113"/>
              <w:ind w:left="149"/>
              <w:rPr>
                <w:b/>
                <w:sz w:val="16"/>
              </w:rPr>
            </w:pPr>
            <w:r>
              <w:rPr>
                <w:b/>
                <w:sz w:val="16"/>
              </w:rPr>
              <w:t>$</w:t>
              <w:tab/>
              <w:t>1,141.79</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tabs>
                <w:tab w:pos="815" w:val="left" w:leader="none"/>
              </w:tabs>
              <w:spacing w:before="113"/>
              <w:ind w:left="149"/>
              <w:rPr>
                <w:b/>
                <w:sz w:val="16"/>
              </w:rPr>
            </w:pPr>
            <w:r>
              <w:rPr>
                <w:b/>
                <w:sz w:val="16"/>
              </w:rPr>
              <w:t>$</w:t>
              <w:tab/>
              <w:t>741.89</w:t>
            </w:r>
          </w:p>
        </w:tc>
      </w:tr>
      <w:tr>
        <w:trPr>
          <w:trHeight w:val="280" w:hRule="atLeast"/>
        </w:trPr>
        <w:tc>
          <w:tcPr>
            <w:tcW w:w="3260" w:type="dxa"/>
          </w:tcPr>
          <w:p>
            <w:pPr>
              <w:pStyle w:val="TableParagraph"/>
              <w:spacing w:before="113"/>
              <w:ind w:left="102"/>
              <w:rPr>
                <w:b/>
                <w:sz w:val="16"/>
              </w:rPr>
            </w:pPr>
            <w:r>
              <w:rPr>
                <w:b/>
                <w:sz w:val="16"/>
              </w:rPr>
              <w:t>ST. ANNE'S OF F.R. HOSPITAL</w:t>
            </w:r>
          </w:p>
        </w:tc>
        <w:tc>
          <w:tcPr>
            <w:tcW w:w="1435" w:type="dxa"/>
          </w:tcPr>
          <w:p>
            <w:pPr>
              <w:pStyle w:val="TableParagraph"/>
              <w:tabs>
                <w:tab w:pos="559" w:val="left" w:leader="none"/>
              </w:tabs>
              <w:spacing w:before="113"/>
              <w:ind w:left="26"/>
              <w:jc w:val="center"/>
              <w:rPr>
                <w:b/>
                <w:sz w:val="16"/>
              </w:rPr>
            </w:pPr>
            <w:r>
              <w:rPr>
                <w:b/>
                <w:sz w:val="16"/>
              </w:rPr>
              <w:t>$</w:t>
              <w:tab/>
              <w:t>7,504.23</w:t>
            </w:r>
          </w:p>
        </w:tc>
        <w:tc>
          <w:tcPr>
            <w:tcW w:w="1568" w:type="dxa"/>
          </w:tcPr>
          <w:p>
            <w:pPr>
              <w:pStyle w:val="TableParagraph"/>
              <w:tabs>
                <w:tab w:pos="681" w:val="left" w:leader="none"/>
              </w:tabs>
              <w:spacing w:before="113"/>
              <w:ind w:left="148"/>
              <w:rPr>
                <w:b/>
                <w:sz w:val="16"/>
              </w:rPr>
            </w:pPr>
            <w:r>
              <w:rPr>
                <w:b/>
                <w:sz w:val="16"/>
              </w:rPr>
              <w:t>$</w:t>
              <w:tab/>
              <w:t>1,808.30</w:t>
            </w:r>
          </w:p>
        </w:tc>
        <w:tc>
          <w:tcPr>
            <w:tcW w:w="1567" w:type="dxa"/>
          </w:tcPr>
          <w:p>
            <w:pPr>
              <w:pStyle w:val="TableParagraph"/>
              <w:tabs>
                <w:tab w:pos="682" w:val="left" w:leader="none"/>
              </w:tabs>
              <w:spacing w:before="113"/>
              <w:ind w:left="149"/>
              <w:rPr>
                <w:b/>
                <w:sz w:val="16"/>
              </w:rPr>
            </w:pPr>
            <w:r>
              <w:rPr>
                <w:b/>
                <w:sz w:val="16"/>
              </w:rPr>
              <w:t>$</w:t>
              <w:tab/>
              <w:t>1,356.22</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ST. ELIZABETH'S HOSPITAL</w:t>
            </w:r>
          </w:p>
        </w:tc>
        <w:tc>
          <w:tcPr>
            <w:tcW w:w="1435" w:type="dxa"/>
          </w:tcPr>
          <w:p>
            <w:pPr>
              <w:pStyle w:val="TableParagraph"/>
              <w:tabs>
                <w:tab w:pos="558" w:val="left" w:leader="none"/>
              </w:tabs>
              <w:spacing w:before="113"/>
              <w:ind w:left="25"/>
              <w:jc w:val="center"/>
              <w:rPr>
                <w:b/>
                <w:sz w:val="16"/>
              </w:rPr>
            </w:pPr>
            <w:r>
              <w:rPr>
                <w:b/>
                <w:sz w:val="16"/>
              </w:rPr>
              <w:t>$</w:t>
              <w:tab/>
              <w:t>9,278.46</w:t>
            </w:r>
          </w:p>
        </w:tc>
        <w:tc>
          <w:tcPr>
            <w:tcW w:w="1568" w:type="dxa"/>
          </w:tcPr>
          <w:p>
            <w:pPr>
              <w:pStyle w:val="TableParagraph"/>
              <w:tabs>
                <w:tab w:pos="681" w:val="left" w:leader="none"/>
              </w:tabs>
              <w:spacing w:before="113"/>
              <w:ind w:left="148"/>
              <w:rPr>
                <w:b/>
                <w:sz w:val="16"/>
              </w:rPr>
            </w:pPr>
            <w:r>
              <w:rPr>
                <w:b/>
                <w:sz w:val="16"/>
              </w:rPr>
              <w:t>$</w:t>
              <w:tab/>
              <w:t>2,160.56</w:t>
            </w:r>
          </w:p>
        </w:tc>
        <w:tc>
          <w:tcPr>
            <w:tcW w:w="1567" w:type="dxa"/>
          </w:tcPr>
          <w:p>
            <w:pPr>
              <w:pStyle w:val="TableParagraph"/>
              <w:tabs>
                <w:tab w:pos="681" w:val="left" w:leader="none"/>
              </w:tabs>
              <w:spacing w:before="113"/>
              <w:ind w:left="148"/>
              <w:rPr>
                <w:b/>
                <w:sz w:val="16"/>
              </w:rPr>
            </w:pPr>
            <w:r>
              <w:rPr>
                <w:b/>
                <w:sz w:val="16"/>
              </w:rPr>
              <w:t>$</w:t>
              <w:tab/>
              <w:t>1,620.42</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ST. VINCENT'S HOSPITAL</w:t>
            </w:r>
          </w:p>
        </w:tc>
        <w:tc>
          <w:tcPr>
            <w:tcW w:w="1435" w:type="dxa"/>
          </w:tcPr>
          <w:p>
            <w:pPr>
              <w:pStyle w:val="TableParagraph"/>
              <w:tabs>
                <w:tab w:pos="558" w:val="left" w:leader="none"/>
              </w:tabs>
              <w:spacing w:before="113"/>
              <w:ind w:left="25"/>
              <w:jc w:val="center"/>
              <w:rPr>
                <w:b/>
                <w:sz w:val="16"/>
              </w:rPr>
            </w:pPr>
            <w:r>
              <w:rPr>
                <w:b/>
                <w:sz w:val="16"/>
              </w:rPr>
              <w:t>$</w:t>
              <w:tab/>
              <w:t>7,182.32</w:t>
            </w:r>
          </w:p>
        </w:tc>
        <w:tc>
          <w:tcPr>
            <w:tcW w:w="1568" w:type="dxa"/>
          </w:tcPr>
          <w:p>
            <w:pPr>
              <w:pStyle w:val="TableParagraph"/>
              <w:tabs>
                <w:tab w:pos="681" w:val="left" w:leader="none"/>
              </w:tabs>
              <w:spacing w:before="113"/>
              <w:ind w:left="148"/>
              <w:rPr>
                <w:b/>
                <w:sz w:val="16"/>
              </w:rPr>
            </w:pPr>
            <w:r>
              <w:rPr>
                <w:b/>
                <w:sz w:val="16"/>
              </w:rPr>
              <w:t>$</w:t>
              <w:tab/>
              <w:t>1,678.84</w:t>
            </w:r>
          </w:p>
        </w:tc>
        <w:tc>
          <w:tcPr>
            <w:tcW w:w="1567" w:type="dxa"/>
          </w:tcPr>
          <w:p>
            <w:pPr>
              <w:pStyle w:val="TableParagraph"/>
              <w:tabs>
                <w:tab w:pos="681" w:val="left" w:leader="none"/>
              </w:tabs>
              <w:spacing w:before="113"/>
              <w:ind w:left="148"/>
              <w:rPr>
                <w:b/>
                <w:sz w:val="16"/>
              </w:rPr>
            </w:pPr>
            <w:r>
              <w:rPr>
                <w:b/>
                <w:sz w:val="16"/>
              </w:rPr>
              <w:t>$</w:t>
              <w:tab/>
              <w:t>1,259.13</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STURDY MEMORIAL HOSPITAL</w:t>
            </w:r>
          </w:p>
        </w:tc>
        <w:tc>
          <w:tcPr>
            <w:tcW w:w="1435" w:type="dxa"/>
          </w:tcPr>
          <w:p>
            <w:pPr>
              <w:pStyle w:val="TableParagraph"/>
              <w:tabs>
                <w:tab w:pos="557" w:val="left" w:leader="none"/>
              </w:tabs>
              <w:spacing w:before="113"/>
              <w:ind w:left="24"/>
              <w:jc w:val="center"/>
              <w:rPr>
                <w:b/>
                <w:sz w:val="16"/>
              </w:rPr>
            </w:pPr>
            <w:r>
              <w:rPr>
                <w:b/>
                <w:sz w:val="16"/>
              </w:rPr>
              <w:t>$</w:t>
              <w:tab/>
              <w:t>6,519.61</w:t>
            </w:r>
          </w:p>
        </w:tc>
        <w:tc>
          <w:tcPr>
            <w:tcW w:w="1568" w:type="dxa"/>
          </w:tcPr>
          <w:p>
            <w:pPr>
              <w:pStyle w:val="TableParagraph"/>
              <w:tabs>
                <w:tab w:pos="680" w:val="left" w:leader="none"/>
              </w:tabs>
              <w:spacing w:before="113"/>
              <w:ind w:left="147"/>
              <w:rPr>
                <w:b/>
                <w:sz w:val="16"/>
              </w:rPr>
            </w:pPr>
            <w:r>
              <w:rPr>
                <w:b/>
                <w:sz w:val="16"/>
              </w:rPr>
              <w:t>$</w:t>
              <w:tab/>
              <w:t>1,499.16</w:t>
            </w:r>
          </w:p>
        </w:tc>
        <w:tc>
          <w:tcPr>
            <w:tcW w:w="1567" w:type="dxa"/>
          </w:tcPr>
          <w:p>
            <w:pPr>
              <w:pStyle w:val="TableParagraph"/>
              <w:tabs>
                <w:tab w:pos="680" w:val="left" w:leader="none"/>
              </w:tabs>
              <w:spacing w:before="113"/>
              <w:ind w:left="147"/>
              <w:rPr>
                <w:b/>
                <w:sz w:val="16"/>
              </w:rPr>
            </w:pPr>
            <w:r>
              <w:rPr>
                <w:b/>
                <w:sz w:val="16"/>
              </w:rPr>
              <w:t>$</w:t>
              <w:tab/>
              <w:t>1,124.37</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UMASS MEMORIAL MED. CTR.</w:t>
            </w:r>
          </w:p>
        </w:tc>
        <w:tc>
          <w:tcPr>
            <w:tcW w:w="1435" w:type="dxa"/>
          </w:tcPr>
          <w:p>
            <w:pPr>
              <w:pStyle w:val="TableParagraph"/>
              <w:tabs>
                <w:tab w:pos="468" w:val="left" w:leader="none"/>
              </w:tabs>
              <w:spacing w:before="113"/>
              <w:ind w:left="24"/>
              <w:jc w:val="center"/>
              <w:rPr>
                <w:b/>
                <w:sz w:val="16"/>
              </w:rPr>
            </w:pPr>
            <w:r>
              <w:rPr>
                <w:b/>
                <w:sz w:val="16"/>
              </w:rPr>
              <w:t>$</w:t>
              <w:tab/>
              <w:t>10,805.50</w:t>
            </w:r>
          </w:p>
        </w:tc>
        <w:tc>
          <w:tcPr>
            <w:tcW w:w="1568" w:type="dxa"/>
          </w:tcPr>
          <w:p>
            <w:pPr>
              <w:pStyle w:val="TableParagraph"/>
              <w:tabs>
                <w:tab w:pos="681" w:val="left" w:leader="none"/>
              </w:tabs>
              <w:spacing w:before="113"/>
              <w:ind w:left="147"/>
              <w:rPr>
                <w:b/>
                <w:sz w:val="16"/>
              </w:rPr>
            </w:pPr>
            <w:r>
              <w:rPr>
                <w:b/>
                <w:sz w:val="16"/>
              </w:rPr>
              <w:t>$</w:t>
              <w:tab/>
              <w:t>2,441.55</w:t>
            </w:r>
          </w:p>
        </w:tc>
        <w:tc>
          <w:tcPr>
            <w:tcW w:w="1567" w:type="dxa"/>
          </w:tcPr>
          <w:p>
            <w:pPr>
              <w:pStyle w:val="TableParagraph"/>
              <w:tabs>
                <w:tab w:pos="681" w:val="left" w:leader="none"/>
              </w:tabs>
              <w:spacing w:before="113"/>
              <w:ind w:left="148"/>
              <w:rPr>
                <w:b/>
                <w:sz w:val="16"/>
              </w:rPr>
            </w:pPr>
            <w:r>
              <w:rPr>
                <w:b/>
                <w:sz w:val="16"/>
              </w:rPr>
              <w:t>$</w:t>
              <w:tab/>
              <w:t>1,831.16</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WINCHESTER HOSPITAL</w:t>
            </w:r>
          </w:p>
        </w:tc>
        <w:tc>
          <w:tcPr>
            <w:tcW w:w="1435" w:type="dxa"/>
          </w:tcPr>
          <w:p>
            <w:pPr>
              <w:pStyle w:val="TableParagraph"/>
              <w:tabs>
                <w:tab w:pos="557" w:val="left" w:leader="none"/>
              </w:tabs>
              <w:spacing w:before="113"/>
              <w:ind w:left="24"/>
              <w:jc w:val="center"/>
              <w:rPr>
                <w:b/>
                <w:sz w:val="16"/>
              </w:rPr>
            </w:pPr>
            <w:r>
              <w:rPr>
                <w:b/>
                <w:sz w:val="16"/>
              </w:rPr>
              <w:t>$</w:t>
              <w:tab/>
              <w:t>5,709.79</w:t>
            </w:r>
          </w:p>
        </w:tc>
        <w:tc>
          <w:tcPr>
            <w:tcW w:w="1568" w:type="dxa"/>
          </w:tcPr>
          <w:p>
            <w:pPr>
              <w:pStyle w:val="TableParagraph"/>
              <w:tabs>
                <w:tab w:pos="680" w:val="left" w:leader="none"/>
              </w:tabs>
              <w:spacing w:before="113"/>
              <w:ind w:left="147"/>
              <w:rPr>
                <w:b/>
                <w:sz w:val="16"/>
              </w:rPr>
            </w:pPr>
            <w:r>
              <w:rPr>
                <w:b/>
                <w:sz w:val="16"/>
              </w:rPr>
              <w:t>$</w:t>
              <w:tab/>
              <w:t>1,324.90</w:t>
            </w:r>
          </w:p>
        </w:tc>
        <w:tc>
          <w:tcPr>
            <w:tcW w:w="1567" w:type="dxa"/>
          </w:tcPr>
          <w:p>
            <w:pPr>
              <w:pStyle w:val="TableParagraph"/>
              <w:tabs>
                <w:tab w:pos="814" w:val="left" w:leader="none"/>
              </w:tabs>
              <w:spacing w:before="113"/>
              <w:ind w:left="147"/>
              <w:rPr>
                <w:b/>
                <w:sz w:val="16"/>
              </w:rPr>
            </w:pPr>
            <w:r>
              <w:rPr>
                <w:b/>
                <w:sz w:val="16"/>
              </w:rPr>
              <w:t>$</w:t>
              <w:tab/>
              <w:t>993.67</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left="102"/>
              <w:rPr>
                <w:b/>
                <w:sz w:val="16"/>
              </w:rPr>
            </w:pPr>
            <w:r>
              <w:rPr>
                <w:b/>
                <w:sz w:val="16"/>
              </w:rPr>
              <w:t>WING MEMORIAL HOSPITAL</w:t>
            </w:r>
          </w:p>
        </w:tc>
        <w:tc>
          <w:tcPr>
            <w:tcW w:w="1435" w:type="dxa"/>
          </w:tcPr>
          <w:p>
            <w:pPr>
              <w:pStyle w:val="TableParagraph"/>
              <w:tabs>
                <w:tab w:pos="558" w:val="left" w:leader="none"/>
              </w:tabs>
              <w:spacing w:before="113"/>
              <w:ind w:left="25"/>
              <w:jc w:val="center"/>
              <w:rPr>
                <w:b/>
                <w:sz w:val="16"/>
              </w:rPr>
            </w:pPr>
            <w:r>
              <w:rPr>
                <w:b/>
                <w:sz w:val="16"/>
              </w:rPr>
              <w:t>$</w:t>
              <w:tab/>
              <w:t>6,418.16</w:t>
            </w:r>
          </w:p>
        </w:tc>
        <w:tc>
          <w:tcPr>
            <w:tcW w:w="1568" w:type="dxa"/>
          </w:tcPr>
          <w:p>
            <w:pPr>
              <w:pStyle w:val="TableParagraph"/>
              <w:tabs>
                <w:tab w:pos="681" w:val="left" w:leader="none"/>
              </w:tabs>
              <w:spacing w:before="113"/>
              <w:ind w:left="148"/>
              <w:rPr>
                <w:b/>
                <w:sz w:val="16"/>
              </w:rPr>
            </w:pPr>
            <w:r>
              <w:rPr>
                <w:b/>
                <w:sz w:val="16"/>
              </w:rPr>
              <w:t>$</w:t>
              <w:tab/>
              <w:t>1,483.19</w:t>
            </w:r>
          </w:p>
        </w:tc>
        <w:tc>
          <w:tcPr>
            <w:tcW w:w="1567" w:type="dxa"/>
          </w:tcPr>
          <w:p>
            <w:pPr>
              <w:pStyle w:val="TableParagraph"/>
              <w:tabs>
                <w:tab w:pos="681" w:val="left" w:leader="none"/>
              </w:tabs>
              <w:spacing w:before="113"/>
              <w:ind w:left="148"/>
              <w:rPr>
                <w:b/>
                <w:sz w:val="16"/>
              </w:rPr>
            </w:pPr>
            <w:r>
              <w:rPr>
                <w:b/>
                <w:sz w:val="16"/>
              </w:rPr>
              <w:t>$</w:t>
              <w:tab/>
              <w:t>1,112.39</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bl>
    <w:p>
      <w:pPr>
        <w:pStyle w:val="BodyText"/>
        <w:rPr>
          <w:rFonts w:ascii="Book Antiqua"/>
          <w:b/>
          <w:sz w:val="28"/>
        </w:rPr>
      </w:pPr>
    </w:p>
    <w:p>
      <w:pPr>
        <w:pStyle w:val="BodyText"/>
        <w:spacing w:before="4"/>
        <w:rPr>
          <w:rFonts w:ascii="Book Antiqua"/>
          <w:b/>
          <w:sz w:val="41"/>
        </w:rPr>
      </w:pPr>
    </w:p>
    <w:p>
      <w:pPr>
        <w:pStyle w:val="BodyText"/>
        <w:ind w:left="140"/>
      </w:pPr>
      <w:r>
        <w:rPr/>
        <w:t>** For Critical Access Hospitals – subject to reconciliation.</w:t>
      </w:r>
    </w:p>
    <w:p>
      <w:pPr>
        <w:spacing w:after="0"/>
        <w:sectPr>
          <w:pgSz w:w="20160" w:h="12240" w:orient="landscape"/>
          <w:pgMar w:header="0" w:footer="744" w:top="660" w:bottom="940" w:left="580" w:right="1320"/>
        </w:sectPr>
      </w:pPr>
    </w:p>
    <w:p>
      <w:pPr>
        <w:pStyle w:val="Heading1"/>
        <w:ind w:left="3610" w:right="3688"/>
      </w:pPr>
      <w:r>
        <w:rPr/>
        <w:t>Public Notice</w:t>
      </w:r>
    </w:p>
    <w:p>
      <w:pPr>
        <w:pStyle w:val="BodyText"/>
        <w:rPr>
          <w:b/>
          <w:sz w:val="23"/>
        </w:rPr>
      </w:pPr>
    </w:p>
    <w:p>
      <w:pPr>
        <w:spacing w:before="87"/>
        <w:ind w:left="3343" w:right="0" w:hanging="2313"/>
        <w:jc w:val="left"/>
        <w:rPr>
          <w:b/>
          <w:sz w:val="32"/>
        </w:rPr>
      </w:pPr>
      <w:r>
        <w:rPr>
          <w:b/>
          <w:spacing w:val="-3"/>
          <w:sz w:val="32"/>
        </w:rPr>
        <w:t>Payment Amount </w:t>
      </w:r>
      <w:r>
        <w:rPr>
          <w:b/>
          <w:sz w:val="32"/>
        </w:rPr>
        <w:t>per </w:t>
      </w:r>
      <w:r>
        <w:rPr>
          <w:b/>
          <w:spacing w:val="-3"/>
          <w:sz w:val="32"/>
        </w:rPr>
        <w:t>Episode (PAPE) Rates –RY14 Effective 10/01/13</w:t>
      </w:r>
    </w:p>
    <w:p>
      <w:pPr>
        <w:pStyle w:val="BodyText"/>
        <w:rPr>
          <w:b/>
          <w:sz w:val="20"/>
        </w:rPr>
      </w:pPr>
    </w:p>
    <w:p>
      <w:pPr>
        <w:pStyle w:val="BodyText"/>
        <w:rPr>
          <w:b/>
          <w:sz w:val="12"/>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0"/>
        <w:gridCol w:w="2358"/>
      </w:tblGrid>
      <w:tr>
        <w:trPr>
          <w:trHeight w:val="600" w:hRule="atLeast"/>
        </w:trPr>
        <w:tc>
          <w:tcPr>
            <w:tcW w:w="6570" w:type="dxa"/>
          </w:tcPr>
          <w:p>
            <w:pPr>
              <w:pStyle w:val="TableParagraph"/>
              <w:spacing w:line="240" w:lineRule="auto" w:before="10"/>
              <w:rPr>
                <w:rFonts w:ascii="Times New Roman"/>
                <w:b/>
                <w:sz w:val="24"/>
              </w:rPr>
            </w:pPr>
          </w:p>
          <w:p>
            <w:pPr>
              <w:pStyle w:val="TableParagraph"/>
              <w:spacing w:line="301" w:lineRule="exact" w:before="1"/>
              <w:ind w:left="102"/>
              <w:rPr>
                <w:rFonts w:ascii="Times New Roman"/>
                <w:b/>
                <w:sz w:val="28"/>
              </w:rPr>
            </w:pPr>
            <w:r>
              <w:rPr>
                <w:rFonts w:ascii="Times New Roman"/>
                <w:b/>
                <w:sz w:val="28"/>
              </w:rPr>
              <w:t>PROVIDER NAME</w:t>
            </w:r>
          </w:p>
        </w:tc>
        <w:tc>
          <w:tcPr>
            <w:tcW w:w="2358" w:type="dxa"/>
          </w:tcPr>
          <w:p>
            <w:pPr>
              <w:pStyle w:val="TableParagraph"/>
              <w:spacing w:line="240" w:lineRule="auto" w:before="10"/>
              <w:rPr>
                <w:rFonts w:ascii="Times New Roman"/>
                <w:b/>
                <w:sz w:val="24"/>
              </w:rPr>
            </w:pPr>
          </w:p>
          <w:p>
            <w:pPr>
              <w:pStyle w:val="TableParagraph"/>
              <w:spacing w:line="301" w:lineRule="exact" w:before="1"/>
              <w:ind w:left="103"/>
              <w:rPr>
                <w:rFonts w:ascii="Times New Roman"/>
                <w:b/>
                <w:sz w:val="28"/>
              </w:rPr>
            </w:pPr>
            <w:r>
              <w:rPr>
                <w:rFonts w:ascii="Times New Roman"/>
                <w:b/>
                <w:sz w:val="28"/>
              </w:rPr>
              <w:t>PAPE HRY 2014</w:t>
            </w:r>
          </w:p>
        </w:tc>
      </w:tr>
      <w:tr>
        <w:trPr>
          <w:trHeight w:val="260" w:hRule="atLeast"/>
        </w:trPr>
        <w:tc>
          <w:tcPr>
            <w:tcW w:w="6570" w:type="dxa"/>
          </w:tcPr>
          <w:p>
            <w:pPr>
              <w:pStyle w:val="TableParagraph"/>
              <w:spacing w:line="228" w:lineRule="exact"/>
              <w:ind w:left="102"/>
              <w:rPr>
                <w:sz w:val="20"/>
              </w:rPr>
            </w:pPr>
            <w:r>
              <w:rPr>
                <w:sz w:val="20"/>
              </w:rPr>
              <w:t>ANNA JACQUES HOSPITAL</w:t>
            </w:r>
          </w:p>
        </w:tc>
        <w:tc>
          <w:tcPr>
            <w:tcW w:w="2358" w:type="dxa"/>
          </w:tcPr>
          <w:p>
            <w:pPr>
              <w:pStyle w:val="TableParagraph"/>
              <w:spacing w:line="228" w:lineRule="exact"/>
              <w:ind w:right="101"/>
              <w:jc w:val="right"/>
              <w:rPr>
                <w:sz w:val="20"/>
              </w:rPr>
            </w:pPr>
            <w:r>
              <w:rPr>
                <w:sz w:val="20"/>
              </w:rPr>
              <w:t>$299.19</w:t>
            </w:r>
          </w:p>
        </w:tc>
      </w:tr>
      <w:tr>
        <w:trPr>
          <w:trHeight w:val="260" w:hRule="atLeast"/>
        </w:trPr>
        <w:tc>
          <w:tcPr>
            <w:tcW w:w="6570" w:type="dxa"/>
          </w:tcPr>
          <w:p>
            <w:pPr>
              <w:pStyle w:val="TableParagraph"/>
              <w:spacing w:line="240" w:lineRule="auto" w:before="3"/>
              <w:ind w:left="102"/>
              <w:rPr>
                <w:b/>
                <w:sz w:val="20"/>
              </w:rPr>
            </w:pPr>
            <w:r>
              <w:rPr>
                <w:sz w:val="20"/>
              </w:rPr>
              <w:t>ATHOL MEMORIAL HOSPITAL </w:t>
            </w:r>
            <w:r>
              <w:rPr>
                <w:b/>
                <w:sz w:val="20"/>
              </w:rPr>
              <w:t>**</w:t>
            </w:r>
          </w:p>
        </w:tc>
        <w:tc>
          <w:tcPr>
            <w:tcW w:w="2358" w:type="dxa"/>
          </w:tcPr>
          <w:p>
            <w:pPr>
              <w:pStyle w:val="TableParagraph"/>
              <w:spacing w:line="228" w:lineRule="exact"/>
              <w:ind w:right="101"/>
              <w:jc w:val="right"/>
              <w:rPr>
                <w:sz w:val="20"/>
              </w:rPr>
            </w:pPr>
            <w:r>
              <w:rPr>
                <w:sz w:val="20"/>
              </w:rPr>
              <w:t>$477.60</w:t>
            </w:r>
          </w:p>
        </w:tc>
      </w:tr>
      <w:tr>
        <w:trPr>
          <w:trHeight w:val="260" w:hRule="atLeast"/>
        </w:trPr>
        <w:tc>
          <w:tcPr>
            <w:tcW w:w="6570" w:type="dxa"/>
          </w:tcPr>
          <w:p>
            <w:pPr>
              <w:pStyle w:val="TableParagraph"/>
              <w:spacing w:line="228" w:lineRule="exact"/>
              <w:ind w:left="102"/>
              <w:rPr>
                <w:sz w:val="20"/>
              </w:rPr>
            </w:pPr>
            <w:r>
              <w:rPr>
                <w:sz w:val="20"/>
              </w:rPr>
              <w:t>BAYSTATE MEDICAL CENTER INC</w:t>
            </w:r>
          </w:p>
        </w:tc>
        <w:tc>
          <w:tcPr>
            <w:tcW w:w="2358" w:type="dxa"/>
          </w:tcPr>
          <w:p>
            <w:pPr>
              <w:pStyle w:val="TableParagraph"/>
              <w:spacing w:line="228" w:lineRule="exact"/>
              <w:ind w:right="101"/>
              <w:jc w:val="right"/>
              <w:rPr>
                <w:sz w:val="20"/>
              </w:rPr>
            </w:pPr>
            <w:r>
              <w:rPr>
                <w:sz w:val="20"/>
              </w:rPr>
              <w:t>$291.65</w:t>
            </w:r>
          </w:p>
        </w:tc>
      </w:tr>
      <w:tr>
        <w:trPr>
          <w:trHeight w:val="260" w:hRule="atLeast"/>
        </w:trPr>
        <w:tc>
          <w:tcPr>
            <w:tcW w:w="6570" w:type="dxa"/>
          </w:tcPr>
          <w:p>
            <w:pPr>
              <w:pStyle w:val="TableParagraph"/>
              <w:spacing w:line="228" w:lineRule="exact"/>
              <w:ind w:left="102"/>
              <w:rPr>
                <w:sz w:val="20"/>
              </w:rPr>
            </w:pPr>
            <w:r>
              <w:rPr>
                <w:sz w:val="20"/>
              </w:rPr>
              <w:t>BERKSHIRE MEDICAL CENTER</w:t>
            </w:r>
          </w:p>
        </w:tc>
        <w:tc>
          <w:tcPr>
            <w:tcW w:w="2358" w:type="dxa"/>
          </w:tcPr>
          <w:p>
            <w:pPr>
              <w:pStyle w:val="TableParagraph"/>
              <w:spacing w:line="228" w:lineRule="exact"/>
              <w:ind w:right="102"/>
              <w:jc w:val="right"/>
              <w:rPr>
                <w:sz w:val="20"/>
              </w:rPr>
            </w:pPr>
            <w:r>
              <w:rPr>
                <w:sz w:val="20"/>
              </w:rPr>
              <w:t>$403.09</w:t>
            </w:r>
          </w:p>
        </w:tc>
      </w:tr>
      <w:tr>
        <w:trPr>
          <w:trHeight w:val="260" w:hRule="atLeast"/>
        </w:trPr>
        <w:tc>
          <w:tcPr>
            <w:tcW w:w="6570" w:type="dxa"/>
          </w:tcPr>
          <w:p>
            <w:pPr>
              <w:pStyle w:val="TableParagraph"/>
              <w:spacing w:line="228" w:lineRule="exact"/>
              <w:ind w:left="102"/>
              <w:rPr>
                <w:sz w:val="20"/>
              </w:rPr>
            </w:pPr>
            <w:r>
              <w:rPr>
                <w:sz w:val="20"/>
              </w:rPr>
              <w:t>BETH ISRAEL DEAC HOSP-NEEDHAM</w:t>
            </w:r>
          </w:p>
        </w:tc>
        <w:tc>
          <w:tcPr>
            <w:tcW w:w="2358" w:type="dxa"/>
          </w:tcPr>
          <w:p>
            <w:pPr>
              <w:pStyle w:val="TableParagraph"/>
              <w:spacing w:line="228" w:lineRule="exact"/>
              <w:ind w:right="101"/>
              <w:jc w:val="right"/>
              <w:rPr>
                <w:sz w:val="20"/>
              </w:rPr>
            </w:pPr>
            <w:r>
              <w:rPr>
                <w:sz w:val="20"/>
              </w:rPr>
              <w:t>$416.36</w:t>
            </w:r>
          </w:p>
        </w:tc>
      </w:tr>
      <w:tr>
        <w:trPr>
          <w:trHeight w:val="260" w:hRule="atLeast"/>
        </w:trPr>
        <w:tc>
          <w:tcPr>
            <w:tcW w:w="6570" w:type="dxa"/>
          </w:tcPr>
          <w:p>
            <w:pPr>
              <w:pStyle w:val="TableParagraph"/>
              <w:spacing w:line="228" w:lineRule="exact"/>
              <w:ind w:left="102"/>
              <w:rPr>
                <w:sz w:val="20"/>
              </w:rPr>
            </w:pPr>
            <w:r>
              <w:rPr>
                <w:sz w:val="20"/>
              </w:rPr>
              <w:t>BETH ISRAEL  DEACONESS MED CENTER</w:t>
            </w:r>
          </w:p>
        </w:tc>
        <w:tc>
          <w:tcPr>
            <w:tcW w:w="2358" w:type="dxa"/>
          </w:tcPr>
          <w:p>
            <w:pPr>
              <w:pStyle w:val="TableParagraph"/>
              <w:spacing w:line="228" w:lineRule="exact"/>
              <w:ind w:right="101"/>
              <w:jc w:val="right"/>
              <w:rPr>
                <w:sz w:val="20"/>
              </w:rPr>
            </w:pPr>
            <w:r>
              <w:rPr>
                <w:sz w:val="20"/>
              </w:rPr>
              <w:t>$355.77</w:t>
            </w:r>
          </w:p>
        </w:tc>
      </w:tr>
      <w:tr>
        <w:trPr>
          <w:trHeight w:val="260" w:hRule="atLeast"/>
        </w:trPr>
        <w:tc>
          <w:tcPr>
            <w:tcW w:w="6570" w:type="dxa"/>
          </w:tcPr>
          <w:p>
            <w:pPr>
              <w:pStyle w:val="TableParagraph"/>
              <w:spacing w:line="228" w:lineRule="exact"/>
              <w:ind w:left="102"/>
              <w:rPr>
                <w:sz w:val="20"/>
              </w:rPr>
            </w:pPr>
            <w:r>
              <w:rPr>
                <w:sz w:val="20"/>
              </w:rPr>
              <w:t>BOSTON_MEDICAL_CENTER</w:t>
            </w:r>
          </w:p>
        </w:tc>
        <w:tc>
          <w:tcPr>
            <w:tcW w:w="2358" w:type="dxa"/>
          </w:tcPr>
          <w:p>
            <w:pPr>
              <w:pStyle w:val="TableParagraph"/>
              <w:spacing w:line="228" w:lineRule="exact"/>
              <w:ind w:right="100"/>
              <w:jc w:val="right"/>
              <w:rPr>
                <w:sz w:val="20"/>
              </w:rPr>
            </w:pPr>
            <w:r>
              <w:rPr>
                <w:sz w:val="20"/>
              </w:rPr>
              <w:t>$255.54</w:t>
            </w:r>
          </w:p>
        </w:tc>
      </w:tr>
      <w:tr>
        <w:trPr>
          <w:trHeight w:val="260" w:hRule="atLeast"/>
        </w:trPr>
        <w:tc>
          <w:tcPr>
            <w:tcW w:w="6570" w:type="dxa"/>
          </w:tcPr>
          <w:p>
            <w:pPr>
              <w:pStyle w:val="TableParagraph"/>
              <w:spacing w:line="228" w:lineRule="exact"/>
              <w:ind w:left="102"/>
              <w:rPr>
                <w:sz w:val="20"/>
              </w:rPr>
            </w:pPr>
            <w:r>
              <w:rPr>
                <w:sz w:val="20"/>
              </w:rPr>
              <w:t>BRIGHAM WOMEN'S HOSPITAL</w:t>
            </w:r>
          </w:p>
        </w:tc>
        <w:tc>
          <w:tcPr>
            <w:tcW w:w="2358" w:type="dxa"/>
          </w:tcPr>
          <w:p>
            <w:pPr>
              <w:pStyle w:val="TableParagraph"/>
              <w:spacing w:line="228" w:lineRule="exact"/>
              <w:ind w:right="101"/>
              <w:jc w:val="right"/>
              <w:rPr>
                <w:sz w:val="20"/>
              </w:rPr>
            </w:pPr>
            <w:r>
              <w:rPr>
                <w:sz w:val="20"/>
              </w:rPr>
              <w:t>$287.86</w:t>
            </w:r>
          </w:p>
        </w:tc>
      </w:tr>
      <w:tr>
        <w:trPr>
          <w:trHeight w:val="260" w:hRule="atLeast"/>
        </w:trPr>
        <w:tc>
          <w:tcPr>
            <w:tcW w:w="6570" w:type="dxa"/>
          </w:tcPr>
          <w:p>
            <w:pPr>
              <w:pStyle w:val="TableParagraph"/>
              <w:spacing w:line="228" w:lineRule="exact"/>
              <w:ind w:left="102"/>
              <w:rPr>
                <w:sz w:val="20"/>
              </w:rPr>
            </w:pPr>
            <w:r>
              <w:rPr>
                <w:sz w:val="20"/>
              </w:rPr>
              <w:t>BROCKTON HOSPITAL</w:t>
            </w:r>
          </w:p>
        </w:tc>
        <w:tc>
          <w:tcPr>
            <w:tcW w:w="2358" w:type="dxa"/>
          </w:tcPr>
          <w:p>
            <w:pPr>
              <w:pStyle w:val="TableParagraph"/>
              <w:spacing w:line="228" w:lineRule="exact"/>
              <w:ind w:right="101"/>
              <w:jc w:val="right"/>
              <w:rPr>
                <w:sz w:val="20"/>
              </w:rPr>
            </w:pPr>
            <w:r>
              <w:rPr>
                <w:sz w:val="20"/>
              </w:rPr>
              <w:t>$331.31</w:t>
            </w:r>
          </w:p>
        </w:tc>
      </w:tr>
      <w:tr>
        <w:trPr>
          <w:trHeight w:val="260" w:hRule="atLeast"/>
        </w:trPr>
        <w:tc>
          <w:tcPr>
            <w:tcW w:w="6570" w:type="dxa"/>
          </w:tcPr>
          <w:p>
            <w:pPr>
              <w:pStyle w:val="TableParagraph"/>
              <w:spacing w:line="228" w:lineRule="exact"/>
              <w:ind w:left="102"/>
              <w:rPr>
                <w:sz w:val="20"/>
              </w:rPr>
            </w:pPr>
            <w:r>
              <w:rPr>
                <w:sz w:val="20"/>
              </w:rPr>
              <w:t>CAMBRIDGE HEALTH ALLIANCE</w:t>
            </w:r>
          </w:p>
        </w:tc>
        <w:tc>
          <w:tcPr>
            <w:tcW w:w="2358" w:type="dxa"/>
          </w:tcPr>
          <w:p>
            <w:pPr>
              <w:pStyle w:val="TableParagraph"/>
              <w:spacing w:line="228" w:lineRule="exact"/>
              <w:ind w:right="101"/>
              <w:jc w:val="right"/>
              <w:rPr>
                <w:sz w:val="20"/>
              </w:rPr>
            </w:pPr>
            <w:r>
              <w:rPr>
                <w:sz w:val="20"/>
              </w:rPr>
              <w:t>$251.86</w:t>
            </w:r>
          </w:p>
        </w:tc>
      </w:tr>
      <w:tr>
        <w:trPr>
          <w:trHeight w:val="260" w:hRule="atLeast"/>
        </w:trPr>
        <w:tc>
          <w:tcPr>
            <w:tcW w:w="6570" w:type="dxa"/>
          </w:tcPr>
          <w:p>
            <w:pPr>
              <w:pStyle w:val="TableParagraph"/>
              <w:spacing w:line="228" w:lineRule="exact"/>
              <w:ind w:left="102"/>
              <w:rPr>
                <w:sz w:val="20"/>
              </w:rPr>
            </w:pPr>
            <w:r>
              <w:rPr>
                <w:sz w:val="20"/>
              </w:rPr>
              <w:t>CAPE COD HOSPITAL</w:t>
            </w:r>
          </w:p>
        </w:tc>
        <w:tc>
          <w:tcPr>
            <w:tcW w:w="2358" w:type="dxa"/>
          </w:tcPr>
          <w:p>
            <w:pPr>
              <w:pStyle w:val="TableParagraph"/>
              <w:spacing w:line="228" w:lineRule="exact"/>
              <w:ind w:right="100"/>
              <w:jc w:val="right"/>
              <w:rPr>
                <w:sz w:val="20"/>
              </w:rPr>
            </w:pPr>
            <w:r>
              <w:rPr>
                <w:sz w:val="20"/>
              </w:rPr>
              <w:t>$349.43</w:t>
            </w:r>
          </w:p>
        </w:tc>
      </w:tr>
      <w:tr>
        <w:trPr>
          <w:trHeight w:val="260" w:hRule="atLeast"/>
        </w:trPr>
        <w:tc>
          <w:tcPr>
            <w:tcW w:w="6570" w:type="dxa"/>
          </w:tcPr>
          <w:p>
            <w:pPr>
              <w:pStyle w:val="TableParagraph"/>
              <w:spacing w:line="228" w:lineRule="exact"/>
              <w:ind w:left="102"/>
              <w:rPr>
                <w:sz w:val="20"/>
              </w:rPr>
            </w:pPr>
            <w:r>
              <w:rPr>
                <w:sz w:val="20"/>
              </w:rPr>
              <w:t>CARNEY HOSPITAL</w:t>
            </w:r>
          </w:p>
        </w:tc>
        <w:tc>
          <w:tcPr>
            <w:tcW w:w="2358" w:type="dxa"/>
          </w:tcPr>
          <w:p>
            <w:pPr>
              <w:pStyle w:val="TableParagraph"/>
              <w:spacing w:line="228" w:lineRule="exact"/>
              <w:ind w:right="101"/>
              <w:jc w:val="right"/>
              <w:rPr>
                <w:sz w:val="20"/>
              </w:rPr>
            </w:pPr>
            <w:r>
              <w:rPr>
                <w:sz w:val="20"/>
              </w:rPr>
              <w:t>$283.65</w:t>
            </w:r>
          </w:p>
        </w:tc>
      </w:tr>
      <w:tr>
        <w:trPr>
          <w:trHeight w:val="260" w:hRule="atLeast"/>
        </w:trPr>
        <w:tc>
          <w:tcPr>
            <w:tcW w:w="6570" w:type="dxa"/>
          </w:tcPr>
          <w:p>
            <w:pPr>
              <w:pStyle w:val="TableParagraph"/>
              <w:spacing w:line="228" w:lineRule="exact"/>
              <w:ind w:left="102"/>
              <w:rPr>
                <w:sz w:val="20"/>
              </w:rPr>
            </w:pPr>
            <w:r>
              <w:rPr>
                <w:sz w:val="20"/>
              </w:rPr>
              <w:t>CHILDRENS HOSPITAL</w:t>
            </w:r>
          </w:p>
        </w:tc>
        <w:tc>
          <w:tcPr>
            <w:tcW w:w="2358" w:type="dxa"/>
          </w:tcPr>
          <w:p>
            <w:pPr>
              <w:pStyle w:val="TableParagraph"/>
              <w:spacing w:line="228" w:lineRule="exact"/>
              <w:ind w:right="101"/>
              <w:jc w:val="right"/>
              <w:rPr>
                <w:sz w:val="20"/>
              </w:rPr>
            </w:pPr>
            <w:r>
              <w:rPr>
                <w:sz w:val="20"/>
              </w:rPr>
              <w:t>$442.10</w:t>
            </w:r>
          </w:p>
        </w:tc>
      </w:tr>
      <w:tr>
        <w:trPr>
          <w:trHeight w:val="260" w:hRule="atLeast"/>
        </w:trPr>
        <w:tc>
          <w:tcPr>
            <w:tcW w:w="6570" w:type="dxa"/>
          </w:tcPr>
          <w:p>
            <w:pPr>
              <w:pStyle w:val="TableParagraph"/>
              <w:spacing w:line="228" w:lineRule="exact"/>
              <w:ind w:left="102"/>
              <w:rPr>
                <w:sz w:val="20"/>
              </w:rPr>
            </w:pPr>
            <w:r>
              <w:rPr>
                <w:sz w:val="20"/>
              </w:rPr>
              <w:t>CLINTON HOSPITAL</w:t>
            </w:r>
          </w:p>
        </w:tc>
        <w:tc>
          <w:tcPr>
            <w:tcW w:w="2358" w:type="dxa"/>
          </w:tcPr>
          <w:p>
            <w:pPr>
              <w:pStyle w:val="TableParagraph"/>
              <w:spacing w:line="228" w:lineRule="exact"/>
              <w:ind w:right="100"/>
              <w:jc w:val="right"/>
              <w:rPr>
                <w:sz w:val="20"/>
              </w:rPr>
            </w:pPr>
            <w:r>
              <w:rPr>
                <w:sz w:val="20"/>
              </w:rPr>
              <w:t>$230.68</w:t>
            </w:r>
          </w:p>
        </w:tc>
      </w:tr>
      <w:tr>
        <w:trPr>
          <w:trHeight w:val="260" w:hRule="atLeast"/>
        </w:trPr>
        <w:tc>
          <w:tcPr>
            <w:tcW w:w="6570" w:type="dxa"/>
          </w:tcPr>
          <w:p>
            <w:pPr>
              <w:pStyle w:val="TableParagraph"/>
              <w:spacing w:line="228" w:lineRule="exact"/>
              <w:ind w:left="102"/>
              <w:rPr>
                <w:sz w:val="20"/>
              </w:rPr>
            </w:pPr>
            <w:r>
              <w:rPr>
                <w:sz w:val="20"/>
              </w:rPr>
              <w:t>COOLEY DICKINSON HOSPITAL</w:t>
            </w:r>
          </w:p>
        </w:tc>
        <w:tc>
          <w:tcPr>
            <w:tcW w:w="2358" w:type="dxa"/>
          </w:tcPr>
          <w:p>
            <w:pPr>
              <w:pStyle w:val="TableParagraph"/>
              <w:spacing w:line="228" w:lineRule="exact"/>
              <w:ind w:right="100"/>
              <w:jc w:val="right"/>
              <w:rPr>
                <w:sz w:val="20"/>
              </w:rPr>
            </w:pPr>
            <w:r>
              <w:rPr>
                <w:sz w:val="20"/>
              </w:rPr>
              <w:t>$332.99</w:t>
            </w:r>
          </w:p>
        </w:tc>
      </w:tr>
      <w:tr>
        <w:trPr>
          <w:trHeight w:val="260" w:hRule="atLeast"/>
        </w:trPr>
        <w:tc>
          <w:tcPr>
            <w:tcW w:w="6570" w:type="dxa"/>
          </w:tcPr>
          <w:p>
            <w:pPr>
              <w:pStyle w:val="TableParagraph"/>
              <w:spacing w:line="228" w:lineRule="exact"/>
              <w:ind w:left="102"/>
              <w:rPr>
                <w:sz w:val="20"/>
              </w:rPr>
            </w:pPr>
            <w:r>
              <w:rPr>
                <w:sz w:val="20"/>
              </w:rPr>
              <w:t>DANA FARBER CANCER INSTITUTE</w:t>
            </w:r>
          </w:p>
        </w:tc>
        <w:tc>
          <w:tcPr>
            <w:tcW w:w="2358" w:type="dxa"/>
          </w:tcPr>
          <w:p>
            <w:pPr>
              <w:pStyle w:val="TableParagraph"/>
              <w:spacing w:line="228" w:lineRule="exact"/>
              <w:ind w:right="102"/>
              <w:jc w:val="right"/>
              <w:rPr>
                <w:sz w:val="20"/>
              </w:rPr>
            </w:pPr>
            <w:r>
              <w:rPr>
                <w:sz w:val="20"/>
              </w:rPr>
              <w:t>$1,420.19</w:t>
            </w:r>
          </w:p>
        </w:tc>
      </w:tr>
      <w:tr>
        <w:trPr>
          <w:trHeight w:val="260" w:hRule="atLeast"/>
        </w:trPr>
        <w:tc>
          <w:tcPr>
            <w:tcW w:w="6570" w:type="dxa"/>
          </w:tcPr>
          <w:p>
            <w:pPr>
              <w:pStyle w:val="TableParagraph"/>
              <w:spacing w:line="228" w:lineRule="exact"/>
              <w:ind w:left="102"/>
              <w:rPr>
                <w:sz w:val="20"/>
              </w:rPr>
            </w:pPr>
            <w:r>
              <w:rPr>
                <w:sz w:val="20"/>
              </w:rPr>
              <w:t>EMERSON HOSPITAL</w:t>
            </w:r>
          </w:p>
        </w:tc>
        <w:tc>
          <w:tcPr>
            <w:tcW w:w="2358" w:type="dxa"/>
          </w:tcPr>
          <w:p>
            <w:pPr>
              <w:pStyle w:val="TableParagraph"/>
              <w:spacing w:line="228" w:lineRule="exact"/>
              <w:ind w:right="100"/>
              <w:jc w:val="right"/>
              <w:rPr>
                <w:sz w:val="20"/>
              </w:rPr>
            </w:pPr>
            <w:r>
              <w:rPr>
                <w:sz w:val="20"/>
              </w:rPr>
              <w:t>$289.54</w:t>
            </w:r>
          </w:p>
        </w:tc>
      </w:tr>
      <w:tr>
        <w:trPr>
          <w:trHeight w:val="260" w:hRule="atLeast"/>
        </w:trPr>
        <w:tc>
          <w:tcPr>
            <w:tcW w:w="6570" w:type="dxa"/>
          </w:tcPr>
          <w:p>
            <w:pPr>
              <w:pStyle w:val="TableParagraph"/>
              <w:spacing w:line="240" w:lineRule="auto" w:before="3"/>
              <w:ind w:left="102"/>
              <w:rPr>
                <w:b/>
                <w:sz w:val="20"/>
              </w:rPr>
            </w:pPr>
            <w:r>
              <w:rPr>
                <w:sz w:val="20"/>
              </w:rPr>
              <w:t>FAIRVIEW HOSPITAL </w:t>
            </w:r>
            <w:r>
              <w:rPr>
                <w:b/>
                <w:sz w:val="20"/>
              </w:rPr>
              <w:t>**</w:t>
            </w:r>
          </w:p>
        </w:tc>
        <w:tc>
          <w:tcPr>
            <w:tcW w:w="2358" w:type="dxa"/>
          </w:tcPr>
          <w:p>
            <w:pPr>
              <w:pStyle w:val="TableParagraph"/>
              <w:spacing w:line="228" w:lineRule="exact"/>
              <w:ind w:right="101"/>
              <w:jc w:val="right"/>
              <w:rPr>
                <w:sz w:val="20"/>
              </w:rPr>
            </w:pPr>
            <w:r>
              <w:rPr>
                <w:sz w:val="20"/>
              </w:rPr>
              <w:t>$645.32</w:t>
            </w:r>
          </w:p>
        </w:tc>
      </w:tr>
      <w:tr>
        <w:trPr>
          <w:trHeight w:val="260" w:hRule="atLeast"/>
        </w:trPr>
        <w:tc>
          <w:tcPr>
            <w:tcW w:w="6570" w:type="dxa"/>
          </w:tcPr>
          <w:p>
            <w:pPr>
              <w:pStyle w:val="TableParagraph"/>
              <w:spacing w:line="228" w:lineRule="exact"/>
              <w:ind w:left="102"/>
              <w:rPr>
                <w:sz w:val="20"/>
              </w:rPr>
            </w:pPr>
            <w:r>
              <w:rPr>
                <w:sz w:val="20"/>
              </w:rPr>
              <w:t>FALMOUTH HOSPITAL</w:t>
            </w:r>
          </w:p>
        </w:tc>
        <w:tc>
          <w:tcPr>
            <w:tcW w:w="2358" w:type="dxa"/>
          </w:tcPr>
          <w:p>
            <w:pPr>
              <w:pStyle w:val="TableParagraph"/>
              <w:spacing w:line="228" w:lineRule="exact"/>
              <w:ind w:right="101"/>
              <w:jc w:val="right"/>
              <w:rPr>
                <w:sz w:val="20"/>
              </w:rPr>
            </w:pPr>
            <w:r>
              <w:rPr>
                <w:sz w:val="20"/>
              </w:rPr>
              <w:t>$329.15</w:t>
            </w:r>
          </w:p>
        </w:tc>
      </w:tr>
      <w:tr>
        <w:trPr>
          <w:trHeight w:val="260" w:hRule="atLeast"/>
        </w:trPr>
        <w:tc>
          <w:tcPr>
            <w:tcW w:w="6570" w:type="dxa"/>
          </w:tcPr>
          <w:p>
            <w:pPr>
              <w:pStyle w:val="TableParagraph"/>
              <w:spacing w:line="228" w:lineRule="exact"/>
              <w:ind w:left="102"/>
              <w:rPr>
                <w:sz w:val="20"/>
              </w:rPr>
            </w:pPr>
            <w:r>
              <w:rPr>
                <w:sz w:val="20"/>
              </w:rPr>
              <w:t>FAULKNER HOSPITAL</w:t>
            </w:r>
          </w:p>
        </w:tc>
        <w:tc>
          <w:tcPr>
            <w:tcW w:w="2358" w:type="dxa"/>
          </w:tcPr>
          <w:p>
            <w:pPr>
              <w:pStyle w:val="TableParagraph"/>
              <w:spacing w:line="228" w:lineRule="exact"/>
              <w:ind w:right="101"/>
              <w:jc w:val="right"/>
              <w:rPr>
                <w:sz w:val="20"/>
              </w:rPr>
            </w:pPr>
            <w:r>
              <w:rPr>
                <w:sz w:val="20"/>
              </w:rPr>
              <w:t>$379.77</w:t>
            </w:r>
          </w:p>
        </w:tc>
      </w:tr>
      <w:tr>
        <w:trPr>
          <w:trHeight w:val="260" w:hRule="atLeast"/>
        </w:trPr>
        <w:tc>
          <w:tcPr>
            <w:tcW w:w="6570" w:type="dxa"/>
          </w:tcPr>
          <w:p>
            <w:pPr>
              <w:pStyle w:val="TableParagraph"/>
              <w:spacing w:line="228" w:lineRule="exact"/>
              <w:ind w:left="102"/>
              <w:rPr>
                <w:sz w:val="20"/>
              </w:rPr>
            </w:pPr>
            <w:r>
              <w:rPr>
                <w:sz w:val="20"/>
              </w:rPr>
              <w:t>FRANKLIN MEDICAL CENTER</w:t>
            </w:r>
          </w:p>
        </w:tc>
        <w:tc>
          <w:tcPr>
            <w:tcW w:w="2358" w:type="dxa"/>
          </w:tcPr>
          <w:p>
            <w:pPr>
              <w:pStyle w:val="TableParagraph"/>
              <w:spacing w:line="228" w:lineRule="exact"/>
              <w:ind w:right="101"/>
              <w:jc w:val="right"/>
              <w:rPr>
                <w:sz w:val="20"/>
              </w:rPr>
            </w:pPr>
            <w:r>
              <w:rPr>
                <w:sz w:val="20"/>
              </w:rPr>
              <w:t>$309.39</w:t>
            </w:r>
          </w:p>
        </w:tc>
      </w:tr>
      <w:tr>
        <w:trPr>
          <w:trHeight w:val="260" w:hRule="atLeast"/>
        </w:trPr>
        <w:tc>
          <w:tcPr>
            <w:tcW w:w="6570" w:type="dxa"/>
          </w:tcPr>
          <w:p>
            <w:pPr>
              <w:pStyle w:val="TableParagraph"/>
              <w:spacing w:line="228" w:lineRule="exact"/>
              <w:ind w:left="102"/>
              <w:rPr>
                <w:sz w:val="20"/>
              </w:rPr>
            </w:pPr>
            <w:r>
              <w:rPr>
                <w:sz w:val="20"/>
              </w:rPr>
              <w:t>GOOD SAMARITAN MEDICAL CENTER</w:t>
            </w:r>
          </w:p>
        </w:tc>
        <w:tc>
          <w:tcPr>
            <w:tcW w:w="2358" w:type="dxa"/>
          </w:tcPr>
          <w:p>
            <w:pPr>
              <w:pStyle w:val="TableParagraph"/>
              <w:spacing w:line="228" w:lineRule="exact"/>
              <w:ind w:right="102"/>
              <w:jc w:val="right"/>
              <w:rPr>
                <w:sz w:val="20"/>
              </w:rPr>
            </w:pPr>
            <w:r>
              <w:rPr>
                <w:sz w:val="20"/>
              </w:rPr>
              <w:t>$389.73</w:t>
            </w:r>
          </w:p>
        </w:tc>
      </w:tr>
      <w:tr>
        <w:trPr>
          <w:trHeight w:val="260" w:hRule="atLeast"/>
        </w:trPr>
        <w:tc>
          <w:tcPr>
            <w:tcW w:w="6570" w:type="dxa"/>
          </w:tcPr>
          <w:p>
            <w:pPr>
              <w:pStyle w:val="TableParagraph"/>
              <w:spacing w:line="228" w:lineRule="exact"/>
              <w:ind w:left="102"/>
              <w:rPr>
                <w:sz w:val="20"/>
              </w:rPr>
            </w:pPr>
            <w:r>
              <w:rPr>
                <w:sz w:val="20"/>
              </w:rPr>
              <w:t>HALLMARK HEALTH</w:t>
            </w:r>
          </w:p>
        </w:tc>
        <w:tc>
          <w:tcPr>
            <w:tcW w:w="2358" w:type="dxa"/>
          </w:tcPr>
          <w:p>
            <w:pPr>
              <w:pStyle w:val="TableParagraph"/>
              <w:spacing w:line="228" w:lineRule="exact"/>
              <w:ind w:right="101"/>
              <w:jc w:val="right"/>
              <w:rPr>
                <w:sz w:val="20"/>
              </w:rPr>
            </w:pPr>
            <w:r>
              <w:rPr>
                <w:sz w:val="20"/>
              </w:rPr>
              <w:t>$320.34</w:t>
            </w:r>
          </w:p>
        </w:tc>
      </w:tr>
      <w:tr>
        <w:trPr>
          <w:trHeight w:val="260" w:hRule="atLeast"/>
        </w:trPr>
        <w:tc>
          <w:tcPr>
            <w:tcW w:w="6570" w:type="dxa"/>
          </w:tcPr>
          <w:p>
            <w:pPr>
              <w:pStyle w:val="TableParagraph"/>
              <w:spacing w:line="228" w:lineRule="exact"/>
              <w:ind w:left="102"/>
              <w:rPr>
                <w:sz w:val="20"/>
              </w:rPr>
            </w:pPr>
            <w:r>
              <w:rPr>
                <w:sz w:val="20"/>
              </w:rPr>
              <w:t>HARRINGTON MEMORIAL HOSPITAL</w:t>
            </w:r>
          </w:p>
        </w:tc>
        <w:tc>
          <w:tcPr>
            <w:tcW w:w="2358" w:type="dxa"/>
          </w:tcPr>
          <w:p>
            <w:pPr>
              <w:pStyle w:val="TableParagraph"/>
              <w:spacing w:line="228" w:lineRule="exact"/>
              <w:ind w:right="101"/>
              <w:jc w:val="right"/>
              <w:rPr>
                <w:sz w:val="20"/>
              </w:rPr>
            </w:pPr>
            <w:r>
              <w:rPr>
                <w:sz w:val="20"/>
              </w:rPr>
              <w:t>$286.89</w:t>
            </w:r>
          </w:p>
        </w:tc>
      </w:tr>
      <w:tr>
        <w:trPr>
          <w:trHeight w:val="260" w:hRule="atLeast"/>
        </w:trPr>
        <w:tc>
          <w:tcPr>
            <w:tcW w:w="6570" w:type="dxa"/>
          </w:tcPr>
          <w:p>
            <w:pPr>
              <w:pStyle w:val="TableParagraph"/>
              <w:spacing w:line="228" w:lineRule="exact"/>
              <w:ind w:left="102"/>
              <w:rPr>
                <w:sz w:val="20"/>
              </w:rPr>
            </w:pPr>
            <w:r>
              <w:rPr>
                <w:sz w:val="20"/>
              </w:rPr>
              <w:t>HEALTH ALLIANCE HOSPITALS</w:t>
            </w:r>
          </w:p>
        </w:tc>
        <w:tc>
          <w:tcPr>
            <w:tcW w:w="2358" w:type="dxa"/>
          </w:tcPr>
          <w:p>
            <w:pPr>
              <w:pStyle w:val="TableParagraph"/>
              <w:spacing w:line="228" w:lineRule="exact"/>
              <w:ind w:right="101"/>
              <w:jc w:val="right"/>
              <w:rPr>
                <w:sz w:val="20"/>
              </w:rPr>
            </w:pPr>
            <w:r>
              <w:rPr>
                <w:sz w:val="20"/>
              </w:rPr>
              <w:t>$260.97</w:t>
            </w:r>
          </w:p>
        </w:tc>
      </w:tr>
      <w:tr>
        <w:trPr>
          <w:trHeight w:val="260" w:hRule="atLeast"/>
        </w:trPr>
        <w:tc>
          <w:tcPr>
            <w:tcW w:w="6570" w:type="dxa"/>
          </w:tcPr>
          <w:p>
            <w:pPr>
              <w:pStyle w:val="TableParagraph"/>
              <w:spacing w:line="228" w:lineRule="exact"/>
              <w:ind w:left="102"/>
              <w:rPr>
                <w:sz w:val="20"/>
              </w:rPr>
            </w:pPr>
            <w:r>
              <w:rPr>
                <w:sz w:val="20"/>
              </w:rPr>
              <w:t>HEYWOOD HOSPITAL</w:t>
            </w:r>
          </w:p>
        </w:tc>
        <w:tc>
          <w:tcPr>
            <w:tcW w:w="2358" w:type="dxa"/>
          </w:tcPr>
          <w:p>
            <w:pPr>
              <w:pStyle w:val="TableParagraph"/>
              <w:spacing w:line="228" w:lineRule="exact"/>
              <w:ind w:right="101"/>
              <w:jc w:val="right"/>
              <w:rPr>
                <w:sz w:val="20"/>
              </w:rPr>
            </w:pPr>
            <w:r>
              <w:rPr>
                <w:sz w:val="20"/>
              </w:rPr>
              <w:t>$277.21</w:t>
            </w:r>
          </w:p>
        </w:tc>
      </w:tr>
      <w:tr>
        <w:trPr>
          <w:trHeight w:val="260" w:hRule="atLeast"/>
        </w:trPr>
        <w:tc>
          <w:tcPr>
            <w:tcW w:w="6570" w:type="dxa"/>
          </w:tcPr>
          <w:p>
            <w:pPr>
              <w:pStyle w:val="TableParagraph"/>
              <w:spacing w:line="228" w:lineRule="exact"/>
              <w:ind w:left="102"/>
              <w:rPr>
                <w:sz w:val="20"/>
              </w:rPr>
            </w:pPr>
            <w:r>
              <w:rPr>
                <w:sz w:val="20"/>
              </w:rPr>
              <w:t>HOLY FAMILY HOSPITAL</w:t>
            </w:r>
          </w:p>
        </w:tc>
        <w:tc>
          <w:tcPr>
            <w:tcW w:w="2358" w:type="dxa"/>
          </w:tcPr>
          <w:p>
            <w:pPr>
              <w:pStyle w:val="TableParagraph"/>
              <w:spacing w:line="228" w:lineRule="exact"/>
              <w:ind w:right="101"/>
              <w:jc w:val="right"/>
              <w:rPr>
                <w:sz w:val="20"/>
              </w:rPr>
            </w:pPr>
            <w:r>
              <w:rPr>
                <w:sz w:val="20"/>
              </w:rPr>
              <w:t>$311.20</w:t>
            </w:r>
          </w:p>
        </w:tc>
      </w:tr>
      <w:tr>
        <w:trPr>
          <w:trHeight w:val="260" w:hRule="atLeast"/>
        </w:trPr>
        <w:tc>
          <w:tcPr>
            <w:tcW w:w="6570" w:type="dxa"/>
          </w:tcPr>
          <w:p>
            <w:pPr>
              <w:pStyle w:val="TableParagraph"/>
              <w:spacing w:line="228" w:lineRule="exact"/>
              <w:ind w:left="102"/>
              <w:rPr>
                <w:sz w:val="20"/>
              </w:rPr>
            </w:pPr>
            <w:r>
              <w:rPr>
                <w:sz w:val="20"/>
              </w:rPr>
              <w:t>HOLYOKE HOSPITAL</w:t>
            </w:r>
          </w:p>
        </w:tc>
        <w:tc>
          <w:tcPr>
            <w:tcW w:w="2358" w:type="dxa"/>
          </w:tcPr>
          <w:p>
            <w:pPr>
              <w:pStyle w:val="TableParagraph"/>
              <w:spacing w:line="228" w:lineRule="exact"/>
              <w:ind w:right="101"/>
              <w:jc w:val="right"/>
              <w:rPr>
                <w:sz w:val="20"/>
              </w:rPr>
            </w:pPr>
            <w:r>
              <w:rPr>
                <w:sz w:val="20"/>
              </w:rPr>
              <w:t>$331.51</w:t>
            </w:r>
          </w:p>
        </w:tc>
      </w:tr>
      <w:tr>
        <w:trPr>
          <w:trHeight w:val="260" w:hRule="atLeast"/>
        </w:trPr>
        <w:tc>
          <w:tcPr>
            <w:tcW w:w="6570" w:type="dxa"/>
          </w:tcPr>
          <w:p>
            <w:pPr>
              <w:pStyle w:val="TableParagraph"/>
              <w:spacing w:line="228" w:lineRule="exact"/>
              <w:ind w:left="102"/>
              <w:rPr>
                <w:sz w:val="20"/>
              </w:rPr>
            </w:pPr>
            <w:r>
              <w:rPr>
                <w:sz w:val="20"/>
              </w:rPr>
              <w:t>JORDAN HOSPITAL</w:t>
            </w:r>
          </w:p>
        </w:tc>
        <w:tc>
          <w:tcPr>
            <w:tcW w:w="2358" w:type="dxa"/>
          </w:tcPr>
          <w:p>
            <w:pPr>
              <w:pStyle w:val="TableParagraph"/>
              <w:spacing w:line="228" w:lineRule="exact"/>
              <w:ind w:right="100"/>
              <w:jc w:val="right"/>
              <w:rPr>
                <w:sz w:val="20"/>
              </w:rPr>
            </w:pPr>
            <w:r>
              <w:rPr>
                <w:sz w:val="20"/>
              </w:rPr>
              <w:t>$347.09</w:t>
            </w:r>
          </w:p>
        </w:tc>
      </w:tr>
      <w:tr>
        <w:trPr>
          <w:trHeight w:val="260" w:hRule="atLeast"/>
        </w:trPr>
        <w:tc>
          <w:tcPr>
            <w:tcW w:w="6570" w:type="dxa"/>
          </w:tcPr>
          <w:p>
            <w:pPr>
              <w:pStyle w:val="TableParagraph"/>
              <w:spacing w:line="228" w:lineRule="exact"/>
              <w:ind w:left="102"/>
              <w:rPr>
                <w:sz w:val="20"/>
              </w:rPr>
            </w:pPr>
            <w:r>
              <w:rPr>
                <w:sz w:val="20"/>
              </w:rPr>
              <w:t>LAHEY CLINIC HOSPITAL INC</w:t>
            </w:r>
          </w:p>
        </w:tc>
        <w:tc>
          <w:tcPr>
            <w:tcW w:w="2358" w:type="dxa"/>
          </w:tcPr>
          <w:p>
            <w:pPr>
              <w:pStyle w:val="TableParagraph"/>
              <w:spacing w:line="228" w:lineRule="exact"/>
              <w:ind w:right="101"/>
              <w:jc w:val="right"/>
              <w:rPr>
                <w:sz w:val="20"/>
              </w:rPr>
            </w:pPr>
            <w:r>
              <w:rPr>
                <w:sz w:val="20"/>
              </w:rPr>
              <w:t>$388.19</w:t>
            </w:r>
          </w:p>
        </w:tc>
      </w:tr>
      <w:tr>
        <w:trPr>
          <w:trHeight w:val="260" w:hRule="atLeast"/>
        </w:trPr>
        <w:tc>
          <w:tcPr>
            <w:tcW w:w="6570" w:type="dxa"/>
          </w:tcPr>
          <w:p>
            <w:pPr>
              <w:pStyle w:val="TableParagraph"/>
              <w:spacing w:line="228" w:lineRule="exact"/>
              <w:ind w:left="102"/>
              <w:rPr>
                <w:sz w:val="20"/>
              </w:rPr>
            </w:pPr>
            <w:r>
              <w:rPr>
                <w:sz w:val="20"/>
              </w:rPr>
              <w:t>LAWRENCE GENERAL HOSPITAL</w:t>
            </w:r>
          </w:p>
        </w:tc>
        <w:tc>
          <w:tcPr>
            <w:tcW w:w="2358" w:type="dxa"/>
          </w:tcPr>
          <w:p>
            <w:pPr>
              <w:pStyle w:val="TableParagraph"/>
              <w:spacing w:line="228" w:lineRule="exact"/>
              <w:ind w:right="101"/>
              <w:jc w:val="right"/>
              <w:rPr>
                <w:sz w:val="20"/>
              </w:rPr>
            </w:pPr>
            <w:r>
              <w:rPr>
                <w:sz w:val="20"/>
              </w:rPr>
              <w:t>$331.42</w:t>
            </w:r>
          </w:p>
        </w:tc>
      </w:tr>
      <w:tr>
        <w:trPr>
          <w:trHeight w:val="260" w:hRule="atLeast"/>
        </w:trPr>
        <w:tc>
          <w:tcPr>
            <w:tcW w:w="6570" w:type="dxa"/>
          </w:tcPr>
          <w:p>
            <w:pPr>
              <w:pStyle w:val="TableParagraph"/>
              <w:spacing w:line="228" w:lineRule="exact"/>
              <w:ind w:left="102"/>
              <w:rPr>
                <w:sz w:val="20"/>
              </w:rPr>
            </w:pPr>
            <w:r>
              <w:rPr>
                <w:sz w:val="20"/>
              </w:rPr>
              <w:t>LOWELL GENERAL HOSPITAL</w:t>
            </w:r>
          </w:p>
        </w:tc>
        <w:tc>
          <w:tcPr>
            <w:tcW w:w="2358" w:type="dxa"/>
          </w:tcPr>
          <w:p>
            <w:pPr>
              <w:pStyle w:val="TableParagraph"/>
              <w:spacing w:line="228" w:lineRule="exact"/>
              <w:ind w:right="100"/>
              <w:jc w:val="right"/>
              <w:rPr>
                <w:sz w:val="20"/>
              </w:rPr>
            </w:pPr>
            <w:r>
              <w:rPr>
                <w:sz w:val="20"/>
              </w:rPr>
              <w:t>$418.45</w:t>
            </w:r>
          </w:p>
        </w:tc>
      </w:tr>
      <w:tr>
        <w:trPr>
          <w:trHeight w:val="260" w:hRule="atLeast"/>
        </w:trPr>
        <w:tc>
          <w:tcPr>
            <w:tcW w:w="6570" w:type="dxa"/>
          </w:tcPr>
          <w:p>
            <w:pPr>
              <w:pStyle w:val="TableParagraph"/>
              <w:spacing w:line="228" w:lineRule="exact"/>
              <w:ind w:left="102"/>
              <w:rPr>
                <w:sz w:val="20"/>
              </w:rPr>
            </w:pPr>
            <w:r>
              <w:rPr>
                <w:sz w:val="20"/>
              </w:rPr>
              <w:t>MARLBOROUGH HOSPITAL</w:t>
            </w:r>
          </w:p>
        </w:tc>
        <w:tc>
          <w:tcPr>
            <w:tcW w:w="2358" w:type="dxa"/>
          </w:tcPr>
          <w:p>
            <w:pPr>
              <w:pStyle w:val="TableParagraph"/>
              <w:spacing w:line="228" w:lineRule="exact"/>
              <w:ind w:right="100"/>
              <w:jc w:val="right"/>
              <w:rPr>
                <w:sz w:val="20"/>
              </w:rPr>
            </w:pPr>
            <w:r>
              <w:rPr>
                <w:sz w:val="20"/>
              </w:rPr>
              <w:t>$266.17</w:t>
            </w:r>
          </w:p>
        </w:tc>
      </w:tr>
      <w:tr>
        <w:trPr>
          <w:trHeight w:val="260" w:hRule="atLeast"/>
        </w:trPr>
        <w:tc>
          <w:tcPr>
            <w:tcW w:w="6570" w:type="dxa"/>
          </w:tcPr>
          <w:p>
            <w:pPr>
              <w:pStyle w:val="TableParagraph"/>
              <w:spacing w:line="240" w:lineRule="auto" w:before="3"/>
              <w:ind w:left="102"/>
              <w:rPr>
                <w:b/>
                <w:sz w:val="20"/>
              </w:rPr>
            </w:pPr>
            <w:r>
              <w:rPr>
                <w:sz w:val="20"/>
              </w:rPr>
              <w:t>MARTHAS VINEYARD HOSPITAL </w:t>
            </w:r>
            <w:r>
              <w:rPr>
                <w:b/>
                <w:sz w:val="20"/>
              </w:rPr>
              <w:t>**</w:t>
            </w:r>
          </w:p>
        </w:tc>
        <w:tc>
          <w:tcPr>
            <w:tcW w:w="2358" w:type="dxa"/>
          </w:tcPr>
          <w:p>
            <w:pPr>
              <w:pStyle w:val="TableParagraph"/>
              <w:spacing w:line="228" w:lineRule="exact"/>
              <w:ind w:right="101"/>
              <w:jc w:val="right"/>
              <w:rPr>
                <w:sz w:val="20"/>
              </w:rPr>
            </w:pPr>
            <w:r>
              <w:rPr>
                <w:sz w:val="20"/>
              </w:rPr>
              <w:t>$677.43</w:t>
            </w:r>
          </w:p>
        </w:tc>
      </w:tr>
      <w:tr>
        <w:trPr>
          <w:trHeight w:val="260" w:hRule="atLeast"/>
        </w:trPr>
        <w:tc>
          <w:tcPr>
            <w:tcW w:w="6570" w:type="dxa"/>
          </w:tcPr>
          <w:p>
            <w:pPr>
              <w:pStyle w:val="TableParagraph"/>
              <w:spacing w:line="228" w:lineRule="exact"/>
              <w:ind w:left="102"/>
              <w:rPr>
                <w:sz w:val="20"/>
              </w:rPr>
            </w:pPr>
            <w:r>
              <w:rPr>
                <w:sz w:val="20"/>
              </w:rPr>
              <w:t>MARY LANE HOSPITAL</w:t>
            </w:r>
          </w:p>
        </w:tc>
        <w:tc>
          <w:tcPr>
            <w:tcW w:w="2358" w:type="dxa"/>
          </w:tcPr>
          <w:p>
            <w:pPr>
              <w:pStyle w:val="TableParagraph"/>
              <w:spacing w:line="228" w:lineRule="exact"/>
              <w:ind w:right="101"/>
              <w:jc w:val="right"/>
              <w:rPr>
                <w:sz w:val="20"/>
              </w:rPr>
            </w:pPr>
            <w:r>
              <w:rPr>
                <w:sz w:val="20"/>
              </w:rPr>
              <w:t>$287.16</w:t>
            </w:r>
          </w:p>
        </w:tc>
      </w:tr>
      <w:tr>
        <w:trPr>
          <w:trHeight w:val="260" w:hRule="atLeast"/>
        </w:trPr>
        <w:tc>
          <w:tcPr>
            <w:tcW w:w="6570" w:type="dxa"/>
          </w:tcPr>
          <w:p>
            <w:pPr>
              <w:pStyle w:val="TableParagraph"/>
              <w:spacing w:line="228" w:lineRule="exact"/>
              <w:ind w:left="102"/>
              <w:rPr>
                <w:sz w:val="20"/>
              </w:rPr>
            </w:pPr>
            <w:r>
              <w:rPr>
                <w:sz w:val="20"/>
              </w:rPr>
              <w:t>MASS EYE EAR_INFIRMARY</w:t>
            </w:r>
          </w:p>
        </w:tc>
        <w:tc>
          <w:tcPr>
            <w:tcW w:w="2358" w:type="dxa"/>
          </w:tcPr>
          <w:p>
            <w:pPr>
              <w:pStyle w:val="TableParagraph"/>
              <w:spacing w:line="228" w:lineRule="exact"/>
              <w:ind w:right="102"/>
              <w:jc w:val="right"/>
              <w:rPr>
                <w:sz w:val="20"/>
              </w:rPr>
            </w:pPr>
            <w:r>
              <w:rPr>
                <w:sz w:val="20"/>
              </w:rPr>
              <w:t>$436.57</w:t>
            </w:r>
          </w:p>
        </w:tc>
      </w:tr>
      <w:tr>
        <w:trPr>
          <w:trHeight w:val="260" w:hRule="atLeast"/>
        </w:trPr>
        <w:tc>
          <w:tcPr>
            <w:tcW w:w="6570" w:type="dxa"/>
          </w:tcPr>
          <w:p>
            <w:pPr>
              <w:pStyle w:val="TableParagraph"/>
              <w:spacing w:line="228" w:lineRule="exact"/>
              <w:ind w:left="102"/>
              <w:rPr>
                <w:sz w:val="20"/>
              </w:rPr>
            </w:pPr>
            <w:r>
              <w:rPr>
                <w:sz w:val="20"/>
              </w:rPr>
              <w:t>MASS GENERAL HOSPITAL</w:t>
            </w:r>
          </w:p>
        </w:tc>
        <w:tc>
          <w:tcPr>
            <w:tcW w:w="2358" w:type="dxa"/>
          </w:tcPr>
          <w:p>
            <w:pPr>
              <w:pStyle w:val="TableParagraph"/>
              <w:spacing w:line="228" w:lineRule="exact"/>
              <w:ind w:right="101"/>
              <w:jc w:val="right"/>
              <w:rPr>
                <w:sz w:val="20"/>
              </w:rPr>
            </w:pPr>
            <w:r>
              <w:rPr>
                <w:sz w:val="20"/>
              </w:rPr>
              <w:t>$305.62</w:t>
            </w:r>
          </w:p>
        </w:tc>
      </w:tr>
      <w:tr>
        <w:trPr>
          <w:trHeight w:val="260" w:hRule="atLeast"/>
        </w:trPr>
        <w:tc>
          <w:tcPr>
            <w:tcW w:w="6570" w:type="dxa"/>
          </w:tcPr>
          <w:p>
            <w:pPr>
              <w:pStyle w:val="TableParagraph"/>
              <w:spacing w:line="228" w:lineRule="exact"/>
              <w:ind w:left="102"/>
              <w:rPr>
                <w:sz w:val="20"/>
              </w:rPr>
            </w:pPr>
            <w:r>
              <w:rPr>
                <w:sz w:val="20"/>
              </w:rPr>
              <w:t>MERCY HOSPITAL</w:t>
            </w:r>
          </w:p>
        </w:tc>
        <w:tc>
          <w:tcPr>
            <w:tcW w:w="2358" w:type="dxa"/>
          </w:tcPr>
          <w:p>
            <w:pPr>
              <w:pStyle w:val="TableParagraph"/>
              <w:spacing w:line="228" w:lineRule="exact"/>
              <w:ind w:right="101"/>
              <w:jc w:val="right"/>
              <w:rPr>
                <w:sz w:val="20"/>
              </w:rPr>
            </w:pPr>
            <w:r>
              <w:rPr>
                <w:sz w:val="20"/>
              </w:rPr>
              <w:t>$276.71</w:t>
            </w:r>
          </w:p>
        </w:tc>
      </w:tr>
      <w:tr>
        <w:trPr>
          <w:trHeight w:val="260" w:hRule="atLeast"/>
        </w:trPr>
        <w:tc>
          <w:tcPr>
            <w:tcW w:w="6570" w:type="dxa"/>
          </w:tcPr>
          <w:p>
            <w:pPr>
              <w:pStyle w:val="TableParagraph"/>
              <w:spacing w:line="228" w:lineRule="exact"/>
              <w:ind w:left="102"/>
              <w:rPr>
                <w:sz w:val="20"/>
              </w:rPr>
            </w:pPr>
            <w:r>
              <w:rPr>
                <w:sz w:val="20"/>
              </w:rPr>
              <w:t>MERRIMACK VALLEY HOSPITAL</w:t>
            </w:r>
          </w:p>
        </w:tc>
        <w:tc>
          <w:tcPr>
            <w:tcW w:w="2358" w:type="dxa"/>
          </w:tcPr>
          <w:p>
            <w:pPr>
              <w:pStyle w:val="TableParagraph"/>
              <w:spacing w:line="228" w:lineRule="exact"/>
              <w:ind w:right="101"/>
              <w:jc w:val="right"/>
              <w:rPr>
                <w:sz w:val="20"/>
              </w:rPr>
            </w:pPr>
            <w:r>
              <w:rPr>
                <w:sz w:val="20"/>
              </w:rPr>
              <w:t>$330.95</w:t>
            </w:r>
          </w:p>
        </w:tc>
      </w:tr>
    </w:tbl>
    <w:p>
      <w:pPr>
        <w:spacing w:after="0" w:line="228" w:lineRule="exact"/>
        <w:jc w:val="right"/>
        <w:rPr>
          <w:sz w:val="20"/>
        </w:rPr>
        <w:sectPr>
          <w:footerReference w:type="default" r:id="rId32"/>
          <w:pgSz w:w="12240" w:h="15840"/>
          <w:pgMar w:footer="1507" w:header="0" w:top="660" w:bottom="1700" w:left="1580" w:right="1500"/>
          <w:pgNumType w:start="88"/>
        </w:sectPr>
      </w:pPr>
    </w:p>
    <w:p>
      <w:pPr>
        <w:spacing w:before="60"/>
        <w:ind w:left="3610" w:right="3688" w:firstLine="0"/>
        <w:jc w:val="center"/>
        <w:rPr>
          <w:b/>
          <w:sz w:val="32"/>
        </w:rPr>
      </w:pPr>
      <w:r>
        <w:rPr>
          <w:b/>
          <w:sz w:val="32"/>
        </w:rPr>
        <w:t>Public Notice</w:t>
      </w:r>
    </w:p>
    <w:p>
      <w:pPr>
        <w:pStyle w:val="BodyText"/>
        <w:rPr>
          <w:b/>
          <w:sz w:val="20"/>
        </w:rPr>
      </w:pPr>
    </w:p>
    <w:p>
      <w:pPr>
        <w:pStyle w:val="BodyText"/>
        <w:spacing w:before="6" w:after="1"/>
        <w:rPr>
          <w:b/>
          <w:sz w:val="1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0"/>
        <w:gridCol w:w="2358"/>
      </w:tblGrid>
      <w:tr>
        <w:trPr>
          <w:trHeight w:val="600" w:hRule="atLeast"/>
        </w:trPr>
        <w:tc>
          <w:tcPr>
            <w:tcW w:w="6570" w:type="dxa"/>
          </w:tcPr>
          <w:p>
            <w:pPr>
              <w:pStyle w:val="TableParagraph"/>
              <w:spacing w:line="240" w:lineRule="auto" w:before="10"/>
              <w:rPr>
                <w:rFonts w:ascii="Times New Roman"/>
                <w:b/>
                <w:sz w:val="24"/>
              </w:rPr>
            </w:pPr>
          </w:p>
          <w:p>
            <w:pPr>
              <w:pStyle w:val="TableParagraph"/>
              <w:spacing w:line="301" w:lineRule="exact" w:before="1"/>
              <w:ind w:left="102"/>
              <w:rPr>
                <w:rFonts w:ascii="Times New Roman"/>
                <w:b/>
                <w:sz w:val="28"/>
              </w:rPr>
            </w:pPr>
            <w:r>
              <w:rPr>
                <w:rFonts w:ascii="Times New Roman"/>
                <w:b/>
                <w:sz w:val="28"/>
              </w:rPr>
              <w:t>PROVIDER NAME</w:t>
            </w:r>
          </w:p>
        </w:tc>
        <w:tc>
          <w:tcPr>
            <w:tcW w:w="2358" w:type="dxa"/>
          </w:tcPr>
          <w:p>
            <w:pPr>
              <w:pStyle w:val="TableParagraph"/>
              <w:spacing w:line="240" w:lineRule="auto" w:before="10"/>
              <w:rPr>
                <w:rFonts w:ascii="Times New Roman"/>
                <w:b/>
                <w:sz w:val="24"/>
              </w:rPr>
            </w:pPr>
          </w:p>
          <w:p>
            <w:pPr>
              <w:pStyle w:val="TableParagraph"/>
              <w:spacing w:line="301" w:lineRule="exact" w:before="1"/>
              <w:ind w:left="103"/>
              <w:rPr>
                <w:rFonts w:ascii="Times New Roman"/>
                <w:b/>
                <w:sz w:val="28"/>
              </w:rPr>
            </w:pPr>
            <w:r>
              <w:rPr>
                <w:rFonts w:ascii="Times New Roman"/>
                <w:b/>
                <w:sz w:val="28"/>
              </w:rPr>
              <w:t>PAPE HRY 2014</w:t>
            </w:r>
          </w:p>
        </w:tc>
      </w:tr>
      <w:tr>
        <w:trPr>
          <w:trHeight w:val="260" w:hRule="atLeast"/>
        </w:trPr>
        <w:tc>
          <w:tcPr>
            <w:tcW w:w="6570" w:type="dxa"/>
          </w:tcPr>
          <w:p>
            <w:pPr>
              <w:pStyle w:val="TableParagraph"/>
              <w:spacing w:line="228" w:lineRule="exact"/>
              <w:ind w:left="102"/>
              <w:rPr>
                <w:sz w:val="20"/>
              </w:rPr>
            </w:pPr>
            <w:r>
              <w:rPr>
                <w:sz w:val="20"/>
              </w:rPr>
              <w:t>METROWEST MEDICAL CENTER</w:t>
            </w:r>
          </w:p>
        </w:tc>
        <w:tc>
          <w:tcPr>
            <w:tcW w:w="2358" w:type="dxa"/>
          </w:tcPr>
          <w:p>
            <w:pPr>
              <w:pStyle w:val="TableParagraph"/>
              <w:spacing w:line="228" w:lineRule="exact"/>
              <w:ind w:right="101"/>
              <w:jc w:val="right"/>
              <w:rPr>
                <w:sz w:val="20"/>
              </w:rPr>
            </w:pPr>
            <w:r>
              <w:rPr>
                <w:sz w:val="20"/>
              </w:rPr>
              <w:t>$260.04</w:t>
            </w:r>
          </w:p>
        </w:tc>
      </w:tr>
      <w:tr>
        <w:trPr>
          <w:trHeight w:val="260" w:hRule="atLeast"/>
        </w:trPr>
        <w:tc>
          <w:tcPr>
            <w:tcW w:w="6570" w:type="dxa"/>
          </w:tcPr>
          <w:p>
            <w:pPr>
              <w:pStyle w:val="TableParagraph"/>
              <w:spacing w:line="228" w:lineRule="exact"/>
              <w:ind w:left="102"/>
              <w:rPr>
                <w:sz w:val="20"/>
              </w:rPr>
            </w:pPr>
            <w:r>
              <w:rPr>
                <w:sz w:val="20"/>
              </w:rPr>
              <w:t>MILFORD REGIONAL MEDICAL CENTER</w:t>
            </w:r>
          </w:p>
        </w:tc>
        <w:tc>
          <w:tcPr>
            <w:tcW w:w="2358" w:type="dxa"/>
          </w:tcPr>
          <w:p>
            <w:pPr>
              <w:pStyle w:val="TableParagraph"/>
              <w:spacing w:line="228" w:lineRule="exact"/>
              <w:ind w:right="101"/>
              <w:jc w:val="right"/>
              <w:rPr>
                <w:sz w:val="20"/>
              </w:rPr>
            </w:pPr>
            <w:r>
              <w:rPr>
                <w:sz w:val="20"/>
              </w:rPr>
              <w:t>$304.47</w:t>
            </w:r>
          </w:p>
        </w:tc>
      </w:tr>
      <w:tr>
        <w:trPr>
          <w:trHeight w:val="260" w:hRule="atLeast"/>
        </w:trPr>
        <w:tc>
          <w:tcPr>
            <w:tcW w:w="6570" w:type="dxa"/>
          </w:tcPr>
          <w:p>
            <w:pPr>
              <w:pStyle w:val="TableParagraph"/>
              <w:spacing w:line="228" w:lineRule="exact"/>
              <w:ind w:left="102"/>
              <w:rPr>
                <w:sz w:val="20"/>
              </w:rPr>
            </w:pPr>
            <w:r>
              <w:rPr>
                <w:sz w:val="20"/>
              </w:rPr>
              <w:t>MILTON HOSPITAL</w:t>
            </w:r>
          </w:p>
        </w:tc>
        <w:tc>
          <w:tcPr>
            <w:tcW w:w="2358" w:type="dxa"/>
          </w:tcPr>
          <w:p>
            <w:pPr>
              <w:pStyle w:val="TableParagraph"/>
              <w:spacing w:line="228" w:lineRule="exact"/>
              <w:ind w:right="101"/>
              <w:jc w:val="right"/>
              <w:rPr>
                <w:sz w:val="20"/>
              </w:rPr>
            </w:pPr>
            <w:r>
              <w:rPr>
                <w:sz w:val="20"/>
              </w:rPr>
              <w:t>$308.31</w:t>
            </w:r>
          </w:p>
        </w:tc>
      </w:tr>
      <w:tr>
        <w:trPr>
          <w:trHeight w:val="260" w:hRule="atLeast"/>
        </w:trPr>
        <w:tc>
          <w:tcPr>
            <w:tcW w:w="6570" w:type="dxa"/>
          </w:tcPr>
          <w:p>
            <w:pPr>
              <w:pStyle w:val="TableParagraph"/>
              <w:spacing w:line="228" w:lineRule="exact"/>
              <w:ind w:left="102"/>
              <w:rPr>
                <w:sz w:val="20"/>
              </w:rPr>
            </w:pPr>
            <w:r>
              <w:rPr>
                <w:sz w:val="20"/>
              </w:rPr>
              <w:t>MORTON HOSPITAL</w:t>
            </w:r>
          </w:p>
        </w:tc>
        <w:tc>
          <w:tcPr>
            <w:tcW w:w="2358" w:type="dxa"/>
          </w:tcPr>
          <w:p>
            <w:pPr>
              <w:pStyle w:val="TableParagraph"/>
              <w:spacing w:line="228" w:lineRule="exact"/>
              <w:ind w:right="101"/>
              <w:jc w:val="right"/>
              <w:rPr>
                <w:sz w:val="20"/>
              </w:rPr>
            </w:pPr>
            <w:r>
              <w:rPr>
                <w:sz w:val="20"/>
              </w:rPr>
              <w:t>$283.02</w:t>
            </w:r>
          </w:p>
        </w:tc>
      </w:tr>
      <w:tr>
        <w:trPr>
          <w:trHeight w:val="260" w:hRule="atLeast"/>
        </w:trPr>
        <w:tc>
          <w:tcPr>
            <w:tcW w:w="6570" w:type="dxa"/>
          </w:tcPr>
          <w:p>
            <w:pPr>
              <w:pStyle w:val="TableParagraph"/>
              <w:spacing w:line="228" w:lineRule="exact"/>
              <w:ind w:left="102"/>
              <w:rPr>
                <w:sz w:val="20"/>
              </w:rPr>
            </w:pPr>
            <w:r>
              <w:rPr>
                <w:sz w:val="20"/>
              </w:rPr>
              <w:t>MOUNT AUBURN HOSPITAL</w:t>
            </w:r>
          </w:p>
        </w:tc>
        <w:tc>
          <w:tcPr>
            <w:tcW w:w="2358" w:type="dxa"/>
          </w:tcPr>
          <w:p>
            <w:pPr>
              <w:pStyle w:val="TableParagraph"/>
              <w:spacing w:line="228" w:lineRule="exact"/>
              <w:ind w:right="101"/>
              <w:jc w:val="right"/>
              <w:rPr>
                <w:sz w:val="20"/>
              </w:rPr>
            </w:pPr>
            <w:r>
              <w:rPr>
                <w:sz w:val="20"/>
              </w:rPr>
              <w:t>$376.41</w:t>
            </w:r>
          </w:p>
        </w:tc>
      </w:tr>
      <w:tr>
        <w:trPr>
          <w:trHeight w:val="260" w:hRule="atLeast"/>
        </w:trPr>
        <w:tc>
          <w:tcPr>
            <w:tcW w:w="6570" w:type="dxa"/>
          </w:tcPr>
          <w:p>
            <w:pPr>
              <w:pStyle w:val="TableParagraph"/>
              <w:spacing w:line="228" w:lineRule="exact"/>
              <w:ind w:left="102"/>
              <w:rPr>
                <w:sz w:val="20"/>
              </w:rPr>
            </w:pPr>
            <w:r>
              <w:rPr>
                <w:sz w:val="20"/>
              </w:rPr>
              <w:t>NANTUCKET COTTAGE HOSPITAL</w:t>
            </w:r>
          </w:p>
        </w:tc>
        <w:tc>
          <w:tcPr>
            <w:tcW w:w="2358" w:type="dxa"/>
          </w:tcPr>
          <w:p>
            <w:pPr>
              <w:pStyle w:val="TableParagraph"/>
              <w:spacing w:line="228" w:lineRule="exact"/>
              <w:ind w:right="101"/>
              <w:jc w:val="right"/>
              <w:rPr>
                <w:sz w:val="20"/>
              </w:rPr>
            </w:pPr>
            <w:r>
              <w:rPr>
                <w:sz w:val="20"/>
              </w:rPr>
              <w:t>$227.06</w:t>
            </w:r>
          </w:p>
        </w:tc>
      </w:tr>
      <w:tr>
        <w:trPr>
          <w:trHeight w:val="260" w:hRule="atLeast"/>
        </w:trPr>
        <w:tc>
          <w:tcPr>
            <w:tcW w:w="6570" w:type="dxa"/>
          </w:tcPr>
          <w:p>
            <w:pPr>
              <w:pStyle w:val="TableParagraph"/>
              <w:spacing w:line="228" w:lineRule="exact"/>
              <w:ind w:left="102"/>
              <w:rPr>
                <w:sz w:val="20"/>
              </w:rPr>
            </w:pPr>
            <w:r>
              <w:rPr>
                <w:sz w:val="20"/>
              </w:rPr>
              <w:t>NASHOBA VALLEY MEDICAL CENTER</w:t>
            </w:r>
          </w:p>
        </w:tc>
        <w:tc>
          <w:tcPr>
            <w:tcW w:w="2358" w:type="dxa"/>
          </w:tcPr>
          <w:p>
            <w:pPr>
              <w:pStyle w:val="TableParagraph"/>
              <w:spacing w:line="228" w:lineRule="exact"/>
              <w:ind w:right="101"/>
              <w:jc w:val="right"/>
              <w:rPr>
                <w:sz w:val="20"/>
              </w:rPr>
            </w:pPr>
            <w:r>
              <w:rPr>
                <w:sz w:val="20"/>
              </w:rPr>
              <w:t>$310.34</w:t>
            </w:r>
          </w:p>
        </w:tc>
      </w:tr>
      <w:tr>
        <w:trPr>
          <w:trHeight w:val="260" w:hRule="atLeast"/>
        </w:trPr>
        <w:tc>
          <w:tcPr>
            <w:tcW w:w="6570" w:type="dxa"/>
          </w:tcPr>
          <w:p>
            <w:pPr>
              <w:pStyle w:val="TableParagraph"/>
              <w:spacing w:line="228" w:lineRule="exact"/>
              <w:ind w:left="102"/>
              <w:rPr>
                <w:sz w:val="20"/>
              </w:rPr>
            </w:pPr>
            <w:r>
              <w:rPr>
                <w:sz w:val="20"/>
              </w:rPr>
              <w:t>NEW ENGLAND BAPTIST HOSPITAL</w:t>
            </w:r>
          </w:p>
        </w:tc>
        <w:tc>
          <w:tcPr>
            <w:tcW w:w="2358" w:type="dxa"/>
          </w:tcPr>
          <w:p>
            <w:pPr>
              <w:pStyle w:val="TableParagraph"/>
              <w:spacing w:line="228" w:lineRule="exact"/>
              <w:ind w:right="99"/>
              <w:jc w:val="right"/>
              <w:rPr>
                <w:sz w:val="20"/>
              </w:rPr>
            </w:pPr>
            <w:r>
              <w:rPr>
                <w:sz w:val="20"/>
              </w:rPr>
              <w:t>$389.56</w:t>
            </w:r>
          </w:p>
        </w:tc>
      </w:tr>
      <w:tr>
        <w:trPr>
          <w:trHeight w:val="260" w:hRule="atLeast"/>
        </w:trPr>
        <w:tc>
          <w:tcPr>
            <w:tcW w:w="6570" w:type="dxa"/>
          </w:tcPr>
          <w:p>
            <w:pPr>
              <w:pStyle w:val="TableParagraph"/>
              <w:spacing w:line="228" w:lineRule="exact"/>
              <w:ind w:left="102"/>
              <w:rPr>
                <w:sz w:val="20"/>
              </w:rPr>
            </w:pPr>
            <w:r>
              <w:rPr>
                <w:sz w:val="20"/>
              </w:rPr>
              <w:t>NEWTON WELLESLEY HOSPITAL</w:t>
            </w:r>
          </w:p>
        </w:tc>
        <w:tc>
          <w:tcPr>
            <w:tcW w:w="2358" w:type="dxa"/>
          </w:tcPr>
          <w:p>
            <w:pPr>
              <w:pStyle w:val="TableParagraph"/>
              <w:spacing w:line="228" w:lineRule="exact"/>
              <w:ind w:right="101"/>
              <w:jc w:val="right"/>
              <w:rPr>
                <w:sz w:val="20"/>
              </w:rPr>
            </w:pPr>
            <w:r>
              <w:rPr>
                <w:sz w:val="20"/>
              </w:rPr>
              <w:t>$261.38</w:t>
            </w:r>
          </w:p>
        </w:tc>
      </w:tr>
      <w:tr>
        <w:trPr>
          <w:trHeight w:val="260" w:hRule="atLeast"/>
        </w:trPr>
        <w:tc>
          <w:tcPr>
            <w:tcW w:w="6570" w:type="dxa"/>
          </w:tcPr>
          <w:p>
            <w:pPr>
              <w:pStyle w:val="TableParagraph"/>
              <w:spacing w:line="228" w:lineRule="exact"/>
              <w:ind w:left="102"/>
              <w:rPr>
                <w:sz w:val="20"/>
              </w:rPr>
            </w:pPr>
            <w:r>
              <w:rPr>
                <w:sz w:val="20"/>
              </w:rPr>
              <w:t>NOBLE HOSPITAL</w:t>
            </w:r>
          </w:p>
        </w:tc>
        <w:tc>
          <w:tcPr>
            <w:tcW w:w="2358" w:type="dxa"/>
          </w:tcPr>
          <w:p>
            <w:pPr>
              <w:pStyle w:val="TableParagraph"/>
              <w:spacing w:line="228" w:lineRule="exact"/>
              <w:ind w:right="101"/>
              <w:jc w:val="right"/>
              <w:rPr>
                <w:sz w:val="20"/>
              </w:rPr>
            </w:pPr>
            <w:r>
              <w:rPr>
                <w:sz w:val="20"/>
              </w:rPr>
              <w:t>$268.55</w:t>
            </w:r>
          </w:p>
        </w:tc>
      </w:tr>
      <w:tr>
        <w:trPr>
          <w:trHeight w:val="260" w:hRule="atLeast"/>
        </w:trPr>
        <w:tc>
          <w:tcPr>
            <w:tcW w:w="6570" w:type="dxa"/>
          </w:tcPr>
          <w:p>
            <w:pPr>
              <w:pStyle w:val="TableParagraph"/>
              <w:spacing w:line="228" w:lineRule="exact"/>
              <w:ind w:left="102"/>
              <w:rPr>
                <w:sz w:val="20"/>
              </w:rPr>
            </w:pPr>
            <w:r>
              <w:rPr>
                <w:sz w:val="20"/>
              </w:rPr>
              <w:t>NORTH ADAMS REGIONAL HOSPITAL</w:t>
            </w:r>
          </w:p>
        </w:tc>
        <w:tc>
          <w:tcPr>
            <w:tcW w:w="2358" w:type="dxa"/>
          </w:tcPr>
          <w:p>
            <w:pPr>
              <w:pStyle w:val="TableParagraph"/>
              <w:spacing w:line="228" w:lineRule="exact"/>
              <w:ind w:right="101"/>
              <w:jc w:val="right"/>
              <w:rPr>
                <w:sz w:val="20"/>
              </w:rPr>
            </w:pPr>
            <w:r>
              <w:rPr>
                <w:sz w:val="20"/>
              </w:rPr>
              <w:t>$307.13</w:t>
            </w:r>
          </w:p>
        </w:tc>
      </w:tr>
      <w:tr>
        <w:trPr>
          <w:trHeight w:val="260" w:hRule="atLeast"/>
        </w:trPr>
        <w:tc>
          <w:tcPr>
            <w:tcW w:w="6570" w:type="dxa"/>
          </w:tcPr>
          <w:p>
            <w:pPr>
              <w:pStyle w:val="TableParagraph"/>
              <w:spacing w:line="228" w:lineRule="exact"/>
              <w:ind w:left="102"/>
              <w:rPr>
                <w:sz w:val="20"/>
              </w:rPr>
            </w:pPr>
            <w:r>
              <w:rPr>
                <w:sz w:val="20"/>
              </w:rPr>
              <w:t>NORTH SHORE MEDICAL CENTER</w:t>
            </w:r>
          </w:p>
        </w:tc>
        <w:tc>
          <w:tcPr>
            <w:tcW w:w="2358" w:type="dxa"/>
          </w:tcPr>
          <w:p>
            <w:pPr>
              <w:pStyle w:val="TableParagraph"/>
              <w:spacing w:line="228" w:lineRule="exact"/>
              <w:ind w:right="101"/>
              <w:jc w:val="right"/>
              <w:rPr>
                <w:sz w:val="20"/>
              </w:rPr>
            </w:pPr>
            <w:r>
              <w:rPr>
                <w:sz w:val="20"/>
              </w:rPr>
              <w:t>$354.26</w:t>
            </w:r>
          </w:p>
        </w:tc>
      </w:tr>
      <w:tr>
        <w:trPr>
          <w:trHeight w:val="260" w:hRule="atLeast"/>
        </w:trPr>
        <w:tc>
          <w:tcPr>
            <w:tcW w:w="6570" w:type="dxa"/>
          </w:tcPr>
          <w:p>
            <w:pPr>
              <w:pStyle w:val="TableParagraph"/>
              <w:spacing w:line="228" w:lineRule="exact"/>
              <w:ind w:left="102"/>
              <w:rPr>
                <w:sz w:val="20"/>
              </w:rPr>
            </w:pPr>
            <w:r>
              <w:rPr>
                <w:sz w:val="20"/>
              </w:rPr>
              <w:t>NORTHEAST BEVERLY HOSPITAL</w:t>
            </w:r>
          </w:p>
        </w:tc>
        <w:tc>
          <w:tcPr>
            <w:tcW w:w="2358" w:type="dxa"/>
          </w:tcPr>
          <w:p>
            <w:pPr>
              <w:pStyle w:val="TableParagraph"/>
              <w:spacing w:line="228" w:lineRule="exact"/>
              <w:ind w:right="101"/>
              <w:jc w:val="right"/>
              <w:rPr>
                <w:sz w:val="20"/>
              </w:rPr>
            </w:pPr>
            <w:r>
              <w:rPr>
                <w:sz w:val="20"/>
              </w:rPr>
              <w:t>$300.30</w:t>
            </w:r>
          </w:p>
        </w:tc>
      </w:tr>
      <w:tr>
        <w:trPr>
          <w:trHeight w:val="260" w:hRule="atLeast"/>
        </w:trPr>
        <w:tc>
          <w:tcPr>
            <w:tcW w:w="6570" w:type="dxa"/>
          </w:tcPr>
          <w:p>
            <w:pPr>
              <w:pStyle w:val="TableParagraph"/>
              <w:spacing w:line="228" w:lineRule="exact"/>
              <w:ind w:left="102"/>
              <w:rPr>
                <w:sz w:val="20"/>
              </w:rPr>
            </w:pPr>
            <w:r>
              <w:rPr>
                <w:sz w:val="20"/>
              </w:rPr>
              <w:t>NORWOOD HOSPITAL</w:t>
            </w:r>
          </w:p>
        </w:tc>
        <w:tc>
          <w:tcPr>
            <w:tcW w:w="2358" w:type="dxa"/>
          </w:tcPr>
          <w:p>
            <w:pPr>
              <w:pStyle w:val="TableParagraph"/>
              <w:spacing w:line="228" w:lineRule="exact"/>
              <w:ind w:right="101"/>
              <w:jc w:val="right"/>
              <w:rPr>
                <w:sz w:val="20"/>
              </w:rPr>
            </w:pPr>
            <w:r>
              <w:rPr>
                <w:sz w:val="20"/>
              </w:rPr>
              <w:t>$360.47</w:t>
            </w:r>
          </w:p>
        </w:tc>
      </w:tr>
      <w:tr>
        <w:trPr>
          <w:trHeight w:val="260" w:hRule="atLeast"/>
        </w:trPr>
        <w:tc>
          <w:tcPr>
            <w:tcW w:w="6570" w:type="dxa"/>
          </w:tcPr>
          <w:p>
            <w:pPr>
              <w:pStyle w:val="TableParagraph"/>
              <w:spacing w:line="228" w:lineRule="exact"/>
              <w:ind w:left="102"/>
              <w:rPr>
                <w:sz w:val="20"/>
              </w:rPr>
            </w:pPr>
            <w:r>
              <w:rPr>
                <w:sz w:val="20"/>
              </w:rPr>
              <w:t>QUINCY MEDICAL CENTER</w:t>
            </w:r>
          </w:p>
        </w:tc>
        <w:tc>
          <w:tcPr>
            <w:tcW w:w="2358" w:type="dxa"/>
          </w:tcPr>
          <w:p>
            <w:pPr>
              <w:pStyle w:val="TableParagraph"/>
              <w:spacing w:line="228" w:lineRule="exact"/>
              <w:ind w:right="102"/>
              <w:jc w:val="right"/>
              <w:rPr>
                <w:sz w:val="20"/>
              </w:rPr>
            </w:pPr>
            <w:r>
              <w:rPr>
                <w:sz w:val="20"/>
              </w:rPr>
              <w:t>$324.19</w:t>
            </w:r>
          </w:p>
        </w:tc>
      </w:tr>
      <w:tr>
        <w:trPr>
          <w:trHeight w:val="260" w:hRule="atLeast"/>
        </w:trPr>
        <w:tc>
          <w:tcPr>
            <w:tcW w:w="6570" w:type="dxa"/>
          </w:tcPr>
          <w:p>
            <w:pPr>
              <w:pStyle w:val="TableParagraph"/>
              <w:spacing w:line="228" w:lineRule="exact"/>
              <w:ind w:left="102"/>
              <w:rPr>
                <w:sz w:val="20"/>
              </w:rPr>
            </w:pPr>
            <w:r>
              <w:rPr>
                <w:sz w:val="20"/>
              </w:rPr>
              <w:t>SAINT VINCENT HOSPITAL</w:t>
            </w:r>
          </w:p>
        </w:tc>
        <w:tc>
          <w:tcPr>
            <w:tcW w:w="2358" w:type="dxa"/>
          </w:tcPr>
          <w:p>
            <w:pPr>
              <w:pStyle w:val="TableParagraph"/>
              <w:spacing w:line="228" w:lineRule="exact"/>
              <w:ind w:right="101"/>
              <w:jc w:val="right"/>
              <w:rPr>
                <w:sz w:val="20"/>
              </w:rPr>
            </w:pPr>
            <w:r>
              <w:rPr>
                <w:sz w:val="20"/>
              </w:rPr>
              <w:t>$340.69</w:t>
            </w:r>
          </w:p>
        </w:tc>
      </w:tr>
      <w:tr>
        <w:trPr>
          <w:trHeight w:val="260" w:hRule="atLeast"/>
        </w:trPr>
        <w:tc>
          <w:tcPr>
            <w:tcW w:w="6570" w:type="dxa"/>
          </w:tcPr>
          <w:p>
            <w:pPr>
              <w:pStyle w:val="TableParagraph"/>
              <w:spacing w:line="228" w:lineRule="exact"/>
              <w:ind w:left="102"/>
              <w:rPr>
                <w:sz w:val="20"/>
              </w:rPr>
            </w:pPr>
            <w:r>
              <w:rPr>
                <w:sz w:val="20"/>
              </w:rPr>
              <w:t>SHRINERS HOSPITAL-BOSTON</w:t>
            </w:r>
          </w:p>
        </w:tc>
        <w:tc>
          <w:tcPr>
            <w:tcW w:w="2358" w:type="dxa"/>
          </w:tcPr>
          <w:p>
            <w:pPr>
              <w:pStyle w:val="TableParagraph"/>
              <w:spacing w:line="228" w:lineRule="exact"/>
              <w:ind w:right="101"/>
              <w:jc w:val="right"/>
              <w:rPr>
                <w:sz w:val="20"/>
              </w:rPr>
            </w:pPr>
            <w:r>
              <w:rPr>
                <w:sz w:val="20"/>
              </w:rPr>
              <w:t>$291.65</w:t>
            </w:r>
          </w:p>
        </w:tc>
      </w:tr>
      <w:tr>
        <w:trPr>
          <w:trHeight w:val="260" w:hRule="atLeast"/>
        </w:trPr>
        <w:tc>
          <w:tcPr>
            <w:tcW w:w="6570" w:type="dxa"/>
          </w:tcPr>
          <w:p>
            <w:pPr>
              <w:pStyle w:val="TableParagraph"/>
              <w:spacing w:line="228" w:lineRule="exact"/>
              <w:ind w:left="102"/>
              <w:rPr>
                <w:sz w:val="20"/>
              </w:rPr>
            </w:pPr>
            <w:r>
              <w:rPr>
                <w:sz w:val="20"/>
              </w:rPr>
              <w:t>SHRINERS HOSPITAL-SPRINGFIELD</w:t>
            </w:r>
          </w:p>
        </w:tc>
        <w:tc>
          <w:tcPr>
            <w:tcW w:w="2358" w:type="dxa"/>
          </w:tcPr>
          <w:p>
            <w:pPr>
              <w:pStyle w:val="TableParagraph"/>
              <w:spacing w:line="228" w:lineRule="exact"/>
              <w:ind w:right="101"/>
              <w:jc w:val="right"/>
              <w:rPr>
                <w:sz w:val="20"/>
              </w:rPr>
            </w:pPr>
            <w:r>
              <w:rPr>
                <w:sz w:val="20"/>
              </w:rPr>
              <w:t>$291.65</w:t>
            </w:r>
          </w:p>
        </w:tc>
      </w:tr>
      <w:tr>
        <w:trPr>
          <w:trHeight w:val="260" w:hRule="atLeast"/>
        </w:trPr>
        <w:tc>
          <w:tcPr>
            <w:tcW w:w="6570" w:type="dxa"/>
          </w:tcPr>
          <w:p>
            <w:pPr>
              <w:pStyle w:val="TableParagraph"/>
              <w:spacing w:line="228" w:lineRule="exact"/>
              <w:ind w:left="102"/>
              <w:rPr>
                <w:sz w:val="20"/>
              </w:rPr>
            </w:pPr>
            <w:r>
              <w:rPr>
                <w:sz w:val="20"/>
              </w:rPr>
              <w:t>SOUTH SHORE HOSPITAL</w:t>
            </w:r>
          </w:p>
        </w:tc>
        <w:tc>
          <w:tcPr>
            <w:tcW w:w="2358" w:type="dxa"/>
          </w:tcPr>
          <w:p>
            <w:pPr>
              <w:pStyle w:val="TableParagraph"/>
              <w:spacing w:line="228" w:lineRule="exact"/>
              <w:ind w:right="101"/>
              <w:jc w:val="right"/>
              <w:rPr>
                <w:sz w:val="20"/>
              </w:rPr>
            </w:pPr>
            <w:r>
              <w:rPr>
                <w:sz w:val="20"/>
              </w:rPr>
              <w:t>$350.97</w:t>
            </w:r>
          </w:p>
        </w:tc>
      </w:tr>
      <w:tr>
        <w:trPr>
          <w:trHeight w:val="260" w:hRule="atLeast"/>
        </w:trPr>
        <w:tc>
          <w:tcPr>
            <w:tcW w:w="6570" w:type="dxa"/>
          </w:tcPr>
          <w:p>
            <w:pPr>
              <w:pStyle w:val="TableParagraph"/>
              <w:spacing w:line="228" w:lineRule="exact"/>
              <w:ind w:left="102"/>
              <w:rPr>
                <w:sz w:val="20"/>
              </w:rPr>
            </w:pPr>
            <w:r>
              <w:rPr>
                <w:sz w:val="20"/>
              </w:rPr>
              <w:t>SOUTHCOAST HOSPITALS GROUP</w:t>
            </w:r>
          </w:p>
        </w:tc>
        <w:tc>
          <w:tcPr>
            <w:tcW w:w="2358" w:type="dxa"/>
          </w:tcPr>
          <w:p>
            <w:pPr>
              <w:pStyle w:val="TableParagraph"/>
              <w:spacing w:line="228" w:lineRule="exact"/>
              <w:ind w:right="101"/>
              <w:jc w:val="right"/>
              <w:rPr>
                <w:sz w:val="20"/>
              </w:rPr>
            </w:pPr>
            <w:r>
              <w:rPr>
                <w:sz w:val="20"/>
              </w:rPr>
              <w:t>$324.82</w:t>
            </w:r>
          </w:p>
        </w:tc>
      </w:tr>
      <w:tr>
        <w:trPr>
          <w:trHeight w:val="260" w:hRule="atLeast"/>
        </w:trPr>
        <w:tc>
          <w:tcPr>
            <w:tcW w:w="6570" w:type="dxa"/>
          </w:tcPr>
          <w:p>
            <w:pPr>
              <w:pStyle w:val="TableParagraph"/>
              <w:spacing w:line="228" w:lineRule="exact"/>
              <w:ind w:left="102"/>
              <w:rPr>
                <w:sz w:val="20"/>
              </w:rPr>
            </w:pPr>
            <w:r>
              <w:rPr>
                <w:sz w:val="20"/>
              </w:rPr>
              <w:t>ST ANNE’S HOSPITAL</w:t>
            </w:r>
          </w:p>
        </w:tc>
        <w:tc>
          <w:tcPr>
            <w:tcW w:w="2358" w:type="dxa"/>
          </w:tcPr>
          <w:p>
            <w:pPr>
              <w:pStyle w:val="TableParagraph"/>
              <w:spacing w:line="228" w:lineRule="exact"/>
              <w:ind w:right="101"/>
              <w:jc w:val="right"/>
              <w:rPr>
                <w:sz w:val="20"/>
              </w:rPr>
            </w:pPr>
            <w:r>
              <w:rPr>
                <w:sz w:val="20"/>
              </w:rPr>
              <w:t>$341.73</w:t>
            </w:r>
          </w:p>
        </w:tc>
      </w:tr>
      <w:tr>
        <w:trPr>
          <w:trHeight w:val="260" w:hRule="atLeast"/>
        </w:trPr>
        <w:tc>
          <w:tcPr>
            <w:tcW w:w="6570" w:type="dxa"/>
          </w:tcPr>
          <w:p>
            <w:pPr>
              <w:pStyle w:val="TableParagraph"/>
              <w:spacing w:line="228" w:lineRule="exact"/>
              <w:ind w:left="102"/>
              <w:rPr>
                <w:sz w:val="20"/>
              </w:rPr>
            </w:pPr>
            <w:r>
              <w:rPr>
                <w:sz w:val="20"/>
              </w:rPr>
              <w:t>ST ELIZABETH’S HOSPITAL</w:t>
            </w:r>
          </w:p>
        </w:tc>
        <w:tc>
          <w:tcPr>
            <w:tcW w:w="2358" w:type="dxa"/>
          </w:tcPr>
          <w:p>
            <w:pPr>
              <w:pStyle w:val="TableParagraph"/>
              <w:spacing w:line="228" w:lineRule="exact"/>
              <w:ind w:right="101"/>
              <w:jc w:val="right"/>
              <w:rPr>
                <w:sz w:val="20"/>
              </w:rPr>
            </w:pPr>
            <w:r>
              <w:rPr>
                <w:sz w:val="20"/>
              </w:rPr>
              <w:t>$486.13</w:t>
            </w:r>
          </w:p>
        </w:tc>
      </w:tr>
      <w:tr>
        <w:trPr>
          <w:trHeight w:val="260" w:hRule="atLeast"/>
        </w:trPr>
        <w:tc>
          <w:tcPr>
            <w:tcW w:w="6570" w:type="dxa"/>
          </w:tcPr>
          <w:p>
            <w:pPr>
              <w:pStyle w:val="TableParagraph"/>
              <w:spacing w:line="228" w:lineRule="exact"/>
              <w:ind w:left="102"/>
              <w:rPr>
                <w:sz w:val="20"/>
              </w:rPr>
            </w:pPr>
            <w:r>
              <w:rPr>
                <w:sz w:val="20"/>
              </w:rPr>
              <w:t>STURDY MEMORIAL HOSPITAL</w:t>
            </w:r>
          </w:p>
        </w:tc>
        <w:tc>
          <w:tcPr>
            <w:tcW w:w="2358" w:type="dxa"/>
          </w:tcPr>
          <w:p>
            <w:pPr>
              <w:pStyle w:val="TableParagraph"/>
              <w:spacing w:line="228" w:lineRule="exact"/>
              <w:ind w:right="101"/>
              <w:jc w:val="right"/>
              <w:rPr>
                <w:sz w:val="20"/>
              </w:rPr>
            </w:pPr>
            <w:r>
              <w:rPr>
                <w:sz w:val="20"/>
              </w:rPr>
              <w:t>$307.60</w:t>
            </w:r>
          </w:p>
        </w:tc>
      </w:tr>
      <w:tr>
        <w:trPr>
          <w:trHeight w:val="260" w:hRule="atLeast"/>
        </w:trPr>
        <w:tc>
          <w:tcPr>
            <w:tcW w:w="6570" w:type="dxa"/>
          </w:tcPr>
          <w:p>
            <w:pPr>
              <w:pStyle w:val="TableParagraph"/>
              <w:spacing w:line="228" w:lineRule="exact"/>
              <w:ind w:left="102"/>
              <w:rPr>
                <w:sz w:val="20"/>
              </w:rPr>
            </w:pPr>
            <w:r>
              <w:rPr>
                <w:sz w:val="20"/>
              </w:rPr>
              <w:t>TUFTS MEDICAL CENTER</w:t>
            </w:r>
          </w:p>
        </w:tc>
        <w:tc>
          <w:tcPr>
            <w:tcW w:w="2358" w:type="dxa"/>
          </w:tcPr>
          <w:p>
            <w:pPr>
              <w:pStyle w:val="TableParagraph"/>
              <w:spacing w:line="228" w:lineRule="exact"/>
              <w:ind w:right="102"/>
              <w:jc w:val="right"/>
              <w:rPr>
                <w:sz w:val="20"/>
              </w:rPr>
            </w:pPr>
            <w:r>
              <w:rPr>
                <w:sz w:val="20"/>
              </w:rPr>
              <w:t>$287.05</w:t>
            </w:r>
          </w:p>
        </w:tc>
      </w:tr>
      <w:tr>
        <w:trPr>
          <w:trHeight w:val="260" w:hRule="atLeast"/>
        </w:trPr>
        <w:tc>
          <w:tcPr>
            <w:tcW w:w="6570" w:type="dxa"/>
          </w:tcPr>
          <w:p>
            <w:pPr>
              <w:pStyle w:val="TableParagraph"/>
              <w:spacing w:line="228" w:lineRule="exact"/>
              <w:ind w:left="102"/>
              <w:rPr>
                <w:sz w:val="20"/>
              </w:rPr>
            </w:pPr>
            <w:r>
              <w:rPr>
                <w:sz w:val="20"/>
              </w:rPr>
              <w:t>UMASS MEMORIAL MEDICAL CTR</w:t>
            </w:r>
          </w:p>
        </w:tc>
        <w:tc>
          <w:tcPr>
            <w:tcW w:w="2358" w:type="dxa"/>
          </w:tcPr>
          <w:p>
            <w:pPr>
              <w:pStyle w:val="TableParagraph"/>
              <w:spacing w:line="228" w:lineRule="exact"/>
              <w:ind w:right="101"/>
              <w:jc w:val="right"/>
              <w:rPr>
                <w:sz w:val="20"/>
              </w:rPr>
            </w:pPr>
            <w:r>
              <w:rPr>
                <w:sz w:val="20"/>
              </w:rPr>
              <w:t>$280.83</w:t>
            </w:r>
          </w:p>
        </w:tc>
      </w:tr>
      <w:tr>
        <w:trPr>
          <w:trHeight w:val="260" w:hRule="atLeast"/>
        </w:trPr>
        <w:tc>
          <w:tcPr>
            <w:tcW w:w="6570" w:type="dxa"/>
          </w:tcPr>
          <w:p>
            <w:pPr>
              <w:pStyle w:val="TableParagraph"/>
              <w:spacing w:line="228" w:lineRule="exact"/>
              <w:ind w:left="102"/>
              <w:rPr>
                <w:sz w:val="20"/>
              </w:rPr>
            </w:pPr>
            <w:r>
              <w:rPr>
                <w:sz w:val="20"/>
              </w:rPr>
              <w:t>WINCHESTER HOSPITAL</w:t>
            </w:r>
          </w:p>
        </w:tc>
        <w:tc>
          <w:tcPr>
            <w:tcW w:w="2358" w:type="dxa"/>
          </w:tcPr>
          <w:p>
            <w:pPr>
              <w:pStyle w:val="TableParagraph"/>
              <w:spacing w:line="228" w:lineRule="exact"/>
              <w:ind w:right="101"/>
              <w:jc w:val="right"/>
              <w:rPr>
                <w:sz w:val="20"/>
              </w:rPr>
            </w:pPr>
            <w:r>
              <w:rPr>
                <w:sz w:val="20"/>
              </w:rPr>
              <w:t>$296.95</w:t>
            </w:r>
          </w:p>
        </w:tc>
      </w:tr>
      <w:tr>
        <w:trPr>
          <w:trHeight w:val="260" w:hRule="atLeast"/>
        </w:trPr>
        <w:tc>
          <w:tcPr>
            <w:tcW w:w="6570" w:type="dxa"/>
          </w:tcPr>
          <w:p>
            <w:pPr>
              <w:pStyle w:val="TableParagraph"/>
              <w:spacing w:line="228" w:lineRule="exact"/>
              <w:ind w:left="102"/>
              <w:rPr>
                <w:sz w:val="20"/>
              </w:rPr>
            </w:pPr>
            <w:r>
              <w:rPr>
                <w:sz w:val="20"/>
              </w:rPr>
              <w:t>WING MEMORIAL HOSPITAL</w:t>
            </w:r>
          </w:p>
        </w:tc>
        <w:tc>
          <w:tcPr>
            <w:tcW w:w="2358" w:type="dxa"/>
          </w:tcPr>
          <w:p>
            <w:pPr>
              <w:pStyle w:val="TableParagraph"/>
              <w:spacing w:line="228" w:lineRule="exact"/>
              <w:ind w:right="101"/>
              <w:jc w:val="right"/>
              <w:rPr>
                <w:sz w:val="20"/>
              </w:rPr>
            </w:pPr>
            <w:r>
              <w:rPr>
                <w:sz w:val="20"/>
              </w:rPr>
              <w:t>$216.65</w:t>
            </w:r>
          </w:p>
        </w:tc>
      </w:tr>
    </w:tbl>
    <w:sectPr>
      <w:pgSz w:w="12240" w:h="15840"/>
      <w:pgMar w:header="0" w:footer="1507" w:top="660" w:bottom="1700" w:left="158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Book Antiqua">
    <w:altName w:val="Book Antiqu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5.680176pt;margin-top:743.791016pt;width:13.55pt;height:13.1pt;mso-position-horizontal-relative:page;mso-position-vertical-relative:page;z-index:-129856" type="#_x0000_t202" filled="false" stroked="false">
          <v:textbox inset="0,0,0,0">
            <w:txbxContent>
              <w:p>
                <w:pPr>
                  <w:spacing w:before="12"/>
                  <w:ind w:left="40" w:right="0" w:firstLine="0"/>
                  <w:jc w:val="left"/>
                  <w:rPr>
                    <w:sz w:val="20"/>
                  </w:rPr>
                </w:pPr>
                <w:r>
                  <w:rPr/>
                  <w:fldChar w:fldCharType="begin"/>
                </w:r>
                <w:r>
                  <w:rPr>
                    <w:w w:val="100"/>
                    <w:sz w:val="20"/>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640" type="#_x0000_t202" filled="false" stroked="false">
          <v:textbox inset="0,0,0,0">
            <w:txbxContent>
              <w:p>
                <w:pPr>
                  <w:spacing w:before="12"/>
                  <w:ind w:left="20" w:right="0" w:firstLine="0"/>
                  <w:jc w:val="left"/>
                  <w:rPr>
                    <w:sz w:val="20"/>
                  </w:rPr>
                </w:pPr>
                <w:r>
                  <w:rPr>
                    <w:sz w:val="20"/>
                  </w:rPr>
                  <w:t>50</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616"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51</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592" type="#_x0000_t202" filled="false" stroked="false">
          <v:textbox inset="0,0,0,0">
            <w:txbxContent>
              <w:p>
                <w:pPr>
                  <w:spacing w:before="12"/>
                  <w:ind w:left="20" w:right="0" w:firstLine="0"/>
                  <w:jc w:val="left"/>
                  <w:rPr>
                    <w:sz w:val="20"/>
                  </w:rPr>
                </w:pPr>
                <w:r>
                  <w:rPr>
                    <w:sz w:val="20"/>
                  </w:rPr>
                  <w:t>60</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568"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61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544" type="#_x0000_t202" filled="false" stroked="false">
          <v:textbox inset="0,0,0,0">
            <w:txbxContent>
              <w:p>
                <w:pPr>
                  <w:spacing w:before="12"/>
                  <w:ind w:left="20" w:right="0" w:firstLine="0"/>
                  <w:jc w:val="left"/>
                  <w:rPr>
                    <w:sz w:val="20"/>
                  </w:rPr>
                </w:pPr>
                <w:r>
                  <w:rPr>
                    <w:sz w:val="20"/>
                  </w:rPr>
                  <w:t>70</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520"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71</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496" type="#_x0000_t202" filled="false" stroked="false">
          <v:textbox inset="0,0,0,0">
            <w:txbxContent>
              <w:p>
                <w:pPr>
                  <w:spacing w:before="12"/>
                  <w:ind w:left="20" w:right="0" w:firstLine="0"/>
                  <w:jc w:val="left"/>
                  <w:rPr>
                    <w:sz w:val="20"/>
                  </w:rPr>
                </w:pPr>
                <w:r>
                  <w:rPr>
                    <w:sz w:val="20"/>
                  </w:rPr>
                  <w:t>80</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472"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81</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74.659973pt;margin-top:563.791016pt;width:13.85pt;height:13.1pt;mso-position-horizontal-relative:page;mso-position-vertical-relative:page;z-index:-129448"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85</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159637pt;margin-top:705.631042pt;width:13.85pt;height:13.1pt;mso-position-horizontal-relative:page;mso-position-vertical-relative:page;z-index:-129424"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88</w:t>
                </w:r>
                <w:r>
                  <w:rPr/>
                  <w:fldChar w:fldCharType="end"/>
                </w:r>
              </w:p>
            </w:txbxContent>
          </v:textbox>
          <w10:wrap type="none"/>
        </v:shape>
      </w:pict>
    </w:r>
    <w:r>
      <w:rPr/>
      <w:pict>
        <v:shape style="position:absolute;margin-left:89pt;margin-top:730.461853pt;width:281.350pt;height:15.25pt;mso-position-horizontal-relative:page;mso-position-vertical-relative:page;z-index:-129400" type="#_x0000_t202" filled="false" stroked="false">
          <v:textbox inset="0,0,0,0">
            <w:txbxContent>
              <w:p>
                <w:pPr>
                  <w:spacing w:before="16"/>
                  <w:ind w:left="20" w:right="0" w:firstLine="0"/>
                  <w:jc w:val="left"/>
                  <w:rPr>
                    <w:rFonts w:ascii="Book Antiqua"/>
                    <w:b/>
                    <w:sz w:val="22"/>
                  </w:rPr>
                </w:pPr>
                <w:r>
                  <w:rPr>
                    <w:rFonts w:ascii="Book Antiqua"/>
                    <w:b/>
                    <w:spacing w:val="-3"/>
                    <w:sz w:val="22"/>
                  </w:rPr>
                  <w:t>**For Critical Access Hospitals </w:t>
                </w:r>
                <w:r>
                  <w:rPr>
                    <w:rFonts w:ascii="Book Antiqua"/>
                    <w:b/>
                    <w:sz w:val="22"/>
                  </w:rPr>
                  <w:t>-- </w:t>
                </w:r>
                <w:r>
                  <w:rPr>
                    <w:rFonts w:ascii="Book Antiqua"/>
                    <w:b/>
                    <w:spacing w:val="-3"/>
                    <w:sz w:val="22"/>
                  </w:rPr>
                  <w:t>subject </w:t>
                </w:r>
                <w:r>
                  <w:rPr>
                    <w:rFonts w:ascii="Book Antiqua"/>
                    <w:b/>
                    <w:sz w:val="22"/>
                  </w:rPr>
                  <w:t>to </w:t>
                </w:r>
                <w:r>
                  <w:rPr>
                    <w:rFonts w:ascii="Book Antiqua"/>
                    <w:b/>
                    <w:spacing w:val="-3"/>
                    <w:sz w:val="22"/>
                  </w:rPr>
                  <w:t>reconciliation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832" type="#_x0000_t202" filled="false" stroked="false">
          <v:textbox inset="0,0,0,0">
            <w:txbxContent>
              <w:p>
                <w:pPr>
                  <w:spacing w:before="12"/>
                  <w:ind w:left="20" w:right="0" w:firstLine="0"/>
                  <w:jc w:val="left"/>
                  <w:rPr>
                    <w:sz w:val="20"/>
                  </w:rPr>
                </w:pPr>
                <w:r>
                  <w:rPr>
                    <w:sz w:val="20"/>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808"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784" type="#_x0000_t202" filled="false" stroked="false">
          <v:textbox inset="0,0,0,0">
            <w:txbxContent>
              <w:p>
                <w:pPr>
                  <w:spacing w:before="12"/>
                  <w:ind w:left="20" w:right="0" w:firstLine="0"/>
                  <w:jc w:val="left"/>
                  <w:rPr>
                    <w:sz w:val="20"/>
                  </w:rPr>
                </w:pPr>
                <w:r>
                  <w:rPr>
                    <w:sz w:val="20"/>
                  </w:rPr>
                  <w:t>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760"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21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736" type="#_x0000_t202" filled="false" stroked="false">
          <v:textbox inset="0,0,0,0">
            <w:txbxContent>
              <w:p>
                <w:pPr>
                  <w:spacing w:before="12"/>
                  <w:ind w:left="20" w:right="0" w:firstLine="0"/>
                  <w:jc w:val="left"/>
                  <w:rPr>
                    <w:sz w:val="20"/>
                  </w:rPr>
                </w:pPr>
                <w:r>
                  <w:rPr>
                    <w:sz w:val="20"/>
                  </w:rPr>
                  <w:t>30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712"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31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688" type="#_x0000_t202" filled="false" stroked="false">
          <v:textbox inset="0,0,0,0">
            <w:txbxContent>
              <w:p>
                <w:pPr>
                  <w:spacing w:before="12"/>
                  <w:ind w:left="20" w:right="0" w:firstLine="0"/>
                  <w:jc w:val="left"/>
                  <w:rPr>
                    <w:sz w:val="20"/>
                  </w:rPr>
                </w:pPr>
                <w:r>
                  <w:rPr>
                    <w:sz w:val="20"/>
                  </w:rPr>
                  <w:t>40</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664"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41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1012" w:hanging="374"/>
        <w:jc w:val="left"/>
      </w:pPr>
      <w:rPr>
        <w:rFonts w:hint="default" w:ascii="Times New Roman" w:hAnsi="Times New Roman" w:eastAsia="Times New Roman" w:cs="Times New Roman"/>
        <w:spacing w:val="-27"/>
        <w:w w:val="99"/>
        <w:sz w:val="24"/>
        <w:szCs w:val="24"/>
      </w:rPr>
    </w:lvl>
    <w:lvl w:ilvl="1">
      <w:start w:val="1"/>
      <w:numFmt w:val="lowerLetter"/>
      <w:lvlText w:val="(%2)"/>
      <w:lvlJc w:val="left"/>
      <w:pPr>
        <w:ind w:left="1372" w:hanging="360"/>
        <w:jc w:val="left"/>
      </w:pPr>
      <w:rPr>
        <w:rFonts w:hint="default" w:ascii="Times New Roman" w:hAnsi="Times New Roman" w:eastAsia="Times New Roman" w:cs="Times New Roman"/>
        <w:spacing w:val="-28"/>
        <w:w w:val="99"/>
        <w:sz w:val="24"/>
        <w:szCs w:val="24"/>
      </w:rPr>
    </w:lvl>
    <w:lvl w:ilvl="2">
      <w:start w:val="0"/>
      <w:numFmt w:val="bullet"/>
      <w:lvlText w:val="•"/>
      <w:lvlJc w:val="left"/>
      <w:pPr>
        <w:ind w:left="2302" w:hanging="360"/>
      </w:pPr>
      <w:rPr>
        <w:rFonts w:hint="default"/>
      </w:rPr>
    </w:lvl>
    <w:lvl w:ilvl="3">
      <w:start w:val="0"/>
      <w:numFmt w:val="bullet"/>
      <w:lvlText w:val="•"/>
      <w:lvlJc w:val="left"/>
      <w:pPr>
        <w:ind w:left="3224"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068" w:hanging="360"/>
      </w:pPr>
      <w:rPr>
        <w:rFonts w:hint="default"/>
      </w:rPr>
    </w:lvl>
    <w:lvl w:ilvl="6">
      <w:start w:val="0"/>
      <w:numFmt w:val="bullet"/>
      <w:lvlText w:val="•"/>
      <w:lvlJc w:val="left"/>
      <w:pPr>
        <w:ind w:left="5991" w:hanging="360"/>
      </w:pPr>
      <w:rPr>
        <w:rFonts w:hint="default"/>
      </w:rPr>
    </w:lvl>
    <w:lvl w:ilvl="7">
      <w:start w:val="0"/>
      <w:numFmt w:val="bullet"/>
      <w:lvlText w:val="•"/>
      <w:lvlJc w:val="left"/>
      <w:pPr>
        <w:ind w:left="6913" w:hanging="360"/>
      </w:pPr>
      <w:rPr>
        <w:rFonts w:hint="default"/>
      </w:rPr>
    </w:lvl>
    <w:lvl w:ilvl="8">
      <w:start w:val="0"/>
      <w:numFmt w:val="bullet"/>
      <w:lvlText w:val="•"/>
      <w:lvlJc w:val="left"/>
      <w:pPr>
        <w:ind w:left="7835" w:hanging="360"/>
      </w:pPr>
      <w:rPr>
        <w:rFonts w:hint="default"/>
      </w:rPr>
    </w:lvl>
  </w:abstractNum>
  <w:abstractNum w:abstractNumId="21">
    <w:multiLevelType w:val="hybridMultilevel"/>
    <w:lvl w:ilvl="0">
      <w:start w:val="1"/>
      <w:numFmt w:val="lowerLetter"/>
      <w:lvlText w:val="%1."/>
      <w:lvlJc w:val="left"/>
      <w:pPr>
        <w:ind w:left="1192" w:hanging="361"/>
        <w:jc w:val="left"/>
      </w:pPr>
      <w:rPr>
        <w:rFonts w:hint="default" w:ascii="Times New Roman" w:hAnsi="Times New Roman" w:eastAsia="Times New Roman" w:cs="Times New Roman"/>
        <w:spacing w:val="-5"/>
        <w:w w:val="99"/>
        <w:sz w:val="24"/>
        <w:szCs w:val="24"/>
      </w:rPr>
    </w:lvl>
    <w:lvl w:ilvl="1">
      <w:start w:val="1"/>
      <w:numFmt w:val="decimal"/>
      <w:lvlText w:val="(%2)"/>
      <w:lvlJc w:val="left"/>
      <w:pPr>
        <w:ind w:left="1552" w:hanging="360"/>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462" w:hanging="360"/>
      </w:pPr>
      <w:rPr>
        <w:rFonts w:hint="default"/>
      </w:rPr>
    </w:lvl>
    <w:lvl w:ilvl="3">
      <w:start w:val="0"/>
      <w:numFmt w:val="bullet"/>
      <w:lvlText w:val="•"/>
      <w:lvlJc w:val="left"/>
      <w:pPr>
        <w:ind w:left="3364"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8" w:hanging="360"/>
      </w:pPr>
      <w:rPr>
        <w:rFonts w:hint="default"/>
      </w:rPr>
    </w:lvl>
    <w:lvl w:ilvl="6">
      <w:start w:val="0"/>
      <w:numFmt w:val="bullet"/>
      <w:lvlText w:val="•"/>
      <w:lvlJc w:val="left"/>
      <w:pPr>
        <w:ind w:left="6071" w:hanging="360"/>
      </w:pPr>
      <w:rPr>
        <w:rFonts w:hint="default"/>
      </w:rPr>
    </w:lvl>
    <w:lvl w:ilvl="7">
      <w:start w:val="0"/>
      <w:numFmt w:val="bullet"/>
      <w:lvlText w:val="•"/>
      <w:lvlJc w:val="left"/>
      <w:pPr>
        <w:ind w:left="6973" w:hanging="360"/>
      </w:pPr>
      <w:rPr>
        <w:rFonts w:hint="default"/>
      </w:rPr>
    </w:lvl>
    <w:lvl w:ilvl="8">
      <w:start w:val="0"/>
      <w:numFmt w:val="bullet"/>
      <w:lvlText w:val="•"/>
      <w:lvlJc w:val="left"/>
      <w:pPr>
        <w:ind w:left="7875" w:hanging="360"/>
      </w:pPr>
      <w:rPr>
        <w:rFonts w:hint="default"/>
      </w:rPr>
    </w:lvl>
  </w:abstractNum>
  <w:abstractNum w:abstractNumId="20">
    <w:multiLevelType w:val="hybridMultilevel"/>
    <w:lvl w:ilvl="0">
      <w:start w:val="3"/>
      <w:numFmt w:val="upperLetter"/>
      <w:lvlText w:val="%1."/>
      <w:lvlJc w:val="left"/>
      <w:pPr>
        <w:ind w:left="479" w:hanging="368"/>
        <w:jc w:val="right"/>
      </w:pPr>
      <w:rPr>
        <w:rFonts w:hint="default" w:ascii="Times New Roman" w:hAnsi="Times New Roman" w:eastAsia="Times New Roman" w:cs="Times New Roman"/>
        <w:b/>
        <w:bCs/>
        <w:spacing w:val="-3"/>
        <w:w w:val="99"/>
        <w:sz w:val="24"/>
        <w:szCs w:val="24"/>
      </w:rPr>
    </w:lvl>
    <w:lvl w:ilvl="1">
      <w:start w:val="1"/>
      <w:numFmt w:val="decimal"/>
      <w:lvlText w:val="%2."/>
      <w:lvlJc w:val="left"/>
      <w:pPr>
        <w:ind w:left="832" w:hanging="360"/>
        <w:jc w:val="left"/>
      </w:pPr>
      <w:rPr>
        <w:rFonts w:hint="default" w:ascii="Times New Roman" w:hAnsi="Times New Roman" w:eastAsia="Times New Roman" w:cs="Times New Roman"/>
        <w:b/>
        <w:bCs/>
        <w:spacing w:val="-8"/>
        <w:w w:val="99"/>
        <w:sz w:val="24"/>
        <w:szCs w:val="24"/>
      </w:rPr>
    </w:lvl>
    <w:lvl w:ilvl="2">
      <w:start w:val="1"/>
      <w:numFmt w:val="lowerLetter"/>
      <w:lvlText w:val="%3."/>
      <w:lvlJc w:val="left"/>
      <w:pPr>
        <w:ind w:left="1192" w:hanging="360"/>
        <w:jc w:val="right"/>
      </w:pPr>
      <w:rPr>
        <w:rFonts w:hint="default" w:ascii="Times New Roman" w:hAnsi="Times New Roman" w:eastAsia="Times New Roman" w:cs="Times New Roman"/>
        <w:spacing w:val="-8"/>
        <w:w w:val="99"/>
        <w:sz w:val="24"/>
        <w:szCs w:val="24"/>
      </w:rPr>
    </w:lvl>
    <w:lvl w:ilvl="3">
      <w:start w:val="1"/>
      <w:numFmt w:val="lowerRoman"/>
      <w:lvlText w:val="%4."/>
      <w:lvlJc w:val="left"/>
      <w:pPr>
        <w:ind w:left="1552" w:hanging="360"/>
        <w:jc w:val="left"/>
      </w:pPr>
      <w:rPr>
        <w:rFonts w:hint="default" w:ascii="Times New Roman" w:hAnsi="Times New Roman" w:eastAsia="Times New Roman" w:cs="Times New Roman"/>
        <w:spacing w:val="-6"/>
        <w:w w:val="99"/>
        <w:sz w:val="24"/>
        <w:szCs w:val="24"/>
      </w:rPr>
    </w:lvl>
    <w:lvl w:ilvl="4">
      <w:start w:val="0"/>
      <w:numFmt w:val="bullet"/>
      <w:lvlText w:val="•"/>
      <w:lvlJc w:val="left"/>
      <w:pPr>
        <w:ind w:left="1420" w:hanging="360"/>
      </w:pPr>
      <w:rPr>
        <w:rFonts w:hint="default"/>
      </w:rPr>
    </w:lvl>
    <w:lvl w:ilvl="5">
      <w:start w:val="0"/>
      <w:numFmt w:val="bullet"/>
      <w:lvlText w:val="•"/>
      <w:lvlJc w:val="left"/>
      <w:pPr>
        <w:ind w:left="1560" w:hanging="360"/>
      </w:pPr>
      <w:rPr>
        <w:rFonts w:hint="default"/>
      </w:rPr>
    </w:lvl>
    <w:lvl w:ilvl="6">
      <w:start w:val="0"/>
      <w:numFmt w:val="bullet"/>
      <w:lvlText w:val="•"/>
      <w:lvlJc w:val="left"/>
      <w:pPr>
        <w:ind w:left="3156" w:hanging="360"/>
      </w:pPr>
      <w:rPr>
        <w:rFonts w:hint="default"/>
      </w:rPr>
    </w:lvl>
    <w:lvl w:ilvl="7">
      <w:start w:val="0"/>
      <w:numFmt w:val="bullet"/>
      <w:lvlText w:val="•"/>
      <w:lvlJc w:val="left"/>
      <w:pPr>
        <w:ind w:left="4752" w:hanging="360"/>
      </w:pPr>
      <w:rPr>
        <w:rFonts w:hint="default"/>
      </w:rPr>
    </w:lvl>
    <w:lvl w:ilvl="8">
      <w:start w:val="0"/>
      <w:numFmt w:val="bullet"/>
      <w:lvlText w:val="•"/>
      <w:lvlJc w:val="left"/>
      <w:pPr>
        <w:ind w:left="6348" w:hanging="360"/>
      </w:pPr>
      <w:rPr>
        <w:rFonts w:hint="default"/>
      </w:rPr>
    </w:lvl>
  </w:abstractNum>
  <w:abstractNum w:abstractNumId="19">
    <w:multiLevelType w:val="hybridMultilevel"/>
    <w:lvl w:ilvl="0">
      <w:start w:val="1"/>
      <w:numFmt w:val="upperLetter"/>
      <w:lvlText w:val="%1."/>
      <w:lvlJc w:val="left"/>
      <w:pPr>
        <w:ind w:left="1552" w:hanging="36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372" w:hanging="360"/>
      </w:pPr>
      <w:rPr>
        <w:rFonts w:hint="default"/>
      </w:rPr>
    </w:lvl>
    <w:lvl w:ilvl="2">
      <w:start w:val="0"/>
      <w:numFmt w:val="bullet"/>
      <w:lvlText w:val="•"/>
      <w:lvlJc w:val="left"/>
      <w:pPr>
        <w:ind w:left="3184" w:hanging="360"/>
      </w:pPr>
      <w:rPr>
        <w:rFonts w:hint="default"/>
      </w:rPr>
    </w:lvl>
    <w:lvl w:ilvl="3">
      <w:start w:val="0"/>
      <w:numFmt w:val="bullet"/>
      <w:lvlText w:val="•"/>
      <w:lvlJc w:val="left"/>
      <w:pPr>
        <w:ind w:left="399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620" w:hanging="360"/>
      </w:pPr>
      <w:rPr>
        <w:rFonts w:hint="default"/>
      </w:rPr>
    </w:lvl>
    <w:lvl w:ilvl="6">
      <w:start w:val="0"/>
      <w:numFmt w:val="bullet"/>
      <w:lvlText w:val="•"/>
      <w:lvlJc w:val="left"/>
      <w:pPr>
        <w:ind w:left="6432" w:hanging="360"/>
      </w:pPr>
      <w:rPr>
        <w:rFonts w:hint="default"/>
      </w:rPr>
    </w:lvl>
    <w:lvl w:ilvl="7">
      <w:start w:val="0"/>
      <w:numFmt w:val="bullet"/>
      <w:lvlText w:val="•"/>
      <w:lvlJc w:val="left"/>
      <w:pPr>
        <w:ind w:left="7244" w:hanging="360"/>
      </w:pPr>
      <w:rPr>
        <w:rFonts w:hint="default"/>
      </w:rPr>
    </w:lvl>
    <w:lvl w:ilvl="8">
      <w:start w:val="0"/>
      <w:numFmt w:val="bullet"/>
      <w:lvlText w:val="•"/>
      <w:lvlJc w:val="left"/>
      <w:pPr>
        <w:ind w:left="8056" w:hanging="360"/>
      </w:pPr>
      <w:rPr>
        <w:rFonts w:hint="default"/>
      </w:rPr>
    </w:lvl>
  </w:abstractNum>
  <w:abstractNum w:abstractNumId="18">
    <w:multiLevelType w:val="hybridMultilevel"/>
    <w:lvl w:ilvl="0">
      <w:start w:val="8"/>
      <w:numFmt w:val="decimal"/>
      <w:lvlText w:val="%1"/>
      <w:lvlJc w:val="left"/>
      <w:pPr>
        <w:ind w:left="651" w:hanging="540"/>
        <w:jc w:val="left"/>
      </w:pPr>
      <w:rPr>
        <w:rFonts w:hint="default"/>
      </w:rPr>
    </w:lvl>
    <w:lvl w:ilvl="1">
      <w:start w:val="1"/>
      <w:numFmt w:val="decimal"/>
      <w:lvlText w:val="%1.%2"/>
      <w:lvlJc w:val="left"/>
      <w:pPr>
        <w:ind w:left="651" w:hanging="540"/>
        <w:jc w:val="left"/>
      </w:pPr>
      <w:rPr>
        <w:rFonts w:hint="default" w:ascii="Times New Roman" w:hAnsi="Times New Roman" w:eastAsia="Times New Roman" w:cs="Times New Roman"/>
        <w:b/>
        <w:bCs/>
        <w:spacing w:val="-3"/>
        <w:w w:val="99"/>
        <w:sz w:val="28"/>
        <w:szCs w:val="28"/>
      </w:rPr>
    </w:lvl>
    <w:lvl w:ilvl="2">
      <w:start w:val="1"/>
      <w:numFmt w:val="upperLetter"/>
      <w:lvlText w:val="%3."/>
      <w:lvlJc w:val="left"/>
      <w:pPr>
        <w:ind w:left="1012" w:hanging="354"/>
        <w:jc w:val="right"/>
      </w:pPr>
      <w:rPr>
        <w:rFonts w:hint="default" w:ascii="Times New Roman" w:hAnsi="Times New Roman" w:eastAsia="Times New Roman" w:cs="Times New Roman"/>
        <w:b/>
        <w:bCs/>
        <w:spacing w:val="-3"/>
        <w:w w:val="99"/>
        <w:sz w:val="24"/>
        <w:szCs w:val="24"/>
      </w:rPr>
    </w:lvl>
    <w:lvl w:ilvl="3">
      <w:start w:val="1"/>
      <w:numFmt w:val="decimal"/>
      <w:lvlText w:val="%4."/>
      <w:lvlJc w:val="left"/>
      <w:pPr>
        <w:ind w:left="832" w:hanging="368"/>
        <w:jc w:val="left"/>
      </w:pPr>
      <w:rPr>
        <w:rFonts w:hint="default"/>
        <w:b/>
        <w:bCs/>
        <w:spacing w:val="-6"/>
        <w:w w:val="99"/>
      </w:rPr>
    </w:lvl>
    <w:lvl w:ilvl="4">
      <w:start w:val="1"/>
      <w:numFmt w:val="lowerLetter"/>
      <w:lvlText w:val="%5)"/>
      <w:lvlJc w:val="left"/>
      <w:pPr>
        <w:ind w:left="1192" w:hanging="368"/>
        <w:jc w:val="left"/>
      </w:pPr>
      <w:rPr>
        <w:rFonts w:hint="default" w:ascii="Times New Roman" w:hAnsi="Times New Roman" w:eastAsia="Times New Roman" w:cs="Times New Roman"/>
        <w:spacing w:val="-5"/>
        <w:w w:val="99"/>
        <w:sz w:val="24"/>
        <w:szCs w:val="24"/>
      </w:rPr>
    </w:lvl>
    <w:lvl w:ilvl="5">
      <w:start w:val="0"/>
      <w:numFmt w:val="bullet"/>
      <w:lvlText w:val="•"/>
      <w:lvlJc w:val="left"/>
      <w:pPr>
        <w:ind w:left="1200" w:hanging="368"/>
      </w:pPr>
      <w:rPr>
        <w:rFonts w:hint="default"/>
      </w:rPr>
    </w:lvl>
    <w:lvl w:ilvl="6">
      <w:start w:val="0"/>
      <w:numFmt w:val="bullet"/>
      <w:lvlText w:val="•"/>
      <w:lvlJc w:val="left"/>
      <w:pPr>
        <w:ind w:left="1380" w:hanging="368"/>
      </w:pPr>
      <w:rPr>
        <w:rFonts w:hint="default"/>
      </w:rPr>
    </w:lvl>
    <w:lvl w:ilvl="7">
      <w:start w:val="0"/>
      <w:numFmt w:val="bullet"/>
      <w:lvlText w:val="•"/>
      <w:lvlJc w:val="left"/>
      <w:pPr>
        <w:ind w:left="3440" w:hanging="368"/>
      </w:pPr>
      <w:rPr>
        <w:rFonts w:hint="default"/>
      </w:rPr>
    </w:lvl>
    <w:lvl w:ilvl="8">
      <w:start w:val="0"/>
      <w:numFmt w:val="bullet"/>
      <w:lvlText w:val="•"/>
      <w:lvlJc w:val="left"/>
      <w:pPr>
        <w:ind w:left="5500" w:hanging="368"/>
      </w:pPr>
      <w:rPr>
        <w:rFonts w:hint="default"/>
      </w:rPr>
    </w:lvl>
  </w:abstractNum>
  <w:abstractNum w:abstractNumId="17">
    <w:multiLevelType w:val="hybridMultilevel"/>
    <w:lvl w:ilvl="0">
      <w:start w:val="1"/>
      <w:numFmt w:val="lowerRoman"/>
      <w:lvlText w:val="%1."/>
      <w:lvlJc w:val="left"/>
      <w:pPr>
        <w:ind w:left="832" w:hanging="488"/>
        <w:jc w:val="right"/>
      </w:pPr>
      <w:rPr>
        <w:rFonts w:hint="default" w:ascii="Times New Roman" w:hAnsi="Times New Roman" w:eastAsia="Times New Roman" w:cs="Times New Roman"/>
        <w:spacing w:val="-2"/>
        <w:w w:val="99"/>
        <w:sz w:val="24"/>
        <w:szCs w:val="24"/>
      </w:rPr>
    </w:lvl>
    <w:lvl w:ilvl="1">
      <w:start w:val="1"/>
      <w:numFmt w:val="lowerLetter"/>
      <w:lvlText w:val="%2."/>
      <w:lvlJc w:val="left"/>
      <w:pPr>
        <w:ind w:left="1192" w:hanging="360"/>
        <w:jc w:val="right"/>
      </w:pPr>
      <w:rPr>
        <w:rFonts w:hint="default" w:ascii="Times New Roman" w:hAnsi="Times New Roman" w:eastAsia="Times New Roman" w:cs="Times New Roman"/>
        <w:b/>
        <w:bCs/>
        <w:spacing w:val="-2"/>
        <w:w w:val="99"/>
        <w:sz w:val="24"/>
        <w:szCs w:val="24"/>
      </w:rPr>
    </w:lvl>
    <w:lvl w:ilvl="2">
      <w:start w:val="0"/>
      <w:numFmt w:val="bullet"/>
      <w:lvlText w:val="•"/>
      <w:lvlJc w:val="left"/>
      <w:pPr>
        <w:ind w:left="2142" w:hanging="360"/>
      </w:pPr>
      <w:rPr>
        <w:rFonts w:hint="default"/>
      </w:rPr>
    </w:lvl>
    <w:lvl w:ilvl="3">
      <w:start w:val="0"/>
      <w:numFmt w:val="bullet"/>
      <w:lvlText w:val="•"/>
      <w:lvlJc w:val="left"/>
      <w:pPr>
        <w:ind w:left="3084" w:hanging="360"/>
      </w:pPr>
      <w:rPr>
        <w:rFonts w:hint="default"/>
      </w:rPr>
    </w:lvl>
    <w:lvl w:ilvl="4">
      <w:start w:val="0"/>
      <w:numFmt w:val="bullet"/>
      <w:lvlText w:val="•"/>
      <w:lvlJc w:val="left"/>
      <w:pPr>
        <w:ind w:left="4026" w:hanging="360"/>
      </w:pPr>
      <w:rPr>
        <w:rFonts w:hint="default"/>
      </w:rPr>
    </w:lvl>
    <w:lvl w:ilvl="5">
      <w:start w:val="0"/>
      <w:numFmt w:val="bullet"/>
      <w:lvlText w:val="•"/>
      <w:lvlJc w:val="left"/>
      <w:pPr>
        <w:ind w:left="4968" w:hanging="360"/>
      </w:pPr>
      <w:rPr>
        <w:rFonts w:hint="default"/>
      </w:rPr>
    </w:lvl>
    <w:lvl w:ilvl="6">
      <w:start w:val="0"/>
      <w:numFmt w:val="bullet"/>
      <w:lvlText w:val="•"/>
      <w:lvlJc w:val="left"/>
      <w:pPr>
        <w:ind w:left="5911" w:hanging="360"/>
      </w:pPr>
      <w:rPr>
        <w:rFonts w:hint="default"/>
      </w:rPr>
    </w:lvl>
    <w:lvl w:ilvl="7">
      <w:start w:val="0"/>
      <w:numFmt w:val="bullet"/>
      <w:lvlText w:val="•"/>
      <w:lvlJc w:val="left"/>
      <w:pPr>
        <w:ind w:left="6853" w:hanging="360"/>
      </w:pPr>
      <w:rPr>
        <w:rFonts w:hint="default"/>
      </w:rPr>
    </w:lvl>
    <w:lvl w:ilvl="8">
      <w:start w:val="0"/>
      <w:numFmt w:val="bullet"/>
      <w:lvlText w:val="•"/>
      <w:lvlJc w:val="left"/>
      <w:pPr>
        <w:ind w:left="7795" w:hanging="360"/>
      </w:pPr>
      <w:rPr>
        <w:rFonts w:hint="default"/>
      </w:rPr>
    </w:lvl>
  </w:abstractNum>
  <w:abstractNum w:abstractNumId="16">
    <w:multiLevelType w:val="hybridMultilevel"/>
    <w:lvl w:ilvl="0">
      <w:start w:val="1"/>
      <w:numFmt w:val="lowerLetter"/>
      <w:lvlText w:val="%1."/>
      <w:lvlJc w:val="left"/>
      <w:pPr>
        <w:ind w:left="1012" w:hanging="360"/>
        <w:jc w:val="right"/>
      </w:pPr>
      <w:rPr>
        <w:rFonts w:hint="default" w:ascii="Times New Roman" w:hAnsi="Times New Roman" w:eastAsia="Times New Roman" w:cs="Times New Roman"/>
        <w:spacing w:val="-6"/>
        <w:w w:val="99"/>
        <w:sz w:val="24"/>
        <w:szCs w:val="24"/>
      </w:rPr>
    </w:lvl>
    <w:lvl w:ilvl="1">
      <w:start w:val="1"/>
      <w:numFmt w:val="decimal"/>
      <w:lvlText w:val="%2."/>
      <w:lvlJc w:val="left"/>
      <w:pPr>
        <w:ind w:left="1372" w:hanging="360"/>
        <w:jc w:val="right"/>
      </w:pPr>
      <w:rPr>
        <w:rFonts w:hint="default" w:ascii="Times New Roman" w:hAnsi="Times New Roman" w:eastAsia="Times New Roman" w:cs="Times New Roman"/>
        <w:spacing w:val="-7"/>
        <w:w w:val="99"/>
        <w:sz w:val="24"/>
        <w:szCs w:val="24"/>
      </w:rPr>
    </w:lvl>
    <w:lvl w:ilvl="2">
      <w:start w:val="0"/>
      <w:numFmt w:val="bullet"/>
      <w:lvlText w:val="•"/>
      <w:lvlJc w:val="left"/>
      <w:pPr>
        <w:ind w:left="2362" w:hanging="360"/>
      </w:pPr>
      <w:rPr>
        <w:rFonts w:hint="default"/>
      </w:rPr>
    </w:lvl>
    <w:lvl w:ilvl="3">
      <w:start w:val="0"/>
      <w:numFmt w:val="bullet"/>
      <w:lvlText w:val="•"/>
      <w:lvlJc w:val="left"/>
      <w:pPr>
        <w:ind w:left="3344" w:hanging="360"/>
      </w:pPr>
      <w:rPr>
        <w:rFonts w:hint="default"/>
      </w:rPr>
    </w:lvl>
    <w:lvl w:ilvl="4">
      <w:start w:val="0"/>
      <w:numFmt w:val="bullet"/>
      <w:lvlText w:val="•"/>
      <w:lvlJc w:val="left"/>
      <w:pPr>
        <w:ind w:left="4326" w:hanging="360"/>
      </w:pPr>
      <w:rPr>
        <w:rFonts w:hint="default"/>
      </w:rPr>
    </w:lvl>
    <w:lvl w:ilvl="5">
      <w:start w:val="0"/>
      <w:numFmt w:val="bullet"/>
      <w:lvlText w:val="•"/>
      <w:lvlJc w:val="left"/>
      <w:pPr>
        <w:ind w:left="5308" w:hanging="360"/>
      </w:pPr>
      <w:rPr>
        <w:rFonts w:hint="default"/>
      </w:rPr>
    </w:lvl>
    <w:lvl w:ilvl="6">
      <w:start w:val="0"/>
      <w:numFmt w:val="bullet"/>
      <w:lvlText w:val="•"/>
      <w:lvlJc w:val="left"/>
      <w:pPr>
        <w:ind w:left="6291" w:hanging="360"/>
      </w:pPr>
      <w:rPr>
        <w:rFonts w:hint="default"/>
      </w:rPr>
    </w:lvl>
    <w:lvl w:ilvl="7">
      <w:start w:val="0"/>
      <w:numFmt w:val="bullet"/>
      <w:lvlText w:val="•"/>
      <w:lvlJc w:val="left"/>
      <w:pPr>
        <w:ind w:left="7273" w:hanging="360"/>
      </w:pPr>
      <w:rPr>
        <w:rFonts w:hint="default"/>
      </w:rPr>
    </w:lvl>
    <w:lvl w:ilvl="8">
      <w:start w:val="0"/>
      <w:numFmt w:val="bullet"/>
      <w:lvlText w:val="•"/>
      <w:lvlJc w:val="left"/>
      <w:pPr>
        <w:ind w:left="8255" w:hanging="360"/>
      </w:pPr>
      <w:rPr>
        <w:rFonts w:hint="default"/>
      </w:rPr>
    </w:lvl>
  </w:abstractNum>
  <w:abstractNum w:abstractNumId="15">
    <w:multiLevelType w:val="hybridMultilevel"/>
    <w:lvl w:ilvl="0">
      <w:start w:val="1"/>
      <w:numFmt w:val="decimal"/>
      <w:lvlText w:val="%1)"/>
      <w:lvlJc w:val="left"/>
      <w:pPr>
        <w:ind w:left="832" w:hanging="375"/>
        <w:jc w:val="right"/>
      </w:pPr>
      <w:rPr>
        <w:rFonts w:hint="default" w:ascii="Times New Roman" w:hAnsi="Times New Roman" w:eastAsia="Times New Roman" w:cs="Times New Roman"/>
        <w:b/>
        <w:bCs/>
        <w:spacing w:val="-6"/>
        <w:w w:val="99"/>
        <w:sz w:val="24"/>
        <w:szCs w:val="24"/>
      </w:rPr>
    </w:lvl>
    <w:lvl w:ilvl="1">
      <w:start w:val="1"/>
      <w:numFmt w:val="lowerRoman"/>
      <w:lvlText w:val="%2."/>
      <w:lvlJc w:val="left"/>
      <w:pPr>
        <w:ind w:left="1372" w:hanging="488"/>
        <w:jc w:val="right"/>
      </w:pPr>
      <w:rPr>
        <w:rFonts w:hint="default" w:ascii="Times New Roman" w:hAnsi="Times New Roman" w:eastAsia="Times New Roman" w:cs="Times New Roman"/>
        <w:spacing w:val="-2"/>
        <w:w w:val="99"/>
        <w:sz w:val="24"/>
        <w:szCs w:val="24"/>
      </w:rPr>
    </w:lvl>
    <w:lvl w:ilvl="2">
      <w:start w:val="0"/>
      <w:numFmt w:val="bullet"/>
      <w:lvlText w:val="•"/>
      <w:lvlJc w:val="left"/>
      <w:pPr>
        <w:ind w:left="2333" w:hanging="488"/>
      </w:pPr>
      <w:rPr>
        <w:rFonts w:hint="default"/>
      </w:rPr>
    </w:lvl>
    <w:lvl w:ilvl="3">
      <w:start w:val="0"/>
      <w:numFmt w:val="bullet"/>
      <w:lvlText w:val="•"/>
      <w:lvlJc w:val="left"/>
      <w:pPr>
        <w:ind w:left="3286" w:hanging="488"/>
      </w:pPr>
      <w:rPr>
        <w:rFonts w:hint="default"/>
      </w:rPr>
    </w:lvl>
    <w:lvl w:ilvl="4">
      <w:start w:val="0"/>
      <w:numFmt w:val="bullet"/>
      <w:lvlText w:val="•"/>
      <w:lvlJc w:val="left"/>
      <w:pPr>
        <w:ind w:left="4240" w:hanging="488"/>
      </w:pPr>
      <w:rPr>
        <w:rFonts w:hint="default"/>
      </w:rPr>
    </w:lvl>
    <w:lvl w:ilvl="5">
      <w:start w:val="0"/>
      <w:numFmt w:val="bullet"/>
      <w:lvlText w:val="•"/>
      <w:lvlJc w:val="left"/>
      <w:pPr>
        <w:ind w:left="5193" w:hanging="488"/>
      </w:pPr>
      <w:rPr>
        <w:rFonts w:hint="default"/>
      </w:rPr>
    </w:lvl>
    <w:lvl w:ilvl="6">
      <w:start w:val="0"/>
      <w:numFmt w:val="bullet"/>
      <w:lvlText w:val="•"/>
      <w:lvlJc w:val="left"/>
      <w:pPr>
        <w:ind w:left="6146" w:hanging="488"/>
      </w:pPr>
      <w:rPr>
        <w:rFonts w:hint="default"/>
      </w:rPr>
    </w:lvl>
    <w:lvl w:ilvl="7">
      <w:start w:val="0"/>
      <w:numFmt w:val="bullet"/>
      <w:lvlText w:val="•"/>
      <w:lvlJc w:val="left"/>
      <w:pPr>
        <w:ind w:left="7100" w:hanging="488"/>
      </w:pPr>
      <w:rPr>
        <w:rFonts w:hint="default"/>
      </w:rPr>
    </w:lvl>
    <w:lvl w:ilvl="8">
      <w:start w:val="0"/>
      <w:numFmt w:val="bullet"/>
      <w:lvlText w:val="•"/>
      <w:lvlJc w:val="left"/>
      <w:pPr>
        <w:ind w:left="8053" w:hanging="488"/>
      </w:pPr>
      <w:rPr>
        <w:rFonts w:hint="default"/>
      </w:rPr>
    </w:lvl>
  </w:abstractNum>
  <w:abstractNum w:abstractNumId="14">
    <w:multiLevelType w:val="hybridMultilevel"/>
    <w:lvl w:ilvl="0">
      <w:start w:val="1"/>
      <w:numFmt w:val="decimal"/>
      <w:lvlText w:val="%1)"/>
      <w:lvlJc w:val="left"/>
      <w:pPr>
        <w:ind w:left="1192" w:hanging="361"/>
        <w:jc w:val="left"/>
      </w:pPr>
      <w:rPr>
        <w:rFonts w:hint="default" w:ascii="Times New Roman" w:hAnsi="Times New Roman" w:eastAsia="Times New Roman" w:cs="Times New Roman"/>
        <w:i/>
        <w:spacing w:val="-20"/>
        <w:w w:val="99"/>
        <w:sz w:val="24"/>
        <w:szCs w:val="24"/>
      </w:rPr>
    </w:lvl>
    <w:lvl w:ilvl="1">
      <w:start w:val="1"/>
      <w:numFmt w:val="lowerRoman"/>
      <w:lvlText w:val="%2."/>
      <w:lvlJc w:val="left"/>
      <w:pPr>
        <w:ind w:left="1552" w:hanging="353"/>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462" w:hanging="353"/>
      </w:pPr>
      <w:rPr>
        <w:rFonts w:hint="default"/>
      </w:rPr>
    </w:lvl>
    <w:lvl w:ilvl="3">
      <w:start w:val="0"/>
      <w:numFmt w:val="bullet"/>
      <w:lvlText w:val="•"/>
      <w:lvlJc w:val="left"/>
      <w:pPr>
        <w:ind w:left="3364" w:hanging="353"/>
      </w:pPr>
      <w:rPr>
        <w:rFonts w:hint="default"/>
      </w:rPr>
    </w:lvl>
    <w:lvl w:ilvl="4">
      <w:start w:val="0"/>
      <w:numFmt w:val="bullet"/>
      <w:lvlText w:val="•"/>
      <w:lvlJc w:val="left"/>
      <w:pPr>
        <w:ind w:left="4266" w:hanging="353"/>
      </w:pPr>
      <w:rPr>
        <w:rFonts w:hint="default"/>
      </w:rPr>
    </w:lvl>
    <w:lvl w:ilvl="5">
      <w:start w:val="0"/>
      <w:numFmt w:val="bullet"/>
      <w:lvlText w:val="•"/>
      <w:lvlJc w:val="left"/>
      <w:pPr>
        <w:ind w:left="5168" w:hanging="353"/>
      </w:pPr>
      <w:rPr>
        <w:rFonts w:hint="default"/>
      </w:rPr>
    </w:lvl>
    <w:lvl w:ilvl="6">
      <w:start w:val="0"/>
      <w:numFmt w:val="bullet"/>
      <w:lvlText w:val="•"/>
      <w:lvlJc w:val="left"/>
      <w:pPr>
        <w:ind w:left="6071" w:hanging="353"/>
      </w:pPr>
      <w:rPr>
        <w:rFonts w:hint="default"/>
      </w:rPr>
    </w:lvl>
    <w:lvl w:ilvl="7">
      <w:start w:val="0"/>
      <w:numFmt w:val="bullet"/>
      <w:lvlText w:val="•"/>
      <w:lvlJc w:val="left"/>
      <w:pPr>
        <w:ind w:left="6973" w:hanging="353"/>
      </w:pPr>
      <w:rPr>
        <w:rFonts w:hint="default"/>
      </w:rPr>
    </w:lvl>
    <w:lvl w:ilvl="8">
      <w:start w:val="0"/>
      <w:numFmt w:val="bullet"/>
      <w:lvlText w:val="•"/>
      <w:lvlJc w:val="left"/>
      <w:pPr>
        <w:ind w:left="7875" w:hanging="353"/>
      </w:pPr>
      <w:rPr>
        <w:rFonts w:hint="default"/>
      </w:rPr>
    </w:lvl>
  </w:abstractNum>
  <w:abstractNum w:abstractNumId="13">
    <w:multiLevelType w:val="hybridMultilevel"/>
    <w:lvl w:ilvl="0">
      <w:start w:val="1"/>
      <w:numFmt w:val="decimal"/>
      <w:lvlText w:val="%1."/>
      <w:lvlJc w:val="left"/>
      <w:pPr>
        <w:ind w:left="472" w:hanging="360"/>
        <w:jc w:val="right"/>
      </w:pPr>
      <w:rPr>
        <w:rFonts w:hint="default" w:ascii="Times New Roman" w:hAnsi="Times New Roman" w:eastAsia="Times New Roman" w:cs="Times New Roman"/>
        <w:spacing w:val="-6"/>
        <w:w w:val="99"/>
        <w:sz w:val="24"/>
        <w:szCs w:val="24"/>
      </w:rPr>
    </w:lvl>
    <w:lvl w:ilvl="1">
      <w:start w:val="1"/>
      <w:numFmt w:val="lowerLetter"/>
      <w:lvlText w:val="%2."/>
      <w:lvlJc w:val="left"/>
      <w:pPr>
        <w:ind w:left="1012" w:hanging="360"/>
        <w:jc w:val="right"/>
      </w:pPr>
      <w:rPr>
        <w:rFonts w:hint="default" w:ascii="Times New Roman" w:hAnsi="Times New Roman" w:eastAsia="Times New Roman" w:cs="Times New Roman"/>
        <w:spacing w:val="-2"/>
        <w:w w:val="99"/>
        <w:sz w:val="24"/>
        <w:szCs w:val="24"/>
      </w:rPr>
    </w:lvl>
    <w:lvl w:ilvl="2">
      <w:start w:val="0"/>
      <w:numFmt w:val="bullet"/>
      <w:lvlText w:val="•"/>
      <w:lvlJc w:val="left"/>
      <w:pPr>
        <w:ind w:left="2062"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188" w:hanging="360"/>
      </w:pPr>
      <w:rPr>
        <w:rFonts w:hint="default"/>
      </w:rPr>
    </w:lvl>
    <w:lvl w:ilvl="6">
      <w:start w:val="0"/>
      <w:numFmt w:val="bullet"/>
      <w:lvlText w:val="•"/>
      <w:lvlJc w:val="left"/>
      <w:pPr>
        <w:ind w:left="6231" w:hanging="360"/>
      </w:pPr>
      <w:rPr>
        <w:rFonts w:hint="default"/>
      </w:rPr>
    </w:lvl>
    <w:lvl w:ilvl="7">
      <w:start w:val="0"/>
      <w:numFmt w:val="bullet"/>
      <w:lvlText w:val="•"/>
      <w:lvlJc w:val="left"/>
      <w:pPr>
        <w:ind w:left="7273" w:hanging="360"/>
      </w:pPr>
      <w:rPr>
        <w:rFonts w:hint="default"/>
      </w:rPr>
    </w:lvl>
    <w:lvl w:ilvl="8">
      <w:start w:val="0"/>
      <w:numFmt w:val="bullet"/>
      <w:lvlText w:val="•"/>
      <w:lvlJc w:val="left"/>
      <w:pPr>
        <w:ind w:left="8315" w:hanging="360"/>
      </w:pPr>
      <w:rPr>
        <w:rFonts w:hint="default"/>
      </w:rPr>
    </w:lvl>
  </w:abstractNum>
  <w:abstractNum w:abstractNumId="12">
    <w:multiLevelType w:val="hybridMultilevel"/>
    <w:lvl w:ilvl="0">
      <w:start w:val="7"/>
      <w:numFmt w:val="decimal"/>
      <w:lvlText w:val="%1"/>
      <w:lvlJc w:val="left"/>
      <w:pPr>
        <w:ind w:left="652" w:hanging="541"/>
        <w:jc w:val="left"/>
      </w:pPr>
      <w:rPr>
        <w:rFonts w:hint="default"/>
      </w:rPr>
    </w:lvl>
    <w:lvl w:ilvl="1">
      <w:start w:val="1"/>
      <w:numFmt w:val="decimal"/>
      <w:lvlText w:val="%1.%2"/>
      <w:lvlJc w:val="left"/>
      <w:pPr>
        <w:ind w:left="652" w:hanging="541"/>
        <w:jc w:val="right"/>
      </w:pPr>
      <w:rPr>
        <w:rFonts w:hint="default" w:ascii="Times New Roman" w:hAnsi="Times New Roman" w:eastAsia="Times New Roman" w:cs="Times New Roman"/>
        <w:b/>
        <w:bCs/>
        <w:spacing w:val="-3"/>
        <w:w w:val="99"/>
        <w:sz w:val="28"/>
        <w:szCs w:val="28"/>
      </w:rPr>
    </w:lvl>
    <w:lvl w:ilvl="2">
      <w:start w:val="1"/>
      <w:numFmt w:val="upperLetter"/>
      <w:lvlText w:val="%3."/>
      <w:lvlJc w:val="left"/>
      <w:pPr>
        <w:ind w:left="1132" w:hanging="360"/>
        <w:jc w:val="right"/>
      </w:pPr>
      <w:rPr>
        <w:rFonts w:hint="default"/>
        <w:b/>
        <w:bCs/>
        <w:spacing w:val="-1"/>
        <w:w w:val="99"/>
      </w:rPr>
    </w:lvl>
    <w:lvl w:ilvl="3">
      <w:start w:val="1"/>
      <w:numFmt w:val="decimal"/>
      <w:lvlText w:val="%4."/>
      <w:lvlJc w:val="left"/>
      <w:pPr>
        <w:ind w:left="832" w:hanging="360"/>
        <w:jc w:val="left"/>
      </w:pPr>
      <w:rPr>
        <w:rFonts w:hint="default"/>
        <w:spacing w:val="-2"/>
        <w:w w:val="99"/>
      </w:rPr>
    </w:lvl>
    <w:lvl w:ilvl="4">
      <w:start w:val="1"/>
      <w:numFmt w:val="lowerLetter"/>
      <w:lvlText w:val="%5."/>
      <w:lvlJc w:val="left"/>
      <w:pPr>
        <w:ind w:left="1102" w:hanging="360"/>
        <w:jc w:val="left"/>
      </w:pPr>
      <w:rPr>
        <w:rFonts w:hint="default" w:ascii="Times New Roman" w:hAnsi="Times New Roman" w:eastAsia="Times New Roman" w:cs="Times New Roman"/>
        <w:spacing w:val="-7"/>
        <w:w w:val="99"/>
        <w:sz w:val="24"/>
        <w:szCs w:val="24"/>
      </w:rPr>
    </w:lvl>
    <w:lvl w:ilvl="5">
      <w:start w:val="0"/>
      <w:numFmt w:val="bullet"/>
      <w:lvlText w:val="•"/>
      <w:lvlJc w:val="left"/>
      <w:pPr>
        <w:ind w:left="1200" w:hanging="360"/>
      </w:pPr>
      <w:rPr>
        <w:rFonts w:hint="default"/>
      </w:rPr>
    </w:lvl>
    <w:lvl w:ilvl="6">
      <w:start w:val="0"/>
      <w:numFmt w:val="bullet"/>
      <w:lvlText w:val="•"/>
      <w:lvlJc w:val="left"/>
      <w:pPr>
        <w:ind w:left="1380" w:hanging="360"/>
      </w:pPr>
      <w:rPr>
        <w:rFonts w:hint="default"/>
      </w:rPr>
    </w:lvl>
    <w:lvl w:ilvl="7">
      <w:start w:val="0"/>
      <w:numFmt w:val="bullet"/>
      <w:lvlText w:val="•"/>
      <w:lvlJc w:val="left"/>
      <w:pPr>
        <w:ind w:left="1500" w:hanging="360"/>
      </w:pPr>
      <w:rPr>
        <w:rFonts w:hint="default"/>
      </w:rPr>
    </w:lvl>
    <w:lvl w:ilvl="8">
      <w:start w:val="0"/>
      <w:numFmt w:val="bullet"/>
      <w:lvlText w:val="•"/>
      <w:lvlJc w:val="left"/>
      <w:pPr>
        <w:ind w:left="4226" w:hanging="360"/>
      </w:pPr>
      <w:rPr>
        <w:rFonts w:hint="default"/>
      </w:rPr>
    </w:lvl>
  </w:abstractNum>
  <w:abstractNum w:abstractNumId="11">
    <w:multiLevelType w:val="hybridMultilevel"/>
    <w:lvl w:ilvl="0">
      <w:start w:val="7"/>
      <w:numFmt w:val="upperLetter"/>
      <w:lvlText w:val="%1."/>
      <w:lvlJc w:val="left"/>
      <w:pPr>
        <w:ind w:left="660" w:hanging="549"/>
        <w:jc w:val="left"/>
      </w:pPr>
      <w:rPr>
        <w:rFonts w:hint="default" w:ascii="Times New Roman" w:hAnsi="Times New Roman" w:eastAsia="Times New Roman" w:cs="Times New Roman"/>
        <w:b/>
        <w:bCs/>
        <w:spacing w:val="-3"/>
        <w:w w:val="99"/>
        <w:sz w:val="28"/>
        <w:szCs w:val="28"/>
      </w:rPr>
    </w:lvl>
    <w:lvl w:ilvl="1">
      <w:start w:val="3"/>
      <w:numFmt w:val="upperLetter"/>
      <w:lvlText w:val="%2."/>
      <w:lvlJc w:val="left"/>
      <w:pPr>
        <w:ind w:left="832" w:hanging="361"/>
        <w:jc w:val="left"/>
      </w:pPr>
      <w:rPr>
        <w:rFonts w:hint="default" w:ascii="Times New Roman" w:hAnsi="Times New Roman" w:eastAsia="Times New Roman" w:cs="Times New Roman"/>
        <w:b/>
        <w:bCs/>
        <w:w w:val="99"/>
        <w:sz w:val="24"/>
        <w:szCs w:val="24"/>
      </w:rPr>
    </w:lvl>
    <w:lvl w:ilvl="2">
      <w:start w:val="1"/>
      <w:numFmt w:val="lowerLetter"/>
      <w:lvlText w:val="%3."/>
      <w:lvlJc w:val="left"/>
      <w:pPr>
        <w:ind w:left="1192" w:hanging="361"/>
        <w:jc w:val="right"/>
      </w:pPr>
      <w:rPr>
        <w:rFonts w:hint="default" w:ascii="Times New Roman" w:hAnsi="Times New Roman" w:eastAsia="Times New Roman" w:cs="Times New Roman"/>
        <w:b/>
        <w:bCs/>
        <w:spacing w:val="-2"/>
        <w:w w:val="99"/>
        <w:sz w:val="24"/>
        <w:szCs w:val="24"/>
      </w:rPr>
    </w:lvl>
    <w:lvl w:ilvl="3">
      <w:start w:val="0"/>
      <w:numFmt w:val="bullet"/>
      <w:lvlText w:val="•"/>
      <w:lvlJc w:val="left"/>
      <w:pPr>
        <w:ind w:left="2305" w:hanging="361"/>
      </w:pPr>
      <w:rPr>
        <w:rFonts w:hint="default"/>
      </w:rPr>
    </w:lvl>
    <w:lvl w:ilvl="4">
      <w:start w:val="0"/>
      <w:numFmt w:val="bullet"/>
      <w:lvlText w:val="•"/>
      <w:lvlJc w:val="left"/>
      <w:pPr>
        <w:ind w:left="3410" w:hanging="361"/>
      </w:pPr>
      <w:rPr>
        <w:rFonts w:hint="default"/>
      </w:rPr>
    </w:lvl>
    <w:lvl w:ilvl="5">
      <w:start w:val="0"/>
      <w:numFmt w:val="bullet"/>
      <w:lvlText w:val="•"/>
      <w:lvlJc w:val="left"/>
      <w:pPr>
        <w:ind w:left="4515" w:hanging="361"/>
      </w:pPr>
      <w:rPr>
        <w:rFonts w:hint="default"/>
      </w:rPr>
    </w:lvl>
    <w:lvl w:ilvl="6">
      <w:start w:val="0"/>
      <w:numFmt w:val="bullet"/>
      <w:lvlText w:val="•"/>
      <w:lvlJc w:val="left"/>
      <w:pPr>
        <w:ind w:left="5620" w:hanging="361"/>
      </w:pPr>
      <w:rPr>
        <w:rFonts w:hint="default"/>
      </w:rPr>
    </w:lvl>
    <w:lvl w:ilvl="7">
      <w:start w:val="0"/>
      <w:numFmt w:val="bullet"/>
      <w:lvlText w:val="•"/>
      <w:lvlJc w:val="left"/>
      <w:pPr>
        <w:ind w:left="6725" w:hanging="361"/>
      </w:pPr>
      <w:rPr>
        <w:rFonts w:hint="default"/>
      </w:rPr>
    </w:lvl>
    <w:lvl w:ilvl="8">
      <w:start w:val="0"/>
      <w:numFmt w:val="bullet"/>
      <w:lvlText w:val="•"/>
      <w:lvlJc w:val="left"/>
      <w:pPr>
        <w:ind w:left="7830" w:hanging="361"/>
      </w:pPr>
      <w:rPr>
        <w:rFonts w:hint="default"/>
      </w:rPr>
    </w:lvl>
  </w:abstractNum>
  <w:abstractNum w:abstractNumId="10">
    <w:multiLevelType w:val="hybridMultilevel"/>
    <w:lvl w:ilvl="0">
      <w:start w:val="1"/>
      <w:numFmt w:val="upperLetter"/>
      <w:lvlText w:val="%1."/>
      <w:lvlJc w:val="left"/>
      <w:pPr>
        <w:ind w:left="651" w:hanging="548"/>
        <w:jc w:val="left"/>
      </w:pPr>
      <w:rPr>
        <w:rFonts w:hint="default" w:ascii="Times New Roman" w:hAnsi="Times New Roman" w:eastAsia="Times New Roman" w:cs="Times New Roman"/>
        <w:b/>
        <w:bCs/>
        <w:spacing w:val="-3"/>
        <w:w w:val="99"/>
        <w:sz w:val="28"/>
        <w:szCs w:val="28"/>
      </w:rPr>
    </w:lvl>
    <w:lvl w:ilvl="1">
      <w:start w:val="1"/>
      <w:numFmt w:val="decimal"/>
      <w:lvlText w:val="%2."/>
      <w:lvlJc w:val="left"/>
      <w:pPr>
        <w:ind w:left="1192" w:hanging="540"/>
        <w:jc w:val="left"/>
      </w:pPr>
      <w:rPr>
        <w:rFonts w:hint="default" w:ascii="Times New Roman" w:hAnsi="Times New Roman" w:eastAsia="Times New Roman" w:cs="Times New Roman"/>
        <w:b/>
        <w:bCs/>
        <w:spacing w:val="-5"/>
        <w:w w:val="99"/>
        <w:sz w:val="24"/>
        <w:szCs w:val="24"/>
      </w:rPr>
    </w:lvl>
    <w:lvl w:ilvl="2">
      <w:start w:val="0"/>
      <w:numFmt w:val="bullet"/>
      <w:lvlText w:val="•"/>
      <w:lvlJc w:val="left"/>
      <w:pPr>
        <w:ind w:left="2202" w:hanging="540"/>
      </w:pPr>
      <w:rPr>
        <w:rFonts w:hint="default"/>
      </w:rPr>
    </w:lvl>
    <w:lvl w:ilvl="3">
      <w:start w:val="0"/>
      <w:numFmt w:val="bullet"/>
      <w:lvlText w:val="•"/>
      <w:lvlJc w:val="left"/>
      <w:pPr>
        <w:ind w:left="3204" w:hanging="540"/>
      </w:pPr>
      <w:rPr>
        <w:rFonts w:hint="default"/>
      </w:rPr>
    </w:lvl>
    <w:lvl w:ilvl="4">
      <w:start w:val="0"/>
      <w:numFmt w:val="bullet"/>
      <w:lvlText w:val="•"/>
      <w:lvlJc w:val="left"/>
      <w:pPr>
        <w:ind w:left="4206" w:hanging="540"/>
      </w:pPr>
      <w:rPr>
        <w:rFonts w:hint="default"/>
      </w:rPr>
    </w:lvl>
    <w:lvl w:ilvl="5">
      <w:start w:val="0"/>
      <w:numFmt w:val="bullet"/>
      <w:lvlText w:val="•"/>
      <w:lvlJc w:val="left"/>
      <w:pPr>
        <w:ind w:left="5208" w:hanging="540"/>
      </w:pPr>
      <w:rPr>
        <w:rFonts w:hint="default"/>
      </w:rPr>
    </w:lvl>
    <w:lvl w:ilvl="6">
      <w:start w:val="0"/>
      <w:numFmt w:val="bullet"/>
      <w:lvlText w:val="•"/>
      <w:lvlJc w:val="left"/>
      <w:pPr>
        <w:ind w:left="6211" w:hanging="540"/>
      </w:pPr>
      <w:rPr>
        <w:rFonts w:hint="default"/>
      </w:rPr>
    </w:lvl>
    <w:lvl w:ilvl="7">
      <w:start w:val="0"/>
      <w:numFmt w:val="bullet"/>
      <w:lvlText w:val="•"/>
      <w:lvlJc w:val="left"/>
      <w:pPr>
        <w:ind w:left="7213" w:hanging="540"/>
      </w:pPr>
      <w:rPr>
        <w:rFonts w:hint="default"/>
      </w:rPr>
    </w:lvl>
    <w:lvl w:ilvl="8">
      <w:start w:val="0"/>
      <w:numFmt w:val="bullet"/>
      <w:lvlText w:val="•"/>
      <w:lvlJc w:val="left"/>
      <w:pPr>
        <w:ind w:left="8215" w:hanging="540"/>
      </w:pPr>
      <w:rPr>
        <w:rFonts w:hint="default"/>
      </w:rPr>
    </w:lvl>
  </w:abstractNum>
  <w:abstractNum w:abstractNumId="9">
    <w:multiLevelType w:val="hybridMultilevel"/>
    <w:lvl w:ilvl="0">
      <w:start w:val="1"/>
      <w:numFmt w:val="decimal"/>
      <w:lvlText w:val="%1."/>
      <w:lvlJc w:val="left"/>
      <w:pPr>
        <w:ind w:left="565" w:hanging="447"/>
        <w:jc w:val="right"/>
      </w:pPr>
      <w:rPr>
        <w:rFonts w:hint="default" w:ascii="Times New Roman" w:hAnsi="Times New Roman" w:eastAsia="Times New Roman" w:cs="Times New Roman"/>
        <w:b/>
        <w:bCs/>
        <w:spacing w:val="-5"/>
        <w:w w:val="99"/>
        <w:sz w:val="24"/>
        <w:szCs w:val="24"/>
      </w:rPr>
    </w:lvl>
    <w:lvl w:ilvl="1">
      <w:start w:val="1"/>
      <w:numFmt w:val="lowerLetter"/>
      <w:lvlText w:val="%2."/>
      <w:lvlJc w:val="left"/>
      <w:pPr>
        <w:ind w:left="1012" w:hanging="447"/>
        <w:jc w:val="right"/>
      </w:pPr>
      <w:rPr>
        <w:rFonts w:hint="default" w:ascii="Times New Roman" w:hAnsi="Times New Roman" w:eastAsia="Times New Roman" w:cs="Times New Roman"/>
        <w:b/>
        <w:bCs/>
        <w:spacing w:val="-6"/>
        <w:w w:val="99"/>
        <w:sz w:val="24"/>
        <w:szCs w:val="24"/>
      </w:rPr>
    </w:lvl>
    <w:lvl w:ilvl="2">
      <w:start w:val="0"/>
      <w:numFmt w:val="bullet"/>
      <w:lvlText w:val="•"/>
      <w:lvlJc w:val="left"/>
      <w:pPr>
        <w:ind w:left="1020" w:hanging="447"/>
      </w:pPr>
      <w:rPr>
        <w:rFonts w:hint="default"/>
      </w:rPr>
    </w:lvl>
    <w:lvl w:ilvl="3">
      <w:start w:val="0"/>
      <w:numFmt w:val="bullet"/>
      <w:lvlText w:val="•"/>
      <w:lvlJc w:val="left"/>
      <w:pPr>
        <w:ind w:left="1200" w:hanging="447"/>
      </w:pPr>
      <w:rPr>
        <w:rFonts w:hint="default"/>
      </w:rPr>
    </w:lvl>
    <w:lvl w:ilvl="4">
      <w:start w:val="0"/>
      <w:numFmt w:val="bullet"/>
      <w:lvlText w:val="•"/>
      <w:lvlJc w:val="left"/>
      <w:pPr>
        <w:ind w:left="1460" w:hanging="447"/>
      </w:pPr>
      <w:rPr>
        <w:rFonts w:hint="default"/>
      </w:rPr>
    </w:lvl>
    <w:lvl w:ilvl="5">
      <w:start w:val="0"/>
      <w:numFmt w:val="bullet"/>
      <w:lvlText w:val="•"/>
      <w:lvlJc w:val="left"/>
      <w:pPr>
        <w:ind w:left="2830" w:hanging="447"/>
      </w:pPr>
      <w:rPr>
        <w:rFonts w:hint="default"/>
      </w:rPr>
    </w:lvl>
    <w:lvl w:ilvl="6">
      <w:start w:val="0"/>
      <w:numFmt w:val="bullet"/>
      <w:lvlText w:val="•"/>
      <w:lvlJc w:val="left"/>
      <w:pPr>
        <w:ind w:left="4200" w:hanging="447"/>
      </w:pPr>
      <w:rPr>
        <w:rFonts w:hint="default"/>
      </w:rPr>
    </w:lvl>
    <w:lvl w:ilvl="7">
      <w:start w:val="0"/>
      <w:numFmt w:val="bullet"/>
      <w:lvlText w:val="•"/>
      <w:lvlJc w:val="left"/>
      <w:pPr>
        <w:ind w:left="5570" w:hanging="447"/>
      </w:pPr>
      <w:rPr>
        <w:rFonts w:hint="default"/>
      </w:rPr>
    </w:lvl>
    <w:lvl w:ilvl="8">
      <w:start w:val="0"/>
      <w:numFmt w:val="bullet"/>
      <w:lvlText w:val="•"/>
      <w:lvlJc w:val="left"/>
      <w:pPr>
        <w:ind w:left="6940" w:hanging="447"/>
      </w:pPr>
      <w:rPr>
        <w:rFonts w:hint="default"/>
      </w:rPr>
    </w:lvl>
  </w:abstractNum>
  <w:abstractNum w:abstractNumId="8">
    <w:multiLevelType w:val="hybridMultilevel"/>
    <w:lvl w:ilvl="0">
      <w:start w:val="1"/>
      <w:numFmt w:val="lowerLetter"/>
      <w:lvlText w:val="%1."/>
      <w:lvlJc w:val="left"/>
      <w:pPr>
        <w:ind w:left="1052" w:hanging="526"/>
        <w:jc w:val="right"/>
      </w:pPr>
      <w:rPr>
        <w:rFonts w:hint="default" w:ascii="Times New Roman" w:hAnsi="Times New Roman" w:eastAsia="Times New Roman" w:cs="Times New Roman"/>
        <w:b/>
        <w:bCs/>
        <w:spacing w:val="-5"/>
        <w:w w:val="100"/>
        <w:sz w:val="24"/>
        <w:szCs w:val="24"/>
      </w:rPr>
    </w:lvl>
    <w:lvl w:ilvl="1">
      <w:start w:val="1"/>
      <w:numFmt w:val="decimal"/>
      <w:lvlText w:val="(%2)"/>
      <w:lvlJc w:val="left"/>
      <w:pPr>
        <w:ind w:left="1592" w:hanging="540"/>
        <w:jc w:val="left"/>
      </w:pPr>
      <w:rPr>
        <w:rFonts w:hint="default" w:ascii="Times New Roman" w:hAnsi="Times New Roman" w:eastAsia="Times New Roman" w:cs="Times New Roman"/>
        <w:b/>
        <w:bCs/>
        <w:spacing w:val="-8"/>
        <w:w w:val="99"/>
        <w:sz w:val="24"/>
        <w:szCs w:val="24"/>
      </w:rPr>
    </w:lvl>
    <w:lvl w:ilvl="2">
      <w:start w:val="0"/>
      <w:numFmt w:val="bullet"/>
      <w:lvlText w:val="•"/>
      <w:lvlJc w:val="left"/>
      <w:pPr>
        <w:ind w:left="2482" w:hanging="540"/>
      </w:pPr>
      <w:rPr>
        <w:rFonts w:hint="default"/>
      </w:rPr>
    </w:lvl>
    <w:lvl w:ilvl="3">
      <w:start w:val="0"/>
      <w:numFmt w:val="bullet"/>
      <w:lvlText w:val="•"/>
      <w:lvlJc w:val="left"/>
      <w:pPr>
        <w:ind w:left="3364" w:hanging="540"/>
      </w:pPr>
      <w:rPr>
        <w:rFonts w:hint="default"/>
      </w:rPr>
    </w:lvl>
    <w:lvl w:ilvl="4">
      <w:start w:val="0"/>
      <w:numFmt w:val="bullet"/>
      <w:lvlText w:val="•"/>
      <w:lvlJc w:val="left"/>
      <w:pPr>
        <w:ind w:left="4246" w:hanging="540"/>
      </w:pPr>
      <w:rPr>
        <w:rFonts w:hint="default"/>
      </w:rPr>
    </w:lvl>
    <w:lvl w:ilvl="5">
      <w:start w:val="0"/>
      <w:numFmt w:val="bullet"/>
      <w:lvlText w:val="•"/>
      <w:lvlJc w:val="left"/>
      <w:pPr>
        <w:ind w:left="5128" w:hanging="540"/>
      </w:pPr>
      <w:rPr>
        <w:rFonts w:hint="default"/>
      </w:rPr>
    </w:lvl>
    <w:lvl w:ilvl="6">
      <w:start w:val="0"/>
      <w:numFmt w:val="bullet"/>
      <w:lvlText w:val="•"/>
      <w:lvlJc w:val="left"/>
      <w:pPr>
        <w:ind w:left="6011" w:hanging="540"/>
      </w:pPr>
      <w:rPr>
        <w:rFonts w:hint="default"/>
      </w:rPr>
    </w:lvl>
    <w:lvl w:ilvl="7">
      <w:start w:val="0"/>
      <w:numFmt w:val="bullet"/>
      <w:lvlText w:val="•"/>
      <w:lvlJc w:val="left"/>
      <w:pPr>
        <w:ind w:left="6893" w:hanging="540"/>
      </w:pPr>
      <w:rPr>
        <w:rFonts w:hint="default"/>
      </w:rPr>
    </w:lvl>
    <w:lvl w:ilvl="8">
      <w:start w:val="0"/>
      <w:numFmt w:val="bullet"/>
      <w:lvlText w:val="•"/>
      <w:lvlJc w:val="left"/>
      <w:pPr>
        <w:ind w:left="7775" w:hanging="540"/>
      </w:pPr>
      <w:rPr>
        <w:rFonts w:hint="default"/>
      </w:rPr>
    </w:lvl>
  </w:abstractNum>
  <w:abstractNum w:abstractNumId="7">
    <w:multiLevelType w:val="hybridMultilevel"/>
    <w:lvl w:ilvl="0">
      <w:start w:val="1"/>
      <w:numFmt w:val="upperLetter"/>
      <w:lvlText w:val="%1."/>
      <w:lvlJc w:val="left"/>
      <w:pPr>
        <w:ind w:left="652" w:hanging="548"/>
        <w:jc w:val="left"/>
      </w:pPr>
      <w:rPr>
        <w:rFonts w:hint="default"/>
        <w:b/>
        <w:bCs/>
        <w:spacing w:val="-3"/>
        <w:w w:val="99"/>
      </w:rPr>
    </w:lvl>
    <w:lvl w:ilvl="1">
      <w:start w:val="1"/>
      <w:numFmt w:val="decimal"/>
      <w:lvlText w:val="%2."/>
      <w:lvlJc w:val="left"/>
      <w:pPr>
        <w:ind w:left="1206" w:hanging="548"/>
        <w:jc w:val="left"/>
      </w:pPr>
      <w:rPr>
        <w:rFonts w:hint="default"/>
        <w:b/>
        <w:bCs/>
        <w:spacing w:val="-5"/>
        <w:w w:val="99"/>
      </w:rPr>
    </w:lvl>
    <w:lvl w:ilvl="2">
      <w:start w:val="1"/>
      <w:numFmt w:val="lowerLetter"/>
      <w:lvlText w:val="%3."/>
      <w:lvlJc w:val="left"/>
      <w:pPr>
        <w:ind w:left="872" w:hanging="548"/>
        <w:jc w:val="right"/>
      </w:pPr>
      <w:rPr>
        <w:rFonts w:hint="default" w:ascii="Times New Roman" w:hAnsi="Times New Roman" w:eastAsia="Times New Roman" w:cs="Times New Roman"/>
        <w:b/>
        <w:bCs/>
        <w:spacing w:val="-5"/>
        <w:w w:val="99"/>
        <w:sz w:val="24"/>
        <w:szCs w:val="24"/>
      </w:rPr>
    </w:lvl>
    <w:lvl w:ilvl="3">
      <w:start w:val="1"/>
      <w:numFmt w:val="decimal"/>
      <w:lvlText w:val="(%4)"/>
      <w:lvlJc w:val="left"/>
      <w:pPr>
        <w:ind w:left="1372" w:hanging="548"/>
        <w:jc w:val="right"/>
      </w:pPr>
      <w:rPr>
        <w:rFonts w:hint="default" w:ascii="Times New Roman" w:hAnsi="Times New Roman" w:eastAsia="Times New Roman" w:cs="Times New Roman"/>
        <w:b/>
        <w:bCs/>
        <w:spacing w:val="-3"/>
        <w:w w:val="99"/>
        <w:sz w:val="24"/>
        <w:szCs w:val="24"/>
      </w:rPr>
    </w:lvl>
    <w:lvl w:ilvl="4">
      <w:start w:val="1"/>
      <w:numFmt w:val="lowerLetter"/>
      <w:lvlText w:val="(%5)"/>
      <w:lvlJc w:val="left"/>
      <w:pPr>
        <w:ind w:left="2139" w:hanging="548"/>
        <w:jc w:val="left"/>
      </w:pPr>
      <w:rPr>
        <w:rFonts w:hint="default" w:ascii="Times New Roman" w:hAnsi="Times New Roman" w:eastAsia="Times New Roman" w:cs="Times New Roman"/>
        <w:b/>
        <w:bCs/>
        <w:spacing w:val="-5"/>
        <w:w w:val="99"/>
        <w:sz w:val="24"/>
        <w:szCs w:val="24"/>
      </w:rPr>
    </w:lvl>
    <w:lvl w:ilvl="5">
      <w:start w:val="1"/>
      <w:numFmt w:val="decimal"/>
      <w:lvlText w:val="%6."/>
      <w:lvlJc w:val="left"/>
      <w:pPr>
        <w:ind w:left="2332" w:hanging="548"/>
        <w:jc w:val="left"/>
      </w:pPr>
      <w:rPr>
        <w:rFonts w:hint="default" w:ascii="Times New Roman" w:hAnsi="Times New Roman" w:eastAsia="Times New Roman" w:cs="Times New Roman"/>
        <w:spacing w:val="-5"/>
        <w:w w:val="99"/>
        <w:sz w:val="24"/>
        <w:szCs w:val="24"/>
      </w:rPr>
    </w:lvl>
    <w:lvl w:ilvl="6">
      <w:start w:val="0"/>
      <w:numFmt w:val="bullet"/>
      <w:lvlText w:val="•"/>
      <w:lvlJc w:val="left"/>
      <w:pPr>
        <w:ind w:left="1260" w:hanging="548"/>
      </w:pPr>
      <w:rPr>
        <w:rFonts w:hint="default"/>
      </w:rPr>
    </w:lvl>
    <w:lvl w:ilvl="7">
      <w:start w:val="0"/>
      <w:numFmt w:val="bullet"/>
      <w:lvlText w:val="•"/>
      <w:lvlJc w:val="left"/>
      <w:pPr>
        <w:ind w:left="1380" w:hanging="548"/>
      </w:pPr>
      <w:rPr>
        <w:rFonts w:hint="default"/>
      </w:rPr>
    </w:lvl>
    <w:lvl w:ilvl="8">
      <w:start w:val="0"/>
      <w:numFmt w:val="bullet"/>
      <w:lvlText w:val="•"/>
      <w:lvlJc w:val="left"/>
      <w:pPr>
        <w:ind w:left="1420" w:hanging="548"/>
      </w:pPr>
      <w:rPr>
        <w:rFonts w:hint="default"/>
      </w:rPr>
    </w:lvl>
  </w:abstractNum>
  <w:abstractNum w:abstractNumId="6">
    <w:multiLevelType w:val="hybridMultilevel"/>
    <w:lvl w:ilvl="0">
      <w:start w:val="1"/>
      <w:numFmt w:val="upperLetter"/>
      <w:lvlText w:val="%1."/>
      <w:lvlJc w:val="left"/>
      <w:pPr>
        <w:ind w:left="659" w:hanging="548"/>
        <w:jc w:val="left"/>
      </w:pPr>
      <w:rPr>
        <w:rFonts w:hint="default" w:ascii="Times New Roman" w:hAnsi="Times New Roman" w:eastAsia="Times New Roman" w:cs="Times New Roman"/>
        <w:b/>
        <w:bCs/>
        <w:spacing w:val="-3"/>
        <w:w w:val="99"/>
        <w:sz w:val="28"/>
        <w:szCs w:val="28"/>
      </w:rPr>
    </w:lvl>
    <w:lvl w:ilvl="1">
      <w:start w:val="1"/>
      <w:numFmt w:val="decimal"/>
      <w:lvlText w:val="%2."/>
      <w:lvlJc w:val="left"/>
      <w:pPr>
        <w:ind w:left="1192" w:hanging="541"/>
        <w:jc w:val="right"/>
      </w:pPr>
      <w:rPr>
        <w:rFonts w:hint="default" w:ascii="Times New Roman" w:hAnsi="Times New Roman" w:eastAsia="Times New Roman" w:cs="Times New Roman"/>
        <w:b/>
        <w:bCs/>
        <w:spacing w:val="-5"/>
        <w:w w:val="99"/>
        <w:sz w:val="24"/>
        <w:szCs w:val="24"/>
      </w:rPr>
    </w:lvl>
    <w:lvl w:ilvl="2">
      <w:start w:val="0"/>
      <w:numFmt w:val="bullet"/>
      <w:lvlText w:val="•"/>
      <w:lvlJc w:val="left"/>
      <w:pPr>
        <w:ind w:left="2202" w:hanging="541"/>
      </w:pPr>
      <w:rPr>
        <w:rFonts w:hint="default"/>
      </w:rPr>
    </w:lvl>
    <w:lvl w:ilvl="3">
      <w:start w:val="0"/>
      <w:numFmt w:val="bullet"/>
      <w:lvlText w:val="•"/>
      <w:lvlJc w:val="left"/>
      <w:pPr>
        <w:ind w:left="3204" w:hanging="541"/>
      </w:pPr>
      <w:rPr>
        <w:rFonts w:hint="default"/>
      </w:rPr>
    </w:lvl>
    <w:lvl w:ilvl="4">
      <w:start w:val="0"/>
      <w:numFmt w:val="bullet"/>
      <w:lvlText w:val="•"/>
      <w:lvlJc w:val="left"/>
      <w:pPr>
        <w:ind w:left="4206" w:hanging="541"/>
      </w:pPr>
      <w:rPr>
        <w:rFonts w:hint="default"/>
      </w:rPr>
    </w:lvl>
    <w:lvl w:ilvl="5">
      <w:start w:val="0"/>
      <w:numFmt w:val="bullet"/>
      <w:lvlText w:val="•"/>
      <w:lvlJc w:val="left"/>
      <w:pPr>
        <w:ind w:left="5208" w:hanging="541"/>
      </w:pPr>
      <w:rPr>
        <w:rFonts w:hint="default"/>
      </w:rPr>
    </w:lvl>
    <w:lvl w:ilvl="6">
      <w:start w:val="0"/>
      <w:numFmt w:val="bullet"/>
      <w:lvlText w:val="•"/>
      <w:lvlJc w:val="left"/>
      <w:pPr>
        <w:ind w:left="6211" w:hanging="541"/>
      </w:pPr>
      <w:rPr>
        <w:rFonts w:hint="default"/>
      </w:rPr>
    </w:lvl>
    <w:lvl w:ilvl="7">
      <w:start w:val="0"/>
      <w:numFmt w:val="bullet"/>
      <w:lvlText w:val="•"/>
      <w:lvlJc w:val="left"/>
      <w:pPr>
        <w:ind w:left="7213" w:hanging="541"/>
      </w:pPr>
      <w:rPr>
        <w:rFonts w:hint="default"/>
      </w:rPr>
    </w:lvl>
    <w:lvl w:ilvl="8">
      <w:start w:val="0"/>
      <w:numFmt w:val="bullet"/>
      <w:lvlText w:val="•"/>
      <w:lvlJc w:val="left"/>
      <w:pPr>
        <w:ind w:left="8215" w:hanging="541"/>
      </w:pPr>
      <w:rPr>
        <w:rFonts w:hint="default"/>
      </w:rPr>
    </w:lvl>
  </w:abstractNum>
  <w:abstractNum w:abstractNumId="5">
    <w:multiLevelType w:val="hybridMultilevel"/>
    <w:lvl w:ilvl="0">
      <w:start w:val="1"/>
      <w:numFmt w:val="upperLetter"/>
      <w:lvlText w:val="%1."/>
      <w:lvlJc w:val="left"/>
      <w:pPr>
        <w:ind w:left="652" w:hanging="540"/>
        <w:jc w:val="left"/>
      </w:pPr>
      <w:rPr>
        <w:rFonts w:hint="default" w:ascii="Times New Roman" w:hAnsi="Times New Roman" w:eastAsia="Times New Roman" w:cs="Times New Roman"/>
        <w:b/>
        <w:bCs/>
        <w:spacing w:val="-3"/>
        <w:w w:val="99"/>
        <w:sz w:val="24"/>
        <w:szCs w:val="24"/>
      </w:rPr>
    </w:lvl>
    <w:lvl w:ilvl="1">
      <w:start w:val="1"/>
      <w:numFmt w:val="decimal"/>
      <w:lvlText w:val="%2."/>
      <w:lvlJc w:val="left"/>
      <w:pPr>
        <w:ind w:left="1192" w:hanging="540"/>
        <w:jc w:val="left"/>
      </w:pPr>
      <w:rPr>
        <w:rFonts w:hint="default" w:ascii="Times New Roman" w:hAnsi="Times New Roman" w:eastAsia="Times New Roman" w:cs="Times New Roman"/>
        <w:b/>
        <w:bCs/>
        <w:spacing w:val="-5"/>
        <w:w w:val="99"/>
        <w:sz w:val="24"/>
        <w:szCs w:val="24"/>
      </w:rPr>
    </w:lvl>
    <w:lvl w:ilvl="2">
      <w:start w:val="0"/>
      <w:numFmt w:val="bullet"/>
      <w:lvlText w:val="•"/>
      <w:lvlJc w:val="left"/>
      <w:pPr>
        <w:ind w:left="2202" w:hanging="540"/>
      </w:pPr>
      <w:rPr>
        <w:rFonts w:hint="default"/>
      </w:rPr>
    </w:lvl>
    <w:lvl w:ilvl="3">
      <w:start w:val="0"/>
      <w:numFmt w:val="bullet"/>
      <w:lvlText w:val="•"/>
      <w:lvlJc w:val="left"/>
      <w:pPr>
        <w:ind w:left="3204" w:hanging="540"/>
      </w:pPr>
      <w:rPr>
        <w:rFonts w:hint="default"/>
      </w:rPr>
    </w:lvl>
    <w:lvl w:ilvl="4">
      <w:start w:val="0"/>
      <w:numFmt w:val="bullet"/>
      <w:lvlText w:val="•"/>
      <w:lvlJc w:val="left"/>
      <w:pPr>
        <w:ind w:left="4206" w:hanging="540"/>
      </w:pPr>
      <w:rPr>
        <w:rFonts w:hint="default"/>
      </w:rPr>
    </w:lvl>
    <w:lvl w:ilvl="5">
      <w:start w:val="0"/>
      <w:numFmt w:val="bullet"/>
      <w:lvlText w:val="•"/>
      <w:lvlJc w:val="left"/>
      <w:pPr>
        <w:ind w:left="5208" w:hanging="540"/>
      </w:pPr>
      <w:rPr>
        <w:rFonts w:hint="default"/>
      </w:rPr>
    </w:lvl>
    <w:lvl w:ilvl="6">
      <w:start w:val="0"/>
      <w:numFmt w:val="bullet"/>
      <w:lvlText w:val="•"/>
      <w:lvlJc w:val="left"/>
      <w:pPr>
        <w:ind w:left="6211" w:hanging="540"/>
      </w:pPr>
      <w:rPr>
        <w:rFonts w:hint="default"/>
      </w:rPr>
    </w:lvl>
    <w:lvl w:ilvl="7">
      <w:start w:val="0"/>
      <w:numFmt w:val="bullet"/>
      <w:lvlText w:val="•"/>
      <w:lvlJc w:val="left"/>
      <w:pPr>
        <w:ind w:left="7213" w:hanging="540"/>
      </w:pPr>
      <w:rPr>
        <w:rFonts w:hint="default"/>
      </w:rPr>
    </w:lvl>
    <w:lvl w:ilvl="8">
      <w:start w:val="0"/>
      <w:numFmt w:val="bullet"/>
      <w:lvlText w:val="•"/>
      <w:lvlJc w:val="left"/>
      <w:pPr>
        <w:ind w:left="8215" w:hanging="540"/>
      </w:pPr>
      <w:rPr>
        <w:rFonts w:hint="default"/>
      </w:rPr>
    </w:lvl>
  </w:abstractNum>
  <w:abstractNum w:abstractNumId="4">
    <w:multiLevelType w:val="hybridMultilevel"/>
    <w:lvl w:ilvl="0">
      <w:start w:val="4"/>
      <w:numFmt w:val="decimal"/>
      <w:lvlText w:val="%1."/>
      <w:lvlJc w:val="left"/>
      <w:pPr>
        <w:ind w:left="472" w:hanging="319"/>
        <w:jc w:val="left"/>
      </w:pPr>
      <w:rPr>
        <w:rFonts w:hint="default" w:ascii="Times New Roman" w:hAnsi="Times New Roman" w:eastAsia="Times New Roman" w:cs="Times New Roman"/>
        <w:b/>
        <w:bCs/>
        <w:w w:val="100"/>
        <w:sz w:val="24"/>
        <w:szCs w:val="24"/>
      </w:rPr>
    </w:lvl>
    <w:lvl w:ilvl="1">
      <w:start w:val="1"/>
      <w:numFmt w:val="decimal"/>
      <w:lvlText w:val="%2."/>
      <w:lvlJc w:val="left"/>
      <w:pPr>
        <w:ind w:left="832" w:hanging="360"/>
        <w:jc w:val="left"/>
      </w:pPr>
      <w:rPr>
        <w:rFonts w:hint="default" w:ascii="Times New Roman" w:hAnsi="Times New Roman" w:eastAsia="Times New Roman" w:cs="Times New Roman"/>
        <w:spacing w:val="-7"/>
        <w:w w:val="99"/>
        <w:sz w:val="24"/>
        <w:szCs w:val="24"/>
      </w:rPr>
    </w:lvl>
    <w:lvl w:ilvl="2">
      <w:start w:val="0"/>
      <w:numFmt w:val="bullet"/>
      <w:lvlText w:val="•"/>
      <w:lvlJc w:val="left"/>
      <w:pPr>
        <w:ind w:left="1882" w:hanging="360"/>
      </w:pPr>
      <w:rPr>
        <w:rFonts w:hint="default"/>
      </w:rPr>
    </w:lvl>
    <w:lvl w:ilvl="3">
      <w:start w:val="0"/>
      <w:numFmt w:val="bullet"/>
      <w:lvlText w:val="•"/>
      <w:lvlJc w:val="left"/>
      <w:pPr>
        <w:ind w:left="2924" w:hanging="360"/>
      </w:pPr>
      <w:rPr>
        <w:rFonts w:hint="default"/>
      </w:rPr>
    </w:lvl>
    <w:lvl w:ilvl="4">
      <w:start w:val="0"/>
      <w:numFmt w:val="bullet"/>
      <w:lvlText w:val="•"/>
      <w:lvlJc w:val="left"/>
      <w:pPr>
        <w:ind w:left="3966" w:hanging="360"/>
      </w:pPr>
      <w:rPr>
        <w:rFonts w:hint="default"/>
      </w:rPr>
    </w:lvl>
    <w:lvl w:ilvl="5">
      <w:start w:val="0"/>
      <w:numFmt w:val="bullet"/>
      <w:lvlText w:val="•"/>
      <w:lvlJc w:val="left"/>
      <w:pPr>
        <w:ind w:left="5008" w:hanging="360"/>
      </w:pPr>
      <w:rPr>
        <w:rFonts w:hint="default"/>
      </w:rPr>
    </w:lvl>
    <w:lvl w:ilvl="6">
      <w:start w:val="0"/>
      <w:numFmt w:val="bullet"/>
      <w:lvlText w:val="•"/>
      <w:lvlJc w:val="left"/>
      <w:pPr>
        <w:ind w:left="6051" w:hanging="360"/>
      </w:pPr>
      <w:rPr>
        <w:rFonts w:hint="default"/>
      </w:rPr>
    </w:lvl>
    <w:lvl w:ilvl="7">
      <w:start w:val="0"/>
      <w:numFmt w:val="bullet"/>
      <w:lvlText w:val="•"/>
      <w:lvlJc w:val="left"/>
      <w:pPr>
        <w:ind w:left="7093" w:hanging="360"/>
      </w:pPr>
      <w:rPr>
        <w:rFonts w:hint="default"/>
      </w:rPr>
    </w:lvl>
    <w:lvl w:ilvl="8">
      <w:start w:val="0"/>
      <w:numFmt w:val="bullet"/>
      <w:lvlText w:val="•"/>
      <w:lvlJc w:val="left"/>
      <w:pPr>
        <w:ind w:left="8135" w:hanging="360"/>
      </w:pPr>
      <w:rPr>
        <w:rFonts w:hint="default"/>
      </w:rPr>
    </w:lvl>
  </w:abstractNum>
  <w:abstractNum w:abstractNumId="3">
    <w:multiLevelType w:val="hybridMultilevel"/>
    <w:lvl w:ilvl="0">
      <w:start w:val="1"/>
      <w:numFmt w:val="decimal"/>
      <w:lvlText w:val="%1."/>
      <w:lvlJc w:val="left"/>
      <w:pPr>
        <w:ind w:left="832"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778" w:hanging="360"/>
      </w:pPr>
      <w:rPr>
        <w:rFonts w:hint="default"/>
      </w:rPr>
    </w:lvl>
    <w:lvl w:ilvl="2">
      <w:start w:val="0"/>
      <w:numFmt w:val="bullet"/>
      <w:lvlText w:val="•"/>
      <w:lvlJc w:val="left"/>
      <w:pPr>
        <w:ind w:left="2716" w:hanging="360"/>
      </w:pPr>
      <w:rPr>
        <w:rFonts w:hint="default"/>
      </w:rPr>
    </w:lvl>
    <w:lvl w:ilvl="3">
      <w:start w:val="0"/>
      <w:numFmt w:val="bullet"/>
      <w:lvlText w:val="•"/>
      <w:lvlJc w:val="left"/>
      <w:pPr>
        <w:ind w:left="3654" w:hanging="360"/>
      </w:pPr>
      <w:rPr>
        <w:rFonts w:hint="default"/>
      </w:rPr>
    </w:lvl>
    <w:lvl w:ilvl="4">
      <w:start w:val="0"/>
      <w:numFmt w:val="bullet"/>
      <w:lvlText w:val="•"/>
      <w:lvlJc w:val="left"/>
      <w:pPr>
        <w:ind w:left="4592" w:hanging="360"/>
      </w:pPr>
      <w:rPr>
        <w:rFonts w:hint="default"/>
      </w:rPr>
    </w:lvl>
    <w:lvl w:ilvl="5">
      <w:start w:val="0"/>
      <w:numFmt w:val="bullet"/>
      <w:lvlText w:val="•"/>
      <w:lvlJc w:val="left"/>
      <w:pPr>
        <w:ind w:left="5530" w:hanging="360"/>
      </w:pPr>
      <w:rPr>
        <w:rFonts w:hint="default"/>
      </w:rPr>
    </w:lvl>
    <w:lvl w:ilvl="6">
      <w:start w:val="0"/>
      <w:numFmt w:val="bullet"/>
      <w:lvlText w:val="•"/>
      <w:lvlJc w:val="left"/>
      <w:pPr>
        <w:ind w:left="6468" w:hanging="360"/>
      </w:pPr>
      <w:rPr>
        <w:rFonts w:hint="default"/>
      </w:rPr>
    </w:lvl>
    <w:lvl w:ilvl="7">
      <w:start w:val="0"/>
      <w:numFmt w:val="bullet"/>
      <w:lvlText w:val="•"/>
      <w:lvlJc w:val="left"/>
      <w:pPr>
        <w:ind w:left="7406" w:hanging="360"/>
      </w:pPr>
      <w:rPr>
        <w:rFonts w:hint="default"/>
      </w:rPr>
    </w:lvl>
    <w:lvl w:ilvl="8">
      <w:start w:val="0"/>
      <w:numFmt w:val="bullet"/>
      <w:lvlText w:val="•"/>
      <w:lvlJc w:val="left"/>
      <w:pPr>
        <w:ind w:left="8344" w:hanging="360"/>
      </w:pPr>
      <w:rPr>
        <w:rFonts w:hint="default"/>
      </w:rPr>
    </w:lvl>
  </w:abstractNum>
  <w:abstractNum w:abstractNumId="2">
    <w:multiLevelType w:val="hybridMultilevel"/>
    <w:lvl w:ilvl="0">
      <w:start w:val="2"/>
      <w:numFmt w:val="decimal"/>
      <w:lvlText w:val="%1."/>
      <w:lvlJc w:val="left"/>
      <w:pPr>
        <w:ind w:left="472" w:hanging="361"/>
        <w:jc w:val="left"/>
      </w:pPr>
      <w:rPr>
        <w:rFonts w:hint="default" w:ascii="Times New Roman" w:hAnsi="Times New Roman" w:eastAsia="Times New Roman" w:cs="Times New Roman"/>
        <w:b/>
        <w:bCs/>
        <w:w w:val="99"/>
        <w:sz w:val="24"/>
        <w:szCs w:val="24"/>
      </w:rPr>
    </w:lvl>
    <w:lvl w:ilvl="1">
      <w:start w:val="1"/>
      <w:numFmt w:val="upperLetter"/>
      <w:lvlText w:val="%2."/>
      <w:lvlJc w:val="left"/>
      <w:pPr>
        <w:ind w:left="832" w:hanging="360"/>
        <w:jc w:val="left"/>
      </w:pPr>
      <w:rPr>
        <w:rFonts w:hint="default" w:ascii="Times New Roman" w:hAnsi="Times New Roman" w:eastAsia="Times New Roman" w:cs="Times New Roman"/>
        <w:b/>
        <w:bCs/>
        <w:spacing w:val="-1"/>
        <w:w w:val="99"/>
        <w:sz w:val="24"/>
        <w:szCs w:val="24"/>
      </w:rPr>
    </w:lvl>
    <w:lvl w:ilvl="2">
      <w:start w:val="1"/>
      <w:numFmt w:val="decimal"/>
      <w:lvlText w:val="%3."/>
      <w:lvlJc w:val="left"/>
      <w:pPr>
        <w:ind w:left="1192" w:hanging="360"/>
        <w:jc w:val="left"/>
      </w:pPr>
      <w:rPr>
        <w:rFonts w:hint="default" w:ascii="Times New Roman" w:hAnsi="Times New Roman" w:eastAsia="Times New Roman" w:cs="Times New Roman"/>
        <w:spacing w:val="-6"/>
        <w:w w:val="99"/>
        <w:sz w:val="24"/>
        <w:szCs w:val="24"/>
      </w:rPr>
    </w:lvl>
    <w:lvl w:ilvl="3">
      <w:start w:val="0"/>
      <w:numFmt w:val="bullet"/>
      <w:lvlText w:val="•"/>
      <w:lvlJc w:val="left"/>
      <w:pPr>
        <w:ind w:left="2327"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582" w:hanging="360"/>
      </w:pPr>
      <w:rPr>
        <w:rFonts w:hint="default"/>
      </w:rPr>
    </w:lvl>
    <w:lvl w:ilvl="6">
      <w:start w:val="0"/>
      <w:numFmt w:val="bullet"/>
      <w:lvlText w:val="•"/>
      <w:lvlJc w:val="left"/>
      <w:pPr>
        <w:ind w:left="5710"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965" w:hanging="360"/>
      </w:pPr>
      <w:rPr>
        <w:rFonts w:hint="default"/>
      </w:rPr>
    </w:lvl>
  </w:abstractNum>
  <w:abstractNum w:abstractNumId="1">
    <w:multiLevelType w:val="hybridMultilevel"/>
    <w:lvl w:ilvl="0">
      <w:start w:val="0"/>
      <w:numFmt w:val="bullet"/>
      <w:lvlText w:val=""/>
      <w:lvlJc w:val="left"/>
      <w:pPr>
        <w:ind w:left="872" w:hanging="360"/>
      </w:pPr>
      <w:rPr>
        <w:rFonts w:hint="default" w:ascii="Symbol" w:hAnsi="Symbol" w:eastAsia="Symbol" w:cs="Symbol"/>
        <w:w w:val="100"/>
        <w:sz w:val="24"/>
        <w:szCs w:val="24"/>
      </w:rPr>
    </w:lvl>
    <w:lvl w:ilvl="1">
      <w:start w:val="0"/>
      <w:numFmt w:val="bullet"/>
      <w:lvlText w:val="•"/>
      <w:lvlJc w:val="left"/>
      <w:pPr>
        <w:ind w:left="174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84" w:hanging="360"/>
      </w:pPr>
      <w:rPr>
        <w:rFonts w:hint="default"/>
      </w:rPr>
    </w:lvl>
    <w:lvl w:ilvl="4">
      <w:start w:val="0"/>
      <w:numFmt w:val="bullet"/>
      <w:lvlText w:val="•"/>
      <w:lvlJc w:val="left"/>
      <w:pPr>
        <w:ind w:left="4352"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6956" w:hanging="360"/>
      </w:pPr>
      <w:rPr>
        <w:rFonts w:hint="default"/>
      </w:rPr>
    </w:lvl>
    <w:lvl w:ilvl="8">
      <w:start w:val="0"/>
      <w:numFmt w:val="bullet"/>
      <w:lvlText w:val="•"/>
      <w:lvlJc w:val="left"/>
      <w:pPr>
        <w:ind w:left="7824" w:hanging="360"/>
      </w:pPr>
      <w:rPr>
        <w:rFonts w:hint="default"/>
      </w:rPr>
    </w:lvl>
  </w:abstractNum>
  <w:abstractNum w:abstractNumId="0">
    <w:multiLevelType w:val="hybridMultilevel"/>
    <w:lvl w:ilvl="0">
      <w:start w:val="1"/>
      <w:numFmt w:val="decimal"/>
      <w:lvlText w:val="%1."/>
      <w:lvlJc w:val="left"/>
      <w:pPr>
        <w:ind w:left="472" w:hanging="360"/>
        <w:jc w:val="left"/>
      </w:pPr>
      <w:rPr>
        <w:rFonts w:hint="default" w:ascii="Times New Roman" w:hAnsi="Times New Roman" w:eastAsia="Times New Roman" w:cs="Times New Roman"/>
        <w:b/>
        <w:bCs/>
        <w:w w:val="99"/>
        <w:sz w:val="24"/>
        <w:szCs w:val="24"/>
      </w:rPr>
    </w:lvl>
    <w:lvl w:ilvl="1">
      <w:start w:val="1"/>
      <w:numFmt w:val="upperLetter"/>
      <w:lvlText w:val="%2."/>
      <w:lvlJc w:val="left"/>
      <w:pPr>
        <w:ind w:left="832" w:hanging="361"/>
        <w:jc w:val="right"/>
      </w:pPr>
      <w:rPr>
        <w:rFonts w:hint="default" w:ascii="Times New Roman" w:hAnsi="Times New Roman" w:eastAsia="Times New Roman" w:cs="Times New Roman"/>
        <w:b/>
        <w:bCs/>
        <w:w w:val="99"/>
        <w:sz w:val="24"/>
        <w:szCs w:val="24"/>
      </w:rPr>
    </w:lvl>
    <w:lvl w:ilvl="2">
      <w:start w:val="1"/>
      <w:numFmt w:val="decimal"/>
      <w:lvlText w:val="%3."/>
      <w:lvlJc w:val="left"/>
      <w:pPr>
        <w:ind w:left="832" w:hanging="360"/>
        <w:jc w:val="left"/>
      </w:pPr>
      <w:rPr>
        <w:rFonts w:hint="default" w:ascii="Times New Roman" w:hAnsi="Times New Roman" w:eastAsia="Times New Roman" w:cs="Times New Roman"/>
        <w:spacing w:val="-5"/>
        <w:w w:val="99"/>
        <w:sz w:val="24"/>
        <w:szCs w:val="24"/>
      </w:rPr>
    </w:lvl>
    <w:lvl w:ilvl="3">
      <w:start w:val="0"/>
      <w:numFmt w:val="bullet"/>
      <w:lvlText w:val=""/>
      <w:lvlJc w:val="left"/>
      <w:pPr>
        <w:ind w:left="1176" w:hanging="360"/>
      </w:pPr>
      <w:rPr>
        <w:rFonts w:hint="default" w:ascii="Symbol" w:hAnsi="Symbol" w:eastAsia="Symbol" w:cs="Symbol"/>
        <w:w w:val="100"/>
        <w:sz w:val="24"/>
        <w:szCs w:val="24"/>
      </w:rPr>
    </w:lvl>
    <w:lvl w:ilvl="4">
      <w:start w:val="0"/>
      <w:numFmt w:val="bullet"/>
      <w:lvlText w:val="•"/>
      <w:lvlJc w:val="left"/>
      <w:pPr>
        <w:ind w:left="333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90" w:hanging="360"/>
      </w:pPr>
      <w:rPr>
        <w:rFonts w:hint="default"/>
      </w:rPr>
    </w:lvl>
    <w:lvl w:ilvl="7">
      <w:start w:val="0"/>
      <w:numFmt w:val="bullet"/>
      <w:lvlText w:val="•"/>
      <w:lvlJc w:val="left"/>
      <w:pPr>
        <w:ind w:left="6567" w:hanging="360"/>
      </w:pPr>
      <w:rPr>
        <w:rFonts w:hint="default"/>
      </w:rPr>
    </w:lvl>
    <w:lvl w:ilvl="8">
      <w:start w:val="0"/>
      <w:numFmt w:val="bullet"/>
      <w:lvlText w:val="•"/>
      <w:lvlJc w:val="left"/>
      <w:pPr>
        <w:ind w:left="7645" w:hanging="360"/>
      </w:pPr>
      <w:rPr>
        <w:rFonts w:hint="default"/>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0"/>
      <w:ind w:left="6896" w:right="6157"/>
      <w:jc w:val="center"/>
      <w:outlineLvl w:val="1"/>
    </w:pPr>
    <w:rPr>
      <w:rFonts w:ascii="Times New Roman" w:hAnsi="Times New Roman" w:eastAsia="Times New Roman" w:cs="Times New Roman"/>
      <w:b/>
      <w:bCs/>
      <w:sz w:val="32"/>
      <w:szCs w:val="32"/>
    </w:rPr>
  </w:style>
  <w:style w:styleId="Heading2" w:type="paragraph">
    <w:name w:val="Heading 2"/>
    <w:basedOn w:val="Normal"/>
    <w:uiPriority w:val="1"/>
    <w:qFormat/>
    <w:pPr>
      <w:ind w:left="660" w:hanging="548"/>
      <w:outlineLvl w:val="2"/>
    </w:pPr>
    <w:rPr>
      <w:rFonts w:ascii="Times New Roman" w:hAnsi="Times New Roman" w:eastAsia="Times New Roman" w:cs="Times New Roman"/>
      <w:b/>
      <w:bCs/>
      <w:sz w:val="28"/>
      <w:szCs w:val="28"/>
    </w:rPr>
  </w:style>
  <w:style w:styleId="Heading3" w:type="paragraph">
    <w:name w:val="Heading 3"/>
    <w:basedOn w:val="Normal"/>
    <w:uiPriority w:val="1"/>
    <w:qFormat/>
    <w:pPr>
      <w:ind w:left="666" w:hanging="547"/>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2" w:hanging="360"/>
    </w:pPr>
    <w:rPr>
      <w:rFonts w:ascii="Times New Roman" w:hAnsi="Times New Roman" w:eastAsia="Times New Roman" w:cs="Times New Roman"/>
    </w:rPr>
  </w:style>
  <w:style w:styleId="TableParagraph" w:type="paragraph">
    <w:name w:val="Table Paragraph"/>
    <w:basedOn w:val="Normal"/>
    <w:uiPriority w:val="1"/>
    <w:qFormat/>
    <w:pPr>
      <w:spacing w:line="166" w:lineRule="exac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iki.feldmar@state.ma.us"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yperlink" Target="http://www.mass.gov/druglist)" TargetMode="External"/><Relationship Id="rId12" Type="http://schemas.openxmlformats.org/officeDocument/2006/relationships/hyperlink" Target="http://www.cms.hhs.gov/" TargetMode="Externa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yperlink" Target="http://www.mass.gov/eohhs/gov/laws-regs/hhs/community-health-care-providers-ambulatory-" TargetMode="External"/><Relationship Id="rId16" Type="http://schemas.openxmlformats.org/officeDocument/2006/relationships/hyperlink" Target="http://www.mass.gov/eohhs/gov/laws-regs/hhs/community-" TargetMode="Externa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hyperlink" Target="mailto:Masshealthhospitalquality@state.ma.us" TargetMode="Externa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hyperlink" Target="http://massqex.ehs.state.ma.us/" TargetMode="External"/><Relationship Id="rId26" Type="http://schemas.openxmlformats.org/officeDocument/2006/relationships/hyperlink" Target="http://massqex.ehs.state.ma.us/%3B" TargetMode="External"/><Relationship Id="rId27" Type="http://schemas.openxmlformats.org/officeDocument/2006/relationships/hyperlink" Target="http://www.mass.gov/eohhs/gov/laws-regs/masshealth/special-notices-for-" TargetMode="Externa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footer" Target="footer19.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rfa14-notice-of-final-agency-action.rtf</dc:title>
  <dcterms:created xsi:type="dcterms:W3CDTF">2017-10-19T18:28:28Z</dcterms:created>
  <dcterms:modified xsi:type="dcterms:W3CDTF">2017-10-19T18:28:28Z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2013-09-25T00:00:00Z</vt:filetime>
  </property>
  <property fmtid="{D5CDD505-2E9C-101B-9397-08002B2CF9AE}" pid="3" name="Creator">
    <vt:lpwstr>PScript5.dll Version 5.2.2</vt:lpwstr>
  </property>
  <property fmtid="{D5CDD505-2E9C-101B-9397-08002B2CF9AE}" pid="4" name="LastSaved">
    <vt:filetime>2017-10-19T00:00:00Z</vt:filetime>
  </property>
</Properties>
</file>