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3500" w:right="0"/>
        <w:jc w:val="left"/>
      </w:pPr>
      <w:r>
        <w:rPr/>
        <w:t>NOTICE OF FINAL AGENCY ACTION</w:t>
      </w:r>
    </w:p>
    <w:p>
      <w:pPr>
        <w:pStyle w:val="BodyText"/>
        <w:spacing w:before="9"/>
        <w:rPr>
          <w:b/>
          <w:sz w:val="23"/>
        </w:rPr>
      </w:pPr>
    </w:p>
    <w:p>
      <w:pPr>
        <w:pStyle w:val="BodyText"/>
        <w:tabs>
          <w:tab w:pos="1561" w:val="left" w:leader="none"/>
        </w:tabs>
        <w:ind w:left="1559" w:right="310" w:hanging="1440"/>
      </w:pPr>
      <w:r>
        <w:rPr/>
        <w:t>SUBJECT:</w:t>
        <w:tab/>
        <w:tab/>
        <w:t>MassHealth:  Payment for Chronic Disease and Rehabilitation</w:t>
      </w:r>
      <w:r>
        <w:rPr>
          <w:spacing w:val="-9"/>
        </w:rPr>
        <w:t> </w:t>
      </w:r>
      <w:r>
        <w:rPr/>
        <w:t>Hospital</w:t>
      </w:r>
      <w:r>
        <w:rPr>
          <w:spacing w:val="-1"/>
        </w:rPr>
        <w:t> </w:t>
      </w:r>
      <w:r>
        <w:rPr/>
        <w:t>Services</w:t>
      </w:r>
      <w:r>
        <w:rPr>
          <w:w w:val="99"/>
        </w:rPr>
        <w:t> </w:t>
      </w:r>
      <w:r>
        <w:rPr/>
        <w:t>effective October 1,</w:t>
      </w:r>
      <w:r>
        <w:rPr>
          <w:spacing w:val="-1"/>
        </w:rPr>
        <w:t> </w:t>
      </w:r>
      <w:r>
        <w:rPr/>
        <w:t>2014</w:t>
      </w:r>
    </w:p>
    <w:p>
      <w:pPr>
        <w:pStyle w:val="BodyText"/>
      </w:pPr>
    </w:p>
    <w:p>
      <w:pPr>
        <w:pStyle w:val="BodyText"/>
        <w:ind w:left="119"/>
        <w:jc w:val="both"/>
      </w:pPr>
      <w:r>
        <w:rPr/>
        <w:t>AGENCY:      Massachusetts Executive Office of Health and Human Services</w:t>
      </w:r>
    </w:p>
    <w:p>
      <w:pPr>
        <w:pStyle w:val="BodyText"/>
      </w:pPr>
    </w:p>
    <w:p>
      <w:pPr>
        <w:pStyle w:val="BodyText"/>
        <w:ind w:left="119" w:right="116"/>
        <w:jc w:val="both"/>
      </w:pPr>
      <w:r>
        <w:rPr/>
        <w:t>SUMMARY OF FINAL ACTION: Pursuant to the provisions of M.G.L. c. 118E, §13A, rates and terms of payment for services rendered by chronic disease and rehabilitation hospitals to patients entitled to medical assistance under M.G.L. c. 118E, §1 </w:t>
      </w:r>
      <w:r>
        <w:rPr>
          <w:i/>
        </w:rPr>
        <w:t>et seq. </w:t>
      </w:r>
      <w:r>
        <w:rPr/>
        <w:t>are established by contract between the MassHealth program and participating hospitals. This notice describes the methods and standards for the establishment of rates of payment by contract for rate year (RY) 2015, effective October 1, 2014, between the Executive Office of Health and Human Services (HHS) and participating chronic disease and rehabilitation hospitals.</w:t>
      </w:r>
    </w:p>
    <w:p>
      <w:pPr>
        <w:pStyle w:val="BodyText"/>
      </w:pPr>
    </w:p>
    <w:p>
      <w:pPr>
        <w:pStyle w:val="BodyText"/>
        <w:ind w:left="119"/>
        <w:jc w:val="both"/>
      </w:pPr>
      <w:r>
        <w:rPr/>
        <w:t>DESCRIPTION OF METHODS AND STANDARDS</w:t>
      </w:r>
    </w:p>
    <w:p>
      <w:pPr>
        <w:pStyle w:val="BodyText"/>
        <w:spacing w:before="10"/>
        <w:rPr>
          <w:sz w:val="25"/>
        </w:rPr>
      </w:pPr>
    </w:p>
    <w:p>
      <w:pPr>
        <w:pStyle w:val="BodyText"/>
        <w:ind w:left="119" w:right="114"/>
        <w:jc w:val="both"/>
      </w:pPr>
      <w:r>
        <w:rPr/>
        <w:t>HHS established a comprehensive inpatient per diem rate for each participating hospital,  covering both routine and ancillary services provided to inpatients.  HHS derives the inpatient  per diem rate from the 2003 operating and capital cost information for each hospital. The operating costs are updated from fiscal year 2003 using a composite index comprised of two cost categories: Labor and Non-labor. These categories are weighted according to the weights used  by the Center for Medicare and Medicaid Services (CMS) for Prospective Payment System (PPS)-excluded hospitals. The inflation proxy for the labor cost category is the Massachusetts Consumer Price Index. The inflation proxy for the non-labor cost category is the non-labor portion of the CMS market basket for hospitals. The RY 2015 update factor for operating costs is 1.672%. The CMS Capital Input Price Index is used in computing an allowance for inpatient capital, which is derived from fiscal year 2003 patient care capital expenditure data. An individual efficiency standard is applied to inpatient overhead costs. The efficiency standard is the median base year unit</w:t>
      </w:r>
      <w:r>
        <w:rPr>
          <w:spacing w:val="-7"/>
        </w:rPr>
        <w:t> </w:t>
      </w:r>
      <w:r>
        <w:rPr/>
        <w:t>cost.</w:t>
      </w:r>
    </w:p>
    <w:p>
      <w:pPr>
        <w:pStyle w:val="BodyText"/>
        <w:spacing w:before="11"/>
        <w:rPr>
          <w:sz w:val="23"/>
        </w:rPr>
      </w:pPr>
    </w:p>
    <w:p>
      <w:pPr>
        <w:pStyle w:val="BodyText"/>
        <w:ind w:left="119" w:right="116"/>
        <w:jc w:val="both"/>
      </w:pPr>
      <w:r>
        <w:rPr/>
        <w:t>HHS pays chronic disease and rehabilitation hospitals located in the Commonwealth that serve solely children and adolescents with complex acute rehabilitation and chronic needs in accordance with Section 271 of Chapter 224 of the Acts of 2012.</w:t>
      </w:r>
    </w:p>
    <w:p>
      <w:pPr>
        <w:pStyle w:val="BodyText"/>
        <w:spacing w:before="11"/>
        <w:rPr>
          <w:sz w:val="23"/>
        </w:rPr>
      </w:pPr>
    </w:p>
    <w:p>
      <w:pPr>
        <w:pStyle w:val="BodyText"/>
        <w:ind w:left="119" w:right="116"/>
        <w:jc w:val="both"/>
      </w:pPr>
      <w:r>
        <w:rPr/>
        <w:t>The MassHealth program established a rate for administrative days (AD). The AD rate is comprised of a routine per diem and an ancillary add-on. The routine per diem is derived from the weighted average Medicaid rate in calendar year 2003 for nursing facility case mix category T (10). The weighted average ancillary add-on is derived from hospital ancillary claims data for AD patients in hospital fiscal year (HFY) 2003. For each participating hospital, the AD rate is supplemented by an adjustment that increased the AD rate to equal 64% of the difference between each hospital’s rate year inpatient per diem rate and the statewide AD routine and ancillary per diem amount of</w:t>
      </w:r>
      <w:r>
        <w:rPr>
          <w:spacing w:val="-3"/>
        </w:rPr>
        <w:t> </w:t>
      </w:r>
      <w:r>
        <w:rPr/>
        <w:t>$513.05.</w:t>
      </w:r>
    </w:p>
    <w:p>
      <w:pPr>
        <w:pStyle w:val="BodyText"/>
        <w:spacing w:before="11"/>
        <w:rPr>
          <w:sz w:val="23"/>
        </w:rPr>
      </w:pPr>
    </w:p>
    <w:p>
      <w:pPr>
        <w:pStyle w:val="BodyText"/>
        <w:ind w:left="119" w:right="116"/>
        <w:jc w:val="both"/>
      </w:pPr>
      <w:r>
        <w:rPr/>
        <w:t>The MassHealth program utilized a hospital-specific cost-to-charge ratio for outpatient services that is derived from historical cost and charge information. The cost-to charge ratio is applied to</w:t>
      </w:r>
    </w:p>
    <w:p>
      <w:pPr>
        <w:spacing w:after="0"/>
        <w:jc w:val="both"/>
        <w:sectPr>
          <w:footerReference w:type="default" r:id="rId5"/>
          <w:type w:val="continuous"/>
          <w:pgSz w:w="12240" w:h="15840"/>
          <w:pgMar w:footer="1065" w:top="1360" w:bottom="1260" w:left="1320" w:right="1320"/>
          <w:pgNumType w:start="1"/>
        </w:sectPr>
      </w:pPr>
    </w:p>
    <w:p>
      <w:pPr>
        <w:pStyle w:val="BodyText"/>
        <w:spacing w:before="76"/>
        <w:ind w:left="119" w:right="117"/>
        <w:jc w:val="both"/>
      </w:pPr>
      <w:r>
        <w:rPr/>
        <w:t>the hospital’s usual and customary charges on file with the Center for Health Information and Analysis (CHIA) as of July 1, 2014 for outpatient services.</w:t>
      </w:r>
    </w:p>
    <w:p>
      <w:pPr>
        <w:pStyle w:val="BodyText"/>
        <w:spacing w:before="10"/>
        <w:rPr>
          <w:sz w:val="23"/>
        </w:rPr>
      </w:pPr>
    </w:p>
    <w:p>
      <w:pPr>
        <w:pStyle w:val="BodyText"/>
        <w:spacing w:before="1"/>
        <w:ind w:left="119" w:right="116"/>
        <w:jc w:val="both"/>
      </w:pPr>
      <w:r>
        <w:rPr/>
        <w:t>The methods and standards described herein establish rates by contract that accurately reflects  the efficient and economic provision of chronic disease services and/or comprehensive rehabilitation services. The methods and standards described herein are projected to result in a 1.56% increase in annual aggregate expenditures in RY 2015. The actual change in aggregate expenditures is estimated to be $1,012,720.00 but may vary depending on actual utilization of services.</w:t>
      </w:r>
    </w:p>
    <w:p>
      <w:pPr>
        <w:pStyle w:val="BodyText"/>
        <w:spacing w:before="11"/>
      </w:pPr>
    </w:p>
    <w:p>
      <w:pPr>
        <w:pStyle w:val="BodyText"/>
        <w:spacing w:line="230" w:lineRule="auto"/>
        <w:ind w:left="119" w:right="116"/>
        <w:jc w:val="both"/>
      </w:pPr>
      <w:r>
        <w:rPr/>
        <w:t>Included with this notice are the final rates of payment, effective October 1, 2014. To request copies of any notices or any written comments concerning the matters described herein, please contact Lenora Mobley, MassHealth Office of Long Term Services and Supports, One  Ashburton Place, 5</w:t>
      </w:r>
      <w:r>
        <w:rPr>
          <w:position w:val="11"/>
          <w:sz w:val="16"/>
        </w:rPr>
        <w:t>th </w:t>
      </w:r>
      <w:r>
        <w:rPr/>
        <w:t>Floor, Boston, MA</w:t>
      </w:r>
      <w:r>
        <w:rPr>
          <w:spacing w:val="-22"/>
        </w:rPr>
        <w:t> </w:t>
      </w:r>
      <w:r>
        <w:rPr/>
        <w:t>02108.</w:t>
      </w:r>
    </w:p>
    <w:p>
      <w:pPr>
        <w:pStyle w:val="BodyText"/>
        <w:spacing w:before="11"/>
        <w:rPr>
          <w:sz w:val="23"/>
        </w:rPr>
      </w:pPr>
    </w:p>
    <w:p>
      <w:pPr>
        <w:pStyle w:val="BodyText"/>
        <w:ind w:left="120"/>
        <w:jc w:val="both"/>
      </w:pPr>
      <w:r>
        <w:rPr/>
        <w:t>STATUTORY AUTHORITY:</w:t>
      </w:r>
    </w:p>
    <w:p>
      <w:pPr>
        <w:pStyle w:val="BodyText"/>
        <w:spacing w:before="11"/>
        <w:rPr>
          <w:sz w:val="23"/>
        </w:rPr>
      </w:pPr>
    </w:p>
    <w:p>
      <w:pPr>
        <w:pStyle w:val="BodyText"/>
        <w:spacing w:line="480" w:lineRule="auto"/>
        <w:ind w:left="120" w:right="6580"/>
      </w:pPr>
      <w:r>
        <w:rPr/>
        <w:t>M.G.L. c.118E; 42 USC 1396 Related Regulations:</w:t>
      </w:r>
    </w:p>
    <w:p>
      <w:pPr>
        <w:pStyle w:val="BodyText"/>
        <w:spacing w:before="10"/>
        <w:ind w:left="120"/>
        <w:jc w:val="both"/>
      </w:pPr>
      <w:r>
        <w:rPr/>
        <w:t>42 CFR Part 447</w:t>
      </w:r>
    </w:p>
    <w:p>
      <w:pPr>
        <w:spacing w:after="0"/>
        <w:jc w:val="both"/>
        <w:sectPr>
          <w:pgSz w:w="12240" w:h="15840"/>
          <w:pgMar w:header="0" w:footer="1065" w:top="1360" w:bottom="1260" w:left="1320" w:right="1320"/>
        </w:sectPr>
      </w:pPr>
    </w:p>
    <w:p>
      <w:pPr>
        <w:pStyle w:val="Heading1"/>
        <w:spacing w:line="448" w:lineRule="auto" w:before="179"/>
        <w:ind w:left="1447"/>
      </w:pPr>
      <w:r>
        <w:rPr/>
        <w:t>EXECUTIVE OFFICE OF HEALTH AND HUMAN SERVICES CHRONIC DISEASE AND REHABILITATION HOSPITALS FINAL METHODS AND STANDARDS</w:t>
      </w:r>
    </w:p>
    <w:p>
      <w:pPr>
        <w:spacing w:before="8"/>
        <w:ind w:left="1444" w:right="1445" w:firstLine="0"/>
        <w:jc w:val="center"/>
        <w:rPr>
          <w:b/>
          <w:sz w:val="24"/>
        </w:rPr>
      </w:pPr>
      <w:r>
        <w:rPr>
          <w:b/>
          <w:sz w:val="24"/>
        </w:rPr>
        <w:t>FOR RATES EFFECTIVE OCTOBER 1, 2014</w:t>
      </w:r>
    </w:p>
    <w:p>
      <w:pPr>
        <w:pStyle w:val="BodyText"/>
        <w:spacing w:before="6"/>
        <w:rPr>
          <w:b/>
          <w:sz w:val="20"/>
        </w:rPr>
      </w:pPr>
    </w:p>
    <w:p>
      <w:pPr>
        <w:pStyle w:val="BodyText"/>
        <w:spacing w:before="1"/>
        <w:ind w:left="119" w:right="118"/>
        <w:jc w:val="both"/>
        <w:rPr>
          <w:i/>
        </w:rPr>
      </w:pPr>
      <w:r>
        <w:rPr/>
        <w:t>The following sections describe the final methods and standards to be utilized by the Executive Office of Health &amp; Human Services (HHS) to establish rates of payment by contract, to be effective October 1, 2014, for services rendered by chronic disease and rehabilitation hospitals to patients entitled to medical assistance under M.G.L. c. 118E, §1 </w:t>
      </w:r>
      <w:r>
        <w:rPr>
          <w:i/>
        </w:rPr>
        <w:t>et seq.</w:t>
      </w:r>
    </w:p>
    <w:p>
      <w:pPr>
        <w:pStyle w:val="BodyText"/>
        <w:spacing w:before="10"/>
        <w:rPr>
          <w:i/>
          <w:sz w:val="20"/>
        </w:rPr>
      </w:pPr>
    </w:p>
    <w:p>
      <w:pPr>
        <w:pStyle w:val="BodyText"/>
        <w:ind w:left="119"/>
        <w:jc w:val="both"/>
      </w:pPr>
      <w:r>
        <w:rPr>
          <w:u w:val="single"/>
        </w:rPr>
        <w:t>Section 1:  Inpatient Per Diem Rate.</w:t>
      </w:r>
    </w:p>
    <w:p>
      <w:pPr>
        <w:pStyle w:val="BodyText"/>
        <w:spacing w:before="2"/>
        <w:rPr>
          <w:sz w:val="16"/>
        </w:rPr>
      </w:pPr>
    </w:p>
    <w:p>
      <w:pPr>
        <w:pStyle w:val="BodyText"/>
        <w:spacing w:before="90"/>
        <w:ind w:left="480" w:right="116"/>
        <w:jc w:val="both"/>
      </w:pPr>
      <w:r>
        <w:rPr/>
        <w:t>The Inpatient Per Diem Rate is an </w:t>
      </w:r>
      <w:r>
        <w:rPr>
          <w:spacing w:val="-3"/>
        </w:rPr>
        <w:t>all-inclusive </w:t>
      </w:r>
      <w:r>
        <w:rPr/>
        <w:t>daily rate paid </w:t>
      </w:r>
      <w:r>
        <w:rPr>
          <w:spacing w:val="-3"/>
        </w:rPr>
        <w:t>for </w:t>
      </w:r>
      <w:r>
        <w:rPr/>
        <w:t>any, and all, inpatient care and services provided by a hospital to a MassHealth </w:t>
      </w:r>
      <w:r>
        <w:rPr>
          <w:spacing w:val="-3"/>
        </w:rPr>
        <w:t>member, with </w:t>
      </w:r>
      <w:r>
        <w:rPr/>
        <w:t>the </w:t>
      </w:r>
      <w:r>
        <w:rPr>
          <w:spacing w:val="-3"/>
        </w:rPr>
        <w:t>exception </w:t>
      </w:r>
      <w:r>
        <w:rPr/>
        <w:t>of any, </w:t>
      </w:r>
      <w:r>
        <w:rPr>
          <w:spacing w:val="-3"/>
        </w:rPr>
        <w:t>and all, Administrative Days (see Section </w:t>
      </w:r>
      <w:r>
        <w:rPr/>
        <w:t>3).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w:t>
      </w:r>
      <w:r>
        <w:rPr>
          <w:spacing w:val="-15"/>
        </w:rPr>
        <w:t> </w:t>
      </w:r>
      <w:r>
        <w:rPr/>
        <w:t>Capital.</w:t>
      </w:r>
    </w:p>
    <w:p>
      <w:pPr>
        <w:pStyle w:val="BodyText"/>
      </w:pPr>
    </w:p>
    <w:p>
      <w:pPr>
        <w:pStyle w:val="ListParagraph"/>
        <w:numPr>
          <w:ilvl w:val="0"/>
          <w:numId w:val="1"/>
        </w:numPr>
        <w:tabs>
          <w:tab w:pos="834" w:val="left" w:leader="none"/>
        </w:tabs>
        <w:spacing w:line="240" w:lineRule="auto" w:before="0" w:after="0"/>
        <w:ind w:left="480" w:right="0" w:firstLine="0"/>
        <w:jc w:val="both"/>
        <w:rPr>
          <w:sz w:val="24"/>
        </w:rPr>
      </w:pPr>
      <w:r>
        <w:rPr>
          <w:sz w:val="24"/>
          <w:u w:val="single"/>
        </w:rPr>
        <w:t>Data</w:t>
      </w:r>
      <w:r>
        <w:rPr>
          <w:spacing w:val="-13"/>
          <w:sz w:val="24"/>
          <w:u w:val="single"/>
        </w:rPr>
        <w:t> </w:t>
      </w:r>
      <w:r>
        <w:rPr>
          <w:sz w:val="24"/>
          <w:u w:val="single"/>
        </w:rPr>
        <w:t>Sources</w:t>
      </w:r>
      <w:r>
        <w:rPr>
          <w:sz w:val="24"/>
        </w:rPr>
        <w:t>.</w:t>
      </w:r>
    </w:p>
    <w:p>
      <w:pPr>
        <w:pStyle w:val="BodyText"/>
        <w:spacing w:before="2"/>
        <w:rPr>
          <w:sz w:val="16"/>
        </w:rPr>
      </w:pPr>
    </w:p>
    <w:p>
      <w:pPr>
        <w:pStyle w:val="ListParagraph"/>
        <w:numPr>
          <w:ilvl w:val="1"/>
          <w:numId w:val="1"/>
        </w:numPr>
        <w:tabs>
          <w:tab w:pos="1560" w:val="left" w:leader="none"/>
        </w:tabs>
        <w:spacing w:line="240" w:lineRule="auto" w:before="90" w:after="0"/>
        <w:ind w:left="1560" w:right="118" w:hanging="360"/>
        <w:jc w:val="both"/>
        <w:rPr>
          <w:sz w:val="24"/>
        </w:rPr>
      </w:pPr>
      <w:r>
        <w:rPr>
          <w:sz w:val="24"/>
        </w:rPr>
        <w:t>The base year for inpatient costs and the outpatient cost-to-charge ratio is the (HFY) 2003. The MassHealth program utilizes the costs, statistics and revenue reported in the HFY 2003 HCFP-403 cost</w:t>
      </w:r>
      <w:r>
        <w:rPr>
          <w:spacing w:val="-23"/>
          <w:sz w:val="24"/>
        </w:rPr>
        <w:t> </w:t>
      </w:r>
      <w:r>
        <w:rPr>
          <w:sz w:val="24"/>
        </w:rPr>
        <w:t>report.</w:t>
      </w:r>
    </w:p>
    <w:p>
      <w:pPr>
        <w:pStyle w:val="BodyText"/>
      </w:pPr>
    </w:p>
    <w:p>
      <w:pPr>
        <w:pStyle w:val="ListParagraph"/>
        <w:numPr>
          <w:ilvl w:val="1"/>
          <w:numId w:val="1"/>
        </w:numPr>
        <w:tabs>
          <w:tab w:pos="1560" w:val="left" w:leader="none"/>
        </w:tabs>
        <w:spacing w:line="240" w:lineRule="auto" w:before="0" w:after="0"/>
        <w:ind w:left="1560" w:right="113" w:hanging="360"/>
        <w:jc w:val="both"/>
        <w:rPr>
          <w:sz w:val="24"/>
        </w:rPr>
      </w:pPr>
      <w:r>
        <w:rPr>
          <w:sz w:val="24"/>
        </w:rPr>
        <w:t>Inpatient costs include only costs incurred or to be incurred in the provision of hospital care and services, supplies and accommodations and determined in accordance</w:t>
      </w:r>
      <w:r>
        <w:rPr>
          <w:spacing w:val="40"/>
          <w:sz w:val="24"/>
        </w:rPr>
        <w:t> </w:t>
      </w:r>
      <w:r>
        <w:rPr>
          <w:sz w:val="24"/>
        </w:rPr>
        <w:t>with</w:t>
      </w:r>
      <w:r>
        <w:rPr>
          <w:spacing w:val="40"/>
          <w:sz w:val="24"/>
        </w:rPr>
        <w:t> </w:t>
      </w:r>
      <w:r>
        <w:rPr>
          <w:sz w:val="24"/>
        </w:rPr>
        <w:t>the</w:t>
      </w:r>
      <w:r>
        <w:rPr>
          <w:spacing w:val="40"/>
          <w:sz w:val="24"/>
        </w:rPr>
        <w:t> </w:t>
      </w:r>
      <w:r>
        <w:rPr>
          <w:sz w:val="24"/>
        </w:rPr>
        <w:t>Principles</w:t>
      </w:r>
      <w:r>
        <w:rPr>
          <w:spacing w:val="40"/>
          <w:sz w:val="24"/>
        </w:rPr>
        <w:t> </w:t>
      </w:r>
      <w:r>
        <w:rPr>
          <w:sz w:val="24"/>
        </w:rPr>
        <w:t>of</w:t>
      </w:r>
      <w:r>
        <w:rPr>
          <w:spacing w:val="40"/>
          <w:sz w:val="24"/>
        </w:rPr>
        <w:t> </w:t>
      </w:r>
      <w:r>
        <w:rPr>
          <w:sz w:val="24"/>
        </w:rPr>
        <w:t>Reimbursement</w:t>
      </w:r>
      <w:r>
        <w:rPr>
          <w:spacing w:val="40"/>
          <w:sz w:val="24"/>
        </w:rPr>
        <w:t> </w:t>
      </w:r>
      <w:r>
        <w:rPr>
          <w:sz w:val="24"/>
        </w:rPr>
        <w:t>for</w:t>
      </w:r>
      <w:r>
        <w:rPr>
          <w:spacing w:val="40"/>
          <w:sz w:val="24"/>
        </w:rPr>
        <w:t> </w:t>
      </w:r>
      <w:r>
        <w:rPr>
          <w:sz w:val="24"/>
        </w:rPr>
        <w:t>Provider</w:t>
      </w:r>
      <w:r>
        <w:rPr>
          <w:spacing w:val="40"/>
          <w:sz w:val="24"/>
        </w:rPr>
        <w:t> </w:t>
      </w:r>
      <w:r>
        <w:rPr>
          <w:sz w:val="24"/>
        </w:rPr>
        <w:t>Costs</w:t>
      </w:r>
      <w:r>
        <w:rPr>
          <w:spacing w:val="40"/>
          <w:sz w:val="24"/>
        </w:rPr>
        <w:t> </w:t>
      </w:r>
      <w:r>
        <w:rPr>
          <w:sz w:val="24"/>
        </w:rPr>
        <w:t>under</w:t>
      </w:r>
      <w:r>
        <w:rPr>
          <w:spacing w:val="40"/>
          <w:sz w:val="24"/>
        </w:rPr>
        <w:t> </w:t>
      </w:r>
      <w:r>
        <w:rPr>
          <w:sz w:val="24"/>
        </w:rPr>
        <w:t>42</w:t>
      </w:r>
    </w:p>
    <w:p>
      <w:pPr>
        <w:pStyle w:val="BodyText"/>
        <w:ind w:left="1560" w:right="115"/>
        <w:jc w:val="both"/>
      </w:pPr>
      <w:r>
        <w:rPr/>
        <w:t>U.S.C. §§1395 </w:t>
      </w:r>
      <w:r>
        <w:rPr>
          <w:u w:val="single"/>
        </w:rPr>
        <w:t>et</w:t>
      </w:r>
      <w:r>
        <w:rPr/>
        <w:t> </w:t>
      </w:r>
      <w:r>
        <w:rPr>
          <w:u w:val="single"/>
        </w:rPr>
        <w:t>seq</w:t>
      </w:r>
      <w:r>
        <w:rPr/>
        <w:t>. as set forth in 42 CFR 413 </w:t>
      </w:r>
      <w:r>
        <w:rPr>
          <w:u w:val="single"/>
        </w:rPr>
        <w:t>et</w:t>
      </w:r>
      <w:r>
        <w:rPr/>
        <w:t> </w:t>
      </w:r>
      <w:r>
        <w:rPr>
          <w:u w:val="single"/>
        </w:rPr>
        <w:t>seq</w:t>
      </w:r>
      <w:r>
        <w:rPr/>
        <w:t>. and the Provider Reimbursement Manual, the HURM Manual, and Generally Accepted Accounting Principles. All references to specific schedules, columns and lines refer to the HCFP-403 report filed with and reviewed by the Division of Health Care Finance and Policy (DHCFP). Except where noted, all references are to the HFY 2003 version of the HCFP-403.</w:t>
      </w:r>
    </w:p>
    <w:p>
      <w:pPr>
        <w:pStyle w:val="BodyText"/>
        <w:spacing w:before="1"/>
      </w:pPr>
    </w:p>
    <w:p>
      <w:pPr>
        <w:pStyle w:val="ListParagraph"/>
        <w:numPr>
          <w:ilvl w:val="1"/>
          <w:numId w:val="1"/>
        </w:numPr>
        <w:tabs>
          <w:tab w:pos="1462" w:val="left" w:leader="none"/>
        </w:tabs>
        <w:spacing w:line="240" w:lineRule="auto" w:before="0" w:after="0"/>
        <w:ind w:left="1560" w:right="116" w:hanging="360"/>
        <w:jc w:val="both"/>
        <w:rPr>
          <w:sz w:val="24"/>
        </w:rPr>
      </w:pPr>
      <w:r>
        <w:rPr>
          <w:sz w:val="24"/>
        </w:rPr>
        <w:t>The calculations use each hospital’s costs and statistics, as adjusted as a result of prior audits or reviews conducted by DHCFP or successor agency. The MassHealth program may also request additional information, data and documentation from a hospital or DHCFP or successor agency as necessary to calculate</w:t>
      </w:r>
      <w:r>
        <w:rPr>
          <w:spacing w:val="-3"/>
          <w:sz w:val="24"/>
        </w:rPr>
        <w:t> </w:t>
      </w:r>
      <w:r>
        <w:rPr>
          <w:sz w:val="24"/>
        </w:rPr>
        <w:t>rates.</w:t>
      </w:r>
    </w:p>
    <w:p>
      <w:pPr>
        <w:pStyle w:val="BodyText"/>
        <w:spacing w:before="11"/>
        <w:rPr>
          <w:sz w:val="23"/>
        </w:rPr>
      </w:pPr>
    </w:p>
    <w:p>
      <w:pPr>
        <w:pStyle w:val="ListParagraph"/>
        <w:numPr>
          <w:ilvl w:val="1"/>
          <w:numId w:val="1"/>
        </w:numPr>
        <w:tabs>
          <w:tab w:pos="1560" w:val="left" w:leader="none"/>
        </w:tabs>
        <w:spacing w:line="240" w:lineRule="auto" w:before="0" w:after="0"/>
        <w:ind w:left="1560" w:right="114" w:hanging="360"/>
        <w:jc w:val="both"/>
        <w:rPr>
          <w:sz w:val="20"/>
        </w:rPr>
      </w:pPr>
      <w:r>
        <w:rPr>
          <w:sz w:val="24"/>
        </w:rPr>
        <w:t>If the specified data source is unavailable or inadequate, The MassHealth program will determine and use the best alternative data source and/or it may perform a statistical analysis to ensure comparability of data.   If required information is </w:t>
      </w:r>
      <w:r>
        <w:rPr>
          <w:spacing w:val="17"/>
          <w:sz w:val="24"/>
        </w:rPr>
        <w:t> </w:t>
      </w:r>
      <w:r>
        <w:rPr>
          <w:sz w:val="24"/>
        </w:rPr>
        <w:t>not</w:t>
      </w:r>
    </w:p>
    <w:p>
      <w:pPr>
        <w:spacing w:after="0" w:line="240" w:lineRule="auto"/>
        <w:jc w:val="both"/>
        <w:rPr>
          <w:sz w:val="20"/>
        </w:rPr>
        <w:sectPr>
          <w:pgSz w:w="12240" w:h="15840"/>
          <w:pgMar w:header="0" w:footer="1065" w:top="1500" w:bottom="1260" w:left="1320" w:right="1320"/>
        </w:sectPr>
      </w:pPr>
    </w:p>
    <w:p>
      <w:pPr>
        <w:pStyle w:val="BodyText"/>
        <w:spacing w:before="76"/>
        <w:ind w:left="1199"/>
      </w:pPr>
      <w:r>
        <w:rPr/>
        <w:t>furnished by a hospital within the applicable time period, it may not receive any increase to its rate.</w:t>
      </w:r>
    </w:p>
    <w:p>
      <w:pPr>
        <w:pStyle w:val="BodyText"/>
        <w:spacing w:before="10"/>
        <w:rPr>
          <w:sz w:val="23"/>
        </w:rPr>
      </w:pPr>
    </w:p>
    <w:p>
      <w:pPr>
        <w:pStyle w:val="ListParagraph"/>
        <w:numPr>
          <w:ilvl w:val="0"/>
          <w:numId w:val="1"/>
        </w:numPr>
        <w:tabs>
          <w:tab w:pos="480" w:val="left" w:leader="none"/>
        </w:tabs>
        <w:spacing w:line="240" w:lineRule="auto" w:before="1" w:after="0"/>
        <w:ind w:left="480" w:right="118" w:hanging="361"/>
        <w:jc w:val="both"/>
        <w:rPr>
          <w:sz w:val="24"/>
        </w:rPr>
      </w:pPr>
      <w:r>
        <w:rPr>
          <w:sz w:val="24"/>
          <w:u w:val="single"/>
        </w:rPr>
        <w:t>Determination of Base Year Inpatient Operating Costs</w:t>
      </w:r>
      <w:r>
        <w:rPr>
          <w:sz w:val="24"/>
        </w:rPr>
        <w:t>. Base Year Inpatient Operating Costs are the sum of Inpatient Direct Routine Costs, Inpatient Direct Ancillary Costs, and Inpatient Overhead Costs as described</w:t>
      </w:r>
      <w:r>
        <w:rPr>
          <w:spacing w:val="-1"/>
          <w:sz w:val="24"/>
        </w:rPr>
        <w:t> </w:t>
      </w:r>
      <w:r>
        <w:rPr>
          <w:sz w:val="24"/>
        </w:rPr>
        <w:t>below.</w:t>
      </w:r>
    </w:p>
    <w:p>
      <w:pPr>
        <w:pStyle w:val="BodyText"/>
      </w:pPr>
    </w:p>
    <w:p>
      <w:pPr>
        <w:pStyle w:val="ListParagraph"/>
        <w:numPr>
          <w:ilvl w:val="1"/>
          <w:numId w:val="1"/>
        </w:numPr>
        <w:tabs>
          <w:tab w:pos="840" w:val="left" w:leader="none"/>
        </w:tabs>
        <w:spacing w:line="240" w:lineRule="auto" w:before="0" w:after="0"/>
        <w:ind w:left="840" w:right="118" w:hanging="360"/>
        <w:jc w:val="left"/>
        <w:rPr>
          <w:sz w:val="24"/>
        </w:rPr>
      </w:pPr>
      <w:r>
        <w:rPr>
          <w:sz w:val="24"/>
          <w:u w:val="single"/>
        </w:rPr>
        <w:t>Inpatient Direct Routine Costs</w:t>
      </w:r>
      <w:r>
        <w:rPr>
          <w:sz w:val="24"/>
        </w:rPr>
        <w:t>. Inpatient Direct Routine Costs are a hospital’s Total Inpatient Routine Costs derived from the</w:t>
      </w:r>
      <w:r>
        <w:rPr>
          <w:spacing w:val="-5"/>
          <w:sz w:val="24"/>
        </w:rPr>
        <w:t> </w:t>
      </w:r>
      <w:r>
        <w:rPr>
          <w:sz w:val="24"/>
        </w:rPr>
        <w:t>HCFP-403.</w:t>
      </w:r>
    </w:p>
    <w:p>
      <w:pPr>
        <w:pStyle w:val="BodyText"/>
        <w:spacing w:before="11"/>
        <w:rPr>
          <w:sz w:val="23"/>
        </w:rPr>
      </w:pPr>
    </w:p>
    <w:p>
      <w:pPr>
        <w:pStyle w:val="ListParagraph"/>
        <w:numPr>
          <w:ilvl w:val="1"/>
          <w:numId w:val="1"/>
        </w:numPr>
        <w:tabs>
          <w:tab w:pos="840" w:val="left" w:leader="none"/>
        </w:tabs>
        <w:spacing w:line="240" w:lineRule="auto" w:before="0" w:after="0"/>
        <w:ind w:left="840" w:right="117" w:hanging="360"/>
        <w:jc w:val="left"/>
        <w:rPr>
          <w:sz w:val="24"/>
        </w:rPr>
      </w:pPr>
      <w:r>
        <w:rPr>
          <w:sz w:val="24"/>
          <w:u w:val="single"/>
        </w:rPr>
        <w:t>Inpatient Direct Ancillary Costs</w:t>
      </w:r>
      <w:r>
        <w:rPr>
          <w:sz w:val="24"/>
        </w:rPr>
        <w:t>. Inpatient Direct Ancillary Costs are calculated as follows:</w:t>
      </w:r>
    </w:p>
    <w:p>
      <w:pPr>
        <w:pStyle w:val="BodyText"/>
        <w:spacing w:before="11"/>
        <w:rPr>
          <w:sz w:val="23"/>
        </w:rPr>
      </w:pPr>
    </w:p>
    <w:p>
      <w:pPr>
        <w:pStyle w:val="ListParagraph"/>
        <w:numPr>
          <w:ilvl w:val="2"/>
          <w:numId w:val="1"/>
        </w:numPr>
        <w:tabs>
          <w:tab w:pos="1560" w:val="left" w:leader="none"/>
        </w:tabs>
        <w:spacing w:line="240" w:lineRule="auto" w:before="0" w:after="0"/>
        <w:ind w:left="1560" w:right="115" w:hanging="360"/>
        <w:jc w:val="both"/>
        <w:rPr>
          <w:sz w:val="24"/>
        </w:rPr>
      </w:pPr>
      <w:r>
        <w:rPr>
          <w:sz w:val="24"/>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pPr>
        <w:pStyle w:val="BodyText"/>
        <w:spacing w:before="11"/>
        <w:rPr>
          <w:sz w:val="23"/>
        </w:rPr>
      </w:pPr>
    </w:p>
    <w:p>
      <w:pPr>
        <w:pStyle w:val="ListParagraph"/>
        <w:numPr>
          <w:ilvl w:val="1"/>
          <w:numId w:val="1"/>
        </w:numPr>
        <w:tabs>
          <w:tab w:pos="840" w:val="left" w:leader="none"/>
        </w:tabs>
        <w:spacing w:line="240" w:lineRule="auto" w:before="0" w:after="0"/>
        <w:ind w:left="899" w:right="187" w:hanging="419"/>
        <w:jc w:val="left"/>
        <w:rPr>
          <w:sz w:val="24"/>
        </w:rPr>
      </w:pPr>
      <w:r>
        <w:rPr>
          <w:sz w:val="24"/>
          <w:u w:val="single"/>
        </w:rPr>
        <w:t>Total Inpatient Overhead</w:t>
      </w:r>
      <w:r>
        <w:rPr>
          <w:sz w:val="24"/>
        </w:rPr>
        <w:t>. Total Inpatient Overhead is calculated by comparing Total Inpatient Overhead to an efficiency standard as described</w:t>
      </w:r>
      <w:r>
        <w:rPr>
          <w:spacing w:val="-24"/>
          <w:sz w:val="24"/>
        </w:rPr>
        <w:t> </w:t>
      </w:r>
      <w:r>
        <w:rPr>
          <w:sz w:val="24"/>
        </w:rPr>
        <w:t>below.</w:t>
      </w:r>
    </w:p>
    <w:p>
      <w:pPr>
        <w:pStyle w:val="BodyText"/>
        <w:spacing w:before="11"/>
        <w:rPr>
          <w:sz w:val="23"/>
        </w:rPr>
      </w:pPr>
    </w:p>
    <w:p>
      <w:pPr>
        <w:pStyle w:val="ListParagraph"/>
        <w:numPr>
          <w:ilvl w:val="2"/>
          <w:numId w:val="1"/>
        </w:numPr>
        <w:tabs>
          <w:tab w:pos="1560" w:val="left" w:leader="none"/>
        </w:tabs>
        <w:spacing w:line="240" w:lineRule="auto" w:before="0" w:after="0"/>
        <w:ind w:left="1560" w:right="118" w:hanging="360"/>
        <w:jc w:val="both"/>
        <w:rPr>
          <w:sz w:val="24"/>
        </w:rPr>
      </w:pPr>
      <w:r>
        <w:rPr>
          <w:sz w:val="24"/>
        </w:rPr>
        <w:t>A HFY 2003 Inpatient Overhead per diem amount is computed for</w:t>
      </w:r>
      <w:r>
        <w:rPr>
          <w:spacing w:val="35"/>
          <w:sz w:val="24"/>
        </w:rPr>
        <w:t> </w:t>
      </w:r>
      <w:r>
        <w:rPr>
          <w:sz w:val="24"/>
        </w:rPr>
        <w:t>each hospital as</w:t>
      </w:r>
      <w:r>
        <w:rPr>
          <w:spacing w:val="-4"/>
          <w:sz w:val="24"/>
        </w:rPr>
        <w:t> </w:t>
      </w:r>
      <w:r>
        <w:rPr>
          <w:sz w:val="24"/>
        </w:rPr>
        <w:t>follows:</w:t>
      </w:r>
    </w:p>
    <w:p>
      <w:pPr>
        <w:pStyle w:val="BodyText"/>
        <w:spacing w:before="11"/>
        <w:rPr>
          <w:sz w:val="23"/>
        </w:rPr>
      </w:pPr>
    </w:p>
    <w:p>
      <w:pPr>
        <w:pStyle w:val="ListParagraph"/>
        <w:numPr>
          <w:ilvl w:val="3"/>
          <w:numId w:val="1"/>
        </w:numPr>
        <w:tabs>
          <w:tab w:pos="2640" w:val="left" w:leader="none"/>
        </w:tabs>
        <w:spacing w:line="240" w:lineRule="auto" w:before="0" w:after="0"/>
        <w:ind w:left="2640" w:right="114" w:hanging="720"/>
        <w:jc w:val="both"/>
        <w:rPr>
          <w:sz w:val="24"/>
        </w:rPr>
      </w:pPr>
      <w:r>
        <w:rPr>
          <w:sz w:val="24"/>
        </w:rPr>
        <w:t>Inpatient Routine Overhead cost is calculated by subtracting Direct Inpatient Routine Cost from Inpatient Routine Cost after step- down of</w:t>
      </w:r>
      <w:r>
        <w:rPr>
          <w:spacing w:val="-13"/>
          <w:sz w:val="24"/>
        </w:rPr>
        <w:t> </w:t>
      </w:r>
      <w:r>
        <w:rPr>
          <w:sz w:val="24"/>
        </w:rPr>
        <w:t>overhead.</w:t>
      </w:r>
    </w:p>
    <w:p>
      <w:pPr>
        <w:pStyle w:val="ListParagraph"/>
        <w:numPr>
          <w:ilvl w:val="3"/>
          <w:numId w:val="1"/>
        </w:numPr>
        <w:tabs>
          <w:tab w:pos="2640" w:val="left" w:leader="none"/>
        </w:tabs>
        <w:spacing w:line="240" w:lineRule="auto" w:before="0" w:after="0"/>
        <w:ind w:left="2640" w:right="116" w:hanging="720"/>
        <w:jc w:val="both"/>
        <w:rPr>
          <w:sz w:val="24"/>
        </w:rPr>
      </w:pPr>
      <w:r>
        <w:rPr>
          <w:sz w:val="24"/>
        </w:rPr>
        <w:t>Inpatient Ancillary Overhead Cost is calculated by subtracting the Total Inpatient Direct Ancillary Cost determined in Section 1, paragraph B.2.a from the Total Chronic and  Rehabilitation Inpatient Ancillary Expenses reported on the</w:t>
      </w:r>
      <w:r>
        <w:rPr>
          <w:spacing w:val="-1"/>
          <w:sz w:val="24"/>
        </w:rPr>
        <w:t> </w:t>
      </w:r>
      <w:r>
        <w:rPr>
          <w:sz w:val="24"/>
        </w:rPr>
        <w:t>HCFP-403.</w:t>
      </w:r>
    </w:p>
    <w:p>
      <w:pPr>
        <w:pStyle w:val="ListParagraph"/>
        <w:numPr>
          <w:ilvl w:val="3"/>
          <w:numId w:val="1"/>
        </w:numPr>
        <w:tabs>
          <w:tab w:pos="2640" w:val="left" w:leader="none"/>
        </w:tabs>
        <w:spacing w:line="240" w:lineRule="auto" w:before="0" w:after="0"/>
        <w:ind w:left="2640" w:right="115" w:hanging="720"/>
        <w:jc w:val="both"/>
        <w:rPr>
          <w:sz w:val="24"/>
        </w:rPr>
      </w:pPr>
      <w:r>
        <w:rPr>
          <w:sz w:val="24"/>
        </w:rPr>
        <w:t>The Central Service and Supplies and Pharmacy expenses are then reclassified to Ancillary costs as</w:t>
      </w:r>
      <w:r>
        <w:rPr>
          <w:spacing w:val="-9"/>
          <w:sz w:val="24"/>
        </w:rPr>
        <w:t> </w:t>
      </w:r>
      <w:r>
        <w:rPr>
          <w:sz w:val="24"/>
        </w:rPr>
        <w:t>follows:</w:t>
      </w:r>
    </w:p>
    <w:p>
      <w:pPr>
        <w:pStyle w:val="BodyText"/>
        <w:spacing w:before="11"/>
        <w:rPr>
          <w:sz w:val="23"/>
        </w:rPr>
      </w:pPr>
    </w:p>
    <w:p>
      <w:pPr>
        <w:pStyle w:val="BodyText"/>
        <w:ind w:left="2640" w:right="114"/>
        <w:jc w:val="both"/>
      </w:pPr>
      <w:r>
        <w:rPr/>
        <w:t>The Central Service/Supplies Direct Expense is multiplied by the ratio of the inpatient medical supplies patient service statistics to the total medical supplies patient service statistics, all as derived from the HCFP-403 report.</w:t>
      </w:r>
    </w:p>
    <w:p>
      <w:pPr>
        <w:pStyle w:val="BodyText"/>
        <w:spacing w:before="11"/>
        <w:rPr>
          <w:sz w:val="23"/>
        </w:rPr>
      </w:pPr>
    </w:p>
    <w:p>
      <w:pPr>
        <w:pStyle w:val="BodyText"/>
        <w:ind w:left="2640" w:right="117"/>
        <w:jc w:val="both"/>
      </w:pPr>
      <w:r>
        <w:rPr/>
        <w:t>The Pharmacy Direct Expense is multiplied by the ratio of the inpatient drug patient service statistics to the total drug patient service statistics, all as derived from the HCFP-403 report.</w:t>
      </w:r>
    </w:p>
    <w:p>
      <w:pPr>
        <w:spacing w:after="0"/>
        <w:jc w:val="both"/>
        <w:sectPr>
          <w:pgSz w:w="12240" w:h="15840"/>
          <w:pgMar w:header="0" w:footer="1065" w:top="1360" w:bottom="1260" w:left="1680" w:right="1320"/>
        </w:sectPr>
      </w:pPr>
    </w:p>
    <w:p>
      <w:pPr>
        <w:pStyle w:val="BodyText"/>
        <w:spacing w:before="76"/>
        <w:ind w:left="2599"/>
      </w:pPr>
      <w:r>
        <w:rPr/>
        <w:t>The two products of these calculations are then added together to equal the Total Inpatient CSS and Pharmacy Expense.</w:t>
      </w:r>
    </w:p>
    <w:p>
      <w:pPr>
        <w:pStyle w:val="BodyText"/>
        <w:spacing w:before="10"/>
        <w:rPr>
          <w:sz w:val="23"/>
        </w:rPr>
      </w:pPr>
    </w:p>
    <w:p>
      <w:pPr>
        <w:pStyle w:val="ListParagraph"/>
        <w:numPr>
          <w:ilvl w:val="3"/>
          <w:numId w:val="1"/>
        </w:numPr>
        <w:tabs>
          <w:tab w:pos="2600" w:val="left" w:leader="none"/>
        </w:tabs>
        <w:spacing w:line="240" w:lineRule="auto" w:before="1" w:after="0"/>
        <w:ind w:left="2600" w:right="115" w:hanging="720"/>
        <w:jc w:val="both"/>
        <w:rPr>
          <w:sz w:val="24"/>
        </w:rPr>
      </w:pPr>
      <w:r>
        <w:rPr>
          <w:sz w:val="24"/>
        </w:rPr>
        <w:t>The Allowable Chronic Disease and Rehab Inpatient Overhead Expense is then determined by adding together the amounts in i. and ii (above) and subtracting from this the amount determined in iii (above). The resulting amount is then divided by HFY 2003 Patient</w:t>
      </w:r>
      <w:r>
        <w:rPr>
          <w:spacing w:val="-13"/>
          <w:sz w:val="24"/>
        </w:rPr>
        <w:t> </w:t>
      </w:r>
      <w:r>
        <w:rPr>
          <w:sz w:val="24"/>
        </w:rPr>
        <w:t>Days.</w:t>
      </w:r>
    </w:p>
    <w:p>
      <w:pPr>
        <w:pStyle w:val="BodyText"/>
      </w:pPr>
    </w:p>
    <w:p>
      <w:pPr>
        <w:pStyle w:val="ListParagraph"/>
        <w:numPr>
          <w:ilvl w:val="2"/>
          <w:numId w:val="1"/>
        </w:numPr>
        <w:tabs>
          <w:tab w:pos="1521" w:val="left" w:leader="none"/>
        </w:tabs>
        <w:spacing w:line="240" w:lineRule="auto" w:before="0" w:after="0"/>
        <w:ind w:left="1520" w:right="116" w:hanging="360"/>
        <w:jc w:val="both"/>
        <w:rPr>
          <w:sz w:val="24"/>
        </w:rPr>
      </w:pPr>
      <w:r>
        <w:rPr>
          <w:sz w:val="24"/>
        </w:rPr>
        <w:t>Separate efficiency standards are determined for chronic disease hospitals and rehabilitation hospitals. Hospitals are classified as chronic disease or rehabilitation using the following</w:t>
      </w:r>
      <w:r>
        <w:rPr>
          <w:spacing w:val="-10"/>
          <w:sz w:val="24"/>
        </w:rPr>
        <w:t> </w:t>
      </w:r>
      <w:r>
        <w:rPr>
          <w:sz w:val="24"/>
        </w:rPr>
        <w:t>classifications:</w:t>
      </w:r>
    </w:p>
    <w:p>
      <w:pPr>
        <w:pStyle w:val="BodyText"/>
        <w:spacing w:before="11"/>
        <w:rPr>
          <w:sz w:val="23"/>
        </w:rPr>
      </w:pPr>
    </w:p>
    <w:p>
      <w:pPr>
        <w:pStyle w:val="ListParagraph"/>
        <w:numPr>
          <w:ilvl w:val="3"/>
          <w:numId w:val="1"/>
        </w:numPr>
        <w:tabs>
          <w:tab w:pos="2600" w:val="left" w:leader="none"/>
        </w:tabs>
        <w:spacing w:line="240" w:lineRule="auto" w:before="0" w:after="0"/>
        <w:ind w:left="2599" w:right="116" w:hanging="720"/>
        <w:jc w:val="both"/>
        <w:rPr>
          <w:sz w:val="24"/>
        </w:rPr>
      </w:pPr>
      <w:r>
        <w:rPr>
          <w:sz w:val="24"/>
        </w:rPr>
        <w:t>The chronic disease hospital group consists of Kindred Hospital Northeast, Franciscan Hospital for Children, Radius Specialty Hospital, New England Sinai Hospital, Spaulding Hospital-North Shore, Vibra Hospital of Western Mass and Spaulding Hospital- Cambridge.</w:t>
      </w:r>
    </w:p>
    <w:p>
      <w:pPr>
        <w:pStyle w:val="BodyText"/>
        <w:spacing w:before="11"/>
        <w:rPr>
          <w:sz w:val="23"/>
        </w:rPr>
      </w:pPr>
    </w:p>
    <w:p>
      <w:pPr>
        <w:pStyle w:val="ListParagraph"/>
        <w:numPr>
          <w:ilvl w:val="3"/>
          <w:numId w:val="1"/>
        </w:numPr>
        <w:tabs>
          <w:tab w:pos="2600" w:val="left" w:leader="none"/>
        </w:tabs>
        <w:spacing w:line="240" w:lineRule="auto" w:before="0" w:after="0"/>
        <w:ind w:left="2599" w:right="116" w:hanging="720"/>
        <w:jc w:val="both"/>
        <w:rPr>
          <w:sz w:val="24"/>
        </w:rPr>
      </w:pPr>
      <w:r>
        <w:rPr>
          <w:sz w:val="24"/>
        </w:rPr>
        <w:t>The rehabilitation hospital group consists of Braintree Rehabilitation, Fairlawn Hospital, New Bedford Rehabilitation Hospital, New England Rehabilitation Hospital, Spaulding Hospital-Cape Cod, Rehabilitation Hospital of Western Massachusetts, Spaulding Rehabilitation Hospital-Boston, Whittier Rehabilitation Hospital-Bradford and Whittier Rehabilitation Hospital-Westborough.</w:t>
      </w:r>
    </w:p>
    <w:p>
      <w:pPr>
        <w:pStyle w:val="BodyText"/>
        <w:spacing w:before="10"/>
        <w:rPr>
          <w:sz w:val="23"/>
        </w:rPr>
      </w:pPr>
    </w:p>
    <w:p>
      <w:pPr>
        <w:pStyle w:val="ListParagraph"/>
        <w:numPr>
          <w:ilvl w:val="2"/>
          <w:numId w:val="1"/>
        </w:numPr>
        <w:tabs>
          <w:tab w:pos="1521" w:val="left" w:leader="none"/>
        </w:tabs>
        <w:spacing w:line="240" w:lineRule="auto" w:before="0" w:after="0"/>
        <w:ind w:left="1520" w:right="115" w:hanging="360"/>
        <w:jc w:val="both"/>
        <w:rPr>
          <w:sz w:val="24"/>
        </w:rPr>
      </w:pPr>
      <w:r>
        <w:rPr>
          <w:sz w:val="24"/>
        </w:rPr>
        <w:t>The Inpatient Overhead Per Diem Cost for each chronic disease hospital is calculated and the median is set as the efficiency standard for the chronic disease hospital</w:t>
      </w:r>
      <w:r>
        <w:rPr>
          <w:spacing w:val="-1"/>
          <w:sz w:val="24"/>
        </w:rPr>
        <w:t> </w:t>
      </w:r>
      <w:r>
        <w:rPr>
          <w:sz w:val="24"/>
        </w:rPr>
        <w:t>group.</w:t>
      </w:r>
    </w:p>
    <w:p>
      <w:pPr>
        <w:pStyle w:val="BodyText"/>
        <w:spacing w:before="11"/>
        <w:rPr>
          <w:sz w:val="23"/>
        </w:rPr>
      </w:pPr>
    </w:p>
    <w:p>
      <w:pPr>
        <w:pStyle w:val="ListParagraph"/>
        <w:numPr>
          <w:ilvl w:val="2"/>
          <w:numId w:val="1"/>
        </w:numPr>
        <w:tabs>
          <w:tab w:pos="1520" w:val="left" w:leader="none"/>
        </w:tabs>
        <w:spacing w:line="240" w:lineRule="auto" w:before="0" w:after="0"/>
        <w:ind w:left="1520" w:right="116" w:hanging="360"/>
        <w:jc w:val="both"/>
        <w:rPr>
          <w:sz w:val="24"/>
        </w:rPr>
      </w:pPr>
      <w:r>
        <w:rPr>
          <w:sz w:val="24"/>
        </w:rPr>
        <w:t>The Inpatient Overhead Per Diem Cost for each rehabilitation hospital</w:t>
      </w:r>
      <w:r>
        <w:rPr>
          <w:spacing w:val="36"/>
          <w:sz w:val="24"/>
        </w:rPr>
        <w:t> </w:t>
      </w:r>
      <w:r>
        <w:rPr>
          <w:sz w:val="24"/>
        </w:rPr>
        <w:t>is calculated and the median is set as the efficiency standard for </w:t>
      </w:r>
      <w:r>
        <w:rPr>
          <w:spacing w:val="40"/>
          <w:sz w:val="24"/>
        </w:rPr>
        <w:t> </w:t>
      </w:r>
      <w:r>
        <w:rPr>
          <w:sz w:val="24"/>
        </w:rPr>
        <w:t>the rehabilitation hospital group.</w:t>
      </w:r>
    </w:p>
    <w:p>
      <w:pPr>
        <w:pStyle w:val="BodyText"/>
        <w:spacing w:before="11"/>
        <w:rPr>
          <w:sz w:val="23"/>
        </w:rPr>
      </w:pPr>
    </w:p>
    <w:p>
      <w:pPr>
        <w:pStyle w:val="ListParagraph"/>
        <w:numPr>
          <w:ilvl w:val="2"/>
          <w:numId w:val="1"/>
        </w:numPr>
        <w:tabs>
          <w:tab w:pos="1521" w:val="left" w:leader="none"/>
        </w:tabs>
        <w:spacing w:line="240" w:lineRule="auto" w:before="0" w:after="0"/>
        <w:ind w:left="1520" w:right="115" w:hanging="360"/>
        <w:jc w:val="both"/>
        <w:rPr>
          <w:sz w:val="24"/>
        </w:rPr>
      </w:pPr>
      <w:r>
        <w:rPr>
          <w:sz w:val="24"/>
        </w:rPr>
        <w:t>If a hospital's Total Inpatient Overhead Per Diem Cost does not exceed the appropriate efficiency standard, its Total Inpatient Overhead Cost is calculated pursuant to Section 1, paragraph B.3.a., without further</w:t>
      </w:r>
      <w:r>
        <w:rPr>
          <w:spacing w:val="-7"/>
          <w:sz w:val="24"/>
        </w:rPr>
        <w:t> </w:t>
      </w:r>
      <w:r>
        <w:rPr>
          <w:sz w:val="24"/>
        </w:rPr>
        <w:t>adjustment.</w:t>
      </w:r>
    </w:p>
    <w:p>
      <w:pPr>
        <w:pStyle w:val="BodyText"/>
        <w:spacing w:before="11"/>
        <w:rPr>
          <w:sz w:val="23"/>
        </w:rPr>
      </w:pPr>
    </w:p>
    <w:p>
      <w:pPr>
        <w:pStyle w:val="ListParagraph"/>
        <w:numPr>
          <w:ilvl w:val="2"/>
          <w:numId w:val="1"/>
        </w:numPr>
        <w:tabs>
          <w:tab w:pos="1520" w:val="left" w:leader="none"/>
        </w:tabs>
        <w:spacing w:line="240" w:lineRule="auto" w:before="0" w:after="0"/>
        <w:ind w:left="1520" w:right="115" w:hanging="360"/>
        <w:jc w:val="both"/>
        <w:rPr>
          <w:sz w:val="24"/>
        </w:rPr>
      </w:pPr>
      <w:r>
        <w:rPr>
          <w:sz w:val="24"/>
        </w:rPr>
        <w:t>If a hospital's Total Inpatient Overhead Per Diem Cost exceeds the appropriate efficiency standard, the hospital's Total Inpatient Overhead Cost is the efficiency standard multiplied by HFY 2003 Patient</w:t>
      </w:r>
      <w:r>
        <w:rPr>
          <w:spacing w:val="-3"/>
          <w:sz w:val="24"/>
        </w:rPr>
        <w:t> </w:t>
      </w:r>
      <w:r>
        <w:rPr>
          <w:sz w:val="24"/>
        </w:rPr>
        <w:t>Days.</w:t>
      </w:r>
    </w:p>
    <w:p>
      <w:pPr>
        <w:pStyle w:val="BodyText"/>
        <w:spacing w:before="11"/>
        <w:rPr>
          <w:sz w:val="23"/>
        </w:rPr>
      </w:pPr>
    </w:p>
    <w:p>
      <w:pPr>
        <w:pStyle w:val="ListParagraph"/>
        <w:numPr>
          <w:ilvl w:val="0"/>
          <w:numId w:val="1"/>
        </w:numPr>
        <w:tabs>
          <w:tab w:pos="446" w:val="left" w:leader="none"/>
        </w:tabs>
        <w:spacing w:line="240" w:lineRule="auto" w:before="0" w:after="0"/>
        <w:ind w:left="440" w:right="117" w:hanging="300"/>
        <w:jc w:val="both"/>
        <w:rPr>
          <w:sz w:val="24"/>
        </w:rPr>
      </w:pPr>
      <w:r>
        <w:rPr>
          <w:sz w:val="24"/>
          <w:u w:val="single"/>
        </w:rPr>
        <w:t>Adjustment to Base Year Operating Costs</w:t>
      </w:r>
      <w:r>
        <w:rPr>
          <w:sz w:val="24"/>
        </w:rPr>
        <w:t>. Total Inpatient Routine Direct Costs, Total Inpatient Ancillary Direct Costs, and Total Inpatient Overhead Costs are updated using a composite index comprised of two cost categories: labor and non-labor. The categories are</w:t>
      </w:r>
      <w:r>
        <w:rPr>
          <w:spacing w:val="28"/>
          <w:sz w:val="24"/>
        </w:rPr>
        <w:t> </w:t>
      </w:r>
      <w:r>
        <w:rPr>
          <w:sz w:val="24"/>
        </w:rPr>
        <w:t>weighted</w:t>
      </w:r>
      <w:r>
        <w:rPr>
          <w:spacing w:val="28"/>
          <w:sz w:val="24"/>
        </w:rPr>
        <w:t> </w:t>
      </w:r>
      <w:r>
        <w:rPr>
          <w:sz w:val="24"/>
        </w:rPr>
        <w:t>according</w:t>
      </w:r>
      <w:r>
        <w:rPr>
          <w:spacing w:val="28"/>
          <w:sz w:val="24"/>
        </w:rPr>
        <w:t> </w:t>
      </w:r>
      <w:r>
        <w:rPr>
          <w:sz w:val="24"/>
        </w:rPr>
        <w:t>to</w:t>
      </w:r>
      <w:r>
        <w:rPr>
          <w:spacing w:val="28"/>
          <w:sz w:val="24"/>
        </w:rPr>
        <w:t> </w:t>
      </w:r>
      <w:r>
        <w:rPr>
          <w:sz w:val="24"/>
        </w:rPr>
        <w:t>the</w:t>
      </w:r>
      <w:r>
        <w:rPr>
          <w:spacing w:val="28"/>
          <w:sz w:val="24"/>
        </w:rPr>
        <w:t> </w:t>
      </w:r>
      <w:r>
        <w:rPr>
          <w:sz w:val="24"/>
        </w:rPr>
        <w:t>weights</w:t>
      </w:r>
      <w:r>
        <w:rPr>
          <w:spacing w:val="28"/>
          <w:sz w:val="24"/>
        </w:rPr>
        <w:t> </w:t>
      </w:r>
      <w:r>
        <w:rPr>
          <w:sz w:val="24"/>
        </w:rPr>
        <w:t>used</w:t>
      </w:r>
      <w:r>
        <w:rPr>
          <w:spacing w:val="28"/>
          <w:sz w:val="24"/>
        </w:rPr>
        <w:t> </w:t>
      </w:r>
      <w:r>
        <w:rPr>
          <w:sz w:val="24"/>
        </w:rPr>
        <w:t>by</w:t>
      </w:r>
      <w:r>
        <w:rPr>
          <w:spacing w:val="28"/>
          <w:sz w:val="24"/>
        </w:rPr>
        <w:t> </w:t>
      </w:r>
      <w:r>
        <w:rPr>
          <w:sz w:val="24"/>
        </w:rPr>
        <w:t>CMS</w:t>
      </w:r>
      <w:r>
        <w:rPr>
          <w:spacing w:val="28"/>
          <w:sz w:val="24"/>
        </w:rPr>
        <w:t> </w:t>
      </w:r>
      <w:r>
        <w:rPr>
          <w:sz w:val="24"/>
        </w:rPr>
        <w:t>for</w:t>
      </w:r>
      <w:r>
        <w:rPr>
          <w:spacing w:val="27"/>
          <w:sz w:val="24"/>
        </w:rPr>
        <w:t> </w:t>
      </w:r>
      <w:r>
        <w:rPr>
          <w:sz w:val="24"/>
        </w:rPr>
        <w:t>PPS-excluded</w:t>
      </w:r>
      <w:r>
        <w:rPr>
          <w:spacing w:val="27"/>
          <w:sz w:val="24"/>
        </w:rPr>
        <w:t> </w:t>
      </w:r>
      <w:r>
        <w:rPr>
          <w:sz w:val="24"/>
        </w:rPr>
        <w:t>hospitals. </w:t>
      </w:r>
      <w:r>
        <w:rPr>
          <w:spacing w:val="56"/>
          <w:sz w:val="24"/>
        </w:rPr>
        <w:t> </w:t>
      </w:r>
      <w:r>
        <w:rPr>
          <w:sz w:val="24"/>
        </w:rPr>
        <w:t>The</w:t>
      </w:r>
    </w:p>
    <w:p>
      <w:pPr>
        <w:spacing w:after="0" w:line="240" w:lineRule="auto"/>
        <w:jc w:val="both"/>
        <w:rPr>
          <w:sz w:val="24"/>
        </w:rPr>
        <w:sectPr>
          <w:pgSz w:w="12240" w:h="15840"/>
          <w:pgMar w:header="0" w:footer="1065" w:top="1360" w:bottom="1260" w:left="1720" w:right="1320"/>
        </w:sectPr>
      </w:pPr>
    </w:p>
    <w:p>
      <w:pPr>
        <w:pStyle w:val="BodyText"/>
        <w:spacing w:before="76"/>
        <w:ind w:left="479" w:right="475"/>
        <w:jc w:val="both"/>
      </w:pPr>
      <w:r>
        <w:rPr/>
        <w:t>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2003-2004 2.21%; 2004-2005 1.198%; 2005-2006 1.84%; 2006-</w:t>
      </w:r>
    </w:p>
    <w:p>
      <w:pPr>
        <w:pStyle w:val="BodyText"/>
        <w:ind w:left="479"/>
        <w:jc w:val="both"/>
      </w:pPr>
      <w:r>
        <w:rPr/>
        <w:t>2007 1.637%; 2007-2008 1.588%; 2008-2009 1.459%; 2009-2010 0.516%; 2012-2013</w:t>
      </w:r>
    </w:p>
    <w:p>
      <w:pPr>
        <w:pStyle w:val="BodyText"/>
        <w:ind w:left="479"/>
        <w:jc w:val="both"/>
      </w:pPr>
      <w:r>
        <w:rPr/>
        <w:t>1.643%; 2013-2014 1.571%; and 2014-2015 1.672%.</w:t>
      </w:r>
    </w:p>
    <w:p>
      <w:pPr>
        <w:pStyle w:val="BodyText"/>
        <w:spacing w:before="10"/>
        <w:rPr>
          <w:sz w:val="23"/>
        </w:rPr>
      </w:pPr>
    </w:p>
    <w:p>
      <w:pPr>
        <w:pStyle w:val="ListParagraph"/>
        <w:numPr>
          <w:ilvl w:val="0"/>
          <w:numId w:val="1"/>
        </w:numPr>
        <w:tabs>
          <w:tab w:pos="480" w:val="left" w:leader="none"/>
        </w:tabs>
        <w:spacing w:line="240" w:lineRule="auto" w:before="1" w:after="0"/>
        <w:ind w:left="480" w:right="0" w:hanging="360"/>
        <w:jc w:val="left"/>
        <w:rPr>
          <w:sz w:val="24"/>
        </w:rPr>
      </w:pPr>
      <w:r>
        <w:rPr>
          <w:sz w:val="24"/>
          <w:u w:val="single"/>
        </w:rPr>
        <w:t>Allowance for Inpatient</w:t>
      </w:r>
      <w:r>
        <w:rPr>
          <w:spacing w:val="-6"/>
          <w:sz w:val="24"/>
          <w:u w:val="single"/>
        </w:rPr>
        <w:t> </w:t>
      </w:r>
      <w:r>
        <w:rPr>
          <w:sz w:val="24"/>
          <w:u w:val="single"/>
        </w:rPr>
        <w:t>Capital.</w:t>
      </w:r>
    </w:p>
    <w:p>
      <w:pPr>
        <w:pStyle w:val="BodyText"/>
        <w:spacing w:before="2"/>
        <w:rPr>
          <w:sz w:val="16"/>
        </w:rPr>
      </w:pPr>
    </w:p>
    <w:p>
      <w:pPr>
        <w:pStyle w:val="ListParagraph"/>
        <w:numPr>
          <w:ilvl w:val="1"/>
          <w:numId w:val="1"/>
        </w:numPr>
        <w:tabs>
          <w:tab w:pos="840" w:val="left" w:leader="none"/>
        </w:tabs>
        <w:spacing w:line="240" w:lineRule="auto" w:before="90" w:after="0"/>
        <w:ind w:left="840" w:right="477" w:hanging="360"/>
        <w:jc w:val="both"/>
        <w:rPr>
          <w:sz w:val="24"/>
        </w:rPr>
      </w:pPr>
      <w:r>
        <w:rPr>
          <w:sz w:val="24"/>
        </w:rPr>
        <w:t>Each hospital’s base year capital costs consist of the hospital’s actual HFY 2003 patient care capital requirement for historical depreciation for building and fixed equipment; reasonable interest expenses; amortization and; leases and rental of facilities.</w:t>
      </w:r>
    </w:p>
    <w:p>
      <w:pPr>
        <w:pStyle w:val="BodyText"/>
        <w:spacing w:before="11"/>
        <w:rPr>
          <w:sz w:val="23"/>
        </w:rPr>
      </w:pPr>
    </w:p>
    <w:p>
      <w:pPr>
        <w:pStyle w:val="ListParagraph"/>
        <w:numPr>
          <w:ilvl w:val="1"/>
          <w:numId w:val="1"/>
        </w:numPr>
        <w:tabs>
          <w:tab w:pos="840" w:val="left" w:leader="none"/>
        </w:tabs>
        <w:spacing w:line="240" w:lineRule="auto" w:before="0" w:after="0"/>
        <w:ind w:left="840" w:right="0" w:hanging="360"/>
        <w:jc w:val="left"/>
        <w:rPr>
          <w:sz w:val="24"/>
        </w:rPr>
      </w:pPr>
      <w:r>
        <w:rPr>
          <w:sz w:val="24"/>
        </w:rPr>
        <w:t>The limitations applicable to base year capital costs</w:t>
      </w:r>
      <w:r>
        <w:rPr>
          <w:spacing w:val="-13"/>
          <w:sz w:val="24"/>
        </w:rPr>
        <w:t> </w:t>
      </w:r>
      <w:r>
        <w:rPr>
          <w:sz w:val="24"/>
        </w:rPr>
        <w:t>are:</w:t>
      </w:r>
    </w:p>
    <w:p>
      <w:pPr>
        <w:pStyle w:val="BodyText"/>
        <w:spacing w:before="11"/>
        <w:rPr>
          <w:sz w:val="23"/>
        </w:rPr>
      </w:pPr>
    </w:p>
    <w:p>
      <w:pPr>
        <w:pStyle w:val="ListParagraph"/>
        <w:numPr>
          <w:ilvl w:val="2"/>
          <w:numId w:val="1"/>
        </w:numPr>
        <w:tabs>
          <w:tab w:pos="1200" w:val="left" w:leader="none"/>
        </w:tabs>
        <w:spacing w:line="240" w:lineRule="auto" w:before="0" w:after="0"/>
        <w:ind w:left="1200" w:right="475" w:hanging="360"/>
        <w:jc w:val="both"/>
        <w:rPr>
          <w:sz w:val="24"/>
        </w:rPr>
      </w:pPr>
      <w:r>
        <w:rPr>
          <w:sz w:val="24"/>
        </w:rPr>
        <w:t>Interest expense attributable to balloon payments on financed debt is excluded. Balloon payments are those in which the final payment on a partially amortized debt is scheduled to be larger than all preceding</w:t>
      </w:r>
      <w:r>
        <w:rPr>
          <w:spacing w:val="-10"/>
          <w:sz w:val="24"/>
        </w:rPr>
        <w:t> </w:t>
      </w:r>
      <w:r>
        <w:rPr>
          <w:sz w:val="24"/>
        </w:rPr>
        <w:t>payments.</w:t>
      </w:r>
    </w:p>
    <w:p>
      <w:pPr>
        <w:pStyle w:val="BodyText"/>
        <w:spacing w:before="11"/>
        <w:rPr>
          <w:sz w:val="23"/>
        </w:rPr>
      </w:pPr>
    </w:p>
    <w:p>
      <w:pPr>
        <w:pStyle w:val="ListParagraph"/>
        <w:numPr>
          <w:ilvl w:val="2"/>
          <w:numId w:val="1"/>
        </w:numPr>
        <w:tabs>
          <w:tab w:pos="1200" w:val="left" w:leader="none"/>
        </w:tabs>
        <w:spacing w:line="240" w:lineRule="auto" w:before="0" w:after="0"/>
        <w:ind w:left="1200" w:right="476" w:hanging="360"/>
        <w:jc w:val="both"/>
        <w:rPr>
          <w:sz w:val="24"/>
        </w:rPr>
      </w:pPr>
      <w:r>
        <w:rPr>
          <w:sz w:val="24"/>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w:t>
      </w:r>
      <w:r>
        <w:rPr>
          <w:spacing w:val="-1"/>
          <w:sz w:val="24"/>
        </w:rPr>
        <w:t> </w:t>
      </w:r>
      <w:r>
        <w:rPr>
          <w:sz w:val="24"/>
        </w:rPr>
        <w:t>assets.</w:t>
      </w:r>
    </w:p>
    <w:p>
      <w:pPr>
        <w:pStyle w:val="BodyText"/>
        <w:spacing w:before="10"/>
        <w:rPr>
          <w:sz w:val="23"/>
        </w:rPr>
      </w:pPr>
    </w:p>
    <w:p>
      <w:pPr>
        <w:pStyle w:val="ListParagraph"/>
        <w:numPr>
          <w:ilvl w:val="2"/>
          <w:numId w:val="1"/>
        </w:numPr>
        <w:tabs>
          <w:tab w:pos="1200" w:val="left" w:leader="none"/>
        </w:tabs>
        <w:spacing w:line="240" w:lineRule="auto" w:before="0" w:after="0"/>
        <w:ind w:left="1200" w:right="476" w:hanging="360"/>
        <w:jc w:val="both"/>
        <w:rPr>
          <w:sz w:val="24"/>
        </w:rPr>
      </w:pPr>
      <w:r>
        <w:rPr>
          <w:sz w:val="24"/>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pPr>
        <w:pStyle w:val="BodyText"/>
      </w:pPr>
    </w:p>
    <w:p>
      <w:pPr>
        <w:pStyle w:val="ListParagraph"/>
        <w:numPr>
          <w:ilvl w:val="1"/>
          <w:numId w:val="1"/>
        </w:numPr>
        <w:tabs>
          <w:tab w:pos="840" w:val="left" w:leader="none"/>
        </w:tabs>
        <w:spacing w:line="240" w:lineRule="auto" w:before="0" w:after="0"/>
        <w:ind w:left="840" w:right="116" w:hanging="360"/>
        <w:jc w:val="both"/>
        <w:rPr>
          <w:sz w:val="24"/>
        </w:rPr>
      </w:pPr>
      <w:r>
        <w:rPr>
          <w:sz w:val="24"/>
        </w:rPr>
        <w:t>Each hospital’s base year inpatient unit capital cost equals the base year inpatient capital cost divided by the greater of: (i) the actual base year routine patient days; or (ii) eighty- five percent (85%) of base year maximum licensed bed capacity, measured in days. The CMS Capital Input Price Index adjusts the base year inpatient unit capital cost to determine the Inpatient Unit Capital amount. The year-to-year update factors used in the rate calculation are 2003-2004 .7%; 2004-2005 .7%; 2005-2006 .7%; 2006-2007 .8%; 2008-2009 .7%; 2009-2010 1.2%; 2012-2013 1.2%; 2013-2014 1.4%; and 2014-2015 1.5%.</w:t>
      </w:r>
    </w:p>
    <w:p>
      <w:pPr>
        <w:pStyle w:val="BodyText"/>
      </w:pPr>
    </w:p>
    <w:p>
      <w:pPr>
        <w:pStyle w:val="ListParagraph"/>
        <w:numPr>
          <w:ilvl w:val="1"/>
          <w:numId w:val="1"/>
        </w:numPr>
        <w:tabs>
          <w:tab w:pos="840" w:val="left" w:leader="none"/>
        </w:tabs>
        <w:spacing w:line="240" w:lineRule="auto" w:before="0" w:after="0"/>
        <w:ind w:left="840" w:right="116" w:hanging="360"/>
        <w:jc w:val="both"/>
        <w:rPr>
          <w:sz w:val="24"/>
        </w:rPr>
      </w:pPr>
      <w:r>
        <w:rPr>
          <w:sz w:val="24"/>
        </w:rPr>
        <w:t>The Inpatient Unit Capital amounts of all chronic hospitals is calculated and the median  is set as the efficiency standard, which serves as the Chronic Disease Hospital Allowance for Inpatient</w:t>
      </w:r>
      <w:r>
        <w:rPr>
          <w:spacing w:val="-1"/>
          <w:sz w:val="24"/>
        </w:rPr>
        <w:t> </w:t>
      </w:r>
      <w:r>
        <w:rPr>
          <w:sz w:val="24"/>
        </w:rPr>
        <w:t>Capital.</w:t>
      </w:r>
    </w:p>
    <w:p>
      <w:pPr>
        <w:spacing w:after="0" w:line="240" w:lineRule="auto"/>
        <w:jc w:val="both"/>
        <w:rPr>
          <w:sz w:val="24"/>
        </w:rPr>
        <w:sectPr>
          <w:pgSz w:w="12240" w:h="15840"/>
          <w:pgMar w:header="0" w:footer="1065" w:top="1360" w:bottom="1260" w:left="1680" w:right="960"/>
        </w:sectPr>
      </w:pPr>
    </w:p>
    <w:p>
      <w:pPr>
        <w:pStyle w:val="ListParagraph"/>
        <w:numPr>
          <w:ilvl w:val="1"/>
          <w:numId w:val="1"/>
        </w:numPr>
        <w:tabs>
          <w:tab w:pos="1180" w:val="left" w:leader="none"/>
        </w:tabs>
        <w:spacing w:line="240" w:lineRule="auto" w:before="76" w:after="0"/>
        <w:ind w:left="1180" w:right="116" w:hanging="360"/>
        <w:jc w:val="both"/>
        <w:rPr>
          <w:sz w:val="24"/>
        </w:rPr>
      </w:pPr>
      <w:r>
        <w:rPr>
          <w:sz w:val="24"/>
        </w:rPr>
        <w:t>The Inpatient Unit Capital amounts of all rehabilitation hospitals is calculated and the median is set as the efficiency standard, which serves as the Rehabilitation Hospital Allowance for Inpatient</w:t>
      </w:r>
      <w:r>
        <w:rPr>
          <w:spacing w:val="-6"/>
          <w:sz w:val="24"/>
        </w:rPr>
        <w:t> </w:t>
      </w:r>
      <w:r>
        <w:rPr>
          <w:sz w:val="24"/>
        </w:rPr>
        <w:t>Capital.</w:t>
      </w:r>
    </w:p>
    <w:p>
      <w:pPr>
        <w:pStyle w:val="BodyText"/>
        <w:spacing w:before="10"/>
        <w:rPr>
          <w:sz w:val="23"/>
        </w:rPr>
      </w:pPr>
    </w:p>
    <w:p>
      <w:pPr>
        <w:pStyle w:val="ListParagraph"/>
        <w:numPr>
          <w:ilvl w:val="0"/>
          <w:numId w:val="1"/>
        </w:numPr>
        <w:tabs>
          <w:tab w:pos="820" w:val="left" w:leader="none"/>
        </w:tabs>
        <w:spacing w:line="240" w:lineRule="auto" w:before="1" w:after="0"/>
        <w:ind w:left="820" w:right="477" w:hanging="360"/>
        <w:jc w:val="left"/>
        <w:rPr>
          <w:sz w:val="24"/>
        </w:rPr>
      </w:pPr>
      <w:r>
        <w:rPr>
          <w:sz w:val="24"/>
          <w:u w:val="single"/>
        </w:rPr>
        <w:t>Determination of New Inpatient Per Diem Rate in accordance with Section 271 of Chapter</w:t>
      </w:r>
      <w:r>
        <w:rPr>
          <w:spacing w:val="6"/>
          <w:sz w:val="24"/>
          <w:u w:val="single"/>
        </w:rPr>
        <w:t> </w:t>
      </w:r>
      <w:r>
        <w:rPr>
          <w:sz w:val="24"/>
          <w:u w:val="single"/>
        </w:rPr>
        <w:t>224.</w:t>
      </w:r>
      <w:r>
        <w:rPr>
          <w:sz w:val="24"/>
        </w:rPr>
        <w:t> </w:t>
      </w:r>
      <w:r>
        <w:rPr>
          <w:spacing w:val="15"/>
          <w:sz w:val="24"/>
        </w:rPr>
        <w:t> </w:t>
      </w:r>
      <w:r>
        <w:rPr>
          <w:sz w:val="24"/>
        </w:rPr>
        <w:t>The</w:t>
      </w:r>
      <w:r>
        <w:rPr>
          <w:spacing w:val="6"/>
          <w:sz w:val="24"/>
        </w:rPr>
        <w:t> </w:t>
      </w:r>
      <w:r>
        <w:rPr>
          <w:sz w:val="24"/>
        </w:rPr>
        <w:t>inpatient</w:t>
      </w:r>
      <w:r>
        <w:rPr>
          <w:spacing w:val="6"/>
          <w:sz w:val="24"/>
        </w:rPr>
        <w:t> </w:t>
      </w:r>
      <w:r>
        <w:rPr>
          <w:sz w:val="24"/>
        </w:rPr>
        <w:t>per</w:t>
      </w:r>
      <w:r>
        <w:rPr>
          <w:spacing w:val="6"/>
          <w:sz w:val="24"/>
        </w:rPr>
        <w:t> </w:t>
      </w:r>
      <w:r>
        <w:rPr>
          <w:sz w:val="24"/>
        </w:rPr>
        <w:t>diem</w:t>
      </w:r>
      <w:r>
        <w:rPr>
          <w:spacing w:val="6"/>
          <w:sz w:val="24"/>
        </w:rPr>
        <w:t> </w:t>
      </w:r>
      <w:r>
        <w:rPr>
          <w:sz w:val="24"/>
        </w:rPr>
        <w:t>rate</w:t>
      </w:r>
      <w:r>
        <w:rPr>
          <w:spacing w:val="6"/>
          <w:sz w:val="24"/>
        </w:rPr>
        <w:t> </w:t>
      </w:r>
      <w:r>
        <w:rPr>
          <w:sz w:val="24"/>
        </w:rPr>
        <w:t>for</w:t>
      </w:r>
      <w:r>
        <w:rPr>
          <w:spacing w:val="6"/>
          <w:sz w:val="24"/>
        </w:rPr>
        <w:t> </w:t>
      </w:r>
      <w:r>
        <w:rPr>
          <w:sz w:val="24"/>
        </w:rPr>
        <w:t>RY</w:t>
      </w:r>
      <w:r>
        <w:rPr>
          <w:spacing w:val="6"/>
          <w:sz w:val="24"/>
        </w:rPr>
        <w:t> </w:t>
      </w:r>
      <w:r>
        <w:rPr>
          <w:sz w:val="24"/>
        </w:rPr>
        <w:t>2015</w:t>
      </w:r>
      <w:r>
        <w:rPr>
          <w:spacing w:val="6"/>
          <w:sz w:val="24"/>
        </w:rPr>
        <w:t> </w:t>
      </w:r>
      <w:r>
        <w:rPr>
          <w:sz w:val="24"/>
        </w:rPr>
        <w:t>is</w:t>
      </w:r>
      <w:r>
        <w:rPr>
          <w:spacing w:val="6"/>
          <w:sz w:val="24"/>
        </w:rPr>
        <w:t> </w:t>
      </w:r>
      <w:r>
        <w:rPr>
          <w:sz w:val="24"/>
        </w:rPr>
        <w:t>derived</w:t>
      </w:r>
      <w:r>
        <w:rPr>
          <w:spacing w:val="6"/>
          <w:sz w:val="24"/>
        </w:rPr>
        <w:t> </w:t>
      </w:r>
      <w:r>
        <w:rPr>
          <w:sz w:val="24"/>
        </w:rPr>
        <w:t>by</w:t>
      </w:r>
      <w:r>
        <w:rPr>
          <w:spacing w:val="6"/>
          <w:sz w:val="24"/>
        </w:rPr>
        <w:t> </w:t>
      </w:r>
      <w:r>
        <w:rPr>
          <w:sz w:val="24"/>
        </w:rPr>
        <w:t>applying</w:t>
      </w:r>
      <w:r>
        <w:rPr>
          <w:spacing w:val="6"/>
          <w:sz w:val="24"/>
        </w:rPr>
        <w:t> </w:t>
      </w:r>
      <w:r>
        <w:rPr>
          <w:sz w:val="24"/>
        </w:rPr>
        <w:t>a</w:t>
      </w:r>
      <w:r>
        <w:rPr>
          <w:spacing w:val="6"/>
          <w:sz w:val="24"/>
        </w:rPr>
        <w:t> </w:t>
      </w:r>
      <w:r>
        <w:rPr>
          <w:sz w:val="24"/>
        </w:rPr>
        <w:t>factor</w:t>
      </w:r>
      <w:r>
        <w:rPr>
          <w:spacing w:val="6"/>
          <w:sz w:val="24"/>
        </w:rPr>
        <w:t> </w:t>
      </w:r>
      <w:r>
        <w:rPr>
          <w:sz w:val="24"/>
        </w:rPr>
        <w:t>of</w:t>
      </w:r>
    </w:p>
    <w:p>
      <w:pPr>
        <w:pStyle w:val="BodyText"/>
        <w:ind w:left="820" w:right="476"/>
        <w:jc w:val="both"/>
      </w:pPr>
      <w:r>
        <w:rPr/>
        <w:t>1.5 times the hospital’s rate year 2012 inpatient per diem rate established in RY 2012. After having applied the factor of 1.5, the update factors described in Section 1,  paragraph C and Section 1, paragraph D.3. are applied to determine the final per diem. The administrative day per diem rate is calculated using the methodology described in Section 3 below.</w:t>
      </w:r>
    </w:p>
    <w:p>
      <w:pPr>
        <w:pStyle w:val="BodyText"/>
        <w:spacing w:before="11"/>
        <w:rPr>
          <w:sz w:val="23"/>
        </w:rPr>
      </w:pPr>
    </w:p>
    <w:p>
      <w:pPr>
        <w:pStyle w:val="BodyText"/>
        <w:ind w:left="100"/>
      </w:pPr>
      <w:r>
        <w:rPr>
          <w:u w:val="single"/>
        </w:rPr>
        <w:t>Section 2: Determination of Inpatient Rate for New Hospitals (i.e., Newly Licensed as Chronic</w:t>
      </w:r>
      <w:r>
        <w:rPr/>
        <w:t> </w:t>
      </w:r>
      <w:r>
        <w:rPr>
          <w:u w:val="single"/>
        </w:rPr>
        <w:t>Disease or Rehabilitation Hospitals after October 1, 2004).</w:t>
      </w:r>
    </w:p>
    <w:p>
      <w:pPr>
        <w:pStyle w:val="BodyText"/>
        <w:spacing w:before="1"/>
        <w:rPr>
          <w:sz w:val="16"/>
        </w:rPr>
      </w:pPr>
    </w:p>
    <w:p>
      <w:pPr>
        <w:pStyle w:val="ListParagraph"/>
        <w:numPr>
          <w:ilvl w:val="0"/>
          <w:numId w:val="2"/>
        </w:numPr>
        <w:tabs>
          <w:tab w:pos="1181" w:val="left" w:leader="none"/>
        </w:tabs>
        <w:spacing w:line="240" w:lineRule="auto" w:before="90" w:after="0"/>
        <w:ind w:left="1180" w:right="476" w:hanging="360"/>
        <w:jc w:val="both"/>
        <w:rPr>
          <w:sz w:val="24"/>
        </w:rPr>
      </w:pPr>
      <w:r>
        <w:rPr>
          <w:sz w:val="24"/>
        </w:rPr>
        <w:t>The allowable overhead and capital per diem costs will be established at the  efficiency standards as calculated pursuant to Section 1, paragraph B.3, and Section 1, paragraph D,</w:t>
      </w:r>
      <w:r>
        <w:rPr>
          <w:spacing w:val="-1"/>
          <w:sz w:val="24"/>
        </w:rPr>
        <w:t> </w:t>
      </w:r>
      <w:r>
        <w:rPr>
          <w:sz w:val="24"/>
        </w:rPr>
        <w:t>respectively.</w:t>
      </w:r>
    </w:p>
    <w:p>
      <w:pPr>
        <w:pStyle w:val="BodyText"/>
        <w:spacing w:before="10"/>
        <w:rPr>
          <w:sz w:val="23"/>
        </w:rPr>
      </w:pPr>
    </w:p>
    <w:p>
      <w:pPr>
        <w:pStyle w:val="ListParagraph"/>
        <w:numPr>
          <w:ilvl w:val="0"/>
          <w:numId w:val="2"/>
        </w:numPr>
        <w:tabs>
          <w:tab w:pos="1181" w:val="left" w:leader="none"/>
        </w:tabs>
        <w:spacing w:line="240" w:lineRule="auto" w:before="1" w:after="0"/>
        <w:ind w:left="1180" w:right="477" w:hanging="360"/>
        <w:jc w:val="both"/>
        <w:rPr>
          <w:sz w:val="24"/>
        </w:rPr>
      </w:pPr>
      <w:r>
        <w:rPr>
          <w:sz w:val="24"/>
        </w:rPr>
        <w:t>The allowable routine and ancillary per diem costs will be established at the median  of HFY 2003 per diem costs reported by chronic and rehabilitation</w:t>
      </w:r>
      <w:r>
        <w:rPr>
          <w:spacing w:val="-39"/>
          <w:sz w:val="24"/>
        </w:rPr>
        <w:t> </w:t>
      </w:r>
      <w:r>
        <w:rPr>
          <w:sz w:val="24"/>
        </w:rPr>
        <w:t>hospitals.</w:t>
      </w:r>
    </w:p>
    <w:p>
      <w:pPr>
        <w:pStyle w:val="BodyText"/>
      </w:pPr>
    </w:p>
    <w:p>
      <w:pPr>
        <w:pStyle w:val="ListParagraph"/>
        <w:numPr>
          <w:ilvl w:val="0"/>
          <w:numId w:val="2"/>
        </w:numPr>
        <w:tabs>
          <w:tab w:pos="1181" w:val="left" w:leader="none"/>
        </w:tabs>
        <w:spacing w:line="240" w:lineRule="auto" w:before="0" w:after="0"/>
        <w:ind w:left="1180" w:right="476" w:hanging="360"/>
        <w:jc w:val="both"/>
        <w:rPr>
          <w:sz w:val="24"/>
        </w:rPr>
      </w:pPr>
      <w:r>
        <w:rPr>
          <w:sz w:val="24"/>
        </w:rPr>
        <w:t>The allowable per diem costs will be updated by the inflation factor calculated pursuant to Section 1, paragraph C.1.and paragraph D.3.and</w:t>
      </w:r>
      <w:r>
        <w:rPr>
          <w:spacing w:val="-33"/>
          <w:sz w:val="24"/>
        </w:rPr>
        <w:t> </w:t>
      </w:r>
      <w:r>
        <w:rPr>
          <w:sz w:val="24"/>
        </w:rPr>
        <w:t>D.4.</w:t>
      </w:r>
    </w:p>
    <w:p>
      <w:pPr>
        <w:pStyle w:val="BodyText"/>
        <w:spacing w:before="9"/>
        <w:rPr>
          <w:sz w:val="20"/>
        </w:rPr>
      </w:pPr>
    </w:p>
    <w:p>
      <w:pPr>
        <w:pStyle w:val="BodyText"/>
        <w:spacing w:before="1"/>
        <w:ind w:left="100"/>
      </w:pPr>
      <w:r>
        <w:rPr>
          <w:u w:val="single"/>
        </w:rPr>
        <w:t>Section 3: Determination of Rate for Administrative Day Patients</w:t>
      </w:r>
      <w:r>
        <w:rPr/>
        <w:t>.</w:t>
      </w:r>
    </w:p>
    <w:p>
      <w:pPr>
        <w:pStyle w:val="BodyText"/>
        <w:spacing w:before="10"/>
        <w:rPr>
          <w:sz w:val="20"/>
        </w:rPr>
      </w:pPr>
    </w:p>
    <w:p>
      <w:pPr>
        <w:pStyle w:val="BodyText"/>
        <w:ind w:left="460" w:right="474"/>
        <w:jc w:val="both"/>
      </w:pPr>
      <w:r>
        <w:rPr/>
        <w:t>A hospital will be paid </w:t>
      </w:r>
      <w:r>
        <w:rPr>
          <w:spacing w:val="-3"/>
        </w:rPr>
        <w:t>for Administrative Days using </w:t>
      </w:r>
      <w:r>
        <w:rPr/>
        <w:t>an </w:t>
      </w:r>
      <w:r>
        <w:rPr>
          <w:spacing w:val="-3"/>
        </w:rPr>
        <w:t>Administrative </w:t>
      </w:r>
      <w:r>
        <w:rPr/>
        <w:t>Day Per </w:t>
      </w:r>
      <w:r>
        <w:rPr>
          <w:spacing w:val="-3"/>
        </w:rPr>
        <w:t>Diem Rate </w:t>
      </w:r>
      <w:r>
        <w:rPr/>
        <w:t>(AD </w:t>
      </w:r>
      <w:r>
        <w:rPr>
          <w:spacing w:val="-3"/>
        </w:rPr>
        <w:t>Rate). </w:t>
      </w:r>
      <w:r>
        <w:rPr/>
        <w:t>The AD Rate is an all-inclusive daily rate paid for </w:t>
      </w:r>
      <w:r>
        <w:rPr>
          <w:spacing w:val="-3"/>
        </w:rPr>
        <w:t>each Administrative Day. </w:t>
      </w:r>
      <w:r>
        <w:rPr>
          <w:spacing w:val="-2"/>
        </w:rPr>
        <w:t>The </w:t>
      </w:r>
      <w:r>
        <w:rPr/>
        <w:t>AD </w:t>
      </w:r>
      <w:r>
        <w:rPr>
          <w:spacing w:val="-3"/>
        </w:rPr>
        <w:t>Rate </w:t>
      </w:r>
      <w:r>
        <w:rPr/>
        <w:t>is </w:t>
      </w:r>
      <w:r>
        <w:rPr>
          <w:spacing w:val="-3"/>
        </w:rPr>
        <w:t>comprised </w:t>
      </w:r>
      <w:r>
        <w:rPr/>
        <w:t>of </w:t>
      </w:r>
      <w:r>
        <w:rPr>
          <w:spacing w:val="-3"/>
        </w:rPr>
        <w:t>three components: </w:t>
      </w:r>
      <w:r>
        <w:rPr/>
        <w:t>a </w:t>
      </w:r>
      <w:r>
        <w:rPr>
          <w:spacing w:val="-3"/>
        </w:rPr>
        <w:t>statewide </w:t>
      </w:r>
      <w:r>
        <w:rPr/>
        <w:t>AD </w:t>
      </w:r>
      <w:r>
        <w:rPr>
          <w:spacing w:val="-3"/>
        </w:rPr>
        <w:t>routine </w:t>
      </w:r>
      <w:r>
        <w:rPr/>
        <w:t>per diem </w:t>
      </w:r>
      <w:r>
        <w:rPr>
          <w:spacing w:val="-3"/>
        </w:rPr>
        <w:t>amount, </w:t>
      </w:r>
      <w:r>
        <w:rPr/>
        <w:t>a statewide AD ancillary per diem </w:t>
      </w:r>
      <w:r>
        <w:rPr>
          <w:spacing w:val="-3"/>
        </w:rPr>
        <w:t>amount </w:t>
      </w:r>
      <w:r>
        <w:rPr/>
        <w:t>and a </w:t>
      </w:r>
      <w:r>
        <w:rPr>
          <w:spacing w:val="-3"/>
        </w:rPr>
        <w:t>hospital-specific </w:t>
      </w:r>
      <w:r>
        <w:rPr>
          <w:spacing w:val="-2"/>
        </w:rPr>
        <w:t>supplementary </w:t>
      </w:r>
      <w:r>
        <w:rPr/>
        <w:t>per diem amount. 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 The sum of the statewide AD routine and ancillary per diem amounts for RY 2015 is $513.05. For RY 2015, the supplementary per diem amount for each hospital is the AD routine and ancillary per diem amount of $513.05 increased by 64% of the difference between each hospital’s Inpatient Per Diem Rate and the statewide AD routine and ancillary per diem amount of</w:t>
      </w:r>
      <w:r>
        <w:rPr>
          <w:spacing w:val="-2"/>
        </w:rPr>
        <w:t> </w:t>
      </w:r>
      <w:r>
        <w:rPr/>
        <w:t>$513.05.</w:t>
      </w:r>
    </w:p>
    <w:p>
      <w:pPr>
        <w:pStyle w:val="BodyText"/>
        <w:spacing w:before="9"/>
        <w:rPr>
          <w:sz w:val="20"/>
        </w:rPr>
      </w:pPr>
    </w:p>
    <w:p>
      <w:pPr>
        <w:pStyle w:val="BodyText"/>
        <w:spacing w:before="1"/>
        <w:ind w:left="100"/>
      </w:pPr>
      <w:r>
        <w:rPr>
          <w:u w:val="single"/>
        </w:rPr>
        <w:t>Section 4:  Determination of Outpatient Rate</w:t>
      </w:r>
      <w:r>
        <w:rPr/>
        <w:t>.</w:t>
      </w:r>
    </w:p>
    <w:p>
      <w:pPr>
        <w:pStyle w:val="BodyText"/>
        <w:spacing w:before="2"/>
        <w:rPr>
          <w:sz w:val="16"/>
        </w:rPr>
      </w:pPr>
    </w:p>
    <w:p>
      <w:pPr>
        <w:pStyle w:val="BodyText"/>
        <w:spacing w:before="90"/>
        <w:ind w:left="460" w:right="477"/>
        <w:jc w:val="both"/>
      </w:pPr>
      <w:r>
        <w:rPr/>
        <w:t>A hospital will be paid for Outpatient Services using a hospital-specific Outpatient Cost-to- Charge Ratio. The Outpatient Cost-to-Charge Ratio is a fixed percentage that is applied to a hospital’s Usual and Customary Charges for Outpatient Services, based on charges filed with the Division of Health Care Finance and Policy, or successor agency as of July 1, 2014.</w:t>
      </w:r>
    </w:p>
    <w:p>
      <w:pPr>
        <w:spacing w:after="0"/>
        <w:jc w:val="both"/>
        <w:sectPr>
          <w:pgSz w:w="12240" w:h="15840"/>
          <w:pgMar w:header="0" w:footer="1065" w:top="1360" w:bottom="1260" w:left="1340" w:right="960"/>
        </w:sectPr>
      </w:pPr>
    </w:p>
    <w:p>
      <w:pPr>
        <w:pStyle w:val="BodyText"/>
        <w:spacing w:before="76"/>
        <w:ind w:left="119" w:right="116"/>
        <w:jc w:val="both"/>
      </w:pPr>
      <w:r>
        <w:rPr/>
        <w:t>Payment</w:t>
      </w:r>
      <w:r>
        <w:rPr>
          <w:spacing w:val="-4"/>
        </w:rPr>
        <w:t> </w:t>
      </w:r>
      <w:r>
        <w:rPr>
          <w:spacing w:val="-3"/>
        </w:rPr>
        <w:t>for</w:t>
      </w:r>
      <w:r>
        <w:rPr>
          <w:spacing w:val="-4"/>
        </w:rPr>
        <w:t> </w:t>
      </w:r>
      <w:r>
        <w:rPr/>
        <w:t>a</w:t>
      </w:r>
      <w:r>
        <w:rPr>
          <w:spacing w:val="-4"/>
        </w:rPr>
        <w:t> </w:t>
      </w:r>
      <w:r>
        <w:rPr/>
        <w:t>particular</w:t>
      </w:r>
      <w:r>
        <w:rPr>
          <w:spacing w:val="-4"/>
        </w:rPr>
        <w:t> </w:t>
      </w:r>
      <w:r>
        <w:rPr/>
        <w:t>Outpatient</w:t>
      </w:r>
      <w:r>
        <w:rPr>
          <w:spacing w:val="-4"/>
        </w:rPr>
        <w:t> </w:t>
      </w:r>
      <w:r>
        <w:rPr/>
        <w:t>Service</w:t>
      </w:r>
      <w:r>
        <w:rPr>
          <w:spacing w:val="-4"/>
        </w:rPr>
        <w:t> </w:t>
      </w:r>
      <w:r>
        <w:rPr/>
        <w:t>shall</w:t>
      </w:r>
      <w:r>
        <w:rPr>
          <w:spacing w:val="-4"/>
        </w:rPr>
        <w:t> </w:t>
      </w:r>
      <w:r>
        <w:rPr/>
        <w:t>be</w:t>
      </w:r>
      <w:r>
        <w:rPr>
          <w:spacing w:val="-4"/>
        </w:rPr>
        <w:t> </w:t>
      </w:r>
      <w:r>
        <w:rPr/>
        <w:t>equal</w:t>
      </w:r>
      <w:r>
        <w:rPr>
          <w:spacing w:val="-4"/>
        </w:rPr>
        <w:t> </w:t>
      </w:r>
      <w:r>
        <w:rPr/>
        <w:t>to</w:t>
      </w:r>
      <w:r>
        <w:rPr>
          <w:spacing w:val="-4"/>
        </w:rPr>
        <w:t> </w:t>
      </w:r>
      <w:r>
        <w:rPr>
          <w:spacing w:val="-2"/>
        </w:rPr>
        <w:t>the</w:t>
      </w:r>
      <w:r>
        <w:rPr>
          <w:spacing w:val="-5"/>
        </w:rPr>
        <w:t> </w:t>
      </w:r>
      <w:r>
        <w:rPr>
          <w:spacing w:val="-3"/>
        </w:rPr>
        <w:t>product </w:t>
      </w:r>
      <w:r>
        <w:rPr/>
        <w:t>of</w:t>
      </w:r>
      <w:r>
        <w:rPr>
          <w:spacing w:val="-5"/>
        </w:rPr>
        <w:t> </w:t>
      </w:r>
      <w:r>
        <w:rPr/>
        <w:t>the</w:t>
      </w:r>
      <w:r>
        <w:rPr>
          <w:spacing w:val="-5"/>
        </w:rPr>
        <w:t> </w:t>
      </w:r>
      <w:r>
        <w:rPr>
          <w:spacing w:val="-3"/>
        </w:rPr>
        <w:t>Cost-to-Charge Ratio times </w:t>
      </w:r>
      <w:r>
        <w:rPr/>
        <w:t>the </w:t>
      </w:r>
      <w:r>
        <w:rPr>
          <w:spacing w:val="-3"/>
        </w:rPr>
        <w:t>hospital’s Usual </w:t>
      </w:r>
      <w:r>
        <w:rPr/>
        <w:t>and </w:t>
      </w:r>
      <w:r>
        <w:rPr>
          <w:spacing w:val="-3"/>
        </w:rPr>
        <w:t>Customary Charge for </w:t>
      </w:r>
      <w:r>
        <w:rPr/>
        <w:t>the Outpatient Service in </w:t>
      </w:r>
      <w:r>
        <w:rPr>
          <w:spacing w:val="-3"/>
        </w:rPr>
        <w:t>effect </w:t>
      </w:r>
      <w:r>
        <w:rPr/>
        <w:t>as of July 1, </w:t>
      </w:r>
      <w:r>
        <w:rPr>
          <w:spacing w:val="-3"/>
        </w:rPr>
        <w:t>2014. </w:t>
      </w:r>
      <w:r>
        <w:rPr/>
        <w:t>Any such </w:t>
      </w:r>
      <w:r>
        <w:rPr>
          <w:spacing w:val="-3"/>
        </w:rPr>
        <w:t>payment shall </w:t>
      </w:r>
      <w:r>
        <w:rPr/>
        <w:t>not </w:t>
      </w:r>
      <w:r>
        <w:rPr>
          <w:spacing w:val="-3"/>
        </w:rPr>
        <w:t>exceed </w:t>
      </w:r>
      <w:r>
        <w:rPr/>
        <w:t>the </w:t>
      </w:r>
      <w:r>
        <w:rPr>
          <w:spacing w:val="-3"/>
        </w:rPr>
        <w:t>hospital’s Usual </w:t>
      </w:r>
      <w:r>
        <w:rPr/>
        <w:t>and </w:t>
      </w:r>
      <w:r>
        <w:rPr>
          <w:spacing w:val="-3"/>
        </w:rPr>
        <w:t>Customary Charge.</w:t>
      </w:r>
    </w:p>
    <w:p>
      <w:pPr>
        <w:pStyle w:val="BodyText"/>
        <w:spacing w:before="10"/>
        <w:rPr>
          <w:sz w:val="23"/>
        </w:rPr>
      </w:pPr>
    </w:p>
    <w:p>
      <w:pPr>
        <w:pStyle w:val="BodyText"/>
        <w:spacing w:before="1"/>
        <w:ind w:left="119" w:right="117"/>
        <w:jc w:val="both"/>
      </w:pPr>
      <w:r>
        <w:rPr/>
        <w:t>The Cost-to-Charge Ratio for a specific hospital is calculated by dividing its outpatient costs (Schedule XVIII) by its outpatient service revenue (schedule XI), as derived from the HCFP- 403.</w:t>
      </w:r>
    </w:p>
    <w:p>
      <w:pPr>
        <w:spacing w:after="0"/>
        <w:jc w:val="both"/>
        <w:sectPr>
          <w:pgSz w:w="12240" w:h="15840"/>
          <w:pgMar w:header="0" w:footer="1065" w:top="1360" w:bottom="1260" w:left="1680" w:right="1320"/>
        </w:sectPr>
      </w:pPr>
    </w:p>
    <w:p>
      <w:pPr>
        <w:pStyle w:val="BodyText"/>
        <w:spacing w:before="10"/>
        <w:rPr>
          <w:sz w:val="10"/>
        </w:rPr>
      </w:pPr>
    </w:p>
    <w:p>
      <w:pPr>
        <w:pStyle w:val="Heading1"/>
        <w:spacing w:before="90"/>
        <w:ind w:left="2302" w:right="2302"/>
      </w:pPr>
      <w:r>
        <w:rPr/>
        <w:t>Chronic Disease and Rehabilitation Hospital FINAL Medicaid Inpatient and Outpatient Rates</w:t>
      </w:r>
      <w:r>
        <w:rPr>
          <w:w w:val="99"/>
        </w:rPr>
        <w:t> </w:t>
      </w:r>
      <w:r>
        <w:rPr/>
        <w:t>October 1, 2014 - September 30, 2015</w:t>
      </w:r>
    </w:p>
    <w:p>
      <w:pPr>
        <w:pStyle w:val="BodyText"/>
        <w:spacing w:before="1"/>
        <w:rPr>
          <w:b/>
          <w:sz w:val="27"/>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40"/>
        <w:gridCol w:w="1623"/>
        <w:gridCol w:w="1830"/>
        <w:gridCol w:w="2127"/>
      </w:tblGrid>
      <w:tr>
        <w:trPr>
          <w:trHeight w:val="840" w:hRule="atLeast"/>
        </w:trPr>
        <w:tc>
          <w:tcPr>
            <w:tcW w:w="3840" w:type="dxa"/>
            <w:tcBorders>
              <w:top w:val="single" w:sz="12" w:space="0" w:color="000000"/>
              <w:bottom w:val="single" w:sz="12" w:space="0" w:color="000000"/>
            </w:tcBorders>
          </w:tcPr>
          <w:p>
            <w:pPr>
              <w:pStyle w:val="TableParagraph"/>
              <w:spacing w:before="10"/>
              <w:rPr>
                <w:b/>
                <w:sz w:val="23"/>
              </w:rPr>
            </w:pPr>
          </w:p>
          <w:p>
            <w:pPr>
              <w:pStyle w:val="TableParagraph"/>
              <w:spacing w:before="0"/>
              <w:ind w:left="30"/>
              <w:rPr>
                <w:b/>
                <w:sz w:val="24"/>
              </w:rPr>
            </w:pPr>
            <w:r>
              <w:rPr>
                <w:b/>
                <w:sz w:val="24"/>
              </w:rPr>
              <w:t>Facility</w:t>
            </w:r>
          </w:p>
        </w:tc>
        <w:tc>
          <w:tcPr>
            <w:tcW w:w="1623" w:type="dxa"/>
            <w:tcBorders>
              <w:top w:val="single" w:sz="12" w:space="0" w:color="000000"/>
              <w:bottom w:val="single" w:sz="12" w:space="0" w:color="000000"/>
            </w:tcBorders>
          </w:tcPr>
          <w:p>
            <w:pPr>
              <w:pStyle w:val="TableParagraph"/>
              <w:spacing w:before="0"/>
              <w:ind w:left="510" w:right="126"/>
              <w:rPr>
                <w:b/>
                <w:sz w:val="24"/>
              </w:rPr>
            </w:pPr>
            <w:r>
              <w:rPr>
                <w:b/>
                <w:sz w:val="24"/>
              </w:rPr>
              <w:t>Inpatient Per Diem</w:t>
            </w:r>
          </w:p>
        </w:tc>
        <w:tc>
          <w:tcPr>
            <w:tcW w:w="1830" w:type="dxa"/>
            <w:tcBorders>
              <w:top w:val="single" w:sz="12" w:space="0" w:color="000000"/>
              <w:bottom w:val="single" w:sz="12" w:space="0" w:color="000000"/>
            </w:tcBorders>
          </w:tcPr>
          <w:p>
            <w:pPr>
              <w:pStyle w:val="TableParagraph"/>
              <w:spacing w:before="0"/>
              <w:ind w:left="327" w:right="538" w:hanging="2"/>
              <w:rPr>
                <w:b/>
                <w:sz w:val="24"/>
              </w:rPr>
            </w:pPr>
            <w:r>
              <w:rPr>
                <w:b/>
                <w:sz w:val="24"/>
              </w:rPr>
              <w:t>Inpatient AND</w:t>
            </w:r>
          </w:p>
          <w:p>
            <w:pPr>
              <w:pStyle w:val="TableParagraph"/>
              <w:spacing w:line="275" w:lineRule="exact" w:before="2"/>
              <w:ind w:left="327"/>
              <w:rPr>
                <w:b/>
                <w:sz w:val="24"/>
              </w:rPr>
            </w:pPr>
            <w:r>
              <w:rPr>
                <w:b/>
                <w:sz w:val="24"/>
              </w:rPr>
              <w:t>Per Diem</w:t>
            </w:r>
          </w:p>
        </w:tc>
        <w:tc>
          <w:tcPr>
            <w:tcW w:w="2127" w:type="dxa"/>
            <w:tcBorders>
              <w:top w:val="single" w:sz="12" w:space="0" w:color="000000"/>
              <w:bottom w:val="single" w:sz="12" w:space="0" w:color="000000"/>
            </w:tcBorders>
          </w:tcPr>
          <w:p>
            <w:pPr>
              <w:pStyle w:val="TableParagraph"/>
              <w:spacing w:before="0"/>
              <w:ind w:left="657" w:right="157" w:hanging="2"/>
              <w:rPr>
                <w:b/>
                <w:sz w:val="24"/>
              </w:rPr>
            </w:pPr>
            <w:r>
              <w:rPr>
                <w:b/>
                <w:sz w:val="24"/>
              </w:rPr>
              <w:t>Outpatient Cost/Charge</w:t>
            </w:r>
          </w:p>
          <w:p>
            <w:pPr>
              <w:pStyle w:val="TableParagraph"/>
              <w:spacing w:line="275" w:lineRule="exact" w:before="2"/>
              <w:ind w:left="657"/>
              <w:rPr>
                <w:b/>
                <w:sz w:val="24"/>
              </w:rPr>
            </w:pPr>
            <w:r>
              <w:rPr>
                <w:b/>
                <w:sz w:val="24"/>
              </w:rPr>
              <w:t>Ratio</w:t>
            </w:r>
          </w:p>
        </w:tc>
      </w:tr>
      <w:tr>
        <w:trPr>
          <w:trHeight w:val="680" w:hRule="atLeast"/>
        </w:trPr>
        <w:tc>
          <w:tcPr>
            <w:tcW w:w="3840" w:type="dxa"/>
            <w:tcBorders>
              <w:top w:val="single" w:sz="12" w:space="0" w:color="000000"/>
            </w:tcBorders>
          </w:tcPr>
          <w:p>
            <w:pPr>
              <w:pStyle w:val="TableParagraph"/>
              <w:spacing w:before="10"/>
              <w:rPr>
                <w:b/>
                <w:sz w:val="23"/>
              </w:rPr>
            </w:pPr>
          </w:p>
          <w:p>
            <w:pPr>
              <w:pStyle w:val="TableParagraph"/>
              <w:spacing w:before="0"/>
              <w:ind w:left="30"/>
              <w:rPr>
                <w:b/>
                <w:sz w:val="24"/>
              </w:rPr>
            </w:pPr>
            <w:r>
              <w:rPr>
                <w:b/>
                <w:sz w:val="24"/>
              </w:rPr>
              <w:t>Braintree Hospital</w:t>
            </w:r>
          </w:p>
        </w:tc>
        <w:tc>
          <w:tcPr>
            <w:tcW w:w="1623" w:type="dxa"/>
            <w:tcBorders>
              <w:top w:val="single" w:sz="12" w:space="0" w:color="000000"/>
            </w:tcBorders>
          </w:tcPr>
          <w:p>
            <w:pPr>
              <w:pStyle w:val="TableParagraph"/>
              <w:spacing w:before="10"/>
              <w:rPr>
                <w:b/>
                <w:sz w:val="23"/>
              </w:rPr>
            </w:pPr>
          </w:p>
          <w:p>
            <w:pPr>
              <w:pStyle w:val="TableParagraph"/>
              <w:spacing w:before="0"/>
              <w:ind w:right="450"/>
              <w:jc w:val="right"/>
              <w:rPr>
                <w:b/>
                <w:sz w:val="24"/>
              </w:rPr>
            </w:pPr>
            <w:r>
              <w:rPr>
                <w:b/>
                <w:sz w:val="24"/>
              </w:rPr>
              <w:t>754.24</w:t>
            </w:r>
          </w:p>
        </w:tc>
        <w:tc>
          <w:tcPr>
            <w:tcW w:w="1830" w:type="dxa"/>
            <w:tcBorders>
              <w:top w:val="single" w:sz="12" w:space="0" w:color="000000"/>
            </w:tcBorders>
          </w:tcPr>
          <w:p>
            <w:pPr>
              <w:pStyle w:val="TableParagraph"/>
              <w:spacing w:before="10"/>
              <w:rPr>
                <w:b/>
                <w:sz w:val="23"/>
              </w:rPr>
            </w:pPr>
          </w:p>
          <w:p>
            <w:pPr>
              <w:pStyle w:val="TableParagraph"/>
              <w:spacing w:before="0"/>
              <w:ind w:right="840"/>
              <w:jc w:val="right"/>
              <w:rPr>
                <w:b/>
                <w:sz w:val="24"/>
              </w:rPr>
            </w:pPr>
            <w:r>
              <w:rPr>
                <w:b/>
                <w:sz w:val="24"/>
              </w:rPr>
              <w:t>667.41</w:t>
            </w:r>
          </w:p>
        </w:tc>
        <w:tc>
          <w:tcPr>
            <w:tcW w:w="2127" w:type="dxa"/>
            <w:tcBorders>
              <w:top w:val="single" w:sz="12" w:space="0" w:color="000000"/>
            </w:tcBorders>
          </w:tcPr>
          <w:p>
            <w:pPr>
              <w:pStyle w:val="TableParagraph"/>
              <w:spacing w:before="10"/>
              <w:rPr>
                <w:b/>
                <w:sz w:val="23"/>
              </w:rPr>
            </w:pPr>
          </w:p>
          <w:p>
            <w:pPr>
              <w:pStyle w:val="TableParagraph"/>
              <w:spacing w:before="0"/>
              <w:ind w:left="657"/>
              <w:rPr>
                <w:b/>
                <w:sz w:val="24"/>
              </w:rPr>
            </w:pPr>
            <w:r>
              <w:rPr>
                <w:b/>
                <w:sz w:val="24"/>
              </w:rPr>
              <w:t>50.92%</w:t>
            </w:r>
          </w:p>
        </w:tc>
      </w:tr>
      <w:tr>
        <w:trPr>
          <w:trHeight w:val="540" w:hRule="atLeast"/>
        </w:trPr>
        <w:tc>
          <w:tcPr>
            <w:tcW w:w="3840" w:type="dxa"/>
          </w:tcPr>
          <w:p>
            <w:pPr>
              <w:pStyle w:val="TableParagraph"/>
              <w:ind w:left="30"/>
              <w:rPr>
                <w:b/>
                <w:sz w:val="24"/>
              </w:rPr>
            </w:pPr>
            <w:r>
              <w:rPr>
                <w:b/>
                <w:sz w:val="24"/>
              </w:rPr>
              <w:t>Fairlawn Hospital</w:t>
            </w:r>
          </w:p>
        </w:tc>
        <w:tc>
          <w:tcPr>
            <w:tcW w:w="1623" w:type="dxa"/>
          </w:tcPr>
          <w:p>
            <w:pPr>
              <w:pStyle w:val="TableParagraph"/>
              <w:ind w:right="452"/>
              <w:jc w:val="right"/>
              <w:rPr>
                <w:b/>
                <w:sz w:val="24"/>
              </w:rPr>
            </w:pPr>
            <w:r>
              <w:rPr>
                <w:b/>
                <w:sz w:val="24"/>
              </w:rPr>
              <w:t>692.42</w:t>
            </w:r>
          </w:p>
        </w:tc>
        <w:tc>
          <w:tcPr>
            <w:tcW w:w="1830" w:type="dxa"/>
          </w:tcPr>
          <w:p>
            <w:pPr>
              <w:pStyle w:val="TableParagraph"/>
              <w:ind w:right="842"/>
              <w:jc w:val="right"/>
              <w:rPr>
                <w:b/>
                <w:sz w:val="24"/>
              </w:rPr>
            </w:pPr>
            <w:r>
              <w:rPr>
                <w:b/>
                <w:sz w:val="24"/>
              </w:rPr>
              <w:t>627.84</w:t>
            </w:r>
          </w:p>
        </w:tc>
        <w:tc>
          <w:tcPr>
            <w:tcW w:w="2127" w:type="dxa"/>
          </w:tcPr>
          <w:p>
            <w:pPr>
              <w:pStyle w:val="TableParagraph"/>
              <w:ind w:left="655"/>
              <w:rPr>
                <w:b/>
                <w:sz w:val="24"/>
              </w:rPr>
            </w:pPr>
            <w:r>
              <w:rPr>
                <w:b/>
                <w:sz w:val="24"/>
              </w:rPr>
              <w:t>40.80%</w:t>
            </w:r>
          </w:p>
        </w:tc>
      </w:tr>
      <w:tr>
        <w:trPr>
          <w:trHeight w:val="540" w:hRule="atLeast"/>
        </w:trPr>
        <w:tc>
          <w:tcPr>
            <w:tcW w:w="3840" w:type="dxa"/>
          </w:tcPr>
          <w:p>
            <w:pPr>
              <w:pStyle w:val="TableParagraph"/>
              <w:ind w:left="30"/>
              <w:rPr>
                <w:b/>
                <w:sz w:val="24"/>
              </w:rPr>
            </w:pPr>
            <w:r>
              <w:rPr>
                <w:b/>
                <w:sz w:val="24"/>
              </w:rPr>
              <w:t>Franciscan Children</w:t>
            </w:r>
          </w:p>
        </w:tc>
        <w:tc>
          <w:tcPr>
            <w:tcW w:w="1623" w:type="dxa"/>
          </w:tcPr>
          <w:p>
            <w:pPr>
              <w:pStyle w:val="TableParagraph"/>
              <w:ind w:right="451"/>
              <w:jc w:val="right"/>
              <w:rPr>
                <w:b/>
                <w:sz w:val="24"/>
              </w:rPr>
            </w:pPr>
            <w:r>
              <w:rPr>
                <w:b/>
                <w:sz w:val="24"/>
              </w:rPr>
              <w:t>1,673.99</w:t>
            </w:r>
          </w:p>
        </w:tc>
        <w:tc>
          <w:tcPr>
            <w:tcW w:w="1830" w:type="dxa"/>
          </w:tcPr>
          <w:p>
            <w:pPr>
              <w:pStyle w:val="TableParagraph"/>
              <w:ind w:right="842"/>
              <w:jc w:val="right"/>
              <w:rPr>
                <w:b/>
                <w:sz w:val="24"/>
              </w:rPr>
            </w:pPr>
            <w:r>
              <w:rPr>
                <w:b/>
                <w:sz w:val="24"/>
              </w:rPr>
              <w:t>1,256.05</w:t>
            </w:r>
          </w:p>
        </w:tc>
        <w:tc>
          <w:tcPr>
            <w:tcW w:w="2127" w:type="dxa"/>
          </w:tcPr>
          <w:p>
            <w:pPr>
              <w:pStyle w:val="TableParagraph"/>
              <w:ind w:left="655"/>
              <w:rPr>
                <w:b/>
                <w:sz w:val="24"/>
              </w:rPr>
            </w:pPr>
            <w:r>
              <w:rPr>
                <w:b/>
                <w:sz w:val="24"/>
              </w:rPr>
              <w:t>70.52%</w:t>
            </w:r>
          </w:p>
        </w:tc>
      </w:tr>
      <w:tr>
        <w:trPr>
          <w:trHeight w:val="540" w:hRule="atLeast"/>
        </w:trPr>
        <w:tc>
          <w:tcPr>
            <w:tcW w:w="3840" w:type="dxa"/>
          </w:tcPr>
          <w:p>
            <w:pPr>
              <w:pStyle w:val="TableParagraph"/>
              <w:ind w:left="30"/>
              <w:rPr>
                <w:b/>
                <w:sz w:val="24"/>
              </w:rPr>
            </w:pPr>
            <w:r>
              <w:rPr>
                <w:b/>
                <w:sz w:val="24"/>
              </w:rPr>
              <w:t>Radius Specialty Hospital</w:t>
            </w:r>
          </w:p>
        </w:tc>
        <w:tc>
          <w:tcPr>
            <w:tcW w:w="1623" w:type="dxa"/>
          </w:tcPr>
          <w:p>
            <w:pPr>
              <w:pStyle w:val="TableParagraph"/>
              <w:ind w:right="451"/>
              <w:jc w:val="right"/>
              <w:rPr>
                <w:b/>
                <w:sz w:val="24"/>
              </w:rPr>
            </w:pPr>
            <w:r>
              <w:rPr>
                <w:b/>
                <w:sz w:val="24"/>
              </w:rPr>
              <w:t>876.00</w:t>
            </w:r>
          </w:p>
        </w:tc>
        <w:tc>
          <w:tcPr>
            <w:tcW w:w="1830" w:type="dxa"/>
          </w:tcPr>
          <w:p>
            <w:pPr>
              <w:pStyle w:val="TableParagraph"/>
              <w:ind w:right="841"/>
              <w:jc w:val="right"/>
              <w:rPr>
                <w:b/>
                <w:sz w:val="24"/>
              </w:rPr>
            </w:pPr>
            <w:r>
              <w:rPr>
                <w:b/>
                <w:sz w:val="24"/>
              </w:rPr>
              <w:t>745.34</w:t>
            </w:r>
          </w:p>
        </w:tc>
        <w:tc>
          <w:tcPr>
            <w:tcW w:w="2127" w:type="dxa"/>
          </w:tcPr>
          <w:p>
            <w:pPr>
              <w:pStyle w:val="TableParagraph"/>
              <w:ind w:left="656"/>
              <w:rPr>
                <w:b/>
                <w:sz w:val="24"/>
              </w:rPr>
            </w:pPr>
            <w:r>
              <w:rPr>
                <w:b/>
                <w:sz w:val="24"/>
              </w:rPr>
              <w:t>18.89%</w:t>
            </w:r>
          </w:p>
        </w:tc>
      </w:tr>
      <w:tr>
        <w:trPr>
          <w:trHeight w:val="540" w:hRule="atLeast"/>
        </w:trPr>
        <w:tc>
          <w:tcPr>
            <w:tcW w:w="3840" w:type="dxa"/>
          </w:tcPr>
          <w:p>
            <w:pPr>
              <w:pStyle w:val="TableParagraph"/>
              <w:ind w:left="30"/>
              <w:rPr>
                <w:b/>
                <w:sz w:val="24"/>
              </w:rPr>
            </w:pPr>
            <w:r>
              <w:rPr>
                <w:b/>
                <w:sz w:val="24"/>
              </w:rPr>
              <w:t>New Bedford Rehab Hospital</w:t>
            </w:r>
          </w:p>
        </w:tc>
        <w:tc>
          <w:tcPr>
            <w:tcW w:w="1623" w:type="dxa"/>
          </w:tcPr>
          <w:p>
            <w:pPr>
              <w:pStyle w:val="TableParagraph"/>
              <w:ind w:right="451"/>
              <w:jc w:val="right"/>
              <w:rPr>
                <w:b/>
                <w:sz w:val="24"/>
              </w:rPr>
            </w:pPr>
            <w:r>
              <w:rPr>
                <w:b/>
                <w:sz w:val="24"/>
              </w:rPr>
              <w:t>717.43</w:t>
            </w:r>
          </w:p>
        </w:tc>
        <w:tc>
          <w:tcPr>
            <w:tcW w:w="1830" w:type="dxa"/>
          </w:tcPr>
          <w:p>
            <w:pPr>
              <w:pStyle w:val="TableParagraph"/>
              <w:ind w:right="841"/>
              <w:jc w:val="right"/>
              <w:rPr>
                <w:b/>
                <w:sz w:val="24"/>
              </w:rPr>
            </w:pPr>
            <w:r>
              <w:rPr>
                <w:b/>
                <w:sz w:val="24"/>
              </w:rPr>
              <w:t>643.85</w:t>
            </w:r>
          </w:p>
        </w:tc>
        <w:tc>
          <w:tcPr>
            <w:tcW w:w="2127" w:type="dxa"/>
          </w:tcPr>
          <w:p>
            <w:pPr>
              <w:pStyle w:val="TableParagraph"/>
              <w:ind w:left="596"/>
              <w:rPr>
                <w:b/>
                <w:sz w:val="24"/>
              </w:rPr>
            </w:pPr>
            <w:r>
              <w:rPr>
                <w:b/>
                <w:sz w:val="24"/>
              </w:rPr>
              <w:t>100.00%</w:t>
            </w:r>
          </w:p>
        </w:tc>
      </w:tr>
      <w:tr>
        <w:trPr>
          <w:trHeight w:val="540" w:hRule="atLeast"/>
        </w:trPr>
        <w:tc>
          <w:tcPr>
            <w:tcW w:w="3840" w:type="dxa"/>
          </w:tcPr>
          <w:p>
            <w:pPr>
              <w:pStyle w:val="TableParagraph"/>
              <w:ind w:left="30"/>
              <w:rPr>
                <w:b/>
                <w:sz w:val="24"/>
              </w:rPr>
            </w:pPr>
            <w:r>
              <w:rPr>
                <w:b/>
                <w:sz w:val="24"/>
              </w:rPr>
              <w:t>New England Rehab</w:t>
            </w:r>
          </w:p>
        </w:tc>
        <w:tc>
          <w:tcPr>
            <w:tcW w:w="1623" w:type="dxa"/>
          </w:tcPr>
          <w:p>
            <w:pPr>
              <w:pStyle w:val="TableParagraph"/>
              <w:ind w:right="451"/>
              <w:jc w:val="right"/>
              <w:rPr>
                <w:b/>
                <w:sz w:val="24"/>
              </w:rPr>
            </w:pPr>
            <w:r>
              <w:rPr>
                <w:b/>
                <w:sz w:val="24"/>
              </w:rPr>
              <w:t>659.61</w:t>
            </w:r>
          </w:p>
        </w:tc>
        <w:tc>
          <w:tcPr>
            <w:tcW w:w="1830" w:type="dxa"/>
          </w:tcPr>
          <w:p>
            <w:pPr>
              <w:pStyle w:val="TableParagraph"/>
              <w:ind w:right="841"/>
              <w:jc w:val="right"/>
              <w:rPr>
                <w:b/>
                <w:sz w:val="24"/>
              </w:rPr>
            </w:pPr>
            <w:r>
              <w:rPr>
                <w:b/>
                <w:sz w:val="24"/>
              </w:rPr>
              <w:t>606.85</w:t>
            </w:r>
          </w:p>
        </w:tc>
        <w:tc>
          <w:tcPr>
            <w:tcW w:w="2127" w:type="dxa"/>
          </w:tcPr>
          <w:p>
            <w:pPr>
              <w:pStyle w:val="TableParagraph"/>
              <w:ind w:left="656"/>
              <w:rPr>
                <w:b/>
                <w:sz w:val="24"/>
              </w:rPr>
            </w:pPr>
            <w:r>
              <w:rPr>
                <w:b/>
                <w:sz w:val="24"/>
              </w:rPr>
              <w:t>33.12%</w:t>
            </w:r>
          </w:p>
        </w:tc>
      </w:tr>
      <w:tr>
        <w:trPr>
          <w:trHeight w:val="540" w:hRule="atLeast"/>
        </w:trPr>
        <w:tc>
          <w:tcPr>
            <w:tcW w:w="3840" w:type="dxa"/>
          </w:tcPr>
          <w:p>
            <w:pPr>
              <w:pStyle w:val="TableParagraph"/>
              <w:ind w:left="30"/>
              <w:rPr>
                <w:b/>
                <w:sz w:val="24"/>
              </w:rPr>
            </w:pPr>
            <w:r>
              <w:rPr>
                <w:b/>
                <w:sz w:val="24"/>
              </w:rPr>
              <w:t>New England Sinai</w:t>
            </w:r>
          </w:p>
        </w:tc>
        <w:tc>
          <w:tcPr>
            <w:tcW w:w="1623" w:type="dxa"/>
          </w:tcPr>
          <w:p>
            <w:pPr>
              <w:pStyle w:val="TableParagraph"/>
              <w:ind w:right="451"/>
              <w:jc w:val="right"/>
              <w:rPr>
                <w:b/>
                <w:sz w:val="24"/>
              </w:rPr>
            </w:pPr>
            <w:r>
              <w:rPr>
                <w:b/>
                <w:sz w:val="24"/>
              </w:rPr>
              <w:t>932.30</w:t>
            </w:r>
          </w:p>
        </w:tc>
        <w:tc>
          <w:tcPr>
            <w:tcW w:w="1830" w:type="dxa"/>
          </w:tcPr>
          <w:p>
            <w:pPr>
              <w:pStyle w:val="TableParagraph"/>
              <w:ind w:right="842"/>
              <w:jc w:val="right"/>
              <w:rPr>
                <w:b/>
                <w:sz w:val="24"/>
              </w:rPr>
            </w:pPr>
            <w:r>
              <w:rPr>
                <w:b/>
                <w:sz w:val="24"/>
              </w:rPr>
              <w:t>781.37</w:t>
            </w:r>
          </w:p>
        </w:tc>
        <w:tc>
          <w:tcPr>
            <w:tcW w:w="2127" w:type="dxa"/>
          </w:tcPr>
          <w:p>
            <w:pPr>
              <w:pStyle w:val="TableParagraph"/>
              <w:ind w:left="535"/>
              <w:rPr>
                <w:b/>
                <w:sz w:val="24"/>
              </w:rPr>
            </w:pPr>
            <w:r>
              <w:rPr>
                <w:b/>
                <w:sz w:val="24"/>
              </w:rPr>
              <w:t>100.00%</w:t>
            </w:r>
          </w:p>
        </w:tc>
      </w:tr>
      <w:tr>
        <w:trPr>
          <w:trHeight w:val="540" w:hRule="atLeast"/>
        </w:trPr>
        <w:tc>
          <w:tcPr>
            <w:tcW w:w="3840" w:type="dxa"/>
          </w:tcPr>
          <w:p>
            <w:pPr>
              <w:pStyle w:val="TableParagraph"/>
              <w:ind w:left="30"/>
              <w:rPr>
                <w:b/>
                <w:sz w:val="24"/>
              </w:rPr>
            </w:pPr>
            <w:r>
              <w:rPr>
                <w:b/>
                <w:sz w:val="24"/>
              </w:rPr>
              <w:t>Kindred Hospital Northeast</w:t>
            </w:r>
          </w:p>
        </w:tc>
        <w:tc>
          <w:tcPr>
            <w:tcW w:w="1623" w:type="dxa"/>
          </w:tcPr>
          <w:p>
            <w:pPr>
              <w:pStyle w:val="TableParagraph"/>
              <w:ind w:right="451"/>
              <w:jc w:val="right"/>
              <w:rPr>
                <w:b/>
                <w:sz w:val="24"/>
              </w:rPr>
            </w:pPr>
            <w:r>
              <w:rPr>
                <w:b/>
                <w:sz w:val="24"/>
              </w:rPr>
              <w:t>837.23</w:t>
            </w:r>
          </w:p>
        </w:tc>
        <w:tc>
          <w:tcPr>
            <w:tcW w:w="1830" w:type="dxa"/>
          </w:tcPr>
          <w:p>
            <w:pPr>
              <w:pStyle w:val="TableParagraph"/>
              <w:ind w:right="842"/>
              <w:jc w:val="right"/>
              <w:rPr>
                <w:b/>
                <w:sz w:val="24"/>
              </w:rPr>
            </w:pPr>
            <w:r>
              <w:rPr>
                <w:b/>
                <w:sz w:val="24"/>
              </w:rPr>
              <w:t>720.53</w:t>
            </w:r>
          </w:p>
        </w:tc>
        <w:tc>
          <w:tcPr>
            <w:tcW w:w="2127" w:type="dxa"/>
          </w:tcPr>
          <w:p>
            <w:pPr>
              <w:pStyle w:val="TableParagraph"/>
              <w:ind w:left="655"/>
              <w:rPr>
                <w:b/>
                <w:sz w:val="24"/>
              </w:rPr>
            </w:pPr>
            <w:r>
              <w:rPr>
                <w:b/>
                <w:sz w:val="24"/>
              </w:rPr>
              <w:t>67.03%</w:t>
            </w:r>
          </w:p>
        </w:tc>
      </w:tr>
      <w:tr>
        <w:trPr>
          <w:trHeight w:val="540" w:hRule="atLeast"/>
        </w:trPr>
        <w:tc>
          <w:tcPr>
            <w:tcW w:w="3840" w:type="dxa"/>
          </w:tcPr>
          <w:p>
            <w:pPr>
              <w:pStyle w:val="TableParagraph"/>
              <w:ind w:left="30"/>
              <w:rPr>
                <w:b/>
                <w:sz w:val="24"/>
              </w:rPr>
            </w:pPr>
            <w:r>
              <w:rPr>
                <w:b/>
                <w:sz w:val="24"/>
              </w:rPr>
              <w:t>Vibra Hospital of Western MA</w:t>
            </w:r>
          </w:p>
        </w:tc>
        <w:tc>
          <w:tcPr>
            <w:tcW w:w="1623" w:type="dxa"/>
          </w:tcPr>
          <w:p>
            <w:pPr>
              <w:pStyle w:val="TableParagraph"/>
              <w:ind w:right="451"/>
              <w:jc w:val="right"/>
              <w:rPr>
                <w:b/>
                <w:sz w:val="24"/>
              </w:rPr>
            </w:pPr>
            <w:r>
              <w:rPr>
                <w:b/>
                <w:sz w:val="24"/>
              </w:rPr>
              <w:t>804.83</w:t>
            </w:r>
          </w:p>
        </w:tc>
        <w:tc>
          <w:tcPr>
            <w:tcW w:w="1830" w:type="dxa"/>
          </w:tcPr>
          <w:p>
            <w:pPr>
              <w:pStyle w:val="TableParagraph"/>
              <w:ind w:right="841"/>
              <w:jc w:val="right"/>
              <w:rPr>
                <w:b/>
                <w:sz w:val="24"/>
              </w:rPr>
            </w:pPr>
            <w:r>
              <w:rPr>
                <w:b/>
                <w:sz w:val="24"/>
              </w:rPr>
              <w:t>699.79</w:t>
            </w:r>
          </w:p>
        </w:tc>
        <w:tc>
          <w:tcPr>
            <w:tcW w:w="2127" w:type="dxa"/>
          </w:tcPr>
          <w:p>
            <w:pPr>
              <w:pStyle w:val="TableParagraph"/>
              <w:ind w:left="757" w:right="916"/>
              <w:jc w:val="center"/>
              <w:rPr>
                <w:b/>
                <w:sz w:val="24"/>
              </w:rPr>
            </w:pPr>
            <w:r>
              <w:rPr>
                <w:b/>
                <w:sz w:val="24"/>
              </w:rPr>
              <w:t>N/A</w:t>
            </w:r>
          </w:p>
        </w:tc>
      </w:tr>
      <w:tr>
        <w:trPr>
          <w:trHeight w:val="540" w:hRule="atLeast"/>
        </w:trPr>
        <w:tc>
          <w:tcPr>
            <w:tcW w:w="3840" w:type="dxa"/>
          </w:tcPr>
          <w:p>
            <w:pPr>
              <w:pStyle w:val="TableParagraph"/>
              <w:ind w:left="30"/>
              <w:rPr>
                <w:b/>
                <w:sz w:val="24"/>
              </w:rPr>
            </w:pPr>
            <w:r>
              <w:rPr>
                <w:b/>
                <w:sz w:val="24"/>
              </w:rPr>
              <w:t>Spaulding Hospital-Cape Cod</w:t>
            </w:r>
          </w:p>
        </w:tc>
        <w:tc>
          <w:tcPr>
            <w:tcW w:w="1623" w:type="dxa"/>
          </w:tcPr>
          <w:p>
            <w:pPr>
              <w:pStyle w:val="TableParagraph"/>
              <w:ind w:right="451"/>
              <w:jc w:val="right"/>
              <w:rPr>
                <w:b/>
                <w:sz w:val="24"/>
              </w:rPr>
            </w:pPr>
            <w:r>
              <w:rPr>
                <w:b/>
                <w:sz w:val="24"/>
              </w:rPr>
              <w:t>962.86</w:t>
            </w:r>
          </w:p>
        </w:tc>
        <w:tc>
          <w:tcPr>
            <w:tcW w:w="1830" w:type="dxa"/>
          </w:tcPr>
          <w:p>
            <w:pPr>
              <w:pStyle w:val="TableParagraph"/>
              <w:ind w:right="841"/>
              <w:jc w:val="right"/>
              <w:rPr>
                <w:b/>
                <w:sz w:val="24"/>
              </w:rPr>
            </w:pPr>
            <w:r>
              <w:rPr>
                <w:b/>
                <w:sz w:val="24"/>
              </w:rPr>
              <w:t>800.93</w:t>
            </w:r>
          </w:p>
        </w:tc>
        <w:tc>
          <w:tcPr>
            <w:tcW w:w="2127" w:type="dxa"/>
          </w:tcPr>
          <w:p>
            <w:pPr>
              <w:pStyle w:val="TableParagraph"/>
              <w:ind w:left="656"/>
              <w:rPr>
                <w:b/>
                <w:sz w:val="24"/>
              </w:rPr>
            </w:pPr>
            <w:r>
              <w:rPr>
                <w:b/>
                <w:sz w:val="24"/>
              </w:rPr>
              <w:t>61.38%</w:t>
            </w:r>
          </w:p>
        </w:tc>
      </w:tr>
      <w:tr>
        <w:trPr>
          <w:trHeight w:val="540" w:hRule="atLeast"/>
        </w:trPr>
        <w:tc>
          <w:tcPr>
            <w:tcW w:w="3840" w:type="dxa"/>
          </w:tcPr>
          <w:p>
            <w:pPr>
              <w:pStyle w:val="TableParagraph"/>
              <w:ind w:left="30"/>
              <w:rPr>
                <w:b/>
                <w:sz w:val="24"/>
              </w:rPr>
            </w:pPr>
            <w:r>
              <w:rPr>
                <w:b/>
                <w:sz w:val="24"/>
              </w:rPr>
              <w:t>Rehab West Hospital</w:t>
            </w:r>
          </w:p>
        </w:tc>
        <w:tc>
          <w:tcPr>
            <w:tcW w:w="1623" w:type="dxa"/>
          </w:tcPr>
          <w:p>
            <w:pPr>
              <w:pStyle w:val="TableParagraph"/>
              <w:ind w:right="451"/>
              <w:jc w:val="right"/>
              <w:rPr>
                <w:b/>
                <w:sz w:val="24"/>
              </w:rPr>
            </w:pPr>
            <w:r>
              <w:rPr>
                <w:b/>
                <w:sz w:val="24"/>
              </w:rPr>
              <w:t>622.06</w:t>
            </w:r>
          </w:p>
        </w:tc>
        <w:tc>
          <w:tcPr>
            <w:tcW w:w="1830" w:type="dxa"/>
          </w:tcPr>
          <w:p>
            <w:pPr>
              <w:pStyle w:val="TableParagraph"/>
              <w:ind w:right="841"/>
              <w:jc w:val="right"/>
              <w:rPr>
                <w:b/>
                <w:sz w:val="24"/>
              </w:rPr>
            </w:pPr>
            <w:r>
              <w:rPr>
                <w:b/>
                <w:sz w:val="24"/>
              </w:rPr>
              <w:t>582.82</w:t>
            </w:r>
          </w:p>
        </w:tc>
        <w:tc>
          <w:tcPr>
            <w:tcW w:w="2127" w:type="dxa"/>
          </w:tcPr>
          <w:p>
            <w:pPr>
              <w:pStyle w:val="TableParagraph"/>
              <w:ind w:left="656"/>
              <w:rPr>
                <w:b/>
                <w:sz w:val="24"/>
              </w:rPr>
            </w:pPr>
            <w:r>
              <w:rPr>
                <w:b/>
                <w:sz w:val="24"/>
              </w:rPr>
              <w:t>29.14%</w:t>
            </w:r>
          </w:p>
        </w:tc>
      </w:tr>
      <w:tr>
        <w:trPr>
          <w:trHeight w:val="540" w:hRule="atLeast"/>
        </w:trPr>
        <w:tc>
          <w:tcPr>
            <w:tcW w:w="3840" w:type="dxa"/>
          </w:tcPr>
          <w:p>
            <w:pPr>
              <w:pStyle w:val="TableParagraph"/>
              <w:ind w:left="30"/>
              <w:rPr>
                <w:b/>
                <w:sz w:val="24"/>
              </w:rPr>
            </w:pPr>
            <w:r>
              <w:rPr>
                <w:b/>
                <w:sz w:val="24"/>
              </w:rPr>
              <w:t>Spaulding Hospital-North Shore</w:t>
            </w:r>
          </w:p>
        </w:tc>
        <w:tc>
          <w:tcPr>
            <w:tcW w:w="1623" w:type="dxa"/>
          </w:tcPr>
          <w:p>
            <w:pPr>
              <w:pStyle w:val="TableParagraph"/>
              <w:ind w:right="451"/>
              <w:jc w:val="right"/>
              <w:rPr>
                <w:b/>
                <w:sz w:val="24"/>
              </w:rPr>
            </w:pPr>
            <w:r>
              <w:rPr>
                <w:b/>
                <w:sz w:val="24"/>
              </w:rPr>
              <w:t>817.74</w:t>
            </w:r>
          </w:p>
        </w:tc>
        <w:tc>
          <w:tcPr>
            <w:tcW w:w="1830" w:type="dxa"/>
          </w:tcPr>
          <w:p>
            <w:pPr>
              <w:pStyle w:val="TableParagraph"/>
              <w:ind w:right="841"/>
              <w:jc w:val="right"/>
              <w:rPr>
                <w:b/>
                <w:sz w:val="24"/>
              </w:rPr>
            </w:pPr>
            <w:r>
              <w:rPr>
                <w:b/>
                <w:sz w:val="24"/>
              </w:rPr>
              <w:t>708.05</w:t>
            </w:r>
          </w:p>
        </w:tc>
        <w:tc>
          <w:tcPr>
            <w:tcW w:w="2127" w:type="dxa"/>
          </w:tcPr>
          <w:p>
            <w:pPr>
              <w:pStyle w:val="TableParagraph"/>
              <w:ind w:left="656"/>
              <w:rPr>
                <w:b/>
                <w:sz w:val="24"/>
              </w:rPr>
            </w:pPr>
            <w:r>
              <w:rPr>
                <w:b/>
                <w:sz w:val="24"/>
              </w:rPr>
              <w:t>51.66%</w:t>
            </w:r>
          </w:p>
        </w:tc>
      </w:tr>
      <w:tr>
        <w:trPr>
          <w:trHeight w:val="540" w:hRule="atLeast"/>
        </w:trPr>
        <w:tc>
          <w:tcPr>
            <w:tcW w:w="3840" w:type="dxa"/>
          </w:tcPr>
          <w:p>
            <w:pPr>
              <w:pStyle w:val="TableParagraph"/>
              <w:ind w:left="30"/>
              <w:rPr>
                <w:b/>
                <w:sz w:val="24"/>
              </w:rPr>
            </w:pPr>
            <w:r>
              <w:rPr>
                <w:b/>
                <w:sz w:val="24"/>
              </w:rPr>
              <w:t>Spaulding Rehab Hospital-Boston</w:t>
            </w:r>
          </w:p>
        </w:tc>
        <w:tc>
          <w:tcPr>
            <w:tcW w:w="1623" w:type="dxa"/>
          </w:tcPr>
          <w:p>
            <w:pPr>
              <w:pStyle w:val="TableParagraph"/>
              <w:ind w:right="450"/>
              <w:jc w:val="right"/>
              <w:rPr>
                <w:b/>
                <w:sz w:val="24"/>
              </w:rPr>
            </w:pPr>
            <w:r>
              <w:rPr>
                <w:b/>
                <w:sz w:val="24"/>
              </w:rPr>
              <w:t>963.56</w:t>
            </w:r>
          </w:p>
        </w:tc>
        <w:tc>
          <w:tcPr>
            <w:tcW w:w="1830" w:type="dxa"/>
          </w:tcPr>
          <w:p>
            <w:pPr>
              <w:pStyle w:val="TableParagraph"/>
              <w:ind w:right="841"/>
              <w:jc w:val="right"/>
              <w:rPr>
                <w:b/>
                <w:sz w:val="24"/>
              </w:rPr>
            </w:pPr>
            <w:r>
              <w:rPr>
                <w:b/>
                <w:sz w:val="24"/>
              </w:rPr>
              <w:t>801.38</w:t>
            </w:r>
          </w:p>
        </w:tc>
        <w:tc>
          <w:tcPr>
            <w:tcW w:w="2127" w:type="dxa"/>
          </w:tcPr>
          <w:p>
            <w:pPr>
              <w:pStyle w:val="TableParagraph"/>
              <w:ind w:left="656"/>
              <w:rPr>
                <w:b/>
                <w:sz w:val="24"/>
              </w:rPr>
            </w:pPr>
            <w:r>
              <w:rPr>
                <w:b/>
                <w:sz w:val="24"/>
              </w:rPr>
              <w:t>78.86%</w:t>
            </w:r>
          </w:p>
        </w:tc>
      </w:tr>
      <w:tr>
        <w:trPr>
          <w:trHeight w:val="540" w:hRule="atLeast"/>
        </w:trPr>
        <w:tc>
          <w:tcPr>
            <w:tcW w:w="3840" w:type="dxa"/>
          </w:tcPr>
          <w:p>
            <w:pPr>
              <w:pStyle w:val="TableParagraph"/>
              <w:ind w:left="30"/>
              <w:rPr>
                <w:b/>
                <w:sz w:val="24"/>
              </w:rPr>
            </w:pPr>
            <w:r>
              <w:rPr>
                <w:b/>
                <w:sz w:val="24"/>
              </w:rPr>
              <w:t>Whittier Rehab-Bradford</w:t>
            </w:r>
          </w:p>
        </w:tc>
        <w:tc>
          <w:tcPr>
            <w:tcW w:w="1623" w:type="dxa"/>
          </w:tcPr>
          <w:p>
            <w:pPr>
              <w:pStyle w:val="TableParagraph"/>
              <w:ind w:right="451"/>
              <w:jc w:val="right"/>
              <w:rPr>
                <w:b/>
                <w:sz w:val="24"/>
              </w:rPr>
            </w:pPr>
            <w:r>
              <w:rPr>
                <w:b/>
                <w:sz w:val="24"/>
              </w:rPr>
              <w:t>771.43</w:t>
            </w:r>
          </w:p>
        </w:tc>
        <w:tc>
          <w:tcPr>
            <w:tcW w:w="1830" w:type="dxa"/>
          </w:tcPr>
          <w:p>
            <w:pPr>
              <w:pStyle w:val="TableParagraph"/>
              <w:ind w:right="841"/>
              <w:jc w:val="right"/>
              <w:rPr>
                <w:b/>
                <w:sz w:val="24"/>
              </w:rPr>
            </w:pPr>
            <w:r>
              <w:rPr>
                <w:b/>
                <w:sz w:val="24"/>
              </w:rPr>
              <w:t>678.41</w:t>
            </w:r>
          </w:p>
        </w:tc>
        <w:tc>
          <w:tcPr>
            <w:tcW w:w="2127" w:type="dxa"/>
          </w:tcPr>
          <w:p>
            <w:pPr>
              <w:pStyle w:val="TableParagraph"/>
              <w:ind w:left="716"/>
              <w:rPr>
                <w:b/>
                <w:sz w:val="24"/>
              </w:rPr>
            </w:pPr>
            <w:r>
              <w:rPr>
                <w:b/>
                <w:sz w:val="24"/>
              </w:rPr>
              <w:t>87.43%</w:t>
            </w:r>
          </w:p>
        </w:tc>
      </w:tr>
      <w:tr>
        <w:trPr>
          <w:trHeight w:val="540" w:hRule="atLeast"/>
        </w:trPr>
        <w:tc>
          <w:tcPr>
            <w:tcW w:w="3840" w:type="dxa"/>
          </w:tcPr>
          <w:p>
            <w:pPr>
              <w:pStyle w:val="TableParagraph"/>
              <w:ind w:left="30"/>
              <w:rPr>
                <w:b/>
                <w:sz w:val="24"/>
              </w:rPr>
            </w:pPr>
            <w:r>
              <w:rPr>
                <w:b/>
                <w:sz w:val="24"/>
              </w:rPr>
              <w:t>Whittier Rehab-Westborough</w:t>
            </w:r>
          </w:p>
        </w:tc>
        <w:tc>
          <w:tcPr>
            <w:tcW w:w="1623" w:type="dxa"/>
          </w:tcPr>
          <w:p>
            <w:pPr>
              <w:pStyle w:val="TableParagraph"/>
              <w:ind w:right="451"/>
              <w:jc w:val="right"/>
              <w:rPr>
                <w:b/>
                <w:sz w:val="24"/>
              </w:rPr>
            </w:pPr>
            <w:r>
              <w:rPr>
                <w:b/>
                <w:sz w:val="24"/>
              </w:rPr>
              <w:t>761.22</w:t>
            </w:r>
          </w:p>
        </w:tc>
        <w:tc>
          <w:tcPr>
            <w:tcW w:w="1830" w:type="dxa"/>
          </w:tcPr>
          <w:p>
            <w:pPr>
              <w:pStyle w:val="TableParagraph"/>
              <w:ind w:right="842"/>
              <w:jc w:val="right"/>
              <w:rPr>
                <w:b/>
                <w:sz w:val="24"/>
              </w:rPr>
            </w:pPr>
            <w:r>
              <w:rPr>
                <w:b/>
                <w:sz w:val="24"/>
              </w:rPr>
              <w:t>671.88</w:t>
            </w:r>
          </w:p>
        </w:tc>
        <w:tc>
          <w:tcPr>
            <w:tcW w:w="2127" w:type="dxa"/>
          </w:tcPr>
          <w:p>
            <w:pPr>
              <w:pStyle w:val="TableParagraph"/>
              <w:ind w:left="595"/>
              <w:rPr>
                <w:b/>
                <w:sz w:val="24"/>
              </w:rPr>
            </w:pPr>
            <w:r>
              <w:rPr>
                <w:b/>
                <w:sz w:val="24"/>
              </w:rPr>
              <w:t>100.00%</w:t>
            </w:r>
          </w:p>
        </w:tc>
      </w:tr>
      <w:tr>
        <w:trPr>
          <w:trHeight w:val="400" w:hRule="atLeast"/>
        </w:trPr>
        <w:tc>
          <w:tcPr>
            <w:tcW w:w="3840" w:type="dxa"/>
          </w:tcPr>
          <w:p>
            <w:pPr>
              <w:pStyle w:val="TableParagraph"/>
              <w:spacing w:line="256" w:lineRule="exact"/>
              <w:ind w:left="30"/>
              <w:rPr>
                <w:b/>
                <w:sz w:val="24"/>
              </w:rPr>
            </w:pPr>
            <w:r>
              <w:rPr>
                <w:b/>
                <w:sz w:val="24"/>
              </w:rPr>
              <w:t>Spaulding Hospital-Cambridge</w:t>
            </w:r>
          </w:p>
        </w:tc>
        <w:tc>
          <w:tcPr>
            <w:tcW w:w="1623" w:type="dxa"/>
          </w:tcPr>
          <w:p>
            <w:pPr>
              <w:pStyle w:val="TableParagraph"/>
              <w:spacing w:line="256" w:lineRule="exact"/>
              <w:ind w:right="451"/>
              <w:jc w:val="right"/>
              <w:rPr>
                <w:b/>
                <w:sz w:val="24"/>
              </w:rPr>
            </w:pPr>
            <w:r>
              <w:rPr>
                <w:b/>
                <w:sz w:val="24"/>
              </w:rPr>
              <w:t>971.00</w:t>
            </w:r>
          </w:p>
        </w:tc>
        <w:tc>
          <w:tcPr>
            <w:tcW w:w="1830" w:type="dxa"/>
          </w:tcPr>
          <w:p>
            <w:pPr>
              <w:pStyle w:val="TableParagraph"/>
              <w:spacing w:line="256" w:lineRule="exact"/>
              <w:ind w:right="841"/>
              <w:jc w:val="right"/>
              <w:rPr>
                <w:b/>
                <w:sz w:val="24"/>
              </w:rPr>
            </w:pPr>
            <w:r>
              <w:rPr>
                <w:b/>
                <w:sz w:val="24"/>
              </w:rPr>
              <w:t>806.14</w:t>
            </w:r>
          </w:p>
        </w:tc>
        <w:tc>
          <w:tcPr>
            <w:tcW w:w="2127" w:type="dxa"/>
          </w:tcPr>
          <w:p>
            <w:pPr>
              <w:pStyle w:val="TableParagraph"/>
              <w:spacing w:line="256" w:lineRule="exact"/>
              <w:ind w:left="656"/>
              <w:rPr>
                <w:b/>
                <w:sz w:val="24"/>
              </w:rPr>
            </w:pPr>
            <w:r>
              <w:rPr>
                <w:b/>
                <w:sz w:val="24"/>
              </w:rPr>
              <w:t>100.00%</w:t>
            </w:r>
          </w:p>
        </w:tc>
      </w:tr>
    </w:tbl>
    <w:sectPr>
      <w:pgSz w:w="12240" w:h="15840"/>
      <w:pgMar w:header="0" w:footer="1065" w:top="1500" w:bottom="12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999878pt;margin-top:727.746521pt;width:10pt;height:15.3pt;mso-position-horizontal-relative:page;mso-position-vertical-relative:page;z-index:-10504" type="#_x0000_t202" filled="false" stroked="false">
          <v:textbox inset="0,0,0,0">
            <w:txbxContent>
              <w:p>
                <w:pPr>
                  <w:pStyle w:val="BodyText"/>
                  <w:spacing w:before="10"/>
                  <w:ind w:left="4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480" w:hanging="354"/>
        <w:jc w:val="right"/>
      </w:pPr>
      <w:rPr>
        <w:rFonts w:hint="default" w:ascii="Times New Roman" w:hAnsi="Times New Roman" w:eastAsia="Times New Roman" w:cs="Times New Roman"/>
        <w:spacing w:val="-1"/>
        <w:w w:val="99"/>
        <w:sz w:val="24"/>
        <w:szCs w:val="24"/>
      </w:rPr>
    </w:lvl>
    <w:lvl w:ilvl="1">
      <w:start w:val="1"/>
      <w:numFmt w:val="decimal"/>
      <w:lvlText w:val="%2."/>
      <w:lvlJc w:val="left"/>
      <w:pPr>
        <w:ind w:left="840" w:hanging="360"/>
        <w:jc w:val="right"/>
      </w:pPr>
      <w:rPr>
        <w:rFonts w:hint="default"/>
        <w:spacing w:val="-14"/>
        <w:w w:val="99"/>
      </w:rPr>
    </w:lvl>
    <w:lvl w:ilvl="2">
      <w:start w:val="1"/>
      <w:numFmt w:val="lowerLetter"/>
      <w:lvlText w:val="%3."/>
      <w:lvlJc w:val="left"/>
      <w:pPr>
        <w:ind w:left="1560" w:hanging="360"/>
        <w:jc w:val="left"/>
      </w:pPr>
      <w:rPr>
        <w:rFonts w:hint="default" w:ascii="Times New Roman" w:hAnsi="Times New Roman" w:eastAsia="Times New Roman" w:cs="Times New Roman"/>
        <w:spacing w:val="-20"/>
        <w:w w:val="99"/>
        <w:sz w:val="24"/>
        <w:szCs w:val="24"/>
      </w:rPr>
    </w:lvl>
    <w:lvl w:ilvl="3">
      <w:start w:val="1"/>
      <w:numFmt w:val="lowerRoman"/>
      <w:lvlText w:val="%4."/>
      <w:lvlJc w:val="left"/>
      <w:pPr>
        <w:ind w:left="2640" w:hanging="360"/>
        <w:jc w:val="left"/>
      </w:pPr>
      <w:rPr>
        <w:rFonts w:hint="default" w:ascii="Times New Roman" w:hAnsi="Times New Roman" w:eastAsia="Times New Roman" w:cs="Times New Roman"/>
        <w:spacing w:val="-8"/>
        <w:w w:val="99"/>
        <w:sz w:val="24"/>
        <w:szCs w:val="24"/>
      </w:rPr>
    </w:lvl>
    <w:lvl w:ilvl="4">
      <w:start w:val="0"/>
      <w:numFmt w:val="bullet"/>
      <w:lvlText w:val="•"/>
      <w:lvlJc w:val="left"/>
      <w:pPr>
        <w:ind w:left="2600" w:hanging="360"/>
      </w:pPr>
      <w:rPr>
        <w:rFonts w:hint="default"/>
      </w:rPr>
    </w:lvl>
    <w:lvl w:ilvl="5">
      <w:start w:val="0"/>
      <w:numFmt w:val="bullet"/>
      <w:lvlText w:val="•"/>
      <w:lvlJc w:val="left"/>
      <w:pPr>
        <w:ind w:left="2640" w:hanging="360"/>
      </w:pPr>
      <w:rPr>
        <w:rFonts w:hint="default"/>
      </w:rPr>
    </w:lvl>
    <w:lvl w:ilvl="6">
      <w:start w:val="0"/>
      <w:numFmt w:val="bullet"/>
      <w:lvlText w:val="•"/>
      <w:lvlJc w:val="left"/>
      <w:pPr>
        <w:ind w:left="3952" w:hanging="360"/>
      </w:pPr>
      <w:rPr>
        <w:rFonts w:hint="default"/>
      </w:rPr>
    </w:lvl>
    <w:lvl w:ilvl="7">
      <w:start w:val="0"/>
      <w:numFmt w:val="bullet"/>
      <w:lvlText w:val="•"/>
      <w:lvlJc w:val="left"/>
      <w:pPr>
        <w:ind w:left="5264" w:hanging="360"/>
      </w:pPr>
      <w:rPr>
        <w:rFonts w:hint="default"/>
      </w:rPr>
    </w:lvl>
    <w:lvl w:ilvl="8">
      <w:start w:val="0"/>
      <w:numFmt w:val="bullet"/>
      <w:lvlText w:val="•"/>
      <w:lvlJc w:val="left"/>
      <w:pPr>
        <w:ind w:left="6576" w:hanging="360"/>
      </w:pPr>
      <w:rPr>
        <w:rFonts w:hint="default"/>
      </w:rPr>
    </w:lvl>
  </w:abstractNum>
  <w:abstractNum w:abstractNumId="1">
    <w:multiLevelType w:val="hybridMultilevel"/>
    <w:lvl w:ilvl="0">
      <w:start w:val="1"/>
      <w:numFmt w:val="decimal"/>
      <w:lvlText w:val="%1."/>
      <w:lvlJc w:val="left"/>
      <w:pPr>
        <w:ind w:left="1180" w:hanging="361"/>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056" w:hanging="361"/>
      </w:pPr>
      <w:rPr>
        <w:rFonts w:hint="default"/>
      </w:rPr>
    </w:lvl>
    <w:lvl w:ilvl="2">
      <w:start w:val="0"/>
      <w:numFmt w:val="bullet"/>
      <w:lvlText w:val="•"/>
      <w:lvlJc w:val="left"/>
      <w:pPr>
        <w:ind w:left="2932" w:hanging="361"/>
      </w:pPr>
      <w:rPr>
        <w:rFonts w:hint="default"/>
      </w:rPr>
    </w:lvl>
    <w:lvl w:ilvl="3">
      <w:start w:val="0"/>
      <w:numFmt w:val="bullet"/>
      <w:lvlText w:val="•"/>
      <w:lvlJc w:val="left"/>
      <w:pPr>
        <w:ind w:left="3808" w:hanging="361"/>
      </w:pPr>
      <w:rPr>
        <w:rFonts w:hint="default"/>
      </w:rPr>
    </w:lvl>
    <w:lvl w:ilvl="4">
      <w:start w:val="0"/>
      <w:numFmt w:val="bullet"/>
      <w:lvlText w:val="•"/>
      <w:lvlJc w:val="left"/>
      <w:pPr>
        <w:ind w:left="4684" w:hanging="361"/>
      </w:pPr>
      <w:rPr>
        <w:rFonts w:hint="default"/>
      </w:rPr>
    </w:lvl>
    <w:lvl w:ilvl="5">
      <w:start w:val="0"/>
      <w:numFmt w:val="bullet"/>
      <w:lvlText w:val="•"/>
      <w:lvlJc w:val="left"/>
      <w:pPr>
        <w:ind w:left="5560" w:hanging="361"/>
      </w:pPr>
      <w:rPr>
        <w:rFonts w:hint="default"/>
      </w:rPr>
    </w:lvl>
    <w:lvl w:ilvl="6">
      <w:start w:val="0"/>
      <w:numFmt w:val="bullet"/>
      <w:lvlText w:val="•"/>
      <w:lvlJc w:val="left"/>
      <w:pPr>
        <w:ind w:left="6436" w:hanging="361"/>
      </w:pPr>
      <w:rPr>
        <w:rFonts w:hint="default"/>
      </w:rPr>
    </w:lvl>
    <w:lvl w:ilvl="7">
      <w:start w:val="0"/>
      <w:numFmt w:val="bullet"/>
      <w:lvlText w:val="•"/>
      <w:lvlJc w:val="left"/>
      <w:pPr>
        <w:ind w:left="7312" w:hanging="361"/>
      </w:pPr>
      <w:rPr>
        <w:rFonts w:hint="default"/>
      </w:rPr>
    </w:lvl>
    <w:lvl w:ilvl="8">
      <w:start w:val="0"/>
      <w:numFmt w:val="bullet"/>
      <w:lvlText w:val="•"/>
      <w:lvlJc w:val="left"/>
      <w:pPr>
        <w:ind w:left="8188" w:hanging="361"/>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8"/>
      <w:ind w:left="1444" w:right="1445"/>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40" w:right="116" w:hanging="360"/>
      <w:jc w:val="both"/>
    </w:pPr>
    <w:rPr>
      <w:rFonts w:ascii="Times New Roman" w:hAnsi="Times New Roman" w:eastAsia="Times New Roman" w:cs="Times New Roman"/>
    </w:rPr>
  </w:style>
  <w:style w:styleId="TableParagraph" w:type="paragraph">
    <w:name w:val="Table Paragraph"/>
    <w:basedOn w:val="Normal"/>
    <w:uiPriority w:val="1"/>
    <w:qFormat/>
    <w:pPr>
      <w:spacing w:before="13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notice-of-final-agency-action-cdr-hospitals-ry2015.doc</dc:title>
  <dcterms:created xsi:type="dcterms:W3CDTF">2017-11-08T11:57:49Z</dcterms:created>
  <dcterms:modified xsi:type="dcterms:W3CDTF">2017-11-08T11:57:49Z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2014-09-24T00:00:00Z</vt:filetime>
  </property>
  <property fmtid="{D5CDD505-2E9C-101B-9397-08002B2CF9AE}" pid="3" name="Creator">
    <vt:lpwstr>PScript5.dll Version 5.2.2</vt:lpwstr>
  </property>
  <property fmtid="{D5CDD505-2E9C-101B-9397-08002B2CF9AE}" pid="4" name="LastSaved">
    <vt:filetime>2017-11-08T00:00:00Z</vt:filetime>
  </property>
</Properties>
</file>