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BF575" w14:textId="77777777" w:rsidR="00FB3F01" w:rsidRPr="007A2FC8" w:rsidRDefault="00FB3F01" w:rsidP="00FB3F01">
      <w:pPr>
        <w:spacing w:after="240"/>
        <w:jc w:val="center"/>
        <w:rPr>
          <w:rFonts w:ascii="Times New Roman" w:hAnsi="Times New Roman" w:cs="Times New Roman"/>
          <w:b/>
        </w:rPr>
      </w:pPr>
      <w:r w:rsidRPr="007A2FC8">
        <w:rPr>
          <w:rFonts w:ascii="Times New Roman" w:hAnsi="Times New Roman" w:cs="Times New Roman"/>
          <w:b/>
        </w:rPr>
        <w:t>NOTICE OF PROPOSED AGENCY ACTION</w:t>
      </w:r>
    </w:p>
    <w:p w14:paraId="095481FE" w14:textId="27C702DF" w:rsidR="00FB3F01" w:rsidRPr="00F55432" w:rsidRDefault="00FB3F01" w:rsidP="00FB3F01">
      <w:pPr>
        <w:spacing w:after="240"/>
        <w:ind w:left="1440" w:hanging="1440"/>
        <w:rPr>
          <w:rFonts w:ascii="Times New Roman" w:hAnsi="Times New Roman" w:cs="Times New Roman"/>
        </w:rPr>
      </w:pPr>
      <w:r w:rsidRPr="00F55432">
        <w:rPr>
          <w:rFonts w:ascii="Times New Roman" w:hAnsi="Times New Roman" w:cs="Times New Roman"/>
        </w:rPr>
        <w:t>SUBJECT:</w:t>
      </w:r>
      <w:r w:rsidRPr="00F55432">
        <w:rPr>
          <w:rFonts w:ascii="Times New Roman" w:hAnsi="Times New Roman" w:cs="Times New Roman"/>
        </w:rPr>
        <w:tab/>
        <w:t>MassHealth: Payment for</w:t>
      </w:r>
      <w:r>
        <w:rPr>
          <w:rFonts w:ascii="Times New Roman" w:hAnsi="Times New Roman" w:cs="Times New Roman"/>
        </w:rPr>
        <w:t xml:space="preserve"> Pediatric</w:t>
      </w:r>
      <w:r w:rsidRPr="00F55432">
        <w:rPr>
          <w:rFonts w:ascii="Times New Roman" w:hAnsi="Times New Roman" w:cs="Times New Roman"/>
        </w:rPr>
        <w:t xml:space="preserve"> Chronic Disease and Rehabilitation Hospital</w:t>
      </w:r>
      <w:r>
        <w:rPr>
          <w:rFonts w:ascii="Times New Roman" w:hAnsi="Times New Roman" w:cs="Times New Roman"/>
        </w:rPr>
        <w:t>s</w:t>
      </w:r>
      <w:r w:rsidR="005F515C">
        <w:rPr>
          <w:rFonts w:ascii="Times New Roman" w:hAnsi="Times New Roman" w:cs="Times New Roman"/>
        </w:rPr>
        <w:t>,</w:t>
      </w:r>
      <w:r w:rsidRPr="00F55432">
        <w:rPr>
          <w:rFonts w:ascii="Times New Roman" w:hAnsi="Times New Roman" w:cs="Times New Roman"/>
        </w:rPr>
        <w:t xml:space="preserve"> effective </w:t>
      </w:r>
      <w:r w:rsidR="005D190F">
        <w:rPr>
          <w:rFonts w:ascii="Times New Roman" w:hAnsi="Times New Roman" w:cs="Times New Roman"/>
        </w:rPr>
        <w:t>December</w:t>
      </w:r>
      <w:r w:rsidR="005D190F" w:rsidRPr="00F55432">
        <w:rPr>
          <w:rFonts w:ascii="Times New Roman" w:hAnsi="Times New Roman" w:cs="Times New Roman"/>
        </w:rPr>
        <w:t xml:space="preserve"> </w:t>
      </w:r>
      <w:r w:rsidR="004E5A87">
        <w:rPr>
          <w:rFonts w:ascii="Times New Roman" w:hAnsi="Times New Roman" w:cs="Times New Roman"/>
        </w:rPr>
        <w:t>15</w:t>
      </w:r>
      <w:r w:rsidRPr="00F55432">
        <w:rPr>
          <w:rFonts w:ascii="Times New Roman" w:hAnsi="Times New Roman" w:cs="Times New Roman"/>
        </w:rPr>
        <w:t xml:space="preserve">, </w:t>
      </w:r>
      <w:r>
        <w:rPr>
          <w:rFonts w:ascii="Times New Roman" w:hAnsi="Times New Roman" w:cs="Times New Roman"/>
        </w:rPr>
        <w:t xml:space="preserve">2023 </w:t>
      </w:r>
    </w:p>
    <w:p w14:paraId="0A0BA3C0" w14:textId="77777777" w:rsidR="00FB3F01" w:rsidRPr="00F55432" w:rsidRDefault="00FB3F01" w:rsidP="00FB3F01">
      <w:pPr>
        <w:spacing w:after="240"/>
        <w:ind w:left="1440" w:hanging="1440"/>
        <w:rPr>
          <w:rFonts w:ascii="Times New Roman" w:hAnsi="Times New Roman" w:cs="Times New Roman"/>
        </w:rPr>
      </w:pPr>
      <w:r w:rsidRPr="00F55432">
        <w:rPr>
          <w:rFonts w:ascii="Times New Roman" w:hAnsi="Times New Roman" w:cs="Times New Roman"/>
        </w:rPr>
        <w:t>AGENCY:</w:t>
      </w:r>
      <w:r w:rsidRPr="00F55432">
        <w:rPr>
          <w:rFonts w:ascii="Times New Roman" w:hAnsi="Times New Roman" w:cs="Times New Roman"/>
        </w:rPr>
        <w:tab/>
        <w:t>Massachusetts Executive Office of Health and Human Services</w:t>
      </w:r>
    </w:p>
    <w:p w14:paraId="7B95B23F" w14:textId="77777777" w:rsidR="00FB3F01" w:rsidRPr="007A2FC8" w:rsidRDefault="00FB3F01" w:rsidP="00FB3F01">
      <w:pPr>
        <w:pStyle w:val="Heading1"/>
      </w:pPr>
      <w:r w:rsidRPr="007A2FC8">
        <w:t xml:space="preserve">SUMMARY OF PROPOSED ACTION </w:t>
      </w:r>
    </w:p>
    <w:p w14:paraId="5A655212" w14:textId="3E297AA9" w:rsidR="00777B9C" w:rsidRPr="00F55432" w:rsidRDefault="00FB3F01" w:rsidP="00FB3F01">
      <w:pPr>
        <w:rPr>
          <w:rFonts w:ascii="Times New Roman" w:hAnsi="Times New Roman" w:cs="Times New Roman"/>
        </w:rPr>
      </w:pPr>
      <w:r w:rsidRPr="00F55432">
        <w:rPr>
          <w:rFonts w:ascii="Times New Roman" w:hAnsi="Times New Roman" w:cs="Times New Roman"/>
        </w:rPr>
        <w:t xml:space="preserve">Pursuant to the provisions of M.G.L. c. 118E, §13A, </w:t>
      </w:r>
      <w:r>
        <w:rPr>
          <w:rFonts w:ascii="Times New Roman" w:hAnsi="Times New Roman" w:cs="Times New Roman"/>
        </w:rPr>
        <w:t>methods and</w:t>
      </w:r>
      <w:r w:rsidRPr="00F55432">
        <w:rPr>
          <w:rFonts w:ascii="Times New Roman" w:hAnsi="Times New Roman" w:cs="Times New Roman"/>
        </w:rPr>
        <w:t xml:space="preserve"> terms of payment for services rendered by chronic disease and rehabilitation hospitals </w:t>
      </w:r>
      <w:r w:rsidR="00A06532">
        <w:rPr>
          <w:rFonts w:ascii="Times New Roman" w:hAnsi="Times New Roman" w:cs="Times New Roman"/>
        </w:rPr>
        <w:t xml:space="preserve">(CDR hospitals) </w:t>
      </w:r>
      <w:r w:rsidRPr="00F55432">
        <w:rPr>
          <w:rFonts w:ascii="Times New Roman" w:hAnsi="Times New Roman" w:cs="Times New Roman"/>
        </w:rPr>
        <w:t xml:space="preserve">to patients entitled to medical assistance under M.G.L. c. 118E, §1 </w:t>
      </w:r>
      <w:r w:rsidRPr="00F55432">
        <w:rPr>
          <w:rFonts w:ascii="Times New Roman" w:hAnsi="Times New Roman" w:cs="Times New Roman"/>
          <w:i/>
        </w:rPr>
        <w:t>et seq.</w:t>
      </w:r>
      <w:r>
        <w:rPr>
          <w:rFonts w:ascii="Times New Roman" w:hAnsi="Times New Roman" w:cs="Times New Roman"/>
          <w:i/>
        </w:rPr>
        <w:t xml:space="preserve"> </w:t>
      </w:r>
      <w:r w:rsidRPr="00F55432">
        <w:rPr>
          <w:rFonts w:ascii="Times New Roman" w:hAnsi="Times New Roman" w:cs="Times New Roman"/>
        </w:rPr>
        <w:t>are established by contract between the MassHealth progra</w:t>
      </w:r>
      <w:r>
        <w:rPr>
          <w:rFonts w:ascii="Times New Roman" w:hAnsi="Times New Roman" w:cs="Times New Roman"/>
        </w:rPr>
        <w:t xml:space="preserve">m and participating hospitals. </w:t>
      </w:r>
      <w:r w:rsidRPr="00F55432">
        <w:rPr>
          <w:rFonts w:ascii="Times New Roman" w:hAnsi="Times New Roman" w:cs="Times New Roman"/>
        </w:rPr>
        <w:t xml:space="preserve">This notice describes proposed </w:t>
      </w:r>
      <w:r w:rsidR="000F27DB" w:rsidRPr="0012271C">
        <w:rPr>
          <w:rFonts w:ascii="Times New Roman" w:hAnsi="Times New Roman" w:cs="Times New Roman"/>
        </w:rPr>
        <w:t>update</w:t>
      </w:r>
      <w:r w:rsidR="0012271C" w:rsidRPr="004E5A87">
        <w:rPr>
          <w:rFonts w:ascii="Times New Roman" w:hAnsi="Times New Roman" w:cs="Times New Roman"/>
        </w:rPr>
        <w:t>s</w:t>
      </w:r>
      <w:r w:rsidR="00910B0E" w:rsidRPr="004E5A87">
        <w:rPr>
          <w:rFonts w:ascii="Times New Roman" w:hAnsi="Times New Roman" w:cs="Times New Roman"/>
        </w:rPr>
        <w:t xml:space="preserve"> to</w:t>
      </w:r>
      <w:r w:rsidR="00910B0E">
        <w:rPr>
          <w:rFonts w:ascii="Times New Roman" w:hAnsi="Times New Roman" w:cs="Times New Roman"/>
          <w:u w:val="single"/>
        </w:rPr>
        <w:t xml:space="preserve"> </w:t>
      </w:r>
      <w:r w:rsidRPr="00F55432">
        <w:rPr>
          <w:rFonts w:ascii="Times New Roman" w:hAnsi="Times New Roman" w:cs="Times New Roman"/>
        </w:rPr>
        <w:t>methods and standards for the establishment of rates</w:t>
      </w:r>
      <w:r>
        <w:rPr>
          <w:rFonts w:ascii="Times New Roman" w:hAnsi="Times New Roman" w:cs="Times New Roman"/>
        </w:rPr>
        <w:t xml:space="preserve"> and payments</w:t>
      </w:r>
      <w:r w:rsidRPr="00F55432">
        <w:rPr>
          <w:rFonts w:ascii="Times New Roman" w:hAnsi="Times New Roman" w:cs="Times New Roman"/>
        </w:rPr>
        <w:t xml:space="preserve"> by contract for rate year (RY) </w:t>
      </w:r>
      <w:r>
        <w:rPr>
          <w:rFonts w:ascii="Times New Roman" w:hAnsi="Times New Roman" w:cs="Times New Roman"/>
        </w:rPr>
        <w:t>2024</w:t>
      </w:r>
      <w:r w:rsidR="00AA7760">
        <w:rPr>
          <w:rFonts w:ascii="Times New Roman" w:hAnsi="Times New Roman" w:cs="Times New Roman"/>
        </w:rPr>
        <w:t>,</w:t>
      </w:r>
      <w:r>
        <w:rPr>
          <w:rFonts w:ascii="Times New Roman" w:hAnsi="Times New Roman" w:cs="Times New Roman"/>
        </w:rPr>
        <w:t xml:space="preserve"> </w:t>
      </w:r>
      <w:r w:rsidR="000F27DB">
        <w:rPr>
          <w:rFonts w:ascii="Times New Roman" w:hAnsi="Times New Roman" w:cs="Times New Roman"/>
        </w:rPr>
        <w:t xml:space="preserve">effective </w:t>
      </w:r>
      <w:r w:rsidR="002A4A2A">
        <w:rPr>
          <w:rFonts w:ascii="Times New Roman" w:hAnsi="Times New Roman" w:cs="Times New Roman"/>
        </w:rPr>
        <w:t xml:space="preserve">for dates of service on or after December </w:t>
      </w:r>
      <w:r w:rsidR="004E5A87">
        <w:rPr>
          <w:rFonts w:ascii="Times New Roman" w:hAnsi="Times New Roman" w:cs="Times New Roman"/>
        </w:rPr>
        <w:t>15</w:t>
      </w:r>
      <w:r w:rsidR="002A4A2A">
        <w:rPr>
          <w:rFonts w:ascii="Times New Roman" w:hAnsi="Times New Roman" w:cs="Times New Roman"/>
        </w:rPr>
        <w:t>, 2023</w:t>
      </w:r>
      <w:r w:rsidRPr="00F55432">
        <w:rPr>
          <w:rFonts w:ascii="Times New Roman" w:hAnsi="Times New Roman" w:cs="Times New Roman"/>
        </w:rPr>
        <w:t xml:space="preserve">, between the Executive Office of Health and Human Services (EOHHS) and participating </w:t>
      </w:r>
      <w:r>
        <w:rPr>
          <w:rFonts w:ascii="Times New Roman" w:hAnsi="Times New Roman" w:cs="Times New Roman"/>
        </w:rPr>
        <w:t>CDR hospitals that serve solely children and adolescents with complex acute rehabilitation and chronic needs (Pediatric CDR Hospitals)</w:t>
      </w:r>
      <w:r w:rsidRPr="00F55432">
        <w:rPr>
          <w:rFonts w:ascii="Times New Roman" w:hAnsi="Times New Roman" w:cs="Times New Roman"/>
        </w:rPr>
        <w:t>.</w:t>
      </w:r>
      <w:r>
        <w:rPr>
          <w:rFonts w:ascii="Times New Roman" w:hAnsi="Times New Roman" w:cs="Times New Roman"/>
        </w:rPr>
        <w:t xml:space="preserve"> There is currently one CDR hospital that meets this criterion</w:t>
      </w:r>
      <w:r w:rsidR="00114996">
        <w:rPr>
          <w:rFonts w:ascii="Times New Roman" w:hAnsi="Times New Roman" w:cs="Times New Roman"/>
        </w:rPr>
        <w:t>:</w:t>
      </w:r>
      <w:r>
        <w:rPr>
          <w:rFonts w:ascii="Times New Roman" w:hAnsi="Times New Roman" w:cs="Times New Roman"/>
        </w:rPr>
        <w:t xml:space="preserve"> Franciscan Children’s (Franciscan).</w:t>
      </w:r>
      <w:r w:rsidR="00D13A12">
        <w:rPr>
          <w:rFonts w:ascii="Times New Roman" w:hAnsi="Times New Roman" w:cs="Times New Roman"/>
        </w:rPr>
        <w:t xml:space="preserve"> </w:t>
      </w:r>
    </w:p>
    <w:p w14:paraId="2029E78A" w14:textId="06270B9C" w:rsidR="00FB3F01" w:rsidRPr="00F55432" w:rsidRDefault="00FB3F01" w:rsidP="00FB3F01">
      <w:pPr>
        <w:pStyle w:val="Heading1"/>
      </w:pPr>
      <w:r w:rsidRPr="00F55432">
        <w:t xml:space="preserve">DESCRIPTION OF PROPOSED </w:t>
      </w:r>
      <w:r w:rsidR="00A22E97">
        <w:t xml:space="preserve">UPDATED </w:t>
      </w:r>
      <w:r w:rsidRPr="00F55432">
        <w:t>METHODS AND STANDARDS</w:t>
      </w:r>
    </w:p>
    <w:p w14:paraId="34B7A32B" w14:textId="7AEDE955" w:rsidR="00520BF2" w:rsidRDefault="00FB3F01" w:rsidP="00910B0E">
      <w:pPr>
        <w:rPr>
          <w:rFonts w:ascii="Times New Roman" w:hAnsi="Times New Roman" w:cs="Times New Roman"/>
        </w:rPr>
      </w:pPr>
      <w:r w:rsidRPr="00F55432">
        <w:rPr>
          <w:rFonts w:ascii="Times New Roman" w:hAnsi="Times New Roman" w:cs="Times New Roman"/>
        </w:rPr>
        <w:t xml:space="preserve">EOHHS proposes </w:t>
      </w:r>
      <w:r w:rsidR="00D03EF8">
        <w:rPr>
          <w:rFonts w:ascii="Times New Roman" w:hAnsi="Times New Roman" w:cs="Times New Roman"/>
        </w:rPr>
        <w:t xml:space="preserve">updates </w:t>
      </w:r>
      <w:r w:rsidRPr="00F55432">
        <w:rPr>
          <w:rFonts w:ascii="Times New Roman" w:hAnsi="Times New Roman" w:cs="Times New Roman"/>
        </w:rPr>
        <w:t>to</w:t>
      </w:r>
      <w:r w:rsidR="00D03EF8">
        <w:rPr>
          <w:rFonts w:ascii="Times New Roman" w:hAnsi="Times New Roman" w:cs="Times New Roman"/>
        </w:rPr>
        <w:t xml:space="preserve"> its</w:t>
      </w:r>
      <w:r w:rsidRPr="00F55432">
        <w:rPr>
          <w:rFonts w:ascii="Times New Roman" w:hAnsi="Times New Roman" w:cs="Times New Roman"/>
        </w:rPr>
        <w:t xml:space="preserve"> comprehensive </w:t>
      </w:r>
      <w:r w:rsidR="00742B52">
        <w:rPr>
          <w:rFonts w:ascii="Times New Roman" w:hAnsi="Times New Roman" w:cs="Times New Roman"/>
        </w:rPr>
        <w:t>I</w:t>
      </w:r>
      <w:r w:rsidRPr="00F55432">
        <w:rPr>
          <w:rFonts w:ascii="Times New Roman" w:hAnsi="Times New Roman" w:cs="Times New Roman"/>
        </w:rPr>
        <w:t xml:space="preserve">npatient </w:t>
      </w:r>
      <w:r w:rsidR="00742B52">
        <w:rPr>
          <w:rFonts w:ascii="Times New Roman" w:hAnsi="Times New Roman" w:cs="Times New Roman"/>
        </w:rPr>
        <w:t>P</w:t>
      </w:r>
      <w:r w:rsidRPr="00F55432">
        <w:rPr>
          <w:rFonts w:ascii="Times New Roman" w:hAnsi="Times New Roman" w:cs="Times New Roman"/>
        </w:rPr>
        <w:t xml:space="preserve">er </w:t>
      </w:r>
      <w:r w:rsidR="00742B52">
        <w:rPr>
          <w:rFonts w:ascii="Times New Roman" w:hAnsi="Times New Roman" w:cs="Times New Roman"/>
        </w:rPr>
        <w:t>D</w:t>
      </w:r>
      <w:r w:rsidRPr="00F55432">
        <w:rPr>
          <w:rFonts w:ascii="Times New Roman" w:hAnsi="Times New Roman" w:cs="Times New Roman"/>
        </w:rPr>
        <w:t xml:space="preserve">iem </w:t>
      </w:r>
      <w:r w:rsidR="00742B52">
        <w:rPr>
          <w:rFonts w:ascii="Times New Roman" w:hAnsi="Times New Roman" w:cs="Times New Roman"/>
        </w:rPr>
        <w:t>R</w:t>
      </w:r>
      <w:r w:rsidRPr="00F55432">
        <w:rPr>
          <w:rFonts w:ascii="Times New Roman" w:hAnsi="Times New Roman" w:cs="Times New Roman"/>
        </w:rPr>
        <w:t>ate for each participating</w:t>
      </w:r>
      <w:r>
        <w:rPr>
          <w:rFonts w:ascii="Times New Roman" w:hAnsi="Times New Roman" w:cs="Times New Roman"/>
        </w:rPr>
        <w:t xml:space="preserve"> Pediatric CDR</w:t>
      </w:r>
      <w:r w:rsidRPr="00F55432">
        <w:rPr>
          <w:rFonts w:ascii="Times New Roman" w:hAnsi="Times New Roman" w:cs="Times New Roman"/>
        </w:rPr>
        <w:t xml:space="preserve"> </w:t>
      </w:r>
      <w:r>
        <w:rPr>
          <w:rFonts w:ascii="Times New Roman" w:hAnsi="Times New Roman" w:cs="Times New Roman"/>
        </w:rPr>
        <w:t>H</w:t>
      </w:r>
      <w:r w:rsidRPr="00F55432">
        <w:rPr>
          <w:rFonts w:ascii="Times New Roman" w:hAnsi="Times New Roman" w:cs="Times New Roman"/>
        </w:rPr>
        <w:t>ospital, covering both routine and ancillary se</w:t>
      </w:r>
      <w:r>
        <w:rPr>
          <w:rFonts w:ascii="Times New Roman" w:hAnsi="Times New Roman" w:cs="Times New Roman"/>
        </w:rPr>
        <w:t>rvices provided to inpatients</w:t>
      </w:r>
      <w:r w:rsidR="00520BF2">
        <w:rPr>
          <w:rFonts w:ascii="Times New Roman" w:hAnsi="Times New Roman" w:cs="Times New Roman"/>
        </w:rPr>
        <w:t xml:space="preserve"> by applying a 3% increase to the inpatient rate</w:t>
      </w:r>
      <w:r>
        <w:rPr>
          <w:rFonts w:ascii="Times New Roman" w:hAnsi="Times New Roman" w:cs="Times New Roman"/>
        </w:rPr>
        <w:t>.</w:t>
      </w:r>
      <w:r w:rsidR="00520BF2">
        <w:rPr>
          <w:rFonts w:ascii="Times New Roman" w:hAnsi="Times New Roman" w:cs="Times New Roman"/>
        </w:rPr>
        <w:t xml:space="preserve"> </w:t>
      </w:r>
    </w:p>
    <w:p w14:paraId="49264B90" w14:textId="77777777" w:rsidR="00520BF2" w:rsidRDefault="00520BF2" w:rsidP="00910B0E">
      <w:pPr>
        <w:rPr>
          <w:rFonts w:ascii="Times New Roman" w:hAnsi="Times New Roman" w:cs="Times New Roman"/>
        </w:rPr>
      </w:pPr>
    </w:p>
    <w:p w14:paraId="1B88064A" w14:textId="18D572B0" w:rsidR="00D2252B" w:rsidRDefault="00D2252B" w:rsidP="00D2252B">
      <w:pPr>
        <w:rPr>
          <w:rFonts w:ascii="Times New Roman" w:hAnsi="Times New Roman" w:cs="Times New Roman"/>
        </w:rPr>
      </w:pPr>
      <w:r>
        <w:rPr>
          <w:rFonts w:ascii="Times New Roman" w:hAnsi="Times New Roman" w:cs="Times New Roman"/>
        </w:rPr>
        <w:t xml:space="preserve">EOHHS also proposes to provide in aggregate $500,000 in quality incentive payments to qualifying CDR hospitals that meet the applicable quality measure benchmarks. </w:t>
      </w:r>
    </w:p>
    <w:p w14:paraId="3F8CDAAE" w14:textId="77777777" w:rsidR="006D4FC6" w:rsidRDefault="006D4FC6" w:rsidP="00D2252B">
      <w:pPr>
        <w:rPr>
          <w:rFonts w:ascii="Times New Roman" w:hAnsi="Times New Roman"/>
        </w:rPr>
      </w:pPr>
    </w:p>
    <w:p w14:paraId="7B8D7AEA" w14:textId="6A32400A" w:rsidR="00D2252B" w:rsidRDefault="00520BF2" w:rsidP="00910B0E">
      <w:pPr>
        <w:rPr>
          <w:rFonts w:ascii="Times New Roman" w:hAnsi="Times New Roman" w:cs="Times New Roman"/>
        </w:rPr>
      </w:pPr>
      <w:r>
        <w:rPr>
          <w:rFonts w:ascii="Times New Roman" w:hAnsi="Times New Roman" w:cs="Times New Roman"/>
        </w:rPr>
        <w:t>EOHHS further proposes to provide a supplemental payment of $3M</w:t>
      </w:r>
      <w:r w:rsidR="00E7072B">
        <w:rPr>
          <w:rFonts w:ascii="Times New Roman" w:hAnsi="Times New Roman" w:cs="Times New Roman"/>
        </w:rPr>
        <w:t xml:space="preserve"> for high</w:t>
      </w:r>
      <w:r w:rsidR="006D4FC6">
        <w:rPr>
          <w:rFonts w:ascii="Times New Roman" w:hAnsi="Times New Roman" w:cs="Times New Roman"/>
        </w:rPr>
        <w:t>-</w:t>
      </w:r>
      <w:r w:rsidR="00E7072B">
        <w:rPr>
          <w:rFonts w:ascii="Times New Roman" w:hAnsi="Times New Roman" w:cs="Times New Roman"/>
        </w:rPr>
        <w:t>complexity care</w:t>
      </w:r>
      <w:r>
        <w:rPr>
          <w:rFonts w:ascii="Times New Roman" w:hAnsi="Times New Roman" w:cs="Times New Roman"/>
        </w:rPr>
        <w:t xml:space="preserve"> to </w:t>
      </w:r>
      <w:r w:rsidR="00735E44">
        <w:rPr>
          <w:rFonts w:ascii="Times New Roman" w:hAnsi="Times New Roman" w:cs="Times New Roman"/>
        </w:rPr>
        <w:t xml:space="preserve">be apportioned </w:t>
      </w:r>
      <w:r w:rsidR="004E3E31">
        <w:rPr>
          <w:rFonts w:ascii="Times New Roman" w:hAnsi="Times New Roman" w:cs="Times New Roman"/>
        </w:rPr>
        <w:t xml:space="preserve">equally between </w:t>
      </w:r>
      <w:r w:rsidR="003C705C">
        <w:rPr>
          <w:rFonts w:ascii="Times New Roman" w:hAnsi="Times New Roman" w:cs="Times New Roman"/>
        </w:rPr>
        <w:t xml:space="preserve">qualifying Pediatric CDR </w:t>
      </w:r>
      <w:r w:rsidR="006D4FC6">
        <w:rPr>
          <w:rFonts w:ascii="Times New Roman" w:hAnsi="Times New Roman" w:cs="Times New Roman"/>
        </w:rPr>
        <w:t>H</w:t>
      </w:r>
      <w:r w:rsidR="003C705C">
        <w:rPr>
          <w:rFonts w:ascii="Times New Roman" w:hAnsi="Times New Roman" w:cs="Times New Roman"/>
        </w:rPr>
        <w:t>ospitals</w:t>
      </w:r>
      <w:r w:rsidR="00476932">
        <w:rPr>
          <w:rFonts w:ascii="Times New Roman" w:hAnsi="Times New Roman" w:cs="Times New Roman"/>
        </w:rPr>
        <w:t xml:space="preserve">. </w:t>
      </w:r>
    </w:p>
    <w:p w14:paraId="5321C0CE" w14:textId="77777777" w:rsidR="00BA129D" w:rsidRPr="00822CBE" w:rsidRDefault="00BA129D" w:rsidP="004E5A87">
      <w:pPr>
        <w:rPr>
          <w:rFonts w:ascii="Times New Roman" w:hAnsi="Times New Roman"/>
        </w:rPr>
      </w:pPr>
    </w:p>
    <w:p w14:paraId="77A1EBEB" w14:textId="29875D9E" w:rsidR="00FB3F01" w:rsidRPr="00F55432" w:rsidRDefault="00FB3F01" w:rsidP="00FB3F01">
      <w:pPr>
        <w:suppressAutoHyphens/>
        <w:spacing w:after="240"/>
        <w:rPr>
          <w:rFonts w:ascii="Times New Roman" w:hAnsi="Times New Roman" w:cs="Times New Roman"/>
        </w:rPr>
      </w:pPr>
      <w:r w:rsidRPr="016CDF56">
        <w:rPr>
          <w:rFonts w:ascii="Times New Roman" w:hAnsi="Times New Roman" w:cs="Times New Roman"/>
        </w:rPr>
        <w:t xml:space="preserve">The methods and standards described herein are being proposed in order to </w:t>
      </w:r>
      <w:r w:rsidR="00943B86">
        <w:rPr>
          <w:rFonts w:ascii="Times New Roman" w:hAnsi="Times New Roman" w:cs="Times New Roman"/>
        </w:rPr>
        <w:t>update</w:t>
      </w:r>
      <w:r w:rsidRPr="016CDF56">
        <w:rPr>
          <w:rFonts w:ascii="Times New Roman" w:hAnsi="Times New Roman" w:cs="Times New Roman"/>
        </w:rPr>
        <w:t xml:space="preserve"> rates and payments by contract that accurately reflect the efficient and economic provision of pediatric chronic disease services and/or comprehensive rehabilitation services. The proposed methods and standards described herein are therefore projected to result in a </w:t>
      </w:r>
      <w:r w:rsidR="003E690B">
        <w:rPr>
          <w:rFonts w:ascii="Times New Roman" w:hAnsi="Times New Roman" w:cs="Times New Roman"/>
        </w:rPr>
        <w:t>3</w:t>
      </w:r>
      <w:r w:rsidRPr="016CDF56">
        <w:rPr>
          <w:rFonts w:ascii="Times New Roman" w:hAnsi="Times New Roman" w:cs="Times New Roman"/>
        </w:rPr>
        <w:t>% increase in annual aggregate expenditures in RY</w:t>
      </w:r>
      <w:r w:rsidR="00D562BD">
        <w:rPr>
          <w:rFonts w:ascii="Times New Roman" w:hAnsi="Times New Roman" w:cs="Times New Roman"/>
        </w:rPr>
        <w:t xml:space="preserve"> </w:t>
      </w:r>
      <w:r w:rsidRPr="016CDF56">
        <w:rPr>
          <w:rFonts w:ascii="Times New Roman" w:hAnsi="Times New Roman" w:cs="Times New Roman"/>
        </w:rPr>
        <w:t>2024. The actual change in aggregate expenditures is estimated to be $</w:t>
      </w:r>
      <w:r w:rsidR="00074EE4">
        <w:rPr>
          <w:rFonts w:ascii="Times New Roman" w:hAnsi="Times New Roman" w:cs="Times New Roman"/>
        </w:rPr>
        <w:t>45</w:t>
      </w:r>
      <w:r w:rsidR="0024353E">
        <w:rPr>
          <w:rFonts w:ascii="Times New Roman" w:hAnsi="Times New Roman" w:cs="Times New Roman"/>
        </w:rPr>
        <w:t>0,000</w:t>
      </w:r>
      <w:r w:rsidRPr="016CDF56">
        <w:rPr>
          <w:rFonts w:ascii="Times New Roman" w:hAnsi="Times New Roman" w:cs="Times New Roman"/>
        </w:rPr>
        <w:t xml:space="preserve"> but may vary depending on actual utilization of services.</w:t>
      </w:r>
    </w:p>
    <w:p w14:paraId="19E48D36" w14:textId="3771602F" w:rsidR="00FB3F01" w:rsidRPr="00F55432" w:rsidRDefault="00FB3F01" w:rsidP="00FB3F01">
      <w:pPr>
        <w:suppressAutoHyphens/>
        <w:spacing w:after="240"/>
        <w:rPr>
          <w:rFonts w:ascii="Times New Roman" w:hAnsi="Times New Roman" w:cs="Times New Roman"/>
        </w:rPr>
      </w:pPr>
      <w:r w:rsidRPr="69531120">
        <w:rPr>
          <w:rFonts w:ascii="Times New Roman" w:hAnsi="Times New Roman" w:cs="Times New Roman"/>
        </w:rPr>
        <w:t xml:space="preserve">Included with this notice are the proposed rates and methods of payment, effective </w:t>
      </w:r>
      <w:r w:rsidR="005D190F" w:rsidRPr="13E645B8">
        <w:rPr>
          <w:rFonts w:ascii="Times New Roman" w:hAnsi="Times New Roman" w:cs="Times New Roman"/>
        </w:rPr>
        <w:t>December</w:t>
      </w:r>
      <w:r w:rsidR="005D190F" w:rsidRPr="69531120">
        <w:rPr>
          <w:rFonts w:ascii="Times New Roman" w:hAnsi="Times New Roman" w:cs="Times New Roman"/>
        </w:rPr>
        <w:t xml:space="preserve"> </w:t>
      </w:r>
      <w:r w:rsidR="00CC2AF9">
        <w:rPr>
          <w:rFonts w:ascii="Times New Roman" w:hAnsi="Times New Roman" w:cs="Times New Roman"/>
        </w:rPr>
        <w:t>15</w:t>
      </w:r>
      <w:r w:rsidRPr="69531120">
        <w:rPr>
          <w:rFonts w:ascii="Times New Roman" w:hAnsi="Times New Roman" w:cs="Times New Roman"/>
        </w:rPr>
        <w:t>, 2023. Please contact Pavel Terpelets, MassHealth Office of Long Term Services and Supports, One Ashburton Place, 3</w:t>
      </w:r>
      <w:r w:rsidRPr="003815CA">
        <w:rPr>
          <w:rFonts w:ascii="Times New Roman" w:hAnsi="Times New Roman" w:cs="Times New Roman"/>
          <w:vertAlign w:val="superscript"/>
        </w:rPr>
        <w:t>rd</w:t>
      </w:r>
      <w:r w:rsidRPr="69531120">
        <w:rPr>
          <w:rFonts w:ascii="Times New Roman" w:hAnsi="Times New Roman" w:cs="Times New Roman"/>
        </w:rPr>
        <w:t xml:space="preserve"> Floor, Boston, MA </w:t>
      </w:r>
      <w:r w:rsidR="00D21DD1">
        <w:rPr>
          <w:rFonts w:ascii="Times New Roman" w:hAnsi="Times New Roman" w:cs="Times New Roman"/>
        </w:rPr>
        <w:t xml:space="preserve"> </w:t>
      </w:r>
      <w:r w:rsidRPr="69531120">
        <w:rPr>
          <w:rFonts w:ascii="Times New Roman" w:hAnsi="Times New Roman" w:cs="Times New Roman"/>
        </w:rPr>
        <w:t xml:space="preserve">02108, to send any written comments regarding this notice. </w:t>
      </w:r>
    </w:p>
    <w:p w14:paraId="700A0763" w14:textId="77777777" w:rsidR="00FB3F01" w:rsidRPr="00F55432" w:rsidRDefault="00FB3F01" w:rsidP="00FB3F01">
      <w:pPr>
        <w:suppressAutoHyphens/>
        <w:spacing w:after="240"/>
        <w:jc w:val="both"/>
        <w:rPr>
          <w:rFonts w:ascii="Times New Roman" w:hAnsi="Times New Roman" w:cs="Times New Roman"/>
        </w:rPr>
      </w:pPr>
      <w:r w:rsidRPr="00F55432">
        <w:rPr>
          <w:rFonts w:ascii="Times New Roman" w:hAnsi="Times New Roman" w:cs="Times New Roman"/>
        </w:rPr>
        <w:t>STATUTORY AUTHORITY:</w:t>
      </w:r>
    </w:p>
    <w:p w14:paraId="4BCA58B3" w14:textId="7C83CBD1" w:rsidR="00FB3F01" w:rsidRPr="00F55432" w:rsidRDefault="00FB3F01" w:rsidP="00FB3F01">
      <w:pPr>
        <w:suppressAutoHyphens/>
        <w:spacing w:after="240"/>
        <w:jc w:val="both"/>
        <w:rPr>
          <w:rFonts w:ascii="Times New Roman" w:hAnsi="Times New Roman" w:cs="Times New Roman"/>
        </w:rPr>
      </w:pPr>
      <w:r w:rsidRPr="00F55432">
        <w:rPr>
          <w:rFonts w:ascii="Times New Roman" w:hAnsi="Times New Roman" w:cs="Times New Roman"/>
        </w:rPr>
        <w:t>M.G.L. c.</w:t>
      </w:r>
      <w:r w:rsidR="006F560D">
        <w:rPr>
          <w:rFonts w:ascii="Times New Roman" w:hAnsi="Times New Roman" w:cs="Times New Roman"/>
        </w:rPr>
        <w:t xml:space="preserve"> </w:t>
      </w:r>
      <w:r w:rsidRPr="00F55432">
        <w:rPr>
          <w:rFonts w:ascii="Times New Roman" w:hAnsi="Times New Roman" w:cs="Times New Roman"/>
        </w:rPr>
        <w:t>118E; 42 USC 1396</w:t>
      </w:r>
    </w:p>
    <w:p w14:paraId="2CB9AF0F" w14:textId="77777777" w:rsidR="00FB3F01" w:rsidRPr="00F55432" w:rsidRDefault="00FB3F01" w:rsidP="00FB3F01">
      <w:pPr>
        <w:suppressAutoHyphens/>
        <w:spacing w:after="240"/>
        <w:jc w:val="both"/>
        <w:rPr>
          <w:rFonts w:ascii="Times New Roman" w:hAnsi="Times New Roman" w:cs="Times New Roman"/>
        </w:rPr>
      </w:pPr>
      <w:r w:rsidRPr="00F55432">
        <w:rPr>
          <w:rFonts w:ascii="Times New Roman" w:hAnsi="Times New Roman" w:cs="Times New Roman"/>
        </w:rPr>
        <w:t>Related Regulations:</w:t>
      </w:r>
    </w:p>
    <w:p w14:paraId="6A7D98BB" w14:textId="77777777" w:rsidR="00FB3F01" w:rsidRDefault="00FB3F01" w:rsidP="00FB3F01">
      <w:pPr>
        <w:suppressAutoHyphens/>
        <w:spacing w:after="240"/>
        <w:jc w:val="both"/>
        <w:rPr>
          <w:rFonts w:ascii="Times New Roman" w:hAnsi="Times New Roman" w:cs="Times New Roman"/>
        </w:rPr>
      </w:pPr>
      <w:r w:rsidRPr="00F55432">
        <w:rPr>
          <w:rFonts w:ascii="Times New Roman" w:hAnsi="Times New Roman" w:cs="Times New Roman"/>
        </w:rPr>
        <w:t>42 CFR Part 447</w:t>
      </w:r>
    </w:p>
    <w:p w14:paraId="6F59264E" w14:textId="35C9861D" w:rsidR="00FB3F01" w:rsidRPr="005A48D9" w:rsidRDefault="00FB3F01" w:rsidP="00C935A7">
      <w:pPr>
        <w:pStyle w:val="NoSpacing"/>
        <w:tabs>
          <w:tab w:val="left" w:pos="1848"/>
          <w:tab w:val="center" w:pos="5040"/>
        </w:tabs>
        <w:jc w:val="center"/>
        <w:rPr>
          <w:rFonts w:ascii="Times New Roman" w:hAnsi="Times New Roman" w:cs="Times New Roman"/>
          <w:b/>
        </w:rPr>
      </w:pPr>
      <w:r w:rsidRPr="00F55432">
        <w:br w:type="page"/>
      </w:r>
      <w:r w:rsidRPr="005A48D9">
        <w:rPr>
          <w:rFonts w:ascii="Times New Roman" w:hAnsi="Times New Roman" w:cs="Times New Roman"/>
          <w:b/>
        </w:rPr>
        <w:lastRenderedPageBreak/>
        <w:t>EXECUTIVE OFFICE OF HEALTH AND HUMAN SERVICES</w:t>
      </w:r>
    </w:p>
    <w:p w14:paraId="4A1F7F83" w14:textId="77777777" w:rsidR="00FB3F01" w:rsidRPr="005A48D9" w:rsidRDefault="00FB3F01" w:rsidP="00FB3F01">
      <w:pPr>
        <w:pStyle w:val="NoSpacing"/>
        <w:jc w:val="center"/>
        <w:rPr>
          <w:rFonts w:ascii="Times New Roman" w:hAnsi="Times New Roman" w:cs="Times New Roman"/>
          <w:b/>
        </w:rPr>
      </w:pPr>
      <w:r>
        <w:rPr>
          <w:rFonts w:ascii="Times New Roman" w:hAnsi="Times New Roman" w:cs="Times New Roman"/>
          <w:b/>
        </w:rPr>
        <w:t xml:space="preserve">PEDIATRIC </w:t>
      </w:r>
      <w:r w:rsidRPr="005A48D9">
        <w:rPr>
          <w:rFonts w:ascii="Times New Roman" w:hAnsi="Times New Roman" w:cs="Times New Roman"/>
          <w:b/>
        </w:rPr>
        <w:t>CHRONIC DISEASE AND REHABILITATION HOSPITALS</w:t>
      </w:r>
    </w:p>
    <w:p w14:paraId="356BA420" w14:textId="77777777" w:rsidR="00FB3F01" w:rsidRPr="005A48D9" w:rsidRDefault="00FB3F01" w:rsidP="00FB3F01">
      <w:pPr>
        <w:pStyle w:val="Heading1"/>
        <w:spacing w:before="0" w:after="0"/>
        <w:jc w:val="center"/>
      </w:pPr>
      <w:r w:rsidRPr="005A48D9">
        <w:t>PROPOSED METHODS AND STANDARDS</w:t>
      </w:r>
    </w:p>
    <w:p w14:paraId="7D8429CD" w14:textId="050C773C" w:rsidR="00FB3F01" w:rsidRDefault="00FB3F01" w:rsidP="00FB3F01">
      <w:pPr>
        <w:pStyle w:val="Heading1"/>
        <w:spacing w:before="0"/>
        <w:jc w:val="center"/>
      </w:pPr>
      <w:r>
        <w:t xml:space="preserve">FOR RATES </w:t>
      </w:r>
      <w:r w:rsidR="006D4FC6">
        <w:t>AND</w:t>
      </w:r>
      <w:r w:rsidR="00545789">
        <w:t xml:space="preserve"> PAYMENTS </w:t>
      </w:r>
      <w:r>
        <w:t xml:space="preserve">EFFECTIVE </w:t>
      </w:r>
      <w:r w:rsidR="001C4E9F">
        <w:t xml:space="preserve">DECEMBER </w:t>
      </w:r>
      <w:r w:rsidR="00CC2AF9">
        <w:t>15</w:t>
      </w:r>
      <w:r>
        <w:t>, 2023</w:t>
      </w:r>
    </w:p>
    <w:p w14:paraId="524496EE" w14:textId="61D124D4" w:rsidR="00FB3F01" w:rsidRPr="00F55432" w:rsidRDefault="00FB3F01" w:rsidP="00FB3F01">
      <w:pPr>
        <w:suppressAutoHyphens/>
        <w:spacing w:after="240"/>
        <w:rPr>
          <w:rFonts w:ascii="Times New Roman" w:hAnsi="Times New Roman" w:cs="Times New Roman"/>
        </w:rPr>
      </w:pPr>
      <w:r w:rsidRPr="69531120">
        <w:rPr>
          <w:rFonts w:ascii="Times New Roman" w:hAnsi="Times New Roman" w:cs="Times New Roman"/>
        </w:rPr>
        <w:t xml:space="preserve">The following sections describe the proposed </w:t>
      </w:r>
      <w:r w:rsidR="001C70E4">
        <w:rPr>
          <w:rFonts w:ascii="Times New Roman" w:hAnsi="Times New Roman" w:cs="Times New Roman"/>
        </w:rPr>
        <w:t xml:space="preserve">changes in </w:t>
      </w:r>
      <w:r w:rsidRPr="69531120">
        <w:rPr>
          <w:rFonts w:ascii="Times New Roman" w:hAnsi="Times New Roman" w:cs="Times New Roman"/>
        </w:rPr>
        <w:t xml:space="preserve">methods and standards to be utilized by EOHHS to establish methods and rates of payment by contract, to be effective </w:t>
      </w:r>
      <w:r w:rsidR="002D0F85">
        <w:rPr>
          <w:rFonts w:ascii="Times New Roman" w:hAnsi="Times New Roman" w:cs="Times New Roman"/>
        </w:rPr>
        <w:t>Decem</w:t>
      </w:r>
      <w:r w:rsidRPr="69531120">
        <w:rPr>
          <w:rFonts w:ascii="Times New Roman" w:hAnsi="Times New Roman" w:cs="Times New Roman"/>
        </w:rPr>
        <w:t xml:space="preserve">ber </w:t>
      </w:r>
      <w:r w:rsidR="007917AE">
        <w:rPr>
          <w:rFonts w:ascii="Times New Roman" w:hAnsi="Times New Roman" w:cs="Times New Roman"/>
        </w:rPr>
        <w:t>15</w:t>
      </w:r>
      <w:r w:rsidRPr="69531120">
        <w:rPr>
          <w:rFonts w:ascii="Times New Roman" w:hAnsi="Times New Roman" w:cs="Times New Roman"/>
        </w:rPr>
        <w:t>, 2023, for services rendered by CDR hospitals that serve solely children and adolescents with complex acute rehabilitation and chronic needs (Pediatric CDR Hospitals). There is currently one CDR hospital that meets this criterion</w:t>
      </w:r>
      <w:r w:rsidR="00B04EF0">
        <w:rPr>
          <w:rFonts w:ascii="Times New Roman" w:hAnsi="Times New Roman" w:cs="Times New Roman"/>
        </w:rPr>
        <w:t>:</w:t>
      </w:r>
      <w:r w:rsidRPr="69531120">
        <w:rPr>
          <w:rFonts w:ascii="Times New Roman" w:hAnsi="Times New Roman" w:cs="Times New Roman"/>
        </w:rPr>
        <w:t xml:space="preserve"> Franciscan Children’s (Franciscan).</w:t>
      </w:r>
    </w:p>
    <w:p w14:paraId="2C5F133C" w14:textId="403D4128"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rPr>
          <w:rFonts w:ascii="Times New Roman" w:hAnsi="Times New Roman" w:cs="Times New Roman"/>
          <w:u w:val="single"/>
        </w:rPr>
      </w:pPr>
      <w:r w:rsidRPr="005A48D9">
        <w:rPr>
          <w:rFonts w:ascii="Times New Roman" w:hAnsi="Times New Roman" w:cs="Times New Roman"/>
          <w:u w:val="single"/>
        </w:rPr>
        <w:t>Section 1:</w:t>
      </w:r>
      <w:r w:rsidR="00D21DD1">
        <w:rPr>
          <w:rFonts w:ascii="Times New Roman" w:hAnsi="Times New Roman" w:cs="Times New Roman"/>
          <w:u w:val="single"/>
        </w:rPr>
        <w:t xml:space="preserve"> </w:t>
      </w:r>
      <w:r w:rsidRPr="005A48D9">
        <w:rPr>
          <w:rFonts w:ascii="Times New Roman" w:hAnsi="Times New Roman" w:cs="Times New Roman"/>
          <w:u w:val="single"/>
        </w:rPr>
        <w:t>Inpatient Per Diem Rate</w:t>
      </w:r>
      <w:r w:rsidR="00F60662" w:rsidRPr="00C935A7">
        <w:rPr>
          <w:rFonts w:ascii="Times New Roman" w:hAnsi="Times New Roman" w:cs="Times New Roman"/>
        </w:rPr>
        <w:t>.</w:t>
      </w:r>
    </w:p>
    <w:p w14:paraId="5671B86A" w14:textId="656D3F04" w:rsidR="00FB3F01" w:rsidRPr="00F90B01" w:rsidRDefault="00FB3F01" w:rsidP="63235337">
      <w:pPr>
        <w:pStyle w:val="List2"/>
        <w:tabs>
          <w:tab w:val="clear" w:pos="792"/>
        </w:tabs>
        <w:spacing w:after="240"/>
        <w:ind w:left="0" w:right="0" w:firstLine="0"/>
        <w:jc w:val="left"/>
        <w:rPr>
          <w:rFonts w:ascii="Times New Roman" w:hAnsi="Times New Roman"/>
          <w:sz w:val="22"/>
          <w:szCs w:val="22"/>
        </w:rPr>
      </w:pPr>
      <w:r w:rsidRPr="63235337">
        <w:rPr>
          <w:rFonts w:ascii="Times New Roman" w:hAnsi="Times New Roman"/>
          <w:sz w:val="22"/>
          <w:szCs w:val="22"/>
        </w:rPr>
        <w:t xml:space="preserve">The Inpatient Per Diem Rate is an all-inclusive daily rate paid for any and all inpatient care and services provided by a hospital to a MassHealth member, with the exception of any and all </w:t>
      </w:r>
      <w:r w:rsidR="00585358">
        <w:rPr>
          <w:rFonts w:ascii="Times New Roman" w:hAnsi="Times New Roman"/>
          <w:sz w:val="22"/>
          <w:szCs w:val="22"/>
        </w:rPr>
        <w:t>administrative days.</w:t>
      </w:r>
      <w:r w:rsidR="00B93CDB" w:rsidRPr="63235337">
        <w:rPr>
          <w:rFonts w:ascii="Times New Roman" w:hAnsi="Times New Roman"/>
          <w:sz w:val="22"/>
          <w:szCs w:val="22"/>
        </w:rPr>
        <w:t xml:space="preserve"> </w:t>
      </w:r>
    </w:p>
    <w:p w14:paraId="63BCAF9E" w14:textId="109ED284" w:rsidR="00FB3F01" w:rsidRDefault="00FB3F01" w:rsidP="00FB3F01">
      <w:pPr>
        <w:pStyle w:val="List2"/>
        <w:tabs>
          <w:tab w:val="clear" w:pos="792"/>
        </w:tabs>
        <w:spacing w:after="240"/>
        <w:ind w:left="0" w:right="0" w:firstLine="0"/>
        <w:jc w:val="left"/>
        <w:rPr>
          <w:rFonts w:ascii="Times New Roman" w:hAnsi="Times New Roman"/>
          <w:sz w:val="22"/>
          <w:szCs w:val="22"/>
        </w:rPr>
      </w:pPr>
      <w:r w:rsidRPr="63235337">
        <w:rPr>
          <w:rFonts w:ascii="Times New Roman" w:hAnsi="Times New Roman"/>
          <w:sz w:val="22"/>
          <w:szCs w:val="22"/>
        </w:rPr>
        <w:t xml:space="preserve">The </w:t>
      </w:r>
      <w:r w:rsidR="00894868">
        <w:rPr>
          <w:rFonts w:ascii="Times New Roman" w:hAnsi="Times New Roman"/>
          <w:sz w:val="22"/>
          <w:szCs w:val="22"/>
        </w:rPr>
        <w:t>rate</w:t>
      </w:r>
      <w:r w:rsidR="00AA4F3B">
        <w:rPr>
          <w:rFonts w:ascii="Times New Roman" w:hAnsi="Times New Roman"/>
          <w:sz w:val="22"/>
          <w:szCs w:val="22"/>
        </w:rPr>
        <w:t xml:space="preserve"> of $2,678.39 </w:t>
      </w:r>
      <w:r w:rsidR="002D0F85">
        <w:rPr>
          <w:rFonts w:ascii="Times New Roman" w:hAnsi="Times New Roman"/>
          <w:sz w:val="22"/>
          <w:szCs w:val="22"/>
        </w:rPr>
        <w:t>that was</w:t>
      </w:r>
      <w:r w:rsidR="00894868">
        <w:rPr>
          <w:rFonts w:ascii="Times New Roman" w:hAnsi="Times New Roman"/>
          <w:sz w:val="22"/>
          <w:szCs w:val="22"/>
        </w:rPr>
        <w:t xml:space="preserve"> set as of October 1, 202</w:t>
      </w:r>
      <w:r w:rsidR="002D0F85">
        <w:rPr>
          <w:rFonts w:ascii="Times New Roman" w:hAnsi="Times New Roman"/>
          <w:sz w:val="22"/>
          <w:szCs w:val="22"/>
        </w:rPr>
        <w:t>3</w:t>
      </w:r>
      <w:r w:rsidR="00AA4F3B">
        <w:rPr>
          <w:rFonts w:ascii="Times New Roman" w:hAnsi="Times New Roman"/>
          <w:sz w:val="22"/>
          <w:szCs w:val="22"/>
        </w:rPr>
        <w:t xml:space="preserve"> is proposed to be increased by 3%</w:t>
      </w:r>
      <w:r w:rsidR="001E5364">
        <w:rPr>
          <w:rFonts w:ascii="Times New Roman" w:hAnsi="Times New Roman"/>
          <w:sz w:val="22"/>
          <w:szCs w:val="22"/>
        </w:rPr>
        <w:t xml:space="preserve"> </w:t>
      </w:r>
      <w:r w:rsidR="00AA4F3B">
        <w:rPr>
          <w:rFonts w:ascii="Times New Roman" w:hAnsi="Times New Roman"/>
          <w:sz w:val="22"/>
          <w:szCs w:val="22"/>
        </w:rPr>
        <w:t>t</w:t>
      </w:r>
      <w:r w:rsidR="00610D8D">
        <w:rPr>
          <w:rFonts w:ascii="Times New Roman" w:hAnsi="Times New Roman"/>
          <w:sz w:val="22"/>
          <w:szCs w:val="22"/>
        </w:rPr>
        <w:t xml:space="preserve">o reflect </w:t>
      </w:r>
      <w:r w:rsidR="001E5364">
        <w:rPr>
          <w:rFonts w:ascii="Times New Roman" w:hAnsi="Times New Roman"/>
          <w:sz w:val="22"/>
          <w:szCs w:val="22"/>
        </w:rPr>
        <w:t>increas</w:t>
      </w:r>
      <w:r w:rsidR="009D1313">
        <w:rPr>
          <w:rFonts w:ascii="Times New Roman" w:hAnsi="Times New Roman"/>
          <w:sz w:val="22"/>
          <w:szCs w:val="22"/>
        </w:rPr>
        <w:t>ing</w:t>
      </w:r>
      <w:r w:rsidR="001E5364">
        <w:rPr>
          <w:rFonts w:ascii="Times New Roman" w:hAnsi="Times New Roman"/>
          <w:sz w:val="22"/>
          <w:szCs w:val="22"/>
        </w:rPr>
        <w:t xml:space="preserve"> </w:t>
      </w:r>
      <w:r w:rsidR="00610D8D">
        <w:rPr>
          <w:rFonts w:ascii="Times New Roman" w:hAnsi="Times New Roman"/>
          <w:sz w:val="22"/>
          <w:szCs w:val="22"/>
        </w:rPr>
        <w:t>costs of providing complex pediatric care.</w:t>
      </w:r>
      <w:r w:rsidR="001E5364">
        <w:rPr>
          <w:rFonts w:ascii="Times New Roman" w:hAnsi="Times New Roman"/>
          <w:sz w:val="22"/>
          <w:szCs w:val="22"/>
        </w:rPr>
        <w:t xml:space="preserve"> The resulting proposed rate is $2,758.74. </w:t>
      </w:r>
      <w:r w:rsidR="00610D8D">
        <w:rPr>
          <w:rFonts w:ascii="Times New Roman" w:hAnsi="Times New Roman"/>
          <w:sz w:val="22"/>
          <w:szCs w:val="22"/>
        </w:rPr>
        <w:t xml:space="preserve"> </w:t>
      </w:r>
    </w:p>
    <w:p w14:paraId="72581E95" w14:textId="77777777" w:rsidR="00A54D9B" w:rsidRDefault="00A54D9B" w:rsidP="00FB3F01">
      <w:pPr>
        <w:jc w:val="center"/>
        <w:rPr>
          <w:rFonts w:ascii="Times New Roman" w:hAnsi="Times New Roman" w:cs="Times New Roman"/>
          <w:b/>
        </w:rPr>
      </w:pPr>
    </w:p>
    <w:p w14:paraId="6A66BB86" w14:textId="77777777" w:rsidR="00A54D9B" w:rsidRDefault="00A54D9B" w:rsidP="00FB3F01">
      <w:pPr>
        <w:jc w:val="center"/>
        <w:rPr>
          <w:rFonts w:ascii="Times New Roman" w:hAnsi="Times New Roman" w:cs="Times New Roman"/>
          <w:b/>
        </w:rPr>
      </w:pPr>
    </w:p>
    <w:p w14:paraId="441706FA" w14:textId="77777777" w:rsidR="00A54D9B" w:rsidRDefault="00A54D9B" w:rsidP="00FB3F01">
      <w:pPr>
        <w:jc w:val="center"/>
        <w:rPr>
          <w:rFonts w:ascii="Times New Roman" w:hAnsi="Times New Roman" w:cs="Times New Roman"/>
          <w:b/>
        </w:rPr>
      </w:pPr>
    </w:p>
    <w:p w14:paraId="624AF387" w14:textId="77777777" w:rsidR="00A54D9B" w:rsidRDefault="00A54D9B" w:rsidP="00FB3F01">
      <w:pPr>
        <w:jc w:val="center"/>
        <w:rPr>
          <w:rFonts w:ascii="Times New Roman" w:hAnsi="Times New Roman" w:cs="Times New Roman"/>
          <w:b/>
        </w:rPr>
      </w:pPr>
    </w:p>
    <w:p w14:paraId="2FE06DF6" w14:textId="77777777" w:rsidR="00A54D9B" w:rsidRDefault="00A54D9B" w:rsidP="00FB3F01">
      <w:pPr>
        <w:jc w:val="center"/>
        <w:rPr>
          <w:rFonts w:ascii="Times New Roman" w:hAnsi="Times New Roman" w:cs="Times New Roman"/>
          <w:b/>
        </w:rPr>
      </w:pPr>
    </w:p>
    <w:p w14:paraId="781F515F" w14:textId="77777777" w:rsidR="00A54D9B" w:rsidRDefault="00A54D9B" w:rsidP="00FB3F01">
      <w:pPr>
        <w:jc w:val="center"/>
        <w:rPr>
          <w:rFonts w:ascii="Times New Roman" w:hAnsi="Times New Roman" w:cs="Times New Roman"/>
          <w:b/>
        </w:rPr>
      </w:pPr>
    </w:p>
    <w:p w14:paraId="5B9DF724" w14:textId="77777777" w:rsidR="00A54D9B" w:rsidRDefault="00A54D9B" w:rsidP="00FB3F01">
      <w:pPr>
        <w:jc w:val="center"/>
        <w:rPr>
          <w:rFonts w:ascii="Times New Roman" w:hAnsi="Times New Roman" w:cs="Times New Roman"/>
          <w:b/>
        </w:rPr>
      </w:pPr>
    </w:p>
    <w:p w14:paraId="017FAED8" w14:textId="77777777" w:rsidR="00A54D9B" w:rsidRDefault="00A54D9B" w:rsidP="00FB3F01">
      <w:pPr>
        <w:jc w:val="center"/>
        <w:rPr>
          <w:rFonts w:ascii="Times New Roman" w:hAnsi="Times New Roman" w:cs="Times New Roman"/>
          <w:b/>
        </w:rPr>
      </w:pPr>
    </w:p>
    <w:p w14:paraId="6C870F33" w14:textId="77777777" w:rsidR="00A54D9B" w:rsidRDefault="00A54D9B" w:rsidP="00FB3F01">
      <w:pPr>
        <w:jc w:val="center"/>
        <w:rPr>
          <w:rFonts w:ascii="Times New Roman" w:hAnsi="Times New Roman" w:cs="Times New Roman"/>
          <w:b/>
        </w:rPr>
      </w:pPr>
    </w:p>
    <w:p w14:paraId="1BD2889A" w14:textId="77777777" w:rsidR="00A54D9B" w:rsidRDefault="00A54D9B" w:rsidP="00FB3F01">
      <w:pPr>
        <w:jc w:val="center"/>
        <w:rPr>
          <w:rFonts w:ascii="Times New Roman" w:hAnsi="Times New Roman" w:cs="Times New Roman"/>
          <w:b/>
        </w:rPr>
      </w:pPr>
    </w:p>
    <w:p w14:paraId="08D90BB1" w14:textId="77777777" w:rsidR="00A54D9B" w:rsidRDefault="00A54D9B" w:rsidP="00FB3F01">
      <w:pPr>
        <w:jc w:val="center"/>
        <w:rPr>
          <w:rFonts w:ascii="Times New Roman" w:hAnsi="Times New Roman" w:cs="Times New Roman"/>
          <w:b/>
        </w:rPr>
      </w:pPr>
    </w:p>
    <w:p w14:paraId="2D01D7A4" w14:textId="77777777" w:rsidR="00A54D9B" w:rsidRDefault="00A54D9B" w:rsidP="00FB3F01">
      <w:pPr>
        <w:jc w:val="center"/>
        <w:rPr>
          <w:rFonts w:ascii="Times New Roman" w:hAnsi="Times New Roman" w:cs="Times New Roman"/>
          <w:b/>
        </w:rPr>
      </w:pPr>
    </w:p>
    <w:p w14:paraId="20EDC419" w14:textId="77777777" w:rsidR="00A54D9B" w:rsidRDefault="00A54D9B" w:rsidP="00FB3F01">
      <w:pPr>
        <w:jc w:val="center"/>
        <w:rPr>
          <w:rFonts w:ascii="Times New Roman" w:hAnsi="Times New Roman" w:cs="Times New Roman"/>
          <w:b/>
        </w:rPr>
      </w:pPr>
    </w:p>
    <w:p w14:paraId="0302BB43" w14:textId="77777777" w:rsidR="00A54D9B" w:rsidRDefault="00A54D9B" w:rsidP="00FB3F01">
      <w:pPr>
        <w:jc w:val="center"/>
        <w:rPr>
          <w:rFonts w:ascii="Times New Roman" w:hAnsi="Times New Roman" w:cs="Times New Roman"/>
          <w:b/>
        </w:rPr>
      </w:pPr>
    </w:p>
    <w:p w14:paraId="3729B130" w14:textId="77777777" w:rsidR="00A54D9B" w:rsidRDefault="00A54D9B" w:rsidP="00FB3F01">
      <w:pPr>
        <w:jc w:val="center"/>
        <w:rPr>
          <w:rFonts w:ascii="Times New Roman" w:hAnsi="Times New Roman" w:cs="Times New Roman"/>
          <w:b/>
        </w:rPr>
      </w:pPr>
    </w:p>
    <w:p w14:paraId="128CC068" w14:textId="77777777" w:rsidR="00A54D9B" w:rsidRDefault="00A54D9B" w:rsidP="00FB3F01">
      <w:pPr>
        <w:jc w:val="center"/>
        <w:rPr>
          <w:rFonts w:ascii="Times New Roman" w:hAnsi="Times New Roman" w:cs="Times New Roman"/>
          <w:b/>
        </w:rPr>
      </w:pPr>
    </w:p>
    <w:p w14:paraId="62421177" w14:textId="77777777" w:rsidR="00A54D9B" w:rsidRDefault="00A54D9B" w:rsidP="00FB3F01">
      <w:pPr>
        <w:jc w:val="center"/>
        <w:rPr>
          <w:rFonts w:ascii="Times New Roman" w:hAnsi="Times New Roman" w:cs="Times New Roman"/>
          <w:b/>
        </w:rPr>
      </w:pPr>
    </w:p>
    <w:p w14:paraId="20AF384A" w14:textId="77777777" w:rsidR="00A54D9B" w:rsidRDefault="00A54D9B" w:rsidP="00FB3F01">
      <w:pPr>
        <w:jc w:val="center"/>
        <w:rPr>
          <w:rFonts w:ascii="Times New Roman" w:hAnsi="Times New Roman" w:cs="Times New Roman"/>
          <w:b/>
        </w:rPr>
      </w:pPr>
    </w:p>
    <w:p w14:paraId="494F8D77" w14:textId="77777777" w:rsidR="00A54D9B" w:rsidRDefault="00A54D9B" w:rsidP="00FB3F01">
      <w:pPr>
        <w:jc w:val="center"/>
        <w:rPr>
          <w:rFonts w:ascii="Times New Roman" w:hAnsi="Times New Roman" w:cs="Times New Roman"/>
          <w:b/>
        </w:rPr>
      </w:pPr>
    </w:p>
    <w:p w14:paraId="7EBE233A" w14:textId="77777777" w:rsidR="00A54D9B" w:rsidRDefault="00A54D9B" w:rsidP="00FB3F01">
      <w:pPr>
        <w:jc w:val="center"/>
        <w:rPr>
          <w:rFonts w:ascii="Times New Roman" w:hAnsi="Times New Roman" w:cs="Times New Roman"/>
          <w:b/>
        </w:rPr>
      </w:pPr>
    </w:p>
    <w:p w14:paraId="2B000FF0" w14:textId="77777777" w:rsidR="00A54D9B" w:rsidRDefault="00A54D9B" w:rsidP="00FB3F01">
      <w:pPr>
        <w:jc w:val="center"/>
        <w:rPr>
          <w:rFonts w:ascii="Times New Roman" w:hAnsi="Times New Roman" w:cs="Times New Roman"/>
          <w:b/>
        </w:rPr>
      </w:pPr>
    </w:p>
    <w:p w14:paraId="3511EA37" w14:textId="77777777" w:rsidR="00A54D9B" w:rsidRDefault="00A54D9B" w:rsidP="00FB3F01">
      <w:pPr>
        <w:jc w:val="center"/>
        <w:rPr>
          <w:rFonts w:ascii="Times New Roman" w:hAnsi="Times New Roman" w:cs="Times New Roman"/>
          <w:b/>
        </w:rPr>
      </w:pPr>
    </w:p>
    <w:p w14:paraId="0B355FF1" w14:textId="77777777" w:rsidR="00A54D9B" w:rsidRDefault="00A54D9B" w:rsidP="00FB3F01">
      <w:pPr>
        <w:jc w:val="center"/>
        <w:rPr>
          <w:rFonts w:ascii="Times New Roman" w:hAnsi="Times New Roman" w:cs="Times New Roman"/>
          <w:b/>
        </w:rPr>
      </w:pPr>
    </w:p>
    <w:p w14:paraId="520AE8FF" w14:textId="77777777" w:rsidR="00A54D9B" w:rsidRDefault="00A54D9B" w:rsidP="00FB3F01">
      <w:pPr>
        <w:jc w:val="center"/>
        <w:rPr>
          <w:rFonts w:ascii="Times New Roman" w:hAnsi="Times New Roman" w:cs="Times New Roman"/>
          <w:b/>
        </w:rPr>
      </w:pPr>
    </w:p>
    <w:p w14:paraId="21206F47" w14:textId="77777777" w:rsidR="00A54D9B" w:rsidRDefault="00A54D9B" w:rsidP="00FB3F01">
      <w:pPr>
        <w:jc w:val="center"/>
        <w:rPr>
          <w:rFonts w:ascii="Times New Roman" w:hAnsi="Times New Roman" w:cs="Times New Roman"/>
          <w:b/>
        </w:rPr>
      </w:pPr>
    </w:p>
    <w:p w14:paraId="331BDA3E" w14:textId="77777777" w:rsidR="00A54D9B" w:rsidRDefault="00A54D9B" w:rsidP="00FB3F01">
      <w:pPr>
        <w:jc w:val="center"/>
        <w:rPr>
          <w:rFonts w:ascii="Times New Roman" w:hAnsi="Times New Roman" w:cs="Times New Roman"/>
          <w:b/>
        </w:rPr>
      </w:pPr>
    </w:p>
    <w:p w14:paraId="109ED2DC" w14:textId="77777777" w:rsidR="00A54D9B" w:rsidRDefault="00A54D9B" w:rsidP="00FB3F01">
      <w:pPr>
        <w:jc w:val="center"/>
        <w:rPr>
          <w:rFonts w:ascii="Times New Roman" w:hAnsi="Times New Roman" w:cs="Times New Roman"/>
          <w:b/>
        </w:rPr>
      </w:pPr>
    </w:p>
    <w:p w14:paraId="3E679501" w14:textId="77777777" w:rsidR="00A54D9B" w:rsidRDefault="00A54D9B" w:rsidP="00FB3F01">
      <w:pPr>
        <w:jc w:val="center"/>
        <w:rPr>
          <w:rFonts w:ascii="Times New Roman" w:hAnsi="Times New Roman" w:cs="Times New Roman"/>
          <w:b/>
        </w:rPr>
      </w:pPr>
    </w:p>
    <w:p w14:paraId="7CB30122" w14:textId="77777777" w:rsidR="00A54D9B" w:rsidRDefault="00A54D9B" w:rsidP="00FB3F01">
      <w:pPr>
        <w:jc w:val="center"/>
        <w:rPr>
          <w:rFonts w:ascii="Times New Roman" w:hAnsi="Times New Roman" w:cs="Times New Roman"/>
          <w:b/>
        </w:rPr>
      </w:pPr>
    </w:p>
    <w:p w14:paraId="6EBEA3A4" w14:textId="77777777" w:rsidR="00A54D9B" w:rsidRDefault="00A54D9B" w:rsidP="00FB3F01">
      <w:pPr>
        <w:jc w:val="center"/>
        <w:rPr>
          <w:rFonts w:ascii="Times New Roman" w:hAnsi="Times New Roman" w:cs="Times New Roman"/>
          <w:b/>
        </w:rPr>
      </w:pPr>
    </w:p>
    <w:p w14:paraId="5A1E329C" w14:textId="77777777" w:rsidR="00A54D9B" w:rsidRDefault="00A54D9B" w:rsidP="00FB3F01">
      <w:pPr>
        <w:jc w:val="center"/>
        <w:rPr>
          <w:rFonts w:ascii="Times New Roman" w:hAnsi="Times New Roman" w:cs="Times New Roman"/>
          <w:b/>
        </w:rPr>
      </w:pPr>
    </w:p>
    <w:p w14:paraId="3464D1AA" w14:textId="77777777" w:rsidR="00A54D9B" w:rsidRDefault="00A54D9B" w:rsidP="00FB3F01">
      <w:pPr>
        <w:jc w:val="center"/>
        <w:rPr>
          <w:rFonts w:ascii="Times New Roman" w:hAnsi="Times New Roman" w:cs="Times New Roman"/>
          <w:b/>
        </w:rPr>
      </w:pPr>
    </w:p>
    <w:p w14:paraId="19F68977" w14:textId="53887106" w:rsidR="00FB3F01" w:rsidRPr="00C87D11" w:rsidRDefault="00FB3F01" w:rsidP="00FB3F01">
      <w:pPr>
        <w:jc w:val="center"/>
        <w:rPr>
          <w:rFonts w:ascii="Times New Roman" w:hAnsi="Times New Roman" w:cs="Times New Roman"/>
          <w:b/>
        </w:rPr>
      </w:pPr>
      <w:r w:rsidRPr="00C87D11">
        <w:rPr>
          <w:rFonts w:ascii="Times New Roman" w:hAnsi="Times New Roman" w:cs="Times New Roman"/>
          <w:b/>
        </w:rPr>
        <w:lastRenderedPageBreak/>
        <w:t>Pediatric Chronic Disease and Rehabilitation Hospital</w:t>
      </w:r>
    </w:p>
    <w:p w14:paraId="220452E1" w14:textId="2A90CE12" w:rsidR="00FB3F01" w:rsidRPr="00927893" w:rsidRDefault="00FB3F01" w:rsidP="00FB3F01">
      <w:pPr>
        <w:pStyle w:val="Heading1"/>
        <w:spacing w:before="0" w:after="0"/>
        <w:jc w:val="center"/>
        <w:rPr>
          <w:szCs w:val="24"/>
        </w:rPr>
      </w:pPr>
      <w:r w:rsidRPr="008A4516">
        <w:rPr>
          <w:szCs w:val="24"/>
        </w:rPr>
        <w:t xml:space="preserve">Proposed Medicaid Inpatient </w:t>
      </w:r>
      <w:r w:rsidR="006D4FC6">
        <w:rPr>
          <w:szCs w:val="24"/>
        </w:rPr>
        <w:t>Payments</w:t>
      </w:r>
    </w:p>
    <w:p w14:paraId="1AEC4181" w14:textId="2B30DBA9" w:rsidR="00FB3F01" w:rsidRPr="008A4516" w:rsidRDefault="00E11081" w:rsidP="00FB3F01">
      <w:pPr>
        <w:pStyle w:val="Heading1"/>
        <w:spacing w:before="0"/>
        <w:jc w:val="center"/>
        <w:rPr>
          <w:b w:val="0"/>
        </w:rPr>
      </w:pPr>
      <w:r>
        <w:t>December</w:t>
      </w:r>
      <w:r w:rsidR="00FB3F01">
        <w:t xml:space="preserve"> </w:t>
      </w:r>
      <w:r w:rsidR="00A54D9B">
        <w:t>15</w:t>
      </w:r>
      <w:r w:rsidR="00FB3F01">
        <w:t>, 2023–September 30, 2024</w:t>
      </w:r>
    </w:p>
    <w:p w14:paraId="7499BB71" w14:textId="77777777" w:rsidR="00FB3F01" w:rsidRPr="00C87D11" w:rsidRDefault="00FB3F01" w:rsidP="00FB3F01">
      <w:pPr>
        <w:pBdr>
          <w:bottom w:val="single" w:sz="12" w:space="31" w:color="auto"/>
        </w:pBdr>
        <w:rPr>
          <w:rFonts w:ascii="Times New Roman" w:hAnsi="Times New Roman"/>
          <w:szCs w:val="24"/>
        </w:rPr>
      </w:pPr>
      <w:r w:rsidRPr="00C87D11">
        <w:rPr>
          <w:rFonts w:ascii="Times New Roman" w:hAnsi="Times New Roman"/>
          <w:szCs w:val="24"/>
        </w:rPr>
        <w:t>Facility</w:t>
      </w:r>
      <w:r w:rsidRPr="007033D5">
        <w:rPr>
          <w:rFonts w:ascii="Times New Roman" w:hAnsi="Times New Roman"/>
          <w:bCs/>
          <w:szCs w:val="24"/>
        </w:rPr>
        <w:t>:</w:t>
      </w:r>
      <w:r>
        <w:rPr>
          <w:rFonts w:ascii="Times New Roman" w:hAnsi="Times New Roman"/>
          <w:b/>
          <w:szCs w:val="24"/>
        </w:rPr>
        <w:t xml:space="preserve"> </w:t>
      </w:r>
      <w:r w:rsidRPr="00C87D11">
        <w:rPr>
          <w:rFonts w:ascii="Times New Roman" w:hAnsi="Times New Roman"/>
          <w:szCs w:val="24"/>
        </w:rPr>
        <w:t>Franciscan Children</w:t>
      </w:r>
    </w:p>
    <w:p w14:paraId="48B8C620" w14:textId="493BC9FF" w:rsidR="00FB3F01" w:rsidRDefault="00FB3F01" w:rsidP="306DE69D">
      <w:pPr>
        <w:pBdr>
          <w:bottom w:val="single" w:sz="12" w:space="31" w:color="auto"/>
        </w:pBdr>
        <w:rPr>
          <w:rFonts w:ascii="Times New Roman" w:hAnsi="Times New Roman"/>
        </w:rPr>
      </w:pPr>
      <w:r w:rsidRPr="306DE69D">
        <w:rPr>
          <w:rFonts w:ascii="Times New Roman" w:hAnsi="Times New Roman"/>
        </w:rPr>
        <w:t xml:space="preserve">Inpatient Per Diem: </w:t>
      </w:r>
      <w:r w:rsidRPr="306DE69D">
        <w:rPr>
          <w:rFonts w:ascii="Times New Roman" w:hAnsi="Times New Roman"/>
          <w:b/>
          <w:bCs/>
        </w:rPr>
        <w:t>$2,</w:t>
      </w:r>
      <w:r w:rsidR="00C07D1C">
        <w:rPr>
          <w:rFonts w:ascii="Times New Roman" w:hAnsi="Times New Roman"/>
          <w:b/>
          <w:bCs/>
        </w:rPr>
        <w:t>758.74</w:t>
      </w:r>
    </w:p>
    <w:p w14:paraId="73959F00" w14:textId="15C12464" w:rsidR="00FB3F01" w:rsidRDefault="00FB3F01" w:rsidP="306DE69D">
      <w:pPr>
        <w:pBdr>
          <w:bottom w:val="single" w:sz="12" w:space="31" w:color="auto"/>
        </w:pBdr>
        <w:rPr>
          <w:rFonts w:ascii="Times New Roman" w:hAnsi="Times New Roman"/>
          <w:b/>
          <w:bCs/>
        </w:rPr>
      </w:pPr>
      <w:r w:rsidRPr="306DE69D">
        <w:rPr>
          <w:rFonts w:ascii="Times New Roman" w:hAnsi="Times New Roman"/>
        </w:rPr>
        <w:t xml:space="preserve">Inpatient ADA Per Diem: </w:t>
      </w:r>
      <w:r w:rsidRPr="306DE69D">
        <w:rPr>
          <w:rFonts w:ascii="Times New Roman" w:hAnsi="Times New Roman"/>
          <w:b/>
          <w:bCs/>
        </w:rPr>
        <w:t>$2</w:t>
      </w:r>
      <w:r w:rsidR="00FC4BD9">
        <w:rPr>
          <w:rFonts w:ascii="Times New Roman" w:hAnsi="Times New Roman"/>
          <w:b/>
          <w:bCs/>
        </w:rPr>
        <w:t>,309.60</w:t>
      </w:r>
    </w:p>
    <w:p w14:paraId="3348E378" w14:textId="58538082" w:rsidR="00FB3F01" w:rsidRDefault="00FB3F01" w:rsidP="00FB3F01">
      <w:pPr>
        <w:pBdr>
          <w:bottom w:val="single" w:sz="12" w:space="31" w:color="auto"/>
        </w:pBdr>
        <w:rPr>
          <w:rFonts w:ascii="Times New Roman" w:hAnsi="Times New Roman"/>
          <w:szCs w:val="24"/>
        </w:rPr>
      </w:pPr>
      <w:r w:rsidRPr="00D1258E">
        <w:rPr>
          <w:rFonts w:ascii="Times New Roman" w:hAnsi="Times New Roman"/>
          <w:szCs w:val="24"/>
        </w:rPr>
        <w:t>Outpatient Cost/Charge Ratio: 70.</w:t>
      </w:r>
      <w:r w:rsidR="00FC4BD9">
        <w:rPr>
          <w:rFonts w:ascii="Times New Roman" w:hAnsi="Times New Roman"/>
          <w:szCs w:val="24"/>
        </w:rPr>
        <w:t>02</w:t>
      </w:r>
      <w:r w:rsidRPr="00D1258E">
        <w:rPr>
          <w:rFonts w:ascii="Times New Roman" w:hAnsi="Times New Roman"/>
          <w:szCs w:val="24"/>
        </w:rPr>
        <w:t>%</w:t>
      </w:r>
    </w:p>
    <w:p w14:paraId="0E4B5427" w14:textId="77777777" w:rsidR="00FB3F01" w:rsidRDefault="00FB3F01" w:rsidP="00FB3F01">
      <w:pPr>
        <w:spacing w:after="240"/>
        <w:jc w:val="center"/>
        <w:rPr>
          <w:rFonts w:ascii="Times New Roman" w:hAnsi="Times New Roman"/>
          <w:szCs w:val="24"/>
        </w:rPr>
      </w:pPr>
    </w:p>
    <w:p w14:paraId="058E73F7" w14:textId="5E2E9212" w:rsidR="00032F56" w:rsidRDefault="217196C6" w:rsidP="002550C5">
      <w:pPr>
        <w:spacing w:after="240"/>
        <w:ind w:left="1080" w:hanging="1080"/>
        <w:rPr>
          <w:rFonts w:ascii="Times New Roman" w:eastAsia="Times New Roman" w:hAnsi="Times New Roman" w:cs="Times New Roman"/>
          <w:u w:val="single"/>
        </w:rPr>
      </w:pPr>
      <w:r w:rsidRPr="005675C1">
        <w:rPr>
          <w:rFonts w:ascii="Times New Roman" w:eastAsia="Times New Roman" w:hAnsi="Times New Roman" w:cs="Times New Roman"/>
          <w:u w:val="single"/>
        </w:rPr>
        <w:t xml:space="preserve">Section </w:t>
      </w:r>
      <w:r w:rsidR="00032F56">
        <w:rPr>
          <w:rFonts w:ascii="Times New Roman" w:eastAsia="Times New Roman" w:hAnsi="Times New Roman" w:cs="Times New Roman"/>
          <w:u w:val="single"/>
        </w:rPr>
        <w:t>2</w:t>
      </w:r>
      <w:r w:rsidRPr="005675C1">
        <w:rPr>
          <w:rFonts w:ascii="Times New Roman" w:eastAsia="Times New Roman" w:hAnsi="Times New Roman" w:cs="Times New Roman"/>
          <w:u w:val="single"/>
        </w:rPr>
        <w:t>:</w:t>
      </w:r>
      <w:r w:rsidR="006B17AC">
        <w:rPr>
          <w:rFonts w:ascii="Times New Roman" w:eastAsia="Times New Roman" w:hAnsi="Times New Roman" w:cs="Times New Roman"/>
          <w:u w:val="single"/>
        </w:rPr>
        <w:t xml:space="preserve"> Quality Performance Incentive Payments</w:t>
      </w:r>
    </w:p>
    <w:p w14:paraId="34FD18FB" w14:textId="77777777" w:rsidR="00032F56" w:rsidRPr="00264E30" w:rsidRDefault="00032F56" w:rsidP="00032F56">
      <w:pPr>
        <w:pStyle w:val="ListParagraph"/>
        <w:numPr>
          <w:ilvl w:val="0"/>
          <w:numId w:val="4"/>
        </w:numPr>
        <w:spacing w:after="0" w:line="240" w:lineRule="auto"/>
        <w:ind w:left="360"/>
        <w:contextualSpacing w:val="0"/>
        <w:rPr>
          <w:rFonts w:ascii="Times New Roman" w:hAnsi="Times New Roman" w:cs="Times New Roman"/>
        </w:rPr>
      </w:pPr>
      <w:r w:rsidRPr="00264E30">
        <w:rPr>
          <w:rFonts w:ascii="Times New Roman" w:hAnsi="Times New Roman" w:cs="Times New Roman"/>
        </w:rPr>
        <w:t>RY2024 Quality Performance Incentive Payments to Pediatric CDR Hospitals</w:t>
      </w:r>
    </w:p>
    <w:p w14:paraId="6CB43337" w14:textId="77777777" w:rsidR="00032F56" w:rsidRPr="00C929BE" w:rsidRDefault="00032F56" w:rsidP="00032F56">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u w:val="single"/>
        </w:rPr>
      </w:pPr>
    </w:p>
    <w:p w14:paraId="581DC39C" w14:textId="77777777" w:rsidR="00032F56" w:rsidRPr="004E5A87" w:rsidRDefault="00032F56" w:rsidP="00032F56">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rPr>
          <w:rFonts w:ascii="Times New Roman" w:eastAsia="Times New Roman" w:hAnsi="Times New Roman" w:cs="Times New Roman"/>
        </w:rPr>
      </w:pPr>
      <w:r w:rsidRPr="004E5A87">
        <w:rPr>
          <w:rFonts w:ascii="Times New Roman" w:eastAsia="Times New Roman" w:hAnsi="Times New Roman" w:cs="Times New Roman"/>
        </w:rPr>
        <w:t>Subject to legislative authorization, compliance with all applicable federal statutes, regulations, state plan provisions, the availability of funds, and full federal financial participation, in RY2024 EOHHS will make a total aggregate amount of $500,000 available for Quality Performance Incentive Payments to qualifying Pediatric CDR Hospitals, as described below:</w:t>
      </w:r>
      <w:r w:rsidRPr="004E5A87">
        <w:rPr>
          <w:rFonts w:ascii="Times New Roman" w:eastAsia="Times New Roman" w:hAnsi="Times New Roman" w:cs="Times New Roman"/>
        </w:rPr>
        <w:cr/>
      </w:r>
    </w:p>
    <w:p w14:paraId="08E6109E" w14:textId="77777777" w:rsidR="00032F56" w:rsidRPr="004E5A87" w:rsidRDefault="00032F56" w:rsidP="00032F56">
      <w:pPr>
        <w:numPr>
          <w:ilvl w:val="0"/>
          <w:numId w:val="5"/>
        </w:numPr>
        <w:tabs>
          <w:tab w:val="left" w:pos="360"/>
        </w:tabs>
        <w:suppressAutoHyphens/>
        <w:rPr>
          <w:rFonts w:ascii="Times New Roman" w:eastAsia="Times New Roman" w:hAnsi="Times New Roman" w:cs="Times New Roman"/>
        </w:rPr>
      </w:pPr>
      <w:r w:rsidRPr="004E5A87">
        <w:rPr>
          <w:rFonts w:ascii="Times New Roman" w:eastAsia="Times New Roman" w:hAnsi="Times New Roman" w:cs="Times New Roman"/>
          <w:u w:val="single"/>
        </w:rPr>
        <w:t>Qualification for Quality Performance Incentive Payments</w:t>
      </w:r>
      <w:r w:rsidRPr="004E5A87">
        <w:rPr>
          <w:rFonts w:ascii="Times New Roman" w:eastAsia="Times New Roman" w:hAnsi="Times New Roman" w:cs="Times New Roman"/>
        </w:rPr>
        <w:t>. In order to qualify for Quality Performance Incentive Payments, a Pediatric CDR Hospital</w:t>
      </w:r>
      <w:r w:rsidRPr="004E5A87" w:rsidDel="006B6AF2">
        <w:rPr>
          <w:rFonts w:ascii="Times New Roman" w:eastAsia="Times New Roman" w:hAnsi="Times New Roman" w:cs="Times New Roman"/>
        </w:rPr>
        <w:t xml:space="preserve"> </w:t>
      </w:r>
      <w:r w:rsidRPr="004E5A87">
        <w:rPr>
          <w:rFonts w:ascii="Times New Roman" w:eastAsia="Times New Roman" w:hAnsi="Times New Roman" w:cs="Times New Roman"/>
        </w:rPr>
        <w:t>must meet the following criteria:</w:t>
      </w:r>
    </w:p>
    <w:p w14:paraId="7D1821CF" w14:textId="77777777" w:rsidR="00032F56" w:rsidRPr="004E5A87" w:rsidRDefault="00032F56" w:rsidP="00032F56">
      <w:pPr>
        <w:tabs>
          <w:tab w:val="left" w:pos="360"/>
        </w:tabs>
        <w:suppressAutoHyphens/>
        <w:ind w:left="720"/>
        <w:jc w:val="both"/>
        <w:rPr>
          <w:rFonts w:ascii="Times New Roman" w:eastAsia="Times New Roman" w:hAnsi="Times New Roman" w:cs="Times New Roman"/>
        </w:rPr>
      </w:pPr>
    </w:p>
    <w:p w14:paraId="21D60D0B" w14:textId="77777777" w:rsidR="00032F56" w:rsidRPr="004E5A87" w:rsidRDefault="00032F56" w:rsidP="00032F56">
      <w:pPr>
        <w:numPr>
          <w:ilvl w:val="1"/>
          <w:numId w:val="5"/>
        </w:numPr>
        <w:tabs>
          <w:tab w:val="left" w:pos="360"/>
        </w:tabs>
        <w:suppressAutoHyphens/>
        <w:ind w:left="1080"/>
        <w:rPr>
          <w:rFonts w:ascii="Times New Roman" w:eastAsia="Times New Roman" w:hAnsi="Times New Roman" w:cs="Times New Roman"/>
        </w:rPr>
      </w:pPr>
      <w:r w:rsidRPr="004E5A87">
        <w:rPr>
          <w:rFonts w:ascii="Times New Roman" w:eastAsia="Times New Roman" w:hAnsi="Times New Roman" w:cs="Times New Roman"/>
        </w:rPr>
        <w:t xml:space="preserve">Be a chronic disease and rehabilitation hospital that serves solely children and adolescents with complex acute rehabilitation and chronic needs that is located in Massachusetts and serving MassHealth members. </w:t>
      </w:r>
    </w:p>
    <w:p w14:paraId="2BBF28CD" w14:textId="77777777" w:rsidR="00032F56" w:rsidRPr="004E5A87" w:rsidRDefault="00032F56" w:rsidP="00032F56">
      <w:pPr>
        <w:tabs>
          <w:tab w:val="left" w:pos="360"/>
        </w:tabs>
        <w:suppressAutoHyphens/>
        <w:ind w:left="1080"/>
        <w:rPr>
          <w:rFonts w:ascii="Times New Roman" w:eastAsia="Times New Roman" w:hAnsi="Times New Roman" w:cs="Times New Roman"/>
        </w:rPr>
      </w:pPr>
    </w:p>
    <w:p w14:paraId="5F8D1717" w14:textId="77A67197" w:rsidR="00032F56" w:rsidRPr="004E5A87" w:rsidRDefault="00032F56" w:rsidP="00032F56">
      <w:pPr>
        <w:numPr>
          <w:ilvl w:val="1"/>
          <w:numId w:val="5"/>
        </w:numPr>
        <w:tabs>
          <w:tab w:val="left" w:pos="360"/>
        </w:tabs>
        <w:suppressAutoHyphens/>
        <w:ind w:left="1080"/>
        <w:rPr>
          <w:rFonts w:ascii="Times New Roman" w:eastAsia="Times New Roman" w:hAnsi="Times New Roman" w:cs="Times New Roman"/>
        </w:rPr>
      </w:pPr>
      <w:r w:rsidRPr="004E5A87">
        <w:rPr>
          <w:rFonts w:ascii="Times New Roman" w:eastAsia="Times New Roman" w:hAnsi="Times New Roman" w:cs="Times New Roman"/>
        </w:rPr>
        <w:t>For Quality Performance Incentive Payment A, have recorded performance for April 2023</w:t>
      </w:r>
      <w:r w:rsidR="00742C9B">
        <w:rPr>
          <w:rFonts w:ascii="Times New Roman" w:eastAsia="Times New Roman" w:hAnsi="Times New Roman" w:cs="Times New Roman"/>
        </w:rPr>
        <w:t>–</w:t>
      </w:r>
      <w:r w:rsidRPr="004E5A87">
        <w:rPr>
          <w:rFonts w:ascii="Times New Roman" w:eastAsia="Times New Roman" w:hAnsi="Times New Roman" w:cs="Times New Roman"/>
        </w:rPr>
        <w:t>June 2023 that meets or exceeds the Performance Measurement A criteria described in</w:t>
      </w:r>
      <w:r>
        <w:t xml:space="preserve"> </w:t>
      </w:r>
      <w:r w:rsidRPr="004E5A87">
        <w:rPr>
          <w:rFonts w:ascii="Times New Roman" w:eastAsia="Times New Roman" w:hAnsi="Times New Roman" w:cs="Times New Roman"/>
        </w:rPr>
        <w:t xml:space="preserve">Section C.2.a below, for the following measures, as reported by </w:t>
      </w:r>
      <w:r w:rsidR="006D4FC6">
        <w:rPr>
          <w:rFonts w:ascii="Times New Roman" w:eastAsia="Times New Roman" w:hAnsi="Times New Roman" w:cs="Times New Roman"/>
        </w:rPr>
        <w:t>t</w:t>
      </w:r>
      <w:r w:rsidRPr="004E5A87">
        <w:rPr>
          <w:rFonts w:ascii="Times New Roman" w:eastAsia="Times New Roman" w:hAnsi="Times New Roman" w:cs="Times New Roman"/>
        </w:rPr>
        <w:t xml:space="preserve">he Children’s Hospitals’ Solutions for Patient Safety National Children’s Network: </w:t>
      </w:r>
    </w:p>
    <w:p w14:paraId="42BBA64C" w14:textId="77777777" w:rsidR="00032F56" w:rsidRPr="004E5A87" w:rsidRDefault="00032F56" w:rsidP="004E5A87">
      <w:pPr>
        <w:tabs>
          <w:tab w:val="left" w:pos="360"/>
        </w:tabs>
        <w:suppressAutoHyphens/>
        <w:ind w:left="720"/>
        <w:rPr>
          <w:rFonts w:ascii="Times New Roman" w:eastAsia="Times New Roman" w:hAnsi="Times New Roman" w:cs="Times New Roman"/>
        </w:rPr>
      </w:pPr>
    </w:p>
    <w:p w14:paraId="433EAFDD" w14:textId="77777777" w:rsidR="006A5F7D" w:rsidRDefault="00032F56" w:rsidP="006A5F7D">
      <w:pPr>
        <w:numPr>
          <w:ilvl w:val="2"/>
          <w:numId w:val="5"/>
        </w:numPr>
        <w:tabs>
          <w:tab w:val="left" w:pos="360"/>
        </w:tabs>
        <w:suppressAutoHyphens/>
        <w:rPr>
          <w:rFonts w:ascii="Times New Roman" w:eastAsia="Times New Roman" w:hAnsi="Times New Roman" w:cs="Times New Roman"/>
        </w:rPr>
      </w:pPr>
      <w:r w:rsidRPr="004E5A87">
        <w:rPr>
          <w:rFonts w:ascii="Times New Roman" w:eastAsia="Times New Roman" w:hAnsi="Times New Roman" w:cs="Times New Roman"/>
        </w:rPr>
        <w:t>Reliability to bloodstream infection maintenance bundle must be equal to or greater than 80%;</w:t>
      </w:r>
    </w:p>
    <w:p w14:paraId="529BC671" w14:textId="328B896F" w:rsidR="00032F56" w:rsidRPr="004E5A87" w:rsidRDefault="00032F56" w:rsidP="004E5A87">
      <w:pPr>
        <w:numPr>
          <w:ilvl w:val="2"/>
          <w:numId w:val="5"/>
        </w:numPr>
        <w:tabs>
          <w:tab w:val="left" w:pos="360"/>
        </w:tabs>
        <w:suppressAutoHyphens/>
        <w:rPr>
          <w:rFonts w:ascii="Times New Roman" w:eastAsia="Times New Roman" w:hAnsi="Times New Roman" w:cs="Times New Roman"/>
        </w:rPr>
      </w:pPr>
      <w:r w:rsidRPr="004E5A87">
        <w:rPr>
          <w:rFonts w:ascii="Times New Roman" w:eastAsia="Times New Roman" w:hAnsi="Times New Roman" w:cs="Times New Roman"/>
        </w:rPr>
        <w:t>Central Line Associated Blood</w:t>
      </w:r>
      <w:r w:rsidR="006D4FC6">
        <w:rPr>
          <w:rFonts w:ascii="Times New Roman" w:eastAsia="Times New Roman" w:hAnsi="Times New Roman" w:cs="Times New Roman"/>
        </w:rPr>
        <w:t>s</w:t>
      </w:r>
      <w:r w:rsidRPr="004E5A87">
        <w:rPr>
          <w:rFonts w:ascii="Times New Roman" w:eastAsia="Times New Roman" w:hAnsi="Times New Roman" w:cs="Times New Roman"/>
        </w:rPr>
        <w:t xml:space="preserve">tream Infections Rate excluding MBIs is less than or equal to </w:t>
      </w:r>
      <w:r w:rsidR="009C2E2C" w:rsidRPr="004E5A87">
        <w:rPr>
          <w:rFonts w:ascii="Times New Roman" w:eastAsia="Times New Roman" w:hAnsi="Times New Roman" w:cs="Times New Roman"/>
        </w:rPr>
        <w:t>2.5.</w:t>
      </w:r>
    </w:p>
    <w:p w14:paraId="3D18CD25" w14:textId="60855EE5" w:rsidR="00032F56" w:rsidRPr="004E5A87" w:rsidRDefault="00032F56" w:rsidP="004E5A87">
      <w:pPr>
        <w:tabs>
          <w:tab w:val="left" w:pos="360"/>
        </w:tabs>
        <w:suppressAutoHyphens/>
        <w:ind w:left="1080"/>
        <w:rPr>
          <w:rFonts w:ascii="Times New Roman" w:eastAsia="Times New Roman" w:hAnsi="Times New Roman" w:cs="Times New Roman"/>
        </w:rPr>
      </w:pPr>
    </w:p>
    <w:p w14:paraId="7B82D416" w14:textId="612447F9" w:rsidR="00032F56" w:rsidRPr="004E5A87" w:rsidRDefault="00032F56" w:rsidP="004E5A87">
      <w:pPr>
        <w:numPr>
          <w:ilvl w:val="1"/>
          <w:numId w:val="5"/>
        </w:numPr>
        <w:tabs>
          <w:tab w:val="left" w:pos="360"/>
        </w:tabs>
        <w:suppressAutoHyphens/>
        <w:ind w:left="1080"/>
        <w:rPr>
          <w:rFonts w:ascii="Times New Roman" w:eastAsia="Times New Roman" w:hAnsi="Times New Roman" w:cs="Times New Roman"/>
        </w:rPr>
      </w:pPr>
      <w:r w:rsidRPr="004E5A87">
        <w:rPr>
          <w:rFonts w:ascii="Times New Roman" w:eastAsia="Times New Roman" w:hAnsi="Times New Roman" w:cs="Times New Roman"/>
        </w:rPr>
        <w:t>For Quality Performance Incentive Payment B, have recorded performance for April 2023</w:t>
      </w:r>
      <w:r w:rsidR="00742C9B">
        <w:rPr>
          <w:rFonts w:ascii="Times New Roman" w:eastAsia="Times New Roman" w:hAnsi="Times New Roman" w:cs="Times New Roman"/>
        </w:rPr>
        <w:t>–</w:t>
      </w:r>
      <w:r w:rsidRPr="004E5A87">
        <w:rPr>
          <w:rFonts w:ascii="Times New Roman" w:eastAsia="Times New Roman" w:hAnsi="Times New Roman" w:cs="Times New Roman"/>
        </w:rPr>
        <w:t xml:space="preserve"> June 2023 that meets or exceeds the Performance Measurement B criteria described below on the following measures, as reported by </w:t>
      </w:r>
      <w:r w:rsidR="006D4FC6">
        <w:rPr>
          <w:rFonts w:ascii="Times New Roman" w:eastAsia="Times New Roman" w:hAnsi="Times New Roman" w:cs="Times New Roman"/>
        </w:rPr>
        <w:t>t</w:t>
      </w:r>
      <w:r w:rsidRPr="004E5A87">
        <w:rPr>
          <w:rFonts w:ascii="Times New Roman" w:eastAsia="Times New Roman" w:hAnsi="Times New Roman" w:cs="Times New Roman"/>
        </w:rPr>
        <w:t>he Joint Commission:</w:t>
      </w:r>
    </w:p>
    <w:p w14:paraId="650F536A" w14:textId="77777777" w:rsidR="00032F56" w:rsidRPr="004E5A87" w:rsidRDefault="00032F56" w:rsidP="004E5A87">
      <w:pPr>
        <w:tabs>
          <w:tab w:val="left" w:pos="360"/>
        </w:tabs>
        <w:suppressAutoHyphens/>
        <w:ind w:left="1080"/>
        <w:rPr>
          <w:rFonts w:ascii="Times New Roman" w:eastAsia="Times New Roman" w:hAnsi="Times New Roman" w:cs="Times New Roman"/>
        </w:rPr>
      </w:pPr>
    </w:p>
    <w:p w14:paraId="17FFFA6D" w14:textId="480F7962" w:rsidR="00032F56" w:rsidRPr="004E5A87" w:rsidRDefault="00032F56" w:rsidP="004E5A87">
      <w:pPr>
        <w:numPr>
          <w:ilvl w:val="2"/>
          <w:numId w:val="5"/>
        </w:numPr>
        <w:tabs>
          <w:tab w:val="left" w:pos="360"/>
        </w:tabs>
        <w:suppressAutoHyphens/>
        <w:rPr>
          <w:rFonts w:ascii="Times New Roman" w:eastAsia="Times New Roman" w:hAnsi="Times New Roman" w:cs="Times New Roman"/>
        </w:rPr>
      </w:pPr>
      <w:r w:rsidRPr="004E5A87">
        <w:rPr>
          <w:rFonts w:ascii="Times New Roman" w:eastAsia="Times New Roman" w:hAnsi="Times New Roman" w:cs="Times New Roman"/>
        </w:rPr>
        <w:t>80% for Admission Screening for Violence Risk, Substance Use, Psychological Trauma History and Patient Strengths Completed</w:t>
      </w:r>
      <w:r w:rsidR="006D4FC6">
        <w:rPr>
          <w:rFonts w:ascii="Times New Roman" w:eastAsia="Times New Roman" w:hAnsi="Times New Roman" w:cs="Times New Roman"/>
        </w:rPr>
        <w:t>—</w:t>
      </w:r>
      <w:r w:rsidRPr="004E5A87">
        <w:rPr>
          <w:rFonts w:ascii="Times New Roman" w:eastAsia="Times New Roman" w:hAnsi="Times New Roman" w:cs="Times New Roman"/>
        </w:rPr>
        <w:t>Children (1 through 12 years), as described in the Specifications Manual for Joint Commission National Quality Measures HBIPS-1b;</w:t>
      </w:r>
    </w:p>
    <w:p w14:paraId="5236F72C" w14:textId="77777777" w:rsidR="00032F56" w:rsidRPr="004E5A87" w:rsidRDefault="00032F56" w:rsidP="004E5A87">
      <w:pPr>
        <w:numPr>
          <w:ilvl w:val="2"/>
          <w:numId w:val="5"/>
        </w:numPr>
        <w:tabs>
          <w:tab w:val="left" w:pos="360"/>
        </w:tabs>
        <w:suppressAutoHyphens/>
        <w:rPr>
          <w:rFonts w:ascii="Times New Roman" w:eastAsia="Times New Roman" w:hAnsi="Times New Roman" w:cs="Times New Roman"/>
        </w:rPr>
      </w:pPr>
      <w:r w:rsidRPr="004E5A87">
        <w:rPr>
          <w:rFonts w:ascii="Times New Roman" w:eastAsia="Times New Roman" w:hAnsi="Times New Roman" w:cs="Times New Roman"/>
        </w:rPr>
        <w:t>80% for Admission Screening for Violence Risk, Substance Use, Psychological Trauma History and Patient Strengths Completed – Adolescent (13 through 17 years), as described in the Specifications Manual for Joint Commission National Quality Measures HBIPS-1c.</w:t>
      </w:r>
    </w:p>
    <w:p w14:paraId="21B52914" w14:textId="77777777" w:rsidR="00032F56" w:rsidRPr="004E5A87" w:rsidRDefault="00032F56" w:rsidP="004E5A87">
      <w:pPr>
        <w:tabs>
          <w:tab w:val="left" w:pos="360"/>
        </w:tabs>
        <w:suppressAutoHyphens/>
        <w:ind w:left="1080"/>
        <w:rPr>
          <w:rFonts w:ascii="Times New Roman" w:eastAsia="Times New Roman" w:hAnsi="Times New Roman" w:cs="Times New Roman"/>
        </w:rPr>
      </w:pPr>
    </w:p>
    <w:p w14:paraId="3DF5B2CA" w14:textId="77777777" w:rsidR="00032F56" w:rsidRDefault="00032F56" w:rsidP="004E5A87">
      <w:pPr>
        <w:numPr>
          <w:ilvl w:val="0"/>
          <w:numId w:val="5"/>
        </w:numPr>
        <w:tabs>
          <w:tab w:val="left" w:pos="360"/>
        </w:tabs>
        <w:suppressAutoHyphens/>
        <w:rPr>
          <w:rFonts w:ascii="Times New Roman" w:eastAsia="Times New Roman" w:hAnsi="Times New Roman" w:cs="Times New Roman"/>
        </w:rPr>
      </w:pPr>
      <w:r w:rsidRPr="00264E30">
        <w:rPr>
          <w:rFonts w:ascii="Times New Roman" w:eastAsia="Times New Roman" w:hAnsi="Times New Roman" w:cs="Times New Roman"/>
          <w:u w:val="single"/>
        </w:rPr>
        <w:t>Performance Measurements for Quality Incentive Payments</w:t>
      </w:r>
      <w:r w:rsidRPr="004E5A87">
        <w:rPr>
          <w:rFonts w:ascii="Times New Roman" w:eastAsia="Times New Roman" w:hAnsi="Times New Roman" w:cs="Times New Roman"/>
        </w:rPr>
        <w:t>.</w:t>
      </w:r>
    </w:p>
    <w:p w14:paraId="5829130E" w14:textId="77777777" w:rsidR="006D4FC6" w:rsidRPr="004E5A87" w:rsidRDefault="006D4FC6" w:rsidP="006D4FC6">
      <w:pPr>
        <w:tabs>
          <w:tab w:val="left" w:pos="360"/>
        </w:tabs>
        <w:suppressAutoHyphens/>
        <w:ind w:left="720"/>
        <w:rPr>
          <w:rFonts w:ascii="Times New Roman" w:eastAsia="Times New Roman" w:hAnsi="Times New Roman" w:cs="Times New Roman"/>
        </w:rPr>
      </w:pPr>
    </w:p>
    <w:p w14:paraId="15D8D703" w14:textId="77777777" w:rsidR="00032F56" w:rsidRPr="004E5A87" w:rsidRDefault="00032F56" w:rsidP="004E5A87">
      <w:pPr>
        <w:numPr>
          <w:ilvl w:val="1"/>
          <w:numId w:val="5"/>
        </w:numPr>
        <w:tabs>
          <w:tab w:val="left" w:pos="360"/>
        </w:tabs>
        <w:suppressAutoHyphens/>
        <w:ind w:left="1080"/>
        <w:rPr>
          <w:rFonts w:ascii="Times New Roman" w:eastAsia="Times New Roman" w:hAnsi="Times New Roman" w:cs="Times New Roman"/>
        </w:rPr>
      </w:pPr>
      <w:r w:rsidRPr="004E5A87">
        <w:rPr>
          <w:rFonts w:ascii="Times New Roman" w:eastAsia="Times New Roman" w:hAnsi="Times New Roman" w:cs="Times New Roman"/>
        </w:rPr>
        <w:t xml:space="preserve">Performance Measurement A. Performance will be measured based on: </w:t>
      </w:r>
    </w:p>
    <w:p w14:paraId="5ABE7790" w14:textId="77777777" w:rsidR="0038695F" w:rsidRDefault="0038695F" w:rsidP="0038695F">
      <w:pPr>
        <w:tabs>
          <w:tab w:val="left" w:pos="360"/>
        </w:tabs>
        <w:suppressAutoHyphens/>
        <w:ind w:left="1080"/>
        <w:rPr>
          <w:rFonts w:ascii="Times New Roman" w:eastAsia="Times New Roman" w:hAnsi="Times New Roman" w:cs="Times New Roman"/>
        </w:rPr>
      </w:pPr>
    </w:p>
    <w:p w14:paraId="0ABCBB83" w14:textId="2DAE999C" w:rsidR="00032F56" w:rsidRPr="004E5A87" w:rsidRDefault="00032F56" w:rsidP="004E5A87">
      <w:pPr>
        <w:tabs>
          <w:tab w:val="left" w:pos="360"/>
        </w:tabs>
        <w:suppressAutoHyphens/>
        <w:ind w:left="1080"/>
        <w:rPr>
          <w:rFonts w:ascii="Times New Roman" w:eastAsia="Times New Roman" w:hAnsi="Times New Roman" w:cs="Times New Roman"/>
        </w:rPr>
      </w:pPr>
      <w:r w:rsidRPr="004E5A87">
        <w:rPr>
          <w:rFonts w:ascii="Times New Roman" w:eastAsia="Times New Roman" w:hAnsi="Times New Roman" w:cs="Times New Roman"/>
        </w:rPr>
        <w:t>An average of the three months of data for second quarter of 2022 (April 2023</w:t>
      </w:r>
      <w:r w:rsidR="00742C9B">
        <w:rPr>
          <w:rFonts w:ascii="Times New Roman" w:eastAsia="Times New Roman" w:hAnsi="Times New Roman" w:cs="Times New Roman"/>
        </w:rPr>
        <w:t>–</w:t>
      </w:r>
      <w:r w:rsidRPr="004E5A87">
        <w:rPr>
          <w:rFonts w:ascii="Times New Roman" w:eastAsia="Times New Roman" w:hAnsi="Times New Roman" w:cs="Times New Roman"/>
        </w:rPr>
        <w:t xml:space="preserve">June 2023) that is submitted to </w:t>
      </w:r>
      <w:r w:rsidR="006D4FC6">
        <w:rPr>
          <w:rFonts w:ascii="Times New Roman" w:eastAsia="Times New Roman" w:hAnsi="Times New Roman" w:cs="Times New Roman"/>
        </w:rPr>
        <w:t>t</w:t>
      </w:r>
      <w:r w:rsidRPr="004E5A87">
        <w:rPr>
          <w:rFonts w:ascii="Times New Roman" w:eastAsia="Times New Roman" w:hAnsi="Times New Roman" w:cs="Times New Roman"/>
        </w:rPr>
        <w:t>he Children’s Hospitals’ Solutions for Patient Safety</w:t>
      </w:r>
      <w:r w:rsidR="006D4FC6">
        <w:rPr>
          <w:rFonts w:ascii="Times New Roman" w:eastAsia="Times New Roman" w:hAnsi="Times New Roman" w:cs="Times New Roman"/>
        </w:rPr>
        <w:t xml:space="preserve"> N</w:t>
      </w:r>
      <w:r w:rsidRPr="004E5A87">
        <w:rPr>
          <w:rFonts w:ascii="Times New Roman" w:eastAsia="Times New Roman" w:hAnsi="Times New Roman" w:cs="Times New Roman"/>
        </w:rPr>
        <w:t>ational Children’s Network:</w:t>
      </w:r>
    </w:p>
    <w:p w14:paraId="05725707" w14:textId="77777777" w:rsidR="00032F56" w:rsidRPr="004E5A87" w:rsidRDefault="00032F56" w:rsidP="004E5A87">
      <w:pPr>
        <w:tabs>
          <w:tab w:val="left" w:pos="360"/>
        </w:tabs>
        <w:suppressAutoHyphens/>
        <w:ind w:left="1080"/>
        <w:rPr>
          <w:rFonts w:ascii="Times New Roman" w:eastAsia="Times New Roman" w:hAnsi="Times New Roman" w:cs="Times New Roman"/>
        </w:rPr>
      </w:pPr>
    </w:p>
    <w:p w14:paraId="0E815122" w14:textId="77777777" w:rsidR="00032F56" w:rsidRPr="004E5A87" w:rsidRDefault="00032F56" w:rsidP="004E5A87">
      <w:pPr>
        <w:numPr>
          <w:ilvl w:val="2"/>
          <w:numId w:val="5"/>
        </w:numPr>
        <w:tabs>
          <w:tab w:val="left" w:pos="360"/>
        </w:tabs>
        <w:suppressAutoHyphens/>
        <w:rPr>
          <w:rFonts w:ascii="Times New Roman" w:eastAsia="Times New Roman" w:hAnsi="Times New Roman" w:cs="Times New Roman"/>
        </w:rPr>
      </w:pPr>
      <w:r w:rsidRPr="004E5A87">
        <w:rPr>
          <w:rFonts w:ascii="Times New Roman" w:eastAsia="Times New Roman" w:hAnsi="Times New Roman" w:cs="Times New Roman"/>
        </w:rPr>
        <w:t>Reliability to bloodstream infection maintenance bundle must be equal to or greater than 75%;</w:t>
      </w:r>
    </w:p>
    <w:p w14:paraId="12123190" w14:textId="77777777" w:rsidR="00032F56" w:rsidRPr="004E5A87" w:rsidRDefault="00032F56" w:rsidP="004E5A87">
      <w:pPr>
        <w:tabs>
          <w:tab w:val="left" w:pos="360"/>
        </w:tabs>
        <w:suppressAutoHyphens/>
        <w:ind w:left="1080"/>
        <w:rPr>
          <w:rFonts w:ascii="Times New Roman" w:eastAsia="Times New Roman" w:hAnsi="Times New Roman" w:cs="Times New Roman"/>
        </w:rPr>
      </w:pPr>
    </w:p>
    <w:p w14:paraId="5F041B3B" w14:textId="6E68B504" w:rsidR="00032F56" w:rsidRPr="004E5A87" w:rsidRDefault="00032F56" w:rsidP="004E5A87">
      <w:pPr>
        <w:numPr>
          <w:ilvl w:val="2"/>
          <w:numId w:val="5"/>
        </w:numPr>
        <w:tabs>
          <w:tab w:val="left" w:pos="360"/>
        </w:tabs>
        <w:suppressAutoHyphens/>
        <w:rPr>
          <w:rFonts w:ascii="Times New Roman" w:eastAsia="Times New Roman" w:hAnsi="Times New Roman" w:cs="Times New Roman"/>
        </w:rPr>
      </w:pPr>
      <w:r w:rsidRPr="004E5A87">
        <w:rPr>
          <w:rFonts w:ascii="Times New Roman" w:eastAsia="Times New Roman" w:hAnsi="Times New Roman" w:cs="Times New Roman"/>
        </w:rPr>
        <w:t xml:space="preserve">The catheter associated urinary tract infections rate of infections per 1,000 catheter line days </w:t>
      </w:r>
      <w:r w:rsidR="006D4FC6">
        <w:rPr>
          <w:rFonts w:ascii="Times New Roman" w:eastAsia="Times New Roman" w:hAnsi="Times New Roman" w:cs="Times New Roman"/>
        </w:rPr>
        <w:t>must be l</w:t>
      </w:r>
      <w:r w:rsidRPr="004E5A87">
        <w:rPr>
          <w:rFonts w:ascii="Times New Roman" w:eastAsia="Times New Roman" w:hAnsi="Times New Roman" w:cs="Times New Roman"/>
        </w:rPr>
        <w:t>ess than or equal to 1.75.</w:t>
      </w:r>
    </w:p>
    <w:p w14:paraId="3B958FEF" w14:textId="77777777" w:rsidR="00032F56" w:rsidRPr="004E5A87" w:rsidRDefault="00032F56" w:rsidP="004E5A87">
      <w:pPr>
        <w:tabs>
          <w:tab w:val="left" w:pos="360"/>
        </w:tabs>
        <w:suppressAutoHyphens/>
        <w:ind w:left="1080"/>
        <w:rPr>
          <w:rFonts w:ascii="Times New Roman" w:eastAsia="Times New Roman" w:hAnsi="Times New Roman" w:cs="Times New Roman"/>
        </w:rPr>
      </w:pPr>
    </w:p>
    <w:p w14:paraId="73BF9412" w14:textId="77777777" w:rsidR="00032F56" w:rsidRPr="004E5A87" w:rsidRDefault="00032F56" w:rsidP="004E5A87">
      <w:pPr>
        <w:numPr>
          <w:ilvl w:val="1"/>
          <w:numId w:val="5"/>
        </w:numPr>
        <w:tabs>
          <w:tab w:val="left" w:pos="360"/>
        </w:tabs>
        <w:suppressAutoHyphens/>
        <w:ind w:left="1080"/>
        <w:rPr>
          <w:rFonts w:ascii="Times New Roman" w:eastAsia="Times New Roman" w:hAnsi="Times New Roman" w:cs="Times New Roman"/>
        </w:rPr>
      </w:pPr>
      <w:r w:rsidRPr="004E5A87">
        <w:rPr>
          <w:rFonts w:ascii="Times New Roman" w:eastAsia="Times New Roman" w:hAnsi="Times New Roman" w:cs="Times New Roman"/>
        </w:rPr>
        <w:t>Performance Measurement B.</w:t>
      </w:r>
    </w:p>
    <w:p w14:paraId="17A064FC" w14:textId="426C97B9" w:rsidR="00032F56" w:rsidRPr="004E5A87" w:rsidRDefault="00032F56" w:rsidP="004E5A87">
      <w:pPr>
        <w:tabs>
          <w:tab w:val="left" w:pos="360"/>
        </w:tabs>
        <w:suppressAutoHyphens/>
        <w:ind w:left="1080"/>
        <w:rPr>
          <w:rFonts w:ascii="Times New Roman" w:eastAsia="Times New Roman" w:hAnsi="Times New Roman" w:cs="Times New Roman"/>
        </w:rPr>
      </w:pPr>
      <w:r w:rsidRPr="004E5A87">
        <w:rPr>
          <w:rFonts w:ascii="Times New Roman" w:eastAsia="Times New Roman" w:hAnsi="Times New Roman" w:cs="Times New Roman"/>
        </w:rPr>
        <w:t>Performance as reported by the Joint Commission for the second calendar quarter of 2022 (April</w:t>
      </w:r>
      <w:r w:rsidR="00742C9B">
        <w:rPr>
          <w:rFonts w:ascii="Times New Roman" w:eastAsia="Times New Roman" w:hAnsi="Times New Roman" w:cs="Times New Roman"/>
        </w:rPr>
        <w:t>–</w:t>
      </w:r>
      <w:r w:rsidRPr="004E5A87">
        <w:rPr>
          <w:rFonts w:ascii="Times New Roman" w:eastAsia="Times New Roman" w:hAnsi="Times New Roman" w:cs="Times New Roman"/>
        </w:rPr>
        <w:t>June 2022) on the following measures:</w:t>
      </w:r>
    </w:p>
    <w:p w14:paraId="7F4EE77E" w14:textId="77777777" w:rsidR="00032F56" w:rsidRPr="004E5A87" w:rsidRDefault="00032F56" w:rsidP="004E5A87">
      <w:pPr>
        <w:tabs>
          <w:tab w:val="left" w:pos="360"/>
        </w:tabs>
        <w:suppressAutoHyphens/>
        <w:ind w:left="1080"/>
        <w:rPr>
          <w:rFonts w:ascii="Times New Roman" w:eastAsia="Times New Roman" w:hAnsi="Times New Roman" w:cs="Times New Roman"/>
        </w:rPr>
      </w:pPr>
    </w:p>
    <w:p w14:paraId="1113C5B6" w14:textId="1776F350" w:rsidR="00032F56" w:rsidRPr="004E5A87" w:rsidRDefault="00032F56" w:rsidP="004E5A87">
      <w:pPr>
        <w:numPr>
          <w:ilvl w:val="2"/>
          <w:numId w:val="5"/>
        </w:numPr>
        <w:tabs>
          <w:tab w:val="left" w:pos="360"/>
        </w:tabs>
        <w:suppressAutoHyphens/>
        <w:rPr>
          <w:rFonts w:ascii="Times New Roman" w:eastAsia="Times New Roman" w:hAnsi="Times New Roman" w:cs="Times New Roman"/>
        </w:rPr>
      </w:pPr>
      <w:r w:rsidRPr="004E5A87">
        <w:rPr>
          <w:rFonts w:ascii="Times New Roman" w:eastAsia="Times New Roman" w:hAnsi="Times New Roman" w:cs="Times New Roman"/>
        </w:rPr>
        <w:t>80% for Admission Screening for Violence Risk, Substance Use, Psychological Trauma History and Patient Strengths Completed</w:t>
      </w:r>
      <w:r w:rsidR="00A562D8">
        <w:rPr>
          <w:rFonts w:ascii="Times New Roman" w:eastAsia="Times New Roman" w:hAnsi="Times New Roman" w:cs="Times New Roman"/>
        </w:rPr>
        <w:t>—</w:t>
      </w:r>
      <w:r w:rsidRPr="004E5A87">
        <w:rPr>
          <w:rFonts w:ascii="Times New Roman" w:eastAsia="Times New Roman" w:hAnsi="Times New Roman" w:cs="Times New Roman"/>
        </w:rPr>
        <w:t>Children (1 through 12 years), as described in the Specifications Manual for Joint Commission National Quality Measures HBIPS-1b;</w:t>
      </w:r>
    </w:p>
    <w:p w14:paraId="3E949130" w14:textId="29EDE4D2" w:rsidR="00032F56" w:rsidRPr="004E5A87" w:rsidRDefault="00032F56" w:rsidP="004E5A87">
      <w:pPr>
        <w:numPr>
          <w:ilvl w:val="2"/>
          <w:numId w:val="5"/>
        </w:numPr>
        <w:tabs>
          <w:tab w:val="left" w:pos="360"/>
        </w:tabs>
        <w:suppressAutoHyphens/>
        <w:rPr>
          <w:rFonts w:ascii="Times New Roman" w:eastAsia="Times New Roman" w:hAnsi="Times New Roman" w:cs="Times New Roman"/>
        </w:rPr>
      </w:pPr>
      <w:r w:rsidRPr="004E5A87">
        <w:rPr>
          <w:rFonts w:ascii="Times New Roman" w:eastAsia="Times New Roman" w:hAnsi="Times New Roman" w:cs="Times New Roman"/>
        </w:rPr>
        <w:t>80% for Admission Screening for Violence Risk, Substance Use, Psychological Trauma History and Patient Strengths</w:t>
      </w:r>
      <w:r w:rsidR="00A562D8">
        <w:rPr>
          <w:rFonts w:ascii="Times New Roman" w:eastAsia="Times New Roman" w:hAnsi="Times New Roman" w:cs="Times New Roman"/>
        </w:rPr>
        <w:t>—</w:t>
      </w:r>
      <w:r w:rsidRPr="004E5A87">
        <w:rPr>
          <w:rFonts w:ascii="Times New Roman" w:eastAsia="Times New Roman" w:hAnsi="Times New Roman" w:cs="Times New Roman"/>
        </w:rPr>
        <w:t xml:space="preserve">Completed Adolescent (13 through 17 years), as described in the Specifications Manual for Joint Commission National Quality Measures HBIPS-1c. </w:t>
      </w:r>
    </w:p>
    <w:p w14:paraId="6492AF82" w14:textId="77777777" w:rsidR="00032F56" w:rsidRPr="004E5A87" w:rsidRDefault="00032F56" w:rsidP="004E5A87">
      <w:pPr>
        <w:tabs>
          <w:tab w:val="left" w:pos="360"/>
        </w:tabs>
        <w:suppressAutoHyphens/>
        <w:ind w:left="1080"/>
        <w:rPr>
          <w:rFonts w:ascii="Times New Roman" w:eastAsia="Times New Roman" w:hAnsi="Times New Roman" w:cs="Times New Roman"/>
        </w:rPr>
      </w:pPr>
    </w:p>
    <w:p w14:paraId="6A63FC98" w14:textId="77777777" w:rsidR="00032F56" w:rsidRPr="00264E30" w:rsidRDefault="00032F56" w:rsidP="004E5A87">
      <w:pPr>
        <w:numPr>
          <w:ilvl w:val="0"/>
          <w:numId w:val="5"/>
        </w:numPr>
        <w:tabs>
          <w:tab w:val="left" w:pos="360"/>
        </w:tabs>
        <w:suppressAutoHyphens/>
        <w:rPr>
          <w:rFonts w:ascii="Times New Roman" w:eastAsia="Times New Roman" w:hAnsi="Times New Roman" w:cs="Times New Roman"/>
          <w:u w:val="single"/>
        </w:rPr>
      </w:pPr>
      <w:r w:rsidRPr="00264E30">
        <w:rPr>
          <w:rFonts w:ascii="Times New Roman" w:eastAsia="Times New Roman" w:hAnsi="Times New Roman" w:cs="Times New Roman"/>
          <w:u w:val="single"/>
        </w:rPr>
        <w:t xml:space="preserve">Payment.  </w:t>
      </w:r>
    </w:p>
    <w:p w14:paraId="18DE426A" w14:textId="77777777" w:rsidR="00032F56" w:rsidRPr="004E5A87" w:rsidRDefault="00032F56" w:rsidP="004E5A87">
      <w:pPr>
        <w:tabs>
          <w:tab w:val="left" w:pos="360"/>
        </w:tabs>
        <w:suppressAutoHyphens/>
        <w:ind w:left="1080"/>
        <w:rPr>
          <w:rFonts w:ascii="Times New Roman" w:eastAsia="Times New Roman" w:hAnsi="Times New Roman" w:cs="Times New Roman"/>
        </w:rPr>
      </w:pPr>
    </w:p>
    <w:p w14:paraId="21A6A544" w14:textId="77777777" w:rsidR="00032F56" w:rsidRPr="004E5A87" w:rsidRDefault="00032F56" w:rsidP="004E5A87">
      <w:pPr>
        <w:numPr>
          <w:ilvl w:val="1"/>
          <w:numId w:val="5"/>
        </w:numPr>
        <w:tabs>
          <w:tab w:val="left" w:pos="360"/>
        </w:tabs>
        <w:suppressAutoHyphens/>
        <w:ind w:left="1080"/>
        <w:rPr>
          <w:rFonts w:ascii="Times New Roman" w:eastAsia="Times New Roman" w:hAnsi="Times New Roman" w:cs="Times New Roman"/>
        </w:rPr>
      </w:pPr>
      <w:r w:rsidRPr="004E5A87">
        <w:rPr>
          <w:rFonts w:ascii="Times New Roman" w:eastAsia="Times New Roman" w:hAnsi="Times New Roman" w:cs="Times New Roman"/>
        </w:rPr>
        <w:t xml:space="preserve">EOHHS will issue the RY2023 Quality Performance Incentive Payment A in a total aggregate amount of $300,000 and apportioned equally across the Pediatric CDR Hospitals that qualify for Payment A. Payment will be issued in one installment during RY2023 as follows: April 2024. </w:t>
      </w:r>
    </w:p>
    <w:p w14:paraId="111EE37E" w14:textId="77777777" w:rsidR="00032F56" w:rsidRPr="004E5A87" w:rsidRDefault="00032F56" w:rsidP="004E5A87">
      <w:pPr>
        <w:tabs>
          <w:tab w:val="left" w:pos="360"/>
        </w:tabs>
        <w:suppressAutoHyphens/>
        <w:ind w:left="1080"/>
        <w:rPr>
          <w:rFonts w:ascii="Times New Roman" w:eastAsia="Times New Roman" w:hAnsi="Times New Roman" w:cs="Times New Roman"/>
        </w:rPr>
      </w:pPr>
    </w:p>
    <w:p w14:paraId="690A1EAE" w14:textId="0780A589" w:rsidR="00032F56" w:rsidRPr="004E5A87" w:rsidRDefault="00032F56" w:rsidP="004E5A87">
      <w:pPr>
        <w:numPr>
          <w:ilvl w:val="1"/>
          <w:numId w:val="5"/>
        </w:numPr>
        <w:tabs>
          <w:tab w:val="left" w:pos="360"/>
        </w:tabs>
        <w:suppressAutoHyphens/>
        <w:ind w:left="1080"/>
        <w:rPr>
          <w:rFonts w:ascii="Times New Roman" w:eastAsia="Times New Roman" w:hAnsi="Times New Roman" w:cs="Times New Roman"/>
        </w:rPr>
      </w:pPr>
      <w:r w:rsidRPr="004E5A87">
        <w:rPr>
          <w:rFonts w:ascii="Times New Roman" w:eastAsia="Times New Roman" w:hAnsi="Times New Roman" w:cs="Times New Roman"/>
        </w:rPr>
        <w:t xml:space="preserve">EOHHS will issue the RY2024 Quality Performance Incentive Payment B in a total aggregate amount of $200,000 and apportioned equally across the Pediatric CDR Hospitals that qualify for Payment B. Payment B will be issued simultaneously with </w:t>
      </w:r>
      <w:r w:rsidR="006D4FC6">
        <w:rPr>
          <w:rFonts w:ascii="Times New Roman" w:eastAsia="Times New Roman" w:hAnsi="Times New Roman" w:cs="Times New Roman"/>
        </w:rPr>
        <w:t>Pa</w:t>
      </w:r>
      <w:r w:rsidRPr="004E5A87">
        <w:rPr>
          <w:rFonts w:ascii="Times New Roman" w:eastAsia="Times New Roman" w:hAnsi="Times New Roman" w:cs="Times New Roman"/>
        </w:rPr>
        <w:t>yment A during April 2024.</w:t>
      </w:r>
    </w:p>
    <w:p w14:paraId="4CA0E90D" w14:textId="77777777" w:rsidR="00E2449A" w:rsidRDefault="00E2449A" w:rsidP="00E2449A">
      <w:pPr>
        <w:tabs>
          <w:tab w:val="left" w:pos="360"/>
        </w:tabs>
        <w:suppressAutoHyphens/>
        <w:ind w:left="1080"/>
        <w:rPr>
          <w:rFonts w:ascii="Times New Roman" w:eastAsia="Times New Roman" w:hAnsi="Times New Roman" w:cs="Times New Roman"/>
        </w:rPr>
      </w:pPr>
    </w:p>
    <w:p w14:paraId="369298F9" w14:textId="179A4F56" w:rsidR="00EE4CAE" w:rsidRPr="00264E30" w:rsidRDefault="217196C6" w:rsidP="00264E30">
      <w:pPr>
        <w:pStyle w:val="ListParagraph"/>
        <w:numPr>
          <w:ilvl w:val="0"/>
          <w:numId w:val="4"/>
        </w:numPr>
        <w:tabs>
          <w:tab w:val="left" w:pos="360"/>
        </w:tabs>
        <w:suppressAutoHyphens/>
        <w:ind w:left="360"/>
        <w:rPr>
          <w:rFonts w:ascii="Times New Roman" w:hAnsi="Times New Roman" w:cs="Times New Roman"/>
        </w:rPr>
      </w:pPr>
      <w:r w:rsidRPr="00264E30">
        <w:rPr>
          <w:rFonts w:ascii="Times New Roman" w:hAnsi="Times New Roman" w:cs="Times New Roman"/>
        </w:rPr>
        <w:t xml:space="preserve">Supplemental </w:t>
      </w:r>
      <w:r w:rsidR="00256F56" w:rsidRPr="00264E30">
        <w:rPr>
          <w:rFonts w:ascii="Times New Roman" w:hAnsi="Times New Roman" w:cs="Times New Roman"/>
        </w:rPr>
        <w:t>P</w:t>
      </w:r>
      <w:r w:rsidRPr="00264E30">
        <w:rPr>
          <w:rFonts w:ascii="Times New Roman" w:hAnsi="Times New Roman" w:cs="Times New Roman"/>
        </w:rPr>
        <w:t xml:space="preserve">ayments for High-Complexity Pediatric Care </w:t>
      </w:r>
      <w:r w:rsidR="00256F56" w:rsidRPr="00264E30">
        <w:rPr>
          <w:rFonts w:ascii="Times New Roman" w:hAnsi="Times New Roman" w:cs="Times New Roman"/>
        </w:rPr>
        <w:t>P</w:t>
      </w:r>
      <w:r w:rsidRPr="00264E30">
        <w:rPr>
          <w:rFonts w:ascii="Times New Roman" w:hAnsi="Times New Roman" w:cs="Times New Roman"/>
        </w:rPr>
        <w:t>rovided by Pediatric CDR Hospitals.</w:t>
      </w:r>
    </w:p>
    <w:p w14:paraId="3C136110" w14:textId="3BBBA1FE" w:rsidR="00EE4CAE" w:rsidRDefault="217196C6" w:rsidP="00264E30">
      <w:pPr>
        <w:tabs>
          <w:tab w:val="left" w:pos="360"/>
        </w:tabs>
        <w:suppressAutoHyphens/>
        <w:ind w:left="360"/>
        <w:rPr>
          <w:rFonts w:ascii="Times New Roman" w:eastAsia="Times New Roman" w:hAnsi="Times New Roman" w:cs="Times New Roman"/>
        </w:rPr>
      </w:pPr>
      <w:r w:rsidRPr="005675C1">
        <w:rPr>
          <w:rFonts w:ascii="Times New Roman" w:eastAsia="Times New Roman" w:hAnsi="Times New Roman" w:cs="Times New Roman"/>
        </w:rPr>
        <w:t xml:space="preserve">Subject to compliance with all applicable federal statutes, regulations, </w:t>
      </w:r>
      <w:r w:rsidR="00B034D3">
        <w:rPr>
          <w:rFonts w:ascii="Times New Roman" w:eastAsia="Times New Roman" w:hAnsi="Times New Roman" w:cs="Times New Roman"/>
        </w:rPr>
        <w:t xml:space="preserve">and </w:t>
      </w:r>
      <w:r w:rsidRPr="005675C1">
        <w:rPr>
          <w:rFonts w:ascii="Times New Roman" w:eastAsia="Times New Roman" w:hAnsi="Times New Roman" w:cs="Times New Roman"/>
        </w:rPr>
        <w:t>state plan provisions</w:t>
      </w:r>
      <w:r w:rsidR="00B034D3">
        <w:rPr>
          <w:rFonts w:ascii="Times New Roman" w:eastAsia="Times New Roman" w:hAnsi="Times New Roman" w:cs="Times New Roman"/>
        </w:rPr>
        <w:t>;</w:t>
      </w:r>
      <w:r w:rsidRPr="005675C1">
        <w:rPr>
          <w:rFonts w:ascii="Times New Roman" w:eastAsia="Times New Roman" w:hAnsi="Times New Roman" w:cs="Times New Roman"/>
        </w:rPr>
        <w:t xml:space="preserve"> the availability of funds</w:t>
      </w:r>
      <w:r w:rsidR="00B034D3">
        <w:rPr>
          <w:rFonts w:ascii="Times New Roman" w:eastAsia="Times New Roman" w:hAnsi="Times New Roman" w:cs="Times New Roman"/>
        </w:rPr>
        <w:t>;</w:t>
      </w:r>
      <w:r w:rsidRPr="005675C1">
        <w:rPr>
          <w:rFonts w:ascii="Times New Roman" w:eastAsia="Times New Roman" w:hAnsi="Times New Roman" w:cs="Times New Roman"/>
        </w:rPr>
        <w:t xml:space="preserve"> and full federal financial participation, in RY 2024 EOHHS will make a total aggregate amount of $3 million available for Supplemental Payments for High-Complexity Pediatric Care </w:t>
      </w:r>
      <w:r w:rsidR="00B034D3">
        <w:rPr>
          <w:rFonts w:ascii="Times New Roman" w:eastAsia="Times New Roman" w:hAnsi="Times New Roman" w:cs="Times New Roman"/>
        </w:rPr>
        <w:t>P</w:t>
      </w:r>
      <w:r w:rsidRPr="005675C1">
        <w:rPr>
          <w:rFonts w:ascii="Times New Roman" w:eastAsia="Times New Roman" w:hAnsi="Times New Roman" w:cs="Times New Roman"/>
        </w:rPr>
        <w:t xml:space="preserve">rovided by Pediatric CDR Hospitals to qualifying Pediatric CDR Hospitals. </w:t>
      </w:r>
    </w:p>
    <w:p w14:paraId="3098ADDD" w14:textId="77777777" w:rsidR="00FB1C32" w:rsidRPr="004E5A87" w:rsidRDefault="00FB1C32" w:rsidP="004E5A87">
      <w:pPr>
        <w:tabs>
          <w:tab w:val="left" w:pos="360"/>
        </w:tabs>
        <w:suppressAutoHyphens/>
        <w:ind w:left="720"/>
        <w:rPr>
          <w:rFonts w:ascii="Times New Roman" w:eastAsia="Times New Roman" w:hAnsi="Times New Roman" w:cs="Times New Roman"/>
          <w:u w:val="single"/>
        </w:rPr>
      </w:pPr>
    </w:p>
    <w:p w14:paraId="667C3858" w14:textId="26300832" w:rsidR="00D66F3D" w:rsidRPr="00FD7A3F" w:rsidRDefault="00A84427" w:rsidP="00264E30">
      <w:pPr>
        <w:pStyle w:val="ListParagraph"/>
        <w:numPr>
          <w:ilvl w:val="1"/>
          <w:numId w:val="4"/>
        </w:numPr>
        <w:tabs>
          <w:tab w:val="left" w:pos="360"/>
        </w:tabs>
        <w:suppressAutoHyphens/>
        <w:ind w:left="1440"/>
        <w:rPr>
          <w:rFonts w:ascii="Times New Roman" w:eastAsia="Times New Roman" w:hAnsi="Times New Roman" w:cs="Times New Roman"/>
          <w:u w:val="single"/>
        </w:rPr>
      </w:pPr>
      <w:r w:rsidRPr="00FD7A3F">
        <w:rPr>
          <w:rFonts w:ascii="Times New Roman" w:eastAsia="Times New Roman" w:hAnsi="Times New Roman" w:cs="Times New Roman"/>
          <w:u w:val="single"/>
        </w:rPr>
        <w:t>Qualifications</w:t>
      </w:r>
    </w:p>
    <w:p w14:paraId="6A291FBD" w14:textId="54623D69" w:rsidR="00F90C33" w:rsidRDefault="217196C6" w:rsidP="00AC09D7">
      <w:pPr>
        <w:pStyle w:val="ListParagraph"/>
        <w:tabs>
          <w:tab w:val="left" w:pos="360"/>
        </w:tabs>
        <w:suppressAutoHyphens/>
        <w:ind w:left="1440"/>
        <w:rPr>
          <w:rFonts w:ascii="Times New Roman" w:eastAsia="Times New Roman" w:hAnsi="Times New Roman" w:cs="Times New Roman"/>
        </w:rPr>
      </w:pPr>
      <w:r w:rsidRPr="004E5A87">
        <w:rPr>
          <w:rFonts w:ascii="Times New Roman" w:eastAsia="Times New Roman" w:hAnsi="Times New Roman" w:cs="Times New Roman"/>
        </w:rPr>
        <w:t xml:space="preserve">In order to qualify for a Supplemental </w:t>
      </w:r>
      <w:r w:rsidR="0007183B" w:rsidRPr="004E5A87">
        <w:rPr>
          <w:rFonts w:ascii="Times New Roman" w:eastAsia="Times New Roman" w:hAnsi="Times New Roman" w:cs="Times New Roman"/>
        </w:rPr>
        <w:t>P</w:t>
      </w:r>
      <w:r w:rsidRPr="004E5A87">
        <w:rPr>
          <w:rFonts w:ascii="Times New Roman" w:eastAsia="Times New Roman" w:hAnsi="Times New Roman" w:cs="Times New Roman"/>
        </w:rPr>
        <w:t xml:space="preserve">ayment for High-Complexity Pediatric Care </w:t>
      </w:r>
      <w:r w:rsidR="0007183B" w:rsidRPr="004E5A87">
        <w:rPr>
          <w:rFonts w:ascii="Times New Roman" w:eastAsia="Times New Roman" w:hAnsi="Times New Roman" w:cs="Times New Roman"/>
        </w:rPr>
        <w:t>P</w:t>
      </w:r>
      <w:r w:rsidRPr="004E5A87">
        <w:rPr>
          <w:rFonts w:ascii="Times New Roman" w:eastAsia="Times New Roman" w:hAnsi="Times New Roman" w:cs="Times New Roman"/>
        </w:rPr>
        <w:t xml:space="preserve">rovided by a Pediatric CDR Hospital, a Pediatric CDR Hospital must be a </w:t>
      </w:r>
      <w:r w:rsidR="00A06532" w:rsidRPr="004E5A87">
        <w:rPr>
          <w:rFonts w:ascii="Times New Roman" w:eastAsia="Times New Roman" w:hAnsi="Times New Roman" w:cs="Times New Roman"/>
        </w:rPr>
        <w:t xml:space="preserve">CDR </w:t>
      </w:r>
      <w:r w:rsidRPr="004E5A87">
        <w:rPr>
          <w:rFonts w:ascii="Times New Roman" w:eastAsia="Times New Roman" w:hAnsi="Times New Roman" w:cs="Times New Roman"/>
        </w:rPr>
        <w:t xml:space="preserve">hospital that serves solely children and adolescents with complex acute rehabilitation and chronic </w:t>
      </w:r>
      <w:r w:rsidRPr="004E5A87">
        <w:rPr>
          <w:rFonts w:ascii="Times New Roman" w:eastAsia="Times New Roman" w:hAnsi="Times New Roman" w:cs="Times New Roman"/>
        </w:rPr>
        <w:lastRenderedPageBreak/>
        <w:t xml:space="preserve">needs that is located in Massachusetts, that serves MassHealth members, and that operates DMH licensed beds. </w:t>
      </w:r>
    </w:p>
    <w:p w14:paraId="458F54B3" w14:textId="77777777" w:rsidR="00F90C33" w:rsidRDefault="00F90C33" w:rsidP="00AC09D7">
      <w:pPr>
        <w:pStyle w:val="ListParagraph"/>
        <w:tabs>
          <w:tab w:val="left" w:pos="360"/>
        </w:tabs>
        <w:suppressAutoHyphens/>
        <w:ind w:left="1440"/>
        <w:rPr>
          <w:rFonts w:ascii="Times New Roman" w:eastAsia="Times New Roman" w:hAnsi="Times New Roman" w:cs="Times New Roman"/>
        </w:rPr>
      </w:pPr>
    </w:p>
    <w:p w14:paraId="0C3B1C82" w14:textId="7865FFE6" w:rsidR="00F90C33" w:rsidRDefault="217196C6" w:rsidP="00264E30">
      <w:pPr>
        <w:pStyle w:val="ListParagraph"/>
        <w:numPr>
          <w:ilvl w:val="1"/>
          <w:numId w:val="4"/>
        </w:numPr>
        <w:tabs>
          <w:tab w:val="left" w:pos="360"/>
        </w:tabs>
        <w:suppressAutoHyphens/>
        <w:ind w:left="1080" w:firstLine="0"/>
        <w:rPr>
          <w:rFonts w:ascii="Times New Roman" w:eastAsia="Times New Roman" w:hAnsi="Times New Roman" w:cs="Times New Roman"/>
        </w:rPr>
      </w:pPr>
      <w:r w:rsidRPr="004E5A87">
        <w:rPr>
          <w:rFonts w:ascii="Times New Roman" w:eastAsia="Times New Roman" w:hAnsi="Times New Roman" w:cs="Times New Roman"/>
          <w:u w:val="single"/>
        </w:rPr>
        <w:t>Payment</w:t>
      </w:r>
    </w:p>
    <w:p w14:paraId="168EC1A5" w14:textId="5976C62F" w:rsidR="00EE4CAE" w:rsidRPr="004E5A87" w:rsidRDefault="217196C6" w:rsidP="004E5A87">
      <w:pPr>
        <w:pStyle w:val="ListParagraph"/>
        <w:tabs>
          <w:tab w:val="left" w:pos="360"/>
        </w:tabs>
        <w:suppressAutoHyphens/>
        <w:ind w:left="1440"/>
        <w:rPr>
          <w:rFonts w:ascii="Times New Roman" w:eastAsia="Times New Roman" w:hAnsi="Times New Roman" w:cs="Times New Roman"/>
        </w:rPr>
      </w:pPr>
      <w:r w:rsidRPr="00F90C33">
        <w:rPr>
          <w:rFonts w:ascii="Times New Roman" w:eastAsia="Times New Roman" w:hAnsi="Times New Roman" w:cs="Times New Roman"/>
        </w:rPr>
        <w:t xml:space="preserve">EOHHS will issue the Supplemental </w:t>
      </w:r>
      <w:r w:rsidR="0007183B" w:rsidRPr="00F90C33">
        <w:rPr>
          <w:rFonts w:ascii="Times New Roman" w:eastAsia="Times New Roman" w:hAnsi="Times New Roman" w:cs="Times New Roman"/>
        </w:rPr>
        <w:t>P</w:t>
      </w:r>
      <w:r w:rsidRPr="00F90C33">
        <w:rPr>
          <w:rFonts w:ascii="Times New Roman" w:eastAsia="Times New Roman" w:hAnsi="Times New Roman" w:cs="Times New Roman"/>
        </w:rPr>
        <w:t>ayment for High-Complexity Pediatric Care in April 2024, apportioned equally across the Pediatric CDR Hospitals that qualify.</w:t>
      </w:r>
    </w:p>
    <w:p w14:paraId="3A881F9B" w14:textId="6012AAB4" w:rsidR="00EE4CAE" w:rsidRPr="004E5A87" w:rsidRDefault="00EE4CAE" w:rsidP="004E5A87">
      <w:pPr>
        <w:tabs>
          <w:tab w:val="left" w:pos="360"/>
        </w:tabs>
        <w:suppressAutoHyphens/>
        <w:ind w:left="1080"/>
        <w:rPr>
          <w:rFonts w:ascii="Times New Roman" w:eastAsia="Times New Roman" w:hAnsi="Times New Roman" w:cs="Times New Roman"/>
        </w:rPr>
      </w:pPr>
    </w:p>
    <w:sectPr w:rsidR="00EE4CAE" w:rsidRPr="004E5A87" w:rsidSect="005A02EA">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7F9C1" w14:textId="77777777" w:rsidR="00E57D01" w:rsidRDefault="00E57D01" w:rsidP="00153DCE">
      <w:r>
        <w:separator/>
      </w:r>
    </w:p>
  </w:endnote>
  <w:endnote w:type="continuationSeparator" w:id="0">
    <w:p w14:paraId="2EF94AC3" w14:textId="77777777" w:rsidR="00E57D01" w:rsidRDefault="00E57D01" w:rsidP="00153DCE">
      <w:r>
        <w:continuationSeparator/>
      </w:r>
    </w:p>
  </w:endnote>
  <w:endnote w:type="continuationNotice" w:id="1">
    <w:p w14:paraId="56F21D00" w14:textId="77777777" w:rsidR="00E57D01" w:rsidRDefault="00E57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5BA65" w14:textId="0E71C89A" w:rsidR="005A02EA" w:rsidRDefault="005A02EA" w:rsidP="005A02EA">
    <w:pPr>
      <w:pStyle w:val="Footer"/>
      <w:tabs>
        <w:tab w:val="left" w:pos="3440"/>
      </w:tabs>
    </w:pPr>
    <w:r w:rsidRPr="007D23A4">
      <w:rPr>
        <w:rFonts w:ascii="Times New Roman" w:hAnsi="Times New Roman" w:cs="Times New Roman"/>
        <w:noProof/>
      </w:rPr>
      <w:t xml:space="preserve">Posted </w:t>
    </w:r>
    <w:r w:rsidR="008D3840">
      <w:rPr>
        <w:rFonts w:ascii="Times New Roman" w:hAnsi="Times New Roman" w:cs="Times New Roman"/>
        <w:noProof/>
      </w:rPr>
      <w:t>Decem</w:t>
    </w:r>
    <w:r w:rsidRPr="007D23A4">
      <w:rPr>
        <w:rFonts w:ascii="Times New Roman" w:hAnsi="Times New Roman" w:cs="Times New Roman"/>
        <w:noProof/>
      </w:rPr>
      <w:t xml:space="preserve">ber </w:t>
    </w:r>
    <w:r w:rsidR="00CC2AF9">
      <w:rPr>
        <w:rFonts w:ascii="Times New Roman" w:hAnsi="Times New Roman" w:cs="Times New Roman"/>
        <w:noProof/>
      </w:rPr>
      <w:t>08</w:t>
    </w:r>
    <w:r w:rsidRPr="007D23A4">
      <w:rPr>
        <w:rFonts w:ascii="Times New Roman" w:hAnsi="Times New Roman" w:cs="Times New Roman"/>
        <w:noProof/>
      </w:rPr>
      <w: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9F77" w14:textId="2E609017" w:rsidR="005A02EA" w:rsidRDefault="005A02EA" w:rsidP="005A02EA">
    <w:pPr>
      <w:pStyle w:val="Footer"/>
      <w:tabs>
        <w:tab w:val="left" w:pos="3440"/>
      </w:tabs>
    </w:pPr>
    <w:r w:rsidRPr="007D23A4">
      <w:rPr>
        <w:rFonts w:ascii="Times New Roman" w:hAnsi="Times New Roman" w:cs="Times New Roman"/>
        <w:noProof/>
      </w:rPr>
      <w:t>Posted September 2</w:t>
    </w:r>
    <w:r>
      <w:rPr>
        <w:rFonts w:ascii="Times New Roman" w:hAnsi="Times New Roman" w:cs="Times New Roman"/>
        <w:noProof/>
      </w:rPr>
      <w:t>9</w:t>
    </w:r>
    <w:r w:rsidRPr="007D23A4">
      <w:rPr>
        <w:rFonts w:ascii="Times New Roman" w:hAnsi="Times New Roman" w:cs="Times New Roman"/>
        <w:noProof/>
      </w:rPr>
      <w: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5DF81" w14:textId="77777777" w:rsidR="00E57D01" w:rsidRDefault="00E57D01" w:rsidP="00153DCE">
      <w:r>
        <w:separator/>
      </w:r>
    </w:p>
  </w:footnote>
  <w:footnote w:type="continuationSeparator" w:id="0">
    <w:p w14:paraId="2447835F" w14:textId="77777777" w:rsidR="00E57D01" w:rsidRDefault="00E57D01" w:rsidP="00153DCE">
      <w:r>
        <w:continuationSeparator/>
      </w:r>
    </w:p>
  </w:footnote>
  <w:footnote w:type="continuationNotice" w:id="1">
    <w:p w14:paraId="7CECF48E" w14:textId="77777777" w:rsidR="00E57D01" w:rsidRDefault="00E57D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2C139697" w:rsidR="00EE4CAE" w:rsidRPr="006E5DED" w:rsidRDefault="00585302"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58240" behindDoc="0" locked="0" layoutInCell="1" allowOverlap="1" wp14:anchorId="3A881FAB" wp14:editId="1CC32B1D">
              <wp:simplePos x="0" y="0"/>
              <wp:positionH relativeFrom="column">
                <wp:posOffset>1228090</wp:posOffset>
              </wp:positionH>
              <wp:positionV relativeFrom="paragraph">
                <wp:posOffset>95250</wp:posOffset>
              </wp:positionV>
              <wp:extent cx="3589020" cy="140398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3A881FAB" id="_x0000_t202" coordsize="21600,21600" o:spt="202" path="m,l,21600r21600,l21600,xe">
              <v:stroke joinstyle="miter"/>
              <v:path gradientshapeok="t" o:connecttype="rect"/>
            </v:shapetype>
            <v:shape id="Text Box 1" o:spid="_x0000_s1026" type="#_x0000_t202" style="position:absolute;margin-left:96.7pt;margin-top:7.5pt;width:282.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Pr>
        <w:noProof/>
        <w:color w:val="1F497D" w:themeColor="text2"/>
      </w:rPr>
      <w:drawing>
        <wp:anchor distT="0" distB="0" distL="114300" distR="114300" simplePos="0" relativeHeight="251658241" behindDoc="0" locked="0" layoutInCell="1" allowOverlap="1" wp14:anchorId="64AAB5A7" wp14:editId="65C24863">
          <wp:simplePos x="0" y="0"/>
          <wp:positionH relativeFrom="column">
            <wp:posOffset>4775200</wp:posOffset>
          </wp:positionH>
          <wp:positionV relativeFrom="paragraph">
            <wp:posOffset>127000</wp:posOffset>
          </wp:positionV>
          <wp:extent cx="1179576" cy="621792"/>
          <wp:effectExtent l="0" t="0" r="1905" b="698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sidR="00EE4CAE">
      <w:rPr>
        <w:noProof/>
        <w:color w:val="1F497D" w:themeColor="text2"/>
      </w:rPr>
      <w:drawing>
        <wp:inline distT="0" distB="0" distL="0" distR="0" wp14:anchorId="3A881FAD" wp14:editId="3A881FAE">
          <wp:extent cx="116459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13AD8DA"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5F66F1">
      <w:rPr>
        <w:b/>
        <w:color w:val="1F497D" w:themeColor="text2"/>
      </w:rPr>
      <w:t>MIKE LEVINE</w:t>
    </w:r>
    <w:r w:rsidR="0064272D">
      <w:t xml:space="preserve">   </w:t>
    </w:r>
    <w:r w:rsidR="00E27559">
      <w:t xml:space="preserve">     </w:t>
    </w:r>
    <w:r w:rsidR="0064272D">
      <w:t xml:space="preserve"> </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intelligence2.xml><?xml version="1.0" encoding="utf-8"?>
<int2:intelligence xmlns:int2="http://schemas.microsoft.com/office/intelligence/2020/intelligence" xmlns:oel="http://schemas.microsoft.com/office/2019/extlst">
  <int2:observations>
    <int2:textHash int2:hashCode="lYDxgaT6QVo2Hp" int2:id="5IifXfKF">
      <int2:state int2:value="Rejected" int2:type="LegacyProofing"/>
    </int2:textHash>
    <int2:textHash int2:hashCode="d8Xes5jWerLH8O" int2:id="6QCVaiJ4">
      <int2:state int2:value="Rejected" int2:type="LegacyProofing"/>
    </int2:textHash>
    <int2:textHash int2:hashCode="JPwZfhpR2RoS1Q" int2:id="9SRE864g">
      <int2:state int2:value="Rejected" int2:type="LegacyProofing"/>
    </int2:textHash>
    <int2:textHash int2:hashCode="7B3rldYQ+Xsun9" int2:id="9pOu2l87">
      <int2:state int2:value="Rejected" int2:type="LegacyProofing"/>
    </int2:textHash>
    <int2:textHash int2:hashCode="tH82PitDDAZH8U" int2:id="AO25yf7H">
      <int2:state int2:value="Rejected" int2:type="LegacyProofing"/>
    </int2:textHash>
    <int2:textHash int2:hashCode="vZHPcYaJ/EB9cg" int2:id="CVreOapO">
      <int2:state int2:value="Rejected" int2:type="LegacyProofing"/>
    </int2:textHash>
    <int2:textHash int2:hashCode="iewJ3sNXuxPKh0" int2:id="Cvpa099w">
      <int2:state int2:value="Rejected" int2:type="LegacyProofing"/>
    </int2:textHash>
    <int2:textHash int2:hashCode="QIFYZD7VZMcvoJ" int2:id="DjImjGPr">
      <int2:state int2:value="Rejected" int2:type="LegacyProofing"/>
    </int2:textHash>
    <int2:textHash int2:hashCode="Q3Sq7iR/sjfObJ" int2:id="FKLYd1jB">
      <int2:state int2:value="Rejected" int2:type="LegacyProofing"/>
    </int2:textHash>
    <int2:textHash int2:hashCode="VyPRZe1ZWVIH6M" int2:id="GEIEfKD8">
      <int2:state int2:value="Rejected" int2:type="LegacyProofing"/>
    </int2:textHash>
    <int2:textHash int2:hashCode="jI2dZKd8NRxqr/" int2:id="HQ7v0uXV">
      <int2:state int2:value="Rejected" int2:type="LegacyProofing"/>
    </int2:textHash>
    <int2:textHash int2:hashCode="4SC+Zl6wWKAVGX" int2:id="JINAy8hY">
      <int2:state int2:value="Rejected" int2:type="LegacyProofing"/>
    </int2:textHash>
    <int2:textHash int2:hashCode="S+GB5MrIIsCwkC" int2:id="KpHquID0">
      <int2:state int2:value="Rejected" int2:type="LegacyProofing"/>
    </int2:textHash>
    <int2:textHash int2:hashCode="lC757k+EQLvFIw" int2:id="MEdIOQ4s">
      <int2:state int2:value="Rejected" int2:type="LegacyProofing"/>
    </int2:textHash>
    <int2:textHash int2:hashCode="7bBImyNfXzlwbP" int2:id="MHW0mQ2u">
      <int2:state int2:value="Rejected" int2:type="LegacyProofing"/>
    </int2:textHash>
    <int2:textHash int2:hashCode="BUcCer+OiWH7DX" int2:id="NIfIRdtg">
      <int2:state int2:value="Rejected" int2:type="LegacyProofing"/>
    </int2:textHash>
    <int2:textHash int2:hashCode="mGsbweuN6JZDxQ" int2:id="NtS2KrAG">
      <int2:state int2:value="Rejected" int2:type="LegacyProofing"/>
    </int2:textHash>
    <int2:textHash int2:hashCode="j80lo50gNxgwRK" int2:id="Q520ipml">
      <int2:state int2:value="Rejected" int2:type="LegacyProofing"/>
    </int2:textHash>
    <int2:textHash int2:hashCode="z/pQoyyxOiQNcF" int2:id="TieTPP2G">
      <int2:state int2:value="Rejected" int2:type="LegacyProofing"/>
    </int2:textHash>
    <int2:textHash int2:hashCode="6GJWsnh+5/8MM9" int2:id="TwcVdhTz">
      <int2:state int2:value="Rejected" int2:type="LegacyProofing"/>
    </int2:textHash>
    <int2:textHash int2:hashCode="UhG90wiE+U7Cp7" int2:id="U0Q37TEM">
      <int2:state int2:value="Rejected" int2:type="LegacyProofing"/>
    </int2:textHash>
    <int2:textHash int2:hashCode="fG9aogHwWVTxO9" int2:id="U9WiHDFW">
      <int2:state int2:value="Rejected" int2:type="LegacyProofing"/>
    </int2:textHash>
    <int2:textHash int2:hashCode="Q+75piq7ix4WVP" int2:id="UYDg7h6g">
      <int2:state int2:value="Rejected" int2:type="LegacyProofing"/>
    </int2:textHash>
    <int2:textHash int2:hashCode="QWmuay/oVO4KrB" int2:id="c7K8OIMr">
      <int2:state int2:value="Rejected" int2:type="LegacyProofing"/>
    </int2:textHash>
    <int2:textHash int2:hashCode="zOVeQwmnU5hb3S" int2:id="ihEW4CRh">
      <int2:state int2:value="Rejected" int2:type="LegacyProofing"/>
    </int2:textHash>
    <int2:textHash int2:hashCode="uNsN/q5nQ29X+/" int2:id="kAVCawXk">
      <int2:state int2:value="Rejected" int2:type="LegacyProofing"/>
    </int2:textHash>
    <int2:textHash int2:hashCode="Ky0AXojOFKQRJ4" int2:id="mYxpFlK0">
      <int2:state int2:value="Rejected" int2:type="LegacyProofing"/>
    </int2:textHash>
    <int2:textHash int2:hashCode="IgtAdPh2iVEdcK" int2:id="msIDFVa4">
      <int2:state int2:value="Rejected" int2:type="LegacyProofing"/>
    </int2:textHash>
    <int2:textHash int2:hashCode="QbFcN93pTfp+jt" int2:id="n5HSTeT4">
      <int2:state int2:value="Rejected" int2:type="LegacyProofing"/>
    </int2:textHash>
    <int2:textHash int2:hashCode="QmhfEdqRpVsfXF" int2:id="nmGI9O4g">
      <int2:state int2:value="Rejected" int2:type="LegacyProofing"/>
    </int2:textHash>
    <int2:textHash int2:hashCode="8T61hZ8TeRrtJC" int2:id="pLb0WunG">
      <int2:state int2:value="Rejected" int2:type="LegacyProofing"/>
    </int2:textHash>
    <int2:textHash int2:hashCode="M7giAQgex8Q4y1" int2:id="t0Eh1vCe">
      <int2:state int2:value="Rejected" int2:type="LegacyProofing"/>
    </int2:textHash>
    <int2:textHash int2:hashCode="BB+rgjYP6ZPIdo" int2:id="vtfup34z">
      <int2:state int2:value="Rejected" int2:type="LegacyProofing"/>
    </int2:textHash>
    <int2:textHash int2:hashCode="rxDvIN2QYLvurQ" int2:id="w9EgfhrS">
      <int2:state int2:value="Rejected" int2:type="LegacyProofing"/>
    </int2:textHash>
    <int2:textHash int2:hashCode="ni3e9XhIqZaGR+" int2:id="wYtdYnoo">
      <int2:state int2:value="Rejected" int2:type="LegacyProofing"/>
    </int2:textHash>
    <int2:textHash int2:hashCode="b/FrNtx3gQ5jva" int2:id="xVhcGum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93A0A"/>
    <w:multiLevelType w:val="hybridMultilevel"/>
    <w:tmpl w:val="EE387CDA"/>
    <w:lvl w:ilvl="0" w:tplc="40D46C9E">
      <w:start w:val="1"/>
      <w:numFmt w:val="decimal"/>
      <w:lvlText w:val="%1."/>
      <w:lvlJc w:val="left"/>
      <w:pPr>
        <w:ind w:left="720" w:hanging="360"/>
      </w:pPr>
      <w:rPr>
        <w:rFonts w:hint="default"/>
        <w:u w:val="none"/>
      </w:rPr>
    </w:lvl>
    <w:lvl w:ilvl="1" w:tplc="FFFFFFFF">
      <w:start w:val="1"/>
      <w:numFmt w:val="lowerLetter"/>
      <w:lvlText w:val="%2."/>
      <w:lvlJc w:val="left"/>
      <w:pPr>
        <w:ind w:left="1440" w:hanging="360"/>
      </w:pPr>
    </w:lvl>
    <w:lvl w:ilvl="2" w:tplc="7B10B9E6">
      <w:start w:val="1"/>
      <w:numFmt w:val="lowerRoman"/>
      <w:lvlText w:val="%3."/>
      <w:lvlJc w:val="left"/>
      <w:pPr>
        <w:ind w:left="2700" w:hanging="720"/>
      </w:pPr>
      <w:rPr>
        <w:rFonts w:hint="default"/>
      </w:rPr>
    </w:lvl>
    <w:lvl w:ilvl="3" w:tplc="04090019">
      <w:start w:val="1"/>
      <w:numFmt w:val="lowerLetter"/>
      <w:lvlText w:val="%4."/>
      <w:lvlJc w:val="left"/>
      <w:pPr>
        <w:ind w:left="3240" w:hanging="720"/>
      </w:pPr>
      <w:rPr>
        <w:rFonts w:hint="default"/>
      </w:rPr>
    </w:lvl>
    <w:lvl w:ilvl="4" w:tplc="04090019">
      <w:start w:val="1"/>
      <w:numFmt w:val="lowerLetter"/>
      <w:lvlText w:val="%5."/>
      <w:lvlJc w:val="left"/>
      <w:pPr>
        <w:ind w:left="3600" w:hanging="360"/>
      </w:pPr>
    </w:lvl>
    <w:lvl w:ilvl="5" w:tplc="53B4750E">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E492D"/>
    <w:multiLevelType w:val="hybridMultilevel"/>
    <w:tmpl w:val="EDEE4F4A"/>
    <w:lvl w:ilvl="0" w:tplc="5D3E9018">
      <w:start w:val="1"/>
      <w:numFmt w:val="upperLetter"/>
      <w:lvlText w:val="%1."/>
      <w:lvlJc w:val="left"/>
      <w:pPr>
        <w:ind w:left="1080" w:hanging="360"/>
      </w:pPr>
      <w:rPr>
        <w:rFonts w:hint="default"/>
        <w:b w:val="0"/>
        <w:bCs w:val="0"/>
      </w:rPr>
    </w:lvl>
    <w:lvl w:ilvl="1" w:tplc="7E22789E">
      <w:start w:val="1"/>
      <w:numFmt w:val="decimal"/>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465E00"/>
    <w:multiLevelType w:val="hybridMultilevel"/>
    <w:tmpl w:val="A5B49274"/>
    <w:lvl w:ilvl="0" w:tplc="F5D449E4">
      <w:start w:val="1"/>
      <w:numFmt w:val="upperLetter"/>
      <w:lvlText w:val="%1."/>
      <w:lvlJc w:val="left"/>
      <w:pPr>
        <w:ind w:left="720" w:hanging="360"/>
      </w:pPr>
    </w:lvl>
    <w:lvl w:ilvl="1" w:tplc="2DFEDF58">
      <w:start w:val="1"/>
      <w:numFmt w:val="lowerLetter"/>
      <w:lvlText w:val="%2."/>
      <w:lvlJc w:val="left"/>
      <w:pPr>
        <w:ind w:left="1440" w:hanging="360"/>
      </w:pPr>
    </w:lvl>
    <w:lvl w:ilvl="2" w:tplc="E3467A40">
      <w:start w:val="1"/>
      <w:numFmt w:val="lowerRoman"/>
      <w:lvlText w:val="%3."/>
      <w:lvlJc w:val="right"/>
      <w:pPr>
        <w:ind w:left="2160" w:hanging="180"/>
      </w:pPr>
    </w:lvl>
    <w:lvl w:ilvl="3" w:tplc="49A0F6E2">
      <w:start w:val="1"/>
      <w:numFmt w:val="decimal"/>
      <w:lvlText w:val="%4."/>
      <w:lvlJc w:val="left"/>
      <w:pPr>
        <w:ind w:left="2880" w:hanging="360"/>
      </w:pPr>
    </w:lvl>
    <w:lvl w:ilvl="4" w:tplc="E7343FB4">
      <w:start w:val="1"/>
      <w:numFmt w:val="lowerLetter"/>
      <w:lvlText w:val="%5."/>
      <w:lvlJc w:val="left"/>
      <w:pPr>
        <w:ind w:left="3600" w:hanging="360"/>
      </w:pPr>
    </w:lvl>
    <w:lvl w:ilvl="5" w:tplc="4A0CFD48">
      <w:start w:val="1"/>
      <w:numFmt w:val="lowerRoman"/>
      <w:lvlText w:val="%6."/>
      <w:lvlJc w:val="right"/>
      <w:pPr>
        <w:ind w:left="4320" w:hanging="180"/>
      </w:pPr>
    </w:lvl>
    <w:lvl w:ilvl="6" w:tplc="361C2E50">
      <w:start w:val="1"/>
      <w:numFmt w:val="decimal"/>
      <w:lvlText w:val="%7."/>
      <w:lvlJc w:val="left"/>
      <w:pPr>
        <w:ind w:left="5040" w:hanging="360"/>
      </w:pPr>
    </w:lvl>
    <w:lvl w:ilvl="7" w:tplc="03C015D4">
      <w:start w:val="1"/>
      <w:numFmt w:val="lowerLetter"/>
      <w:lvlText w:val="%8."/>
      <w:lvlJc w:val="left"/>
      <w:pPr>
        <w:ind w:left="5760" w:hanging="360"/>
      </w:pPr>
    </w:lvl>
    <w:lvl w:ilvl="8" w:tplc="B7A488EA">
      <w:start w:val="1"/>
      <w:numFmt w:val="lowerRoman"/>
      <w:lvlText w:val="%9."/>
      <w:lvlJc w:val="right"/>
      <w:pPr>
        <w:ind w:left="6480" w:hanging="180"/>
      </w:pPr>
    </w:lvl>
  </w:abstractNum>
  <w:abstractNum w:abstractNumId="4"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4717771">
    <w:abstractNumId w:val="3"/>
  </w:num>
  <w:num w:numId="2" w16cid:durableId="90439783">
    <w:abstractNumId w:val="1"/>
  </w:num>
  <w:num w:numId="3" w16cid:durableId="1956473353">
    <w:abstractNumId w:val="4"/>
  </w:num>
  <w:num w:numId="4" w16cid:durableId="1126197216">
    <w:abstractNumId w:val="2"/>
  </w:num>
  <w:num w:numId="5" w16cid:durableId="188567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4E2C"/>
    <w:rsid w:val="00007C23"/>
    <w:rsid w:val="00024809"/>
    <w:rsid w:val="0002544E"/>
    <w:rsid w:val="00025F23"/>
    <w:rsid w:val="000301E3"/>
    <w:rsid w:val="00032F56"/>
    <w:rsid w:val="000573CC"/>
    <w:rsid w:val="00064101"/>
    <w:rsid w:val="0007183B"/>
    <w:rsid w:val="000722C4"/>
    <w:rsid w:val="0007491E"/>
    <w:rsid w:val="00074EE4"/>
    <w:rsid w:val="000820DD"/>
    <w:rsid w:val="00083035"/>
    <w:rsid w:val="000923BA"/>
    <w:rsid w:val="00092B35"/>
    <w:rsid w:val="000956A7"/>
    <w:rsid w:val="000B3478"/>
    <w:rsid w:val="000F27DB"/>
    <w:rsid w:val="00100368"/>
    <w:rsid w:val="00104967"/>
    <w:rsid w:val="001107EB"/>
    <w:rsid w:val="00114996"/>
    <w:rsid w:val="0012271C"/>
    <w:rsid w:val="00126F6E"/>
    <w:rsid w:val="001326B1"/>
    <w:rsid w:val="00134791"/>
    <w:rsid w:val="00153DCE"/>
    <w:rsid w:val="00154CA9"/>
    <w:rsid w:val="00156080"/>
    <w:rsid w:val="00157280"/>
    <w:rsid w:val="00167430"/>
    <w:rsid w:val="001917C9"/>
    <w:rsid w:val="00193348"/>
    <w:rsid w:val="001A7742"/>
    <w:rsid w:val="001C4E9F"/>
    <w:rsid w:val="001C70E4"/>
    <w:rsid w:val="001D5B28"/>
    <w:rsid w:val="001D628B"/>
    <w:rsid w:val="001E1B3C"/>
    <w:rsid w:val="001E323D"/>
    <w:rsid w:val="001E5364"/>
    <w:rsid w:val="001F24B2"/>
    <w:rsid w:val="00200272"/>
    <w:rsid w:val="0023603E"/>
    <w:rsid w:val="0024353E"/>
    <w:rsid w:val="002550C5"/>
    <w:rsid w:val="00256F56"/>
    <w:rsid w:val="00264E30"/>
    <w:rsid w:val="00266B97"/>
    <w:rsid w:val="0028026B"/>
    <w:rsid w:val="00287D86"/>
    <w:rsid w:val="002A4A2A"/>
    <w:rsid w:val="002B0137"/>
    <w:rsid w:val="002D0F85"/>
    <w:rsid w:val="00310F8D"/>
    <w:rsid w:val="003113E4"/>
    <w:rsid w:val="0033130A"/>
    <w:rsid w:val="00347145"/>
    <w:rsid w:val="00351564"/>
    <w:rsid w:val="00352717"/>
    <w:rsid w:val="00380EA5"/>
    <w:rsid w:val="00381487"/>
    <w:rsid w:val="0038184F"/>
    <w:rsid w:val="0038695F"/>
    <w:rsid w:val="00397620"/>
    <w:rsid w:val="003A3882"/>
    <w:rsid w:val="003C705C"/>
    <w:rsid w:val="003C7B19"/>
    <w:rsid w:val="003D631A"/>
    <w:rsid w:val="003E690B"/>
    <w:rsid w:val="003F6AAE"/>
    <w:rsid w:val="00404F35"/>
    <w:rsid w:val="004115ED"/>
    <w:rsid w:val="00424F1A"/>
    <w:rsid w:val="00443CDB"/>
    <w:rsid w:val="00461DED"/>
    <w:rsid w:val="00465C34"/>
    <w:rsid w:val="00465E5A"/>
    <w:rsid w:val="00476932"/>
    <w:rsid w:val="00477197"/>
    <w:rsid w:val="004E3E31"/>
    <w:rsid w:val="004E5414"/>
    <w:rsid w:val="004E5A87"/>
    <w:rsid w:val="004F6493"/>
    <w:rsid w:val="00520BF2"/>
    <w:rsid w:val="0053555D"/>
    <w:rsid w:val="00536CA6"/>
    <w:rsid w:val="00545789"/>
    <w:rsid w:val="00547D86"/>
    <w:rsid w:val="00554841"/>
    <w:rsid w:val="0056474D"/>
    <w:rsid w:val="005675C1"/>
    <w:rsid w:val="0057224E"/>
    <w:rsid w:val="00585302"/>
    <w:rsid w:val="00585358"/>
    <w:rsid w:val="00597C39"/>
    <w:rsid w:val="005A02EA"/>
    <w:rsid w:val="005A720B"/>
    <w:rsid w:val="005B3BFF"/>
    <w:rsid w:val="005B4828"/>
    <w:rsid w:val="005B5D35"/>
    <w:rsid w:val="005D190F"/>
    <w:rsid w:val="005F20AC"/>
    <w:rsid w:val="005F515C"/>
    <w:rsid w:val="005F66F1"/>
    <w:rsid w:val="00601634"/>
    <w:rsid w:val="00607406"/>
    <w:rsid w:val="00610D8D"/>
    <w:rsid w:val="0062082E"/>
    <w:rsid w:val="00621F5F"/>
    <w:rsid w:val="006227FE"/>
    <w:rsid w:val="00636514"/>
    <w:rsid w:val="0064272D"/>
    <w:rsid w:val="00645F80"/>
    <w:rsid w:val="00651F29"/>
    <w:rsid w:val="006564B0"/>
    <w:rsid w:val="006718AB"/>
    <w:rsid w:val="006A5F7D"/>
    <w:rsid w:val="006B1383"/>
    <w:rsid w:val="006B17AC"/>
    <w:rsid w:val="006B1D87"/>
    <w:rsid w:val="006B6EE0"/>
    <w:rsid w:val="006C24E2"/>
    <w:rsid w:val="006D09A6"/>
    <w:rsid w:val="006D4FC6"/>
    <w:rsid w:val="006E5DED"/>
    <w:rsid w:val="006F452E"/>
    <w:rsid w:val="006F4999"/>
    <w:rsid w:val="006F560D"/>
    <w:rsid w:val="006F7197"/>
    <w:rsid w:val="0070235D"/>
    <w:rsid w:val="007033D5"/>
    <w:rsid w:val="00720C4F"/>
    <w:rsid w:val="00730DE4"/>
    <w:rsid w:val="0073105B"/>
    <w:rsid w:val="007313BC"/>
    <w:rsid w:val="00734039"/>
    <w:rsid w:val="00735E44"/>
    <w:rsid w:val="00742B52"/>
    <w:rsid w:val="00742C9B"/>
    <w:rsid w:val="0074797F"/>
    <w:rsid w:val="007620F9"/>
    <w:rsid w:val="00777B9C"/>
    <w:rsid w:val="007819E7"/>
    <w:rsid w:val="00782360"/>
    <w:rsid w:val="007917AE"/>
    <w:rsid w:val="00794626"/>
    <w:rsid w:val="007B48C3"/>
    <w:rsid w:val="007B63D9"/>
    <w:rsid w:val="007F04B8"/>
    <w:rsid w:val="00800711"/>
    <w:rsid w:val="00801E10"/>
    <w:rsid w:val="0081288B"/>
    <w:rsid w:val="0081501F"/>
    <w:rsid w:val="008339FF"/>
    <w:rsid w:val="008358CF"/>
    <w:rsid w:val="00853C38"/>
    <w:rsid w:val="00894868"/>
    <w:rsid w:val="008A50C9"/>
    <w:rsid w:val="008B0D6C"/>
    <w:rsid w:val="008D3840"/>
    <w:rsid w:val="008E12C6"/>
    <w:rsid w:val="00910B0E"/>
    <w:rsid w:val="0091412C"/>
    <w:rsid w:val="00921F24"/>
    <w:rsid w:val="009405F3"/>
    <w:rsid w:val="00943B86"/>
    <w:rsid w:val="00944D50"/>
    <w:rsid w:val="00964EDE"/>
    <w:rsid w:val="00980841"/>
    <w:rsid w:val="009932D9"/>
    <w:rsid w:val="009970DE"/>
    <w:rsid w:val="009A61FD"/>
    <w:rsid w:val="009B1FD2"/>
    <w:rsid w:val="009B6A29"/>
    <w:rsid w:val="009C1918"/>
    <w:rsid w:val="009C2E2C"/>
    <w:rsid w:val="009C6E6B"/>
    <w:rsid w:val="009D1313"/>
    <w:rsid w:val="009D135B"/>
    <w:rsid w:val="009F1393"/>
    <w:rsid w:val="00A06532"/>
    <w:rsid w:val="00A06F80"/>
    <w:rsid w:val="00A163F6"/>
    <w:rsid w:val="00A22E97"/>
    <w:rsid w:val="00A3484A"/>
    <w:rsid w:val="00A34C8D"/>
    <w:rsid w:val="00A43158"/>
    <w:rsid w:val="00A4544B"/>
    <w:rsid w:val="00A50F70"/>
    <w:rsid w:val="00A54D9B"/>
    <w:rsid w:val="00A562D8"/>
    <w:rsid w:val="00A84427"/>
    <w:rsid w:val="00AA4F3B"/>
    <w:rsid w:val="00AA76E1"/>
    <w:rsid w:val="00AA7760"/>
    <w:rsid w:val="00AB33D8"/>
    <w:rsid w:val="00AB5E47"/>
    <w:rsid w:val="00AC09D7"/>
    <w:rsid w:val="00AD3B3E"/>
    <w:rsid w:val="00B00752"/>
    <w:rsid w:val="00B034D3"/>
    <w:rsid w:val="00B04EF0"/>
    <w:rsid w:val="00B34EF0"/>
    <w:rsid w:val="00B35C5E"/>
    <w:rsid w:val="00B364E3"/>
    <w:rsid w:val="00B40C15"/>
    <w:rsid w:val="00B61485"/>
    <w:rsid w:val="00B623EB"/>
    <w:rsid w:val="00B633C6"/>
    <w:rsid w:val="00B85B2A"/>
    <w:rsid w:val="00B93CDB"/>
    <w:rsid w:val="00BA129D"/>
    <w:rsid w:val="00BA6D03"/>
    <w:rsid w:val="00BB2863"/>
    <w:rsid w:val="00BC36B7"/>
    <w:rsid w:val="00BD5E5D"/>
    <w:rsid w:val="00BF076E"/>
    <w:rsid w:val="00BF1E79"/>
    <w:rsid w:val="00BF4F2B"/>
    <w:rsid w:val="00BF64BA"/>
    <w:rsid w:val="00C03394"/>
    <w:rsid w:val="00C07D1C"/>
    <w:rsid w:val="00C400D6"/>
    <w:rsid w:val="00C87BF7"/>
    <w:rsid w:val="00C935A7"/>
    <w:rsid w:val="00CB2029"/>
    <w:rsid w:val="00CC2AF9"/>
    <w:rsid w:val="00CD5B77"/>
    <w:rsid w:val="00D03EF8"/>
    <w:rsid w:val="00D05335"/>
    <w:rsid w:val="00D13A12"/>
    <w:rsid w:val="00D160CC"/>
    <w:rsid w:val="00D1746A"/>
    <w:rsid w:val="00D21DD1"/>
    <w:rsid w:val="00D2252B"/>
    <w:rsid w:val="00D23640"/>
    <w:rsid w:val="00D401D6"/>
    <w:rsid w:val="00D42DB7"/>
    <w:rsid w:val="00D47FB0"/>
    <w:rsid w:val="00D5182F"/>
    <w:rsid w:val="00D562BD"/>
    <w:rsid w:val="00D578A1"/>
    <w:rsid w:val="00D63172"/>
    <w:rsid w:val="00D66F3D"/>
    <w:rsid w:val="00D761F6"/>
    <w:rsid w:val="00D84949"/>
    <w:rsid w:val="00D94924"/>
    <w:rsid w:val="00D9539B"/>
    <w:rsid w:val="00D96976"/>
    <w:rsid w:val="00DA613E"/>
    <w:rsid w:val="00DC1304"/>
    <w:rsid w:val="00DC2366"/>
    <w:rsid w:val="00DC2A09"/>
    <w:rsid w:val="00DD00BE"/>
    <w:rsid w:val="00DE1043"/>
    <w:rsid w:val="00DF7261"/>
    <w:rsid w:val="00E04D3F"/>
    <w:rsid w:val="00E10A6E"/>
    <w:rsid w:val="00E11081"/>
    <w:rsid w:val="00E2449A"/>
    <w:rsid w:val="00E27559"/>
    <w:rsid w:val="00E320F9"/>
    <w:rsid w:val="00E525D3"/>
    <w:rsid w:val="00E56BD5"/>
    <w:rsid w:val="00E57D01"/>
    <w:rsid w:val="00E7072B"/>
    <w:rsid w:val="00E74BC2"/>
    <w:rsid w:val="00E92AC9"/>
    <w:rsid w:val="00EA3F37"/>
    <w:rsid w:val="00ED24CB"/>
    <w:rsid w:val="00ED3A6F"/>
    <w:rsid w:val="00EE4CAE"/>
    <w:rsid w:val="00F15FF6"/>
    <w:rsid w:val="00F34CD5"/>
    <w:rsid w:val="00F411EA"/>
    <w:rsid w:val="00F41DE9"/>
    <w:rsid w:val="00F44C98"/>
    <w:rsid w:val="00F531AD"/>
    <w:rsid w:val="00F60662"/>
    <w:rsid w:val="00F62FED"/>
    <w:rsid w:val="00F65DFF"/>
    <w:rsid w:val="00F65E52"/>
    <w:rsid w:val="00F746DA"/>
    <w:rsid w:val="00F8728D"/>
    <w:rsid w:val="00F90B01"/>
    <w:rsid w:val="00F90C03"/>
    <w:rsid w:val="00F90C33"/>
    <w:rsid w:val="00F9126E"/>
    <w:rsid w:val="00F94A68"/>
    <w:rsid w:val="00FA195A"/>
    <w:rsid w:val="00FB1C32"/>
    <w:rsid w:val="00FB216E"/>
    <w:rsid w:val="00FB3F01"/>
    <w:rsid w:val="00FC4BD9"/>
    <w:rsid w:val="00FD2286"/>
    <w:rsid w:val="00FD7A3F"/>
    <w:rsid w:val="00FE4AA0"/>
    <w:rsid w:val="00FF60BC"/>
    <w:rsid w:val="016CDF56"/>
    <w:rsid w:val="13E645B8"/>
    <w:rsid w:val="2070EB30"/>
    <w:rsid w:val="217196C6"/>
    <w:rsid w:val="306DE69D"/>
    <w:rsid w:val="3B5927D7"/>
    <w:rsid w:val="4007286F"/>
    <w:rsid w:val="4A76A232"/>
    <w:rsid w:val="4D515298"/>
    <w:rsid w:val="6315821B"/>
    <w:rsid w:val="63235337"/>
    <w:rsid w:val="6898EE32"/>
    <w:rsid w:val="6FF13ABE"/>
    <w:rsid w:val="7212EE7C"/>
    <w:rsid w:val="76623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BB7B05F-7199-4037-884F-063320E5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FB3F01"/>
    <w:pPr>
      <w:spacing w:before="240" w:after="240"/>
      <w:ind w:left="1440" w:hanging="1440"/>
      <w:outlineLvl w:val="0"/>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nhideWhenUsed/>
    <w:rsid w:val="00153DCE"/>
    <w:pPr>
      <w:tabs>
        <w:tab w:val="center" w:pos="4680"/>
        <w:tab w:val="right" w:pos="9360"/>
      </w:tabs>
    </w:pPr>
  </w:style>
  <w:style w:type="character" w:customStyle="1" w:styleId="FooterChar">
    <w:name w:val="Footer Char"/>
    <w:basedOn w:val="DefaultParagraphFont"/>
    <w:link w:val="Footer"/>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FB3F01"/>
    <w:rPr>
      <w:rFonts w:ascii="Times New Roman" w:eastAsia="Times New Roman" w:hAnsi="Times New Roman" w:cs="Times New Roman"/>
      <w:b/>
    </w:rPr>
  </w:style>
  <w:style w:type="paragraph" w:styleId="List">
    <w:name w:val="List"/>
    <w:basedOn w:val="Normal"/>
    <w:rsid w:val="00FB3F01"/>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ascii="Arial" w:eastAsia="Times New Roman" w:hAnsi="Arial" w:cs="Times New Roman"/>
      <w:sz w:val="20"/>
      <w:szCs w:val="20"/>
    </w:rPr>
  </w:style>
  <w:style w:type="paragraph" w:styleId="List2">
    <w:name w:val="List 2"/>
    <w:basedOn w:val="Normal"/>
    <w:rsid w:val="00FB3F01"/>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ascii="Arial" w:eastAsia="Times New Roman" w:hAnsi="Arial" w:cs="Times New Roman"/>
      <w:sz w:val="20"/>
      <w:szCs w:val="20"/>
    </w:rPr>
  </w:style>
  <w:style w:type="character" w:styleId="CommentReference">
    <w:name w:val="annotation reference"/>
    <w:rsid w:val="00FB3F01"/>
    <w:rPr>
      <w:sz w:val="16"/>
      <w:szCs w:val="16"/>
    </w:rPr>
  </w:style>
  <w:style w:type="paragraph" w:styleId="CommentText">
    <w:name w:val="annotation text"/>
    <w:basedOn w:val="Normal"/>
    <w:link w:val="CommentTextChar"/>
    <w:rsid w:val="00FB3F01"/>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3F01"/>
    <w:rPr>
      <w:rFonts w:ascii="Times New Roman" w:eastAsia="Times New Roman" w:hAnsi="Times New Roman" w:cs="Times New Roman"/>
      <w:sz w:val="20"/>
      <w:szCs w:val="20"/>
    </w:rPr>
  </w:style>
  <w:style w:type="paragraph" w:styleId="NoSpacing">
    <w:name w:val="No Spacing"/>
    <w:uiPriority w:val="1"/>
    <w:qFormat/>
    <w:rsid w:val="00FB3F01"/>
    <w:rPr>
      <w:rFonts w:ascii="Arial" w:eastAsia="Times New Roman" w:hAnsi="Arial" w:cs="Arial"/>
      <w:szCs w:val="20"/>
    </w:rPr>
  </w:style>
  <w:style w:type="paragraph" w:styleId="CommentSubject">
    <w:name w:val="annotation subject"/>
    <w:basedOn w:val="CommentText"/>
    <w:next w:val="CommentText"/>
    <w:link w:val="CommentSubjectChar"/>
    <w:uiPriority w:val="99"/>
    <w:semiHidden/>
    <w:unhideWhenUsed/>
    <w:rsid w:val="00D0533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05335"/>
    <w:rPr>
      <w:rFonts w:ascii="Times New Roman" w:eastAsia="Times New Roman" w:hAnsi="Times New Roman" w:cs="Times New Roman"/>
      <w:b/>
      <w:bCs/>
      <w:sz w:val="20"/>
      <w:szCs w:val="20"/>
    </w:rPr>
  </w:style>
  <w:style w:type="paragraph" w:styleId="Revision">
    <w:name w:val="Revision"/>
    <w:hidden/>
    <w:uiPriority w:val="99"/>
    <w:semiHidden/>
    <w:rsid w:val="005F515C"/>
  </w:style>
  <w:style w:type="character" w:styleId="Mention">
    <w:name w:val="Mention"/>
    <w:basedOn w:val="DefaultParagraphFont"/>
    <w:uiPriority w:val="99"/>
    <w:unhideWhenUsed/>
    <w:rsid w:val="004F64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1" ma:contentTypeDescription="Create a new document." ma:contentTypeScope="" ma:versionID="365a80cb00793d580f9562352f7cd4a0">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70ac7a84335ded99bcba601d2094e601"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81fc432-fae8-469c-a76b-19b702218eac}"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SharedWithUsers xmlns="3efdb8b0-c47e-4c3c-846a-2bf99d413b35">
      <UserInfo>
        <DisplayName>Clausen, Jeffrey (EHS)</DisplayName>
        <AccountId>94</AccountId>
        <AccountType/>
      </UserInfo>
      <UserInfo>
        <DisplayName>Murdock, Pamela (EHS)</DisplayName>
        <AccountId>30</AccountId>
        <AccountType/>
      </UserInfo>
      <UserInfo>
        <DisplayName>Briand, Dayva</DisplayName>
        <AccountId>41</AccountId>
        <AccountType/>
      </UserInfo>
      <UserInfo>
        <DisplayName>Briggs, Debby (EHS)</DisplayName>
        <AccountId>238</AccountId>
        <AccountType/>
      </UserInfo>
      <UserInfo>
        <DisplayName>Bennett, Joan (EHS)</DisplayName>
        <AccountId>192</AccountId>
        <AccountType/>
      </UserInfo>
      <UserInfo>
        <DisplayName>Terpelets, Pavel (EHS)</DisplayName>
        <AccountId>16</AccountId>
        <AccountType/>
      </UserInfo>
      <UserInfo>
        <DisplayName>Schooling, Kathryn H (EHS)</DisplayName>
        <AccountId>239</AccountId>
        <AccountType/>
      </UserInfo>
      <UserInfo>
        <DisplayName>Durbin, Philippa (EHS)</DisplayName>
        <AccountId>240</AccountId>
        <AccountType/>
      </UserInfo>
      <UserInfo>
        <DisplayName>MacLachlan, Jamison B (EHS)</DisplayName>
        <AccountId>241</AccountId>
        <AccountType/>
      </UserInfo>
      <UserInfo>
        <DisplayName>Dalmar, Deborah (EHS)</DisplayName>
        <AccountId>242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B70E9-B1BB-4B78-BFBA-BF06EEA36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442BB599-8839-4967-BFFB-C4F243E4C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Schooling, Kathryn H (EHS)</cp:lastModifiedBy>
  <cp:revision>4</cp:revision>
  <cp:lastPrinted>2023-03-01T23:48:00Z</cp:lastPrinted>
  <dcterms:created xsi:type="dcterms:W3CDTF">2023-12-07T17:58:00Z</dcterms:created>
  <dcterms:modified xsi:type="dcterms:W3CDTF">2023-12-07T18:11:00Z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Order">
    <vt:r8>9600</vt:r8>
  </property>
  <property fmtid="{D5CDD505-2E9C-101B-9397-08002B2CF9AE}" pid="4" name="MediaServiceImageTags">
    <vt:lpwstr/>
  </property>
</Properties>
</file>