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5CCA" w14:textId="77777777" w:rsidR="00A9263C" w:rsidRDefault="00A9263C" w:rsidP="000E508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3E44A65C" w14:textId="470F9F5B" w:rsidR="00C20C8A" w:rsidRDefault="00A9263C" w:rsidP="000E508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Executive Office of Health and Human Services</w:t>
      </w:r>
    </w:p>
    <w:p w14:paraId="542B2BDB" w14:textId="77777777" w:rsidR="00C20C8A" w:rsidRDefault="00C20C8A" w:rsidP="000E508A">
      <w:pPr>
        <w:spacing w:after="0" w:line="240" w:lineRule="auto"/>
        <w:jc w:val="center"/>
        <w:rPr>
          <w:b/>
          <w:bCs/>
        </w:rPr>
      </w:pPr>
    </w:p>
    <w:p w14:paraId="22A53844" w14:textId="6AAEEF9C" w:rsidR="000E508A" w:rsidRPr="008E23CF" w:rsidRDefault="001940D5" w:rsidP="000E508A">
      <w:pPr>
        <w:spacing w:after="0" w:line="240" w:lineRule="auto"/>
        <w:jc w:val="center"/>
        <w:rPr>
          <w:b/>
          <w:bCs/>
        </w:rPr>
      </w:pPr>
      <w:r w:rsidRPr="008E23CF">
        <w:rPr>
          <w:b/>
          <w:bCs/>
        </w:rPr>
        <w:t xml:space="preserve">NOTICE OF </w:t>
      </w:r>
      <w:r w:rsidR="00FB03CB" w:rsidRPr="008E23CF">
        <w:rPr>
          <w:b/>
          <w:bCs/>
        </w:rPr>
        <w:t xml:space="preserve">PROPOSED </w:t>
      </w:r>
      <w:r w:rsidR="000E508A" w:rsidRPr="008E23CF">
        <w:rPr>
          <w:b/>
          <w:bCs/>
        </w:rPr>
        <w:t xml:space="preserve">CHANGES IN STATEWIDE METHODS AND STANDARDS </w:t>
      </w:r>
    </w:p>
    <w:p w14:paraId="376C568E" w14:textId="2149CFCB" w:rsidR="001940D5" w:rsidRDefault="000E508A" w:rsidP="000E508A">
      <w:pPr>
        <w:spacing w:after="0" w:line="240" w:lineRule="auto"/>
        <w:jc w:val="center"/>
        <w:rPr>
          <w:b/>
          <w:bCs/>
        </w:rPr>
      </w:pPr>
      <w:r w:rsidRPr="008E23CF">
        <w:rPr>
          <w:b/>
          <w:bCs/>
        </w:rPr>
        <w:t>FOR SETTING PAYMENT RATES</w:t>
      </w:r>
    </w:p>
    <w:p w14:paraId="27B55525" w14:textId="77777777" w:rsidR="00A12765" w:rsidRPr="008E23CF" w:rsidRDefault="00A12765" w:rsidP="000E508A">
      <w:pPr>
        <w:spacing w:after="0" w:line="240" w:lineRule="auto"/>
        <w:jc w:val="center"/>
        <w:rPr>
          <w:b/>
          <w:bCs/>
        </w:rPr>
      </w:pPr>
    </w:p>
    <w:p w14:paraId="524154DC" w14:textId="77777777" w:rsidR="000E508A" w:rsidRDefault="000E508A" w:rsidP="000E508A">
      <w:pPr>
        <w:spacing w:after="0" w:line="240" w:lineRule="auto"/>
        <w:jc w:val="center"/>
      </w:pPr>
    </w:p>
    <w:p w14:paraId="45269FDF" w14:textId="13E1090F" w:rsidR="001940D5" w:rsidRDefault="001940D5" w:rsidP="008E23CF">
      <w:pPr>
        <w:spacing w:line="240" w:lineRule="auto"/>
      </w:pPr>
      <w:r w:rsidRPr="008E23CF">
        <w:rPr>
          <w:b/>
          <w:bCs/>
        </w:rPr>
        <w:t>SUBJECT:</w:t>
      </w:r>
      <w:r>
        <w:tab/>
        <w:t xml:space="preserve">MassHealth: </w:t>
      </w:r>
      <w:r w:rsidR="000E508A">
        <w:t xml:space="preserve">Rates for MassHealth </w:t>
      </w:r>
      <w:r w:rsidR="0047128C">
        <w:t>Adult Foster Care</w:t>
      </w:r>
      <w:r>
        <w:t xml:space="preserve"> </w:t>
      </w:r>
      <w:r w:rsidR="000E508A">
        <w:t>Services</w:t>
      </w:r>
    </w:p>
    <w:p w14:paraId="75D01423" w14:textId="77777777" w:rsidR="001940D5" w:rsidRDefault="001940D5" w:rsidP="008E23CF">
      <w:pPr>
        <w:spacing w:line="240" w:lineRule="auto"/>
      </w:pPr>
      <w:r w:rsidRPr="008E23CF">
        <w:rPr>
          <w:b/>
          <w:bCs/>
        </w:rPr>
        <w:t>AGENCY:</w:t>
      </w:r>
      <w:r>
        <w:tab/>
        <w:t>Massachusetts Executive Office of Health and Human Services</w:t>
      </w:r>
    </w:p>
    <w:p w14:paraId="4AA172A8" w14:textId="730A43D6" w:rsidR="001940D5" w:rsidRDefault="000E508A" w:rsidP="008E23CF">
      <w:pPr>
        <w:spacing w:line="240" w:lineRule="auto"/>
        <w:ind w:left="1440" w:hanging="1440"/>
      </w:pPr>
      <w:r w:rsidRPr="008E23CF">
        <w:rPr>
          <w:b/>
          <w:bCs/>
        </w:rPr>
        <w:t>SUMMARY</w:t>
      </w:r>
      <w:r w:rsidR="001940D5" w:rsidRPr="008E23CF">
        <w:rPr>
          <w:b/>
          <w:bCs/>
        </w:rPr>
        <w:t>:</w:t>
      </w:r>
      <w:r w:rsidR="001940D5">
        <w:t xml:space="preserve"> </w:t>
      </w:r>
      <w:r w:rsidR="003D4B4E">
        <w:t xml:space="preserve"> </w:t>
      </w:r>
      <w:r w:rsidR="001940D5">
        <w:t xml:space="preserve">MassHealth </w:t>
      </w:r>
      <w:r w:rsidR="00FB03CB">
        <w:t>Proposed</w:t>
      </w:r>
      <w:r>
        <w:t xml:space="preserve"> Rate</w:t>
      </w:r>
      <w:r w:rsidR="00FB03CB">
        <w:t xml:space="preserve"> Change</w:t>
      </w:r>
      <w:r>
        <w:t>s for</w:t>
      </w:r>
      <w:r w:rsidR="002D7586">
        <w:t xml:space="preserve"> </w:t>
      </w:r>
      <w:r w:rsidR="0047128C">
        <w:t>Certain Adult Foster Care</w:t>
      </w:r>
      <w:r w:rsidR="00050830">
        <w:t xml:space="preserve"> Services E</w:t>
      </w:r>
      <w:r w:rsidR="00265C18">
        <w:t>ffective</w:t>
      </w:r>
      <w:r w:rsidR="00817E43">
        <w:t xml:space="preserve"> </w:t>
      </w:r>
      <w:r w:rsidR="00EC6028">
        <w:t xml:space="preserve">July 1, </w:t>
      </w:r>
      <w:r w:rsidR="0028151C">
        <w:t>2022</w:t>
      </w:r>
    </w:p>
    <w:p w14:paraId="50FBE326" w14:textId="77777777" w:rsidR="0028151C" w:rsidRPr="008E23CF" w:rsidRDefault="001940D5" w:rsidP="001054A7">
      <w:pPr>
        <w:rPr>
          <w:b/>
          <w:bCs/>
        </w:rPr>
      </w:pPr>
      <w:r w:rsidRPr="008E23CF">
        <w:rPr>
          <w:b/>
          <w:bCs/>
        </w:rPr>
        <w:t xml:space="preserve">DESCRIPTION OF </w:t>
      </w:r>
      <w:r w:rsidR="000E508A" w:rsidRPr="008E23CF">
        <w:rPr>
          <w:b/>
          <w:bCs/>
        </w:rPr>
        <w:t>CHANGES:</w:t>
      </w:r>
      <w:r w:rsidR="00701A03" w:rsidRPr="008E23CF">
        <w:rPr>
          <w:b/>
          <w:bCs/>
        </w:rPr>
        <w:t xml:space="preserve"> </w:t>
      </w:r>
    </w:p>
    <w:p w14:paraId="2EB87F42" w14:textId="6BD9657F" w:rsidR="004A1171" w:rsidRDefault="00FB03CB" w:rsidP="008E23CF">
      <w:pPr>
        <w:spacing w:line="240" w:lineRule="auto"/>
      </w:pPr>
      <w:r w:rsidRPr="005E3936">
        <w:t xml:space="preserve">The following </w:t>
      </w:r>
      <w:r w:rsidR="00781375">
        <w:t>are</w:t>
      </w:r>
      <w:r w:rsidRPr="005E3936">
        <w:t xml:space="preserve"> </w:t>
      </w:r>
      <w:r w:rsidR="00ED692A">
        <w:t xml:space="preserve">proposed </w:t>
      </w:r>
      <w:r w:rsidR="004A1171">
        <w:t>changes to</w:t>
      </w:r>
      <w:r w:rsidR="00781375">
        <w:t xml:space="preserve"> rates for</w:t>
      </w:r>
      <w:r w:rsidR="004A1171">
        <w:t xml:space="preserve"> </w:t>
      </w:r>
      <w:r w:rsidR="0047128C">
        <w:t xml:space="preserve">adult foster care </w:t>
      </w:r>
      <w:r w:rsidR="004A1171">
        <w:t>(</w:t>
      </w:r>
      <w:r w:rsidR="0047128C">
        <w:t>AFC</w:t>
      </w:r>
      <w:r w:rsidR="004A1171">
        <w:t>) services</w:t>
      </w:r>
      <w:r w:rsidR="0047128C">
        <w:t xml:space="preserve">, inclusive of group adult foster care </w:t>
      </w:r>
      <w:r w:rsidR="00C37EAA">
        <w:t xml:space="preserve">(GAFC) </w:t>
      </w:r>
      <w:r w:rsidR="0047128C">
        <w:t xml:space="preserve">services, </w:t>
      </w:r>
      <w:r w:rsidR="0047128C">
        <w:rPr>
          <w:rFonts w:cs="Times New Roman"/>
        </w:rPr>
        <w:t xml:space="preserve">established in regulation at 101 CMR 351.00 </w:t>
      </w:r>
      <w:r w:rsidR="0047128C" w:rsidRPr="005E3936">
        <w:rPr>
          <w:rFonts w:cs="Times New Roman"/>
        </w:rPr>
        <w:t xml:space="preserve">pursuant to </w:t>
      </w:r>
      <w:r w:rsidR="0047128C">
        <w:rPr>
          <w:rFonts w:cs="Times New Roman"/>
        </w:rPr>
        <w:t>Massachusetts General Laws Chapter 118E, Sections 13C and 13D,</w:t>
      </w:r>
      <w:r w:rsidR="004A1171">
        <w:t xml:space="preserve"> </w:t>
      </w:r>
      <w:r w:rsidR="0047128C">
        <w:t xml:space="preserve">and </w:t>
      </w:r>
      <w:r w:rsidR="004A1171">
        <w:t xml:space="preserve">effective </w:t>
      </w:r>
      <w:r w:rsidR="00AD00BD">
        <w:t xml:space="preserve">for dates of service provided </w:t>
      </w:r>
      <w:r w:rsidR="004A1171">
        <w:t>on</w:t>
      </w:r>
      <w:r w:rsidR="00601394">
        <w:t xml:space="preserve"> or after</w:t>
      </w:r>
      <w:r w:rsidR="004A1171">
        <w:t xml:space="preserve"> </w:t>
      </w:r>
      <w:r w:rsidR="00EC6028">
        <w:t xml:space="preserve">July 1, </w:t>
      </w:r>
      <w:r w:rsidR="0028151C">
        <w:t>2022</w:t>
      </w:r>
      <w:r w:rsidRPr="005E3936">
        <w:t xml:space="preserve">.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931"/>
        <w:gridCol w:w="1570"/>
        <w:gridCol w:w="1096"/>
        <w:gridCol w:w="1847"/>
      </w:tblGrid>
      <w:tr w:rsidR="00DD3F0A" w14:paraId="6656948C" w14:textId="77777777" w:rsidTr="00163376">
        <w:trPr>
          <w:trHeight w:val="710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6D3DA" w14:textId="77777777" w:rsidR="00DD3F0A" w:rsidRPr="009876EA" w:rsidRDefault="00DD3F0A" w:rsidP="008E23CF">
            <w:pPr>
              <w:spacing w:after="0"/>
              <w:jc w:val="center"/>
              <w:rPr>
                <w:b/>
              </w:rPr>
            </w:pPr>
            <w:bookmarkStart w:id="0" w:name="_Hlk106691860"/>
            <w:r w:rsidRPr="009876EA">
              <w:rPr>
                <w:b/>
              </w:rPr>
              <w:t>Service Name or Description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DA5BB" w14:textId="77777777" w:rsidR="00DD3F0A" w:rsidRDefault="00DD3F0A" w:rsidP="008E23C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Previous</w:t>
            </w:r>
            <w:r w:rsidRPr="009876EA">
              <w:rPr>
                <w:b/>
              </w:rPr>
              <w:t xml:space="preserve"> Rate</w:t>
            </w:r>
            <w:r>
              <w:rPr>
                <w:b/>
              </w:rPr>
              <w:t xml:space="preserve"> </w:t>
            </w:r>
          </w:p>
          <w:p w14:paraId="762A39F8" w14:textId="28C37A75" w:rsidR="00DD3F0A" w:rsidRPr="009876EA" w:rsidRDefault="00DD3F0A" w:rsidP="008E23C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(for reference)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ECEF6" w14:textId="30F72549" w:rsidR="00DD3F0A" w:rsidRPr="00F97B35" w:rsidRDefault="00DD3F0A" w:rsidP="008E23CF">
            <w:pPr>
              <w:spacing w:after="0"/>
              <w:jc w:val="center"/>
              <w:rPr>
                <w:b/>
              </w:rPr>
            </w:pPr>
            <w:r w:rsidRPr="00F97B35">
              <w:rPr>
                <w:b/>
              </w:rPr>
              <w:t xml:space="preserve">Rate Effective July 1, </w:t>
            </w:r>
            <w:r>
              <w:rPr>
                <w:b/>
              </w:rPr>
              <w:t>2022</w:t>
            </w:r>
          </w:p>
        </w:tc>
      </w:tr>
      <w:tr w:rsidR="00DD3F0A" w14:paraId="337C718F" w14:textId="77777777" w:rsidTr="00163376">
        <w:trPr>
          <w:trHeight w:val="288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14:paraId="228DAF41" w14:textId="77777777" w:rsidR="00DD3F0A" w:rsidRDefault="00DD3F0A" w:rsidP="008E23CF">
            <w:pPr>
              <w:spacing w:after="0"/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915C6" w14:textId="2CB30D7E" w:rsidR="00DD3F0A" w:rsidRPr="008E23CF" w:rsidRDefault="00DD3F0A" w:rsidP="008E23CF">
            <w:pPr>
              <w:spacing w:after="0"/>
              <w:jc w:val="center"/>
              <w:rPr>
                <w:b/>
                <w:bCs/>
              </w:rPr>
            </w:pPr>
            <w:r w:rsidRPr="008E23CF">
              <w:rPr>
                <w:b/>
                <w:bCs/>
              </w:rPr>
              <w:t>Rate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51982" w14:textId="53207285" w:rsidR="00DD3F0A" w:rsidRPr="008E23CF" w:rsidRDefault="00DD3F0A" w:rsidP="008E23CF">
            <w:pPr>
              <w:spacing w:after="0"/>
              <w:jc w:val="center"/>
              <w:rPr>
                <w:b/>
                <w:bCs/>
              </w:rPr>
            </w:pPr>
            <w:r w:rsidRPr="008E23CF">
              <w:rPr>
                <w:b/>
                <w:bCs/>
              </w:rPr>
              <w:t>Unit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05C21" w14:textId="03789E66" w:rsidR="00DD3F0A" w:rsidRPr="008E23CF" w:rsidRDefault="00DD3F0A" w:rsidP="008E23CF">
            <w:pPr>
              <w:spacing w:after="0"/>
              <w:jc w:val="center"/>
              <w:rPr>
                <w:b/>
                <w:bCs/>
              </w:rPr>
            </w:pPr>
            <w:r w:rsidRPr="008E23CF">
              <w:rPr>
                <w:b/>
                <w:bCs/>
              </w:rPr>
              <w:t>Rate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15B37E7" w14:textId="6AF10EDA" w:rsidR="00DD3F0A" w:rsidRPr="008E23CF" w:rsidRDefault="00DD3F0A" w:rsidP="008E23CF">
            <w:pPr>
              <w:spacing w:after="0"/>
              <w:jc w:val="center"/>
              <w:rPr>
                <w:b/>
                <w:bCs/>
              </w:rPr>
            </w:pPr>
            <w:r w:rsidRPr="008E23CF">
              <w:rPr>
                <w:b/>
                <w:bCs/>
              </w:rPr>
              <w:t>Unit</w:t>
            </w:r>
          </w:p>
        </w:tc>
      </w:tr>
      <w:tr w:rsidR="00C37EAA" w14:paraId="55B5DAB8" w14:textId="77777777" w:rsidTr="008E23CF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D5038" w14:textId="13E12A62" w:rsidR="00A05BFC" w:rsidRPr="009876EA" w:rsidRDefault="00A05BFC" w:rsidP="008E23CF">
            <w:pPr>
              <w:spacing w:after="0"/>
              <w:rPr>
                <w:b/>
              </w:rPr>
            </w:pPr>
            <w:r w:rsidRPr="00350BCB">
              <w:rPr>
                <w:sz w:val="22"/>
                <w:szCs w:val="22"/>
              </w:rPr>
              <w:t>AFC Level I</w:t>
            </w:r>
          </w:p>
        </w:tc>
        <w:tc>
          <w:tcPr>
            <w:tcW w:w="0" w:type="auto"/>
            <w:shd w:val="clear" w:color="auto" w:fill="auto"/>
          </w:tcPr>
          <w:p w14:paraId="279B42F2" w14:textId="78E05EBD" w:rsidR="00A05BFC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48.10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40626" w14:textId="3D507A8A" w:rsidR="00A05BFC" w:rsidRDefault="00A05BFC" w:rsidP="008E23CF">
            <w:pPr>
              <w:spacing w:after="0"/>
              <w:jc w:val="center"/>
            </w:pPr>
            <w:r>
              <w:t>Per diem</w:t>
            </w:r>
          </w:p>
        </w:tc>
        <w:tc>
          <w:tcPr>
            <w:tcW w:w="0" w:type="auto"/>
            <w:vAlign w:val="center"/>
          </w:tcPr>
          <w:p w14:paraId="3A4C972D" w14:textId="0524AECE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48.10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507C1B" w14:textId="5379C404" w:rsidR="00A05BFC" w:rsidRPr="00F97B35" w:rsidRDefault="00A05BFC" w:rsidP="008E23CF">
            <w:pPr>
              <w:spacing w:after="0"/>
              <w:jc w:val="center"/>
            </w:pPr>
            <w:r>
              <w:t>Per diem</w:t>
            </w:r>
          </w:p>
        </w:tc>
      </w:tr>
      <w:tr w:rsidR="00C37EAA" w14:paraId="135ED232" w14:textId="77777777" w:rsidTr="008E23CF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4A68D" w14:textId="4023B051" w:rsidR="00A05BFC" w:rsidRPr="009876EA" w:rsidRDefault="00A05BFC" w:rsidP="008E23CF">
            <w:pPr>
              <w:spacing w:after="0"/>
              <w:rPr>
                <w:b/>
              </w:rPr>
            </w:pPr>
            <w:r w:rsidRPr="00350BCB">
              <w:rPr>
                <w:sz w:val="22"/>
                <w:szCs w:val="22"/>
              </w:rPr>
              <w:t>AFC Level II</w:t>
            </w:r>
          </w:p>
        </w:tc>
        <w:tc>
          <w:tcPr>
            <w:tcW w:w="0" w:type="auto"/>
            <w:shd w:val="clear" w:color="auto" w:fill="auto"/>
          </w:tcPr>
          <w:p w14:paraId="2DC643AB" w14:textId="529F708B" w:rsidR="00A05BFC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$8</w:t>
            </w:r>
            <w:r>
              <w:rPr>
                <w:sz w:val="22"/>
                <w:szCs w:val="22"/>
              </w:rPr>
              <w:t>2.67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EC5CC" w14:textId="3E361F03" w:rsidR="00A05BFC" w:rsidRDefault="00A05BFC" w:rsidP="008E23CF">
            <w:pPr>
              <w:spacing w:after="0"/>
              <w:jc w:val="center"/>
            </w:pPr>
            <w:r>
              <w:t>Per diem</w:t>
            </w:r>
          </w:p>
        </w:tc>
        <w:tc>
          <w:tcPr>
            <w:tcW w:w="0" w:type="auto"/>
            <w:vAlign w:val="center"/>
          </w:tcPr>
          <w:p w14:paraId="7996F24E" w14:textId="6B52C277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$8</w:t>
            </w:r>
            <w:r>
              <w:rPr>
                <w:sz w:val="22"/>
                <w:szCs w:val="22"/>
              </w:rPr>
              <w:t>2.67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DA9A51" w14:textId="0161BD07" w:rsidR="00A05BFC" w:rsidRPr="00F97B35" w:rsidRDefault="00A05BFC" w:rsidP="008E23CF">
            <w:pPr>
              <w:spacing w:after="0"/>
              <w:jc w:val="center"/>
            </w:pPr>
            <w:r>
              <w:t>Per diem</w:t>
            </w:r>
          </w:p>
        </w:tc>
      </w:tr>
      <w:tr w:rsidR="00C37EAA" w14:paraId="256069F6" w14:textId="77777777" w:rsidTr="008E23CF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2878E" w14:textId="342FEE8A" w:rsidR="00A05BFC" w:rsidRPr="009876EA" w:rsidRDefault="00A05BFC" w:rsidP="008E23CF">
            <w:pPr>
              <w:spacing w:after="0"/>
              <w:rPr>
                <w:b/>
              </w:rPr>
            </w:pPr>
            <w:r w:rsidRPr="00350BCB">
              <w:rPr>
                <w:sz w:val="22"/>
                <w:szCs w:val="22"/>
              </w:rPr>
              <w:t xml:space="preserve">AFC Level I Alternative </w:t>
            </w:r>
            <w:r>
              <w:rPr>
                <w:sz w:val="22"/>
                <w:szCs w:val="22"/>
              </w:rPr>
              <w:t>Caregiver Day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71FB0" w14:textId="49AD7650" w:rsidR="00A05BFC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$4</w:t>
            </w:r>
            <w:r>
              <w:rPr>
                <w:sz w:val="22"/>
                <w:szCs w:val="22"/>
              </w:rPr>
              <w:t>8.10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77941" w14:textId="18779259" w:rsidR="00A05BFC" w:rsidRDefault="00A05BFC" w:rsidP="008E23CF">
            <w:pPr>
              <w:spacing w:after="0"/>
              <w:jc w:val="center"/>
            </w:pPr>
            <w:r>
              <w:t>Per diem</w:t>
            </w:r>
          </w:p>
        </w:tc>
        <w:tc>
          <w:tcPr>
            <w:tcW w:w="0" w:type="auto"/>
            <w:vAlign w:val="center"/>
          </w:tcPr>
          <w:p w14:paraId="01D3960C" w14:textId="60FB40D2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$4</w:t>
            </w:r>
            <w:r>
              <w:rPr>
                <w:sz w:val="22"/>
                <w:szCs w:val="22"/>
              </w:rPr>
              <w:t>8.10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2FFF43" w14:textId="1D9D546A" w:rsidR="00A05BFC" w:rsidRPr="00F97B35" w:rsidRDefault="00A05BFC" w:rsidP="008E23CF">
            <w:pPr>
              <w:spacing w:after="0"/>
              <w:jc w:val="center"/>
            </w:pPr>
            <w:r>
              <w:t>Per diem</w:t>
            </w:r>
          </w:p>
        </w:tc>
      </w:tr>
      <w:tr w:rsidR="00C37EAA" w14:paraId="7A99BC2E" w14:textId="77777777" w:rsidTr="008E23CF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DCAD2" w14:textId="2DDEF92E" w:rsidR="00A05BFC" w:rsidRPr="009876EA" w:rsidRDefault="00A05BFC" w:rsidP="008E23CF">
            <w:pPr>
              <w:spacing w:after="0"/>
              <w:rPr>
                <w:b/>
              </w:rPr>
            </w:pPr>
            <w:r w:rsidRPr="00350BCB">
              <w:rPr>
                <w:sz w:val="22"/>
                <w:szCs w:val="22"/>
              </w:rPr>
              <w:t xml:space="preserve">AFC Level II Alternative </w:t>
            </w:r>
            <w:r>
              <w:rPr>
                <w:sz w:val="22"/>
                <w:szCs w:val="22"/>
              </w:rPr>
              <w:t>Caregiver Day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ACCEE" w14:textId="1EA0B188" w:rsidR="00A05BFC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$8</w:t>
            </w:r>
            <w:r>
              <w:rPr>
                <w:sz w:val="22"/>
                <w:szCs w:val="22"/>
              </w:rPr>
              <w:t>2.67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49D01" w14:textId="10FEC27B" w:rsidR="00A05BFC" w:rsidRDefault="00A05BFC" w:rsidP="008E23CF">
            <w:pPr>
              <w:spacing w:after="0"/>
              <w:jc w:val="center"/>
            </w:pPr>
            <w:r>
              <w:t>Per diem</w:t>
            </w:r>
          </w:p>
        </w:tc>
        <w:tc>
          <w:tcPr>
            <w:tcW w:w="0" w:type="auto"/>
            <w:vAlign w:val="center"/>
          </w:tcPr>
          <w:p w14:paraId="22C80156" w14:textId="21F2A037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$8</w:t>
            </w:r>
            <w:r>
              <w:rPr>
                <w:sz w:val="22"/>
                <w:szCs w:val="22"/>
              </w:rPr>
              <w:t>2.67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E80F24" w14:textId="37BC3A0E" w:rsidR="00A05BFC" w:rsidRPr="00F97B35" w:rsidRDefault="00A05BFC" w:rsidP="008E23CF">
            <w:pPr>
              <w:spacing w:after="0"/>
              <w:jc w:val="center"/>
            </w:pPr>
            <w:r>
              <w:t>Per diem</w:t>
            </w:r>
          </w:p>
        </w:tc>
      </w:tr>
      <w:tr w:rsidR="00C37EAA" w14:paraId="208354EE" w14:textId="77777777" w:rsidTr="008E23CF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52453" w14:textId="5E0A1367" w:rsidR="00A05BFC" w:rsidRPr="009876EA" w:rsidRDefault="00A05BFC" w:rsidP="008E23CF">
            <w:pPr>
              <w:spacing w:after="0"/>
              <w:rPr>
                <w:b/>
              </w:rPr>
            </w:pPr>
            <w:r w:rsidRPr="00350BCB">
              <w:rPr>
                <w:sz w:val="22"/>
                <w:szCs w:val="22"/>
              </w:rPr>
              <w:t>AFC Level I</w:t>
            </w:r>
            <w:r>
              <w:rPr>
                <w:sz w:val="22"/>
                <w:szCs w:val="22"/>
              </w:rPr>
              <w:t xml:space="preserve"> </w:t>
            </w:r>
            <w:r w:rsidRPr="00350BCB">
              <w:rPr>
                <w:sz w:val="22"/>
                <w:szCs w:val="22"/>
              </w:rPr>
              <w:t>MLOA Day</w:t>
            </w:r>
          </w:p>
        </w:tc>
        <w:tc>
          <w:tcPr>
            <w:tcW w:w="0" w:type="auto"/>
            <w:shd w:val="clear" w:color="auto" w:fill="auto"/>
          </w:tcPr>
          <w:p w14:paraId="69DF687B" w14:textId="15C7796A" w:rsidR="00A05BFC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$4</w:t>
            </w:r>
            <w:r>
              <w:rPr>
                <w:sz w:val="22"/>
                <w:szCs w:val="22"/>
              </w:rPr>
              <w:t>8.10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818EA" w14:textId="0100A677" w:rsidR="00A05BFC" w:rsidRDefault="00A05BFC" w:rsidP="008E23CF">
            <w:pPr>
              <w:spacing w:after="0"/>
              <w:jc w:val="center"/>
            </w:pPr>
            <w:r>
              <w:t>Per diem</w:t>
            </w:r>
          </w:p>
        </w:tc>
        <w:tc>
          <w:tcPr>
            <w:tcW w:w="0" w:type="auto"/>
          </w:tcPr>
          <w:p w14:paraId="43A0A7DE" w14:textId="73F93558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$4</w:t>
            </w:r>
            <w:r>
              <w:rPr>
                <w:sz w:val="22"/>
                <w:szCs w:val="22"/>
              </w:rPr>
              <w:t>8.10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54C7D8" w14:textId="4B0BFE5E" w:rsidR="00A05BFC" w:rsidRPr="00F97B35" w:rsidRDefault="00A05BFC" w:rsidP="008E23CF">
            <w:pPr>
              <w:spacing w:after="0"/>
              <w:jc w:val="center"/>
            </w:pPr>
            <w:r>
              <w:t>Per diem</w:t>
            </w:r>
          </w:p>
        </w:tc>
      </w:tr>
      <w:tr w:rsidR="00C37EAA" w14:paraId="1BC122DC" w14:textId="77777777" w:rsidTr="008E23CF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C1C6C" w14:textId="43975160" w:rsidR="00A05BFC" w:rsidRPr="009876EA" w:rsidRDefault="00A05BFC" w:rsidP="008E23CF">
            <w:pPr>
              <w:spacing w:after="0"/>
              <w:rPr>
                <w:b/>
              </w:rPr>
            </w:pPr>
            <w:r w:rsidRPr="00350BCB">
              <w:rPr>
                <w:sz w:val="22"/>
                <w:szCs w:val="22"/>
              </w:rPr>
              <w:t>AFC Level II</w:t>
            </w:r>
            <w:r>
              <w:rPr>
                <w:sz w:val="22"/>
                <w:szCs w:val="22"/>
              </w:rPr>
              <w:t xml:space="preserve"> </w:t>
            </w:r>
            <w:r w:rsidRPr="00350BCB">
              <w:rPr>
                <w:sz w:val="22"/>
                <w:szCs w:val="22"/>
              </w:rPr>
              <w:t>MLOA Day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B3346" w14:textId="2089842B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$8</w:t>
            </w:r>
            <w:r>
              <w:rPr>
                <w:sz w:val="22"/>
                <w:szCs w:val="22"/>
              </w:rPr>
              <w:t>2.67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AEEAF" w14:textId="515690DF" w:rsidR="00A05BFC" w:rsidRPr="00F97B35" w:rsidRDefault="00A05BFC" w:rsidP="008E23CF">
            <w:pPr>
              <w:spacing w:after="0"/>
              <w:jc w:val="center"/>
            </w:pPr>
            <w:r>
              <w:t>Per diem</w:t>
            </w:r>
          </w:p>
        </w:tc>
        <w:tc>
          <w:tcPr>
            <w:tcW w:w="0" w:type="auto"/>
            <w:vAlign w:val="center"/>
          </w:tcPr>
          <w:p w14:paraId="1883526B" w14:textId="3A80693B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$8</w:t>
            </w:r>
            <w:r>
              <w:rPr>
                <w:sz w:val="22"/>
                <w:szCs w:val="22"/>
              </w:rPr>
              <w:t>2.67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FD981C" w14:textId="262A450D" w:rsidR="00A05BFC" w:rsidRPr="00F97B35" w:rsidRDefault="00A05BFC" w:rsidP="008E23CF">
            <w:pPr>
              <w:spacing w:after="0"/>
              <w:jc w:val="center"/>
            </w:pPr>
            <w:r>
              <w:t>Per diem</w:t>
            </w:r>
          </w:p>
        </w:tc>
      </w:tr>
      <w:tr w:rsidR="00C37EAA" w14:paraId="2DDC1B7E" w14:textId="77777777" w:rsidTr="008E23CF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5B011" w14:textId="1F19AC7D" w:rsidR="00A05BFC" w:rsidRPr="009876EA" w:rsidRDefault="00A05BFC" w:rsidP="008E23CF">
            <w:pPr>
              <w:spacing w:after="0"/>
              <w:rPr>
                <w:b/>
              </w:rPr>
            </w:pPr>
            <w:r w:rsidRPr="00350BCB">
              <w:rPr>
                <w:sz w:val="22"/>
                <w:szCs w:val="22"/>
              </w:rPr>
              <w:t>AFC Level I</w:t>
            </w:r>
            <w:r>
              <w:rPr>
                <w:sz w:val="22"/>
                <w:szCs w:val="22"/>
              </w:rPr>
              <w:t xml:space="preserve"> </w:t>
            </w:r>
            <w:r w:rsidRPr="00350BCB">
              <w:rPr>
                <w:sz w:val="22"/>
                <w:szCs w:val="22"/>
              </w:rPr>
              <w:t>NMLOA Day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04F6B" w14:textId="56A022FC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$4</w:t>
            </w:r>
            <w:r>
              <w:rPr>
                <w:sz w:val="22"/>
                <w:szCs w:val="22"/>
              </w:rPr>
              <w:t>8.10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3B481" w14:textId="4DF1D3C8" w:rsidR="00A05BFC" w:rsidRPr="00F97B35" w:rsidRDefault="00A05BFC" w:rsidP="008E23CF">
            <w:pPr>
              <w:spacing w:after="0"/>
              <w:jc w:val="center"/>
            </w:pPr>
            <w:r>
              <w:t>Per diem</w:t>
            </w:r>
          </w:p>
        </w:tc>
        <w:tc>
          <w:tcPr>
            <w:tcW w:w="0" w:type="auto"/>
            <w:vAlign w:val="center"/>
          </w:tcPr>
          <w:p w14:paraId="7A50A3A2" w14:textId="6B51C470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$4</w:t>
            </w:r>
            <w:r>
              <w:rPr>
                <w:sz w:val="22"/>
                <w:szCs w:val="22"/>
              </w:rPr>
              <w:t>8.10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A277D7" w14:textId="3EA7C297" w:rsidR="00A05BFC" w:rsidRPr="00F97B35" w:rsidRDefault="00A05BFC" w:rsidP="008E23CF">
            <w:pPr>
              <w:spacing w:after="0"/>
              <w:jc w:val="center"/>
            </w:pPr>
            <w:r>
              <w:t>Per diem</w:t>
            </w:r>
          </w:p>
        </w:tc>
      </w:tr>
      <w:tr w:rsidR="00C37EAA" w14:paraId="55917D6E" w14:textId="77777777" w:rsidTr="008E23CF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F0293" w14:textId="36FAFE5E" w:rsidR="00A05BFC" w:rsidRPr="009876EA" w:rsidRDefault="00A05BFC" w:rsidP="008E23CF">
            <w:pPr>
              <w:spacing w:after="0"/>
              <w:rPr>
                <w:b/>
              </w:rPr>
            </w:pPr>
            <w:r w:rsidRPr="00350BCB">
              <w:rPr>
                <w:sz w:val="22"/>
                <w:szCs w:val="22"/>
              </w:rPr>
              <w:t>AFC Level II</w:t>
            </w:r>
            <w:r>
              <w:rPr>
                <w:sz w:val="22"/>
                <w:szCs w:val="22"/>
              </w:rPr>
              <w:t xml:space="preserve"> </w:t>
            </w:r>
            <w:r w:rsidRPr="00350BCB">
              <w:rPr>
                <w:sz w:val="22"/>
                <w:szCs w:val="22"/>
              </w:rPr>
              <w:t>NMLOA Day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2B132" w14:textId="586B14AF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$8</w:t>
            </w:r>
            <w:r>
              <w:rPr>
                <w:sz w:val="22"/>
                <w:szCs w:val="22"/>
              </w:rPr>
              <w:t>2.67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4A54E" w14:textId="04B279A8" w:rsidR="00A05BFC" w:rsidRPr="00F97B35" w:rsidRDefault="00A05BFC" w:rsidP="008E23CF">
            <w:pPr>
              <w:spacing w:after="0"/>
              <w:jc w:val="center"/>
            </w:pPr>
            <w:r>
              <w:t>Per diem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A66885" w14:textId="3AE9EBE2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$8</w:t>
            </w:r>
            <w:r>
              <w:rPr>
                <w:sz w:val="22"/>
                <w:szCs w:val="22"/>
              </w:rPr>
              <w:t>2.67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047F38" w14:textId="44E0DD8B" w:rsidR="00A05BFC" w:rsidRPr="00F97B35" w:rsidRDefault="00A05BFC" w:rsidP="008E23CF">
            <w:pPr>
              <w:spacing w:after="0"/>
              <w:jc w:val="center"/>
            </w:pPr>
            <w:r>
              <w:t>Per diem</w:t>
            </w:r>
          </w:p>
        </w:tc>
      </w:tr>
      <w:tr w:rsidR="00C37EAA" w14:paraId="43429213" w14:textId="77777777" w:rsidTr="008E23CF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6B689" w14:textId="55FD3683" w:rsidR="00A05BFC" w:rsidRPr="009876EA" w:rsidRDefault="00A05BFC" w:rsidP="008E23CF">
            <w:pPr>
              <w:spacing w:after="0"/>
              <w:rPr>
                <w:b/>
              </w:rPr>
            </w:pPr>
            <w:r w:rsidRPr="00350BCB">
              <w:rPr>
                <w:sz w:val="22"/>
                <w:szCs w:val="22"/>
              </w:rPr>
              <w:t>AFC Intake and Assessment Services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57ABD" w14:textId="1F055013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$242.38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27DBF" w14:textId="52FCCFA7" w:rsidR="00A05BFC" w:rsidRPr="00F97B35" w:rsidRDefault="00A05BFC" w:rsidP="008E23CF">
            <w:pPr>
              <w:spacing w:after="0"/>
              <w:jc w:val="center"/>
            </w:pPr>
            <w:r>
              <w:t>Per admission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CF0777" w14:textId="3B0B05DC" w:rsidR="00A05BFC" w:rsidRPr="00F97B35" w:rsidRDefault="00A05BFC" w:rsidP="008E23CF">
            <w:pPr>
              <w:spacing w:after="0"/>
              <w:jc w:val="center"/>
            </w:pPr>
            <w:r w:rsidRPr="00350BCB">
              <w:rPr>
                <w:sz w:val="22"/>
                <w:szCs w:val="22"/>
              </w:rPr>
              <w:t>$242.38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5E3C78" w14:textId="24B80076" w:rsidR="00A05BFC" w:rsidRPr="00F97B35" w:rsidRDefault="00A05BFC" w:rsidP="008E23CF">
            <w:pPr>
              <w:spacing w:after="0"/>
              <w:jc w:val="center"/>
            </w:pPr>
            <w:r>
              <w:t>Per admission</w:t>
            </w:r>
          </w:p>
        </w:tc>
      </w:tr>
      <w:tr w:rsidR="00C37EAA" w14:paraId="44396B5A" w14:textId="77777777" w:rsidTr="008E23CF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DEF6C" w14:textId="361C47A6" w:rsidR="00AE44E8" w:rsidRPr="00A05BFC" w:rsidRDefault="0047128C" w:rsidP="008E23CF">
            <w:pPr>
              <w:spacing w:after="0"/>
              <w:rPr>
                <w:bCs/>
              </w:rPr>
            </w:pPr>
            <w:r w:rsidRPr="00A05BFC">
              <w:rPr>
                <w:bCs/>
              </w:rPr>
              <w:t>GAFC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EE94" w14:textId="07BAAA8D" w:rsidR="00AE44E8" w:rsidRDefault="00813936" w:rsidP="008E23CF">
            <w:pPr>
              <w:spacing w:after="0"/>
              <w:jc w:val="center"/>
            </w:pPr>
            <w:r w:rsidRPr="00F97B35">
              <w:t>$</w:t>
            </w:r>
            <w:r w:rsidR="0047128C">
              <w:t>40</w:t>
            </w:r>
            <w:r>
              <w:t>.3</w:t>
            </w:r>
            <w:r w:rsidR="0047128C"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96A2" w14:textId="42FC8100" w:rsidR="00AE44E8" w:rsidRDefault="0047128C" w:rsidP="008E23CF">
            <w:pPr>
              <w:spacing w:after="0"/>
              <w:jc w:val="center"/>
            </w:pPr>
            <w:r>
              <w:t>Per diem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FE89CA" w14:textId="2E49FF1A" w:rsidR="00AE44E8" w:rsidRPr="00F97B35" w:rsidRDefault="00AE44E8" w:rsidP="008E23CF">
            <w:pPr>
              <w:spacing w:after="0"/>
              <w:jc w:val="center"/>
            </w:pPr>
            <w:r w:rsidRPr="00F97B35">
              <w:t>$</w:t>
            </w:r>
            <w:r w:rsidR="0047128C">
              <w:t>43</w:t>
            </w:r>
            <w:r>
              <w:t>.</w:t>
            </w:r>
            <w:r w:rsidR="0047128C">
              <w:t>5</w:t>
            </w:r>
            <w:r w:rsidR="001F65F0"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F8C20E" w14:textId="047D8F7F" w:rsidR="00AE44E8" w:rsidRPr="00F97B35" w:rsidRDefault="0047128C" w:rsidP="008E23CF">
            <w:pPr>
              <w:spacing w:after="0"/>
              <w:jc w:val="center"/>
            </w:pPr>
            <w:r>
              <w:t>Per diem</w:t>
            </w:r>
          </w:p>
        </w:tc>
      </w:tr>
      <w:bookmarkEnd w:id="0"/>
    </w:tbl>
    <w:p w14:paraId="69D8347C" w14:textId="6DBC96AC" w:rsidR="004A1171" w:rsidRDefault="004A1171" w:rsidP="008E23CF">
      <w:pPr>
        <w:spacing w:after="0"/>
      </w:pPr>
    </w:p>
    <w:p w14:paraId="2679EFF9" w14:textId="765B8394" w:rsidR="00A0792F" w:rsidRDefault="00781375">
      <w:pPr>
        <w:spacing w:after="0" w:line="240" w:lineRule="auto"/>
        <w:rPr>
          <w:color w:val="000000"/>
        </w:rPr>
      </w:pPr>
      <w:r w:rsidRPr="007C6FD3">
        <w:rPr>
          <w:rFonts w:cs="Times New Roman"/>
        </w:rPr>
        <w:t>T</w:t>
      </w:r>
      <w:r w:rsidR="00A0792F" w:rsidRPr="007C6FD3">
        <w:rPr>
          <w:rFonts w:cs="Times New Roman"/>
        </w:rPr>
        <w:t xml:space="preserve">he </w:t>
      </w:r>
      <w:r w:rsidR="00C31E97" w:rsidRPr="007C6FD3">
        <w:rPr>
          <w:rFonts w:cs="Times New Roman"/>
        </w:rPr>
        <w:t>estimated annual aggregate state expenditures</w:t>
      </w:r>
      <w:r w:rsidR="00A0792F" w:rsidRPr="007C6FD3">
        <w:rPr>
          <w:rFonts w:cs="Times New Roman"/>
        </w:rPr>
        <w:t xml:space="preserve"> </w:t>
      </w:r>
      <w:proofErr w:type="gramStart"/>
      <w:r w:rsidRPr="007C6FD3">
        <w:rPr>
          <w:rFonts w:cs="Times New Roman"/>
        </w:rPr>
        <w:t>as a result of</w:t>
      </w:r>
      <w:proofErr w:type="gramEnd"/>
      <w:r w:rsidRPr="007C6FD3">
        <w:rPr>
          <w:rFonts w:cs="Times New Roman"/>
        </w:rPr>
        <w:t xml:space="preserve"> </w:t>
      </w:r>
      <w:r w:rsidR="00EC6028" w:rsidRPr="007C6FD3">
        <w:rPr>
          <w:rFonts w:cs="Times New Roman"/>
        </w:rPr>
        <w:t>the above</w:t>
      </w:r>
      <w:r w:rsidRPr="007C6FD3">
        <w:rPr>
          <w:rFonts w:cs="Times New Roman"/>
        </w:rPr>
        <w:t xml:space="preserve"> changes </w:t>
      </w:r>
      <w:r w:rsidR="0047128C">
        <w:rPr>
          <w:rFonts w:cs="Times New Roman"/>
        </w:rPr>
        <w:t>for AFC</w:t>
      </w:r>
      <w:r w:rsidR="00EC6028" w:rsidRPr="007C6FD3">
        <w:rPr>
          <w:rFonts w:cs="Times New Roman"/>
        </w:rPr>
        <w:t xml:space="preserve"> rates effective </w:t>
      </w:r>
      <w:r w:rsidR="000147BD">
        <w:rPr>
          <w:rFonts w:cs="Times New Roman"/>
        </w:rPr>
        <w:t xml:space="preserve">July 1, 2022, is </w:t>
      </w:r>
      <w:r w:rsidR="0047128C" w:rsidRPr="0047128C">
        <w:rPr>
          <w:rFonts w:cs="Times New Roman"/>
        </w:rPr>
        <w:t>$</w:t>
      </w:r>
      <w:r w:rsidR="000147BD" w:rsidRPr="0047128C">
        <w:rPr>
          <w:color w:val="000000"/>
        </w:rPr>
        <w:t>0</w:t>
      </w:r>
      <w:r w:rsidR="0047128C" w:rsidRPr="0047128C">
        <w:rPr>
          <w:color w:val="000000"/>
        </w:rPr>
        <w:t>,</w:t>
      </w:r>
      <w:r w:rsidR="0047128C">
        <w:rPr>
          <w:color w:val="000000"/>
        </w:rPr>
        <w:t xml:space="preserve"> where these are continuing at the previous rates</w:t>
      </w:r>
      <w:r w:rsidR="000147BD">
        <w:rPr>
          <w:color w:val="000000"/>
        </w:rPr>
        <w:t xml:space="preserve">. </w:t>
      </w:r>
      <w:r w:rsidR="000147BD" w:rsidRPr="007C6FD3">
        <w:rPr>
          <w:rFonts w:cs="Times New Roman"/>
        </w:rPr>
        <w:t xml:space="preserve">The estimated annual aggregate state expenditures </w:t>
      </w:r>
      <w:proofErr w:type="gramStart"/>
      <w:r w:rsidR="000147BD" w:rsidRPr="007C6FD3">
        <w:rPr>
          <w:rFonts w:cs="Times New Roman"/>
        </w:rPr>
        <w:t>as a result of</w:t>
      </w:r>
      <w:proofErr w:type="gramEnd"/>
      <w:r w:rsidR="000147BD" w:rsidRPr="007C6FD3">
        <w:rPr>
          <w:rFonts w:cs="Times New Roman"/>
        </w:rPr>
        <w:t xml:space="preserve"> the above changes to </w:t>
      </w:r>
      <w:r w:rsidR="0047128C">
        <w:rPr>
          <w:rFonts w:cs="Times New Roman"/>
        </w:rPr>
        <w:t>GAFC</w:t>
      </w:r>
      <w:r w:rsidR="000147BD" w:rsidRPr="007C6FD3">
        <w:rPr>
          <w:rFonts w:cs="Times New Roman"/>
        </w:rPr>
        <w:t xml:space="preserve"> rates effective </w:t>
      </w:r>
      <w:r w:rsidR="0047128C">
        <w:rPr>
          <w:rFonts w:cs="Times New Roman"/>
        </w:rPr>
        <w:t>July</w:t>
      </w:r>
      <w:r w:rsidR="000147BD">
        <w:rPr>
          <w:rFonts w:cs="Times New Roman"/>
        </w:rPr>
        <w:t xml:space="preserve"> 1, 202</w:t>
      </w:r>
      <w:r w:rsidR="0047128C">
        <w:rPr>
          <w:rFonts w:cs="Times New Roman"/>
        </w:rPr>
        <w:t>2</w:t>
      </w:r>
      <w:r w:rsidR="000147BD">
        <w:rPr>
          <w:rFonts w:cs="Times New Roman"/>
        </w:rPr>
        <w:t xml:space="preserve">, is </w:t>
      </w:r>
      <w:r w:rsidR="000147BD" w:rsidRPr="0047128C">
        <w:rPr>
          <w:rFonts w:cs="Times New Roman"/>
        </w:rPr>
        <w:t>$</w:t>
      </w:r>
      <w:r w:rsidR="0047128C" w:rsidRPr="0047128C">
        <w:rPr>
          <w:rFonts w:cs="Times New Roman"/>
        </w:rPr>
        <w:t>6 million</w:t>
      </w:r>
      <w:r w:rsidR="000147BD">
        <w:rPr>
          <w:color w:val="000000"/>
        </w:rPr>
        <w:t xml:space="preserve">. </w:t>
      </w:r>
    </w:p>
    <w:p w14:paraId="2FD3BAB4" w14:textId="77777777" w:rsidR="008F3D91" w:rsidRPr="000147BD" w:rsidRDefault="008F3D91" w:rsidP="008E23CF">
      <w:pPr>
        <w:spacing w:after="0" w:line="240" w:lineRule="auto"/>
        <w:rPr>
          <w:rFonts w:cs="Times New Roman"/>
          <w:highlight w:val="yellow"/>
        </w:rPr>
      </w:pPr>
    </w:p>
    <w:p w14:paraId="2EF7EC70" w14:textId="48F43630" w:rsidR="004969D7" w:rsidRPr="00763C20" w:rsidRDefault="00767F48" w:rsidP="008E23CF">
      <w:pPr>
        <w:spacing w:after="0" w:line="240" w:lineRule="auto"/>
        <w:rPr>
          <w:rFonts w:cs="Times New Roman"/>
        </w:rPr>
      </w:pPr>
      <w:r w:rsidRPr="00767F48">
        <w:rPr>
          <w:rFonts w:cs="Times New Roman"/>
        </w:rPr>
        <w:t>Individuals may submit written comments</w:t>
      </w:r>
      <w:r w:rsidR="00763C20">
        <w:rPr>
          <w:rFonts w:cs="Times New Roman"/>
        </w:rPr>
        <w:t>, or request a copy of any notices or written comments, concerning the matters herein</w:t>
      </w:r>
      <w:r w:rsidRPr="00767F48">
        <w:rPr>
          <w:rFonts w:cs="Times New Roman"/>
        </w:rPr>
        <w:t xml:space="preserve"> by emailing </w:t>
      </w:r>
      <w:hyperlink r:id="rId11" w:history="1">
        <w:r w:rsidRPr="002A69A0">
          <w:rPr>
            <w:rStyle w:val="Hyperlink"/>
            <w:rFonts w:cs="Times New Roman"/>
          </w:rPr>
          <w:t>ehs-regulations@ma</w:t>
        </w:r>
        <w:r w:rsidR="00AD00BD" w:rsidRPr="002A69A0">
          <w:rPr>
            <w:rStyle w:val="Hyperlink"/>
            <w:rFonts w:cs="Times New Roman"/>
          </w:rPr>
          <w:t>ss</w:t>
        </w:r>
        <w:r w:rsidRPr="002A69A0">
          <w:rPr>
            <w:rStyle w:val="Hyperlink"/>
            <w:rFonts w:cs="Times New Roman"/>
          </w:rPr>
          <w:t>.</w:t>
        </w:r>
        <w:r w:rsidR="00AD00BD" w:rsidRPr="002A69A0">
          <w:rPr>
            <w:rStyle w:val="Hyperlink"/>
            <w:rFonts w:cs="Times New Roman"/>
          </w:rPr>
          <w:t>gov</w:t>
        </w:r>
      </w:hyperlink>
      <w:r w:rsidRPr="00767F48">
        <w:rPr>
          <w:rFonts w:cs="Times New Roman"/>
        </w:rPr>
        <w:t xml:space="preserve">. Please submit electronic comments as an attached Word </w:t>
      </w:r>
      <w:r w:rsidR="00AD00BD">
        <w:rPr>
          <w:rFonts w:cs="Times New Roman"/>
        </w:rPr>
        <w:t xml:space="preserve">or PDF </w:t>
      </w:r>
      <w:r w:rsidRPr="00767F48">
        <w:rPr>
          <w:rFonts w:cs="Times New Roman"/>
        </w:rPr>
        <w:t>document or as text within the body of the email with the phrase “</w:t>
      </w:r>
      <w:r>
        <w:rPr>
          <w:rFonts w:cs="Times New Roman"/>
        </w:rPr>
        <w:t xml:space="preserve">MassHealth Changes in Rates for </w:t>
      </w:r>
      <w:r w:rsidR="00F32B45">
        <w:rPr>
          <w:rFonts w:cs="Times New Roman"/>
        </w:rPr>
        <w:t>AFC</w:t>
      </w:r>
      <w:r>
        <w:rPr>
          <w:rFonts w:cs="Times New Roman"/>
        </w:rPr>
        <w:t xml:space="preserve"> Services</w:t>
      </w:r>
      <w:r w:rsidRPr="00767F48">
        <w:rPr>
          <w:rFonts w:cs="Times New Roman"/>
        </w:rPr>
        <w:t>” in the subject line. All submissions must include the sender’s full name</w:t>
      </w:r>
      <w:r w:rsidR="008F1FFA">
        <w:rPr>
          <w:rFonts w:cs="Times New Roman"/>
        </w:rPr>
        <w:t xml:space="preserve">, mailing </w:t>
      </w:r>
      <w:r w:rsidRPr="00767F48">
        <w:rPr>
          <w:rFonts w:cs="Times New Roman"/>
        </w:rPr>
        <w:t>address</w:t>
      </w:r>
      <w:r w:rsidR="008F1FFA">
        <w:rPr>
          <w:rFonts w:cs="Times New Roman"/>
        </w:rPr>
        <w:t>, and affiliation or organization, if any.</w:t>
      </w:r>
      <w:r w:rsidRPr="00767F48">
        <w:rPr>
          <w:rFonts w:cs="Times New Roman"/>
        </w:rPr>
        <w:t xml:space="preserve"> Individuals who are unable to submit comments</w:t>
      </w:r>
      <w:r w:rsidR="00763C20">
        <w:rPr>
          <w:rFonts w:cs="Times New Roman"/>
        </w:rPr>
        <w:t xml:space="preserve"> or request a copy of any notices or written copies</w:t>
      </w:r>
      <w:r w:rsidR="008F1FFA">
        <w:rPr>
          <w:rFonts w:cs="Times New Roman"/>
        </w:rPr>
        <w:t xml:space="preserve"> by email should mail</w:t>
      </w:r>
      <w:r w:rsidRPr="00767F48">
        <w:rPr>
          <w:rFonts w:cs="Times New Roman"/>
        </w:rPr>
        <w:t xml:space="preserve"> written comments </w:t>
      </w:r>
      <w:r w:rsidR="00763C20">
        <w:rPr>
          <w:rFonts w:cs="Times New Roman"/>
        </w:rPr>
        <w:t xml:space="preserve">or requests </w:t>
      </w:r>
      <w:r w:rsidRPr="00767F48">
        <w:rPr>
          <w:rFonts w:cs="Times New Roman"/>
        </w:rPr>
        <w:t xml:space="preserve">to EOHHS, c/o </w:t>
      </w:r>
      <w:r w:rsidR="00601394">
        <w:rPr>
          <w:rFonts w:cs="Times New Roman"/>
        </w:rPr>
        <w:t>Debby Briggs, 100 Hancock St</w:t>
      </w:r>
      <w:r w:rsidR="00194880">
        <w:rPr>
          <w:rFonts w:cs="Times New Roman"/>
        </w:rPr>
        <w:t>reet</w:t>
      </w:r>
      <w:r w:rsidRPr="00767F48">
        <w:rPr>
          <w:rFonts w:cs="Times New Roman"/>
        </w:rPr>
        <w:t>, 6</w:t>
      </w:r>
      <w:r w:rsidRPr="00767F48">
        <w:rPr>
          <w:rFonts w:cs="Times New Roman"/>
          <w:vertAlign w:val="superscript"/>
        </w:rPr>
        <w:t>th</w:t>
      </w:r>
      <w:r w:rsidR="00601394">
        <w:rPr>
          <w:rFonts w:cs="Times New Roman"/>
        </w:rPr>
        <w:t xml:space="preserve"> Fl</w:t>
      </w:r>
      <w:r w:rsidR="00857BFB">
        <w:rPr>
          <w:rFonts w:cs="Times New Roman"/>
        </w:rPr>
        <w:t>oor</w:t>
      </w:r>
      <w:r w:rsidR="00763C20">
        <w:rPr>
          <w:rFonts w:cs="Times New Roman"/>
        </w:rPr>
        <w:t>, Quincy, MA 02171.</w:t>
      </w:r>
    </w:p>
    <w:sectPr w:rsidR="004969D7" w:rsidRPr="00763C20" w:rsidSect="00A9263C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DF1" w14:textId="77777777" w:rsidR="00EC224D" w:rsidRDefault="00EC224D" w:rsidP="000F09A3">
      <w:pPr>
        <w:spacing w:after="0" w:line="240" w:lineRule="auto"/>
      </w:pPr>
      <w:r>
        <w:separator/>
      </w:r>
    </w:p>
  </w:endnote>
  <w:endnote w:type="continuationSeparator" w:id="0">
    <w:p w14:paraId="0EB0224A" w14:textId="77777777" w:rsidR="00EC224D" w:rsidRDefault="00EC224D" w:rsidP="000F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1B42" w14:textId="77777777" w:rsidR="00EF4736" w:rsidRDefault="00EF4736" w:rsidP="00670FC9">
    <w:pPr>
      <w:pStyle w:val="Footer"/>
      <w:spacing w:line="240" w:lineRule="auto"/>
      <w:contextualSpacing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9FFA" w14:textId="77777777" w:rsidR="00EC224D" w:rsidRDefault="00EC224D" w:rsidP="000F09A3">
      <w:pPr>
        <w:spacing w:after="0" w:line="240" w:lineRule="auto"/>
      </w:pPr>
      <w:r>
        <w:separator/>
      </w:r>
    </w:p>
  </w:footnote>
  <w:footnote w:type="continuationSeparator" w:id="0">
    <w:p w14:paraId="13D9AFC3" w14:textId="77777777" w:rsidR="00EC224D" w:rsidRDefault="00EC224D" w:rsidP="000F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1A8F" w14:textId="1B15F4F6" w:rsidR="000F09A3" w:rsidRPr="00A33A92" w:rsidRDefault="000F09A3">
    <w:pPr>
      <w:pStyle w:val="Header"/>
      <w:rPr>
        <w:kern w:val="24"/>
      </w:rPr>
    </w:pPr>
    <w:r>
      <w:t xml:space="preserve">PUBLISHED: </w:t>
    </w:r>
    <w:r w:rsidR="00A625D4">
      <w:t xml:space="preserve"> </w:t>
    </w:r>
    <w:r w:rsidR="00194880">
      <w:t>June 24,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6A22"/>
    <w:multiLevelType w:val="hybridMultilevel"/>
    <w:tmpl w:val="C224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249CE"/>
    <w:multiLevelType w:val="hybridMultilevel"/>
    <w:tmpl w:val="6386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2F"/>
    <w:rsid w:val="00003BB3"/>
    <w:rsid w:val="000113C7"/>
    <w:rsid w:val="000147BD"/>
    <w:rsid w:val="00050830"/>
    <w:rsid w:val="0008285C"/>
    <w:rsid w:val="00084441"/>
    <w:rsid w:val="00084C77"/>
    <w:rsid w:val="0008527A"/>
    <w:rsid w:val="000A185D"/>
    <w:rsid w:val="000B09B5"/>
    <w:rsid w:val="000E508A"/>
    <w:rsid w:val="000F09A3"/>
    <w:rsid w:val="000F499D"/>
    <w:rsid w:val="000F5E26"/>
    <w:rsid w:val="00100C2A"/>
    <w:rsid w:val="001054A7"/>
    <w:rsid w:val="001112A5"/>
    <w:rsid w:val="00132BFD"/>
    <w:rsid w:val="00134442"/>
    <w:rsid w:val="00142589"/>
    <w:rsid w:val="00146B2D"/>
    <w:rsid w:val="00151F88"/>
    <w:rsid w:val="00156CF2"/>
    <w:rsid w:val="0016503F"/>
    <w:rsid w:val="001940D5"/>
    <w:rsid w:val="00194880"/>
    <w:rsid w:val="001C4EFB"/>
    <w:rsid w:val="001D5BC5"/>
    <w:rsid w:val="001E702F"/>
    <w:rsid w:val="001F2C63"/>
    <w:rsid w:val="001F65F0"/>
    <w:rsid w:val="00230BB5"/>
    <w:rsid w:val="002329EE"/>
    <w:rsid w:val="00252A50"/>
    <w:rsid w:val="002549FC"/>
    <w:rsid w:val="00260F14"/>
    <w:rsid w:val="00265C18"/>
    <w:rsid w:val="0028151C"/>
    <w:rsid w:val="00281D84"/>
    <w:rsid w:val="0029240D"/>
    <w:rsid w:val="002A644A"/>
    <w:rsid w:val="002A69A0"/>
    <w:rsid w:val="002B2E2A"/>
    <w:rsid w:val="002B3C39"/>
    <w:rsid w:val="002C1730"/>
    <w:rsid w:val="002D7586"/>
    <w:rsid w:val="00311843"/>
    <w:rsid w:val="0031364F"/>
    <w:rsid w:val="003371A6"/>
    <w:rsid w:val="0034747F"/>
    <w:rsid w:val="00350363"/>
    <w:rsid w:val="00356358"/>
    <w:rsid w:val="00363521"/>
    <w:rsid w:val="00384875"/>
    <w:rsid w:val="00390314"/>
    <w:rsid w:val="0039709A"/>
    <w:rsid w:val="003C425B"/>
    <w:rsid w:val="003C4F75"/>
    <w:rsid w:val="003D4B4E"/>
    <w:rsid w:val="003E49FE"/>
    <w:rsid w:val="003E6763"/>
    <w:rsid w:val="00404DDC"/>
    <w:rsid w:val="00407C20"/>
    <w:rsid w:val="004122B2"/>
    <w:rsid w:val="00417DED"/>
    <w:rsid w:val="0042181C"/>
    <w:rsid w:val="0047128C"/>
    <w:rsid w:val="004933C6"/>
    <w:rsid w:val="004961BB"/>
    <w:rsid w:val="004969D7"/>
    <w:rsid w:val="004A1171"/>
    <w:rsid w:val="004B646B"/>
    <w:rsid w:val="004C3A90"/>
    <w:rsid w:val="004C4DFC"/>
    <w:rsid w:val="004D28F6"/>
    <w:rsid w:val="004D6AE9"/>
    <w:rsid w:val="004E1DFC"/>
    <w:rsid w:val="004E7017"/>
    <w:rsid w:val="004F220D"/>
    <w:rsid w:val="004F38D9"/>
    <w:rsid w:val="00510657"/>
    <w:rsid w:val="00516A1D"/>
    <w:rsid w:val="005543E6"/>
    <w:rsid w:val="0056673A"/>
    <w:rsid w:val="00574D86"/>
    <w:rsid w:val="00580C0E"/>
    <w:rsid w:val="005A0CB5"/>
    <w:rsid w:val="005A0DB2"/>
    <w:rsid w:val="005B0D32"/>
    <w:rsid w:val="005D2180"/>
    <w:rsid w:val="005D753F"/>
    <w:rsid w:val="005E3936"/>
    <w:rsid w:val="00601394"/>
    <w:rsid w:val="00641525"/>
    <w:rsid w:val="00662CCB"/>
    <w:rsid w:val="006652C5"/>
    <w:rsid w:val="00670E35"/>
    <w:rsid w:val="00670FC9"/>
    <w:rsid w:val="00672A0D"/>
    <w:rsid w:val="006754E0"/>
    <w:rsid w:val="006C4C49"/>
    <w:rsid w:val="006D1477"/>
    <w:rsid w:val="006D5F19"/>
    <w:rsid w:val="006D6915"/>
    <w:rsid w:val="006E3393"/>
    <w:rsid w:val="00701A03"/>
    <w:rsid w:val="00707840"/>
    <w:rsid w:val="00721124"/>
    <w:rsid w:val="00725B00"/>
    <w:rsid w:val="00731F41"/>
    <w:rsid w:val="00763C20"/>
    <w:rsid w:val="007640B2"/>
    <w:rsid w:val="00767F48"/>
    <w:rsid w:val="0077369F"/>
    <w:rsid w:val="00781375"/>
    <w:rsid w:val="007A258B"/>
    <w:rsid w:val="007C6FD3"/>
    <w:rsid w:val="007D38B4"/>
    <w:rsid w:val="007D7A5A"/>
    <w:rsid w:val="007D7BA2"/>
    <w:rsid w:val="007F4A9F"/>
    <w:rsid w:val="008025A6"/>
    <w:rsid w:val="008037DB"/>
    <w:rsid w:val="00813936"/>
    <w:rsid w:val="00817E43"/>
    <w:rsid w:val="00830D2D"/>
    <w:rsid w:val="008549ED"/>
    <w:rsid w:val="00857BFB"/>
    <w:rsid w:val="00861951"/>
    <w:rsid w:val="008A0BF0"/>
    <w:rsid w:val="008A2F2E"/>
    <w:rsid w:val="008B7E66"/>
    <w:rsid w:val="008C1EE6"/>
    <w:rsid w:val="008C55D2"/>
    <w:rsid w:val="008E23CF"/>
    <w:rsid w:val="008F1FFA"/>
    <w:rsid w:val="008F3D91"/>
    <w:rsid w:val="00901200"/>
    <w:rsid w:val="00904FDE"/>
    <w:rsid w:val="009061EC"/>
    <w:rsid w:val="00925BB4"/>
    <w:rsid w:val="00963CB7"/>
    <w:rsid w:val="009670F0"/>
    <w:rsid w:val="00984018"/>
    <w:rsid w:val="009876EA"/>
    <w:rsid w:val="009B2B91"/>
    <w:rsid w:val="009B72EB"/>
    <w:rsid w:val="009C19C1"/>
    <w:rsid w:val="009E3CC7"/>
    <w:rsid w:val="009F3342"/>
    <w:rsid w:val="00A05BFC"/>
    <w:rsid w:val="00A0792F"/>
    <w:rsid w:val="00A12765"/>
    <w:rsid w:val="00A21FDE"/>
    <w:rsid w:val="00A3386A"/>
    <w:rsid w:val="00A33A92"/>
    <w:rsid w:val="00A447AA"/>
    <w:rsid w:val="00A55E88"/>
    <w:rsid w:val="00A625D4"/>
    <w:rsid w:val="00A66B80"/>
    <w:rsid w:val="00A9263C"/>
    <w:rsid w:val="00A96AE4"/>
    <w:rsid w:val="00AB3538"/>
    <w:rsid w:val="00AD00BD"/>
    <w:rsid w:val="00AE44E8"/>
    <w:rsid w:val="00AE6328"/>
    <w:rsid w:val="00AF4873"/>
    <w:rsid w:val="00B02DA4"/>
    <w:rsid w:val="00B073A8"/>
    <w:rsid w:val="00B1516C"/>
    <w:rsid w:val="00B21EC5"/>
    <w:rsid w:val="00B25847"/>
    <w:rsid w:val="00B260F5"/>
    <w:rsid w:val="00B51CFB"/>
    <w:rsid w:val="00B559FF"/>
    <w:rsid w:val="00B569FA"/>
    <w:rsid w:val="00B57271"/>
    <w:rsid w:val="00B62E6A"/>
    <w:rsid w:val="00B64602"/>
    <w:rsid w:val="00B860DF"/>
    <w:rsid w:val="00BB0D45"/>
    <w:rsid w:val="00BD4285"/>
    <w:rsid w:val="00BE64A3"/>
    <w:rsid w:val="00C00B40"/>
    <w:rsid w:val="00C13849"/>
    <w:rsid w:val="00C20C8A"/>
    <w:rsid w:val="00C31E97"/>
    <w:rsid w:val="00C346F2"/>
    <w:rsid w:val="00C35C80"/>
    <w:rsid w:val="00C37EAA"/>
    <w:rsid w:val="00C4561D"/>
    <w:rsid w:val="00C52B95"/>
    <w:rsid w:val="00C663A5"/>
    <w:rsid w:val="00C703CE"/>
    <w:rsid w:val="00C75554"/>
    <w:rsid w:val="00CA6B89"/>
    <w:rsid w:val="00CB393D"/>
    <w:rsid w:val="00CB68CF"/>
    <w:rsid w:val="00CC2288"/>
    <w:rsid w:val="00CE2E51"/>
    <w:rsid w:val="00D15D2E"/>
    <w:rsid w:val="00D23FA3"/>
    <w:rsid w:val="00D7246D"/>
    <w:rsid w:val="00D74182"/>
    <w:rsid w:val="00D76ED2"/>
    <w:rsid w:val="00D843A2"/>
    <w:rsid w:val="00D909D4"/>
    <w:rsid w:val="00DA3F41"/>
    <w:rsid w:val="00DC39BF"/>
    <w:rsid w:val="00DD3F0A"/>
    <w:rsid w:val="00DD4CDA"/>
    <w:rsid w:val="00DE344F"/>
    <w:rsid w:val="00DF090A"/>
    <w:rsid w:val="00DF4FAE"/>
    <w:rsid w:val="00E2217E"/>
    <w:rsid w:val="00E31DDA"/>
    <w:rsid w:val="00E40E5D"/>
    <w:rsid w:val="00E53E06"/>
    <w:rsid w:val="00E60646"/>
    <w:rsid w:val="00E62894"/>
    <w:rsid w:val="00E66D06"/>
    <w:rsid w:val="00E7464D"/>
    <w:rsid w:val="00E77F54"/>
    <w:rsid w:val="00E931B5"/>
    <w:rsid w:val="00EB360D"/>
    <w:rsid w:val="00EB430B"/>
    <w:rsid w:val="00EC224D"/>
    <w:rsid w:val="00EC25E4"/>
    <w:rsid w:val="00EC6028"/>
    <w:rsid w:val="00EC7073"/>
    <w:rsid w:val="00ED3F10"/>
    <w:rsid w:val="00ED692A"/>
    <w:rsid w:val="00ED7D32"/>
    <w:rsid w:val="00EE1F8E"/>
    <w:rsid w:val="00EE7691"/>
    <w:rsid w:val="00EF4736"/>
    <w:rsid w:val="00EF508F"/>
    <w:rsid w:val="00F32B45"/>
    <w:rsid w:val="00F359D2"/>
    <w:rsid w:val="00F43C03"/>
    <w:rsid w:val="00F61E62"/>
    <w:rsid w:val="00F6736F"/>
    <w:rsid w:val="00F902BF"/>
    <w:rsid w:val="00F97B35"/>
    <w:rsid w:val="00FB03CB"/>
    <w:rsid w:val="00FB7543"/>
    <w:rsid w:val="00FC05CC"/>
    <w:rsid w:val="00FD3090"/>
    <w:rsid w:val="00FE3ED6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7C1F340A"/>
  <w15:docId w15:val="{079BAD7E-7A59-4740-835C-5FE16915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CommentReference1">
    <w:name w:val="Comment Reference1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eastAsia="MS Mincho" w:hAnsi="Tahoma" w:cs="Tahoma"/>
      <w:sz w:val="16"/>
      <w:szCs w:val="16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character" w:styleId="CommentReference">
    <w:name w:val="annotation reference"/>
    <w:rsid w:val="001D5BC5"/>
    <w:rPr>
      <w:sz w:val="16"/>
      <w:szCs w:val="16"/>
    </w:rPr>
  </w:style>
  <w:style w:type="paragraph" w:styleId="CommentText">
    <w:name w:val="annotation text"/>
    <w:basedOn w:val="Normal"/>
    <w:link w:val="CommentTextChar1"/>
    <w:rsid w:val="001D5BC5"/>
    <w:rPr>
      <w:sz w:val="20"/>
      <w:szCs w:val="18"/>
    </w:rPr>
  </w:style>
  <w:style w:type="character" w:customStyle="1" w:styleId="CommentTextChar1">
    <w:name w:val="Comment Text Char1"/>
    <w:link w:val="CommentText"/>
    <w:rsid w:val="001D5BC5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1"/>
    <w:rsid w:val="001D5BC5"/>
    <w:rPr>
      <w:b/>
      <w:bCs/>
    </w:rPr>
  </w:style>
  <w:style w:type="character" w:customStyle="1" w:styleId="CommentSubjectChar1">
    <w:name w:val="Comment Subject Char1"/>
    <w:link w:val="CommentSubject"/>
    <w:rsid w:val="001D5BC5"/>
    <w:rPr>
      <w:rFonts w:eastAsia="SimSun" w:cs="Mangal"/>
      <w:b/>
      <w:bCs/>
      <w:kern w:val="1"/>
      <w:szCs w:val="18"/>
      <w:lang w:eastAsia="hi-IN" w:bidi="hi-IN"/>
    </w:rPr>
  </w:style>
  <w:style w:type="paragraph" w:styleId="PlainText">
    <w:name w:val="Plain Text"/>
    <w:basedOn w:val="Normal"/>
    <w:link w:val="PlainTextChar"/>
    <w:rsid w:val="006D1477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character" w:customStyle="1" w:styleId="PlainTextChar">
    <w:name w:val="Plain Text Char"/>
    <w:link w:val="PlainText"/>
    <w:rsid w:val="006D1477"/>
    <w:rPr>
      <w:rFonts w:ascii="Arial" w:hAnsi="Arial" w:cs="Arial"/>
    </w:rPr>
  </w:style>
  <w:style w:type="character" w:styleId="Hyperlink">
    <w:name w:val="Hyperlink"/>
    <w:rsid w:val="006C4C49"/>
    <w:rPr>
      <w:color w:val="0000FF"/>
      <w:u w:val="single"/>
    </w:rPr>
  </w:style>
  <w:style w:type="paragraph" w:styleId="Header">
    <w:name w:val="header"/>
    <w:basedOn w:val="Normal"/>
    <w:link w:val="Head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A625D4"/>
    <w:rPr>
      <w:rFonts w:eastAsia="SimSun" w:cs="Mangal"/>
      <w:kern w:val="1"/>
      <w:sz w:val="24"/>
      <w:szCs w:val="21"/>
      <w:lang w:eastAsia="hi-IN" w:bidi="hi-IN"/>
    </w:rPr>
  </w:style>
  <w:style w:type="character" w:styleId="FollowedHyperlink">
    <w:name w:val="FollowedHyperlink"/>
    <w:rsid w:val="00670FC9"/>
    <w:rPr>
      <w:color w:val="800080"/>
      <w:u w:val="single"/>
    </w:rPr>
  </w:style>
  <w:style w:type="table" w:styleId="TableGrid">
    <w:name w:val="Table Grid"/>
    <w:basedOn w:val="TableNormal"/>
    <w:rsid w:val="004A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B7543"/>
    <w:rPr>
      <w:sz w:val="20"/>
      <w:szCs w:val="18"/>
    </w:rPr>
  </w:style>
  <w:style w:type="character" w:customStyle="1" w:styleId="FootnoteTextChar">
    <w:name w:val="Footnote Text Char"/>
    <w:link w:val="FootnoteText"/>
    <w:rsid w:val="00FB7543"/>
    <w:rPr>
      <w:rFonts w:eastAsia="SimSun" w:cs="Mangal"/>
      <w:kern w:val="1"/>
      <w:szCs w:val="18"/>
      <w:lang w:eastAsia="hi-IN" w:bidi="hi-IN"/>
    </w:rPr>
  </w:style>
  <w:style w:type="character" w:styleId="FootnoteReference">
    <w:name w:val="footnote reference"/>
    <w:rsid w:val="00FB754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A6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ehs-fp-bos-009.ehs.govt.state.ma.us\SJohnson$\!Special%20Notices\AFC-July%201%202022\ehs-regulations@mas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94E3E3D01545A7EF3B50A486EBF4" ma:contentTypeVersion="7" ma:contentTypeDescription="Create a new document." ma:contentTypeScope="" ma:versionID="6e8073b1f1087b1fac9cd41778974483">
  <xsd:schema xmlns:xsd="http://www.w3.org/2001/XMLSchema" xmlns:xs="http://www.w3.org/2001/XMLSchema" xmlns:p="http://schemas.microsoft.com/office/2006/metadata/properties" xmlns:ns3="eb5c9be7-8dcb-4f8a-897e-9429dca2f1a5" targetNamespace="http://schemas.microsoft.com/office/2006/metadata/properties" ma:root="true" ma:fieldsID="9853f40247732fa010fb66142022ec13" ns3:_="">
    <xsd:import namespace="eb5c9be7-8dcb-4f8a-897e-9429dca2f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9be7-8dcb-4f8a-897e-9429dca2f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571C-C23F-404B-B7DE-1C1E24C28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9be7-8dcb-4f8a-897e-9429dca2f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F9E1F-702E-4FB8-B02C-6E258270B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AF961-8FCD-4254-B3D4-64E1FBF8F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8B138D-4E60-4636-B228-B2FEBDDA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FINAL AGENCY ACTION</vt:lpstr>
    </vt:vector>
  </TitlesOfParts>
  <Company>EHS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FINAL AGENCY ACTION</dc:title>
  <dc:creator>Mancusi, Charlene (EHS)</dc:creator>
  <cp:lastModifiedBy>Sousa, Pam (EHS)</cp:lastModifiedBy>
  <cp:revision>2</cp:revision>
  <cp:lastPrinted>2022-06-21T11:56:00Z</cp:lastPrinted>
  <dcterms:created xsi:type="dcterms:W3CDTF">2022-06-27T12:59:00Z</dcterms:created>
  <dcterms:modified xsi:type="dcterms:W3CDTF">2022-06-27T12:59:00Z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0x0101001CB594E3E3D01545A7EF3B50A486EBF4</vt:lpwstr>
  </property>
</Properties>
</file>