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3844" w14:textId="77777777" w:rsidR="000E508A" w:rsidRPr="000F0771" w:rsidRDefault="001940D5" w:rsidP="00AD78D3">
      <w:pPr>
        <w:spacing w:after="0" w:line="240" w:lineRule="auto"/>
        <w:jc w:val="center"/>
        <w:rPr>
          <w:b/>
          <w:bCs/>
        </w:rPr>
      </w:pPr>
      <w:r w:rsidRPr="000F0771">
        <w:rPr>
          <w:b/>
          <w:bCs/>
        </w:rPr>
        <w:t xml:space="preserve">NOTICE OF </w:t>
      </w:r>
      <w:r w:rsidR="00FB03CB" w:rsidRPr="000F0771">
        <w:rPr>
          <w:b/>
          <w:bCs/>
        </w:rPr>
        <w:t xml:space="preserve">PROPOSED </w:t>
      </w:r>
      <w:r w:rsidR="000E508A" w:rsidRPr="000F0771">
        <w:rPr>
          <w:b/>
          <w:bCs/>
        </w:rPr>
        <w:t xml:space="preserve">CHANGES IN STATEWIDE METHODS AND STANDARDS </w:t>
      </w:r>
    </w:p>
    <w:p w14:paraId="376C568E" w14:textId="44A920BE" w:rsidR="001940D5" w:rsidRDefault="000E508A" w:rsidP="00723C4B">
      <w:pPr>
        <w:spacing w:after="240" w:line="240" w:lineRule="auto"/>
        <w:jc w:val="center"/>
        <w:rPr>
          <w:b/>
          <w:bCs/>
        </w:rPr>
      </w:pPr>
      <w:r w:rsidRPr="000F0771">
        <w:rPr>
          <w:b/>
          <w:bCs/>
        </w:rPr>
        <w:t>FOR SETTING PAYMENT RATES</w:t>
      </w:r>
    </w:p>
    <w:p w14:paraId="4362A5BB" w14:textId="1CBDFFED" w:rsidR="008B5C7B" w:rsidRDefault="001940D5" w:rsidP="00723C4B">
      <w:pPr>
        <w:spacing w:after="240" w:line="240" w:lineRule="auto"/>
        <w:ind w:left="1440" w:hanging="1440"/>
      </w:pPr>
      <w:r w:rsidRPr="000F0771">
        <w:rPr>
          <w:b/>
          <w:bCs/>
        </w:rPr>
        <w:t>SUBJECT:</w:t>
      </w:r>
      <w:r>
        <w:tab/>
        <w:t xml:space="preserve">MassHealth: </w:t>
      </w:r>
      <w:r w:rsidR="000E508A">
        <w:t xml:space="preserve">Rates for MassHealth </w:t>
      </w:r>
      <w:r w:rsidR="000F0771">
        <w:t>Transitional Living Program Providers</w:t>
      </w:r>
    </w:p>
    <w:p w14:paraId="635ED6B6" w14:textId="7653B685" w:rsidR="008B5C7B" w:rsidRDefault="001940D5" w:rsidP="00723C4B">
      <w:pPr>
        <w:spacing w:after="240" w:line="240" w:lineRule="auto"/>
      </w:pPr>
      <w:r w:rsidRPr="000F0771">
        <w:rPr>
          <w:b/>
          <w:bCs/>
        </w:rPr>
        <w:t>AGENCY:</w:t>
      </w:r>
      <w:r>
        <w:tab/>
        <w:t>Massachusetts Executive Office of Health and Human Services</w:t>
      </w:r>
    </w:p>
    <w:p w14:paraId="2B6D18DA" w14:textId="684D3656" w:rsidR="008B5C7B" w:rsidRDefault="000E508A" w:rsidP="00723C4B">
      <w:pPr>
        <w:spacing w:after="240" w:line="240" w:lineRule="auto"/>
        <w:ind w:left="1440" w:hanging="1440"/>
      </w:pPr>
      <w:r w:rsidRPr="000F0771">
        <w:rPr>
          <w:b/>
          <w:bCs/>
        </w:rPr>
        <w:t>SUMMARY</w:t>
      </w:r>
      <w:r w:rsidR="001940D5" w:rsidRPr="000F0771">
        <w:rPr>
          <w:b/>
          <w:bCs/>
        </w:rPr>
        <w:t>:</w:t>
      </w:r>
      <w:r w:rsidR="001940D5">
        <w:t xml:space="preserve"> </w:t>
      </w:r>
      <w:r w:rsidR="003D4B4E">
        <w:t xml:space="preserve"> </w:t>
      </w:r>
      <w:r w:rsidR="001940D5">
        <w:t xml:space="preserve">MassHealth </w:t>
      </w:r>
      <w:r w:rsidR="00FB03CB">
        <w:t>Proposed</w:t>
      </w:r>
      <w:r>
        <w:t xml:space="preserve"> Rate</w:t>
      </w:r>
      <w:r w:rsidR="00FB03CB">
        <w:t xml:space="preserve"> Change</w:t>
      </w:r>
      <w:r>
        <w:t>s for</w:t>
      </w:r>
      <w:r w:rsidR="002D7586">
        <w:t xml:space="preserve"> </w:t>
      </w:r>
      <w:r w:rsidR="000F0771">
        <w:t>Transitional Living Program Providers</w:t>
      </w:r>
      <w:r w:rsidR="00050830">
        <w:t xml:space="preserve"> E</w:t>
      </w:r>
      <w:r w:rsidR="00265C18">
        <w:t>ffective</w:t>
      </w:r>
      <w:r w:rsidR="00817E43">
        <w:t xml:space="preserve"> </w:t>
      </w:r>
      <w:r w:rsidR="000F0771">
        <w:t>December 1, 2022</w:t>
      </w:r>
    </w:p>
    <w:p w14:paraId="50FBE326" w14:textId="5248D550" w:rsidR="0028151C" w:rsidRPr="000F0771" w:rsidRDefault="001940D5" w:rsidP="00723C4B">
      <w:pPr>
        <w:spacing w:after="240" w:line="240" w:lineRule="auto"/>
        <w:rPr>
          <w:b/>
          <w:bCs/>
        </w:rPr>
      </w:pPr>
      <w:r w:rsidRPr="000F0771">
        <w:rPr>
          <w:b/>
          <w:bCs/>
        </w:rPr>
        <w:t xml:space="preserve">DESCRIPTION OF </w:t>
      </w:r>
      <w:r w:rsidR="000E508A" w:rsidRPr="000F0771">
        <w:rPr>
          <w:b/>
          <w:bCs/>
        </w:rPr>
        <w:t>CHANGES:</w:t>
      </w:r>
      <w:r w:rsidR="00701A03" w:rsidRPr="000F0771">
        <w:rPr>
          <w:b/>
          <w:bCs/>
        </w:rPr>
        <w:t xml:space="preserve"> </w:t>
      </w:r>
    </w:p>
    <w:p w14:paraId="2EB87F42" w14:textId="1371A462" w:rsidR="004A1171" w:rsidRDefault="00FB03CB" w:rsidP="00723C4B">
      <w:pPr>
        <w:spacing w:after="240" w:line="240" w:lineRule="auto"/>
      </w:pPr>
      <w:r w:rsidRPr="005E3936">
        <w:t xml:space="preserve">The following </w:t>
      </w:r>
      <w:r w:rsidR="00781375">
        <w:t>are</w:t>
      </w:r>
      <w:r w:rsidRPr="005E3936">
        <w:t xml:space="preserve"> </w:t>
      </w:r>
      <w:r w:rsidR="00ED692A">
        <w:t xml:space="preserve">proposed </w:t>
      </w:r>
      <w:r w:rsidR="004A1171">
        <w:t>changes to</w:t>
      </w:r>
      <w:r w:rsidR="00781375">
        <w:t xml:space="preserve"> rates for</w:t>
      </w:r>
      <w:r w:rsidR="000F0771">
        <w:t xml:space="preserve"> transitional living program (TLP) provider</w:t>
      </w:r>
      <w:r w:rsidR="0084437F">
        <w:t>s</w:t>
      </w:r>
      <w:r w:rsidR="004A1171">
        <w:t xml:space="preserve"> </w:t>
      </w:r>
      <w:r w:rsidR="000F0771">
        <w:t xml:space="preserve">(for personal care </w:t>
      </w:r>
      <w:r w:rsidR="004A1171">
        <w:t>services</w:t>
      </w:r>
      <w:r w:rsidR="000F0771">
        <w:t>)</w:t>
      </w:r>
      <w:r w:rsidR="0084437F">
        <w:t>. These rates are</w:t>
      </w:r>
      <w:r w:rsidR="004A1171">
        <w:t xml:space="preserve"> effective </w:t>
      </w:r>
      <w:r w:rsidR="00AD00BD">
        <w:t xml:space="preserve">for dates of service provided </w:t>
      </w:r>
      <w:r w:rsidR="004A1171">
        <w:t>on</w:t>
      </w:r>
      <w:r w:rsidR="00601394">
        <w:t xml:space="preserve"> </w:t>
      </w:r>
      <w:r w:rsidR="000F0771">
        <w:t>and</w:t>
      </w:r>
      <w:r w:rsidR="00601394">
        <w:t xml:space="preserve"> after</w:t>
      </w:r>
      <w:r w:rsidR="004A1171">
        <w:t xml:space="preserve"> </w:t>
      </w:r>
      <w:r w:rsidR="000F0771">
        <w:t>December</w:t>
      </w:r>
      <w:r w:rsidR="00EC6028">
        <w:t xml:space="preserve"> 1, </w:t>
      </w:r>
      <w:r w:rsidR="0028151C">
        <w:t>2022</w:t>
      </w:r>
      <w:r w:rsidR="00237318">
        <w:t>.</w:t>
      </w:r>
    </w:p>
    <w:tbl>
      <w:tblPr>
        <w:tblW w:w="9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2480"/>
        <w:gridCol w:w="2387"/>
      </w:tblGrid>
      <w:tr w:rsidR="000F0771" w14:paraId="6656948C" w14:textId="77777777" w:rsidTr="00237318">
        <w:trPr>
          <w:trHeight w:val="755"/>
        </w:trPr>
        <w:tc>
          <w:tcPr>
            <w:tcW w:w="45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D3DA" w14:textId="6204CE2B" w:rsidR="00AD78D3" w:rsidRPr="009876EA" w:rsidRDefault="00237318" w:rsidP="000F07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TLP Provider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11510" w14:textId="77777777" w:rsidR="00AD78D3" w:rsidRDefault="00AD78D3" w:rsidP="008B5C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 w:rsidRPr="009876EA">
              <w:rPr>
                <w:b/>
              </w:rPr>
              <w:t xml:space="preserve"> Rate</w:t>
            </w:r>
            <w:r>
              <w:rPr>
                <w:b/>
              </w:rPr>
              <w:t xml:space="preserve"> </w:t>
            </w:r>
          </w:p>
          <w:p w14:paraId="762A39F8" w14:textId="2EAB574E" w:rsidR="00AD78D3" w:rsidRPr="009876EA" w:rsidRDefault="00AD78D3" w:rsidP="000F07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(for reference)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ECEF6" w14:textId="0230247F" w:rsidR="00AD78D3" w:rsidRPr="00F97B35" w:rsidRDefault="00AD78D3" w:rsidP="000F0771">
            <w:pPr>
              <w:spacing w:after="0"/>
              <w:jc w:val="center"/>
              <w:rPr>
                <w:b/>
              </w:rPr>
            </w:pPr>
            <w:r w:rsidRPr="00F97B35">
              <w:rPr>
                <w:b/>
              </w:rPr>
              <w:t>Rate Effective</w:t>
            </w:r>
            <w:r w:rsidR="000F0771">
              <w:rPr>
                <w:b/>
              </w:rPr>
              <w:t xml:space="preserve"> December</w:t>
            </w:r>
            <w:r w:rsidRPr="00F97B35">
              <w:rPr>
                <w:b/>
              </w:rPr>
              <w:t xml:space="preserve"> 1, </w:t>
            </w:r>
            <w:r>
              <w:rPr>
                <w:b/>
              </w:rPr>
              <w:t>2022</w:t>
            </w:r>
          </w:p>
        </w:tc>
      </w:tr>
      <w:tr w:rsidR="000F0771" w14:paraId="337C718F" w14:textId="77777777" w:rsidTr="00237318">
        <w:trPr>
          <w:trHeight w:val="351"/>
        </w:trPr>
        <w:tc>
          <w:tcPr>
            <w:tcW w:w="45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DAF41" w14:textId="77777777" w:rsidR="000F0771" w:rsidRDefault="000F0771" w:rsidP="000F0771">
            <w:pPr>
              <w:spacing w:after="0"/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51982" w14:textId="530570D5" w:rsidR="000F0771" w:rsidRPr="000F0771" w:rsidRDefault="000F0771" w:rsidP="000F0771">
            <w:pPr>
              <w:spacing w:after="0"/>
              <w:jc w:val="center"/>
              <w:rPr>
                <w:b/>
                <w:bCs/>
              </w:rPr>
            </w:pPr>
            <w:r w:rsidRPr="000F0771">
              <w:rPr>
                <w:b/>
                <w:bCs/>
                <w:i/>
                <w:iCs/>
              </w:rPr>
              <w:t>Per Diem</w:t>
            </w:r>
            <w:r>
              <w:rPr>
                <w:b/>
                <w:bCs/>
              </w:rPr>
              <w:t xml:space="preserve"> </w:t>
            </w:r>
            <w:r w:rsidRPr="000F0771">
              <w:rPr>
                <w:b/>
                <w:bCs/>
              </w:rPr>
              <w:t>Rate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B37E7" w14:textId="6C9CB1ED" w:rsidR="000F0771" w:rsidRPr="000F0771" w:rsidRDefault="000F0771" w:rsidP="000F0771">
            <w:pPr>
              <w:spacing w:after="0"/>
              <w:jc w:val="center"/>
              <w:rPr>
                <w:b/>
                <w:bCs/>
              </w:rPr>
            </w:pPr>
            <w:r w:rsidRPr="000F0771">
              <w:rPr>
                <w:b/>
                <w:bCs/>
                <w:i/>
                <w:iCs/>
              </w:rPr>
              <w:t>Per Diem</w:t>
            </w:r>
            <w:r>
              <w:rPr>
                <w:b/>
                <w:bCs/>
              </w:rPr>
              <w:t xml:space="preserve"> </w:t>
            </w:r>
            <w:r w:rsidRPr="000F0771">
              <w:rPr>
                <w:b/>
                <w:bCs/>
              </w:rPr>
              <w:t>Rate</w:t>
            </w:r>
          </w:p>
        </w:tc>
      </w:tr>
      <w:tr w:rsidR="000F0771" w14:paraId="55B5DAB8" w14:textId="77777777" w:rsidTr="00237318">
        <w:trPr>
          <w:trHeight w:val="335"/>
        </w:trPr>
        <w:tc>
          <w:tcPr>
            <w:tcW w:w="45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D5038" w14:textId="48888710" w:rsidR="000F0771" w:rsidRPr="000F0771" w:rsidRDefault="00237318" w:rsidP="000F0771">
            <w:pPr>
              <w:spacing w:after="0"/>
              <w:rPr>
                <w:bCs/>
              </w:rPr>
            </w:pPr>
            <w:r w:rsidRPr="00237318">
              <w:rPr>
                <w:bCs/>
              </w:rPr>
              <w:t>Advocates, Inc., Douglas House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0626" w14:textId="129A012E" w:rsidR="000F0771" w:rsidRDefault="00237318" w:rsidP="000F0771">
            <w:pPr>
              <w:spacing w:after="0"/>
              <w:jc w:val="center"/>
            </w:pPr>
            <w:r w:rsidRPr="00237318">
              <w:t>$207.53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507C1B" w14:textId="6D44AC6A" w:rsidR="000F0771" w:rsidRPr="00F97B35" w:rsidRDefault="000F0771" w:rsidP="000F0771">
            <w:pPr>
              <w:spacing w:after="0"/>
              <w:jc w:val="center"/>
            </w:pPr>
            <w:r w:rsidRPr="00F97B35">
              <w:t>$</w:t>
            </w:r>
            <w:r w:rsidR="005979CC">
              <w:t>228.62</w:t>
            </w:r>
          </w:p>
        </w:tc>
      </w:tr>
      <w:tr w:rsidR="000F0771" w14:paraId="135ED232" w14:textId="77777777" w:rsidTr="00237318">
        <w:trPr>
          <w:trHeight w:val="319"/>
        </w:trPr>
        <w:tc>
          <w:tcPr>
            <w:tcW w:w="45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4A68D" w14:textId="0B54986F" w:rsidR="000F0771" w:rsidRPr="000F0771" w:rsidRDefault="00237318" w:rsidP="000F0771">
            <w:pPr>
              <w:spacing w:after="0"/>
              <w:rPr>
                <w:bCs/>
              </w:rPr>
            </w:pPr>
            <w:r w:rsidRPr="00237318">
              <w:rPr>
                <w:bCs/>
              </w:rPr>
              <w:t>Advocates, Inc., McLaughlin House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C5CC" w14:textId="2FFB5047" w:rsidR="000F0771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 w:rsidRPr="00237318">
              <w:t>288.29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A9A51" w14:textId="7C8778CD" w:rsidR="000F0771" w:rsidRPr="00F97B35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>
              <w:t>317.58</w:t>
            </w:r>
          </w:p>
        </w:tc>
      </w:tr>
      <w:tr w:rsidR="000F0771" w14:paraId="256069F6" w14:textId="77777777" w:rsidTr="00237318">
        <w:trPr>
          <w:trHeight w:val="335"/>
        </w:trPr>
        <w:tc>
          <w:tcPr>
            <w:tcW w:w="45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2878E" w14:textId="2CC0FDED" w:rsidR="000F0771" w:rsidRPr="000F0771" w:rsidRDefault="00237318" w:rsidP="000F0771">
            <w:pPr>
              <w:spacing w:after="0"/>
              <w:rPr>
                <w:bCs/>
              </w:rPr>
            </w:pPr>
            <w:r w:rsidRPr="00237318">
              <w:rPr>
                <w:bCs/>
              </w:rPr>
              <w:t>Advocates, Inc., Warren House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7941" w14:textId="7FEA4063" w:rsidR="000F0771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 w:rsidRPr="00237318">
              <w:t>247.60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FFF43" w14:textId="266A395A" w:rsidR="000F0771" w:rsidRPr="00F97B35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>
              <w:t>272.76</w:t>
            </w:r>
          </w:p>
        </w:tc>
      </w:tr>
      <w:tr w:rsidR="000F0771" w14:paraId="7A99BC2E" w14:textId="77777777" w:rsidTr="00237318">
        <w:trPr>
          <w:trHeight w:val="335"/>
        </w:trPr>
        <w:tc>
          <w:tcPr>
            <w:tcW w:w="45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DCAD2" w14:textId="7A93E7FA" w:rsidR="000F0771" w:rsidRPr="000F0771" w:rsidRDefault="00237318" w:rsidP="000F0771">
            <w:pPr>
              <w:spacing w:after="0"/>
              <w:rPr>
                <w:bCs/>
              </w:rPr>
            </w:pPr>
            <w:r w:rsidRPr="00237318">
              <w:rPr>
                <w:bCs/>
              </w:rPr>
              <w:t>CCHIP House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9D01" w14:textId="7198D3AC" w:rsidR="000F0771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 w:rsidRPr="00237318">
              <w:t>206.73</w:t>
            </w:r>
          </w:p>
        </w:tc>
        <w:tc>
          <w:tcPr>
            <w:tcW w:w="2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E80F24" w14:textId="1F082A03" w:rsidR="000F0771" w:rsidRPr="00F97B35" w:rsidRDefault="000F0771" w:rsidP="000F0771">
            <w:pPr>
              <w:spacing w:after="0"/>
              <w:jc w:val="center"/>
            </w:pPr>
            <w:r w:rsidRPr="00F97B35">
              <w:t>$</w:t>
            </w:r>
            <w:r w:rsidR="00237318">
              <w:t>227.73</w:t>
            </w:r>
          </w:p>
        </w:tc>
      </w:tr>
    </w:tbl>
    <w:p w14:paraId="26625C41" w14:textId="682C3759" w:rsidR="00C00B40" w:rsidRDefault="00417DED" w:rsidP="00723C4B">
      <w:pPr>
        <w:spacing w:before="240" w:after="240" w:line="240" w:lineRule="auto"/>
        <w:rPr>
          <w:rFonts w:cs="Times New Roman"/>
        </w:rPr>
      </w:pPr>
      <w:r w:rsidRPr="005E3936">
        <w:rPr>
          <w:rFonts w:cs="Times New Roman"/>
        </w:rPr>
        <w:t xml:space="preserve">The rates </w:t>
      </w:r>
      <w:r w:rsidR="007716A6">
        <w:rPr>
          <w:rFonts w:cs="Times New Roman"/>
        </w:rPr>
        <w:t>effective December 1, 2022,</w:t>
      </w:r>
      <w:r w:rsidRPr="005E3936">
        <w:rPr>
          <w:rFonts w:cs="Times New Roman"/>
        </w:rPr>
        <w:t xml:space="preserve"> include the </w:t>
      </w:r>
      <w:r w:rsidR="00237318">
        <w:rPr>
          <w:rFonts w:cs="Times New Roman"/>
        </w:rPr>
        <w:t xml:space="preserve">application of </w:t>
      </w:r>
      <w:r w:rsidR="00237318">
        <w:t xml:space="preserve">a cost adjustment factor (CAF) of 10.16% to existing rates. </w:t>
      </w:r>
      <w:bookmarkStart w:id="0" w:name="_Hlk114729392"/>
      <w:r w:rsidR="00237318">
        <w:t xml:space="preserve">The CAF was derived from the optimistic Spring 2022 forecast of the Massachusetts-Specific Consumer Price Index developed by IHS Markit. </w:t>
      </w:r>
      <w:r w:rsidR="00237318">
        <w:rPr>
          <w:bCs/>
        </w:rPr>
        <w:t>The CAF was developed using a retrospective base period of quarter two of calendar year 2021 (2021Q2) and a prospective rate period of quarter four of calendar year 2022 through quarter three of calendar year 202</w:t>
      </w:r>
      <w:bookmarkEnd w:id="0"/>
      <w:r w:rsidR="00237318">
        <w:rPr>
          <w:bCs/>
        </w:rPr>
        <w:t>4 (2022Q4 through 2024Q3)</w:t>
      </w:r>
      <w:r w:rsidR="00B073A8">
        <w:rPr>
          <w:rFonts w:cs="Times New Roman"/>
        </w:rPr>
        <w:t>.</w:t>
      </w:r>
      <w:r w:rsidR="00C31E97">
        <w:rPr>
          <w:rFonts w:cs="Times New Roman"/>
        </w:rPr>
        <w:t xml:space="preserve"> </w:t>
      </w:r>
    </w:p>
    <w:p w14:paraId="2679EFF9" w14:textId="52052E8E" w:rsidR="00A0792F" w:rsidRPr="000147BD" w:rsidRDefault="00781375" w:rsidP="00723C4B">
      <w:pPr>
        <w:spacing w:after="240" w:line="240" w:lineRule="auto"/>
        <w:rPr>
          <w:rFonts w:cs="Times New Roman"/>
          <w:highlight w:val="yellow"/>
        </w:rPr>
      </w:pPr>
      <w:r w:rsidRPr="007C6FD3">
        <w:rPr>
          <w:rFonts w:cs="Times New Roman"/>
        </w:rPr>
        <w:t>T</w:t>
      </w:r>
      <w:r w:rsidR="00A0792F" w:rsidRPr="007C6FD3">
        <w:rPr>
          <w:rFonts w:cs="Times New Roman"/>
        </w:rPr>
        <w:t xml:space="preserve">he </w:t>
      </w:r>
      <w:r w:rsidR="00C31E97" w:rsidRPr="007C6FD3">
        <w:rPr>
          <w:rFonts w:cs="Times New Roman"/>
        </w:rPr>
        <w:t>estimated annual aggregate state expenditures</w:t>
      </w:r>
      <w:r w:rsidR="00A0792F" w:rsidRPr="007C6FD3">
        <w:rPr>
          <w:rFonts w:cs="Times New Roman"/>
        </w:rPr>
        <w:t xml:space="preserve"> </w:t>
      </w:r>
      <w:r w:rsidRPr="007C6FD3">
        <w:rPr>
          <w:rFonts w:cs="Times New Roman"/>
        </w:rPr>
        <w:t xml:space="preserve">as a result of </w:t>
      </w:r>
      <w:r w:rsidR="00EC6028" w:rsidRPr="007C6FD3">
        <w:rPr>
          <w:rFonts w:cs="Times New Roman"/>
        </w:rPr>
        <w:t>the above</w:t>
      </w:r>
      <w:r w:rsidRPr="007C6FD3">
        <w:rPr>
          <w:rFonts w:cs="Times New Roman"/>
        </w:rPr>
        <w:t xml:space="preserve"> changes </w:t>
      </w:r>
      <w:r w:rsidR="00EC6028" w:rsidRPr="007C6FD3">
        <w:rPr>
          <w:rFonts w:cs="Times New Roman"/>
        </w:rPr>
        <w:t xml:space="preserve">to </w:t>
      </w:r>
      <w:r w:rsidR="000F0771">
        <w:rPr>
          <w:rFonts w:cs="Times New Roman"/>
        </w:rPr>
        <w:t>TLP provider</w:t>
      </w:r>
      <w:r w:rsidR="00EC6028" w:rsidRPr="007C6FD3">
        <w:rPr>
          <w:rFonts w:cs="Times New Roman"/>
        </w:rPr>
        <w:t xml:space="preserve"> rates</w:t>
      </w:r>
      <w:r w:rsidR="000147BD">
        <w:rPr>
          <w:rFonts w:cs="Times New Roman"/>
        </w:rPr>
        <w:t xml:space="preserve"> is </w:t>
      </w:r>
      <w:r w:rsidR="000147BD" w:rsidRPr="00237318">
        <w:rPr>
          <w:rFonts w:cs="Times New Roman"/>
        </w:rPr>
        <w:t>$</w:t>
      </w:r>
      <w:r w:rsidR="00237318" w:rsidRPr="00237318">
        <w:rPr>
          <w:rFonts w:cs="Times New Roman"/>
        </w:rPr>
        <w:t>372,706</w:t>
      </w:r>
      <w:r w:rsidR="00A33A92" w:rsidRPr="009F3342">
        <w:rPr>
          <w:rFonts w:cs="Times New Roman"/>
          <w:b/>
          <w:bCs/>
        </w:rPr>
        <w:t>.</w:t>
      </w:r>
    </w:p>
    <w:p w14:paraId="2EF7EC70" w14:textId="76D937FB" w:rsidR="004969D7" w:rsidRPr="00763C20" w:rsidRDefault="00767F48" w:rsidP="00723C4B">
      <w:pPr>
        <w:spacing w:after="240" w:line="240" w:lineRule="auto"/>
        <w:rPr>
          <w:rFonts w:cs="Times New Roman"/>
        </w:rPr>
      </w:pPr>
      <w:r w:rsidRPr="00767F48">
        <w:rPr>
          <w:rFonts w:cs="Times New Roman"/>
        </w:rPr>
        <w:t>Individuals may submit written comments</w:t>
      </w:r>
      <w:r w:rsidR="00763C20">
        <w:rPr>
          <w:rFonts w:cs="Times New Roman"/>
        </w:rPr>
        <w:t xml:space="preserve">, or request a copy of any notices or written comments, </w:t>
      </w:r>
      <w:r w:rsidR="00B66CB4">
        <w:rPr>
          <w:rFonts w:cs="Times New Roman"/>
        </w:rPr>
        <w:t xml:space="preserve">about </w:t>
      </w:r>
      <w:r w:rsidR="00CD7D71">
        <w:rPr>
          <w:rFonts w:cs="Times New Roman"/>
        </w:rPr>
        <w:t>these updates</w:t>
      </w:r>
      <w:r w:rsidRPr="00767F48">
        <w:rPr>
          <w:rFonts w:cs="Times New Roman"/>
        </w:rPr>
        <w:t xml:space="preserve"> by emailing </w:t>
      </w:r>
      <w:hyperlink r:id="rId11" w:history="1">
        <w:r w:rsidR="00F4403D" w:rsidRPr="00B96E70">
          <w:rPr>
            <w:rStyle w:val="Hyperlink"/>
            <w:rFonts w:cs="Times New Roman"/>
          </w:rPr>
          <w:t>ehs-regulations@mass.gov</w:t>
        </w:r>
      </w:hyperlink>
      <w:r w:rsidR="00F4403D">
        <w:rPr>
          <w:rFonts w:cs="Times New Roman"/>
        </w:rPr>
        <w:t xml:space="preserve">. </w:t>
      </w:r>
      <w:r w:rsidRPr="00767F48">
        <w:rPr>
          <w:rFonts w:cs="Times New Roman"/>
        </w:rPr>
        <w:t xml:space="preserve">Please submit electronic comments as an attached Word </w:t>
      </w:r>
      <w:r w:rsidR="00AD00BD">
        <w:rPr>
          <w:rFonts w:cs="Times New Roman"/>
        </w:rPr>
        <w:t xml:space="preserve">or PDF </w:t>
      </w:r>
      <w:r w:rsidRPr="00767F48">
        <w:rPr>
          <w:rFonts w:cs="Times New Roman"/>
        </w:rPr>
        <w:t>document or as text within the body of the email with the phrase “</w:t>
      </w:r>
      <w:r>
        <w:rPr>
          <w:rFonts w:cs="Times New Roman"/>
        </w:rPr>
        <w:t>MassHealth Changes in Rates for PCA Services</w:t>
      </w:r>
      <w:r w:rsidRPr="00767F48">
        <w:rPr>
          <w:rFonts w:cs="Times New Roman"/>
        </w:rPr>
        <w:t>” in the subject line. All submissions must include the sender’s full name</w:t>
      </w:r>
      <w:r w:rsidR="008F1FFA">
        <w:rPr>
          <w:rFonts w:cs="Times New Roman"/>
        </w:rPr>
        <w:t xml:space="preserve">, mailing </w:t>
      </w:r>
      <w:r w:rsidRPr="00767F48">
        <w:rPr>
          <w:rFonts w:cs="Times New Roman"/>
        </w:rPr>
        <w:t>address</w:t>
      </w:r>
      <w:r w:rsidR="008F1FFA">
        <w:rPr>
          <w:rFonts w:cs="Times New Roman"/>
        </w:rPr>
        <w:t>, and affiliation or organization, if any.</w:t>
      </w:r>
      <w:r w:rsidRPr="00767F48">
        <w:rPr>
          <w:rFonts w:cs="Times New Roman"/>
        </w:rPr>
        <w:t xml:space="preserve"> Individuals who are unable to submit comments</w:t>
      </w:r>
      <w:r w:rsidR="00763C20">
        <w:rPr>
          <w:rFonts w:cs="Times New Roman"/>
        </w:rPr>
        <w:t xml:space="preserve"> or request a copy of any notices or written copies</w:t>
      </w:r>
      <w:r w:rsidR="008F1FFA">
        <w:rPr>
          <w:rFonts w:cs="Times New Roman"/>
        </w:rPr>
        <w:t xml:space="preserve"> by e</w:t>
      </w:r>
      <w:r w:rsidR="00A62733">
        <w:rPr>
          <w:rFonts w:cs="Times New Roman"/>
        </w:rPr>
        <w:t>-</w:t>
      </w:r>
      <w:r w:rsidR="008F1FFA">
        <w:rPr>
          <w:rFonts w:cs="Times New Roman"/>
        </w:rPr>
        <w:t>mail should mail</w:t>
      </w:r>
      <w:r w:rsidRPr="00767F48">
        <w:rPr>
          <w:rFonts w:cs="Times New Roman"/>
        </w:rPr>
        <w:t xml:space="preserve"> written comments </w:t>
      </w:r>
      <w:r w:rsidR="00763C20">
        <w:rPr>
          <w:rFonts w:cs="Times New Roman"/>
        </w:rPr>
        <w:t xml:space="preserve">or requests </w:t>
      </w:r>
      <w:r w:rsidRPr="00767F48">
        <w:rPr>
          <w:rFonts w:cs="Times New Roman"/>
        </w:rPr>
        <w:t xml:space="preserve">to EOHHS, c/o </w:t>
      </w:r>
      <w:r w:rsidR="00601394">
        <w:rPr>
          <w:rFonts w:cs="Times New Roman"/>
        </w:rPr>
        <w:t>Debby Briggs, 100 Hancock St</w:t>
      </w:r>
      <w:r w:rsidR="008B5C7B">
        <w:rPr>
          <w:rFonts w:cs="Times New Roman"/>
        </w:rPr>
        <w:t>reet</w:t>
      </w:r>
      <w:r w:rsidRPr="00767F48">
        <w:rPr>
          <w:rFonts w:cs="Times New Roman"/>
        </w:rPr>
        <w:t>, 6</w:t>
      </w:r>
      <w:r w:rsidRPr="00767F48">
        <w:rPr>
          <w:rFonts w:cs="Times New Roman"/>
          <w:vertAlign w:val="superscript"/>
        </w:rPr>
        <w:t>th</w:t>
      </w:r>
      <w:r w:rsidR="00601394">
        <w:rPr>
          <w:rFonts w:cs="Times New Roman"/>
        </w:rPr>
        <w:t xml:space="preserve"> Fl</w:t>
      </w:r>
      <w:r w:rsidR="008B5C7B">
        <w:rPr>
          <w:rFonts w:cs="Times New Roman"/>
        </w:rPr>
        <w:t>oor</w:t>
      </w:r>
      <w:r w:rsidR="00763C20">
        <w:rPr>
          <w:rFonts w:cs="Times New Roman"/>
        </w:rPr>
        <w:t>, Quincy, MA 02171.</w:t>
      </w:r>
    </w:p>
    <w:sectPr w:rsidR="004969D7" w:rsidRPr="00763C20" w:rsidSect="006013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0" w:right="1350" w:bottom="81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55B1" w14:textId="77777777" w:rsidR="004868CD" w:rsidRDefault="004868CD" w:rsidP="000F09A3">
      <w:pPr>
        <w:spacing w:after="0" w:line="240" w:lineRule="auto"/>
      </w:pPr>
      <w:r>
        <w:separator/>
      </w:r>
    </w:p>
  </w:endnote>
  <w:endnote w:type="continuationSeparator" w:id="0">
    <w:p w14:paraId="276E23B8" w14:textId="77777777" w:rsidR="004868CD" w:rsidRDefault="004868CD" w:rsidP="000F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3E97" w14:textId="77777777" w:rsidR="00DD42FF" w:rsidRDefault="00DD4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1B42" w14:textId="77777777" w:rsidR="00EF4736" w:rsidRDefault="00EF4736" w:rsidP="00670FC9">
    <w:pPr>
      <w:pStyle w:val="Footer"/>
      <w:spacing w:line="240" w:lineRule="auto"/>
      <w:contextualSpacing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FAA7" w14:textId="77777777" w:rsidR="00DD42FF" w:rsidRDefault="00DD4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4EC9" w14:textId="77777777" w:rsidR="004868CD" w:rsidRDefault="004868CD" w:rsidP="000F09A3">
      <w:pPr>
        <w:spacing w:after="0" w:line="240" w:lineRule="auto"/>
      </w:pPr>
      <w:r>
        <w:separator/>
      </w:r>
    </w:p>
  </w:footnote>
  <w:footnote w:type="continuationSeparator" w:id="0">
    <w:p w14:paraId="37A63FB9" w14:textId="77777777" w:rsidR="004868CD" w:rsidRDefault="004868CD" w:rsidP="000F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4E8A" w14:textId="77777777" w:rsidR="00DD42FF" w:rsidRDefault="00DD4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1A8F" w14:textId="33678894" w:rsidR="000F09A3" w:rsidRPr="00A33A92" w:rsidRDefault="000F09A3">
    <w:pPr>
      <w:pStyle w:val="Header"/>
      <w:rPr>
        <w:kern w:val="24"/>
      </w:rPr>
    </w:pPr>
    <w:r>
      <w:t xml:space="preserve">PUBLISHED: </w:t>
    </w:r>
    <w:r w:rsidR="00A625D4">
      <w:t xml:space="preserve"> </w:t>
    </w:r>
    <w:r w:rsidR="007614EA">
      <w:t xml:space="preserve">November </w:t>
    </w:r>
    <w:r w:rsidR="00DD42FF">
      <w:t>28</w:t>
    </w:r>
    <w:r w:rsidR="007614EA"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5D01" w14:textId="77777777" w:rsidR="00DD42FF" w:rsidRDefault="00DD4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A22"/>
    <w:multiLevelType w:val="hybridMultilevel"/>
    <w:tmpl w:val="C224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249CE"/>
    <w:multiLevelType w:val="hybridMultilevel"/>
    <w:tmpl w:val="6386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16034">
    <w:abstractNumId w:val="1"/>
  </w:num>
  <w:num w:numId="2" w16cid:durableId="10941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F"/>
    <w:rsid w:val="00003BB3"/>
    <w:rsid w:val="000113C7"/>
    <w:rsid w:val="000147BD"/>
    <w:rsid w:val="00050830"/>
    <w:rsid w:val="000818B7"/>
    <w:rsid w:val="0008285C"/>
    <w:rsid w:val="00084441"/>
    <w:rsid w:val="00084C77"/>
    <w:rsid w:val="0008527A"/>
    <w:rsid w:val="000A185D"/>
    <w:rsid w:val="000B09B5"/>
    <w:rsid w:val="000E508A"/>
    <w:rsid w:val="000F0771"/>
    <w:rsid w:val="000F09A3"/>
    <w:rsid w:val="000F499D"/>
    <w:rsid w:val="000F5E26"/>
    <w:rsid w:val="00100C2A"/>
    <w:rsid w:val="001054A7"/>
    <w:rsid w:val="001112A5"/>
    <w:rsid w:val="00114F00"/>
    <w:rsid w:val="00132BFD"/>
    <w:rsid w:val="00134442"/>
    <w:rsid w:val="00142589"/>
    <w:rsid w:val="00146B2D"/>
    <w:rsid w:val="00151F88"/>
    <w:rsid w:val="00156CF2"/>
    <w:rsid w:val="001940D5"/>
    <w:rsid w:val="001C4EFB"/>
    <w:rsid w:val="001D5BC5"/>
    <w:rsid w:val="001E702F"/>
    <w:rsid w:val="001F2C63"/>
    <w:rsid w:val="001F65F0"/>
    <w:rsid w:val="00230BB5"/>
    <w:rsid w:val="00237318"/>
    <w:rsid w:val="00252A50"/>
    <w:rsid w:val="002549FC"/>
    <w:rsid w:val="00265C18"/>
    <w:rsid w:val="0028151C"/>
    <w:rsid w:val="00281D84"/>
    <w:rsid w:val="0029240D"/>
    <w:rsid w:val="002A644A"/>
    <w:rsid w:val="002B2E2A"/>
    <w:rsid w:val="002B3C39"/>
    <w:rsid w:val="002C1730"/>
    <w:rsid w:val="002D7586"/>
    <w:rsid w:val="00311843"/>
    <w:rsid w:val="0031364F"/>
    <w:rsid w:val="003371A6"/>
    <w:rsid w:val="0034747F"/>
    <w:rsid w:val="00350363"/>
    <w:rsid w:val="00356358"/>
    <w:rsid w:val="00363521"/>
    <w:rsid w:val="00384875"/>
    <w:rsid w:val="00390314"/>
    <w:rsid w:val="0039709A"/>
    <w:rsid w:val="003A4E4B"/>
    <w:rsid w:val="003C425B"/>
    <w:rsid w:val="003C4F75"/>
    <w:rsid w:val="003D4B4E"/>
    <w:rsid w:val="003E49FE"/>
    <w:rsid w:val="003E6763"/>
    <w:rsid w:val="00407C20"/>
    <w:rsid w:val="004122B2"/>
    <w:rsid w:val="004178B5"/>
    <w:rsid w:val="00417DED"/>
    <w:rsid w:val="0042181C"/>
    <w:rsid w:val="004868CD"/>
    <w:rsid w:val="00490AF7"/>
    <w:rsid w:val="004933C6"/>
    <w:rsid w:val="004961BB"/>
    <w:rsid w:val="004969D7"/>
    <w:rsid w:val="004A1171"/>
    <w:rsid w:val="004B646B"/>
    <w:rsid w:val="004C3A90"/>
    <w:rsid w:val="004C4DFC"/>
    <w:rsid w:val="004D28F6"/>
    <w:rsid w:val="004D6AE9"/>
    <w:rsid w:val="004E1DFC"/>
    <w:rsid w:val="004E7017"/>
    <w:rsid w:val="004F220D"/>
    <w:rsid w:val="004F38D9"/>
    <w:rsid w:val="0050607B"/>
    <w:rsid w:val="00510657"/>
    <w:rsid w:val="00510A89"/>
    <w:rsid w:val="00516A1D"/>
    <w:rsid w:val="00543187"/>
    <w:rsid w:val="005543E6"/>
    <w:rsid w:val="0056673A"/>
    <w:rsid w:val="00573825"/>
    <w:rsid w:val="00574D86"/>
    <w:rsid w:val="00580C0E"/>
    <w:rsid w:val="005979CC"/>
    <w:rsid w:val="005A0CB5"/>
    <w:rsid w:val="005A0DB2"/>
    <w:rsid w:val="005B0D32"/>
    <w:rsid w:val="005D2180"/>
    <w:rsid w:val="005D753F"/>
    <w:rsid w:val="005E3936"/>
    <w:rsid w:val="00601394"/>
    <w:rsid w:val="00610018"/>
    <w:rsid w:val="00641525"/>
    <w:rsid w:val="00643C4D"/>
    <w:rsid w:val="00662CCB"/>
    <w:rsid w:val="006652C5"/>
    <w:rsid w:val="00670E35"/>
    <w:rsid w:val="00670FC9"/>
    <w:rsid w:val="00672A0D"/>
    <w:rsid w:val="006B11DD"/>
    <w:rsid w:val="006C4C49"/>
    <w:rsid w:val="006D1477"/>
    <w:rsid w:val="006D5F19"/>
    <w:rsid w:val="006D6915"/>
    <w:rsid w:val="006D7D5E"/>
    <w:rsid w:val="006E3393"/>
    <w:rsid w:val="00701A03"/>
    <w:rsid w:val="00707840"/>
    <w:rsid w:val="00723C4B"/>
    <w:rsid w:val="00725B00"/>
    <w:rsid w:val="00731F41"/>
    <w:rsid w:val="007614EA"/>
    <w:rsid w:val="00763C20"/>
    <w:rsid w:val="007640B2"/>
    <w:rsid w:val="00767F48"/>
    <w:rsid w:val="007716A6"/>
    <w:rsid w:val="0077369F"/>
    <w:rsid w:val="00781375"/>
    <w:rsid w:val="00785C2F"/>
    <w:rsid w:val="007A258B"/>
    <w:rsid w:val="007C6FD3"/>
    <w:rsid w:val="007D38B4"/>
    <w:rsid w:val="007D7A5A"/>
    <w:rsid w:val="007D7BA2"/>
    <w:rsid w:val="007F4A9F"/>
    <w:rsid w:val="007F6332"/>
    <w:rsid w:val="008037DB"/>
    <w:rsid w:val="00813936"/>
    <w:rsid w:val="00817E43"/>
    <w:rsid w:val="00830D2D"/>
    <w:rsid w:val="0084437F"/>
    <w:rsid w:val="00861951"/>
    <w:rsid w:val="00865195"/>
    <w:rsid w:val="008A0BF0"/>
    <w:rsid w:val="008A2F2E"/>
    <w:rsid w:val="008B5C7B"/>
    <w:rsid w:val="008B7E66"/>
    <w:rsid w:val="008C1EE6"/>
    <w:rsid w:val="008C55D2"/>
    <w:rsid w:val="008F1FFA"/>
    <w:rsid w:val="00901200"/>
    <w:rsid w:val="00904FDE"/>
    <w:rsid w:val="009061EC"/>
    <w:rsid w:val="00914FCA"/>
    <w:rsid w:val="00925BB4"/>
    <w:rsid w:val="00963CB7"/>
    <w:rsid w:val="009670F0"/>
    <w:rsid w:val="00984018"/>
    <w:rsid w:val="009876EA"/>
    <w:rsid w:val="009B2B91"/>
    <w:rsid w:val="009B6CE1"/>
    <w:rsid w:val="009B72EB"/>
    <w:rsid w:val="009C19C1"/>
    <w:rsid w:val="009E3CC7"/>
    <w:rsid w:val="009F3342"/>
    <w:rsid w:val="00A0792F"/>
    <w:rsid w:val="00A21FDE"/>
    <w:rsid w:val="00A3386A"/>
    <w:rsid w:val="00A33A92"/>
    <w:rsid w:val="00A55E88"/>
    <w:rsid w:val="00A625D4"/>
    <w:rsid w:val="00A62733"/>
    <w:rsid w:val="00A6429C"/>
    <w:rsid w:val="00A66B80"/>
    <w:rsid w:val="00A96AE4"/>
    <w:rsid w:val="00AB3538"/>
    <w:rsid w:val="00AD00BD"/>
    <w:rsid w:val="00AD78D3"/>
    <w:rsid w:val="00AE44E8"/>
    <w:rsid w:val="00AE6328"/>
    <w:rsid w:val="00B02DA4"/>
    <w:rsid w:val="00B073A8"/>
    <w:rsid w:val="00B1516C"/>
    <w:rsid w:val="00B21EC5"/>
    <w:rsid w:val="00B25847"/>
    <w:rsid w:val="00B260F5"/>
    <w:rsid w:val="00B40E09"/>
    <w:rsid w:val="00B51CFB"/>
    <w:rsid w:val="00B559FF"/>
    <w:rsid w:val="00B569FA"/>
    <w:rsid w:val="00B57271"/>
    <w:rsid w:val="00B62E6A"/>
    <w:rsid w:val="00B64602"/>
    <w:rsid w:val="00B66CB4"/>
    <w:rsid w:val="00B74A78"/>
    <w:rsid w:val="00B860DF"/>
    <w:rsid w:val="00BB0D45"/>
    <w:rsid w:val="00BD4285"/>
    <w:rsid w:val="00BE64A3"/>
    <w:rsid w:val="00C00B40"/>
    <w:rsid w:val="00C31E97"/>
    <w:rsid w:val="00C346F2"/>
    <w:rsid w:val="00C35C80"/>
    <w:rsid w:val="00C4561D"/>
    <w:rsid w:val="00C52B95"/>
    <w:rsid w:val="00C663A5"/>
    <w:rsid w:val="00C703CE"/>
    <w:rsid w:val="00C75554"/>
    <w:rsid w:val="00CA6B89"/>
    <w:rsid w:val="00CB393D"/>
    <w:rsid w:val="00CC2288"/>
    <w:rsid w:val="00CD7D71"/>
    <w:rsid w:val="00CE2E51"/>
    <w:rsid w:val="00D15D2E"/>
    <w:rsid w:val="00D23FA3"/>
    <w:rsid w:val="00D257C5"/>
    <w:rsid w:val="00D442D6"/>
    <w:rsid w:val="00D6225B"/>
    <w:rsid w:val="00D7246D"/>
    <w:rsid w:val="00D73F7B"/>
    <w:rsid w:val="00D74182"/>
    <w:rsid w:val="00D76ED2"/>
    <w:rsid w:val="00D843A2"/>
    <w:rsid w:val="00D909D4"/>
    <w:rsid w:val="00DA3F41"/>
    <w:rsid w:val="00DC39BF"/>
    <w:rsid w:val="00DD42FF"/>
    <w:rsid w:val="00DD4CDA"/>
    <w:rsid w:val="00DE344F"/>
    <w:rsid w:val="00DF090A"/>
    <w:rsid w:val="00DF4FAE"/>
    <w:rsid w:val="00E2217E"/>
    <w:rsid w:val="00E31DDA"/>
    <w:rsid w:val="00E40E5D"/>
    <w:rsid w:val="00E53E06"/>
    <w:rsid w:val="00E60646"/>
    <w:rsid w:val="00E62894"/>
    <w:rsid w:val="00E66D06"/>
    <w:rsid w:val="00E7464D"/>
    <w:rsid w:val="00E77F54"/>
    <w:rsid w:val="00E931B5"/>
    <w:rsid w:val="00EB360D"/>
    <w:rsid w:val="00EB430B"/>
    <w:rsid w:val="00EC2A97"/>
    <w:rsid w:val="00EC6028"/>
    <w:rsid w:val="00EC7073"/>
    <w:rsid w:val="00ED3F10"/>
    <w:rsid w:val="00ED692A"/>
    <w:rsid w:val="00ED7D32"/>
    <w:rsid w:val="00EE1F8E"/>
    <w:rsid w:val="00EE7691"/>
    <w:rsid w:val="00EF4736"/>
    <w:rsid w:val="00EF508F"/>
    <w:rsid w:val="00EF6E42"/>
    <w:rsid w:val="00F359D2"/>
    <w:rsid w:val="00F42257"/>
    <w:rsid w:val="00F43C03"/>
    <w:rsid w:val="00F4403D"/>
    <w:rsid w:val="00F61E62"/>
    <w:rsid w:val="00F6736F"/>
    <w:rsid w:val="00F902BF"/>
    <w:rsid w:val="00F97B35"/>
    <w:rsid w:val="00FB03CB"/>
    <w:rsid w:val="00FB7543"/>
    <w:rsid w:val="00FC05CC"/>
    <w:rsid w:val="00FD3090"/>
    <w:rsid w:val="00FE3ED6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C1F340A"/>
  <w15:docId w15:val="{079BAD7E-7A59-4740-835C-5FE1691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CommentReference1">
    <w:name w:val="Comment Reference1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eastAsia="MS Mincho" w:hAnsi="Tahoma" w:cs="Tahoma"/>
      <w:sz w:val="16"/>
      <w:szCs w:val="16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character" w:styleId="CommentReference">
    <w:name w:val="annotation reference"/>
    <w:rsid w:val="001D5BC5"/>
    <w:rPr>
      <w:sz w:val="16"/>
      <w:szCs w:val="16"/>
    </w:rPr>
  </w:style>
  <w:style w:type="paragraph" w:styleId="CommentText">
    <w:name w:val="annotation text"/>
    <w:basedOn w:val="Normal"/>
    <w:link w:val="CommentTextChar1"/>
    <w:rsid w:val="001D5BC5"/>
    <w:rPr>
      <w:sz w:val="20"/>
      <w:szCs w:val="18"/>
    </w:rPr>
  </w:style>
  <w:style w:type="character" w:customStyle="1" w:styleId="CommentTextChar1">
    <w:name w:val="Comment Text Char1"/>
    <w:link w:val="CommentText"/>
    <w:rsid w:val="001D5BC5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1"/>
    <w:rsid w:val="001D5BC5"/>
    <w:rPr>
      <w:b/>
      <w:bCs/>
    </w:rPr>
  </w:style>
  <w:style w:type="character" w:customStyle="1" w:styleId="CommentSubjectChar1">
    <w:name w:val="Comment Subject Char1"/>
    <w:link w:val="CommentSubject"/>
    <w:rsid w:val="001D5BC5"/>
    <w:rPr>
      <w:rFonts w:eastAsia="SimSun" w:cs="Mangal"/>
      <w:b/>
      <w:bCs/>
      <w:kern w:val="1"/>
      <w:szCs w:val="18"/>
      <w:lang w:eastAsia="hi-IN" w:bidi="hi-IN"/>
    </w:rPr>
  </w:style>
  <w:style w:type="paragraph" w:styleId="PlainText">
    <w:name w:val="Plain Text"/>
    <w:basedOn w:val="Normal"/>
    <w:link w:val="PlainTextChar"/>
    <w:rsid w:val="006D1477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PlainTextChar">
    <w:name w:val="Plain Text Char"/>
    <w:link w:val="PlainText"/>
    <w:rsid w:val="006D1477"/>
    <w:rPr>
      <w:rFonts w:ascii="Arial" w:hAnsi="Arial" w:cs="Arial"/>
    </w:rPr>
  </w:style>
  <w:style w:type="character" w:styleId="Hyperlink">
    <w:name w:val="Hyperlink"/>
    <w:rsid w:val="006C4C49"/>
    <w:rPr>
      <w:color w:val="0000FF"/>
      <w:u w:val="single"/>
    </w:rPr>
  </w:style>
  <w:style w:type="paragraph" w:styleId="Header">
    <w:name w:val="header"/>
    <w:basedOn w:val="Normal"/>
    <w:link w:val="Head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rsid w:val="000F09A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rsid w:val="000F09A3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A625D4"/>
    <w:rPr>
      <w:rFonts w:eastAsia="SimSun" w:cs="Mangal"/>
      <w:kern w:val="1"/>
      <w:sz w:val="24"/>
      <w:szCs w:val="21"/>
      <w:lang w:eastAsia="hi-IN" w:bidi="hi-IN"/>
    </w:rPr>
  </w:style>
  <w:style w:type="character" w:styleId="FollowedHyperlink">
    <w:name w:val="FollowedHyperlink"/>
    <w:rsid w:val="00670FC9"/>
    <w:rPr>
      <w:color w:val="800080"/>
      <w:u w:val="single"/>
    </w:rPr>
  </w:style>
  <w:style w:type="table" w:styleId="TableGrid">
    <w:name w:val="Table Grid"/>
    <w:basedOn w:val="TableNormal"/>
    <w:rsid w:val="004A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B7543"/>
    <w:rPr>
      <w:sz w:val="20"/>
      <w:szCs w:val="18"/>
    </w:rPr>
  </w:style>
  <w:style w:type="character" w:customStyle="1" w:styleId="FootnoteTextChar">
    <w:name w:val="Footnote Text Char"/>
    <w:link w:val="FootnoteText"/>
    <w:rsid w:val="00FB7543"/>
    <w:rPr>
      <w:rFonts w:eastAsia="SimSun" w:cs="Mangal"/>
      <w:kern w:val="1"/>
      <w:szCs w:val="18"/>
      <w:lang w:eastAsia="hi-IN" w:bidi="hi-IN"/>
    </w:rPr>
  </w:style>
  <w:style w:type="character" w:styleId="FootnoteReference">
    <w:name w:val="footnote reference"/>
    <w:rsid w:val="00FB75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4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hs-regulations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7" ma:contentTypeDescription="Create a new document." ma:contentTypeScope="" ma:versionID="6e8073b1f1087b1fac9cd41778974483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9853f40247732fa010fb66142022ec13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F9E1F-702E-4FB8-B02C-6E258270B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A571C-C23F-404B-B7DE-1C1E24C28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B138D-4E60-4636-B228-B2FEBDDAE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AF961-8FCD-4254-B3D4-64E1FBF8F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FINAL AGENCY ACTION</vt:lpstr>
    </vt:vector>
  </TitlesOfParts>
  <Company>EHS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FINAL AGENCY ACTION</dc:title>
  <dc:creator>Mancusi, Charlene (EHS)</dc:creator>
  <cp:lastModifiedBy>Kovach, Karen E (EHS)</cp:lastModifiedBy>
  <cp:revision>2</cp:revision>
  <cp:lastPrinted>2022-06-21T12:29:00Z</cp:lastPrinted>
  <dcterms:created xsi:type="dcterms:W3CDTF">2022-11-25T19:03:00Z</dcterms:created>
  <dcterms:modified xsi:type="dcterms:W3CDTF">2022-11-25T19:03:00Z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0x0101001CB594E3E3D01545A7EF3B50A486EBF4</vt:lpwstr>
  </property>
</Properties>
</file>