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F897F" w14:textId="4389EE11" w:rsidR="00CC2FE8" w:rsidRDefault="00CC2FE8" w:rsidP="00AD78D3">
      <w:pPr>
        <w:spacing w:after="0" w:line="240" w:lineRule="auto"/>
        <w:jc w:val="center"/>
        <w:rPr>
          <w:b/>
          <w:bCs/>
        </w:rPr>
      </w:pPr>
      <w:r>
        <w:rPr>
          <w:b/>
          <w:bCs/>
        </w:rPr>
        <w:t>Commonwealth of Massachusetts</w:t>
      </w:r>
    </w:p>
    <w:p w14:paraId="1D7EE229" w14:textId="6B779D26" w:rsidR="00CC2FE8" w:rsidRDefault="00CC2FE8" w:rsidP="00AD78D3">
      <w:pPr>
        <w:spacing w:after="0" w:line="240" w:lineRule="auto"/>
        <w:jc w:val="center"/>
        <w:rPr>
          <w:b/>
          <w:bCs/>
        </w:rPr>
      </w:pPr>
      <w:r>
        <w:rPr>
          <w:b/>
          <w:bCs/>
        </w:rPr>
        <w:t>Executive Office of Health and Human Services</w:t>
      </w:r>
    </w:p>
    <w:p w14:paraId="6342D4BC" w14:textId="77777777" w:rsidR="00CC2FE8" w:rsidRDefault="00CC2FE8" w:rsidP="00AD78D3">
      <w:pPr>
        <w:spacing w:after="0" w:line="240" w:lineRule="auto"/>
        <w:jc w:val="center"/>
        <w:rPr>
          <w:b/>
          <w:bCs/>
        </w:rPr>
      </w:pPr>
    </w:p>
    <w:p w14:paraId="22A53844" w14:textId="552ABA88" w:rsidR="000E508A" w:rsidRPr="00372029" w:rsidRDefault="001940D5" w:rsidP="00AD78D3">
      <w:pPr>
        <w:spacing w:after="0" w:line="240" w:lineRule="auto"/>
        <w:jc w:val="center"/>
        <w:rPr>
          <w:b/>
          <w:bCs/>
        </w:rPr>
      </w:pPr>
      <w:r w:rsidRPr="00372029">
        <w:rPr>
          <w:b/>
          <w:bCs/>
        </w:rPr>
        <w:t xml:space="preserve">NOTICE OF </w:t>
      </w:r>
      <w:r w:rsidR="00FB03CB" w:rsidRPr="00372029">
        <w:rPr>
          <w:b/>
          <w:bCs/>
        </w:rPr>
        <w:t xml:space="preserve">PROPOSED </w:t>
      </w:r>
      <w:r w:rsidR="000E508A" w:rsidRPr="00372029">
        <w:rPr>
          <w:b/>
          <w:bCs/>
        </w:rPr>
        <w:t xml:space="preserve">CHANGES IN STATEWIDE METHODS AND STANDARDS </w:t>
      </w:r>
    </w:p>
    <w:p w14:paraId="376C568E" w14:textId="44A920BE" w:rsidR="001940D5" w:rsidRDefault="000E508A" w:rsidP="00AD78D3">
      <w:pPr>
        <w:spacing w:after="0" w:line="240" w:lineRule="auto"/>
        <w:jc w:val="center"/>
        <w:rPr>
          <w:b/>
          <w:bCs/>
        </w:rPr>
      </w:pPr>
      <w:r w:rsidRPr="00372029">
        <w:rPr>
          <w:b/>
          <w:bCs/>
        </w:rPr>
        <w:t>FOR SETTING PAYMENT RATES</w:t>
      </w:r>
    </w:p>
    <w:p w14:paraId="2759E6A7" w14:textId="77777777" w:rsidR="00AD78D3" w:rsidRPr="00372029" w:rsidRDefault="00AD78D3">
      <w:pPr>
        <w:spacing w:after="0" w:line="240" w:lineRule="auto"/>
        <w:jc w:val="center"/>
        <w:rPr>
          <w:b/>
          <w:bCs/>
        </w:rPr>
      </w:pPr>
    </w:p>
    <w:p w14:paraId="2F615C81" w14:textId="77777777" w:rsidR="00ED3F10" w:rsidRDefault="00ED3F10" w:rsidP="00372029">
      <w:pPr>
        <w:spacing w:after="0" w:line="240" w:lineRule="auto"/>
        <w:jc w:val="center"/>
      </w:pPr>
    </w:p>
    <w:p w14:paraId="45269FDF" w14:textId="135F2031" w:rsidR="001940D5" w:rsidRDefault="001940D5" w:rsidP="00372029">
      <w:pPr>
        <w:spacing w:after="0" w:line="240" w:lineRule="auto"/>
      </w:pPr>
      <w:r w:rsidRPr="00372029">
        <w:rPr>
          <w:b/>
          <w:bCs/>
        </w:rPr>
        <w:t>SUBJECT:</w:t>
      </w:r>
      <w:r>
        <w:tab/>
        <w:t xml:space="preserve">MassHealth: </w:t>
      </w:r>
      <w:r w:rsidR="000E508A">
        <w:t xml:space="preserve">Rates for MassHealth </w:t>
      </w:r>
      <w:r>
        <w:t xml:space="preserve">Personal Care </w:t>
      </w:r>
      <w:r w:rsidR="00265C18">
        <w:t>Attendant</w:t>
      </w:r>
      <w:r>
        <w:t xml:space="preserve"> </w:t>
      </w:r>
      <w:r w:rsidR="000E508A">
        <w:t>Services</w:t>
      </w:r>
    </w:p>
    <w:p w14:paraId="4362A5BB" w14:textId="77777777" w:rsidR="008B5C7B" w:rsidRDefault="008B5C7B" w:rsidP="00372029">
      <w:pPr>
        <w:spacing w:after="0" w:line="240" w:lineRule="auto"/>
      </w:pPr>
    </w:p>
    <w:p w14:paraId="75D01423" w14:textId="3A7CDE09" w:rsidR="001940D5" w:rsidRDefault="001940D5" w:rsidP="00372029">
      <w:pPr>
        <w:spacing w:after="0" w:line="240" w:lineRule="auto"/>
      </w:pPr>
      <w:r w:rsidRPr="00372029">
        <w:rPr>
          <w:b/>
          <w:bCs/>
        </w:rPr>
        <w:t>AGENCY:</w:t>
      </w:r>
      <w:r>
        <w:tab/>
        <w:t>Massachusetts Executive Office of Health and Human Services</w:t>
      </w:r>
    </w:p>
    <w:p w14:paraId="635ED6B6" w14:textId="77777777" w:rsidR="008B5C7B" w:rsidRDefault="008B5C7B" w:rsidP="00372029">
      <w:pPr>
        <w:spacing w:after="0" w:line="240" w:lineRule="auto"/>
      </w:pPr>
    </w:p>
    <w:p w14:paraId="4AA172A8" w14:textId="2C2B67A5" w:rsidR="001940D5" w:rsidRDefault="000E508A" w:rsidP="00372029">
      <w:pPr>
        <w:spacing w:after="0" w:line="240" w:lineRule="auto"/>
        <w:ind w:left="1440" w:hanging="1440"/>
      </w:pPr>
      <w:r w:rsidRPr="00372029">
        <w:rPr>
          <w:b/>
          <w:bCs/>
        </w:rPr>
        <w:t>SUMMARY</w:t>
      </w:r>
      <w:r w:rsidR="001940D5" w:rsidRPr="00372029">
        <w:rPr>
          <w:b/>
          <w:bCs/>
        </w:rPr>
        <w:t>:</w:t>
      </w:r>
      <w:r w:rsidR="001940D5">
        <w:t xml:space="preserve"> </w:t>
      </w:r>
      <w:r w:rsidR="003D4B4E">
        <w:t xml:space="preserve"> </w:t>
      </w:r>
      <w:r w:rsidR="001940D5">
        <w:t xml:space="preserve">MassHealth </w:t>
      </w:r>
      <w:r w:rsidR="00FB03CB">
        <w:t>Proposed</w:t>
      </w:r>
      <w:r>
        <w:t xml:space="preserve"> Rate</w:t>
      </w:r>
      <w:r w:rsidR="00FB03CB">
        <w:t xml:space="preserve"> Change</w:t>
      </w:r>
      <w:r>
        <w:t>s for</w:t>
      </w:r>
      <w:r w:rsidR="002D7586">
        <w:t xml:space="preserve"> </w:t>
      </w:r>
      <w:r w:rsidR="00FE3ED6">
        <w:t>P</w:t>
      </w:r>
      <w:r w:rsidR="002D7586">
        <w:t xml:space="preserve">ersonal </w:t>
      </w:r>
      <w:r w:rsidR="00FE3ED6">
        <w:t>C</w:t>
      </w:r>
      <w:r w:rsidR="002D7586">
        <w:t xml:space="preserve">are </w:t>
      </w:r>
      <w:r w:rsidR="00050830">
        <w:t>Attendant Services E</w:t>
      </w:r>
      <w:r w:rsidR="00265C18">
        <w:t>ffective</w:t>
      </w:r>
      <w:r w:rsidR="00817E43">
        <w:t xml:space="preserve"> </w:t>
      </w:r>
      <w:r w:rsidR="00EC6028">
        <w:t xml:space="preserve">July 1, </w:t>
      </w:r>
      <w:r w:rsidR="0028151C">
        <w:t>2022</w:t>
      </w:r>
      <w:r w:rsidR="00142589">
        <w:t>, January 1, 2023, and April 1, 2023</w:t>
      </w:r>
    </w:p>
    <w:p w14:paraId="2B6D18DA" w14:textId="77777777" w:rsidR="008B5C7B" w:rsidRDefault="008B5C7B" w:rsidP="00372029">
      <w:pPr>
        <w:spacing w:after="0" w:line="240" w:lineRule="auto"/>
        <w:ind w:left="1440" w:hanging="1440"/>
      </w:pPr>
    </w:p>
    <w:p w14:paraId="50FBE326" w14:textId="3DC2C31B" w:rsidR="0028151C" w:rsidRPr="00372029" w:rsidRDefault="001940D5" w:rsidP="00372029">
      <w:pPr>
        <w:spacing w:after="0" w:line="240" w:lineRule="auto"/>
        <w:rPr>
          <w:b/>
          <w:bCs/>
        </w:rPr>
      </w:pPr>
      <w:r w:rsidRPr="00372029">
        <w:rPr>
          <w:b/>
          <w:bCs/>
        </w:rPr>
        <w:t xml:space="preserve">DESCRIPTION OF </w:t>
      </w:r>
      <w:r w:rsidR="000E508A" w:rsidRPr="00372029">
        <w:rPr>
          <w:b/>
          <w:bCs/>
        </w:rPr>
        <w:t>CHANGES:</w:t>
      </w:r>
      <w:r w:rsidR="00701A03" w:rsidRPr="00372029">
        <w:rPr>
          <w:b/>
          <w:bCs/>
        </w:rPr>
        <w:t xml:space="preserve"> </w:t>
      </w:r>
    </w:p>
    <w:p w14:paraId="73C3A711" w14:textId="77777777" w:rsidR="008B5C7B" w:rsidRDefault="008B5C7B" w:rsidP="00372029">
      <w:pPr>
        <w:spacing w:after="0"/>
      </w:pPr>
    </w:p>
    <w:p w14:paraId="2EB87F42" w14:textId="0D2EA1A5" w:rsidR="004A1171" w:rsidRDefault="00FB03CB" w:rsidP="00372029">
      <w:pPr>
        <w:spacing w:after="0"/>
      </w:pPr>
      <w:r w:rsidRPr="005E3936">
        <w:t xml:space="preserve">The following </w:t>
      </w:r>
      <w:r w:rsidR="00781375">
        <w:t>are</w:t>
      </w:r>
      <w:r w:rsidRPr="005E3936">
        <w:t xml:space="preserve"> </w:t>
      </w:r>
      <w:r w:rsidR="00ED692A">
        <w:t xml:space="preserve">proposed </w:t>
      </w:r>
      <w:r w:rsidR="004A1171">
        <w:t>changes to</w:t>
      </w:r>
      <w:r w:rsidR="00781375">
        <w:t xml:space="preserve"> rates for</w:t>
      </w:r>
      <w:r w:rsidR="004A1171">
        <w:t xml:space="preserve"> personal care attendant (PCA) services effective </w:t>
      </w:r>
      <w:r w:rsidR="00AD00BD">
        <w:t xml:space="preserve">for dates of service provided </w:t>
      </w:r>
      <w:r w:rsidR="004A1171">
        <w:t>on</w:t>
      </w:r>
      <w:r w:rsidR="00601394">
        <w:t xml:space="preserve"> or after</w:t>
      </w:r>
      <w:r w:rsidR="004A1171">
        <w:t xml:space="preserve"> </w:t>
      </w:r>
      <w:r w:rsidR="00EC6028">
        <w:t xml:space="preserve">July 1, </w:t>
      </w:r>
      <w:r w:rsidR="0028151C">
        <w:t>2022</w:t>
      </w:r>
      <w:r w:rsidRPr="005E3936">
        <w:t xml:space="preserve">. </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8"/>
        <w:gridCol w:w="876"/>
        <w:gridCol w:w="1021"/>
        <w:gridCol w:w="1278"/>
        <w:gridCol w:w="1509"/>
      </w:tblGrid>
      <w:tr w:rsidR="00AD78D3" w14:paraId="6656948C" w14:textId="77777777" w:rsidTr="00DC4320">
        <w:trPr>
          <w:trHeight w:val="710"/>
        </w:trPr>
        <w:tc>
          <w:tcPr>
            <w:tcW w:w="0" w:type="auto"/>
            <w:vMerge w:val="restart"/>
            <w:tcBorders>
              <w:right w:val="single" w:sz="4" w:space="0" w:color="auto"/>
            </w:tcBorders>
            <w:shd w:val="clear" w:color="auto" w:fill="F2F2F2" w:themeFill="background1" w:themeFillShade="F2"/>
            <w:vAlign w:val="center"/>
          </w:tcPr>
          <w:p w14:paraId="76F6D3DA" w14:textId="77777777" w:rsidR="00AD78D3" w:rsidRPr="009876EA" w:rsidRDefault="00AD78D3" w:rsidP="00372029">
            <w:pPr>
              <w:spacing w:after="0"/>
              <w:jc w:val="center"/>
              <w:rPr>
                <w:b/>
              </w:rPr>
            </w:pPr>
            <w:r w:rsidRPr="009876EA">
              <w:rPr>
                <w:b/>
              </w:rPr>
              <w:t>Service Name or Description</w:t>
            </w:r>
          </w:p>
        </w:tc>
        <w:tc>
          <w:tcPr>
            <w:tcW w:w="0" w:type="auto"/>
            <w:gridSpan w:val="2"/>
            <w:tcBorders>
              <w:top w:val="single" w:sz="4" w:space="0" w:color="auto"/>
              <w:left w:val="single" w:sz="4" w:space="0" w:color="auto"/>
              <w:right w:val="single" w:sz="4" w:space="0" w:color="auto"/>
            </w:tcBorders>
            <w:shd w:val="clear" w:color="auto" w:fill="F2F2F2" w:themeFill="background1" w:themeFillShade="F2"/>
            <w:vAlign w:val="center"/>
          </w:tcPr>
          <w:p w14:paraId="7E411510" w14:textId="77777777" w:rsidR="00AD78D3" w:rsidRDefault="00AD78D3" w:rsidP="008B5C7B">
            <w:pPr>
              <w:spacing w:after="0"/>
              <w:jc w:val="center"/>
              <w:rPr>
                <w:b/>
              </w:rPr>
            </w:pPr>
            <w:r>
              <w:rPr>
                <w:b/>
              </w:rPr>
              <w:t>Previous</w:t>
            </w:r>
            <w:r w:rsidRPr="009876EA">
              <w:rPr>
                <w:b/>
              </w:rPr>
              <w:t xml:space="preserve"> Rate</w:t>
            </w:r>
            <w:r>
              <w:rPr>
                <w:b/>
              </w:rPr>
              <w:t xml:space="preserve"> </w:t>
            </w:r>
          </w:p>
          <w:p w14:paraId="762A39F8" w14:textId="2EAB574E" w:rsidR="00AD78D3" w:rsidRPr="009876EA" w:rsidRDefault="00AD78D3" w:rsidP="00372029">
            <w:pPr>
              <w:spacing w:after="0"/>
              <w:jc w:val="center"/>
              <w:rPr>
                <w:b/>
              </w:rPr>
            </w:pPr>
            <w:r>
              <w:rPr>
                <w:b/>
              </w:rPr>
              <w:t>(for reference)</w:t>
            </w:r>
          </w:p>
        </w:tc>
        <w:tc>
          <w:tcPr>
            <w:tcW w:w="0" w:type="auto"/>
            <w:gridSpan w:val="2"/>
            <w:tcBorders>
              <w:left w:val="single" w:sz="4" w:space="0" w:color="auto"/>
            </w:tcBorders>
            <w:shd w:val="clear" w:color="auto" w:fill="F2F2F2" w:themeFill="background1" w:themeFillShade="F2"/>
            <w:vAlign w:val="center"/>
          </w:tcPr>
          <w:p w14:paraId="4CFECEF6" w14:textId="30F72549" w:rsidR="00AD78D3" w:rsidRPr="00F97B35" w:rsidRDefault="00AD78D3" w:rsidP="00372029">
            <w:pPr>
              <w:spacing w:after="0"/>
              <w:jc w:val="center"/>
              <w:rPr>
                <w:b/>
              </w:rPr>
            </w:pPr>
            <w:r w:rsidRPr="00F97B35">
              <w:rPr>
                <w:b/>
              </w:rPr>
              <w:t xml:space="preserve">Rate Effective July 1, </w:t>
            </w:r>
            <w:r>
              <w:rPr>
                <w:b/>
              </w:rPr>
              <w:t>2022</w:t>
            </w:r>
          </w:p>
        </w:tc>
      </w:tr>
      <w:tr w:rsidR="00AD78D3" w14:paraId="337C718F" w14:textId="77777777" w:rsidTr="00372029">
        <w:tc>
          <w:tcPr>
            <w:tcW w:w="0" w:type="auto"/>
            <w:vMerge/>
            <w:tcBorders>
              <w:right w:val="single" w:sz="4" w:space="0" w:color="auto"/>
            </w:tcBorders>
            <w:shd w:val="clear" w:color="auto" w:fill="auto"/>
          </w:tcPr>
          <w:p w14:paraId="228DAF41" w14:textId="77777777" w:rsidR="00AD78D3" w:rsidRDefault="00AD78D3" w:rsidP="00372029">
            <w:pPr>
              <w:spacing w:after="0"/>
            </w:pPr>
          </w:p>
        </w:tc>
        <w:tc>
          <w:tcPr>
            <w:tcW w:w="0" w:type="auto"/>
            <w:tcBorders>
              <w:left w:val="single" w:sz="4" w:space="0" w:color="auto"/>
            </w:tcBorders>
            <w:shd w:val="clear" w:color="auto" w:fill="F2F2F2" w:themeFill="background1" w:themeFillShade="F2"/>
            <w:vAlign w:val="center"/>
          </w:tcPr>
          <w:p w14:paraId="308915C6" w14:textId="2CB30D7E" w:rsidR="00AD78D3" w:rsidRPr="00372029" w:rsidRDefault="00AD78D3" w:rsidP="00372029">
            <w:pPr>
              <w:spacing w:after="0"/>
              <w:jc w:val="center"/>
              <w:rPr>
                <w:b/>
                <w:bCs/>
              </w:rPr>
            </w:pPr>
            <w:r w:rsidRPr="00372029">
              <w:rPr>
                <w:b/>
                <w:bCs/>
              </w:rPr>
              <w:t>Rate</w:t>
            </w:r>
          </w:p>
        </w:tc>
        <w:tc>
          <w:tcPr>
            <w:tcW w:w="0" w:type="auto"/>
            <w:tcBorders>
              <w:right w:val="single" w:sz="4" w:space="0" w:color="auto"/>
            </w:tcBorders>
            <w:shd w:val="clear" w:color="auto" w:fill="F2F2F2" w:themeFill="background1" w:themeFillShade="F2"/>
            <w:vAlign w:val="center"/>
          </w:tcPr>
          <w:p w14:paraId="16151982" w14:textId="53207285" w:rsidR="00AD78D3" w:rsidRPr="00372029" w:rsidRDefault="00AD78D3" w:rsidP="00372029">
            <w:pPr>
              <w:spacing w:after="0"/>
              <w:jc w:val="center"/>
              <w:rPr>
                <w:b/>
                <w:bCs/>
              </w:rPr>
            </w:pPr>
            <w:r w:rsidRPr="00372029">
              <w:rPr>
                <w:b/>
                <w:bCs/>
              </w:rPr>
              <w:t>Unit</w:t>
            </w:r>
          </w:p>
        </w:tc>
        <w:tc>
          <w:tcPr>
            <w:tcW w:w="0" w:type="auto"/>
            <w:tcBorders>
              <w:left w:val="single" w:sz="4" w:space="0" w:color="auto"/>
            </w:tcBorders>
            <w:shd w:val="clear" w:color="auto" w:fill="F2F2F2" w:themeFill="background1" w:themeFillShade="F2"/>
            <w:vAlign w:val="center"/>
          </w:tcPr>
          <w:p w14:paraId="42805C21" w14:textId="03789E66" w:rsidR="00AD78D3" w:rsidRPr="00372029" w:rsidRDefault="00AD78D3" w:rsidP="00372029">
            <w:pPr>
              <w:spacing w:after="0"/>
              <w:jc w:val="center"/>
              <w:rPr>
                <w:b/>
                <w:bCs/>
              </w:rPr>
            </w:pPr>
            <w:r w:rsidRPr="00372029">
              <w:rPr>
                <w:b/>
                <w:bCs/>
              </w:rPr>
              <w:t>Rate</w:t>
            </w:r>
          </w:p>
        </w:tc>
        <w:tc>
          <w:tcPr>
            <w:tcW w:w="0" w:type="auto"/>
            <w:shd w:val="clear" w:color="auto" w:fill="F2F2F2" w:themeFill="background1" w:themeFillShade="F2"/>
            <w:vAlign w:val="center"/>
          </w:tcPr>
          <w:p w14:paraId="515B37E7" w14:textId="6AF10EDA" w:rsidR="00AD78D3" w:rsidRPr="00372029" w:rsidRDefault="00AD78D3" w:rsidP="00372029">
            <w:pPr>
              <w:spacing w:after="0"/>
              <w:jc w:val="center"/>
              <w:rPr>
                <w:b/>
                <w:bCs/>
              </w:rPr>
            </w:pPr>
            <w:r w:rsidRPr="00372029">
              <w:rPr>
                <w:b/>
                <w:bCs/>
              </w:rPr>
              <w:t>Unit</w:t>
            </w:r>
          </w:p>
        </w:tc>
      </w:tr>
      <w:tr w:rsidR="00AE44E8" w14:paraId="55B5DAB8" w14:textId="77777777" w:rsidTr="00372029">
        <w:tc>
          <w:tcPr>
            <w:tcW w:w="0" w:type="auto"/>
            <w:tcBorders>
              <w:right w:val="single" w:sz="4" w:space="0" w:color="auto"/>
            </w:tcBorders>
            <w:shd w:val="clear" w:color="auto" w:fill="auto"/>
            <w:vAlign w:val="center"/>
          </w:tcPr>
          <w:p w14:paraId="481D5038" w14:textId="77777777" w:rsidR="00AE44E8" w:rsidRPr="00372029" w:rsidRDefault="00AE44E8" w:rsidP="00372029">
            <w:pPr>
              <w:spacing w:after="0"/>
              <w:rPr>
                <w:bCs/>
              </w:rPr>
            </w:pPr>
            <w:r w:rsidRPr="00372029">
              <w:rPr>
                <w:bCs/>
              </w:rPr>
              <w:t xml:space="preserve">PCA </w:t>
            </w:r>
            <w:r w:rsidR="00AD00BD" w:rsidRPr="00372029">
              <w:rPr>
                <w:bCs/>
              </w:rPr>
              <w:t>S</w:t>
            </w:r>
            <w:r w:rsidRPr="00372029">
              <w:rPr>
                <w:bCs/>
              </w:rPr>
              <w:t>ervices</w:t>
            </w:r>
          </w:p>
        </w:tc>
        <w:tc>
          <w:tcPr>
            <w:tcW w:w="0" w:type="auto"/>
            <w:tcBorders>
              <w:left w:val="single" w:sz="4" w:space="0" w:color="auto"/>
            </w:tcBorders>
            <w:shd w:val="clear" w:color="auto" w:fill="auto"/>
            <w:vAlign w:val="center"/>
          </w:tcPr>
          <w:p w14:paraId="279B42F2" w14:textId="06D8CDD9" w:rsidR="00AE44E8" w:rsidRDefault="00813936" w:rsidP="00372029">
            <w:pPr>
              <w:spacing w:after="0"/>
              <w:jc w:val="center"/>
            </w:pPr>
            <w:r w:rsidRPr="00F97B35">
              <w:t>$</w:t>
            </w:r>
            <w:r>
              <w:t>4.54</w:t>
            </w:r>
          </w:p>
        </w:tc>
        <w:tc>
          <w:tcPr>
            <w:tcW w:w="0" w:type="auto"/>
            <w:tcBorders>
              <w:right w:val="single" w:sz="4" w:space="0" w:color="auto"/>
            </w:tcBorders>
            <w:shd w:val="clear" w:color="auto" w:fill="auto"/>
            <w:vAlign w:val="center"/>
          </w:tcPr>
          <w:p w14:paraId="0A640626" w14:textId="6EE6E8E9" w:rsidR="00AE44E8" w:rsidRDefault="007640B2" w:rsidP="00372029">
            <w:pPr>
              <w:spacing w:after="0"/>
              <w:jc w:val="center"/>
            </w:pPr>
            <w:r w:rsidRPr="00F97B35">
              <w:t>15 m</w:t>
            </w:r>
            <w:r>
              <w:t>in</w:t>
            </w:r>
          </w:p>
        </w:tc>
        <w:tc>
          <w:tcPr>
            <w:tcW w:w="0" w:type="auto"/>
            <w:tcBorders>
              <w:left w:val="single" w:sz="4" w:space="0" w:color="auto"/>
            </w:tcBorders>
            <w:shd w:val="clear" w:color="auto" w:fill="FFFFFF"/>
            <w:vAlign w:val="center"/>
          </w:tcPr>
          <w:p w14:paraId="3A4C972D" w14:textId="31BBF9D1" w:rsidR="00AE44E8" w:rsidRPr="00F97B35" w:rsidRDefault="00AE44E8" w:rsidP="00372029">
            <w:pPr>
              <w:spacing w:after="0"/>
              <w:jc w:val="center"/>
            </w:pPr>
            <w:r w:rsidRPr="00F97B35">
              <w:t>$</w:t>
            </w:r>
            <w:r w:rsidR="001F65F0">
              <w:t>4.94</w:t>
            </w:r>
          </w:p>
        </w:tc>
        <w:tc>
          <w:tcPr>
            <w:tcW w:w="0" w:type="auto"/>
            <w:shd w:val="clear" w:color="auto" w:fill="FFFFFF"/>
            <w:vAlign w:val="center"/>
          </w:tcPr>
          <w:p w14:paraId="27507C1B" w14:textId="631FB07E" w:rsidR="00AE44E8" w:rsidRPr="00F97B35" w:rsidRDefault="007640B2" w:rsidP="00372029">
            <w:pPr>
              <w:spacing w:after="0"/>
              <w:jc w:val="center"/>
            </w:pPr>
            <w:r w:rsidRPr="00F97B35">
              <w:t>15 min</w:t>
            </w:r>
          </w:p>
        </w:tc>
      </w:tr>
      <w:tr w:rsidR="00AE44E8" w14:paraId="135ED232" w14:textId="77777777" w:rsidTr="00372029">
        <w:tc>
          <w:tcPr>
            <w:tcW w:w="0" w:type="auto"/>
            <w:tcBorders>
              <w:right w:val="single" w:sz="4" w:space="0" w:color="auto"/>
            </w:tcBorders>
            <w:shd w:val="clear" w:color="auto" w:fill="auto"/>
            <w:vAlign w:val="center"/>
          </w:tcPr>
          <w:p w14:paraId="3C94A68D" w14:textId="77777777" w:rsidR="00AE44E8" w:rsidRPr="00372029" w:rsidRDefault="00AE44E8" w:rsidP="00372029">
            <w:pPr>
              <w:spacing w:after="0"/>
              <w:rPr>
                <w:bCs/>
              </w:rPr>
            </w:pPr>
            <w:r w:rsidRPr="00372029">
              <w:rPr>
                <w:bCs/>
              </w:rPr>
              <w:t>Add-on for Premium Pay for Overtime and Holidays</w:t>
            </w:r>
            <w:r w:rsidRPr="00372029">
              <w:rPr>
                <w:rStyle w:val="FootnoteReference"/>
                <w:bCs/>
              </w:rPr>
              <w:footnoteReference w:id="1"/>
            </w:r>
          </w:p>
        </w:tc>
        <w:tc>
          <w:tcPr>
            <w:tcW w:w="0" w:type="auto"/>
            <w:tcBorders>
              <w:left w:val="single" w:sz="4" w:space="0" w:color="auto"/>
            </w:tcBorders>
            <w:shd w:val="clear" w:color="auto" w:fill="auto"/>
            <w:vAlign w:val="center"/>
          </w:tcPr>
          <w:p w14:paraId="2DC643AB" w14:textId="1E047DBC" w:rsidR="00AE44E8" w:rsidRDefault="00813936" w:rsidP="00372029">
            <w:pPr>
              <w:spacing w:after="0"/>
              <w:jc w:val="center"/>
            </w:pPr>
            <w:r w:rsidRPr="00F97B35">
              <w:t>$</w:t>
            </w:r>
            <w:r>
              <w:t>2.27</w:t>
            </w:r>
          </w:p>
        </w:tc>
        <w:tc>
          <w:tcPr>
            <w:tcW w:w="0" w:type="auto"/>
            <w:tcBorders>
              <w:right w:val="single" w:sz="4" w:space="0" w:color="auto"/>
            </w:tcBorders>
            <w:shd w:val="clear" w:color="auto" w:fill="auto"/>
            <w:vAlign w:val="center"/>
          </w:tcPr>
          <w:p w14:paraId="2A1EC5CC" w14:textId="51C2BC05" w:rsidR="00AE44E8" w:rsidRDefault="007640B2" w:rsidP="00372029">
            <w:pPr>
              <w:spacing w:after="0"/>
              <w:jc w:val="center"/>
            </w:pPr>
            <w:r w:rsidRPr="00F97B35">
              <w:t>15 min</w:t>
            </w:r>
          </w:p>
        </w:tc>
        <w:tc>
          <w:tcPr>
            <w:tcW w:w="0" w:type="auto"/>
            <w:tcBorders>
              <w:left w:val="single" w:sz="4" w:space="0" w:color="auto"/>
            </w:tcBorders>
            <w:shd w:val="clear" w:color="auto" w:fill="FFFFFF"/>
            <w:vAlign w:val="center"/>
          </w:tcPr>
          <w:p w14:paraId="7996F24E" w14:textId="4195764E" w:rsidR="00AE44E8" w:rsidRPr="00F97B35" w:rsidRDefault="00AE44E8" w:rsidP="00372029">
            <w:pPr>
              <w:spacing w:after="0"/>
              <w:jc w:val="center"/>
            </w:pPr>
            <w:r w:rsidRPr="00F97B35">
              <w:t>$</w:t>
            </w:r>
            <w:r w:rsidR="00813936">
              <w:t>2.</w:t>
            </w:r>
            <w:r w:rsidR="001F65F0">
              <w:t>47</w:t>
            </w:r>
          </w:p>
        </w:tc>
        <w:tc>
          <w:tcPr>
            <w:tcW w:w="0" w:type="auto"/>
            <w:shd w:val="clear" w:color="auto" w:fill="FFFFFF"/>
            <w:vAlign w:val="center"/>
          </w:tcPr>
          <w:p w14:paraId="2EDA9A51" w14:textId="36B3FB63" w:rsidR="00AE44E8" w:rsidRPr="00F97B35" w:rsidRDefault="007640B2" w:rsidP="00372029">
            <w:pPr>
              <w:spacing w:after="0"/>
              <w:jc w:val="center"/>
            </w:pPr>
            <w:r w:rsidRPr="00F97B35">
              <w:t>15 min</w:t>
            </w:r>
          </w:p>
        </w:tc>
      </w:tr>
      <w:tr w:rsidR="00AE44E8" w14:paraId="256069F6" w14:textId="77777777" w:rsidTr="00372029">
        <w:tc>
          <w:tcPr>
            <w:tcW w:w="0" w:type="auto"/>
            <w:tcBorders>
              <w:right w:val="single" w:sz="4" w:space="0" w:color="auto"/>
            </w:tcBorders>
            <w:shd w:val="clear" w:color="auto" w:fill="auto"/>
            <w:vAlign w:val="center"/>
          </w:tcPr>
          <w:p w14:paraId="37B2878E" w14:textId="77777777" w:rsidR="00AE44E8" w:rsidRPr="00372029" w:rsidRDefault="00AE44E8" w:rsidP="00372029">
            <w:pPr>
              <w:spacing w:after="0"/>
              <w:rPr>
                <w:bCs/>
              </w:rPr>
            </w:pPr>
            <w:r w:rsidRPr="00372029">
              <w:rPr>
                <w:bCs/>
              </w:rPr>
              <w:t xml:space="preserve">Earned Paid Time </w:t>
            </w:r>
          </w:p>
        </w:tc>
        <w:tc>
          <w:tcPr>
            <w:tcW w:w="0" w:type="auto"/>
            <w:tcBorders>
              <w:left w:val="single" w:sz="4" w:space="0" w:color="auto"/>
            </w:tcBorders>
            <w:shd w:val="clear" w:color="auto" w:fill="auto"/>
            <w:vAlign w:val="center"/>
          </w:tcPr>
          <w:p w14:paraId="57071FB0" w14:textId="0171036A" w:rsidR="00AE44E8" w:rsidRDefault="00813936" w:rsidP="00372029">
            <w:pPr>
              <w:spacing w:after="0"/>
              <w:jc w:val="center"/>
            </w:pPr>
            <w:r w:rsidRPr="00F97B35">
              <w:t>$</w:t>
            </w:r>
            <w:r>
              <w:t>4.54</w:t>
            </w:r>
          </w:p>
        </w:tc>
        <w:tc>
          <w:tcPr>
            <w:tcW w:w="0" w:type="auto"/>
            <w:tcBorders>
              <w:right w:val="single" w:sz="4" w:space="0" w:color="auto"/>
            </w:tcBorders>
            <w:shd w:val="clear" w:color="auto" w:fill="auto"/>
            <w:vAlign w:val="center"/>
          </w:tcPr>
          <w:p w14:paraId="47577941" w14:textId="31BFCA33" w:rsidR="00AE44E8" w:rsidRDefault="007640B2" w:rsidP="00372029">
            <w:pPr>
              <w:spacing w:after="0"/>
              <w:jc w:val="center"/>
            </w:pPr>
            <w:r w:rsidRPr="00F97B35">
              <w:t>15 min</w:t>
            </w:r>
          </w:p>
        </w:tc>
        <w:tc>
          <w:tcPr>
            <w:tcW w:w="0" w:type="auto"/>
            <w:tcBorders>
              <w:left w:val="single" w:sz="4" w:space="0" w:color="auto"/>
            </w:tcBorders>
            <w:shd w:val="clear" w:color="auto" w:fill="FFFFFF"/>
            <w:vAlign w:val="center"/>
          </w:tcPr>
          <w:p w14:paraId="01D3960C" w14:textId="4CC6F18C" w:rsidR="00AE44E8" w:rsidRPr="00F97B35" w:rsidRDefault="00AE44E8" w:rsidP="00372029">
            <w:pPr>
              <w:spacing w:after="0"/>
              <w:jc w:val="center"/>
            </w:pPr>
            <w:r w:rsidRPr="00F97B35">
              <w:t>$</w:t>
            </w:r>
            <w:r w:rsidR="007F6332">
              <w:t>4</w:t>
            </w:r>
            <w:r w:rsidR="00813936">
              <w:t>.</w:t>
            </w:r>
            <w:r w:rsidR="007F6332">
              <w:t>94</w:t>
            </w:r>
          </w:p>
        </w:tc>
        <w:tc>
          <w:tcPr>
            <w:tcW w:w="0" w:type="auto"/>
            <w:shd w:val="clear" w:color="auto" w:fill="FFFFFF"/>
            <w:vAlign w:val="center"/>
          </w:tcPr>
          <w:p w14:paraId="2D2FFF43" w14:textId="25BCDA13" w:rsidR="00AE44E8" w:rsidRPr="00F97B35" w:rsidRDefault="007640B2" w:rsidP="00372029">
            <w:pPr>
              <w:spacing w:after="0"/>
              <w:jc w:val="center"/>
            </w:pPr>
            <w:r w:rsidRPr="00F97B35">
              <w:t>15 min</w:t>
            </w:r>
          </w:p>
        </w:tc>
      </w:tr>
      <w:tr w:rsidR="00AE44E8" w14:paraId="7A99BC2E" w14:textId="77777777" w:rsidTr="00372029">
        <w:tc>
          <w:tcPr>
            <w:tcW w:w="0" w:type="auto"/>
            <w:tcBorders>
              <w:right w:val="single" w:sz="4" w:space="0" w:color="auto"/>
            </w:tcBorders>
            <w:shd w:val="clear" w:color="auto" w:fill="auto"/>
            <w:vAlign w:val="center"/>
          </w:tcPr>
          <w:p w14:paraId="7ECDCAD2" w14:textId="77777777" w:rsidR="00AE44E8" w:rsidRPr="00372029" w:rsidRDefault="00AE44E8" w:rsidP="00372029">
            <w:pPr>
              <w:spacing w:after="0"/>
              <w:rPr>
                <w:bCs/>
              </w:rPr>
            </w:pPr>
            <w:r w:rsidRPr="00372029">
              <w:rPr>
                <w:bCs/>
              </w:rPr>
              <w:t>New Hire Orientation</w:t>
            </w:r>
          </w:p>
        </w:tc>
        <w:tc>
          <w:tcPr>
            <w:tcW w:w="0" w:type="auto"/>
            <w:tcBorders>
              <w:left w:val="single" w:sz="4" w:space="0" w:color="auto"/>
            </w:tcBorders>
            <w:shd w:val="clear" w:color="auto" w:fill="auto"/>
            <w:vAlign w:val="center"/>
          </w:tcPr>
          <w:p w14:paraId="37EACCEE" w14:textId="25D4463E" w:rsidR="00AE44E8" w:rsidRDefault="00813936" w:rsidP="00372029">
            <w:pPr>
              <w:spacing w:after="0"/>
              <w:jc w:val="center"/>
            </w:pPr>
            <w:r w:rsidRPr="00F97B35">
              <w:t>$</w:t>
            </w:r>
            <w:r>
              <w:t>72.60</w:t>
            </w:r>
          </w:p>
        </w:tc>
        <w:tc>
          <w:tcPr>
            <w:tcW w:w="0" w:type="auto"/>
            <w:tcBorders>
              <w:right w:val="single" w:sz="4" w:space="0" w:color="auto"/>
            </w:tcBorders>
            <w:shd w:val="clear" w:color="auto" w:fill="auto"/>
            <w:vAlign w:val="center"/>
          </w:tcPr>
          <w:p w14:paraId="45C49D01" w14:textId="6296BC67" w:rsidR="00AE44E8" w:rsidRDefault="007640B2" w:rsidP="00372029">
            <w:pPr>
              <w:spacing w:after="0"/>
              <w:jc w:val="center"/>
            </w:pPr>
            <w:r w:rsidRPr="00F97B35">
              <w:t>per diem</w:t>
            </w:r>
          </w:p>
        </w:tc>
        <w:tc>
          <w:tcPr>
            <w:tcW w:w="0" w:type="auto"/>
            <w:tcBorders>
              <w:left w:val="single" w:sz="4" w:space="0" w:color="auto"/>
            </w:tcBorders>
            <w:shd w:val="clear" w:color="auto" w:fill="FFFFFF"/>
            <w:vAlign w:val="center"/>
          </w:tcPr>
          <w:p w14:paraId="22C80156" w14:textId="7FA448D0" w:rsidR="00AE44E8" w:rsidRPr="00F97B35" w:rsidRDefault="00AE44E8" w:rsidP="00372029">
            <w:pPr>
              <w:spacing w:after="0"/>
              <w:jc w:val="center"/>
            </w:pPr>
            <w:r w:rsidRPr="00F97B35">
              <w:t>$</w:t>
            </w:r>
            <w:r w:rsidR="00813936">
              <w:t>79.</w:t>
            </w:r>
            <w:r w:rsidR="001F65F0">
              <w:t>04</w:t>
            </w:r>
          </w:p>
        </w:tc>
        <w:tc>
          <w:tcPr>
            <w:tcW w:w="0" w:type="auto"/>
            <w:shd w:val="clear" w:color="auto" w:fill="FFFFFF"/>
            <w:vAlign w:val="center"/>
          </w:tcPr>
          <w:p w14:paraId="6DE80F24" w14:textId="4BC6A272" w:rsidR="00AE44E8" w:rsidRPr="00F97B35" w:rsidRDefault="007640B2" w:rsidP="00372029">
            <w:pPr>
              <w:spacing w:after="0"/>
              <w:jc w:val="center"/>
            </w:pPr>
            <w:r w:rsidRPr="00F97B35">
              <w:t>per diem</w:t>
            </w:r>
          </w:p>
        </w:tc>
      </w:tr>
      <w:tr w:rsidR="00AE44E8" w14:paraId="208354EE" w14:textId="77777777" w:rsidTr="00372029">
        <w:tc>
          <w:tcPr>
            <w:tcW w:w="0" w:type="auto"/>
            <w:tcBorders>
              <w:right w:val="single" w:sz="4" w:space="0" w:color="auto"/>
            </w:tcBorders>
            <w:shd w:val="clear" w:color="auto" w:fill="auto"/>
            <w:vAlign w:val="center"/>
          </w:tcPr>
          <w:p w14:paraId="76D52453" w14:textId="77777777" w:rsidR="00AE44E8" w:rsidRPr="00372029" w:rsidRDefault="00AE44E8" w:rsidP="00372029">
            <w:pPr>
              <w:spacing w:after="0"/>
              <w:rPr>
                <w:bCs/>
              </w:rPr>
            </w:pPr>
            <w:r w:rsidRPr="00372029">
              <w:rPr>
                <w:bCs/>
              </w:rPr>
              <w:t>Add-on for Overtime</w:t>
            </w:r>
          </w:p>
        </w:tc>
        <w:tc>
          <w:tcPr>
            <w:tcW w:w="0" w:type="auto"/>
            <w:tcBorders>
              <w:left w:val="single" w:sz="4" w:space="0" w:color="auto"/>
            </w:tcBorders>
            <w:shd w:val="clear" w:color="auto" w:fill="auto"/>
            <w:vAlign w:val="center"/>
          </w:tcPr>
          <w:p w14:paraId="69DF687B" w14:textId="1BC108CC" w:rsidR="00AE44E8" w:rsidRDefault="00813936" w:rsidP="00372029">
            <w:pPr>
              <w:spacing w:after="0"/>
              <w:jc w:val="center"/>
            </w:pPr>
            <w:r w:rsidRPr="00F97B35">
              <w:t>$</w:t>
            </w:r>
            <w:r>
              <w:t>0.16</w:t>
            </w:r>
          </w:p>
        </w:tc>
        <w:tc>
          <w:tcPr>
            <w:tcW w:w="0" w:type="auto"/>
            <w:tcBorders>
              <w:right w:val="single" w:sz="4" w:space="0" w:color="auto"/>
            </w:tcBorders>
            <w:shd w:val="clear" w:color="auto" w:fill="auto"/>
            <w:vAlign w:val="center"/>
          </w:tcPr>
          <w:p w14:paraId="3AB818EA" w14:textId="5786D993" w:rsidR="00AE44E8" w:rsidRDefault="007640B2" w:rsidP="00372029">
            <w:pPr>
              <w:spacing w:after="0"/>
              <w:jc w:val="center"/>
            </w:pPr>
            <w:r w:rsidRPr="00F97B35">
              <w:t>1 min</w:t>
            </w:r>
          </w:p>
        </w:tc>
        <w:tc>
          <w:tcPr>
            <w:tcW w:w="0" w:type="auto"/>
            <w:tcBorders>
              <w:left w:val="single" w:sz="4" w:space="0" w:color="auto"/>
            </w:tcBorders>
            <w:shd w:val="clear" w:color="auto" w:fill="FFFFFF"/>
            <w:vAlign w:val="center"/>
          </w:tcPr>
          <w:p w14:paraId="43A0A7DE" w14:textId="280D2975" w:rsidR="00AE44E8" w:rsidRPr="00F97B35" w:rsidRDefault="00AE44E8" w:rsidP="00372029">
            <w:pPr>
              <w:spacing w:after="0"/>
              <w:jc w:val="center"/>
            </w:pPr>
            <w:r w:rsidRPr="00F97B35">
              <w:t>$</w:t>
            </w:r>
            <w:r>
              <w:t>0.1</w:t>
            </w:r>
            <w:r w:rsidR="00142589">
              <w:t>7</w:t>
            </w:r>
          </w:p>
        </w:tc>
        <w:tc>
          <w:tcPr>
            <w:tcW w:w="0" w:type="auto"/>
            <w:shd w:val="clear" w:color="auto" w:fill="FFFFFF"/>
            <w:vAlign w:val="center"/>
          </w:tcPr>
          <w:p w14:paraId="0554C7D8" w14:textId="6B55C886" w:rsidR="00AE44E8" w:rsidRPr="00F97B35" w:rsidRDefault="007640B2" w:rsidP="00372029">
            <w:pPr>
              <w:spacing w:after="0"/>
              <w:jc w:val="center"/>
            </w:pPr>
            <w:r w:rsidRPr="00F97B35">
              <w:t>1 min</w:t>
            </w:r>
          </w:p>
        </w:tc>
      </w:tr>
      <w:tr w:rsidR="00AE44E8" w14:paraId="44396B5A" w14:textId="77777777" w:rsidTr="00372029">
        <w:tc>
          <w:tcPr>
            <w:tcW w:w="0" w:type="auto"/>
            <w:tcBorders>
              <w:right w:val="single" w:sz="4" w:space="0" w:color="auto"/>
            </w:tcBorders>
            <w:shd w:val="clear" w:color="auto" w:fill="auto"/>
            <w:vAlign w:val="center"/>
          </w:tcPr>
          <w:p w14:paraId="695DEF6C" w14:textId="77777777" w:rsidR="00AE44E8" w:rsidRPr="00372029" w:rsidRDefault="00AE44E8" w:rsidP="00372029">
            <w:pPr>
              <w:spacing w:after="0"/>
              <w:rPr>
                <w:bCs/>
              </w:rPr>
            </w:pPr>
            <w:r w:rsidRPr="00372029">
              <w:rPr>
                <w:bCs/>
              </w:rPr>
              <w:t>Travel Time</w:t>
            </w:r>
          </w:p>
        </w:tc>
        <w:tc>
          <w:tcPr>
            <w:tcW w:w="0" w:type="auto"/>
            <w:tcBorders>
              <w:left w:val="single" w:sz="4" w:space="0" w:color="auto"/>
              <w:bottom w:val="single" w:sz="4" w:space="0" w:color="auto"/>
              <w:right w:val="single" w:sz="4" w:space="0" w:color="auto"/>
            </w:tcBorders>
            <w:shd w:val="clear" w:color="auto" w:fill="auto"/>
            <w:vAlign w:val="center"/>
          </w:tcPr>
          <w:p w14:paraId="53B6EE94" w14:textId="6957617E" w:rsidR="00AE44E8" w:rsidRDefault="00813936" w:rsidP="00372029">
            <w:pPr>
              <w:spacing w:after="0"/>
              <w:jc w:val="center"/>
            </w:pPr>
            <w:r w:rsidRPr="00F97B35">
              <w:t>$</w:t>
            </w:r>
            <w:r>
              <w:t>0.31</w:t>
            </w:r>
          </w:p>
        </w:tc>
        <w:tc>
          <w:tcPr>
            <w:tcW w:w="0" w:type="auto"/>
            <w:tcBorders>
              <w:left w:val="single" w:sz="4" w:space="0" w:color="auto"/>
              <w:bottom w:val="single" w:sz="4" w:space="0" w:color="auto"/>
              <w:right w:val="single" w:sz="4" w:space="0" w:color="auto"/>
            </w:tcBorders>
            <w:shd w:val="clear" w:color="auto" w:fill="auto"/>
            <w:vAlign w:val="center"/>
          </w:tcPr>
          <w:p w14:paraId="2BEB96A2" w14:textId="54FA9AA4" w:rsidR="00AE44E8" w:rsidRDefault="007640B2" w:rsidP="00372029">
            <w:pPr>
              <w:spacing w:after="0"/>
              <w:jc w:val="center"/>
            </w:pPr>
            <w:r w:rsidRPr="00F97B35">
              <w:t>1 min</w:t>
            </w:r>
          </w:p>
        </w:tc>
        <w:tc>
          <w:tcPr>
            <w:tcW w:w="0" w:type="auto"/>
            <w:tcBorders>
              <w:left w:val="single" w:sz="4" w:space="0" w:color="auto"/>
            </w:tcBorders>
            <w:shd w:val="clear" w:color="auto" w:fill="FFFFFF"/>
            <w:vAlign w:val="center"/>
          </w:tcPr>
          <w:p w14:paraId="07FE89CA" w14:textId="3FBCAEF8" w:rsidR="00AE44E8" w:rsidRPr="00F97B35" w:rsidRDefault="00AE44E8" w:rsidP="00372029">
            <w:pPr>
              <w:spacing w:after="0"/>
              <w:jc w:val="center"/>
            </w:pPr>
            <w:r w:rsidRPr="00F97B35">
              <w:t>$</w:t>
            </w:r>
            <w:r>
              <w:t>0.3</w:t>
            </w:r>
            <w:r w:rsidR="001F65F0">
              <w:t>3</w:t>
            </w:r>
          </w:p>
        </w:tc>
        <w:tc>
          <w:tcPr>
            <w:tcW w:w="0" w:type="auto"/>
            <w:shd w:val="clear" w:color="auto" w:fill="FFFFFF"/>
            <w:vAlign w:val="center"/>
          </w:tcPr>
          <w:p w14:paraId="4AF8C20E" w14:textId="2D0B5707" w:rsidR="00AE44E8" w:rsidRPr="00F97B35" w:rsidRDefault="007640B2" w:rsidP="00372029">
            <w:pPr>
              <w:spacing w:after="0"/>
              <w:jc w:val="center"/>
            </w:pPr>
            <w:r w:rsidRPr="00F97B35">
              <w:t>1 min</w:t>
            </w:r>
          </w:p>
        </w:tc>
      </w:tr>
    </w:tbl>
    <w:p w14:paraId="64370AEF" w14:textId="77777777" w:rsidR="008B5C7B" w:rsidRDefault="008B5C7B" w:rsidP="00372029">
      <w:pPr>
        <w:spacing w:after="0"/>
      </w:pPr>
    </w:p>
    <w:p w14:paraId="38A91D24" w14:textId="6300B7CF" w:rsidR="0028151C" w:rsidRDefault="0028151C" w:rsidP="00372029">
      <w:pPr>
        <w:spacing w:after="0" w:line="240" w:lineRule="auto"/>
      </w:pPr>
      <w:r w:rsidRPr="005E3936">
        <w:t xml:space="preserve">The following </w:t>
      </w:r>
      <w:r>
        <w:t>are</w:t>
      </w:r>
      <w:r w:rsidRPr="005E3936">
        <w:t xml:space="preserve"> </w:t>
      </w:r>
      <w:r>
        <w:t>proposed changes to rates for personal care attendant (PCA) services effective for dates of service provided on or after January 1, 2023</w:t>
      </w:r>
      <w:r w:rsidRPr="005E3936">
        <w:t xml:space="preserve">. </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9"/>
        <w:gridCol w:w="1516"/>
        <w:gridCol w:w="1840"/>
      </w:tblGrid>
      <w:tr w:rsidR="00AD78D3" w14:paraId="38639855" w14:textId="77777777" w:rsidTr="00372029">
        <w:trPr>
          <w:trHeight w:val="710"/>
        </w:trPr>
        <w:tc>
          <w:tcPr>
            <w:tcW w:w="0" w:type="auto"/>
            <w:vMerge w:val="restart"/>
            <w:tcBorders>
              <w:right w:val="single" w:sz="4" w:space="0" w:color="auto"/>
            </w:tcBorders>
            <w:shd w:val="clear" w:color="auto" w:fill="F2F2F2" w:themeFill="background1" w:themeFillShade="F2"/>
            <w:vAlign w:val="center"/>
          </w:tcPr>
          <w:p w14:paraId="4ACFC0F3" w14:textId="77777777" w:rsidR="00AD78D3" w:rsidRPr="009876EA" w:rsidRDefault="00AD78D3" w:rsidP="00372029">
            <w:pPr>
              <w:spacing w:after="0"/>
              <w:jc w:val="center"/>
              <w:rPr>
                <w:b/>
              </w:rPr>
            </w:pPr>
            <w:r w:rsidRPr="009876EA">
              <w:rPr>
                <w:b/>
              </w:rPr>
              <w:t>Service Name or Description</w:t>
            </w:r>
          </w:p>
        </w:tc>
        <w:tc>
          <w:tcPr>
            <w:tcW w:w="0" w:type="auto"/>
            <w:gridSpan w:val="2"/>
            <w:tcBorders>
              <w:top w:val="single" w:sz="4" w:space="0" w:color="auto"/>
              <w:left w:val="single" w:sz="4" w:space="0" w:color="auto"/>
              <w:right w:val="single" w:sz="4" w:space="0" w:color="auto"/>
            </w:tcBorders>
            <w:shd w:val="clear" w:color="auto" w:fill="F2F2F2" w:themeFill="background1" w:themeFillShade="F2"/>
            <w:vAlign w:val="center"/>
          </w:tcPr>
          <w:p w14:paraId="1F2A0013" w14:textId="31F2BF79" w:rsidR="00AD78D3" w:rsidRPr="009876EA" w:rsidRDefault="00AD78D3" w:rsidP="00372029">
            <w:pPr>
              <w:spacing w:after="0"/>
              <w:jc w:val="center"/>
              <w:rPr>
                <w:b/>
              </w:rPr>
            </w:pPr>
            <w:r w:rsidRPr="00F97B35">
              <w:rPr>
                <w:b/>
              </w:rPr>
              <w:t xml:space="preserve">Rate Effective </w:t>
            </w:r>
            <w:r>
              <w:rPr>
                <w:b/>
              </w:rPr>
              <w:t>January</w:t>
            </w:r>
            <w:r w:rsidRPr="00F97B35">
              <w:rPr>
                <w:b/>
              </w:rPr>
              <w:t xml:space="preserve"> 1, </w:t>
            </w:r>
            <w:r>
              <w:rPr>
                <w:b/>
              </w:rPr>
              <w:t>2023</w:t>
            </w:r>
          </w:p>
        </w:tc>
      </w:tr>
      <w:tr w:rsidR="00AD78D3" w14:paraId="67C6325B" w14:textId="77777777" w:rsidTr="00372029">
        <w:tc>
          <w:tcPr>
            <w:tcW w:w="0" w:type="auto"/>
            <w:vMerge/>
            <w:tcBorders>
              <w:right w:val="single" w:sz="4" w:space="0" w:color="auto"/>
            </w:tcBorders>
            <w:shd w:val="clear" w:color="auto" w:fill="F2F2F2" w:themeFill="background1" w:themeFillShade="F2"/>
          </w:tcPr>
          <w:p w14:paraId="5FD7D53C" w14:textId="77777777" w:rsidR="00AD78D3" w:rsidRDefault="00AD78D3" w:rsidP="00372029">
            <w:pPr>
              <w:spacing w:after="0"/>
            </w:pPr>
          </w:p>
        </w:tc>
        <w:tc>
          <w:tcPr>
            <w:tcW w:w="0" w:type="auto"/>
            <w:tcBorders>
              <w:left w:val="single" w:sz="4" w:space="0" w:color="auto"/>
              <w:bottom w:val="single" w:sz="4" w:space="0" w:color="auto"/>
            </w:tcBorders>
            <w:shd w:val="clear" w:color="auto" w:fill="F2F2F2" w:themeFill="background1" w:themeFillShade="F2"/>
            <w:vAlign w:val="center"/>
          </w:tcPr>
          <w:p w14:paraId="761C4F43" w14:textId="3D5BD8C3" w:rsidR="00AD78D3" w:rsidRPr="00372029" w:rsidRDefault="00AD78D3" w:rsidP="00372029">
            <w:pPr>
              <w:spacing w:after="0"/>
              <w:jc w:val="center"/>
              <w:rPr>
                <w:b/>
                <w:bCs/>
              </w:rPr>
            </w:pPr>
            <w:r w:rsidRPr="00372029">
              <w:rPr>
                <w:b/>
                <w:bCs/>
              </w:rPr>
              <w:t>Rate</w:t>
            </w:r>
          </w:p>
        </w:tc>
        <w:tc>
          <w:tcPr>
            <w:tcW w:w="0" w:type="auto"/>
            <w:tcBorders>
              <w:bottom w:val="single" w:sz="4" w:space="0" w:color="auto"/>
              <w:right w:val="single" w:sz="4" w:space="0" w:color="auto"/>
            </w:tcBorders>
            <w:shd w:val="clear" w:color="auto" w:fill="F2F2F2" w:themeFill="background1" w:themeFillShade="F2"/>
            <w:vAlign w:val="center"/>
          </w:tcPr>
          <w:p w14:paraId="3719AFD5" w14:textId="55567C12" w:rsidR="00AD78D3" w:rsidRPr="00372029" w:rsidRDefault="00AD78D3" w:rsidP="00372029">
            <w:pPr>
              <w:spacing w:after="0"/>
              <w:jc w:val="center"/>
              <w:rPr>
                <w:b/>
                <w:bCs/>
              </w:rPr>
            </w:pPr>
            <w:r w:rsidRPr="00372029">
              <w:rPr>
                <w:b/>
                <w:bCs/>
              </w:rPr>
              <w:t>Unit</w:t>
            </w:r>
          </w:p>
        </w:tc>
      </w:tr>
      <w:tr w:rsidR="000147BD" w14:paraId="75F03726" w14:textId="77777777" w:rsidTr="00372029">
        <w:tc>
          <w:tcPr>
            <w:tcW w:w="0" w:type="auto"/>
            <w:tcBorders>
              <w:right w:val="single" w:sz="4" w:space="0" w:color="auto"/>
            </w:tcBorders>
            <w:shd w:val="clear" w:color="auto" w:fill="auto"/>
            <w:vAlign w:val="center"/>
          </w:tcPr>
          <w:p w14:paraId="3986C565" w14:textId="77777777" w:rsidR="000147BD" w:rsidRPr="00372029" w:rsidRDefault="000147BD" w:rsidP="00372029">
            <w:pPr>
              <w:spacing w:after="0"/>
              <w:rPr>
                <w:bCs/>
              </w:rPr>
            </w:pPr>
            <w:r w:rsidRPr="00372029">
              <w:rPr>
                <w:bCs/>
              </w:rPr>
              <w:t>PCA Services</w:t>
            </w:r>
          </w:p>
        </w:tc>
        <w:tc>
          <w:tcPr>
            <w:tcW w:w="0" w:type="auto"/>
            <w:tcBorders>
              <w:left w:val="single" w:sz="4" w:space="0" w:color="auto"/>
            </w:tcBorders>
            <w:shd w:val="clear" w:color="auto" w:fill="auto"/>
            <w:vAlign w:val="center"/>
          </w:tcPr>
          <w:p w14:paraId="024F8298" w14:textId="66FB1D9F" w:rsidR="000147BD" w:rsidRDefault="000147BD" w:rsidP="00372029">
            <w:pPr>
              <w:spacing w:after="0"/>
              <w:jc w:val="center"/>
            </w:pPr>
            <w:r w:rsidRPr="00F97B35">
              <w:t>$</w:t>
            </w:r>
            <w:r w:rsidR="004D28F6">
              <w:t>4</w:t>
            </w:r>
            <w:r w:rsidR="007640B2">
              <w:t>.</w:t>
            </w:r>
            <w:r w:rsidR="004D28F6">
              <w:t>97</w:t>
            </w:r>
          </w:p>
        </w:tc>
        <w:tc>
          <w:tcPr>
            <w:tcW w:w="0" w:type="auto"/>
            <w:tcBorders>
              <w:right w:val="single" w:sz="4" w:space="0" w:color="auto"/>
            </w:tcBorders>
            <w:shd w:val="clear" w:color="auto" w:fill="auto"/>
            <w:vAlign w:val="center"/>
          </w:tcPr>
          <w:p w14:paraId="3F51BEF6" w14:textId="6C42C8E8" w:rsidR="000147BD" w:rsidRDefault="007640B2" w:rsidP="00372029">
            <w:pPr>
              <w:spacing w:after="0"/>
              <w:jc w:val="center"/>
            </w:pPr>
            <w:r w:rsidRPr="00F97B35">
              <w:t>15 min</w:t>
            </w:r>
          </w:p>
        </w:tc>
      </w:tr>
      <w:tr w:rsidR="000147BD" w14:paraId="4280E37C" w14:textId="77777777" w:rsidTr="00372029">
        <w:tc>
          <w:tcPr>
            <w:tcW w:w="0" w:type="auto"/>
            <w:tcBorders>
              <w:right w:val="single" w:sz="4" w:space="0" w:color="auto"/>
            </w:tcBorders>
            <w:shd w:val="clear" w:color="auto" w:fill="auto"/>
            <w:vAlign w:val="center"/>
          </w:tcPr>
          <w:p w14:paraId="1B80B002" w14:textId="77777777" w:rsidR="000147BD" w:rsidRPr="00372029" w:rsidRDefault="000147BD" w:rsidP="00372029">
            <w:pPr>
              <w:spacing w:after="0"/>
              <w:rPr>
                <w:bCs/>
              </w:rPr>
            </w:pPr>
            <w:r w:rsidRPr="00372029">
              <w:rPr>
                <w:bCs/>
              </w:rPr>
              <w:t>Add-on for Premium Pay for Overtime and Holidays</w:t>
            </w:r>
            <w:r w:rsidRPr="00372029">
              <w:rPr>
                <w:rStyle w:val="FootnoteReference"/>
                <w:bCs/>
              </w:rPr>
              <w:footnoteReference w:id="2"/>
            </w:r>
          </w:p>
        </w:tc>
        <w:tc>
          <w:tcPr>
            <w:tcW w:w="0" w:type="auto"/>
            <w:tcBorders>
              <w:left w:val="single" w:sz="4" w:space="0" w:color="auto"/>
            </w:tcBorders>
            <w:shd w:val="clear" w:color="auto" w:fill="FFFFFF" w:themeFill="background1"/>
            <w:vAlign w:val="center"/>
          </w:tcPr>
          <w:p w14:paraId="32ECF24D" w14:textId="2FF085F9" w:rsidR="000147BD" w:rsidRDefault="000147BD" w:rsidP="00372029">
            <w:pPr>
              <w:spacing w:after="0"/>
              <w:jc w:val="center"/>
            </w:pPr>
            <w:r w:rsidRPr="00F97B35">
              <w:t>$</w:t>
            </w:r>
            <w:r w:rsidR="007640B2">
              <w:t>2.</w:t>
            </w:r>
            <w:r w:rsidR="004D28F6">
              <w:t>49</w:t>
            </w:r>
          </w:p>
        </w:tc>
        <w:tc>
          <w:tcPr>
            <w:tcW w:w="0" w:type="auto"/>
            <w:tcBorders>
              <w:right w:val="single" w:sz="4" w:space="0" w:color="auto"/>
            </w:tcBorders>
            <w:shd w:val="clear" w:color="auto" w:fill="FFFFFF" w:themeFill="background1"/>
            <w:vAlign w:val="center"/>
          </w:tcPr>
          <w:p w14:paraId="471848F1" w14:textId="14E5AE0C" w:rsidR="000147BD" w:rsidRDefault="007640B2" w:rsidP="00372029">
            <w:pPr>
              <w:spacing w:after="0"/>
              <w:jc w:val="center"/>
            </w:pPr>
            <w:r w:rsidRPr="00F97B35">
              <w:t>15 min</w:t>
            </w:r>
          </w:p>
        </w:tc>
      </w:tr>
      <w:tr w:rsidR="000147BD" w14:paraId="3C50E856" w14:textId="77777777" w:rsidTr="00372029">
        <w:tc>
          <w:tcPr>
            <w:tcW w:w="0" w:type="auto"/>
            <w:tcBorders>
              <w:right w:val="single" w:sz="4" w:space="0" w:color="auto"/>
            </w:tcBorders>
            <w:shd w:val="clear" w:color="auto" w:fill="auto"/>
            <w:vAlign w:val="center"/>
          </w:tcPr>
          <w:p w14:paraId="65A3D686" w14:textId="77777777" w:rsidR="000147BD" w:rsidRPr="00372029" w:rsidRDefault="000147BD" w:rsidP="00372029">
            <w:pPr>
              <w:spacing w:after="0"/>
              <w:rPr>
                <w:bCs/>
              </w:rPr>
            </w:pPr>
            <w:r w:rsidRPr="00372029">
              <w:rPr>
                <w:bCs/>
              </w:rPr>
              <w:t xml:space="preserve">Earned Paid Time </w:t>
            </w:r>
          </w:p>
        </w:tc>
        <w:tc>
          <w:tcPr>
            <w:tcW w:w="0" w:type="auto"/>
            <w:tcBorders>
              <w:left w:val="single" w:sz="4" w:space="0" w:color="auto"/>
            </w:tcBorders>
            <w:shd w:val="clear" w:color="auto" w:fill="FFFFFF" w:themeFill="background1"/>
            <w:vAlign w:val="center"/>
          </w:tcPr>
          <w:p w14:paraId="5969C1A6" w14:textId="0DE55EDC" w:rsidR="000147BD" w:rsidRDefault="000147BD" w:rsidP="00372029">
            <w:pPr>
              <w:spacing w:after="0"/>
              <w:jc w:val="center"/>
            </w:pPr>
            <w:r w:rsidRPr="00F97B35">
              <w:t>$</w:t>
            </w:r>
            <w:r w:rsidR="004D28F6">
              <w:t>4</w:t>
            </w:r>
            <w:r w:rsidR="007640B2">
              <w:t>.</w:t>
            </w:r>
            <w:r w:rsidR="004D28F6">
              <w:t>97</w:t>
            </w:r>
          </w:p>
        </w:tc>
        <w:tc>
          <w:tcPr>
            <w:tcW w:w="0" w:type="auto"/>
            <w:tcBorders>
              <w:right w:val="single" w:sz="4" w:space="0" w:color="auto"/>
            </w:tcBorders>
            <w:shd w:val="clear" w:color="auto" w:fill="FFFFFF" w:themeFill="background1"/>
            <w:vAlign w:val="center"/>
          </w:tcPr>
          <w:p w14:paraId="4936D785" w14:textId="245BE625" w:rsidR="000147BD" w:rsidRDefault="007640B2" w:rsidP="00372029">
            <w:pPr>
              <w:spacing w:after="0"/>
              <w:jc w:val="center"/>
            </w:pPr>
            <w:r w:rsidRPr="00F97B35">
              <w:t>15 min</w:t>
            </w:r>
          </w:p>
        </w:tc>
      </w:tr>
      <w:tr w:rsidR="000147BD" w14:paraId="64D22BE6" w14:textId="77777777" w:rsidTr="00372029">
        <w:tc>
          <w:tcPr>
            <w:tcW w:w="0" w:type="auto"/>
            <w:tcBorders>
              <w:right w:val="single" w:sz="4" w:space="0" w:color="auto"/>
            </w:tcBorders>
            <w:shd w:val="clear" w:color="auto" w:fill="auto"/>
            <w:vAlign w:val="center"/>
          </w:tcPr>
          <w:p w14:paraId="06EE0BC1" w14:textId="77777777" w:rsidR="000147BD" w:rsidRPr="00372029" w:rsidRDefault="000147BD" w:rsidP="00372029">
            <w:pPr>
              <w:spacing w:after="0"/>
              <w:rPr>
                <w:bCs/>
              </w:rPr>
            </w:pPr>
            <w:r w:rsidRPr="00372029">
              <w:rPr>
                <w:bCs/>
              </w:rPr>
              <w:lastRenderedPageBreak/>
              <w:t>New Hire Orientation</w:t>
            </w:r>
          </w:p>
        </w:tc>
        <w:tc>
          <w:tcPr>
            <w:tcW w:w="0" w:type="auto"/>
            <w:tcBorders>
              <w:left w:val="single" w:sz="4" w:space="0" w:color="auto"/>
            </w:tcBorders>
            <w:shd w:val="clear" w:color="auto" w:fill="FFFFFF" w:themeFill="background1"/>
            <w:vAlign w:val="center"/>
          </w:tcPr>
          <w:p w14:paraId="75459CCA" w14:textId="0B67BAD8" w:rsidR="000147BD" w:rsidRDefault="000147BD" w:rsidP="00372029">
            <w:pPr>
              <w:spacing w:after="0"/>
              <w:jc w:val="center"/>
            </w:pPr>
            <w:r w:rsidRPr="00F97B35">
              <w:t>$</w:t>
            </w:r>
            <w:r w:rsidR="004D28F6">
              <w:t>79</w:t>
            </w:r>
            <w:r w:rsidR="007640B2">
              <w:t>.</w:t>
            </w:r>
            <w:r w:rsidR="004D28F6">
              <w:t>40</w:t>
            </w:r>
          </w:p>
        </w:tc>
        <w:tc>
          <w:tcPr>
            <w:tcW w:w="0" w:type="auto"/>
            <w:tcBorders>
              <w:right w:val="single" w:sz="4" w:space="0" w:color="auto"/>
            </w:tcBorders>
            <w:shd w:val="clear" w:color="auto" w:fill="FFFFFF" w:themeFill="background1"/>
            <w:vAlign w:val="center"/>
          </w:tcPr>
          <w:p w14:paraId="0A9CDBA2" w14:textId="0EDCA4D7" w:rsidR="000147BD" w:rsidRDefault="007640B2" w:rsidP="00372029">
            <w:pPr>
              <w:spacing w:after="0"/>
              <w:jc w:val="center"/>
            </w:pPr>
            <w:r w:rsidRPr="00F97B35">
              <w:t>per diem</w:t>
            </w:r>
          </w:p>
        </w:tc>
      </w:tr>
      <w:tr w:rsidR="000147BD" w14:paraId="60F8CC04" w14:textId="77777777" w:rsidTr="00372029">
        <w:tc>
          <w:tcPr>
            <w:tcW w:w="0" w:type="auto"/>
            <w:tcBorders>
              <w:right w:val="single" w:sz="4" w:space="0" w:color="auto"/>
            </w:tcBorders>
            <w:shd w:val="clear" w:color="auto" w:fill="auto"/>
            <w:vAlign w:val="center"/>
          </w:tcPr>
          <w:p w14:paraId="6DEB0585" w14:textId="77777777" w:rsidR="000147BD" w:rsidRPr="00372029" w:rsidRDefault="000147BD" w:rsidP="00372029">
            <w:pPr>
              <w:spacing w:after="0"/>
              <w:rPr>
                <w:bCs/>
              </w:rPr>
            </w:pPr>
            <w:r w:rsidRPr="00372029">
              <w:rPr>
                <w:bCs/>
              </w:rPr>
              <w:t>Add-on for Overtime</w:t>
            </w:r>
          </w:p>
        </w:tc>
        <w:tc>
          <w:tcPr>
            <w:tcW w:w="0" w:type="auto"/>
            <w:tcBorders>
              <w:left w:val="single" w:sz="4" w:space="0" w:color="auto"/>
            </w:tcBorders>
            <w:shd w:val="clear" w:color="auto" w:fill="FFFFFF" w:themeFill="background1"/>
            <w:vAlign w:val="center"/>
          </w:tcPr>
          <w:p w14:paraId="6C3FBFE4" w14:textId="2DFCBC39" w:rsidR="000147BD" w:rsidRDefault="000147BD" w:rsidP="00372029">
            <w:pPr>
              <w:spacing w:after="0"/>
              <w:jc w:val="center"/>
            </w:pPr>
            <w:r w:rsidRPr="00F97B35">
              <w:t>$</w:t>
            </w:r>
            <w:r w:rsidR="007640B2">
              <w:t>0.17</w:t>
            </w:r>
            <w:r w:rsidRPr="00F97B35">
              <w:t xml:space="preserve">  </w:t>
            </w:r>
          </w:p>
        </w:tc>
        <w:tc>
          <w:tcPr>
            <w:tcW w:w="0" w:type="auto"/>
            <w:tcBorders>
              <w:right w:val="single" w:sz="4" w:space="0" w:color="auto"/>
            </w:tcBorders>
            <w:shd w:val="clear" w:color="auto" w:fill="FFFFFF" w:themeFill="background1"/>
            <w:vAlign w:val="center"/>
          </w:tcPr>
          <w:p w14:paraId="64B18257" w14:textId="6A131216" w:rsidR="000147BD" w:rsidRDefault="007640B2" w:rsidP="00372029">
            <w:pPr>
              <w:spacing w:after="0"/>
              <w:jc w:val="center"/>
            </w:pPr>
            <w:r w:rsidRPr="00F97B35">
              <w:t>1 min</w:t>
            </w:r>
          </w:p>
        </w:tc>
      </w:tr>
      <w:tr w:rsidR="000147BD" w14:paraId="48768E26" w14:textId="77777777" w:rsidTr="00372029">
        <w:tc>
          <w:tcPr>
            <w:tcW w:w="0" w:type="auto"/>
            <w:tcBorders>
              <w:right w:val="single" w:sz="4" w:space="0" w:color="auto"/>
            </w:tcBorders>
            <w:shd w:val="clear" w:color="auto" w:fill="auto"/>
            <w:vAlign w:val="center"/>
          </w:tcPr>
          <w:p w14:paraId="43B78DDE" w14:textId="77777777" w:rsidR="000147BD" w:rsidRPr="00372029" w:rsidRDefault="000147BD" w:rsidP="00372029">
            <w:pPr>
              <w:spacing w:after="0"/>
              <w:rPr>
                <w:bCs/>
              </w:rPr>
            </w:pPr>
            <w:r w:rsidRPr="00372029">
              <w:rPr>
                <w:bCs/>
              </w:rPr>
              <w:t>Travel Time</w:t>
            </w:r>
          </w:p>
        </w:tc>
        <w:tc>
          <w:tcPr>
            <w:tcW w:w="0" w:type="auto"/>
            <w:tcBorders>
              <w:left w:val="single" w:sz="4" w:space="0" w:color="auto"/>
              <w:bottom w:val="single" w:sz="4" w:space="0" w:color="auto"/>
              <w:right w:val="single" w:sz="4" w:space="0" w:color="auto"/>
            </w:tcBorders>
            <w:shd w:val="clear" w:color="auto" w:fill="FFFFFF" w:themeFill="background1"/>
            <w:vAlign w:val="center"/>
          </w:tcPr>
          <w:p w14:paraId="73CA645F" w14:textId="516D712D" w:rsidR="000147BD" w:rsidRDefault="000147BD" w:rsidP="00372029">
            <w:pPr>
              <w:spacing w:after="0"/>
              <w:jc w:val="center"/>
            </w:pPr>
            <w:r w:rsidRPr="00F97B35">
              <w:t>$</w:t>
            </w:r>
            <w:r w:rsidR="007640B2">
              <w:t>0.34</w:t>
            </w:r>
          </w:p>
        </w:tc>
        <w:tc>
          <w:tcPr>
            <w:tcW w:w="0" w:type="auto"/>
            <w:tcBorders>
              <w:left w:val="single" w:sz="4" w:space="0" w:color="auto"/>
              <w:bottom w:val="single" w:sz="4" w:space="0" w:color="auto"/>
              <w:right w:val="single" w:sz="4" w:space="0" w:color="auto"/>
            </w:tcBorders>
            <w:shd w:val="clear" w:color="auto" w:fill="FFFFFF" w:themeFill="background1"/>
            <w:vAlign w:val="center"/>
          </w:tcPr>
          <w:p w14:paraId="367991D7" w14:textId="2568BAE6" w:rsidR="000147BD" w:rsidRDefault="007640B2" w:rsidP="00372029">
            <w:pPr>
              <w:spacing w:after="0"/>
              <w:jc w:val="center"/>
            </w:pPr>
            <w:r w:rsidRPr="00F97B35">
              <w:t>1 min</w:t>
            </w:r>
          </w:p>
        </w:tc>
      </w:tr>
    </w:tbl>
    <w:p w14:paraId="395E7B3F" w14:textId="77777777" w:rsidR="00CC2FE8" w:rsidRDefault="00CC2FE8" w:rsidP="00372029">
      <w:pPr>
        <w:spacing w:after="0" w:line="240" w:lineRule="auto"/>
      </w:pPr>
    </w:p>
    <w:p w14:paraId="0D5BC08B" w14:textId="48E94DE7" w:rsidR="0028151C" w:rsidRDefault="0028151C" w:rsidP="00372029">
      <w:pPr>
        <w:spacing w:after="0" w:line="240" w:lineRule="auto"/>
      </w:pPr>
      <w:r w:rsidRPr="005E3936">
        <w:t xml:space="preserve">The following </w:t>
      </w:r>
      <w:r>
        <w:t>are</w:t>
      </w:r>
      <w:r w:rsidRPr="005E3936">
        <w:t xml:space="preserve"> </w:t>
      </w:r>
      <w:r>
        <w:t>proposed changes to rates for personal care attendant (PCA) services effective for dates of service provided on or after April 1, 2023</w:t>
      </w:r>
      <w:r w:rsidRPr="005E3936">
        <w:t xml:space="preserve">. </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9"/>
        <w:gridCol w:w="1372"/>
        <w:gridCol w:w="1664"/>
      </w:tblGrid>
      <w:tr w:rsidR="00AD78D3" w14:paraId="3647ED11" w14:textId="77777777" w:rsidTr="00372029">
        <w:trPr>
          <w:trHeight w:val="710"/>
        </w:trPr>
        <w:tc>
          <w:tcPr>
            <w:tcW w:w="0" w:type="auto"/>
            <w:vMerge w:val="restart"/>
            <w:tcBorders>
              <w:right w:val="single" w:sz="4" w:space="0" w:color="auto"/>
            </w:tcBorders>
            <w:shd w:val="clear" w:color="auto" w:fill="F2F2F2" w:themeFill="background1" w:themeFillShade="F2"/>
            <w:vAlign w:val="center"/>
          </w:tcPr>
          <w:p w14:paraId="13F642A8" w14:textId="77777777" w:rsidR="00AD78D3" w:rsidRPr="009876EA" w:rsidRDefault="00AD78D3" w:rsidP="00372029">
            <w:pPr>
              <w:spacing w:after="0"/>
              <w:jc w:val="center"/>
              <w:rPr>
                <w:b/>
              </w:rPr>
            </w:pPr>
            <w:r w:rsidRPr="009876EA">
              <w:rPr>
                <w:b/>
              </w:rPr>
              <w:t>Service Name or Description</w:t>
            </w:r>
          </w:p>
        </w:tc>
        <w:tc>
          <w:tcPr>
            <w:tcW w:w="0" w:type="auto"/>
            <w:gridSpan w:val="2"/>
            <w:tcBorders>
              <w:left w:val="single" w:sz="4" w:space="0" w:color="auto"/>
            </w:tcBorders>
            <w:shd w:val="clear" w:color="auto" w:fill="F2F2F2" w:themeFill="background1" w:themeFillShade="F2"/>
            <w:vAlign w:val="center"/>
          </w:tcPr>
          <w:p w14:paraId="4F958624" w14:textId="6DA558F3" w:rsidR="00AD78D3" w:rsidRPr="00F97B35" w:rsidRDefault="00AD78D3" w:rsidP="00372029">
            <w:pPr>
              <w:spacing w:after="0"/>
              <w:jc w:val="center"/>
              <w:rPr>
                <w:b/>
              </w:rPr>
            </w:pPr>
            <w:r w:rsidRPr="00F97B35">
              <w:rPr>
                <w:b/>
              </w:rPr>
              <w:t xml:space="preserve">Rate Effective </w:t>
            </w:r>
            <w:r>
              <w:rPr>
                <w:b/>
              </w:rPr>
              <w:t>April</w:t>
            </w:r>
            <w:r w:rsidRPr="00F97B35">
              <w:rPr>
                <w:b/>
              </w:rPr>
              <w:t xml:space="preserve"> 1, </w:t>
            </w:r>
            <w:r>
              <w:rPr>
                <w:b/>
              </w:rPr>
              <w:t>2023</w:t>
            </w:r>
          </w:p>
        </w:tc>
      </w:tr>
      <w:tr w:rsidR="00AD78D3" w14:paraId="6E680682" w14:textId="77777777" w:rsidTr="00372029">
        <w:tc>
          <w:tcPr>
            <w:tcW w:w="0" w:type="auto"/>
            <w:vMerge/>
            <w:tcBorders>
              <w:right w:val="single" w:sz="4" w:space="0" w:color="auto"/>
            </w:tcBorders>
            <w:shd w:val="clear" w:color="auto" w:fill="F2F2F2" w:themeFill="background1" w:themeFillShade="F2"/>
          </w:tcPr>
          <w:p w14:paraId="005E84CA" w14:textId="77777777" w:rsidR="00AD78D3" w:rsidRDefault="00AD78D3" w:rsidP="00372029">
            <w:pPr>
              <w:spacing w:after="0"/>
            </w:pPr>
          </w:p>
        </w:tc>
        <w:tc>
          <w:tcPr>
            <w:tcW w:w="0" w:type="auto"/>
            <w:tcBorders>
              <w:left w:val="single" w:sz="4" w:space="0" w:color="auto"/>
            </w:tcBorders>
            <w:shd w:val="clear" w:color="auto" w:fill="F2F2F2" w:themeFill="background1" w:themeFillShade="F2"/>
            <w:vAlign w:val="center"/>
          </w:tcPr>
          <w:p w14:paraId="098104AE" w14:textId="1FA50F5B" w:rsidR="00AD78D3" w:rsidRPr="00372029" w:rsidRDefault="00AD78D3" w:rsidP="00372029">
            <w:pPr>
              <w:spacing w:after="0"/>
              <w:jc w:val="center"/>
              <w:rPr>
                <w:b/>
                <w:bCs/>
              </w:rPr>
            </w:pPr>
            <w:r w:rsidRPr="00372029">
              <w:rPr>
                <w:b/>
                <w:bCs/>
              </w:rPr>
              <w:t>Rate</w:t>
            </w:r>
          </w:p>
        </w:tc>
        <w:tc>
          <w:tcPr>
            <w:tcW w:w="0" w:type="auto"/>
            <w:shd w:val="clear" w:color="auto" w:fill="F2F2F2" w:themeFill="background1" w:themeFillShade="F2"/>
            <w:vAlign w:val="center"/>
          </w:tcPr>
          <w:p w14:paraId="359D4B8C" w14:textId="4B0F9422" w:rsidR="00AD78D3" w:rsidRPr="00372029" w:rsidRDefault="00AD78D3" w:rsidP="00372029">
            <w:pPr>
              <w:spacing w:after="0"/>
              <w:jc w:val="center"/>
              <w:rPr>
                <w:b/>
                <w:bCs/>
              </w:rPr>
            </w:pPr>
            <w:r w:rsidRPr="00372029">
              <w:rPr>
                <w:b/>
                <w:bCs/>
              </w:rPr>
              <w:t>Unit</w:t>
            </w:r>
          </w:p>
        </w:tc>
      </w:tr>
      <w:tr w:rsidR="007640B2" w14:paraId="52FAF847" w14:textId="77777777" w:rsidTr="00372029">
        <w:tc>
          <w:tcPr>
            <w:tcW w:w="0" w:type="auto"/>
            <w:tcBorders>
              <w:right w:val="single" w:sz="4" w:space="0" w:color="auto"/>
            </w:tcBorders>
            <w:shd w:val="clear" w:color="auto" w:fill="auto"/>
            <w:vAlign w:val="center"/>
          </w:tcPr>
          <w:p w14:paraId="27CEA276" w14:textId="77777777" w:rsidR="007640B2" w:rsidRPr="00372029" w:rsidRDefault="007640B2" w:rsidP="00372029">
            <w:pPr>
              <w:spacing w:after="0"/>
              <w:rPr>
                <w:bCs/>
              </w:rPr>
            </w:pPr>
            <w:r w:rsidRPr="00372029">
              <w:rPr>
                <w:bCs/>
              </w:rPr>
              <w:t>PCA Services</w:t>
            </w:r>
          </w:p>
        </w:tc>
        <w:tc>
          <w:tcPr>
            <w:tcW w:w="0" w:type="auto"/>
            <w:tcBorders>
              <w:left w:val="single" w:sz="4" w:space="0" w:color="auto"/>
            </w:tcBorders>
            <w:shd w:val="clear" w:color="auto" w:fill="FFFFFF"/>
            <w:vAlign w:val="center"/>
          </w:tcPr>
          <w:p w14:paraId="09122BAD" w14:textId="3967ADBC" w:rsidR="007640B2" w:rsidRPr="00F97B35" w:rsidRDefault="007640B2" w:rsidP="00372029">
            <w:pPr>
              <w:spacing w:after="0"/>
              <w:jc w:val="center"/>
            </w:pPr>
            <w:r w:rsidRPr="00F97B35">
              <w:t>$</w:t>
            </w:r>
            <w:r>
              <w:t>5.0</w:t>
            </w:r>
            <w:r w:rsidR="00830D2D">
              <w:t>2</w:t>
            </w:r>
          </w:p>
        </w:tc>
        <w:tc>
          <w:tcPr>
            <w:tcW w:w="0" w:type="auto"/>
            <w:shd w:val="clear" w:color="auto" w:fill="FFFFFF"/>
            <w:vAlign w:val="center"/>
          </w:tcPr>
          <w:p w14:paraId="19224698" w14:textId="556E9CAC" w:rsidR="007640B2" w:rsidRPr="00F97B35" w:rsidRDefault="007640B2" w:rsidP="00372029">
            <w:pPr>
              <w:spacing w:after="0"/>
              <w:jc w:val="center"/>
            </w:pPr>
            <w:r w:rsidRPr="00F97B35">
              <w:t>15 min</w:t>
            </w:r>
          </w:p>
        </w:tc>
      </w:tr>
      <w:tr w:rsidR="007640B2" w14:paraId="48CFCB07" w14:textId="77777777" w:rsidTr="00372029">
        <w:tc>
          <w:tcPr>
            <w:tcW w:w="0" w:type="auto"/>
            <w:tcBorders>
              <w:right w:val="single" w:sz="4" w:space="0" w:color="auto"/>
            </w:tcBorders>
            <w:shd w:val="clear" w:color="auto" w:fill="auto"/>
            <w:vAlign w:val="center"/>
          </w:tcPr>
          <w:p w14:paraId="0113AB71" w14:textId="77777777" w:rsidR="007640B2" w:rsidRPr="00372029" w:rsidRDefault="007640B2" w:rsidP="00372029">
            <w:pPr>
              <w:spacing w:after="0"/>
              <w:rPr>
                <w:bCs/>
              </w:rPr>
            </w:pPr>
            <w:r w:rsidRPr="00372029">
              <w:rPr>
                <w:bCs/>
              </w:rPr>
              <w:t>Add-on for Premium Pay for Overtime and Holidays</w:t>
            </w:r>
            <w:r w:rsidRPr="00372029">
              <w:rPr>
                <w:rStyle w:val="FootnoteReference"/>
                <w:bCs/>
              </w:rPr>
              <w:footnoteReference w:id="3"/>
            </w:r>
          </w:p>
        </w:tc>
        <w:tc>
          <w:tcPr>
            <w:tcW w:w="0" w:type="auto"/>
            <w:tcBorders>
              <w:left w:val="single" w:sz="4" w:space="0" w:color="auto"/>
            </w:tcBorders>
            <w:shd w:val="clear" w:color="auto" w:fill="FFFFFF"/>
            <w:vAlign w:val="center"/>
          </w:tcPr>
          <w:p w14:paraId="54BAEE3B" w14:textId="3E3F876F" w:rsidR="007640B2" w:rsidRPr="00F97B35" w:rsidRDefault="007640B2" w:rsidP="00372029">
            <w:pPr>
              <w:spacing w:after="0"/>
              <w:jc w:val="center"/>
            </w:pPr>
            <w:r w:rsidRPr="00F97B35">
              <w:t>$</w:t>
            </w:r>
            <w:r>
              <w:t>2.5</w:t>
            </w:r>
            <w:r w:rsidR="00830D2D">
              <w:t>1</w:t>
            </w:r>
          </w:p>
        </w:tc>
        <w:tc>
          <w:tcPr>
            <w:tcW w:w="0" w:type="auto"/>
            <w:shd w:val="clear" w:color="auto" w:fill="FFFFFF"/>
            <w:vAlign w:val="center"/>
          </w:tcPr>
          <w:p w14:paraId="2252428C" w14:textId="543F2553" w:rsidR="007640B2" w:rsidRPr="00F97B35" w:rsidRDefault="007640B2" w:rsidP="00372029">
            <w:pPr>
              <w:spacing w:after="0"/>
              <w:jc w:val="center"/>
            </w:pPr>
            <w:r w:rsidRPr="00F97B35">
              <w:t>15 min</w:t>
            </w:r>
          </w:p>
        </w:tc>
      </w:tr>
      <w:tr w:rsidR="007640B2" w14:paraId="1815E029" w14:textId="77777777" w:rsidTr="00372029">
        <w:tc>
          <w:tcPr>
            <w:tcW w:w="0" w:type="auto"/>
            <w:tcBorders>
              <w:right w:val="single" w:sz="4" w:space="0" w:color="auto"/>
            </w:tcBorders>
            <w:shd w:val="clear" w:color="auto" w:fill="auto"/>
            <w:vAlign w:val="center"/>
          </w:tcPr>
          <w:p w14:paraId="66ACA109" w14:textId="77777777" w:rsidR="007640B2" w:rsidRPr="00372029" w:rsidRDefault="007640B2" w:rsidP="00372029">
            <w:pPr>
              <w:spacing w:after="0"/>
              <w:rPr>
                <w:bCs/>
              </w:rPr>
            </w:pPr>
            <w:r w:rsidRPr="00372029">
              <w:rPr>
                <w:bCs/>
              </w:rPr>
              <w:t xml:space="preserve">Earned Paid Time </w:t>
            </w:r>
          </w:p>
        </w:tc>
        <w:tc>
          <w:tcPr>
            <w:tcW w:w="0" w:type="auto"/>
            <w:tcBorders>
              <w:left w:val="single" w:sz="4" w:space="0" w:color="auto"/>
            </w:tcBorders>
            <w:shd w:val="clear" w:color="auto" w:fill="FFFFFF"/>
            <w:vAlign w:val="center"/>
          </w:tcPr>
          <w:p w14:paraId="613CDAC1" w14:textId="52A95FDB" w:rsidR="007640B2" w:rsidRPr="00F97B35" w:rsidRDefault="007640B2" w:rsidP="00372029">
            <w:pPr>
              <w:spacing w:after="0"/>
              <w:jc w:val="center"/>
            </w:pPr>
            <w:r w:rsidRPr="00F97B35">
              <w:t>$</w:t>
            </w:r>
            <w:r>
              <w:t>5.0</w:t>
            </w:r>
            <w:r w:rsidR="00830D2D">
              <w:t>2</w:t>
            </w:r>
          </w:p>
        </w:tc>
        <w:tc>
          <w:tcPr>
            <w:tcW w:w="0" w:type="auto"/>
            <w:shd w:val="clear" w:color="auto" w:fill="FFFFFF"/>
            <w:vAlign w:val="center"/>
          </w:tcPr>
          <w:p w14:paraId="76A0F64D" w14:textId="145F6577" w:rsidR="007640B2" w:rsidRPr="00F97B35" w:rsidRDefault="007640B2" w:rsidP="00372029">
            <w:pPr>
              <w:spacing w:after="0"/>
              <w:jc w:val="center"/>
            </w:pPr>
            <w:r w:rsidRPr="00F97B35">
              <w:t>15 min</w:t>
            </w:r>
          </w:p>
        </w:tc>
      </w:tr>
      <w:tr w:rsidR="007640B2" w14:paraId="4A965E01" w14:textId="77777777" w:rsidTr="00372029">
        <w:tc>
          <w:tcPr>
            <w:tcW w:w="0" w:type="auto"/>
            <w:tcBorders>
              <w:right w:val="single" w:sz="4" w:space="0" w:color="auto"/>
            </w:tcBorders>
            <w:shd w:val="clear" w:color="auto" w:fill="auto"/>
            <w:vAlign w:val="center"/>
          </w:tcPr>
          <w:p w14:paraId="1A4545DC" w14:textId="77777777" w:rsidR="007640B2" w:rsidRPr="00372029" w:rsidRDefault="007640B2" w:rsidP="00372029">
            <w:pPr>
              <w:spacing w:after="0"/>
              <w:rPr>
                <w:bCs/>
              </w:rPr>
            </w:pPr>
            <w:r w:rsidRPr="00372029">
              <w:rPr>
                <w:bCs/>
              </w:rPr>
              <w:t>New Hire Orientation</w:t>
            </w:r>
          </w:p>
        </w:tc>
        <w:tc>
          <w:tcPr>
            <w:tcW w:w="0" w:type="auto"/>
            <w:tcBorders>
              <w:left w:val="single" w:sz="4" w:space="0" w:color="auto"/>
            </w:tcBorders>
            <w:shd w:val="clear" w:color="auto" w:fill="FFFFFF"/>
            <w:vAlign w:val="center"/>
          </w:tcPr>
          <w:p w14:paraId="2986F208" w14:textId="6C344313" w:rsidR="007640B2" w:rsidRPr="00F97B35" w:rsidRDefault="007640B2" w:rsidP="00372029">
            <w:pPr>
              <w:spacing w:after="0"/>
              <w:jc w:val="center"/>
            </w:pPr>
            <w:r w:rsidRPr="00F97B35">
              <w:t>$</w:t>
            </w:r>
            <w:r>
              <w:t>8</w:t>
            </w:r>
            <w:r w:rsidR="00830D2D">
              <w:t>0</w:t>
            </w:r>
            <w:r>
              <w:t>.</w:t>
            </w:r>
            <w:r w:rsidR="00830D2D">
              <w:t>20</w:t>
            </w:r>
          </w:p>
        </w:tc>
        <w:tc>
          <w:tcPr>
            <w:tcW w:w="0" w:type="auto"/>
            <w:shd w:val="clear" w:color="auto" w:fill="FFFFFF"/>
            <w:vAlign w:val="center"/>
          </w:tcPr>
          <w:p w14:paraId="38FFDB8C" w14:textId="44A76945" w:rsidR="007640B2" w:rsidRPr="00F97B35" w:rsidRDefault="007640B2" w:rsidP="00372029">
            <w:pPr>
              <w:spacing w:after="0"/>
              <w:jc w:val="center"/>
            </w:pPr>
            <w:r w:rsidRPr="00F97B35">
              <w:t>per diem</w:t>
            </w:r>
          </w:p>
        </w:tc>
      </w:tr>
      <w:tr w:rsidR="007640B2" w14:paraId="0B5A28FE" w14:textId="77777777" w:rsidTr="00372029">
        <w:tc>
          <w:tcPr>
            <w:tcW w:w="0" w:type="auto"/>
            <w:tcBorders>
              <w:right w:val="single" w:sz="4" w:space="0" w:color="auto"/>
            </w:tcBorders>
            <w:shd w:val="clear" w:color="auto" w:fill="auto"/>
            <w:vAlign w:val="center"/>
          </w:tcPr>
          <w:p w14:paraId="05A12588" w14:textId="77777777" w:rsidR="007640B2" w:rsidRPr="00372029" w:rsidRDefault="007640B2" w:rsidP="00372029">
            <w:pPr>
              <w:spacing w:after="0"/>
              <w:rPr>
                <w:bCs/>
              </w:rPr>
            </w:pPr>
            <w:r w:rsidRPr="00372029">
              <w:rPr>
                <w:bCs/>
              </w:rPr>
              <w:t>Add-on for Overtime</w:t>
            </w:r>
          </w:p>
        </w:tc>
        <w:tc>
          <w:tcPr>
            <w:tcW w:w="0" w:type="auto"/>
            <w:tcBorders>
              <w:left w:val="single" w:sz="4" w:space="0" w:color="auto"/>
            </w:tcBorders>
            <w:shd w:val="clear" w:color="auto" w:fill="FFFFFF"/>
            <w:vAlign w:val="center"/>
          </w:tcPr>
          <w:p w14:paraId="2758C8CB" w14:textId="5CA28EE6" w:rsidR="007640B2" w:rsidRPr="00F97B35" w:rsidRDefault="007640B2" w:rsidP="00372029">
            <w:pPr>
              <w:spacing w:after="0"/>
              <w:jc w:val="center"/>
            </w:pPr>
            <w:r w:rsidRPr="00F97B35">
              <w:t>$</w:t>
            </w:r>
            <w:r>
              <w:t>0.17</w:t>
            </w:r>
          </w:p>
        </w:tc>
        <w:tc>
          <w:tcPr>
            <w:tcW w:w="0" w:type="auto"/>
            <w:shd w:val="clear" w:color="auto" w:fill="FFFFFF"/>
            <w:vAlign w:val="center"/>
          </w:tcPr>
          <w:p w14:paraId="141BD8D5" w14:textId="3CB7DFAD" w:rsidR="007640B2" w:rsidRPr="00F97B35" w:rsidRDefault="007640B2" w:rsidP="00372029">
            <w:pPr>
              <w:spacing w:after="0"/>
              <w:jc w:val="center"/>
            </w:pPr>
            <w:r w:rsidRPr="00F97B35">
              <w:t>1 min</w:t>
            </w:r>
          </w:p>
        </w:tc>
      </w:tr>
      <w:tr w:rsidR="007640B2" w14:paraId="3795D903" w14:textId="77777777" w:rsidTr="00372029">
        <w:tc>
          <w:tcPr>
            <w:tcW w:w="0" w:type="auto"/>
            <w:tcBorders>
              <w:right w:val="single" w:sz="4" w:space="0" w:color="auto"/>
            </w:tcBorders>
            <w:shd w:val="clear" w:color="auto" w:fill="auto"/>
            <w:vAlign w:val="center"/>
          </w:tcPr>
          <w:p w14:paraId="1CE341F0" w14:textId="77777777" w:rsidR="007640B2" w:rsidRPr="00372029" w:rsidRDefault="007640B2" w:rsidP="00372029">
            <w:pPr>
              <w:spacing w:after="0"/>
              <w:rPr>
                <w:bCs/>
              </w:rPr>
            </w:pPr>
            <w:r w:rsidRPr="00372029">
              <w:rPr>
                <w:bCs/>
              </w:rPr>
              <w:t>Travel Time</w:t>
            </w:r>
          </w:p>
        </w:tc>
        <w:tc>
          <w:tcPr>
            <w:tcW w:w="0" w:type="auto"/>
            <w:tcBorders>
              <w:left w:val="single" w:sz="4" w:space="0" w:color="auto"/>
            </w:tcBorders>
            <w:shd w:val="clear" w:color="auto" w:fill="FFFFFF"/>
            <w:vAlign w:val="center"/>
          </w:tcPr>
          <w:p w14:paraId="38FEABCA" w14:textId="5AF7C139" w:rsidR="007640B2" w:rsidRPr="00F97B35" w:rsidRDefault="007640B2" w:rsidP="00372029">
            <w:pPr>
              <w:spacing w:after="0"/>
              <w:jc w:val="center"/>
            </w:pPr>
            <w:r w:rsidRPr="00F97B35">
              <w:t>$</w:t>
            </w:r>
            <w:r>
              <w:t>0.34</w:t>
            </w:r>
          </w:p>
        </w:tc>
        <w:tc>
          <w:tcPr>
            <w:tcW w:w="0" w:type="auto"/>
            <w:shd w:val="clear" w:color="auto" w:fill="FFFFFF"/>
            <w:vAlign w:val="center"/>
          </w:tcPr>
          <w:p w14:paraId="1D11311D" w14:textId="04A28DA2" w:rsidR="007640B2" w:rsidRPr="00F97B35" w:rsidRDefault="007640B2" w:rsidP="00372029">
            <w:pPr>
              <w:spacing w:after="0"/>
              <w:jc w:val="center"/>
            </w:pPr>
            <w:r w:rsidRPr="00F97B35">
              <w:t>1 min</w:t>
            </w:r>
          </w:p>
        </w:tc>
      </w:tr>
    </w:tbl>
    <w:p w14:paraId="7F1DD0A8" w14:textId="77777777" w:rsidR="0028151C" w:rsidRDefault="0028151C" w:rsidP="00372029">
      <w:pPr>
        <w:spacing w:after="0"/>
        <w:rPr>
          <w:rFonts w:cs="Times New Roman"/>
        </w:rPr>
      </w:pPr>
    </w:p>
    <w:p w14:paraId="26625C41" w14:textId="110D9519" w:rsidR="00C00B40" w:rsidRDefault="00417DED" w:rsidP="00372029">
      <w:pPr>
        <w:spacing w:line="240" w:lineRule="auto"/>
        <w:rPr>
          <w:rFonts w:cs="Times New Roman"/>
        </w:rPr>
      </w:pPr>
      <w:r w:rsidRPr="005E3936">
        <w:rPr>
          <w:rFonts w:cs="Times New Roman"/>
        </w:rPr>
        <w:t xml:space="preserve">The </w:t>
      </w:r>
      <w:r w:rsidR="00FB03CB" w:rsidRPr="005E3936">
        <w:rPr>
          <w:rFonts w:cs="Times New Roman"/>
        </w:rPr>
        <w:t xml:space="preserve">proposed </w:t>
      </w:r>
      <w:r w:rsidRPr="005E3936">
        <w:rPr>
          <w:rFonts w:cs="Times New Roman"/>
        </w:rPr>
        <w:t>rates noted above include the PCA wage</w:t>
      </w:r>
      <w:r w:rsidR="00A0792F">
        <w:rPr>
          <w:rFonts w:cs="Times New Roman"/>
        </w:rPr>
        <w:t xml:space="preserve"> and the employer expense component, which includes employer required taxes</w:t>
      </w:r>
      <w:r w:rsidRPr="005E3936">
        <w:rPr>
          <w:rFonts w:cs="Times New Roman"/>
        </w:rPr>
        <w:t xml:space="preserve"> and workers’ compensation insurance.</w:t>
      </w:r>
      <w:r w:rsidR="00A0792F">
        <w:rPr>
          <w:rFonts w:cs="Times New Roman"/>
        </w:rPr>
        <w:t xml:space="preserve"> </w:t>
      </w:r>
      <w:r w:rsidR="00B073A8" w:rsidRPr="005E3936">
        <w:rPr>
          <w:rFonts w:cs="Times New Roman"/>
        </w:rPr>
        <w:t>Th</w:t>
      </w:r>
      <w:r w:rsidR="00363521" w:rsidRPr="005E3936">
        <w:rPr>
          <w:rFonts w:cs="Times New Roman"/>
        </w:rPr>
        <w:t xml:space="preserve">e </w:t>
      </w:r>
      <w:r w:rsidR="00FB03CB" w:rsidRPr="005E3936">
        <w:rPr>
          <w:rFonts w:cs="Times New Roman"/>
        </w:rPr>
        <w:t xml:space="preserve">proposed </w:t>
      </w:r>
      <w:r w:rsidR="00363521" w:rsidRPr="005E3936">
        <w:rPr>
          <w:rFonts w:cs="Times New Roman"/>
        </w:rPr>
        <w:t>increase in rates is</w:t>
      </w:r>
      <w:r w:rsidR="00B073A8" w:rsidRPr="005E3936">
        <w:rPr>
          <w:rFonts w:cs="Times New Roman"/>
        </w:rPr>
        <w:t xml:space="preserve"> pursuant to </w:t>
      </w:r>
      <w:r w:rsidR="00510657" w:rsidRPr="005E3936">
        <w:rPr>
          <w:rFonts w:cs="Times New Roman"/>
        </w:rPr>
        <w:t>the</w:t>
      </w:r>
      <w:r w:rsidR="00B073A8" w:rsidRPr="005E3936">
        <w:rPr>
          <w:rFonts w:cs="Times New Roman"/>
        </w:rPr>
        <w:t xml:space="preserve"> </w:t>
      </w:r>
      <w:r w:rsidR="00510657" w:rsidRPr="005E3936">
        <w:rPr>
          <w:rFonts w:cs="Times New Roman"/>
        </w:rPr>
        <w:t>terms of the</w:t>
      </w:r>
      <w:r w:rsidR="00510657">
        <w:rPr>
          <w:rFonts w:cs="Times New Roman"/>
        </w:rPr>
        <w:t xml:space="preserve"> </w:t>
      </w:r>
      <w:r w:rsidR="00F10E5C">
        <w:rPr>
          <w:rFonts w:cs="Times New Roman"/>
        </w:rPr>
        <w:t xml:space="preserve">July 1, 2022, to June 30, 2023, </w:t>
      </w:r>
      <w:r w:rsidR="00B073A8">
        <w:rPr>
          <w:rFonts w:cs="Times New Roman"/>
        </w:rPr>
        <w:t xml:space="preserve">collective bargaining </w:t>
      </w:r>
      <w:r w:rsidR="00510657">
        <w:rPr>
          <w:rFonts w:cs="Times New Roman"/>
        </w:rPr>
        <w:t xml:space="preserve">agreement negotiated between the Commonwealth of Massachusetts and </w:t>
      </w:r>
      <w:r w:rsidR="00363521">
        <w:rPr>
          <w:rFonts w:cs="Times New Roman"/>
        </w:rPr>
        <w:t>the PCA union (</w:t>
      </w:r>
      <w:r w:rsidR="00510657">
        <w:rPr>
          <w:rFonts w:cs="Times New Roman"/>
        </w:rPr>
        <w:t>1199SEIU</w:t>
      </w:r>
      <w:r w:rsidR="00363521">
        <w:rPr>
          <w:rFonts w:cs="Times New Roman"/>
        </w:rPr>
        <w:t>)</w:t>
      </w:r>
      <w:r w:rsidR="00601394">
        <w:rPr>
          <w:rFonts w:cs="Times New Roman"/>
        </w:rPr>
        <w:t xml:space="preserve"> and in accordance</w:t>
      </w:r>
      <w:r w:rsidR="00D76ED2">
        <w:rPr>
          <w:rFonts w:cs="Times New Roman"/>
        </w:rPr>
        <w:t xml:space="preserve"> with 101 CMR 309</w:t>
      </w:r>
      <w:r w:rsidR="008C1EE6">
        <w:rPr>
          <w:rFonts w:cs="Times New Roman"/>
        </w:rPr>
        <w:t>.00</w:t>
      </w:r>
      <w:r w:rsidR="00D76ED2">
        <w:rPr>
          <w:rFonts w:cs="Times New Roman"/>
        </w:rPr>
        <w:t>:</w:t>
      </w:r>
      <w:r w:rsidR="008C1EE6">
        <w:rPr>
          <w:rFonts w:cs="Times New Roman"/>
          <w:i/>
        </w:rPr>
        <w:t xml:space="preserve"> </w:t>
      </w:r>
      <w:r w:rsidR="007C6FD3">
        <w:rPr>
          <w:rFonts w:cs="Times New Roman"/>
          <w:i/>
        </w:rPr>
        <w:t xml:space="preserve">Rates for Certain </w:t>
      </w:r>
      <w:r w:rsidR="00D76ED2" w:rsidRPr="00D76ED2">
        <w:rPr>
          <w:rFonts w:cs="Times New Roman"/>
          <w:i/>
        </w:rPr>
        <w:t>Services for the Personal Care Attendant Program</w:t>
      </w:r>
      <w:r w:rsidR="00B073A8">
        <w:rPr>
          <w:rFonts w:cs="Times New Roman"/>
        </w:rPr>
        <w:t>.</w:t>
      </w:r>
      <w:r w:rsidR="00C31E97">
        <w:rPr>
          <w:rFonts w:cs="Times New Roman"/>
        </w:rPr>
        <w:t xml:space="preserve"> </w:t>
      </w:r>
    </w:p>
    <w:p w14:paraId="0B6B3E2C" w14:textId="5CE0AF65" w:rsidR="000414A0" w:rsidRDefault="00F10E5C" w:rsidP="008F577B">
      <w:pPr>
        <w:spacing w:line="240" w:lineRule="auto"/>
        <w:rPr>
          <w:rFonts w:cs="Times New Roman"/>
        </w:rPr>
      </w:pPr>
      <w:bookmarkStart w:id="0" w:name="_Hlk106892080"/>
      <w:r>
        <w:t>The estimated increase in annual aggregate expenditures of the PCA rates effective July 1, 2022, is $113.0 million. The estimated increase in annual aggregate expenditures of the PCA rates effective January 1, 2023, is $6.1 million, but the estimated increase in expenditures that will be realized in state fiscal year 2023 is $3.1 million given the effective date of January 1, 2023. The estimated increase in annual aggregate expenditures of the PCA rates effective April 1, 2023, is $13.5 million, but the estimated increase in expenditures that will be realized in state fiscal year 2023 is $3.4 million given the effective date of April 1, 2023. Given the various effective dates noted above, the total estimated actual increase in annual aggregate expenditures realized from July 1, 2022, through June 30, 2023, is approximately $119.4 million.</w:t>
      </w:r>
    </w:p>
    <w:bookmarkEnd w:id="0"/>
    <w:p w14:paraId="2EF7EC70" w14:textId="25472114" w:rsidR="004969D7" w:rsidRPr="00763C20" w:rsidRDefault="00767F48" w:rsidP="00372029">
      <w:pPr>
        <w:spacing w:line="240" w:lineRule="auto"/>
        <w:rPr>
          <w:rFonts w:cs="Times New Roman"/>
        </w:rPr>
      </w:pPr>
      <w:r w:rsidRPr="00767F48">
        <w:rPr>
          <w:rFonts w:cs="Times New Roman"/>
        </w:rPr>
        <w:t>Individuals may submit written comments</w:t>
      </w:r>
      <w:r w:rsidR="00763C20">
        <w:rPr>
          <w:rFonts w:cs="Times New Roman"/>
        </w:rPr>
        <w:t>, or request a copy of any notices or written comments, concerning the matters herein</w:t>
      </w:r>
      <w:r w:rsidRPr="00767F48">
        <w:rPr>
          <w:rFonts w:cs="Times New Roman"/>
        </w:rPr>
        <w:t xml:space="preserve"> by emailing </w:t>
      </w:r>
      <w:hyperlink r:id="rId11" w:history="1">
        <w:r w:rsidRPr="006F3D97">
          <w:rPr>
            <w:rStyle w:val="Hyperlink"/>
            <w:rFonts w:cs="Times New Roman"/>
          </w:rPr>
          <w:t>ehs-regulations@ma</w:t>
        </w:r>
        <w:r w:rsidR="00AD00BD" w:rsidRPr="006F3D97">
          <w:rPr>
            <w:rStyle w:val="Hyperlink"/>
            <w:rFonts w:cs="Times New Roman"/>
          </w:rPr>
          <w:t>ss</w:t>
        </w:r>
        <w:r w:rsidRPr="006F3D97">
          <w:rPr>
            <w:rStyle w:val="Hyperlink"/>
            <w:rFonts w:cs="Times New Roman"/>
          </w:rPr>
          <w:t>.</w:t>
        </w:r>
        <w:r w:rsidR="00AD00BD" w:rsidRPr="006F3D97">
          <w:rPr>
            <w:rStyle w:val="Hyperlink"/>
            <w:rFonts w:cs="Times New Roman"/>
          </w:rPr>
          <w:t>gov</w:t>
        </w:r>
      </w:hyperlink>
      <w:r w:rsidRPr="00767F48">
        <w:rPr>
          <w:rFonts w:cs="Times New Roman"/>
        </w:rPr>
        <w:t xml:space="preserve">. Please submit electronic comments as an attached Word </w:t>
      </w:r>
      <w:r w:rsidR="00AD00BD">
        <w:rPr>
          <w:rFonts w:cs="Times New Roman"/>
        </w:rPr>
        <w:t xml:space="preserve">or PDF </w:t>
      </w:r>
      <w:r w:rsidRPr="00767F48">
        <w:rPr>
          <w:rFonts w:cs="Times New Roman"/>
        </w:rPr>
        <w:t>document or as text within the body of the email with the phrase “</w:t>
      </w:r>
      <w:r>
        <w:rPr>
          <w:rFonts w:cs="Times New Roman"/>
        </w:rPr>
        <w:t>MassHealth Changes in Rates for PCA Services</w:t>
      </w:r>
      <w:r w:rsidRPr="00767F48">
        <w:rPr>
          <w:rFonts w:cs="Times New Roman"/>
        </w:rPr>
        <w:t>” in the subject line. All submissions must include the sender’s full name</w:t>
      </w:r>
      <w:r w:rsidR="008F1FFA">
        <w:rPr>
          <w:rFonts w:cs="Times New Roman"/>
        </w:rPr>
        <w:t xml:space="preserve">, mailing </w:t>
      </w:r>
      <w:r w:rsidRPr="00767F48">
        <w:rPr>
          <w:rFonts w:cs="Times New Roman"/>
        </w:rPr>
        <w:t>address</w:t>
      </w:r>
      <w:r w:rsidR="008F1FFA">
        <w:rPr>
          <w:rFonts w:cs="Times New Roman"/>
        </w:rPr>
        <w:t>, and affiliation or organization, if any.</w:t>
      </w:r>
      <w:r w:rsidRPr="00767F48">
        <w:rPr>
          <w:rFonts w:cs="Times New Roman"/>
        </w:rPr>
        <w:t xml:space="preserve"> Individuals who are unable to submit comments</w:t>
      </w:r>
      <w:r w:rsidR="00763C20">
        <w:rPr>
          <w:rFonts w:cs="Times New Roman"/>
        </w:rPr>
        <w:t xml:space="preserve"> or request a copy of any notices or written copies</w:t>
      </w:r>
      <w:r w:rsidR="008F1FFA">
        <w:rPr>
          <w:rFonts w:cs="Times New Roman"/>
        </w:rPr>
        <w:t xml:space="preserve"> by email should mail</w:t>
      </w:r>
      <w:r w:rsidRPr="00767F48">
        <w:rPr>
          <w:rFonts w:cs="Times New Roman"/>
        </w:rPr>
        <w:t xml:space="preserve"> written comments </w:t>
      </w:r>
      <w:r w:rsidR="00763C20">
        <w:rPr>
          <w:rFonts w:cs="Times New Roman"/>
        </w:rPr>
        <w:t xml:space="preserve">or requests </w:t>
      </w:r>
      <w:r w:rsidRPr="00767F48">
        <w:rPr>
          <w:rFonts w:cs="Times New Roman"/>
        </w:rPr>
        <w:t xml:space="preserve">to EOHHS, c/o </w:t>
      </w:r>
      <w:r w:rsidR="00601394">
        <w:rPr>
          <w:rFonts w:cs="Times New Roman"/>
        </w:rPr>
        <w:t>Debby Briggs, 100 Hancock St</w:t>
      </w:r>
      <w:r w:rsidR="008B5C7B">
        <w:rPr>
          <w:rFonts w:cs="Times New Roman"/>
        </w:rPr>
        <w:t>reet</w:t>
      </w:r>
      <w:r w:rsidRPr="00767F48">
        <w:rPr>
          <w:rFonts w:cs="Times New Roman"/>
        </w:rPr>
        <w:t>, 6</w:t>
      </w:r>
      <w:r w:rsidRPr="00767F48">
        <w:rPr>
          <w:rFonts w:cs="Times New Roman"/>
          <w:vertAlign w:val="superscript"/>
        </w:rPr>
        <w:t>th</w:t>
      </w:r>
      <w:r w:rsidR="00601394">
        <w:rPr>
          <w:rFonts w:cs="Times New Roman"/>
        </w:rPr>
        <w:t xml:space="preserve"> Fl</w:t>
      </w:r>
      <w:r w:rsidR="008B5C7B">
        <w:rPr>
          <w:rFonts w:cs="Times New Roman"/>
        </w:rPr>
        <w:t>oor</w:t>
      </w:r>
      <w:r w:rsidR="00763C20">
        <w:rPr>
          <w:rFonts w:cs="Times New Roman"/>
        </w:rPr>
        <w:t>, Quincy, MA 02171.</w:t>
      </w:r>
    </w:p>
    <w:sectPr w:rsidR="004969D7" w:rsidRPr="00763C20" w:rsidSect="00601394">
      <w:headerReference w:type="default" r:id="rId12"/>
      <w:footerReference w:type="default" r:id="rId13"/>
      <w:pgSz w:w="12240" w:h="15840"/>
      <w:pgMar w:top="990" w:right="1350" w:bottom="810" w:left="1440" w:header="720" w:footer="720" w:gutter="0"/>
      <w:cols w:space="72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156F6" w14:textId="77777777" w:rsidR="002C0660" w:rsidRDefault="002C0660" w:rsidP="000F09A3">
      <w:pPr>
        <w:spacing w:after="0" w:line="240" w:lineRule="auto"/>
      </w:pPr>
      <w:r>
        <w:separator/>
      </w:r>
    </w:p>
  </w:endnote>
  <w:endnote w:type="continuationSeparator" w:id="0">
    <w:p w14:paraId="511817C9" w14:textId="77777777" w:rsidR="002C0660" w:rsidRDefault="002C0660" w:rsidP="000F0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8108920"/>
      <w:docPartObj>
        <w:docPartGallery w:val="Page Numbers (Bottom of Page)"/>
        <w:docPartUnique/>
      </w:docPartObj>
    </w:sdtPr>
    <w:sdtEndPr>
      <w:rPr>
        <w:noProof/>
      </w:rPr>
    </w:sdtEndPr>
    <w:sdtContent>
      <w:p w14:paraId="5B7858D6" w14:textId="771684F2" w:rsidR="00D0090B" w:rsidRDefault="00D009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8F1B42" w14:textId="102AF7FD" w:rsidR="00EF4736" w:rsidRDefault="00EF4736" w:rsidP="00670FC9">
    <w:pPr>
      <w:pStyle w:val="Footer"/>
      <w:spacing w:line="240" w:lineRule="auto"/>
      <w:contextual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940B0" w14:textId="77777777" w:rsidR="002C0660" w:rsidRDefault="002C0660" w:rsidP="000F09A3">
      <w:pPr>
        <w:spacing w:after="0" w:line="240" w:lineRule="auto"/>
      </w:pPr>
      <w:r>
        <w:separator/>
      </w:r>
    </w:p>
  </w:footnote>
  <w:footnote w:type="continuationSeparator" w:id="0">
    <w:p w14:paraId="7B9FEBD8" w14:textId="77777777" w:rsidR="002C0660" w:rsidRDefault="002C0660" w:rsidP="000F09A3">
      <w:pPr>
        <w:spacing w:after="0" w:line="240" w:lineRule="auto"/>
      </w:pPr>
      <w:r>
        <w:continuationSeparator/>
      </w:r>
    </w:p>
  </w:footnote>
  <w:footnote w:id="1">
    <w:p w14:paraId="566D30ED" w14:textId="77777777" w:rsidR="00AE44E8" w:rsidRDefault="00AE44E8" w:rsidP="006652C5">
      <w:pPr>
        <w:pStyle w:val="FootnoteText"/>
      </w:pPr>
      <w:r>
        <w:rPr>
          <w:rStyle w:val="FootnoteReference"/>
        </w:rPr>
        <w:footnoteRef/>
      </w:r>
      <w:r>
        <w:t xml:space="preserve"> Holidays: January 1, July 4, Thanksgiving day, December 25</w:t>
      </w:r>
    </w:p>
  </w:footnote>
  <w:footnote w:id="2">
    <w:p w14:paraId="073813C9" w14:textId="77777777" w:rsidR="000147BD" w:rsidRDefault="000147BD" w:rsidP="0028151C">
      <w:pPr>
        <w:pStyle w:val="FootnoteText"/>
      </w:pPr>
      <w:r>
        <w:rPr>
          <w:rStyle w:val="FootnoteReference"/>
        </w:rPr>
        <w:footnoteRef/>
      </w:r>
      <w:r>
        <w:t xml:space="preserve"> Holidays: January 1, July 4, Thanksgiving day, December 25</w:t>
      </w:r>
    </w:p>
  </w:footnote>
  <w:footnote w:id="3">
    <w:p w14:paraId="0AB319C4" w14:textId="77777777" w:rsidR="007640B2" w:rsidRDefault="007640B2" w:rsidP="0028151C">
      <w:pPr>
        <w:pStyle w:val="FootnoteText"/>
      </w:pPr>
      <w:r>
        <w:rPr>
          <w:rStyle w:val="FootnoteReference"/>
        </w:rPr>
        <w:footnoteRef/>
      </w:r>
      <w:r>
        <w:t xml:space="preserve"> Holidays: January 1, July 4, Thanksgiving day, December 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1A8F" w14:textId="2BE166EE" w:rsidR="000F09A3" w:rsidRPr="00A33A92" w:rsidRDefault="000F09A3">
    <w:pPr>
      <w:pStyle w:val="Header"/>
      <w:rPr>
        <w:kern w:val="24"/>
      </w:rPr>
    </w:pPr>
    <w:r>
      <w:t xml:space="preserve">PUBLISHED: </w:t>
    </w:r>
    <w:r w:rsidR="00A625D4">
      <w:t xml:space="preserve"> </w:t>
    </w:r>
    <w:r w:rsidR="008B5C7B">
      <w:t>June 2</w:t>
    </w:r>
    <w:r w:rsidR="00841DB2">
      <w:t>8</w:t>
    </w:r>
    <w:r w:rsidR="008B5C7B">
      <w: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A6A22"/>
    <w:multiLevelType w:val="hybridMultilevel"/>
    <w:tmpl w:val="C224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5249CE"/>
    <w:multiLevelType w:val="hybridMultilevel"/>
    <w:tmpl w:val="63869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02F"/>
    <w:rsid w:val="00003BB3"/>
    <w:rsid w:val="000113C7"/>
    <w:rsid w:val="000147BD"/>
    <w:rsid w:val="000414A0"/>
    <w:rsid w:val="00050830"/>
    <w:rsid w:val="000818B7"/>
    <w:rsid w:val="0008285C"/>
    <w:rsid w:val="00084441"/>
    <w:rsid w:val="00084C77"/>
    <w:rsid w:val="0008527A"/>
    <w:rsid w:val="000A185D"/>
    <w:rsid w:val="000B09B5"/>
    <w:rsid w:val="000E508A"/>
    <w:rsid w:val="000F09A3"/>
    <w:rsid w:val="000F499D"/>
    <w:rsid w:val="000F5E26"/>
    <w:rsid w:val="00100C2A"/>
    <w:rsid w:val="001054A7"/>
    <w:rsid w:val="001112A5"/>
    <w:rsid w:val="00132BFD"/>
    <w:rsid w:val="00134442"/>
    <w:rsid w:val="00142589"/>
    <w:rsid w:val="00146B2D"/>
    <w:rsid w:val="00151F88"/>
    <w:rsid w:val="00156CF2"/>
    <w:rsid w:val="001940D5"/>
    <w:rsid w:val="001C4EFB"/>
    <w:rsid w:val="001D5BC5"/>
    <w:rsid w:val="001E702F"/>
    <w:rsid w:val="001F2C63"/>
    <w:rsid w:val="001F54F8"/>
    <w:rsid w:val="001F65F0"/>
    <w:rsid w:val="00230BB5"/>
    <w:rsid w:val="00252A50"/>
    <w:rsid w:val="002549FC"/>
    <w:rsid w:val="00265C18"/>
    <w:rsid w:val="0028151C"/>
    <w:rsid w:val="00281D84"/>
    <w:rsid w:val="002824B7"/>
    <w:rsid w:val="0029240D"/>
    <w:rsid w:val="002A644A"/>
    <w:rsid w:val="002B2E2A"/>
    <w:rsid w:val="002B3C39"/>
    <w:rsid w:val="002C0660"/>
    <w:rsid w:val="002C1730"/>
    <w:rsid w:val="002D7586"/>
    <w:rsid w:val="002F7A7F"/>
    <w:rsid w:val="00311843"/>
    <w:rsid w:val="0031364F"/>
    <w:rsid w:val="003371A6"/>
    <w:rsid w:val="0034747F"/>
    <w:rsid w:val="00350363"/>
    <w:rsid w:val="00356358"/>
    <w:rsid w:val="00363521"/>
    <w:rsid w:val="00372029"/>
    <w:rsid w:val="00384875"/>
    <w:rsid w:val="00390314"/>
    <w:rsid w:val="00391CB4"/>
    <w:rsid w:val="0039709A"/>
    <w:rsid w:val="003C425B"/>
    <w:rsid w:val="003C4F75"/>
    <w:rsid w:val="003D4B4E"/>
    <w:rsid w:val="003E49FE"/>
    <w:rsid w:val="003E6763"/>
    <w:rsid w:val="00407C20"/>
    <w:rsid w:val="004122B2"/>
    <w:rsid w:val="004178B5"/>
    <w:rsid w:val="00417DED"/>
    <w:rsid w:val="0042181C"/>
    <w:rsid w:val="004933C6"/>
    <w:rsid w:val="004961BB"/>
    <w:rsid w:val="004969D7"/>
    <w:rsid w:val="004A1171"/>
    <w:rsid w:val="004B646B"/>
    <w:rsid w:val="004C2113"/>
    <w:rsid w:val="004C3A90"/>
    <w:rsid w:val="004C4DFC"/>
    <w:rsid w:val="004D28F6"/>
    <w:rsid w:val="004D6AE9"/>
    <w:rsid w:val="004E1DFC"/>
    <w:rsid w:val="004E7017"/>
    <w:rsid w:val="004F220D"/>
    <w:rsid w:val="004F38D9"/>
    <w:rsid w:val="0050607B"/>
    <w:rsid w:val="00510657"/>
    <w:rsid w:val="00516A1D"/>
    <w:rsid w:val="00543187"/>
    <w:rsid w:val="005543E6"/>
    <w:rsid w:val="0056673A"/>
    <w:rsid w:val="00574D86"/>
    <w:rsid w:val="00580C0E"/>
    <w:rsid w:val="005A0CB5"/>
    <w:rsid w:val="005A0DB2"/>
    <w:rsid w:val="005B0D32"/>
    <w:rsid w:val="005C28DD"/>
    <w:rsid w:val="005D2180"/>
    <w:rsid w:val="005D753F"/>
    <w:rsid w:val="005E3936"/>
    <w:rsid w:val="00601394"/>
    <w:rsid w:val="00641525"/>
    <w:rsid w:val="00662CCB"/>
    <w:rsid w:val="006652C5"/>
    <w:rsid w:val="00670E35"/>
    <w:rsid w:val="00670FC9"/>
    <w:rsid w:val="00672A0D"/>
    <w:rsid w:val="006B1894"/>
    <w:rsid w:val="006C4C49"/>
    <w:rsid w:val="006D1477"/>
    <w:rsid w:val="006D5F19"/>
    <w:rsid w:val="006D6915"/>
    <w:rsid w:val="006E3393"/>
    <w:rsid w:val="006F3D97"/>
    <w:rsid w:val="006F4B42"/>
    <w:rsid w:val="00701A03"/>
    <w:rsid w:val="00707840"/>
    <w:rsid w:val="00725B00"/>
    <w:rsid w:val="00731F41"/>
    <w:rsid w:val="00763C20"/>
    <w:rsid w:val="007640B2"/>
    <w:rsid w:val="00767F48"/>
    <w:rsid w:val="0077369F"/>
    <w:rsid w:val="00781375"/>
    <w:rsid w:val="00783266"/>
    <w:rsid w:val="00785C2F"/>
    <w:rsid w:val="007A258B"/>
    <w:rsid w:val="007C6FD3"/>
    <w:rsid w:val="007D38B4"/>
    <w:rsid w:val="007D7A5A"/>
    <w:rsid w:val="007D7BA2"/>
    <w:rsid w:val="007F4A9F"/>
    <w:rsid w:val="007F6332"/>
    <w:rsid w:val="008037DB"/>
    <w:rsid w:val="00813936"/>
    <w:rsid w:val="00817E43"/>
    <w:rsid w:val="00830D2D"/>
    <w:rsid w:val="00841DB2"/>
    <w:rsid w:val="00861951"/>
    <w:rsid w:val="008A0BF0"/>
    <w:rsid w:val="008A2F2E"/>
    <w:rsid w:val="008B5C7B"/>
    <w:rsid w:val="008B7E66"/>
    <w:rsid w:val="008C1EE6"/>
    <w:rsid w:val="008C55D2"/>
    <w:rsid w:val="008F1FFA"/>
    <w:rsid w:val="008F577B"/>
    <w:rsid w:val="00901200"/>
    <w:rsid w:val="00904FDE"/>
    <w:rsid w:val="009061EC"/>
    <w:rsid w:val="00925BB4"/>
    <w:rsid w:val="00963CB7"/>
    <w:rsid w:val="009670F0"/>
    <w:rsid w:val="00984018"/>
    <w:rsid w:val="009876EA"/>
    <w:rsid w:val="009B2B91"/>
    <w:rsid w:val="009B72EB"/>
    <w:rsid w:val="009C19C1"/>
    <w:rsid w:val="009E3CC7"/>
    <w:rsid w:val="009F3342"/>
    <w:rsid w:val="00A0792F"/>
    <w:rsid w:val="00A21FDE"/>
    <w:rsid w:val="00A3386A"/>
    <w:rsid w:val="00A33A92"/>
    <w:rsid w:val="00A55E88"/>
    <w:rsid w:val="00A625D4"/>
    <w:rsid w:val="00A6429C"/>
    <w:rsid w:val="00A66B80"/>
    <w:rsid w:val="00A96AE4"/>
    <w:rsid w:val="00AB3538"/>
    <w:rsid w:val="00AD00BD"/>
    <w:rsid w:val="00AD78D3"/>
    <w:rsid w:val="00AE44E8"/>
    <w:rsid w:val="00AE6328"/>
    <w:rsid w:val="00B02DA4"/>
    <w:rsid w:val="00B065C5"/>
    <w:rsid w:val="00B073A8"/>
    <w:rsid w:val="00B1516C"/>
    <w:rsid w:val="00B21EC5"/>
    <w:rsid w:val="00B25847"/>
    <w:rsid w:val="00B260F5"/>
    <w:rsid w:val="00B40E09"/>
    <w:rsid w:val="00B51CFB"/>
    <w:rsid w:val="00B559FF"/>
    <w:rsid w:val="00B569FA"/>
    <w:rsid w:val="00B57271"/>
    <w:rsid w:val="00B62E6A"/>
    <w:rsid w:val="00B64602"/>
    <w:rsid w:val="00B860DF"/>
    <w:rsid w:val="00BB0D45"/>
    <w:rsid w:val="00BD4285"/>
    <w:rsid w:val="00BE64A3"/>
    <w:rsid w:val="00C00B40"/>
    <w:rsid w:val="00C31E97"/>
    <w:rsid w:val="00C346F2"/>
    <w:rsid w:val="00C35C80"/>
    <w:rsid w:val="00C4561D"/>
    <w:rsid w:val="00C52B95"/>
    <w:rsid w:val="00C663A5"/>
    <w:rsid w:val="00C703CE"/>
    <w:rsid w:val="00C75554"/>
    <w:rsid w:val="00CA6B89"/>
    <w:rsid w:val="00CB393D"/>
    <w:rsid w:val="00CC2288"/>
    <w:rsid w:val="00CC2FE8"/>
    <w:rsid w:val="00CE2E51"/>
    <w:rsid w:val="00D0090B"/>
    <w:rsid w:val="00D15D2E"/>
    <w:rsid w:val="00D23FA3"/>
    <w:rsid w:val="00D6225B"/>
    <w:rsid w:val="00D7246D"/>
    <w:rsid w:val="00D74182"/>
    <w:rsid w:val="00D76ED2"/>
    <w:rsid w:val="00D843A2"/>
    <w:rsid w:val="00D909D4"/>
    <w:rsid w:val="00DA3F41"/>
    <w:rsid w:val="00DC39BF"/>
    <w:rsid w:val="00DD4CDA"/>
    <w:rsid w:val="00DE344F"/>
    <w:rsid w:val="00DF090A"/>
    <w:rsid w:val="00DF4FAE"/>
    <w:rsid w:val="00E2217E"/>
    <w:rsid w:val="00E31DDA"/>
    <w:rsid w:val="00E40E5D"/>
    <w:rsid w:val="00E53E06"/>
    <w:rsid w:val="00E60646"/>
    <w:rsid w:val="00E62894"/>
    <w:rsid w:val="00E66D06"/>
    <w:rsid w:val="00E7464D"/>
    <w:rsid w:val="00E77F54"/>
    <w:rsid w:val="00E931B5"/>
    <w:rsid w:val="00EB360D"/>
    <w:rsid w:val="00EB430B"/>
    <w:rsid w:val="00EC6028"/>
    <w:rsid w:val="00EC7073"/>
    <w:rsid w:val="00ED3F10"/>
    <w:rsid w:val="00ED4683"/>
    <w:rsid w:val="00ED692A"/>
    <w:rsid w:val="00ED7D32"/>
    <w:rsid w:val="00EE1F8E"/>
    <w:rsid w:val="00EE7691"/>
    <w:rsid w:val="00EF4736"/>
    <w:rsid w:val="00EF508F"/>
    <w:rsid w:val="00F10E5C"/>
    <w:rsid w:val="00F359D2"/>
    <w:rsid w:val="00F43C03"/>
    <w:rsid w:val="00F61E62"/>
    <w:rsid w:val="00F6736F"/>
    <w:rsid w:val="00F902BF"/>
    <w:rsid w:val="00F97B35"/>
    <w:rsid w:val="00FB03CB"/>
    <w:rsid w:val="00FB7543"/>
    <w:rsid w:val="00FC05CC"/>
    <w:rsid w:val="00FD3090"/>
    <w:rsid w:val="00FE3ED6"/>
    <w:rsid w:val="00FE6862"/>
    <w:rsid w:val="00FF4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7C1F340A"/>
  <w15:docId w15:val="{079BAD7E-7A59-4740-835C-5FE16915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200" w:line="276" w:lineRule="auto"/>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rPr>
      <w:rFonts w:ascii="Times New Roman" w:hAnsi="Times New Roman" w:cs="Times New Roman"/>
      <w:sz w:val="2"/>
    </w:rPr>
  </w:style>
  <w:style w:type="character" w:customStyle="1" w:styleId="CommentReference1">
    <w:name w:val="Comment Reference1"/>
    <w:rPr>
      <w:rFonts w:cs="Times New Roman"/>
      <w:sz w:val="16"/>
      <w:szCs w:val="16"/>
    </w:rPr>
  </w:style>
  <w:style w:type="character" w:customStyle="1" w:styleId="CommentTextChar">
    <w:name w:val="Comment Text Char"/>
    <w:rPr>
      <w:rFonts w:cs="Times New Roman"/>
      <w:sz w:val="20"/>
      <w:szCs w:val="20"/>
    </w:rPr>
  </w:style>
  <w:style w:type="character" w:customStyle="1" w:styleId="CommentSubjectChar">
    <w:name w:val="Comment Subject Char"/>
    <w:rPr>
      <w:rFonts w:cs="Times New Roman"/>
      <w:b/>
      <w:bCs/>
      <w:sz w:val="20"/>
      <w:szCs w:val="20"/>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BalloonText">
    <w:name w:val="Balloon Text"/>
    <w:basedOn w:val="Normal"/>
    <w:pPr>
      <w:spacing w:after="0" w:line="100" w:lineRule="atLeast"/>
    </w:pPr>
    <w:rPr>
      <w:rFonts w:ascii="Tahoma" w:eastAsia="MS Mincho" w:hAnsi="Tahoma" w:cs="Tahoma"/>
      <w:sz w:val="16"/>
      <w:szCs w:val="16"/>
    </w:rPr>
  </w:style>
  <w:style w:type="paragraph" w:customStyle="1" w:styleId="CommentText1">
    <w:name w:val="Comment Text1"/>
    <w:basedOn w:val="Normal"/>
    <w:rPr>
      <w:sz w:val="20"/>
      <w:szCs w:val="20"/>
    </w:rPr>
  </w:style>
  <w:style w:type="paragraph" w:customStyle="1" w:styleId="CommentSubject1">
    <w:name w:val="Comment Subject1"/>
    <w:basedOn w:val="CommentText1"/>
    <w:rPr>
      <w:b/>
      <w:bCs/>
    </w:rPr>
  </w:style>
  <w:style w:type="character" w:styleId="CommentReference">
    <w:name w:val="annotation reference"/>
    <w:rsid w:val="001D5BC5"/>
    <w:rPr>
      <w:sz w:val="16"/>
      <w:szCs w:val="16"/>
    </w:rPr>
  </w:style>
  <w:style w:type="paragraph" w:styleId="CommentText">
    <w:name w:val="annotation text"/>
    <w:basedOn w:val="Normal"/>
    <w:link w:val="CommentTextChar1"/>
    <w:rsid w:val="001D5BC5"/>
    <w:rPr>
      <w:sz w:val="20"/>
      <w:szCs w:val="18"/>
    </w:rPr>
  </w:style>
  <w:style w:type="character" w:customStyle="1" w:styleId="CommentTextChar1">
    <w:name w:val="Comment Text Char1"/>
    <w:link w:val="CommentText"/>
    <w:rsid w:val="001D5BC5"/>
    <w:rPr>
      <w:rFonts w:eastAsia="SimSun" w:cs="Mangal"/>
      <w:kern w:val="1"/>
      <w:szCs w:val="18"/>
      <w:lang w:eastAsia="hi-IN" w:bidi="hi-IN"/>
    </w:rPr>
  </w:style>
  <w:style w:type="paragraph" w:styleId="CommentSubject">
    <w:name w:val="annotation subject"/>
    <w:basedOn w:val="CommentText"/>
    <w:next w:val="CommentText"/>
    <w:link w:val="CommentSubjectChar1"/>
    <w:rsid w:val="001D5BC5"/>
    <w:rPr>
      <w:b/>
      <w:bCs/>
    </w:rPr>
  </w:style>
  <w:style w:type="character" w:customStyle="1" w:styleId="CommentSubjectChar1">
    <w:name w:val="Comment Subject Char1"/>
    <w:link w:val="CommentSubject"/>
    <w:rsid w:val="001D5BC5"/>
    <w:rPr>
      <w:rFonts w:eastAsia="SimSun" w:cs="Mangal"/>
      <w:b/>
      <w:bCs/>
      <w:kern w:val="1"/>
      <w:szCs w:val="18"/>
      <w:lang w:eastAsia="hi-IN" w:bidi="hi-IN"/>
    </w:rPr>
  </w:style>
  <w:style w:type="paragraph" w:styleId="PlainText">
    <w:name w:val="Plain Text"/>
    <w:basedOn w:val="Normal"/>
    <w:link w:val="PlainTextChar"/>
    <w:rsid w:val="006D1477"/>
    <w:pPr>
      <w:suppressAutoHyphens w:val="0"/>
      <w:spacing w:after="0" w:line="240" w:lineRule="auto"/>
    </w:pPr>
    <w:rPr>
      <w:rFonts w:ascii="Arial" w:eastAsia="Times New Roman" w:hAnsi="Arial" w:cs="Arial"/>
      <w:kern w:val="0"/>
      <w:sz w:val="20"/>
      <w:szCs w:val="20"/>
      <w:lang w:eastAsia="en-US" w:bidi="ar-SA"/>
    </w:rPr>
  </w:style>
  <w:style w:type="character" w:customStyle="1" w:styleId="PlainTextChar">
    <w:name w:val="Plain Text Char"/>
    <w:link w:val="PlainText"/>
    <w:rsid w:val="006D1477"/>
    <w:rPr>
      <w:rFonts w:ascii="Arial" w:hAnsi="Arial" w:cs="Arial"/>
    </w:rPr>
  </w:style>
  <w:style w:type="character" w:styleId="Hyperlink">
    <w:name w:val="Hyperlink"/>
    <w:rsid w:val="006C4C49"/>
    <w:rPr>
      <w:color w:val="0000FF"/>
      <w:u w:val="single"/>
    </w:rPr>
  </w:style>
  <w:style w:type="paragraph" w:styleId="Header">
    <w:name w:val="header"/>
    <w:basedOn w:val="Normal"/>
    <w:link w:val="HeaderChar"/>
    <w:rsid w:val="000F09A3"/>
    <w:pPr>
      <w:tabs>
        <w:tab w:val="center" w:pos="4680"/>
        <w:tab w:val="right" w:pos="9360"/>
      </w:tabs>
    </w:pPr>
    <w:rPr>
      <w:szCs w:val="21"/>
    </w:rPr>
  </w:style>
  <w:style w:type="character" w:customStyle="1" w:styleId="HeaderChar">
    <w:name w:val="Header Char"/>
    <w:link w:val="Header"/>
    <w:rsid w:val="000F09A3"/>
    <w:rPr>
      <w:rFonts w:eastAsia="SimSun" w:cs="Mangal"/>
      <w:kern w:val="1"/>
      <w:sz w:val="24"/>
      <w:szCs w:val="21"/>
      <w:lang w:eastAsia="hi-IN" w:bidi="hi-IN"/>
    </w:rPr>
  </w:style>
  <w:style w:type="paragraph" w:styleId="Footer">
    <w:name w:val="footer"/>
    <w:basedOn w:val="Normal"/>
    <w:link w:val="FooterChar"/>
    <w:uiPriority w:val="99"/>
    <w:rsid w:val="000F09A3"/>
    <w:pPr>
      <w:tabs>
        <w:tab w:val="center" w:pos="4680"/>
        <w:tab w:val="right" w:pos="9360"/>
      </w:tabs>
    </w:pPr>
    <w:rPr>
      <w:szCs w:val="21"/>
    </w:rPr>
  </w:style>
  <w:style w:type="character" w:customStyle="1" w:styleId="FooterChar">
    <w:name w:val="Footer Char"/>
    <w:link w:val="Footer"/>
    <w:uiPriority w:val="99"/>
    <w:rsid w:val="000F09A3"/>
    <w:rPr>
      <w:rFonts w:eastAsia="SimSun" w:cs="Mangal"/>
      <w:kern w:val="1"/>
      <w:sz w:val="24"/>
      <w:szCs w:val="21"/>
      <w:lang w:eastAsia="hi-IN" w:bidi="hi-IN"/>
    </w:rPr>
  </w:style>
  <w:style w:type="paragraph" w:styleId="Revision">
    <w:name w:val="Revision"/>
    <w:hidden/>
    <w:uiPriority w:val="99"/>
    <w:semiHidden/>
    <w:rsid w:val="00A625D4"/>
    <w:rPr>
      <w:rFonts w:eastAsia="SimSun" w:cs="Mangal"/>
      <w:kern w:val="1"/>
      <w:sz w:val="24"/>
      <w:szCs w:val="21"/>
      <w:lang w:eastAsia="hi-IN" w:bidi="hi-IN"/>
    </w:rPr>
  </w:style>
  <w:style w:type="character" w:styleId="FollowedHyperlink">
    <w:name w:val="FollowedHyperlink"/>
    <w:rsid w:val="00670FC9"/>
    <w:rPr>
      <w:color w:val="800080"/>
      <w:u w:val="single"/>
    </w:rPr>
  </w:style>
  <w:style w:type="table" w:styleId="TableGrid">
    <w:name w:val="Table Grid"/>
    <w:basedOn w:val="TableNormal"/>
    <w:rsid w:val="004A1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B7543"/>
    <w:rPr>
      <w:sz w:val="20"/>
      <w:szCs w:val="18"/>
    </w:rPr>
  </w:style>
  <w:style w:type="character" w:customStyle="1" w:styleId="FootnoteTextChar">
    <w:name w:val="Footnote Text Char"/>
    <w:link w:val="FootnoteText"/>
    <w:rsid w:val="00FB7543"/>
    <w:rPr>
      <w:rFonts w:eastAsia="SimSun" w:cs="Mangal"/>
      <w:kern w:val="1"/>
      <w:szCs w:val="18"/>
      <w:lang w:eastAsia="hi-IN" w:bidi="hi-IN"/>
    </w:rPr>
  </w:style>
  <w:style w:type="character" w:styleId="FootnoteReference">
    <w:name w:val="footnote reference"/>
    <w:rsid w:val="00FB7543"/>
    <w:rPr>
      <w:vertAlign w:val="superscript"/>
    </w:rPr>
  </w:style>
  <w:style w:type="character" w:styleId="UnresolvedMention">
    <w:name w:val="Unresolved Mention"/>
    <w:basedOn w:val="DefaultParagraphFont"/>
    <w:uiPriority w:val="99"/>
    <w:semiHidden/>
    <w:unhideWhenUsed/>
    <w:rsid w:val="006F3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338161">
      <w:bodyDiv w:val="1"/>
      <w:marLeft w:val="0"/>
      <w:marRight w:val="0"/>
      <w:marTop w:val="0"/>
      <w:marBottom w:val="0"/>
      <w:divBdr>
        <w:top w:val="none" w:sz="0" w:space="0" w:color="auto"/>
        <w:left w:val="none" w:sz="0" w:space="0" w:color="auto"/>
        <w:bottom w:val="none" w:sz="0" w:space="0" w:color="auto"/>
        <w:right w:val="none" w:sz="0" w:space="0" w:color="auto"/>
      </w:divBdr>
    </w:div>
    <w:div w:id="994258510">
      <w:bodyDiv w:val="1"/>
      <w:marLeft w:val="0"/>
      <w:marRight w:val="0"/>
      <w:marTop w:val="0"/>
      <w:marBottom w:val="0"/>
      <w:divBdr>
        <w:top w:val="none" w:sz="0" w:space="0" w:color="auto"/>
        <w:left w:val="none" w:sz="0" w:space="0" w:color="auto"/>
        <w:bottom w:val="none" w:sz="0" w:space="0" w:color="auto"/>
        <w:right w:val="none" w:sz="0" w:space="0" w:color="auto"/>
      </w:divBdr>
    </w:div>
    <w:div w:id="177675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JeEisan\AppData\Local\Microsoft\Windows\INetCache\Content.Outlook\74CPZRRZ\ehs-regulations@mas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CB594E3E3D01545A7EF3B50A486EBF4" ma:contentTypeVersion="7" ma:contentTypeDescription="Create a new document." ma:contentTypeScope="" ma:versionID="6e8073b1f1087b1fac9cd41778974483">
  <xsd:schema xmlns:xsd="http://www.w3.org/2001/XMLSchema" xmlns:xs="http://www.w3.org/2001/XMLSchema" xmlns:p="http://schemas.microsoft.com/office/2006/metadata/properties" xmlns:ns3="eb5c9be7-8dcb-4f8a-897e-9429dca2f1a5" targetNamespace="http://schemas.microsoft.com/office/2006/metadata/properties" ma:root="true" ma:fieldsID="9853f40247732fa010fb66142022ec13" ns3:_="">
    <xsd:import namespace="eb5c9be7-8dcb-4f8a-897e-9429dca2f1a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c9be7-8dcb-4f8a-897e-9429dca2f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8F9E1F-702E-4FB8-B02C-6E258270B647}">
  <ds:schemaRefs>
    <ds:schemaRef ds:uri="http://schemas.microsoft.com/sharepoint/v3/contenttype/forms"/>
  </ds:schemaRefs>
</ds:datastoreItem>
</file>

<file path=customXml/itemProps2.xml><?xml version="1.0" encoding="utf-8"?>
<ds:datastoreItem xmlns:ds="http://schemas.openxmlformats.org/officeDocument/2006/customXml" ds:itemID="{ED8AF961-8FCD-4254-B3D4-64E1FBF8F3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8B138D-4E60-4636-B228-B2FEBDDAEA13}">
  <ds:schemaRefs>
    <ds:schemaRef ds:uri="http://schemas.openxmlformats.org/officeDocument/2006/bibliography"/>
  </ds:schemaRefs>
</ds:datastoreItem>
</file>

<file path=customXml/itemProps4.xml><?xml version="1.0" encoding="utf-8"?>
<ds:datastoreItem xmlns:ds="http://schemas.openxmlformats.org/officeDocument/2006/customXml" ds:itemID="{35FA571C-C23F-404B-B7DE-1C1E24C28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c9be7-8dcb-4f8a-897e-9429dca2f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NOTICE OF FINAL AGENCY ACTION</vt:lpstr>
    </vt:vector>
  </TitlesOfParts>
  <Company>EHS</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FINAL AGENCY ACTION</dc:title>
  <dc:creator>Mancusi, Charlene (EHS)</dc:creator>
  <cp:lastModifiedBy>Johnson, Sharon (EHS)</cp:lastModifiedBy>
  <cp:revision>5</cp:revision>
  <cp:lastPrinted>2022-06-21T12:29:00Z</cp:lastPrinted>
  <dcterms:created xsi:type="dcterms:W3CDTF">2022-06-24T23:09:00Z</dcterms:created>
  <dcterms:modified xsi:type="dcterms:W3CDTF">2022-06-28T12:29:00Z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0x0101001CB594E3E3D01545A7EF3B50A486EBF4</vt:lpwstr>
  </property>
</Properties>
</file>