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FD62F9" w:rsidRDefault="001B7FE3" w:rsidP="00FD62F9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053E8DA2" w:rsidR="001B7FE3" w:rsidRPr="001B7FE3" w:rsidRDefault="00AD59DA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 w:rsidR="0018349C"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</w:t>
      </w:r>
      <w:r w:rsidR="001B7FE3" w:rsidRPr="008061C4">
        <w:rPr>
          <w:rFonts w:ascii="Arial" w:eastAsia="Times New Roman" w:hAnsi="Arial" w:cs="Arial"/>
          <w:sz w:val="24"/>
          <w:szCs w:val="20"/>
        </w:rPr>
        <w:t xml:space="preserve">on </w:t>
      </w:r>
      <w:r w:rsidR="008061C4" w:rsidRPr="008061C4">
        <w:rPr>
          <w:rFonts w:ascii="Arial" w:eastAsia="Times New Roman" w:hAnsi="Arial" w:cs="Arial"/>
          <w:sz w:val="24"/>
          <w:szCs w:val="20"/>
        </w:rPr>
        <w:t>Friday, March 7, 2025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, at </w:t>
      </w:r>
      <w:r w:rsidR="008370D7" w:rsidRPr="00512D02">
        <w:rPr>
          <w:rFonts w:ascii="Arial" w:eastAsia="Times New Roman" w:hAnsi="Arial" w:cs="Arial"/>
          <w:sz w:val="24"/>
          <w:szCs w:val="20"/>
        </w:rPr>
        <w:t>1 p.m.</w:t>
      </w:r>
      <w:r w:rsidR="001B7FE3" w:rsidRPr="00512D02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relative to the </w:t>
      </w:r>
      <w:r w:rsidR="00521D28">
        <w:rPr>
          <w:rFonts w:ascii="Arial" w:eastAsia="Times New Roman" w:hAnsi="Arial" w:cs="Arial"/>
          <w:sz w:val="24"/>
          <w:szCs w:val="20"/>
        </w:rPr>
        <w:t xml:space="preserve">emergency </w:t>
      </w:r>
      <w:r w:rsidR="001B7FE3" w:rsidRPr="001B7FE3">
        <w:rPr>
          <w:rFonts w:ascii="Arial" w:eastAsia="Times New Roman" w:hAnsi="Arial" w:cs="Arial"/>
          <w:sz w:val="24"/>
          <w:szCs w:val="20"/>
        </w:rPr>
        <w:t>adoption of</w:t>
      </w:r>
      <w:r w:rsidR="0018349C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6B8F48B8" w:rsidR="001B7FE3" w:rsidRPr="00F52014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52014">
        <w:rPr>
          <w:rFonts w:ascii="Arial" w:eastAsia="Times New Roman" w:hAnsi="Arial" w:cs="Arial"/>
          <w:b/>
          <w:sz w:val="24"/>
          <w:szCs w:val="20"/>
        </w:rPr>
        <w:t xml:space="preserve">101 CMR </w:t>
      </w:r>
      <w:r w:rsidR="00F52014" w:rsidRPr="00F52014">
        <w:rPr>
          <w:rFonts w:ascii="Arial" w:eastAsia="Times New Roman" w:hAnsi="Arial" w:cs="Arial"/>
          <w:b/>
          <w:sz w:val="24"/>
          <w:szCs w:val="20"/>
        </w:rPr>
        <w:t>514</w:t>
      </w:r>
      <w:r w:rsidRPr="00F52014">
        <w:rPr>
          <w:rFonts w:ascii="Arial" w:eastAsia="Times New Roman" w:hAnsi="Arial" w:cs="Arial"/>
          <w:b/>
          <w:sz w:val="24"/>
          <w:szCs w:val="20"/>
        </w:rPr>
        <w:t xml:space="preserve">.00: </w:t>
      </w:r>
      <w:r w:rsidR="00F52014" w:rsidRPr="008061C4">
        <w:rPr>
          <w:rFonts w:ascii="Arial" w:eastAsia="Times New Roman" w:hAnsi="Arial" w:cs="Arial"/>
          <w:b/>
          <w:i/>
          <w:iCs/>
          <w:sz w:val="24"/>
          <w:szCs w:val="20"/>
        </w:rPr>
        <w:t>Hospital Assessment</w:t>
      </w:r>
    </w:p>
    <w:p w14:paraId="1FE8118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4F61495" w14:textId="79EC3619" w:rsidR="001B7FE3" w:rsidRDefault="00521D2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A5B9E">
        <w:rPr>
          <w:rFonts w:ascii="Arial" w:eastAsia="Times New Roman" w:hAnsi="Arial" w:cs="Arial"/>
          <w:sz w:val="24"/>
          <w:szCs w:val="20"/>
        </w:rPr>
        <w:t xml:space="preserve">The regulation went into effect as an emergency on </w:t>
      </w:r>
      <w:r w:rsidR="001D10EC">
        <w:rPr>
          <w:rFonts w:ascii="Arial" w:eastAsia="Times New Roman" w:hAnsi="Arial" w:cs="Arial"/>
          <w:sz w:val="24"/>
          <w:szCs w:val="20"/>
        </w:rPr>
        <w:t>February 7, 2025</w:t>
      </w:r>
      <w:r w:rsidRPr="008A5B9E">
        <w:rPr>
          <w:rFonts w:ascii="Arial" w:eastAsia="Times New Roman" w:hAnsi="Arial" w:cs="Arial"/>
          <w:sz w:val="24"/>
          <w:szCs w:val="20"/>
        </w:rPr>
        <w:t xml:space="preserve">.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There is no fiscal impact on cities and towns.  </w:t>
      </w:r>
    </w:p>
    <w:p w14:paraId="2D86F2C5" w14:textId="77777777" w:rsidR="0018349C" w:rsidRPr="001B7FE3" w:rsidRDefault="0018349C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C60A04D" w14:textId="2B6E4756" w:rsidR="00F52014" w:rsidRPr="00F52014" w:rsidRDefault="00F52014" w:rsidP="00F52014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52014">
        <w:rPr>
          <w:rFonts w:ascii="Arial" w:eastAsia="Times New Roman" w:hAnsi="Arial" w:cs="Arial"/>
          <w:sz w:val="24"/>
          <w:szCs w:val="20"/>
        </w:rPr>
        <w:t>The amendments to 101 CMR 514.00: Hospital Assessment are proposed to implement the changes to the hospital assessment enacted through the FY25 budget (Chapter 140 of the Acts of 2024). These changes:</w:t>
      </w:r>
    </w:p>
    <w:p w14:paraId="61F2780C" w14:textId="069426AD" w:rsidR="00F52014" w:rsidRPr="00F52014" w:rsidRDefault="00F52014" w:rsidP="00F52014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52014">
        <w:rPr>
          <w:rFonts w:ascii="Arial" w:eastAsia="Times New Roman" w:hAnsi="Arial" w:cs="Arial"/>
          <w:sz w:val="24"/>
          <w:szCs w:val="20"/>
        </w:rPr>
        <w:t>increase the total assessment amount</w:t>
      </w:r>
      <w:r w:rsidR="001D10EC">
        <w:rPr>
          <w:rFonts w:ascii="Arial" w:eastAsia="Times New Roman" w:hAnsi="Arial" w:cs="Arial"/>
          <w:sz w:val="24"/>
          <w:szCs w:val="20"/>
        </w:rPr>
        <w:t xml:space="preserve"> by $604,050,000</w:t>
      </w:r>
      <w:r w:rsidRPr="00F52014">
        <w:rPr>
          <w:rFonts w:ascii="Arial" w:eastAsia="Times New Roman" w:hAnsi="Arial" w:cs="Arial"/>
          <w:sz w:val="24"/>
          <w:szCs w:val="20"/>
        </w:rPr>
        <w:t>;</w:t>
      </w:r>
    </w:p>
    <w:p w14:paraId="2DF4488A" w14:textId="77777777" w:rsidR="00F52014" w:rsidRPr="00F52014" w:rsidRDefault="00F52014" w:rsidP="00F52014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52014">
        <w:rPr>
          <w:rFonts w:ascii="Arial" w:eastAsia="Times New Roman" w:hAnsi="Arial" w:cs="Arial"/>
          <w:sz w:val="24"/>
          <w:szCs w:val="20"/>
        </w:rPr>
        <w:t>amend the hospital assessment group structure, adding 4 new hospital assessment groups with associated new rates for each group;</w:t>
      </w:r>
    </w:p>
    <w:p w14:paraId="0F8FAA5B" w14:textId="77777777" w:rsidR="00F52014" w:rsidRPr="00F52014" w:rsidRDefault="00F52014" w:rsidP="00F52014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52014">
        <w:rPr>
          <w:rFonts w:ascii="Arial" w:eastAsia="Times New Roman" w:hAnsi="Arial" w:cs="Arial"/>
          <w:sz w:val="24"/>
          <w:szCs w:val="20"/>
        </w:rPr>
        <w:t>update rates for existing hospital assessment groups;</w:t>
      </w:r>
    </w:p>
    <w:p w14:paraId="15871ED5" w14:textId="72D3DE5E" w:rsidR="00F52014" w:rsidRPr="00F52014" w:rsidRDefault="00F52014" w:rsidP="00F52014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52014">
        <w:rPr>
          <w:rFonts w:ascii="Arial" w:eastAsia="Times New Roman" w:hAnsi="Arial" w:cs="Arial"/>
          <w:sz w:val="24"/>
          <w:szCs w:val="20"/>
        </w:rPr>
        <w:t>set parameters for application of the assessment in situations of partial hospital mergers or acquisitions;</w:t>
      </w:r>
      <w:r w:rsidR="008061C4">
        <w:rPr>
          <w:rFonts w:ascii="Arial" w:eastAsia="Times New Roman" w:hAnsi="Arial" w:cs="Arial"/>
          <w:sz w:val="24"/>
          <w:szCs w:val="20"/>
        </w:rPr>
        <w:t xml:space="preserve"> and</w:t>
      </w:r>
    </w:p>
    <w:p w14:paraId="2455B442" w14:textId="30BD1E93" w:rsidR="00F52014" w:rsidRPr="008061C4" w:rsidRDefault="00F52014" w:rsidP="008061C4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F52014">
        <w:rPr>
          <w:rFonts w:ascii="Arial" w:eastAsia="Times New Roman" w:hAnsi="Arial" w:cs="Arial"/>
          <w:sz w:val="24"/>
          <w:szCs w:val="20"/>
        </w:rPr>
        <w:t>establish clear enforcement mechanisms for hospitals delinquent on paying their assessment.</w:t>
      </w:r>
    </w:p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23F6DB1" w14:textId="3259386B" w:rsidR="002E6A46" w:rsidRDefault="00C133DC" w:rsidP="002E6A46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133DC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7" w:history="1">
        <w:r w:rsidR="00BB408A" w:rsidRPr="00CA7CE1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www.mass.gov/info-details/executive-office-of-health-and-human-services-public-hearings</w:t>
        </w:r>
      </w:hyperlink>
      <w:r w:rsidRPr="00C133DC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2E6A46" w:rsidRPr="00ED5DCC">
        <w:rPr>
          <w:rFonts w:ascii="Arial" w:hAnsi="Arial"/>
          <w:color w:val="000000"/>
          <w:sz w:val="24"/>
        </w:rPr>
        <w:t xml:space="preserve"> the hearing by phone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FD62F9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261C860F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8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</w:t>
      </w:r>
      <w:r w:rsidR="001B7FE3" w:rsidRPr="008061C4" w:rsidDel="004F78F1">
        <w:rPr>
          <w:rFonts w:ascii="Arial" w:eastAsia="Times New Roman" w:hAnsi="Arial" w:cs="Arial"/>
          <w:sz w:val="24"/>
          <w:szCs w:val="24"/>
        </w:rPr>
        <w:t xml:space="preserve">on </w:t>
      </w:r>
      <w:r w:rsidR="008061C4" w:rsidRPr="008061C4">
        <w:rPr>
          <w:rFonts w:ascii="Arial" w:eastAsia="Times New Roman" w:hAnsi="Arial" w:cs="Arial"/>
          <w:sz w:val="24"/>
          <w:szCs w:val="24"/>
        </w:rPr>
        <w:t>March 7, 2025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E7575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</w:t>
      </w:r>
      <w:r w:rsidR="00AD59DA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3DAEC130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>
        <w:rPr>
          <w:rFonts w:ascii="Arial" w:eastAsia="Times New Roman" w:hAnsi="Arial" w:cs="Arial"/>
          <w:bCs/>
          <w:sz w:val="24"/>
          <w:szCs w:val="24"/>
        </w:rPr>
        <w:t>emergency 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</w:t>
        </w:r>
        <w:r w:rsidR="00BB408A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info</w:t>
        </w:r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0" w:history="1">
        <w:r w:rsidR="00481EC8" w:rsidRPr="00481EC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5B98AB23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28BD662F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1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</w:t>
        </w:r>
        <w:r w:rsidR="00BB408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</w:t>
        </w:r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759746D6" w:rsidR="00FE710C" w:rsidRPr="008061C4" w:rsidRDefault="008061C4" w:rsidP="00FD62F9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8061C4">
        <w:rPr>
          <w:rFonts w:ascii="Arial" w:eastAsia="Times New Roman" w:hAnsi="Arial" w:cs="Arial"/>
          <w:sz w:val="24"/>
          <w:szCs w:val="20"/>
        </w:rPr>
        <w:t>February 14, 2025</w:t>
      </w:r>
    </w:p>
    <w:sectPr w:rsidR="00FE710C" w:rsidRPr="008061C4" w:rsidSect="00521D28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8C49" w14:textId="77777777" w:rsidR="00445B50" w:rsidRDefault="00445B50" w:rsidP="00521D28">
      <w:pPr>
        <w:spacing w:line="240" w:lineRule="auto"/>
      </w:pPr>
      <w:r>
        <w:separator/>
      </w:r>
    </w:p>
  </w:endnote>
  <w:endnote w:type="continuationSeparator" w:id="0">
    <w:p w14:paraId="76B44F93" w14:textId="77777777" w:rsidR="00445B50" w:rsidRDefault="00445B50" w:rsidP="00521D28">
      <w:pPr>
        <w:spacing w:line="240" w:lineRule="auto"/>
      </w:pPr>
      <w:r>
        <w:continuationSeparator/>
      </w:r>
    </w:p>
  </w:endnote>
  <w:endnote w:type="continuationNotice" w:id="1">
    <w:p w14:paraId="6D901542" w14:textId="77777777" w:rsidR="00445B50" w:rsidRDefault="00445B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F088" w14:textId="77777777" w:rsidR="00521D28" w:rsidRDefault="00521D28" w:rsidP="00FD6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D16B" w14:textId="77777777" w:rsidR="00521D28" w:rsidRDefault="00521D28" w:rsidP="00FD6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0380" w14:textId="4EC81317" w:rsidR="00521D28" w:rsidRDefault="0052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87D8" w14:textId="77777777" w:rsidR="00445B50" w:rsidRDefault="00445B50" w:rsidP="00521D28">
      <w:pPr>
        <w:spacing w:line="240" w:lineRule="auto"/>
      </w:pPr>
      <w:r>
        <w:separator/>
      </w:r>
    </w:p>
  </w:footnote>
  <w:footnote w:type="continuationSeparator" w:id="0">
    <w:p w14:paraId="53FDEA9F" w14:textId="77777777" w:rsidR="00445B50" w:rsidRDefault="00445B50" w:rsidP="00521D28">
      <w:pPr>
        <w:spacing w:line="240" w:lineRule="auto"/>
      </w:pPr>
      <w:r>
        <w:continuationSeparator/>
      </w:r>
    </w:p>
  </w:footnote>
  <w:footnote w:type="continuationNotice" w:id="1">
    <w:p w14:paraId="692F0280" w14:textId="77777777" w:rsidR="00445B50" w:rsidRDefault="00445B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D4E4" w14:textId="77777777" w:rsidR="00521D28" w:rsidRDefault="00521D28" w:rsidP="00FD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F1CE3"/>
    <w:multiLevelType w:val="hybridMultilevel"/>
    <w:tmpl w:val="BA0E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34C23"/>
    <w:multiLevelType w:val="hybridMultilevel"/>
    <w:tmpl w:val="62302A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625894012">
    <w:abstractNumId w:val="1"/>
  </w:num>
  <w:num w:numId="2" w16cid:durableId="180160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B2BCA"/>
    <w:rsid w:val="000F2753"/>
    <w:rsid w:val="0018349C"/>
    <w:rsid w:val="001B521B"/>
    <w:rsid w:val="001B7FE3"/>
    <w:rsid w:val="001D10EC"/>
    <w:rsid w:val="002575B6"/>
    <w:rsid w:val="00281D85"/>
    <w:rsid w:val="002A2967"/>
    <w:rsid w:val="002E6A46"/>
    <w:rsid w:val="002E7575"/>
    <w:rsid w:val="0030383F"/>
    <w:rsid w:val="00323644"/>
    <w:rsid w:val="003645D4"/>
    <w:rsid w:val="003D036A"/>
    <w:rsid w:val="003D48D7"/>
    <w:rsid w:val="003D59EA"/>
    <w:rsid w:val="00413702"/>
    <w:rsid w:val="00427F07"/>
    <w:rsid w:val="00445B50"/>
    <w:rsid w:val="00481EC8"/>
    <w:rsid w:val="004E3A7B"/>
    <w:rsid w:val="004F1866"/>
    <w:rsid w:val="004F78F1"/>
    <w:rsid w:val="00512D02"/>
    <w:rsid w:val="00521D28"/>
    <w:rsid w:val="0054609E"/>
    <w:rsid w:val="00667BCF"/>
    <w:rsid w:val="006838E9"/>
    <w:rsid w:val="00765164"/>
    <w:rsid w:val="00792E65"/>
    <w:rsid w:val="007F0D2D"/>
    <w:rsid w:val="007F4487"/>
    <w:rsid w:val="008061C4"/>
    <w:rsid w:val="008370D7"/>
    <w:rsid w:val="008A5B9E"/>
    <w:rsid w:val="008B1F3C"/>
    <w:rsid w:val="008B1FFA"/>
    <w:rsid w:val="008D3459"/>
    <w:rsid w:val="00A60D2E"/>
    <w:rsid w:val="00AA2CFC"/>
    <w:rsid w:val="00AB73E4"/>
    <w:rsid w:val="00AD3A5B"/>
    <w:rsid w:val="00AD59DA"/>
    <w:rsid w:val="00B534D2"/>
    <w:rsid w:val="00BB408A"/>
    <w:rsid w:val="00BC1555"/>
    <w:rsid w:val="00C133DC"/>
    <w:rsid w:val="00C359BF"/>
    <w:rsid w:val="00C43C43"/>
    <w:rsid w:val="00C815BC"/>
    <w:rsid w:val="00D731A0"/>
    <w:rsid w:val="00D740E8"/>
    <w:rsid w:val="00DA4363"/>
    <w:rsid w:val="00DA4A23"/>
    <w:rsid w:val="00DF34B6"/>
    <w:rsid w:val="00E06830"/>
    <w:rsid w:val="00E23EA1"/>
    <w:rsid w:val="00E25ADD"/>
    <w:rsid w:val="00E641A0"/>
    <w:rsid w:val="00E64610"/>
    <w:rsid w:val="00F34171"/>
    <w:rsid w:val="00F52014"/>
    <w:rsid w:val="00FD62F9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5A4CB07-A80F-496B-8ED4-8BC2488D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52014"/>
    <w:pPr>
      <w:widowControl w:val="0"/>
      <w:spacing w:line="240" w:lineRule="auto"/>
      <w:ind w:left="4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  <w:style w:type="character" w:styleId="UnresolvedMention">
    <w:name w:val="Unresolved Mention"/>
    <w:basedOn w:val="DefaultParagraphFont"/>
    <w:uiPriority w:val="99"/>
    <w:semiHidden/>
    <w:unhideWhenUsed/>
    <w:rsid w:val="00BB40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F52014"/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52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-regulations@mass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ss.gov/info-details/executive-office-of-health-and-human-services-public-hearing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DAAccommodation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executive-office-of-health-and-human-services-public-hearing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DeLeo, Dan (EHS)</cp:lastModifiedBy>
  <cp:revision>4</cp:revision>
  <cp:lastPrinted>2023-01-25T13:26:00Z</cp:lastPrinted>
  <dcterms:created xsi:type="dcterms:W3CDTF">2025-02-06T20:39:00Z</dcterms:created>
  <dcterms:modified xsi:type="dcterms:W3CDTF">2025-02-10T15:53:00Z</dcterms:modified>
</cp:coreProperties>
</file>