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FD62F9" w:rsidRDefault="001B7FE3" w:rsidP="00FD62F9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62FBB69B" w:rsidR="001B7FE3" w:rsidRPr="001B7FE3" w:rsidRDefault="00AD59DA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18349C"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3C3AC9" w:rsidRPr="002424A8">
        <w:rPr>
          <w:rFonts w:ascii="Arial" w:eastAsia="Times New Roman" w:hAnsi="Arial" w:cs="Arial"/>
          <w:sz w:val="24"/>
          <w:szCs w:val="20"/>
        </w:rPr>
        <w:t>Monday, March 24, 2025</w:t>
      </w:r>
      <w:r w:rsidR="001B7FE3" w:rsidRPr="002424A8">
        <w:rPr>
          <w:rFonts w:ascii="Arial" w:eastAsia="Times New Roman" w:hAnsi="Arial" w:cs="Arial"/>
          <w:sz w:val="24"/>
          <w:szCs w:val="20"/>
        </w:rPr>
        <w:t xml:space="preserve">, at </w:t>
      </w:r>
      <w:r w:rsidR="002424A8" w:rsidRPr="002424A8">
        <w:rPr>
          <w:rFonts w:ascii="Arial" w:eastAsia="Times New Roman" w:hAnsi="Arial" w:cs="Arial"/>
          <w:sz w:val="24"/>
          <w:szCs w:val="20"/>
        </w:rPr>
        <w:t>10 a.m.</w:t>
      </w:r>
      <w:r w:rsidR="001B7FE3" w:rsidRPr="002424A8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relative to the </w:t>
      </w:r>
      <w:r w:rsidR="00521D28">
        <w:rPr>
          <w:rFonts w:ascii="Arial" w:eastAsia="Times New Roman" w:hAnsi="Arial" w:cs="Arial"/>
          <w:sz w:val="24"/>
          <w:szCs w:val="20"/>
        </w:rPr>
        <w:t xml:space="preserve">emergency </w:t>
      </w:r>
      <w:r w:rsidR="001B7FE3" w:rsidRPr="001B7FE3">
        <w:rPr>
          <w:rFonts w:ascii="Arial" w:eastAsia="Times New Roman" w:hAnsi="Arial" w:cs="Arial"/>
          <w:sz w:val="24"/>
          <w:szCs w:val="20"/>
        </w:rPr>
        <w:t>adoption of</w:t>
      </w:r>
      <w:r w:rsidR="0018349C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73D648E4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54131C" w:rsidRPr="0054131C">
        <w:rPr>
          <w:rFonts w:ascii="Arial" w:eastAsia="Times New Roman" w:hAnsi="Arial" w:cs="Arial"/>
          <w:b/>
          <w:sz w:val="24"/>
          <w:szCs w:val="20"/>
        </w:rPr>
        <w:t>515</w:t>
      </w:r>
      <w:r w:rsidRPr="0054131C">
        <w:rPr>
          <w:rFonts w:ascii="Arial" w:eastAsia="Times New Roman" w:hAnsi="Arial" w:cs="Arial"/>
          <w:b/>
          <w:sz w:val="24"/>
          <w:szCs w:val="20"/>
        </w:rPr>
        <w:t xml:space="preserve">.00:  </w:t>
      </w:r>
      <w:r w:rsidR="0054131C" w:rsidRPr="0054131C">
        <w:rPr>
          <w:rFonts w:ascii="Arial" w:eastAsia="Times New Roman" w:hAnsi="Arial" w:cs="Arial"/>
          <w:b/>
          <w:sz w:val="24"/>
          <w:szCs w:val="20"/>
        </w:rPr>
        <w:t>Managed Care Organization Services Payor Assessment</w:t>
      </w:r>
    </w:p>
    <w:p w14:paraId="1FE8118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4F61495" w14:textId="01024FB1" w:rsidR="001B7FE3" w:rsidRDefault="00521D2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A5B9E">
        <w:rPr>
          <w:rFonts w:ascii="Arial" w:eastAsia="Times New Roman" w:hAnsi="Arial" w:cs="Arial"/>
          <w:sz w:val="24"/>
          <w:szCs w:val="20"/>
        </w:rPr>
        <w:t xml:space="preserve">The regulation went into effect as an emergency on </w:t>
      </w:r>
      <w:r w:rsidR="000C234C">
        <w:rPr>
          <w:rFonts w:ascii="Arial" w:eastAsia="Times New Roman" w:hAnsi="Arial" w:cs="Arial"/>
          <w:sz w:val="24"/>
          <w:szCs w:val="20"/>
        </w:rPr>
        <w:t xml:space="preserve">February </w:t>
      </w:r>
      <w:r w:rsidR="002424A8">
        <w:rPr>
          <w:rFonts w:ascii="Arial" w:eastAsia="Times New Roman" w:hAnsi="Arial" w:cs="Arial"/>
          <w:sz w:val="24"/>
          <w:szCs w:val="20"/>
        </w:rPr>
        <w:t>26</w:t>
      </w:r>
      <w:r w:rsidR="000C234C">
        <w:rPr>
          <w:rFonts w:ascii="Arial" w:eastAsia="Times New Roman" w:hAnsi="Arial" w:cs="Arial"/>
          <w:sz w:val="24"/>
          <w:szCs w:val="20"/>
        </w:rPr>
        <w:t>,</w:t>
      </w:r>
      <w:r w:rsidR="0054131C" w:rsidRPr="0054131C">
        <w:rPr>
          <w:rFonts w:ascii="Arial" w:eastAsia="Times New Roman" w:hAnsi="Arial" w:cs="Arial"/>
          <w:sz w:val="24"/>
          <w:szCs w:val="20"/>
        </w:rPr>
        <w:t xml:space="preserve"> 2025</w:t>
      </w:r>
      <w:r w:rsidRPr="008A5B9E">
        <w:rPr>
          <w:rFonts w:ascii="Arial" w:eastAsia="Times New Roman" w:hAnsi="Arial" w:cs="Arial"/>
          <w:sz w:val="24"/>
          <w:szCs w:val="20"/>
        </w:rPr>
        <w:t xml:space="preserve">.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2D86F2C5" w14:textId="77777777" w:rsidR="0018349C" w:rsidRPr="001B7FE3" w:rsidRDefault="0018349C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4BB5960" w14:textId="36D5727F" w:rsidR="0054131C" w:rsidRPr="0054131C" w:rsidRDefault="0054131C" w:rsidP="0054131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54131C">
        <w:rPr>
          <w:rFonts w:ascii="Arial" w:eastAsia="Times New Roman" w:hAnsi="Arial" w:cs="Arial"/>
          <w:sz w:val="24"/>
          <w:szCs w:val="20"/>
        </w:rPr>
        <w:t>Regulation 101 CMR 515.00 governs the Managed Care Organization Services Payor Assessment (the “Assessment”) established under M.G.L. c. 118E, sec. 68</w:t>
      </w:r>
      <w:r w:rsidR="000C234C">
        <w:rPr>
          <w:rFonts w:ascii="Arial" w:eastAsia="Times New Roman" w:hAnsi="Arial" w:cs="Arial"/>
          <w:sz w:val="24"/>
          <w:szCs w:val="20"/>
        </w:rPr>
        <w:t xml:space="preserve"> through the Massachusetts Fiscal Year 2025 (FY25) Budget</w:t>
      </w:r>
      <w:r w:rsidRPr="0054131C">
        <w:rPr>
          <w:rFonts w:ascii="Arial" w:eastAsia="Times New Roman" w:hAnsi="Arial" w:cs="Arial"/>
          <w:sz w:val="24"/>
          <w:szCs w:val="20"/>
        </w:rPr>
        <w:t xml:space="preserve">. This proposed regulation is necessary to implement the Assessment </w:t>
      </w:r>
      <w:r w:rsidR="000C234C">
        <w:rPr>
          <w:rFonts w:ascii="Arial" w:eastAsia="Times New Roman" w:hAnsi="Arial" w:cs="Arial"/>
          <w:sz w:val="24"/>
          <w:szCs w:val="20"/>
        </w:rPr>
        <w:t>pursuant to statutory requirements</w:t>
      </w:r>
      <w:r w:rsidRPr="0054131C">
        <w:rPr>
          <w:rFonts w:ascii="Arial" w:eastAsia="Times New Roman" w:hAnsi="Arial" w:cs="Arial"/>
          <w:sz w:val="24"/>
          <w:szCs w:val="20"/>
        </w:rPr>
        <w:t>. It establishes the following.</w:t>
      </w:r>
    </w:p>
    <w:p w14:paraId="3260941D" w14:textId="77777777" w:rsidR="0054131C" w:rsidRPr="0054131C" w:rsidRDefault="0054131C" w:rsidP="0054131C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3E1EE704" w14:textId="1DB2EDDF" w:rsidR="0054131C" w:rsidRPr="008428F3" w:rsidRDefault="0054131C" w:rsidP="0054131C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428F3">
        <w:rPr>
          <w:rFonts w:ascii="Arial" w:eastAsia="Times New Roman" w:hAnsi="Arial" w:cs="Arial"/>
          <w:sz w:val="24"/>
          <w:szCs w:val="20"/>
        </w:rPr>
        <w:t>Definitions applicable to the implementation of the Assessment</w:t>
      </w:r>
      <w:r w:rsidR="008428F3">
        <w:rPr>
          <w:rFonts w:ascii="Arial" w:eastAsia="Times New Roman" w:hAnsi="Arial" w:cs="Arial"/>
          <w:sz w:val="24"/>
          <w:szCs w:val="20"/>
        </w:rPr>
        <w:t>.</w:t>
      </w:r>
    </w:p>
    <w:p w14:paraId="79EF9C6D" w14:textId="6560E1D7" w:rsidR="0054131C" w:rsidRPr="008428F3" w:rsidRDefault="0054131C" w:rsidP="008428F3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428F3">
        <w:rPr>
          <w:rFonts w:ascii="Arial" w:eastAsia="Times New Roman" w:hAnsi="Arial" w:cs="Arial"/>
          <w:sz w:val="24"/>
          <w:szCs w:val="20"/>
        </w:rPr>
        <w:t>Three Assessment groups, including</w:t>
      </w:r>
      <w:r w:rsidR="008428F3" w:rsidRPr="008428F3">
        <w:rPr>
          <w:rFonts w:ascii="Arial" w:eastAsia="Times New Roman" w:hAnsi="Arial" w:cs="Arial"/>
          <w:sz w:val="24"/>
          <w:szCs w:val="20"/>
        </w:rPr>
        <w:t xml:space="preserve"> c</w:t>
      </w:r>
      <w:r w:rsidRPr="008428F3">
        <w:rPr>
          <w:rFonts w:ascii="Arial" w:eastAsia="Times New Roman" w:hAnsi="Arial" w:cs="Arial"/>
          <w:sz w:val="24"/>
          <w:szCs w:val="20"/>
        </w:rPr>
        <w:t>ommercial MCO services;</w:t>
      </w:r>
      <w:r w:rsidR="008428F3" w:rsidRPr="008428F3">
        <w:rPr>
          <w:rFonts w:ascii="Arial" w:eastAsia="Times New Roman" w:hAnsi="Arial" w:cs="Arial"/>
          <w:sz w:val="24"/>
          <w:szCs w:val="20"/>
        </w:rPr>
        <w:t xml:space="preserve"> </w:t>
      </w:r>
      <w:r w:rsidRPr="008428F3">
        <w:rPr>
          <w:rFonts w:ascii="Arial" w:eastAsia="Times New Roman" w:hAnsi="Arial" w:cs="Arial"/>
          <w:sz w:val="24"/>
          <w:szCs w:val="20"/>
        </w:rPr>
        <w:t>Medicaid MCO services rendered by entities with annual revenue less than or equal to $2M; and</w:t>
      </w:r>
      <w:r w:rsidR="008428F3" w:rsidRPr="008428F3">
        <w:rPr>
          <w:rFonts w:ascii="Arial" w:eastAsia="Times New Roman" w:hAnsi="Arial" w:cs="Arial"/>
          <w:sz w:val="24"/>
          <w:szCs w:val="20"/>
        </w:rPr>
        <w:t xml:space="preserve"> </w:t>
      </w:r>
      <w:r w:rsidRPr="008428F3">
        <w:rPr>
          <w:rFonts w:ascii="Arial" w:eastAsia="Times New Roman" w:hAnsi="Arial" w:cs="Arial"/>
          <w:sz w:val="24"/>
          <w:szCs w:val="20"/>
        </w:rPr>
        <w:t>Medicaid MCO services rendered by entities with annual revenue greater than $2M.</w:t>
      </w:r>
    </w:p>
    <w:p w14:paraId="7850F80E" w14:textId="10CC67F5" w:rsidR="0054131C" w:rsidRPr="008428F3" w:rsidRDefault="0054131C" w:rsidP="00761B25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428F3">
        <w:rPr>
          <w:rFonts w:ascii="Arial" w:eastAsia="Times New Roman" w:hAnsi="Arial" w:cs="Arial"/>
          <w:sz w:val="24"/>
          <w:szCs w:val="20"/>
        </w:rPr>
        <w:t>The initial Assessment rates for each group</w:t>
      </w:r>
      <w:r w:rsidR="008428F3">
        <w:rPr>
          <w:rFonts w:ascii="Arial" w:eastAsia="Times New Roman" w:hAnsi="Arial" w:cs="Arial"/>
          <w:sz w:val="24"/>
          <w:szCs w:val="20"/>
        </w:rPr>
        <w:t>.</w:t>
      </w:r>
    </w:p>
    <w:p w14:paraId="3EACE9F7" w14:textId="77777777" w:rsidR="000C234C" w:rsidRDefault="0054131C" w:rsidP="008428F3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428F3">
        <w:rPr>
          <w:rFonts w:ascii="Arial" w:eastAsia="Times New Roman" w:hAnsi="Arial" w:cs="Arial"/>
          <w:sz w:val="24"/>
          <w:szCs w:val="20"/>
        </w:rPr>
        <w:t>The process</w:t>
      </w:r>
      <w:r w:rsidR="000C234C">
        <w:rPr>
          <w:rFonts w:ascii="Arial" w:eastAsia="Times New Roman" w:hAnsi="Arial" w:cs="Arial"/>
          <w:sz w:val="24"/>
          <w:szCs w:val="20"/>
        </w:rPr>
        <w:t>es</w:t>
      </w:r>
      <w:r w:rsidRPr="008428F3">
        <w:rPr>
          <w:rFonts w:ascii="Arial" w:eastAsia="Times New Roman" w:hAnsi="Arial" w:cs="Arial"/>
          <w:sz w:val="24"/>
          <w:szCs w:val="20"/>
        </w:rPr>
        <w:t xml:space="preserve"> to</w:t>
      </w:r>
      <w:r w:rsidR="000C234C">
        <w:rPr>
          <w:rFonts w:ascii="Arial" w:eastAsia="Times New Roman" w:hAnsi="Arial" w:cs="Arial"/>
          <w:sz w:val="24"/>
          <w:szCs w:val="20"/>
        </w:rPr>
        <w:t>:</w:t>
      </w:r>
    </w:p>
    <w:p w14:paraId="12BEA515" w14:textId="359634E6" w:rsidR="000C234C" w:rsidRDefault="000C234C" w:rsidP="000C234C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</w:t>
      </w:r>
      <w:r w:rsidR="0054131C" w:rsidRPr="008428F3">
        <w:rPr>
          <w:rFonts w:ascii="Arial" w:eastAsia="Times New Roman" w:hAnsi="Arial" w:cs="Arial"/>
          <w:sz w:val="24"/>
          <w:szCs w:val="20"/>
        </w:rPr>
        <w:t>pdate the rates in a manner consistent with federal healthcare-related tax requirements</w:t>
      </w:r>
    </w:p>
    <w:p w14:paraId="6C62D267" w14:textId="5E782F53" w:rsidR="000C234C" w:rsidRDefault="000C234C" w:rsidP="000C234C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R</w:t>
      </w:r>
      <w:r w:rsidR="0054131C" w:rsidRPr="008428F3">
        <w:rPr>
          <w:rFonts w:ascii="Arial" w:eastAsia="Times New Roman" w:hAnsi="Arial" w:cs="Arial"/>
          <w:sz w:val="24"/>
          <w:szCs w:val="20"/>
        </w:rPr>
        <w:t>econcile for over- or under-collections from prior years, including</w:t>
      </w:r>
      <w:r w:rsidR="008428F3" w:rsidRPr="008428F3">
        <w:rPr>
          <w:rFonts w:ascii="Arial" w:eastAsia="Times New Roman" w:hAnsi="Arial" w:cs="Arial"/>
          <w:sz w:val="24"/>
          <w:szCs w:val="20"/>
        </w:rPr>
        <w:t xml:space="preserve"> a</w:t>
      </w:r>
      <w:r w:rsidR="0054131C" w:rsidRPr="008428F3">
        <w:rPr>
          <w:rFonts w:ascii="Arial" w:eastAsia="Times New Roman" w:hAnsi="Arial" w:cs="Arial"/>
          <w:sz w:val="24"/>
          <w:szCs w:val="20"/>
        </w:rPr>
        <w:t>nnual updates to such rates via sub-regulatory written issuance</w:t>
      </w:r>
    </w:p>
    <w:p w14:paraId="52A9FC01" w14:textId="5C2F6444" w:rsidR="0054131C" w:rsidRPr="008428F3" w:rsidRDefault="000C234C" w:rsidP="002424A8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As necessary, implement </w:t>
      </w:r>
      <w:r w:rsidR="0054131C" w:rsidRPr="008428F3">
        <w:rPr>
          <w:rFonts w:ascii="Arial" w:eastAsia="Times New Roman" w:hAnsi="Arial" w:cs="Arial"/>
          <w:sz w:val="24"/>
          <w:szCs w:val="20"/>
        </w:rPr>
        <w:t>rate amendments during the assessment year to adjust for projected over- or under-collections</w:t>
      </w:r>
    </w:p>
    <w:p w14:paraId="5E359E2F" w14:textId="0CBCD0FD" w:rsidR="0054131C" w:rsidRPr="008428F3" w:rsidRDefault="0054131C" w:rsidP="008428F3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428F3">
        <w:rPr>
          <w:rFonts w:ascii="Arial" w:eastAsia="Times New Roman" w:hAnsi="Arial" w:cs="Arial"/>
          <w:sz w:val="24"/>
          <w:szCs w:val="20"/>
        </w:rPr>
        <w:t>Reporting requirements and authority for EOHHS to specify required reporting via sub-regulatory written issuance</w:t>
      </w:r>
      <w:r w:rsidR="008428F3">
        <w:rPr>
          <w:rFonts w:ascii="Arial" w:eastAsia="Times New Roman" w:hAnsi="Arial" w:cs="Arial"/>
          <w:sz w:val="24"/>
          <w:szCs w:val="20"/>
        </w:rPr>
        <w:t>.</w:t>
      </w:r>
    </w:p>
    <w:p w14:paraId="4CBE99B6" w14:textId="0B99BF41" w:rsidR="0054131C" w:rsidRPr="008428F3" w:rsidRDefault="0054131C" w:rsidP="008428F3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428F3">
        <w:rPr>
          <w:rFonts w:ascii="Arial" w:eastAsia="Times New Roman" w:hAnsi="Arial" w:cs="Arial"/>
          <w:sz w:val="24"/>
          <w:szCs w:val="20"/>
        </w:rPr>
        <w:t>Clear enforcement mechanisms for MCO entities subject to the Assessment that are delinquent on paying</w:t>
      </w:r>
      <w:r w:rsidR="000C234C">
        <w:rPr>
          <w:rFonts w:ascii="Arial" w:eastAsia="Times New Roman" w:hAnsi="Arial" w:cs="Arial"/>
          <w:sz w:val="24"/>
          <w:szCs w:val="20"/>
        </w:rPr>
        <w:t>.</w:t>
      </w:r>
    </w:p>
    <w:p w14:paraId="471BAAB1" w14:textId="77777777" w:rsidR="0054131C" w:rsidRPr="0054131C" w:rsidRDefault="0054131C" w:rsidP="0054131C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0F80611D" w14:textId="244AD01F" w:rsidR="001B7FE3" w:rsidRPr="008428F3" w:rsidRDefault="0054131C" w:rsidP="0054131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428F3">
        <w:rPr>
          <w:rFonts w:ascii="Arial" w:eastAsia="Times New Roman" w:hAnsi="Arial" w:cs="Arial"/>
          <w:sz w:val="24"/>
          <w:szCs w:val="20"/>
        </w:rPr>
        <w:t>The new rates and assessment group structure has been approved by CMS under 42 CFR 433.68.</w:t>
      </w:r>
      <w:r w:rsidR="008428F3">
        <w:rPr>
          <w:rFonts w:ascii="Arial" w:eastAsia="Times New Roman" w:hAnsi="Arial" w:cs="Arial"/>
          <w:sz w:val="24"/>
          <w:szCs w:val="20"/>
        </w:rPr>
        <w:t xml:space="preserve"> </w:t>
      </w:r>
      <w:r w:rsidRPr="008428F3">
        <w:rPr>
          <w:rFonts w:ascii="Arial" w:eastAsia="Times New Roman" w:hAnsi="Arial" w:cs="Arial"/>
          <w:sz w:val="24"/>
          <w:szCs w:val="20"/>
        </w:rPr>
        <w:t>The regulation also specifies that the statutory change</w:t>
      </w:r>
      <w:r w:rsidR="000C234C">
        <w:rPr>
          <w:rFonts w:ascii="Arial" w:eastAsia="Times New Roman" w:hAnsi="Arial" w:cs="Arial"/>
          <w:sz w:val="24"/>
          <w:szCs w:val="20"/>
        </w:rPr>
        <w:t xml:space="preserve"> to M.G.L. c. 118E, sec. 68,</w:t>
      </w:r>
      <w:r w:rsidRPr="008428F3">
        <w:rPr>
          <w:rFonts w:ascii="Arial" w:eastAsia="Times New Roman" w:hAnsi="Arial" w:cs="Arial"/>
          <w:sz w:val="24"/>
          <w:szCs w:val="20"/>
        </w:rPr>
        <w:t xml:space="preserve"> enacted through the FY25 budget</w:t>
      </w:r>
      <w:r w:rsidR="000C234C">
        <w:rPr>
          <w:rFonts w:ascii="Arial" w:eastAsia="Times New Roman" w:hAnsi="Arial" w:cs="Arial"/>
          <w:sz w:val="24"/>
          <w:szCs w:val="20"/>
        </w:rPr>
        <w:t>,</w:t>
      </w:r>
      <w:r w:rsidRPr="008428F3">
        <w:rPr>
          <w:rFonts w:ascii="Arial" w:eastAsia="Times New Roman" w:hAnsi="Arial" w:cs="Arial"/>
          <w:sz w:val="24"/>
          <w:szCs w:val="20"/>
        </w:rPr>
        <w:t xml:space="preserve"> repealed the surcharges previously collected from payors.</w:t>
      </w:r>
    </w:p>
    <w:p w14:paraId="7FB299A3" w14:textId="77777777" w:rsidR="0054131C" w:rsidRPr="001B7FE3" w:rsidRDefault="0054131C" w:rsidP="0054131C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3259386B" w:rsidR="002E6A46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133DC">
        <w:rPr>
          <w:rFonts w:ascii="Arial" w:eastAsia="Times New Roman" w:hAnsi="Arial" w:cs="Arial"/>
          <w:sz w:val="24"/>
          <w:szCs w:val="24"/>
        </w:rPr>
        <w:lastRenderedPageBreak/>
        <w:t xml:space="preserve">To register to testify at the hearing and to get instructions on how to join the hearing online, go to </w:t>
      </w:r>
      <w:hyperlink r:id="rId7" w:history="1">
        <w:r w:rsidR="00BB408A" w:rsidRPr="00CA7CE1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133DC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ED5DCC">
        <w:rPr>
          <w:rFonts w:ascii="Arial" w:hAnsi="Arial"/>
          <w:color w:val="000000"/>
          <w:sz w:val="24"/>
        </w:rPr>
        <w:t xml:space="preserve"> the hearing by phone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357DBD4E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>
        <w:rPr>
          <w:rFonts w:ascii="Arial" w:eastAsia="Times New Roman" w:hAnsi="Arial" w:cs="Arial"/>
          <w:sz w:val="24"/>
          <w:szCs w:val="24"/>
        </w:rPr>
        <w:t xml:space="preserve">will be accepted </w:t>
      </w:r>
      <w:proofErr w:type="gramStart"/>
      <w:r w:rsidR="00C133DC">
        <w:rPr>
          <w:rFonts w:ascii="Arial" w:eastAsia="Times New Roman" w:hAnsi="Arial" w:cs="Arial"/>
          <w:sz w:val="24"/>
          <w:szCs w:val="24"/>
        </w:rPr>
        <w:t>through</w:t>
      </w:r>
      <w:proofErr w:type="gramEnd"/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2424A8" w:rsidRPr="002424A8">
        <w:rPr>
          <w:rFonts w:ascii="Arial" w:eastAsia="Times New Roman" w:hAnsi="Arial" w:cs="Arial"/>
          <w:sz w:val="24"/>
          <w:szCs w:val="24"/>
        </w:rPr>
        <w:t>March 24, 2025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</w:t>
      </w:r>
      <w:r w:rsidR="00AD59DA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3DAEC130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>
        <w:rPr>
          <w:rFonts w:ascii="Arial" w:eastAsia="Times New Roman" w:hAnsi="Arial" w:cs="Arial"/>
          <w:bCs/>
          <w:sz w:val="24"/>
          <w:szCs w:val="24"/>
        </w:rPr>
        <w:t>emergency 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0" w:history="1">
        <w:r w:rsidR="00481EC8" w:rsidRPr="00481EC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28BD662F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44910648" w:rsidR="00FE710C" w:rsidRPr="002424A8" w:rsidRDefault="0040003B" w:rsidP="00FD62F9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2424A8">
        <w:rPr>
          <w:rFonts w:ascii="Arial" w:eastAsia="Times New Roman" w:hAnsi="Arial" w:cs="Arial"/>
          <w:sz w:val="24"/>
          <w:szCs w:val="20"/>
        </w:rPr>
        <w:t>March 3, 2025</w:t>
      </w:r>
    </w:p>
    <w:sectPr w:rsidR="00FE710C" w:rsidRPr="002424A8" w:rsidSect="00521D28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8C49" w14:textId="77777777" w:rsidR="00445B50" w:rsidRDefault="00445B50" w:rsidP="00521D28">
      <w:pPr>
        <w:spacing w:line="240" w:lineRule="auto"/>
      </w:pPr>
      <w:r>
        <w:separator/>
      </w:r>
    </w:p>
  </w:endnote>
  <w:endnote w:type="continuationSeparator" w:id="0">
    <w:p w14:paraId="76B44F93" w14:textId="77777777" w:rsidR="00445B50" w:rsidRDefault="00445B50" w:rsidP="00521D28">
      <w:pPr>
        <w:spacing w:line="240" w:lineRule="auto"/>
      </w:pPr>
      <w:r>
        <w:continuationSeparator/>
      </w:r>
    </w:p>
  </w:endnote>
  <w:endnote w:type="continuationNotice" w:id="1">
    <w:p w14:paraId="6D901542" w14:textId="77777777" w:rsidR="00445B50" w:rsidRDefault="00445B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088" w14:textId="77777777" w:rsidR="00521D28" w:rsidRDefault="00521D28" w:rsidP="00FD6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D16B" w14:textId="77777777" w:rsidR="00521D28" w:rsidRDefault="00521D28" w:rsidP="00FD6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380" w14:textId="4EC81317" w:rsidR="00521D28" w:rsidRDefault="0052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87D8" w14:textId="77777777" w:rsidR="00445B50" w:rsidRDefault="00445B50" w:rsidP="00521D28">
      <w:pPr>
        <w:spacing w:line="240" w:lineRule="auto"/>
      </w:pPr>
      <w:r>
        <w:separator/>
      </w:r>
    </w:p>
  </w:footnote>
  <w:footnote w:type="continuationSeparator" w:id="0">
    <w:p w14:paraId="53FDEA9F" w14:textId="77777777" w:rsidR="00445B50" w:rsidRDefault="00445B50" w:rsidP="00521D28">
      <w:pPr>
        <w:spacing w:line="240" w:lineRule="auto"/>
      </w:pPr>
      <w:r>
        <w:continuationSeparator/>
      </w:r>
    </w:p>
  </w:footnote>
  <w:footnote w:type="continuationNotice" w:id="1">
    <w:p w14:paraId="692F0280" w14:textId="77777777" w:rsidR="00445B50" w:rsidRDefault="00445B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D4E4" w14:textId="77777777" w:rsidR="00521D28" w:rsidRDefault="00521D28" w:rsidP="00FD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60A"/>
    <w:multiLevelType w:val="hybridMultilevel"/>
    <w:tmpl w:val="712E5982"/>
    <w:lvl w:ilvl="0" w:tplc="7C1011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C07C2"/>
    <w:multiLevelType w:val="hybridMultilevel"/>
    <w:tmpl w:val="9FFC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E1B3E"/>
    <w:multiLevelType w:val="hybridMultilevel"/>
    <w:tmpl w:val="16BEE1D6"/>
    <w:lvl w:ilvl="0" w:tplc="E2B273C6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34706">
    <w:abstractNumId w:val="1"/>
  </w:num>
  <w:num w:numId="2" w16cid:durableId="1265916735">
    <w:abstractNumId w:val="0"/>
  </w:num>
  <w:num w:numId="3" w16cid:durableId="146932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35501"/>
    <w:rsid w:val="00050F89"/>
    <w:rsid w:val="00060DA2"/>
    <w:rsid w:val="000B2BCA"/>
    <w:rsid w:val="000C234C"/>
    <w:rsid w:val="000F2753"/>
    <w:rsid w:val="0018349C"/>
    <w:rsid w:val="001B521B"/>
    <w:rsid w:val="001B7FE3"/>
    <w:rsid w:val="002424A8"/>
    <w:rsid w:val="002575B6"/>
    <w:rsid w:val="00281D85"/>
    <w:rsid w:val="002A2967"/>
    <w:rsid w:val="002E6A46"/>
    <w:rsid w:val="002E7575"/>
    <w:rsid w:val="0030383F"/>
    <w:rsid w:val="00323644"/>
    <w:rsid w:val="003645D4"/>
    <w:rsid w:val="003C3AC9"/>
    <w:rsid w:val="003D036A"/>
    <w:rsid w:val="003D48D7"/>
    <w:rsid w:val="003D59EA"/>
    <w:rsid w:val="0040003B"/>
    <w:rsid w:val="00413702"/>
    <w:rsid w:val="00427F07"/>
    <w:rsid w:val="00445B50"/>
    <w:rsid w:val="00481EC8"/>
    <w:rsid w:val="004E3A7B"/>
    <w:rsid w:val="004F1866"/>
    <w:rsid w:val="004F78F1"/>
    <w:rsid w:val="00521D28"/>
    <w:rsid w:val="0054131C"/>
    <w:rsid w:val="0054609E"/>
    <w:rsid w:val="00600C3E"/>
    <w:rsid w:val="00667BCF"/>
    <w:rsid w:val="006838E9"/>
    <w:rsid w:val="00761B25"/>
    <w:rsid w:val="00765164"/>
    <w:rsid w:val="00792E65"/>
    <w:rsid w:val="007F0D2D"/>
    <w:rsid w:val="007F4487"/>
    <w:rsid w:val="008428F3"/>
    <w:rsid w:val="008A5B9E"/>
    <w:rsid w:val="008B1FFA"/>
    <w:rsid w:val="008D3459"/>
    <w:rsid w:val="00A60D2E"/>
    <w:rsid w:val="00AD3A5B"/>
    <w:rsid w:val="00AD59DA"/>
    <w:rsid w:val="00B534D2"/>
    <w:rsid w:val="00BB408A"/>
    <w:rsid w:val="00BC1555"/>
    <w:rsid w:val="00C133DC"/>
    <w:rsid w:val="00C359BF"/>
    <w:rsid w:val="00C43C43"/>
    <w:rsid w:val="00C815BC"/>
    <w:rsid w:val="00D40485"/>
    <w:rsid w:val="00D731A0"/>
    <w:rsid w:val="00D740E8"/>
    <w:rsid w:val="00DA4363"/>
    <w:rsid w:val="00DA4A23"/>
    <w:rsid w:val="00DF34B6"/>
    <w:rsid w:val="00E06830"/>
    <w:rsid w:val="00E23EA1"/>
    <w:rsid w:val="00E641A0"/>
    <w:rsid w:val="00E64610"/>
    <w:rsid w:val="00F120CE"/>
    <w:rsid w:val="00F34171"/>
    <w:rsid w:val="00FD62F9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5A4CB07-A80F-496B-8ED4-8BC2488D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character" w:styleId="UnresolvedMention">
    <w:name w:val="Unresolved Mention"/>
    <w:basedOn w:val="DefaultParagraphFont"/>
    <w:uiPriority w:val="99"/>
    <w:semiHidden/>
    <w:unhideWhenUsed/>
    <w:rsid w:val="00BB40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ss.gov/info-details/executive-office-of-health-and-human-services-public-hearing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DAAccommodation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executive-office-of-health-and-human-services-public-hearing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Kovach, Karen E (EHS)</cp:lastModifiedBy>
  <cp:revision>2</cp:revision>
  <cp:lastPrinted>2023-01-25T13:26:00Z</cp:lastPrinted>
  <dcterms:created xsi:type="dcterms:W3CDTF">2025-02-26T16:36:00Z</dcterms:created>
  <dcterms:modified xsi:type="dcterms:W3CDTF">2025-02-26T16:36:00Z</dcterms:modified>
</cp:coreProperties>
</file>