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61C61"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Executive Office of Health and Human Services</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50D0B692" w:rsidR="001B7FE3" w:rsidRPr="001B7FE3" w:rsidRDefault="009217FA"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1B7FE3" w:rsidRPr="001B7FE3">
        <w:rPr>
          <w:rFonts w:ascii="Arial" w:eastAsia="Times New Roman" w:hAnsi="Arial" w:cs="Arial"/>
          <w:sz w:val="24"/>
          <w:szCs w:val="20"/>
        </w:rPr>
        <w:t xml:space="preserve"> the authority of M.G.L. c. 118E and in accordance with M.G.L. c. 30A, </w:t>
      </w:r>
      <w:r w:rsidR="00C02D32">
        <w:rPr>
          <w:rFonts w:ascii="Arial" w:eastAsia="Times New Roman" w:hAnsi="Arial" w:cs="Arial"/>
          <w:sz w:val="24"/>
          <w:szCs w:val="20"/>
        </w:rPr>
        <w:t xml:space="preserve">the Executive Office of Health and Human Services (EOHHS)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82351B" w:rsidRPr="00002B73">
        <w:rPr>
          <w:rFonts w:ascii="Arial" w:eastAsia="Times New Roman" w:hAnsi="Arial" w:cs="Arial"/>
          <w:sz w:val="24"/>
          <w:szCs w:val="20"/>
        </w:rPr>
        <w:t>Mon</w:t>
      </w:r>
      <w:r w:rsidR="000C12A9" w:rsidRPr="00002B73">
        <w:rPr>
          <w:rFonts w:ascii="Arial" w:eastAsia="Times New Roman" w:hAnsi="Arial" w:cs="Arial"/>
          <w:sz w:val="24"/>
          <w:szCs w:val="20"/>
        </w:rPr>
        <w:t xml:space="preserve">day, </w:t>
      </w:r>
      <w:r w:rsidR="002B4E51">
        <w:rPr>
          <w:rFonts w:ascii="Arial" w:eastAsia="Times New Roman" w:hAnsi="Arial" w:cs="Arial"/>
          <w:sz w:val="24"/>
          <w:szCs w:val="20"/>
        </w:rPr>
        <w:t>January 5</w:t>
      </w:r>
      <w:r w:rsidR="000C12A9">
        <w:rPr>
          <w:rFonts w:ascii="Arial" w:eastAsia="Times New Roman" w:hAnsi="Arial" w:cs="Arial"/>
          <w:sz w:val="24"/>
          <w:szCs w:val="20"/>
        </w:rPr>
        <w:t>, 202</w:t>
      </w:r>
      <w:r w:rsidR="00ED19FA">
        <w:rPr>
          <w:rFonts w:ascii="Arial" w:eastAsia="Times New Roman" w:hAnsi="Arial" w:cs="Arial"/>
          <w:sz w:val="24"/>
          <w:szCs w:val="20"/>
        </w:rPr>
        <w:t>6</w:t>
      </w:r>
      <w:r w:rsidR="001B7FE3" w:rsidRPr="001B7FE3">
        <w:rPr>
          <w:rFonts w:ascii="Arial" w:eastAsia="Times New Roman" w:hAnsi="Arial" w:cs="Arial"/>
          <w:sz w:val="24"/>
          <w:szCs w:val="20"/>
        </w:rPr>
        <w:t xml:space="preserve">, at </w:t>
      </w:r>
      <w:r w:rsidR="000C12A9">
        <w:rPr>
          <w:rFonts w:ascii="Arial" w:eastAsia="Times New Roman" w:hAnsi="Arial" w:cs="Arial"/>
          <w:sz w:val="24"/>
          <w:szCs w:val="20"/>
        </w:rPr>
        <w:t>10 a.m.</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 xml:space="preserve">relative to the </w:t>
      </w:r>
      <w:r w:rsidR="00456CD2">
        <w:rPr>
          <w:rFonts w:ascii="Arial" w:eastAsia="Times New Roman" w:hAnsi="Arial" w:cs="Arial"/>
          <w:sz w:val="24"/>
          <w:szCs w:val="20"/>
        </w:rPr>
        <w:t xml:space="preserve">emergency </w:t>
      </w:r>
      <w:r w:rsidR="001B7FE3" w:rsidRPr="001B7FE3">
        <w:rPr>
          <w:rFonts w:ascii="Arial" w:eastAsia="Times New Roman" w:hAnsi="Arial" w:cs="Arial"/>
          <w:sz w:val="24"/>
          <w:szCs w:val="20"/>
        </w:rPr>
        <w:t>adoption of</w:t>
      </w:r>
      <w:r w:rsidR="00C02D32">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3DFD4458" w:rsidR="001B7FE3" w:rsidRPr="001B7FE3" w:rsidRDefault="001B7FE3" w:rsidP="001B7FE3">
      <w:pPr>
        <w:spacing w:line="240" w:lineRule="auto"/>
        <w:rPr>
          <w:rFonts w:ascii="Arial" w:eastAsia="Times New Roman" w:hAnsi="Arial" w:cs="Arial"/>
          <w:sz w:val="24"/>
          <w:szCs w:val="20"/>
        </w:rPr>
      </w:pPr>
      <w:r w:rsidRPr="001B7FE3">
        <w:rPr>
          <w:rFonts w:ascii="Arial" w:eastAsia="Times New Roman" w:hAnsi="Arial" w:cs="Arial"/>
          <w:b/>
          <w:sz w:val="24"/>
          <w:szCs w:val="20"/>
        </w:rPr>
        <w:t xml:space="preserve">101 CMR </w:t>
      </w:r>
      <w:r w:rsidR="000C12A9">
        <w:rPr>
          <w:rFonts w:ascii="Arial" w:eastAsia="Times New Roman" w:hAnsi="Arial" w:cs="Arial"/>
          <w:b/>
          <w:sz w:val="24"/>
          <w:szCs w:val="20"/>
        </w:rPr>
        <w:t>204</w:t>
      </w:r>
      <w:r w:rsidRPr="001B7FE3">
        <w:rPr>
          <w:rFonts w:ascii="Arial" w:eastAsia="Times New Roman" w:hAnsi="Arial" w:cs="Arial"/>
          <w:b/>
          <w:sz w:val="24"/>
          <w:szCs w:val="20"/>
        </w:rPr>
        <w:t xml:space="preserve">.00: </w:t>
      </w:r>
      <w:r w:rsidR="000C12A9">
        <w:rPr>
          <w:rFonts w:ascii="Arial" w:eastAsia="Times New Roman" w:hAnsi="Arial" w:cs="Arial"/>
          <w:b/>
          <w:sz w:val="24"/>
          <w:szCs w:val="20"/>
        </w:rPr>
        <w:t>Rates of Payment to Resident Care Facilities</w:t>
      </w:r>
    </w:p>
    <w:p w14:paraId="2B50CE09" w14:textId="77777777" w:rsidR="004352D9" w:rsidRDefault="004352D9" w:rsidP="00A5708A">
      <w:pPr>
        <w:spacing w:line="240" w:lineRule="auto"/>
        <w:rPr>
          <w:rFonts w:ascii="Arial" w:eastAsia="Times New Roman" w:hAnsi="Arial" w:cs="Arial"/>
          <w:sz w:val="24"/>
          <w:szCs w:val="20"/>
        </w:rPr>
      </w:pPr>
    </w:p>
    <w:p w14:paraId="17AFE61E" w14:textId="597DCDF8" w:rsidR="00A5708A" w:rsidRDefault="00A5708A" w:rsidP="00A5708A">
      <w:pPr>
        <w:spacing w:line="240" w:lineRule="auto"/>
        <w:rPr>
          <w:rFonts w:ascii="Arial" w:eastAsia="Times New Roman" w:hAnsi="Arial" w:cs="Arial"/>
          <w:sz w:val="24"/>
          <w:szCs w:val="20"/>
        </w:rPr>
      </w:pPr>
      <w:r w:rsidRPr="008B2E3C">
        <w:rPr>
          <w:rFonts w:ascii="Arial" w:eastAsia="Times New Roman" w:hAnsi="Arial" w:cs="Arial"/>
          <w:sz w:val="24"/>
          <w:szCs w:val="20"/>
        </w:rPr>
        <w:t>The regulation went into effect as an emergency on</w:t>
      </w:r>
      <w:r w:rsidR="000C12A9">
        <w:rPr>
          <w:rFonts w:ascii="Arial" w:eastAsia="Times New Roman" w:hAnsi="Arial" w:cs="Arial"/>
          <w:sz w:val="24"/>
          <w:szCs w:val="20"/>
        </w:rPr>
        <w:t xml:space="preserve"> December </w:t>
      </w:r>
      <w:r w:rsidR="00315EDD">
        <w:rPr>
          <w:rFonts w:ascii="Arial" w:eastAsia="Times New Roman" w:hAnsi="Arial" w:cs="Arial"/>
          <w:sz w:val="24"/>
          <w:szCs w:val="20"/>
        </w:rPr>
        <w:t>5</w:t>
      </w:r>
      <w:r w:rsidR="000C12A9">
        <w:rPr>
          <w:rFonts w:ascii="Arial" w:eastAsia="Times New Roman" w:hAnsi="Arial" w:cs="Arial"/>
          <w:sz w:val="24"/>
          <w:szCs w:val="20"/>
        </w:rPr>
        <w:t>, 2025</w:t>
      </w:r>
      <w:r w:rsidRPr="008B2E3C">
        <w:rPr>
          <w:rFonts w:ascii="Arial" w:eastAsia="Times New Roman" w:hAnsi="Arial" w:cs="Arial"/>
          <w:sz w:val="24"/>
          <w:szCs w:val="20"/>
        </w:rPr>
        <w:t xml:space="preserve">. </w:t>
      </w:r>
      <w:r w:rsidRPr="001B7FE3">
        <w:rPr>
          <w:rFonts w:ascii="Arial" w:eastAsia="Times New Roman" w:hAnsi="Arial" w:cs="Arial"/>
          <w:sz w:val="24"/>
          <w:szCs w:val="20"/>
        </w:rPr>
        <w:t>There is no fiscal impact on cities and towns.</w:t>
      </w:r>
    </w:p>
    <w:p w14:paraId="5CE29ECF" w14:textId="77777777" w:rsidR="001B7FE3" w:rsidRDefault="001B7FE3" w:rsidP="001B7FE3">
      <w:pPr>
        <w:spacing w:line="240" w:lineRule="auto"/>
        <w:rPr>
          <w:rFonts w:ascii="Arial" w:eastAsia="Times New Roman" w:hAnsi="Arial" w:cs="Arial"/>
          <w:sz w:val="24"/>
          <w:szCs w:val="20"/>
        </w:rPr>
      </w:pPr>
    </w:p>
    <w:p w14:paraId="20DE0C47" w14:textId="5AF4FC2F" w:rsidR="00555690" w:rsidRPr="00C90FEF" w:rsidRDefault="00AF243C" w:rsidP="00555690">
      <w:pPr>
        <w:spacing w:line="240" w:lineRule="auto"/>
        <w:rPr>
          <w:rFonts w:ascii="Arial" w:eastAsia="Times New Roman" w:hAnsi="Arial" w:cs="Arial"/>
          <w:sz w:val="24"/>
          <w:szCs w:val="24"/>
        </w:rPr>
      </w:pPr>
      <w:r w:rsidRPr="00AF243C">
        <w:rPr>
          <w:rFonts w:ascii="Arial" w:eastAsia="Times New Roman" w:hAnsi="Arial" w:cs="Arial"/>
          <w:sz w:val="24"/>
          <w:szCs w:val="20"/>
        </w:rPr>
        <w:t xml:space="preserve">101 CMR 204.00 governs payment rates for resident care services (“rest homes”) provided to publicly aided individuals by governmental units. </w:t>
      </w:r>
      <w:r w:rsidR="00555690" w:rsidRPr="00C90FEF">
        <w:rPr>
          <w:rFonts w:ascii="Arial" w:eastAsia="Times New Roman" w:hAnsi="Arial" w:cs="Arial"/>
          <w:sz w:val="24"/>
          <w:szCs w:val="24"/>
        </w:rPr>
        <w:t>The proposed rates, effective December 1, 2025, were calculated according to the following methodology:</w:t>
      </w:r>
    </w:p>
    <w:p w14:paraId="0189D2BE" w14:textId="77777777" w:rsidR="00555690" w:rsidRPr="00555690" w:rsidRDefault="00555690" w:rsidP="00555690">
      <w:pPr>
        <w:spacing w:line="240" w:lineRule="auto"/>
        <w:rPr>
          <w:rFonts w:ascii="Arial" w:eastAsia="Times New Roman" w:hAnsi="Arial" w:cs="Arial"/>
          <w:i/>
          <w:iCs/>
          <w:sz w:val="24"/>
          <w:szCs w:val="20"/>
        </w:rPr>
      </w:pPr>
    </w:p>
    <w:p w14:paraId="1F66796C" w14:textId="77777777" w:rsidR="00555690" w:rsidRPr="00555690" w:rsidRDefault="00555690" w:rsidP="00555690">
      <w:pPr>
        <w:spacing w:line="240" w:lineRule="auto"/>
        <w:rPr>
          <w:rFonts w:ascii="Arial" w:eastAsia="Times New Roman" w:hAnsi="Arial" w:cs="Arial"/>
          <w:i/>
          <w:iCs/>
          <w:sz w:val="24"/>
          <w:szCs w:val="20"/>
        </w:rPr>
      </w:pPr>
      <w:r w:rsidRPr="00555690">
        <w:rPr>
          <w:rFonts w:ascii="Arial" w:eastAsia="Times New Roman" w:hAnsi="Arial" w:cs="Arial"/>
          <w:i/>
          <w:iCs/>
          <w:sz w:val="24"/>
          <w:szCs w:val="20"/>
        </w:rPr>
        <w:t>Preliminary Rate Calculation:</w:t>
      </w:r>
    </w:p>
    <w:p w14:paraId="394CF921" w14:textId="77777777" w:rsidR="00555690" w:rsidRPr="00555690" w:rsidRDefault="00555690" w:rsidP="00300D24">
      <w:pPr>
        <w:numPr>
          <w:ilvl w:val="0"/>
          <w:numId w:val="1"/>
        </w:numPr>
        <w:tabs>
          <w:tab w:val="clear" w:pos="720"/>
        </w:tabs>
        <w:spacing w:line="240" w:lineRule="auto"/>
        <w:ind w:left="360"/>
        <w:rPr>
          <w:rFonts w:ascii="Arial" w:eastAsia="Times New Roman" w:hAnsi="Arial" w:cs="Arial"/>
          <w:sz w:val="24"/>
          <w:szCs w:val="20"/>
        </w:rPr>
      </w:pPr>
      <w:r w:rsidRPr="00555690">
        <w:rPr>
          <w:rFonts w:ascii="Arial" w:eastAsia="Times New Roman" w:hAnsi="Arial" w:cs="Arial"/>
          <w:sz w:val="24"/>
          <w:szCs w:val="20"/>
        </w:rPr>
        <w:t>Calculate the preliminary rate as follows:</w:t>
      </w:r>
    </w:p>
    <w:p w14:paraId="58FE449C" w14:textId="77777777" w:rsidR="00555690" w:rsidRPr="00555690" w:rsidRDefault="00555690" w:rsidP="00300D24">
      <w:pPr>
        <w:numPr>
          <w:ilvl w:val="1"/>
          <w:numId w:val="1"/>
        </w:numPr>
        <w:tabs>
          <w:tab w:val="clear" w:pos="1440"/>
          <w:tab w:val="num" w:pos="630"/>
        </w:tabs>
        <w:spacing w:line="240" w:lineRule="auto"/>
        <w:ind w:left="630" w:hanging="270"/>
        <w:rPr>
          <w:rFonts w:ascii="Arial" w:eastAsia="Times New Roman" w:hAnsi="Arial" w:cs="Arial"/>
          <w:sz w:val="24"/>
          <w:szCs w:val="20"/>
        </w:rPr>
      </w:pPr>
      <w:r w:rsidRPr="00555690">
        <w:rPr>
          <w:rFonts w:ascii="Arial" w:eastAsia="Times New Roman" w:hAnsi="Arial" w:cs="Arial"/>
          <w:sz w:val="24"/>
          <w:szCs w:val="20"/>
        </w:rPr>
        <w:t>Calculate allowed Variable and Fixed Cost Per Diems rebasing from 2022 to 2023 costs.</w:t>
      </w:r>
    </w:p>
    <w:p w14:paraId="2D9B001F" w14:textId="1732CDF8" w:rsidR="00555690" w:rsidRPr="00555690" w:rsidRDefault="00555690" w:rsidP="00300D24">
      <w:pPr>
        <w:numPr>
          <w:ilvl w:val="2"/>
          <w:numId w:val="1"/>
        </w:numPr>
        <w:tabs>
          <w:tab w:val="num" w:pos="2040"/>
        </w:tabs>
        <w:spacing w:line="240" w:lineRule="auto"/>
        <w:ind w:left="990"/>
        <w:rPr>
          <w:rFonts w:ascii="Arial" w:eastAsia="Times New Roman" w:hAnsi="Arial" w:cs="Arial"/>
          <w:sz w:val="24"/>
          <w:szCs w:val="20"/>
        </w:rPr>
      </w:pPr>
      <w:r w:rsidRPr="00555690">
        <w:rPr>
          <w:rFonts w:ascii="Arial" w:eastAsia="Times New Roman" w:hAnsi="Arial" w:cs="Arial"/>
          <w:sz w:val="24"/>
          <w:szCs w:val="20"/>
        </w:rPr>
        <w:t>Cap variable costs at the 87</w:t>
      </w:r>
      <w:r w:rsidRPr="00555690">
        <w:rPr>
          <w:rFonts w:ascii="Arial" w:eastAsia="Times New Roman" w:hAnsi="Arial" w:cs="Arial"/>
          <w:sz w:val="24"/>
          <w:szCs w:val="20"/>
          <w:vertAlign w:val="superscript"/>
        </w:rPr>
        <w:t>th</w:t>
      </w:r>
      <w:r w:rsidRPr="00555690">
        <w:rPr>
          <w:rFonts w:ascii="Arial" w:eastAsia="Times New Roman" w:hAnsi="Arial" w:cs="Arial"/>
          <w:sz w:val="24"/>
          <w:szCs w:val="20"/>
        </w:rPr>
        <w:t xml:space="preserve"> percentile</w:t>
      </w:r>
      <w:r w:rsidR="002A041A">
        <w:rPr>
          <w:rFonts w:ascii="Arial" w:eastAsia="Times New Roman" w:hAnsi="Arial" w:cs="Arial"/>
          <w:sz w:val="24"/>
          <w:szCs w:val="20"/>
        </w:rPr>
        <w:t>,</w:t>
      </w:r>
      <w:r w:rsidRPr="00555690">
        <w:rPr>
          <w:rFonts w:ascii="Arial" w:eastAsia="Times New Roman" w:hAnsi="Arial" w:cs="Arial"/>
          <w:sz w:val="24"/>
          <w:szCs w:val="20"/>
        </w:rPr>
        <w:t xml:space="preserve"> which is calculated at $195.74. </w:t>
      </w:r>
      <w:r w:rsidR="004728D9" w:rsidRPr="004728D9">
        <w:rPr>
          <w:rFonts w:ascii="Arial" w:eastAsia="Times New Roman" w:hAnsi="Arial" w:cs="Arial"/>
          <w:sz w:val="24"/>
          <w:szCs w:val="20"/>
        </w:rPr>
        <w:t>Variable costs include an imputed amount of $114,622 for the personal services of an owner for rest homes that are sole proprietorships, since they do not report owner’s salary. There are currently two facilities that are reported as sole proprietors based on their CY 2023 cost reports.</w:t>
      </w:r>
    </w:p>
    <w:p w14:paraId="513E7E46" w14:textId="4CF8E34B" w:rsidR="002A041A" w:rsidRPr="002A041A" w:rsidRDefault="00555690" w:rsidP="00300D24">
      <w:pPr>
        <w:numPr>
          <w:ilvl w:val="0"/>
          <w:numId w:val="2"/>
        </w:numPr>
        <w:tabs>
          <w:tab w:val="clear" w:pos="720"/>
          <w:tab w:val="num" w:pos="2070"/>
        </w:tabs>
        <w:ind w:left="990"/>
        <w:rPr>
          <w:rFonts w:ascii="Arial" w:eastAsia="Times New Roman" w:hAnsi="Arial" w:cs="Arial"/>
          <w:sz w:val="24"/>
        </w:rPr>
      </w:pPr>
      <w:r w:rsidRPr="00555690">
        <w:rPr>
          <w:rFonts w:ascii="Arial" w:eastAsia="Times New Roman" w:hAnsi="Arial" w:cs="Arial"/>
          <w:sz w:val="24"/>
          <w:szCs w:val="20"/>
        </w:rPr>
        <w:t>Apply an 8.78% cost adjustment factor (CAF).</w:t>
      </w:r>
      <w:r w:rsidR="002A041A">
        <w:rPr>
          <w:rFonts w:ascii="Arial" w:eastAsia="Times New Roman" w:hAnsi="Arial" w:cs="Arial"/>
          <w:sz w:val="24"/>
          <w:szCs w:val="20"/>
        </w:rPr>
        <w:t xml:space="preserve"> </w:t>
      </w:r>
      <w:r w:rsidR="002A041A" w:rsidRPr="002A041A">
        <w:rPr>
          <w:rFonts w:ascii="Arial" w:eastAsia="Times New Roman" w:hAnsi="Arial" w:cs="Arial"/>
          <w:sz w:val="24"/>
        </w:rPr>
        <w:t>The CAF is based on inflation indices derived by cost center from data provided by IHS Markit. The CAF was calculated with a base period of CY2023 and a one-year rate period beginning October 1, 2025.</w:t>
      </w:r>
    </w:p>
    <w:p w14:paraId="43F0BD09" w14:textId="77777777" w:rsidR="00555690" w:rsidRPr="00555690" w:rsidRDefault="00555690" w:rsidP="00300D24">
      <w:pPr>
        <w:numPr>
          <w:ilvl w:val="2"/>
          <w:numId w:val="1"/>
        </w:numPr>
        <w:tabs>
          <w:tab w:val="num" w:pos="2040"/>
        </w:tabs>
        <w:spacing w:line="240" w:lineRule="auto"/>
        <w:ind w:left="990"/>
        <w:rPr>
          <w:rFonts w:ascii="Arial" w:eastAsia="Times New Roman" w:hAnsi="Arial" w:cs="Arial"/>
          <w:sz w:val="24"/>
          <w:szCs w:val="20"/>
        </w:rPr>
      </w:pPr>
      <w:r w:rsidRPr="00555690">
        <w:rPr>
          <w:rFonts w:ascii="Arial" w:eastAsia="Times New Roman" w:hAnsi="Arial" w:cs="Arial"/>
          <w:sz w:val="24"/>
          <w:szCs w:val="20"/>
        </w:rPr>
        <w:t>Cap Fixed Cost component to the existing amounts described in 101 CMR 204.08(2)(a)1.d.</w:t>
      </w:r>
    </w:p>
    <w:p w14:paraId="0590DBD0" w14:textId="77777777" w:rsidR="00555690" w:rsidRPr="00555690" w:rsidRDefault="00555690" w:rsidP="00300D24">
      <w:pPr>
        <w:numPr>
          <w:ilvl w:val="2"/>
          <w:numId w:val="1"/>
        </w:numPr>
        <w:tabs>
          <w:tab w:val="num" w:pos="2040"/>
        </w:tabs>
        <w:spacing w:line="240" w:lineRule="auto"/>
        <w:ind w:left="990"/>
        <w:rPr>
          <w:rFonts w:ascii="Arial" w:eastAsia="Times New Roman" w:hAnsi="Arial" w:cs="Arial"/>
          <w:sz w:val="24"/>
          <w:szCs w:val="20"/>
        </w:rPr>
      </w:pPr>
      <w:r w:rsidRPr="00555690">
        <w:rPr>
          <w:rFonts w:ascii="Arial" w:eastAsia="Times New Roman" w:hAnsi="Arial" w:cs="Arial"/>
          <w:sz w:val="24"/>
          <w:szCs w:val="20"/>
        </w:rPr>
        <w:t xml:space="preserve">Apply an 87% occupancy standard when calculating per diem costs. </w:t>
      </w:r>
    </w:p>
    <w:p w14:paraId="214D705D" w14:textId="77777777" w:rsidR="00555690" w:rsidRPr="00555690" w:rsidRDefault="00555690" w:rsidP="005B0708">
      <w:pPr>
        <w:numPr>
          <w:ilvl w:val="1"/>
          <w:numId w:val="1"/>
        </w:numPr>
        <w:tabs>
          <w:tab w:val="clear" w:pos="1440"/>
          <w:tab w:val="num" w:pos="1320"/>
        </w:tabs>
        <w:spacing w:line="240" w:lineRule="auto"/>
        <w:ind w:left="630" w:hanging="270"/>
        <w:rPr>
          <w:rFonts w:ascii="Arial" w:eastAsia="Times New Roman" w:hAnsi="Arial" w:cs="Arial"/>
          <w:sz w:val="24"/>
          <w:szCs w:val="20"/>
        </w:rPr>
      </w:pPr>
      <w:r w:rsidRPr="00555690">
        <w:rPr>
          <w:rFonts w:ascii="Arial" w:eastAsia="Times New Roman" w:hAnsi="Arial" w:cs="Arial"/>
          <w:sz w:val="24"/>
          <w:szCs w:val="20"/>
        </w:rPr>
        <w:t>The preliminary rate is the sum of the resulting Variable and Fixed Cost Per Diems.</w:t>
      </w:r>
    </w:p>
    <w:p w14:paraId="32DC634C" w14:textId="77777777" w:rsidR="00555690" w:rsidRPr="00555690" w:rsidRDefault="00555690" w:rsidP="00555690">
      <w:pPr>
        <w:spacing w:line="240" w:lineRule="auto"/>
        <w:rPr>
          <w:rFonts w:ascii="Arial" w:eastAsia="Times New Roman" w:hAnsi="Arial" w:cs="Arial"/>
          <w:sz w:val="24"/>
          <w:szCs w:val="20"/>
        </w:rPr>
      </w:pPr>
    </w:p>
    <w:p w14:paraId="4BDA2756" w14:textId="77777777" w:rsidR="00555690" w:rsidRPr="00555690" w:rsidRDefault="00555690" w:rsidP="00555690">
      <w:pPr>
        <w:spacing w:line="240" w:lineRule="auto"/>
        <w:rPr>
          <w:rFonts w:ascii="Arial" w:eastAsia="Times New Roman" w:hAnsi="Arial" w:cs="Arial"/>
          <w:i/>
          <w:iCs/>
          <w:sz w:val="24"/>
          <w:szCs w:val="20"/>
        </w:rPr>
      </w:pPr>
      <w:r w:rsidRPr="00555690">
        <w:rPr>
          <w:rFonts w:ascii="Arial" w:eastAsia="Times New Roman" w:hAnsi="Arial" w:cs="Arial"/>
          <w:i/>
          <w:iCs/>
          <w:sz w:val="24"/>
          <w:szCs w:val="20"/>
        </w:rPr>
        <w:t>DTA Days Adjustment Calculation:</w:t>
      </w:r>
    </w:p>
    <w:p w14:paraId="0B23E816" w14:textId="77777777" w:rsidR="00555690" w:rsidRPr="00555690" w:rsidRDefault="00555690" w:rsidP="005B0708">
      <w:pPr>
        <w:numPr>
          <w:ilvl w:val="0"/>
          <w:numId w:val="1"/>
        </w:numPr>
        <w:spacing w:line="240" w:lineRule="auto"/>
        <w:ind w:left="360"/>
        <w:rPr>
          <w:rFonts w:ascii="Arial" w:eastAsia="Times New Roman" w:hAnsi="Arial" w:cs="Arial"/>
          <w:sz w:val="24"/>
          <w:szCs w:val="20"/>
        </w:rPr>
      </w:pPr>
      <w:r w:rsidRPr="00555690">
        <w:rPr>
          <w:rFonts w:ascii="Arial" w:eastAsia="Times New Roman" w:hAnsi="Arial" w:cs="Arial"/>
          <w:sz w:val="24"/>
          <w:szCs w:val="20"/>
        </w:rPr>
        <w:t>For each rest home, calculate its DTA days percentage by dividing its DTA days by the facility’s total resident days, based on the 2023 cost report. The facility’s DTA Days Percentage Adjustment is equal to its DTA days percentage multiplied by $5.39.</w:t>
      </w:r>
    </w:p>
    <w:p w14:paraId="5B35E12A" w14:textId="63F5596F" w:rsidR="00F97162" w:rsidRDefault="00F97162">
      <w:pPr>
        <w:rPr>
          <w:rFonts w:ascii="Arial" w:eastAsia="Times New Roman" w:hAnsi="Arial" w:cs="Arial"/>
          <w:i/>
          <w:iCs/>
          <w:sz w:val="24"/>
          <w:szCs w:val="20"/>
        </w:rPr>
      </w:pPr>
    </w:p>
    <w:p w14:paraId="2808465D" w14:textId="03C29760" w:rsidR="00555690" w:rsidRPr="00555690" w:rsidRDefault="00555690" w:rsidP="00555690">
      <w:pPr>
        <w:spacing w:line="240" w:lineRule="auto"/>
        <w:rPr>
          <w:rFonts w:ascii="Arial" w:eastAsia="Times New Roman" w:hAnsi="Arial" w:cs="Arial"/>
          <w:i/>
          <w:iCs/>
          <w:sz w:val="24"/>
          <w:szCs w:val="20"/>
        </w:rPr>
      </w:pPr>
      <w:r w:rsidRPr="00555690">
        <w:rPr>
          <w:rFonts w:ascii="Arial" w:eastAsia="Times New Roman" w:hAnsi="Arial" w:cs="Arial"/>
          <w:i/>
          <w:iCs/>
          <w:sz w:val="24"/>
          <w:szCs w:val="20"/>
        </w:rPr>
        <w:t>Minimum Rate Change Adjustment:</w:t>
      </w:r>
    </w:p>
    <w:p w14:paraId="60802C15" w14:textId="77777777" w:rsidR="00555690" w:rsidRPr="00555690" w:rsidRDefault="00555690" w:rsidP="005B0708">
      <w:pPr>
        <w:numPr>
          <w:ilvl w:val="0"/>
          <w:numId w:val="1"/>
        </w:numPr>
        <w:tabs>
          <w:tab w:val="clear" w:pos="720"/>
          <w:tab w:val="num" w:pos="420"/>
        </w:tabs>
        <w:spacing w:line="240" w:lineRule="auto"/>
        <w:ind w:left="360"/>
        <w:rPr>
          <w:rFonts w:ascii="Arial" w:eastAsia="Times New Roman" w:hAnsi="Arial" w:cs="Arial"/>
          <w:sz w:val="24"/>
          <w:szCs w:val="20"/>
        </w:rPr>
      </w:pPr>
      <w:r w:rsidRPr="00555690">
        <w:rPr>
          <w:rFonts w:ascii="Arial" w:eastAsia="Times New Roman" w:hAnsi="Arial" w:cs="Arial"/>
          <w:sz w:val="24"/>
          <w:szCs w:val="20"/>
        </w:rPr>
        <w:t>For each rest home, calculate a new rate equal to the greater of</w:t>
      </w:r>
    </w:p>
    <w:p w14:paraId="30281AB7" w14:textId="65E90D96" w:rsidR="00555690" w:rsidRPr="00555690" w:rsidRDefault="00555690" w:rsidP="007A4CA2">
      <w:pPr>
        <w:numPr>
          <w:ilvl w:val="1"/>
          <w:numId w:val="1"/>
        </w:numPr>
        <w:tabs>
          <w:tab w:val="clear" w:pos="1440"/>
        </w:tabs>
        <w:spacing w:line="240" w:lineRule="auto"/>
        <w:ind w:left="630" w:hanging="270"/>
        <w:rPr>
          <w:rFonts w:ascii="Arial" w:eastAsia="Times New Roman" w:hAnsi="Arial" w:cs="Arial"/>
          <w:sz w:val="24"/>
          <w:szCs w:val="20"/>
        </w:rPr>
      </w:pPr>
      <w:r w:rsidRPr="00555690">
        <w:rPr>
          <w:rFonts w:ascii="Arial" w:eastAsia="Times New Roman" w:hAnsi="Arial" w:cs="Arial"/>
          <w:sz w:val="24"/>
          <w:szCs w:val="20"/>
        </w:rPr>
        <w:t>The sum of the preliminary rate and the DTA Days Percentage Adjustment, and</w:t>
      </w:r>
      <w:r w:rsidR="007A4CA2">
        <w:rPr>
          <w:rFonts w:ascii="Arial" w:eastAsia="Times New Roman" w:hAnsi="Arial" w:cs="Arial"/>
          <w:sz w:val="24"/>
          <w:szCs w:val="20"/>
        </w:rPr>
        <w:t xml:space="preserve"> </w:t>
      </w:r>
      <w:r w:rsidRPr="00555690">
        <w:rPr>
          <w:rFonts w:ascii="Arial" w:eastAsia="Times New Roman" w:hAnsi="Arial" w:cs="Arial"/>
          <w:sz w:val="24"/>
          <w:szCs w:val="20"/>
        </w:rPr>
        <w:t xml:space="preserve">capping the maximum decrease at 0% if applicable, or </w:t>
      </w:r>
    </w:p>
    <w:p w14:paraId="0D95A657" w14:textId="77777777" w:rsidR="00555690" w:rsidRPr="00555690" w:rsidRDefault="00555690" w:rsidP="005B0708">
      <w:pPr>
        <w:numPr>
          <w:ilvl w:val="1"/>
          <w:numId w:val="1"/>
        </w:numPr>
        <w:tabs>
          <w:tab w:val="clear" w:pos="1440"/>
          <w:tab w:val="num" w:pos="630"/>
        </w:tabs>
        <w:spacing w:line="240" w:lineRule="auto"/>
        <w:ind w:hanging="1080"/>
        <w:rPr>
          <w:rFonts w:ascii="Arial" w:eastAsia="Times New Roman" w:hAnsi="Arial" w:cs="Arial"/>
          <w:sz w:val="24"/>
          <w:szCs w:val="20"/>
        </w:rPr>
      </w:pPr>
      <w:r w:rsidRPr="00555690">
        <w:rPr>
          <w:rFonts w:ascii="Arial" w:eastAsia="Times New Roman" w:hAnsi="Arial" w:cs="Arial"/>
          <w:sz w:val="24"/>
          <w:szCs w:val="20"/>
        </w:rPr>
        <w:t>$105.</w:t>
      </w:r>
    </w:p>
    <w:p w14:paraId="411B1280" w14:textId="77777777" w:rsidR="00555690" w:rsidRPr="00555690" w:rsidRDefault="00555690" w:rsidP="00555690">
      <w:pPr>
        <w:spacing w:line="240" w:lineRule="auto"/>
        <w:rPr>
          <w:rFonts w:ascii="Arial" w:eastAsia="Times New Roman" w:hAnsi="Arial" w:cs="Arial"/>
          <w:sz w:val="24"/>
          <w:szCs w:val="20"/>
        </w:rPr>
      </w:pPr>
    </w:p>
    <w:p w14:paraId="46A1897F" w14:textId="77777777" w:rsidR="00555690" w:rsidRPr="00555690" w:rsidRDefault="00555690" w:rsidP="00555690">
      <w:pPr>
        <w:spacing w:line="240" w:lineRule="auto"/>
        <w:rPr>
          <w:rFonts w:ascii="Arial" w:eastAsia="Times New Roman" w:hAnsi="Arial" w:cs="Arial"/>
          <w:i/>
          <w:sz w:val="24"/>
          <w:szCs w:val="20"/>
        </w:rPr>
      </w:pPr>
      <w:r w:rsidRPr="00555690">
        <w:rPr>
          <w:rFonts w:ascii="Arial" w:eastAsia="Times New Roman" w:hAnsi="Arial" w:cs="Arial"/>
          <w:i/>
          <w:sz w:val="24"/>
          <w:szCs w:val="20"/>
        </w:rPr>
        <w:lastRenderedPageBreak/>
        <w:t>Resident Care Cost Quotient (RCC-Q) Downward Adjustment:</w:t>
      </w:r>
    </w:p>
    <w:p w14:paraId="3E24B48A" w14:textId="77777777" w:rsidR="00555690" w:rsidRPr="00555690" w:rsidRDefault="00555690" w:rsidP="007A4CA2">
      <w:pPr>
        <w:numPr>
          <w:ilvl w:val="0"/>
          <w:numId w:val="1"/>
        </w:numPr>
        <w:tabs>
          <w:tab w:val="clear" w:pos="720"/>
        </w:tabs>
        <w:spacing w:line="240" w:lineRule="auto"/>
        <w:ind w:left="360"/>
        <w:rPr>
          <w:rFonts w:ascii="Arial" w:eastAsia="Times New Roman" w:hAnsi="Arial" w:cs="Arial"/>
          <w:sz w:val="24"/>
          <w:szCs w:val="20"/>
        </w:rPr>
      </w:pPr>
      <w:r w:rsidRPr="00555690">
        <w:rPr>
          <w:rFonts w:ascii="Arial" w:eastAsia="Times New Roman" w:hAnsi="Arial" w:cs="Arial"/>
          <w:sz w:val="24"/>
          <w:szCs w:val="20"/>
        </w:rPr>
        <w:t xml:space="preserve">For each rest home, calculate its FY2025 RCC-Q by dividing certain rest home expenses by revenue, excluding any revenue from non-rest home lines of business, based on cost reports that facilities are required to file. </w:t>
      </w:r>
    </w:p>
    <w:p w14:paraId="212EDF16" w14:textId="77777777" w:rsidR="00555690" w:rsidRPr="00555690" w:rsidRDefault="00555690" w:rsidP="007A4CA2">
      <w:pPr>
        <w:numPr>
          <w:ilvl w:val="0"/>
          <w:numId w:val="1"/>
        </w:numPr>
        <w:tabs>
          <w:tab w:val="clear" w:pos="720"/>
          <w:tab w:val="num" w:pos="330"/>
        </w:tabs>
        <w:spacing w:line="240" w:lineRule="auto"/>
        <w:ind w:left="360"/>
        <w:rPr>
          <w:rFonts w:ascii="Arial" w:eastAsia="Times New Roman" w:hAnsi="Arial" w:cs="Arial"/>
          <w:sz w:val="24"/>
          <w:szCs w:val="20"/>
        </w:rPr>
      </w:pPr>
      <w:r w:rsidRPr="00555690">
        <w:rPr>
          <w:rFonts w:ascii="Arial" w:eastAsia="Times New Roman" w:hAnsi="Arial" w:cs="Arial"/>
          <w:sz w:val="24"/>
          <w:szCs w:val="20"/>
        </w:rPr>
        <w:t xml:space="preserve">For non-exempt facilities with FY2025 RCC-Q scores that fall below the established threshold of 80%, a downward adjustment is applied to their rate as calculated above. </w:t>
      </w:r>
    </w:p>
    <w:p w14:paraId="1E311760" w14:textId="77777777" w:rsidR="00555690" w:rsidRPr="00555690" w:rsidRDefault="00555690" w:rsidP="007A4CA2">
      <w:pPr>
        <w:numPr>
          <w:ilvl w:val="1"/>
          <w:numId w:val="1"/>
        </w:numPr>
        <w:tabs>
          <w:tab w:val="clear" w:pos="1440"/>
        </w:tabs>
        <w:spacing w:line="240" w:lineRule="auto"/>
        <w:ind w:left="630" w:hanging="270"/>
        <w:rPr>
          <w:rFonts w:ascii="Arial" w:eastAsia="Times New Roman" w:hAnsi="Arial" w:cs="Arial"/>
          <w:sz w:val="24"/>
          <w:szCs w:val="20"/>
        </w:rPr>
      </w:pPr>
      <w:r w:rsidRPr="00555690">
        <w:rPr>
          <w:rFonts w:ascii="Arial" w:eastAsia="Times New Roman" w:hAnsi="Arial" w:cs="Arial"/>
          <w:sz w:val="24"/>
          <w:szCs w:val="20"/>
        </w:rPr>
        <w:t xml:space="preserve">For every 1 percentage point that the facility’s RCC-Q is below the threshold, the downward adjustment is 0.5% of the rate, up to a maximum of a 5% downward adjustment. </w:t>
      </w:r>
    </w:p>
    <w:p w14:paraId="5EFB1620" w14:textId="77777777" w:rsidR="00160C08" w:rsidRPr="00160C08" w:rsidRDefault="00160C08" w:rsidP="007A4CA2">
      <w:pPr>
        <w:numPr>
          <w:ilvl w:val="0"/>
          <w:numId w:val="1"/>
        </w:numPr>
        <w:tabs>
          <w:tab w:val="clear" w:pos="720"/>
        </w:tabs>
        <w:spacing w:line="240" w:lineRule="auto"/>
        <w:ind w:left="360"/>
        <w:rPr>
          <w:rFonts w:ascii="Arial" w:eastAsia="Times New Roman" w:hAnsi="Arial" w:cs="Arial"/>
          <w:sz w:val="24"/>
          <w:szCs w:val="20"/>
        </w:rPr>
      </w:pPr>
      <w:r w:rsidRPr="00160C08">
        <w:rPr>
          <w:rFonts w:ascii="Arial" w:eastAsia="Times New Roman" w:hAnsi="Arial" w:cs="Arial"/>
          <w:sz w:val="24"/>
          <w:szCs w:val="20"/>
        </w:rPr>
        <w:t xml:space="preserve">For non-exempt facilities with an audited FY2024 RCC-Q score that fell below the established threshold of 80%, a downward adjustment is applied to their rate. </w:t>
      </w:r>
    </w:p>
    <w:p w14:paraId="618CB166" w14:textId="77777777" w:rsidR="00160C08" w:rsidRPr="00160C08" w:rsidRDefault="00160C08" w:rsidP="007A4CA2">
      <w:pPr>
        <w:numPr>
          <w:ilvl w:val="1"/>
          <w:numId w:val="1"/>
        </w:numPr>
        <w:tabs>
          <w:tab w:val="clear" w:pos="1440"/>
        </w:tabs>
        <w:spacing w:line="240" w:lineRule="auto"/>
        <w:ind w:left="630" w:hanging="270"/>
        <w:rPr>
          <w:rFonts w:ascii="Arial" w:eastAsia="Times New Roman" w:hAnsi="Arial" w:cs="Arial"/>
          <w:sz w:val="24"/>
          <w:szCs w:val="20"/>
        </w:rPr>
      </w:pPr>
      <w:r w:rsidRPr="00160C08">
        <w:rPr>
          <w:rFonts w:ascii="Arial" w:eastAsia="Times New Roman" w:hAnsi="Arial" w:cs="Arial"/>
          <w:sz w:val="24"/>
          <w:szCs w:val="20"/>
        </w:rPr>
        <w:t>Language was added to the regulation effective January 1, 2025, to indicate that if a facility’s audit shows that their score was in fact below the 80% threshold in the prior fiscal year, a downward adjustment to their currently effective rate will be calculated, and the dollar value of this adjustment will be applied to the newly established rate in the following rate period.</w:t>
      </w:r>
    </w:p>
    <w:p w14:paraId="6D7E85D8" w14:textId="77777777" w:rsidR="00160C08" w:rsidRPr="00160C08" w:rsidRDefault="00160C08" w:rsidP="007A4CA2">
      <w:pPr>
        <w:numPr>
          <w:ilvl w:val="1"/>
          <w:numId w:val="1"/>
        </w:numPr>
        <w:tabs>
          <w:tab w:val="clear" w:pos="1440"/>
        </w:tabs>
        <w:spacing w:line="240" w:lineRule="auto"/>
        <w:ind w:left="630" w:hanging="270"/>
        <w:rPr>
          <w:rFonts w:ascii="Arial" w:eastAsia="Times New Roman" w:hAnsi="Arial" w:cs="Arial"/>
          <w:sz w:val="24"/>
          <w:szCs w:val="20"/>
        </w:rPr>
      </w:pPr>
      <w:r w:rsidRPr="00160C08">
        <w:rPr>
          <w:rFonts w:ascii="Arial" w:eastAsia="Times New Roman" w:hAnsi="Arial" w:cs="Arial"/>
          <w:sz w:val="24"/>
          <w:szCs w:val="20"/>
        </w:rPr>
        <w:t xml:space="preserve">An audit of FY24 RCC-Q scores that were used during the FY25 rate calculations found that two facilities’ actual RCC-Q scores were below 80%. To account for this, a downward adjustment was calculated based on a percentage of their rates in effect November 30, 2025, and the dollar value of this adjustment is proposed to be applied beginning in their rates effective December 1, 2025. </w:t>
      </w:r>
    </w:p>
    <w:p w14:paraId="29E1AFF9" w14:textId="77777777" w:rsidR="00160C08" w:rsidRPr="00160C08" w:rsidRDefault="00160C08" w:rsidP="00160C08">
      <w:pPr>
        <w:spacing w:line="240" w:lineRule="auto"/>
        <w:rPr>
          <w:rFonts w:ascii="Arial" w:eastAsia="Times New Roman" w:hAnsi="Arial" w:cs="Arial"/>
          <w:i/>
          <w:iCs/>
          <w:sz w:val="24"/>
          <w:szCs w:val="20"/>
        </w:rPr>
      </w:pPr>
    </w:p>
    <w:p w14:paraId="5228AAB7" w14:textId="77777777" w:rsidR="00160C08" w:rsidRPr="00160C08" w:rsidRDefault="00160C08" w:rsidP="00160C08">
      <w:pPr>
        <w:spacing w:line="240" w:lineRule="auto"/>
        <w:rPr>
          <w:rFonts w:ascii="Arial" w:eastAsia="Times New Roman" w:hAnsi="Arial" w:cs="Arial"/>
          <w:i/>
          <w:iCs/>
          <w:sz w:val="24"/>
          <w:szCs w:val="20"/>
        </w:rPr>
      </w:pPr>
      <w:r w:rsidRPr="00160C08">
        <w:rPr>
          <w:rFonts w:ascii="Arial" w:eastAsia="Times New Roman" w:hAnsi="Arial" w:cs="Arial"/>
          <w:i/>
          <w:iCs/>
          <w:sz w:val="24"/>
          <w:szCs w:val="20"/>
        </w:rPr>
        <w:t>Resident Care Add-on Adjustment:</w:t>
      </w:r>
    </w:p>
    <w:p w14:paraId="7D29FE5A" w14:textId="77777777" w:rsidR="00160C08" w:rsidRPr="00160C08" w:rsidRDefault="00160C08" w:rsidP="007A4CA2">
      <w:pPr>
        <w:numPr>
          <w:ilvl w:val="0"/>
          <w:numId w:val="3"/>
        </w:numPr>
        <w:spacing w:line="240" w:lineRule="auto"/>
        <w:ind w:left="360"/>
        <w:rPr>
          <w:rFonts w:ascii="Arial" w:eastAsia="Times New Roman" w:hAnsi="Arial" w:cs="Arial"/>
          <w:sz w:val="24"/>
          <w:szCs w:val="20"/>
        </w:rPr>
      </w:pPr>
      <w:r w:rsidRPr="00160C08">
        <w:rPr>
          <w:rFonts w:ascii="Arial" w:eastAsia="Times New Roman" w:hAnsi="Arial" w:cs="Arial"/>
          <w:sz w:val="24"/>
          <w:szCs w:val="20"/>
        </w:rPr>
        <w:t>Facilities that do not receive RCC-Q downward adjustments will receive a resident care add-on adjustment of $0.89 to the proposed rate as calculated above.</w:t>
      </w:r>
    </w:p>
    <w:p w14:paraId="4F0FB4A9" w14:textId="77777777" w:rsidR="00160C08" w:rsidRPr="00160C08" w:rsidRDefault="00160C08" w:rsidP="00160C08">
      <w:pPr>
        <w:spacing w:line="240" w:lineRule="auto"/>
        <w:rPr>
          <w:rFonts w:ascii="Arial" w:eastAsia="Times New Roman" w:hAnsi="Arial" w:cs="Arial"/>
          <w:sz w:val="24"/>
          <w:szCs w:val="20"/>
        </w:rPr>
      </w:pPr>
    </w:p>
    <w:p w14:paraId="28929BE0" w14:textId="77777777" w:rsidR="00160C08" w:rsidRPr="00160C08" w:rsidRDefault="00160C08" w:rsidP="00160C08">
      <w:pPr>
        <w:spacing w:line="240" w:lineRule="auto"/>
        <w:rPr>
          <w:rFonts w:ascii="Arial" w:eastAsia="Times New Roman" w:hAnsi="Arial" w:cs="Arial"/>
          <w:i/>
          <w:iCs/>
          <w:sz w:val="24"/>
          <w:szCs w:val="20"/>
        </w:rPr>
      </w:pPr>
      <w:r w:rsidRPr="00160C08">
        <w:rPr>
          <w:rFonts w:ascii="Arial" w:eastAsia="Times New Roman" w:hAnsi="Arial" w:cs="Arial"/>
          <w:i/>
          <w:iCs/>
          <w:sz w:val="24"/>
          <w:szCs w:val="20"/>
        </w:rPr>
        <w:t>Maximum Rate Change Adjustment:</w:t>
      </w:r>
    </w:p>
    <w:p w14:paraId="1B72AA1B" w14:textId="77777777" w:rsidR="00160C08" w:rsidRPr="00160C08" w:rsidRDefault="00160C08" w:rsidP="007A4CA2">
      <w:pPr>
        <w:numPr>
          <w:ilvl w:val="0"/>
          <w:numId w:val="1"/>
        </w:numPr>
        <w:tabs>
          <w:tab w:val="clear" w:pos="720"/>
        </w:tabs>
        <w:spacing w:line="240" w:lineRule="auto"/>
        <w:ind w:left="360"/>
        <w:rPr>
          <w:rFonts w:ascii="Arial" w:eastAsia="Times New Roman" w:hAnsi="Arial" w:cs="Arial"/>
          <w:sz w:val="24"/>
          <w:szCs w:val="20"/>
        </w:rPr>
      </w:pPr>
      <w:r w:rsidRPr="00160C08">
        <w:rPr>
          <w:rFonts w:ascii="Arial" w:eastAsia="Times New Roman" w:hAnsi="Arial" w:cs="Arial"/>
          <w:sz w:val="24"/>
          <w:szCs w:val="20"/>
        </w:rPr>
        <w:t>If the rate calculated above exceeds the current rate effective November 30, 2025, plus $0.89, the facility will receive a negative adjustment such that the new rate effective December 1, 2025, will be equal to the current rate effective November 30, 2025, plus $0.89.</w:t>
      </w:r>
    </w:p>
    <w:p w14:paraId="67257635" w14:textId="5C5A832F" w:rsidR="009E1FF9" w:rsidRDefault="009E1FF9" w:rsidP="001B7FE3">
      <w:pPr>
        <w:spacing w:line="240" w:lineRule="auto"/>
        <w:rPr>
          <w:rFonts w:ascii="Arial" w:eastAsia="Times New Roman" w:hAnsi="Arial" w:cs="Arial"/>
          <w:sz w:val="24"/>
          <w:szCs w:val="20"/>
        </w:rPr>
      </w:pPr>
    </w:p>
    <w:p w14:paraId="29C8920C" w14:textId="77777777" w:rsidR="00A6612E" w:rsidRPr="00A6612E" w:rsidRDefault="00A6612E" w:rsidP="00A6612E">
      <w:pPr>
        <w:spacing w:line="240" w:lineRule="auto"/>
        <w:rPr>
          <w:rFonts w:ascii="Arial" w:eastAsia="Times New Roman" w:hAnsi="Arial" w:cs="Arial"/>
          <w:i/>
          <w:iCs/>
          <w:sz w:val="24"/>
          <w:szCs w:val="20"/>
        </w:rPr>
      </w:pPr>
      <w:r w:rsidRPr="00A6612E">
        <w:rPr>
          <w:rFonts w:ascii="Arial" w:eastAsia="Times New Roman" w:hAnsi="Arial" w:cs="Arial"/>
          <w:i/>
          <w:iCs/>
          <w:sz w:val="24"/>
          <w:szCs w:val="20"/>
        </w:rPr>
        <w:t>Annualization Adjustment:</w:t>
      </w:r>
    </w:p>
    <w:p w14:paraId="0E97A45E" w14:textId="77777777" w:rsidR="00A6612E" w:rsidRPr="00A6612E" w:rsidRDefault="00A6612E" w:rsidP="007A4CA2">
      <w:pPr>
        <w:numPr>
          <w:ilvl w:val="0"/>
          <w:numId w:val="1"/>
        </w:numPr>
        <w:tabs>
          <w:tab w:val="clear" w:pos="720"/>
        </w:tabs>
        <w:spacing w:line="240" w:lineRule="auto"/>
        <w:ind w:left="360"/>
        <w:rPr>
          <w:rFonts w:ascii="Arial" w:eastAsia="Times New Roman" w:hAnsi="Arial" w:cs="Arial"/>
          <w:sz w:val="24"/>
          <w:szCs w:val="20"/>
        </w:rPr>
      </w:pPr>
      <w:r w:rsidRPr="00A6612E">
        <w:rPr>
          <w:rFonts w:ascii="Arial" w:eastAsia="Times New Roman" w:hAnsi="Arial" w:cs="Arial"/>
          <w:sz w:val="24"/>
          <w:szCs w:val="20"/>
        </w:rPr>
        <w:t>For rates effective December 1 through December 31, 2025, apply an annualization adjustment of 196.77% of the difference between the new rate and the current rate, to cover the 61 days from October 1 through November 30, 2025.</w:t>
      </w:r>
    </w:p>
    <w:p w14:paraId="6A8951A2" w14:textId="77777777" w:rsidR="00A6612E" w:rsidRPr="00A6612E" w:rsidRDefault="00A6612E" w:rsidP="00A6612E">
      <w:pPr>
        <w:spacing w:line="240" w:lineRule="auto"/>
        <w:rPr>
          <w:rFonts w:ascii="Arial" w:eastAsia="Times New Roman" w:hAnsi="Arial" w:cs="Arial"/>
          <w:sz w:val="24"/>
          <w:szCs w:val="20"/>
        </w:rPr>
      </w:pPr>
    </w:p>
    <w:p w14:paraId="742C00FD" w14:textId="77777777" w:rsidR="00A6612E" w:rsidRPr="00A6612E" w:rsidRDefault="00A6612E" w:rsidP="00A6612E">
      <w:pPr>
        <w:spacing w:line="240" w:lineRule="auto"/>
        <w:rPr>
          <w:rFonts w:ascii="Arial" w:eastAsia="Times New Roman" w:hAnsi="Arial" w:cs="Arial"/>
          <w:sz w:val="24"/>
          <w:szCs w:val="20"/>
        </w:rPr>
      </w:pPr>
      <w:r w:rsidRPr="00A6612E">
        <w:rPr>
          <w:rFonts w:ascii="Arial" w:eastAsia="Times New Roman" w:hAnsi="Arial" w:cs="Arial"/>
          <w:sz w:val="24"/>
          <w:szCs w:val="20"/>
        </w:rPr>
        <w:t xml:space="preserve">The per diem rates effective as of November 30, 2025, for rest homes range from $105.00 to $242.83, with a median of $150.60. For the period beginning January 1, 2026, the proposed rates will range from $99.75 to $243.72, with a median of $148.66. </w:t>
      </w:r>
    </w:p>
    <w:p w14:paraId="572EEF48" w14:textId="77777777" w:rsidR="00A6612E" w:rsidRPr="00A6612E" w:rsidRDefault="00A6612E" w:rsidP="00A6612E">
      <w:pPr>
        <w:spacing w:line="240" w:lineRule="auto"/>
        <w:rPr>
          <w:rFonts w:ascii="Arial" w:eastAsia="Times New Roman" w:hAnsi="Arial" w:cs="Arial"/>
          <w:sz w:val="24"/>
          <w:szCs w:val="20"/>
        </w:rPr>
      </w:pPr>
    </w:p>
    <w:p w14:paraId="621F5119" w14:textId="77777777" w:rsidR="00A6612E" w:rsidRPr="00A6612E" w:rsidRDefault="00A6612E" w:rsidP="00A6612E">
      <w:pPr>
        <w:spacing w:line="240" w:lineRule="auto"/>
        <w:rPr>
          <w:rFonts w:ascii="Arial" w:eastAsia="Times New Roman" w:hAnsi="Arial" w:cs="Arial"/>
          <w:sz w:val="24"/>
          <w:szCs w:val="20"/>
        </w:rPr>
      </w:pPr>
      <w:r w:rsidRPr="00A6612E">
        <w:rPr>
          <w:rFonts w:ascii="Arial" w:eastAsia="Times New Roman" w:hAnsi="Arial" w:cs="Arial"/>
          <w:sz w:val="24"/>
          <w:szCs w:val="20"/>
        </w:rPr>
        <w:t>New language in the regulation describes how the appropriated $4,000,000 in budgeted funding will be allocated to all rest homes and nursing facilities with Level IV beds proportionally distributed based on the number of public Level IV bed days reported in their CY2023 cost report.</w:t>
      </w:r>
    </w:p>
    <w:p w14:paraId="023AEDFC" w14:textId="77777777" w:rsidR="00A6612E" w:rsidRDefault="00A6612E" w:rsidP="001B7FE3">
      <w:pPr>
        <w:spacing w:line="240" w:lineRule="auto"/>
        <w:rPr>
          <w:rFonts w:ascii="Arial" w:eastAsia="Times New Roman" w:hAnsi="Arial" w:cs="Arial"/>
          <w:sz w:val="24"/>
          <w:szCs w:val="20"/>
        </w:rPr>
      </w:pPr>
    </w:p>
    <w:p w14:paraId="32013FDE" w14:textId="77777777" w:rsidR="00496198" w:rsidRPr="00496198" w:rsidRDefault="00496198" w:rsidP="00496198">
      <w:pPr>
        <w:spacing w:line="240" w:lineRule="auto"/>
        <w:rPr>
          <w:rFonts w:ascii="Arial" w:eastAsia="Times New Roman" w:hAnsi="Arial" w:cs="Arial"/>
          <w:sz w:val="24"/>
          <w:szCs w:val="20"/>
        </w:rPr>
      </w:pPr>
      <w:r w:rsidRPr="00496198">
        <w:rPr>
          <w:rFonts w:ascii="Arial" w:eastAsia="Times New Roman" w:hAnsi="Arial" w:cs="Arial"/>
          <w:sz w:val="24"/>
          <w:szCs w:val="20"/>
        </w:rPr>
        <w:t>Additional amendments are being proposed to update the scope of the regulation and the rates within the regulation.</w:t>
      </w:r>
      <w:r w:rsidRPr="00496198" w:rsidDel="009267D0">
        <w:rPr>
          <w:rFonts w:ascii="Arial" w:eastAsia="Times New Roman" w:hAnsi="Arial" w:cs="Arial"/>
          <w:sz w:val="24"/>
          <w:szCs w:val="20"/>
        </w:rPr>
        <w:t xml:space="preserve"> </w:t>
      </w:r>
    </w:p>
    <w:p w14:paraId="75081146" w14:textId="77777777" w:rsidR="00A6612E" w:rsidRDefault="00A6612E" w:rsidP="001B7FE3">
      <w:pPr>
        <w:spacing w:line="240" w:lineRule="auto"/>
        <w:rPr>
          <w:rFonts w:ascii="Arial" w:eastAsia="Times New Roman" w:hAnsi="Arial" w:cs="Arial"/>
          <w:sz w:val="24"/>
          <w:szCs w:val="20"/>
        </w:rPr>
      </w:pPr>
    </w:p>
    <w:p w14:paraId="245854CD" w14:textId="5BD759AA" w:rsidR="003F512B" w:rsidRPr="001B7FE3" w:rsidRDefault="003F512B" w:rsidP="003F512B">
      <w:pPr>
        <w:spacing w:line="240" w:lineRule="auto"/>
        <w:rPr>
          <w:rFonts w:ascii="Arial" w:eastAsia="Times New Roman" w:hAnsi="Arial" w:cs="Arial"/>
          <w:sz w:val="24"/>
          <w:szCs w:val="20"/>
        </w:rPr>
      </w:pPr>
      <w:r w:rsidRPr="003F512B">
        <w:rPr>
          <w:rFonts w:ascii="Arial" w:eastAsia="Times New Roman" w:hAnsi="Arial" w:cs="Arial"/>
          <w:sz w:val="24"/>
          <w:szCs w:val="20"/>
        </w:rPr>
        <w:lastRenderedPageBreak/>
        <w:t xml:space="preserve">There is no anticipated change in annual aggregate state expenditures to eligible resident care facilities based on the proposed amendments to rates effective December 1, 2025. There is an annual fiscal impact of $4,000,000 resulting from the FY2025 Supplemental Payment.  </w:t>
      </w:r>
    </w:p>
    <w:p w14:paraId="726844FB" w14:textId="77777777" w:rsidR="00456CD2" w:rsidRPr="001B7FE3" w:rsidRDefault="00456CD2" w:rsidP="001B7FE3">
      <w:pPr>
        <w:spacing w:line="240" w:lineRule="auto"/>
        <w:rPr>
          <w:rFonts w:ascii="Arial" w:eastAsia="Times New Roman" w:hAnsi="Arial" w:cs="Arial"/>
          <w:sz w:val="24"/>
          <w:szCs w:val="20"/>
        </w:rPr>
      </w:pPr>
    </w:p>
    <w:p w14:paraId="74709A5E" w14:textId="3EC42C34" w:rsidR="002F1FAF" w:rsidRPr="002F1FAF" w:rsidRDefault="00182D45" w:rsidP="002F1FAF">
      <w:pPr>
        <w:tabs>
          <w:tab w:val="left" w:pos="-720"/>
        </w:tabs>
        <w:suppressAutoHyphens/>
        <w:spacing w:line="240" w:lineRule="auto"/>
        <w:rPr>
          <w:rFonts w:ascii="Arial" w:eastAsia="Times New Roman" w:hAnsi="Arial" w:cs="Arial"/>
          <w:sz w:val="24"/>
          <w:szCs w:val="20"/>
        </w:rPr>
      </w:pPr>
      <w:r w:rsidRPr="00182D45">
        <w:rPr>
          <w:rFonts w:ascii="Arial" w:eastAsia="Times New Roman" w:hAnsi="Arial" w:cs="Arial"/>
          <w:sz w:val="24"/>
          <w:szCs w:val="24"/>
        </w:rPr>
        <w:t xml:space="preserve">To register to testify at the hearing and to get instructions on how to join the hearing online, go to </w:t>
      </w:r>
      <w:hyperlink r:id="rId7" w:history="1">
        <w:r w:rsidR="00C6027C" w:rsidRPr="00C6027C">
          <w:rPr>
            <w:rStyle w:val="Hyperlink"/>
            <w:rFonts w:ascii="Arial" w:eastAsia="Times New Roman" w:hAnsi="Arial" w:cs="Arial"/>
            <w:sz w:val="24"/>
            <w:szCs w:val="24"/>
          </w:rPr>
          <w:t>www.mass.gov/info-details/executive-office-of-health-and-human-services-public-hearings</w:t>
        </w:r>
      </w:hyperlink>
      <w:r w:rsidRPr="00182D45">
        <w:rPr>
          <w:rFonts w:ascii="Arial" w:eastAsia="Times New Roman" w:hAnsi="Arial" w:cs="Arial"/>
          <w:sz w:val="24"/>
          <w:szCs w:val="24"/>
        </w:rPr>
        <w:t xml:space="preserve">. </w:t>
      </w:r>
      <w:r w:rsidR="002F1FAF" w:rsidRPr="002F1FAF">
        <w:rPr>
          <w:rFonts w:ascii="Arial" w:eastAsia="Times New Roman" w:hAnsi="Arial" w:cs="Arial"/>
          <w:sz w:val="24"/>
          <w:szCs w:val="20"/>
        </w:rPr>
        <w:t>To join the hearing by phone, call (646) 558-8656 and enter meeting ID 935 397 8200# when prompted.</w:t>
      </w:r>
    </w:p>
    <w:p w14:paraId="4981C3C3" w14:textId="77777777" w:rsidR="004F78F1" w:rsidRPr="00393499" w:rsidRDefault="004F78F1" w:rsidP="006C7845">
      <w:pPr>
        <w:tabs>
          <w:tab w:val="left" w:pos="-720"/>
        </w:tabs>
        <w:suppressAutoHyphens/>
        <w:spacing w:line="240" w:lineRule="auto"/>
        <w:rPr>
          <w:rFonts w:ascii="Arial" w:hAnsi="Arial"/>
          <w:color w:val="000000"/>
          <w:sz w:val="24"/>
        </w:rPr>
      </w:pPr>
    </w:p>
    <w:p w14:paraId="571A679F" w14:textId="49C5360F" w:rsidR="006C7845" w:rsidRDefault="004E3A7B" w:rsidP="006C7845">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8" w:history="1">
        <w:r w:rsidRPr="00F83259">
          <w:rPr>
            <w:rStyle w:val="Hyperlink"/>
            <w:rFonts w:ascii="Arial" w:eastAsia="Times New Roman" w:hAnsi="Arial" w:cs="Arial"/>
            <w:sz w:val="24"/>
            <w:szCs w:val="24"/>
          </w:rPr>
          <w:t>ehs-regulations@mass.gov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or PDF</w:t>
      </w:r>
      <w:r w:rsidR="00740217">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182D45">
        <w:rPr>
          <w:rFonts w:ascii="Arial" w:eastAsia="Times New Roman" w:hAnsi="Arial" w:cs="Arial"/>
          <w:sz w:val="24"/>
          <w:szCs w:val="24"/>
        </w:rPr>
        <w:t>will be accepted through</w:t>
      </w:r>
      <w:r w:rsidR="001B7FE3" w:rsidRPr="001B7FE3" w:rsidDel="004F78F1">
        <w:rPr>
          <w:rFonts w:ascii="Arial" w:eastAsia="Times New Roman" w:hAnsi="Arial" w:cs="Arial"/>
          <w:sz w:val="24"/>
          <w:szCs w:val="24"/>
        </w:rPr>
        <w:t xml:space="preserve"> 5:00 p.m. on </w:t>
      </w:r>
      <w:r w:rsidR="00290781" w:rsidRPr="00002B73">
        <w:rPr>
          <w:rFonts w:ascii="Arial" w:eastAsia="Times New Roman" w:hAnsi="Arial" w:cs="Arial"/>
          <w:sz w:val="24"/>
          <w:szCs w:val="24"/>
        </w:rPr>
        <w:t>Mon</w:t>
      </w:r>
      <w:r w:rsidR="000C12A9" w:rsidRPr="00002B73">
        <w:rPr>
          <w:rFonts w:ascii="Arial" w:eastAsia="Times New Roman" w:hAnsi="Arial" w:cs="Arial"/>
          <w:sz w:val="24"/>
          <w:szCs w:val="24"/>
        </w:rPr>
        <w:t xml:space="preserve">day, </w:t>
      </w:r>
      <w:r w:rsidR="002B4E51">
        <w:rPr>
          <w:rFonts w:ascii="Arial" w:eastAsia="Times New Roman" w:hAnsi="Arial" w:cs="Arial"/>
          <w:sz w:val="24"/>
          <w:szCs w:val="24"/>
        </w:rPr>
        <w:t>January 5</w:t>
      </w:r>
      <w:r w:rsidR="000C12A9">
        <w:rPr>
          <w:rFonts w:ascii="Arial" w:eastAsia="Times New Roman" w:hAnsi="Arial" w:cs="Arial"/>
          <w:sz w:val="24"/>
          <w:szCs w:val="24"/>
        </w:rPr>
        <w:t>, 202</w:t>
      </w:r>
      <w:r w:rsidR="002B4E51">
        <w:rPr>
          <w:rFonts w:ascii="Arial" w:eastAsia="Times New Roman" w:hAnsi="Arial" w:cs="Arial"/>
          <w:sz w:val="24"/>
          <w:szCs w:val="24"/>
        </w:rPr>
        <w:t>6</w:t>
      </w:r>
      <w:r w:rsidR="001B7FE3" w:rsidRPr="001B7FE3" w:rsidDel="004F78F1">
        <w:rPr>
          <w:rFonts w:ascii="Arial" w:eastAsia="Times New Roman" w:hAnsi="Arial" w:cs="Arial"/>
          <w:sz w:val="24"/>
          <w:szCs w:val="24"/>
        </w:rPr>
        <w:t xml:space="preserve">. </w:t>
      </w:r>
      <w:r w:rsidR="006C7845">
        <w:rPr>
          <w:rFonts w:ascii="Arial" w:hAnsi="Arial" w:cs="Arial"/>
          <w:sz w:val="24"/>
          <w:szCs w:val="24"/>
        </w:rPr>
        <w:t>EOHHS specifically invites comments as to how the amendments may affect beneficiary access to care for MassHealth-covered services.</w:t>
      </w:r>
    </w:p>
    <w:p w14:paraId="79716CD8" w14:textId="77777777" w:rsidR="007F4487" w:rsidRDefault="007F4487" w:rsidP="00393499">
      <w:pPr>
        <w:pStyle w:val="Standard"/>
        <w:suppressAutoHyphens w:val="0"/>
        <w:spacing w:line="240" w:lineRule="auto"/>
        <w:rPr>
          <w:rFonts w:ascii="Arial" w:eastAsia="Times New Roman" w:hAnsi="Arial" w:cs="Arial"/>
          <w:bCs/>
          <w:sz w:val="24"/>
          <w:szCs w:val="24"/>
        </w:rPr>
      </w:pPr>
    </w:p>
    <w:p w14:paraId="260EB7D3" w14:textId="30486097"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w:t>
      </w:r>
      <w:r w:rsidR="008B2E3C" w:rsidRPr="008B2E3C">
        <w:rPr>
          <w:rFonts w:ascii="Arial" w:eastAsia="Times New Roman" w:hAnsi="Arial" w:cs="Arial"/>
          <w:bCs/>
          <w:sz w:val="24"/>
          <w:szCs w:val="24"/>
        </w:rPr>
        <w:t>emergency 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hyperlink r:id="rId9" w:history="1">
        <w:r w:rsidR="00C6027C" w:rsidRPr="00092D2A">
          <w:rPr>
            <w:rStyle w:val="Hyperlink"/>
            <w:rFonts w:ascii="Arial" w:eastAsia="Times New Roman" w:hAnsi="Arial" w:cs="Arial"/>
            <w:sz w:val="24"/>
            <w:szCs w:val="20"/>
          </w:rPr>
          <w:t>www.mass.gov/info-details/executive-office-of-health-and-human-services-public-hearings</w:t>
        </w:r>
      </w:hyperlink>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r w:rsidR="000B417E" w:rsidRPr="000B417E">
        <w:rPr>
          <w:rFonts w:ascii="Arial" w:eastAsia="Times New Roman" w:hAnsi="Arial" w:cs="Arial"/>
          <w:sz w:val="24"/>
          <w:szCs w:val="24"/>
        </w:rPr>
        <w:t>To view or download related supporting materials, go to</w:t>
      </w:r>
      <w:r w:rsidR="000B417E" w:rsidRPr="00393499">
        <w:rPr>
          <w:rFonts w:ascii="Arial" w:hAnsi="Arial"/>
          <w:color w:val="FF0000"/>
          <w:sz w:val="24"/>
        </w:rPr>
        <w:t xml:space="preserve"> </w:t>
      </w:r>
      <w:hyperlink r:id="rId10" w:history="1">
        <w:r w:rsidR="00C6027C" w:rsidRPr="00092D2A">
          <w:rPr>
            <w:rStyle w:val="Hyperlink"/>
            <w:rFonts w:ascii="Arial" w:eastAsia="Times New Roman" w:hAnsi="Arial" w:cs="Arial"/>
            <w:sz w:val="24"/>
            <w:szCs w:val="24"/>
          </w:rPr>
          <w:t>www.mass.gov/info-details/proposed-regulations-supporting-materials</w:t>
        </w:r>
      </w:hyperlink>
      <w:r w:rsidR="000B417E" w:rsidRPr="000B417E">
        <w:rPr>
          <w:rFonts w:ascii="Arial" w:eastAsia="Times New Roman" w:hAnsi="Arial" w:cs="Arial"/>
          <w:sz w:val="24"/>
          <w:szCs w:val="24"/>
        </w:rPr>
        <w:t>.</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08E9E703"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11" w:history="1">
        <w:r w:rsidR="009D0631" w:rsidRPr="009D0631">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1DF2DB1A" w:rsidR="001B7FE3" w:rsidRPr="001B7FE3" w:rsidRDefault="001B7FE3" w:rsidP="001B7FE3">
      <w:pPr>
        <w:spacing w:line="240" w:lineRule="auto"/>
        <w:rPr>
          <w:rFonts w:ascii="Arial" w:eastAsia="Times New Roman" w:hAnsi="Arial" w:cs="Arial"/>
          <w:bCs/>
          <w:sz w:val="24"/>
          <w:szCs w:val="20"/>
        </w:rPr>
      </w:pPr>
      <w:r w:rsidRPr="001B7FE3">
        <w:rPr>
          <w:rFonts w:ascii="Arial" w:eastAsia="Times New Roman" w:hAnsi="Arial" w:cs="Arial"/>
          <w:bCs/>
          <w:sz w:val="24"/>
          <w:szCs w:val="20"/>
        </w:rPr>
        <w:t xml:space="preserve">EOHHS may adopt a </w:t>
      </w:r>
      <w:r w:rsidR="008B2E3C" w:rsidRPr="008B2E3C">
        <w:rPr>
          <w:rFonts w:ascii="Arial" w:eastAsia="Times New Roman" w:hAnsi="Arial" w:cs="Arial"/>
          <w:bCs/>
          <w:sz w:val="24"/>
          <w:szCs w:val="20"/>
        </w:rPr>
        <w:t xml:space="preserve">final, </w:t>
      </w:r>
      <w:r w:rsidRPr="001B7FE3">
        <w:rPr>
          <w:rFonts w:ascii="Arial" w:eastAsia="Times New Roman" w:hAnsi="Arial" w:cs="Arial"/>
          <w:bCs/>
          <w:sz w:val="24"/>
          <w:szCs w:val="20"/>
        </w:rPr>
        <w:t xml:space="preserve">revised version of the </w:t>
      </w:r>
      <w:r w:rsidR="008B2E3C" w:rsidRPr="008B2E3C">
        <w:rPr>
          <w:rFonts w:ascii="Arial" w:eastAsia="Times New Roman" w:hAnsi="Arial" w:cs="Arial"/>
          <w:bCs/>
          <w:sz w:val="24"/>
          <w:szCs w:val="20"/>
        </w:rPr>
        <w:t>emergency regulation</w:t>
      </w:r>
      <w:r w:rsidRPr="001B7FE3">
        <w:rPr>
          <w:rFonts w:ascii="Arial" w:eastAsia="Times New Roman" w:hAnsi="Arial" w:cs="Arial"/>
          <w:bCs/>
          <w:sz w:val="24"/>
          <w:szCs w:val="20"/>
        </w:rPr>
        <w:t xml:space="preserve"> taking into account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63AE3BD2" w:rsidR="001B7FE3" w:rsidRPr="00393499" w:rsidRDefault="001B7FE3" w:rsidP="00E06830">
      <w:pPr>
        <w:spacing w:line="240" w:lineRule="auto"/>
        <w:rPr>
          <w:rFonts w:ascii="Arial" w:hAnsi="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12" w:history="1">
        <w:r w:rsidR="00DE2B3C" w:rsidRPr="00DE2B3C">
          <w:rPr>
            <w:rStyle w:val="Hyperlink"/>
            <w:rFonts w:ascii="Arial" w:eastAsia="Times New Roman" w:hAnsi="Arial" w:cs="Arial"/>
            <w:sz w:val="24"/>
            <w:szCs w:val="24"/>
          </w:rPr>
          <w:t>www.mass.gov/info-details/executive-office-of-health-and-human-services-public-hearings</w:t>
        </w:r>
      </w:hyperlink>
      <w:r w:rsidRPr="001B7FE3">
        <w:rPr>
          <w:rFonts w:ascii="Arial" w:eastAsia="Calibri" w:hAnsi="Arial" w:cs="Arial"/>
          <w:bCs/>
          <w:sz w:val="24"/>
        </w:rPr>
        <w:t>.</w:t>
      </w:r>
    </w:p>
    <w:p w14:paraId="23A4F6EB" w14:textId="77777777" w:rsidR="001B7FE3" w:rsidRPr="00393499" w:rsidRDefault="001B7FE3" w:rsidP="00393499">
      <w:pPr>
        <w:spacing w:line="240" w:lineRule="auto"/>
        <w:rPr>
          <w:rFonts w:ascii="Arial" w:hAnsi="Arial"/>
          <w:sz w:val="24"/>
        </w:rPr>
      </w:pPr>
    </w:p>
    <w:p w14:paraId="0AA14F98" w14:textId="308503C4" w:rsidR="00FE710C" w:rsidRPr="00393499" w:rsidRDefault="007F028F" w:rsidP="00393499">
      <w:pPr>
        <w:tabs>
          <w:tab w:val="right" w:pos="9360"/>
        </w:tabs>
        <w:suppressAutoHyphens/>
        <w:spacing w:line="260" w:lineRule="atLeast"/>
        <w:rPr>
          <w:rFonts w:ascii="Arial" w:hAnsi="Arial"/>
          <w:color w:val="FF0000"/>
          <w:sz w:val="24"/>
        </w:rPr>
      </w:pPr>
      <w:r>
        <w:rPr>
          <w:rFonts w:ascii="Arial" w:eastAsia="Times New Roman" w:hAnsi="Arial" w:cs="Arial"/>
          <w:sz w:val="24"/>
          <w:szCs w:val="20"/>
        </w:rPr>
        <w:t xml:space="preserve">December </w:t>
      </w:r>
      <w:r w:rsidR="00E4066A">
        <w:rPr>
          <w:rFonts w:ascii="Arial" w:eastAsia="Times New Roman" w:hAnsi="Arial" w:cs="Arial"/>
          <w:sz w:val="24"/>
          <w:szCs w:val="20"/>
        </w:rPr>
        <w:t>5, 2025</w:t>
      </w:r>
    </w:p>
    <w:sectPr w:rsidR="00FE710C" w:rsidRPr="00393499" w:rsidSect="00C74CB1">
      <w:pgSz w:w="12240" w:h="15840" w:code="1"/>
      <w:pgMar w:top="720" w:right="1440" w:bottom="720" w:left="144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A219" w14:textId="77777777" w:rsidR="001575AA" w:rsidRDefault="001575AA" w:rsidP="00DE3EFA">
      <w:pPr>
        <w:spacing w:line="240" w:lineRule="auto"/>
      </w:pPr>
      <w:r>
        <w:separator/>
      </w:r>
    </w:p>
  </w:endnote>
  <w:endnote w:type="continuationSeparator" w:id="0">
    <w:p w14:paraId="3087E70F" w14:textId="77777777" w:rsidR="001575AA" w:rsidRDefault="001575AA" w:rsidP="00DE3EFA">
      <w:pPr>
        <w:spacing w:line="240" w:lineRule="auto"/>
      </w:pPr>
      <w:r>
        <w:continuationSeparator/>
      </w:r>
    </w:p>
  </w:endnote>
  <w:endnote w:type="continuationNotice" w:id="1">
    <w:p w14:paraId="760242A1" w14:textId="77777777" w:rsidR="001575AA" w:rsidRDefault="001575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E59D5" w14:textId="77777777" w:rsidR="001575AA" w:rsidRDefault="001575AA" w:rsidP="00DE3EFA">
      <w:pPr>
        <w:spacing w:line="240" w:lineRule="auto"/>
      </w:pPr>
      <w:r>
        <w:separator/>
      </w:r>
    </w:p>
  </w:footnote>
  <w:footnote w:type="continuationSeparator" w:id="0">
    <w:p w14:paraId="6F6034F2" w14:textId="77777777" w:rsidR="001575AA" w:rsidRDefault="001575AA" w:rsidP="00DE3EFA">
      <w:pPr>
        <w:spacing w:line="240" w:lineRule="auto"/>
      </w:pPr>
      <w:r>
        <w:continuationSeparator/>
      </w:r>
    </w:p>
  </w:footnote>
  <w:footnote w:type="continuationNotice" w:id="1">
    <w:p w14:paraId="0F6F2A7F" w14:textId="77777777" w:rsidR="001575AA" w:rsidRDefault="001575AA">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A118A"/>
    <w:multiLevelType w:val="hybridMultilevel"/>
    <w:tmpl w:val="E78200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B17C28"/>
    <w:multiLevelType w:val="hybridMultilevel"/>
    <w:tmpl w:val="CFC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811B88"/>
    <w:multiLevelType w:val="hybridMultilevel"/>
    <w:tmpl w:val="EE0E3868"/>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83200401">
    <w:abstractNumId w:val="0"/>
  </w:num>
  <w:num w:numId="2" w16cid:durableId="1560822968">
    <w:abstractNumId w:val="2"/>
  </w:num>
  <w:num w:numId="3" w16cid:durableId="15489533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00957"/>
    <w:rsid w:val="00002B73"/>
    <w:rsid w:val="0002319D"/>
    <w:rsid w:val="000B2BCA"/>
    <w:rsid w:val="000B417E"/>
    <w:rsid w:val="000C12A9"/>
    <w:rsid w:val="000C2D22"/>
    <w:rsid w:val="000F2753"/>
    <w:rsid w:val="001575AA"/>
    <w:rsid w:val="00160C08"/>
    <w:rsid w:val="00166644"/>
    <w:rsid w:val="00182D45"/>
    <w:rsid w:val="001B521B"/>
    <w:rsid w:val="001B7FE3"/>
    <w:rsid w:val="00221F58"/>
    <w:rsid w:val="002402CC"/>
    <w:rsid w:val="00245DD9"/>
    <w:rsid w:val="00265375"/>
    <w:rsid w:val="00280B8F"/>
    <w:rsid w:val="00283664"/>
    <w:rsid w:val="00283FE0"/>
    <w:rsid w:val="00290781"/>
    <w:rsid w:val="002A041A"/>
    <w:rsid w:val="002A2967"/>
    <w:rsid w:val="002B4E51"/>
    <w:rsid w:val="002E6B38"/>
    <w:rsid w:val="002E7575"/>
    <w:rsid w:val="002F1FAF"/>
    <w:rsid w:val="002F445C"/>
    <w:rsid w:val="00300D24"/>
    <w:rsid w:val="00312393"/>
    <w:rsid w:val="00315EDD"/>
    <w:rsid w:val="00323644"/>
    <w:rsid w:val="003254E5"/>
    <w:rsid w:val="003645D4"/>
    <w:rsid w:val="0037044B"/>
    <w:rsid w:val="00393499"/>
    <w:rsid w:val="003B42B4"/>
    <w:rsid w:val="003D036A"/>
    <w:rsid w:val="003F5031"/>
    <w:rsid w:val="003F512B"/>
    <w:rsid w:val="00400573"/>
    <w:rsid w:val="004352D9"/>
    <w:rsid w:val="00456CD2"/>
    <w:rsid w:val="004728D9"/>
    <w:rsid w:val="004830E3"/>
    <w:rsid w:val="004848CC"/>
    <w:rsid w:val="00496198"/>
    <w:rsid w:val="004E3A7B"/>
    <w:rsid w:val="004F78F1"/>
    <w:rsid w:val="00527C01"/>
    <w:rsid w:val="005356C9"/>
    <w:rsid w:val="00555690"/>
    <w:rsid w:val="00573F5D"/>
    <w:rsid w:val="005752E4"/>
    <w:rsid w:val="005B0708"/>
    <w:rsid w:val="0066030E"/>
    <w:rsid w:val="00667BCF"/>
    <w:rsid w:val="0067433F"/>
    <w:rsid w:val="006838E9"/>
    <w:rsid w:val="006C7845"/>
    <w:rsid w:val="00716A68"/>
    <w:rsid w:val="00740217"/>
    <w:rsid w:val="00743158"/>
    <w:rsid w:val="00751F57"/>
    <w:rsid w:val="00765164"/>
    <w:rsid w:val="00770B72"/>
    <w:rsid w:val="00781FA7"/>
    <w:rsid w:val="007A4CA2"/>
    <w:rsid w:val="007B313C"/>
    <w:rsid w:val="007F028F"/>
    <w:rsid w:val="007F0D2D"/>
    <w:rsid w:val="007F2C2F"/>
    <w:rsid w:val="007F4487"/>
    <w:rsid w:val="0081013F"/>
    <w:rsid w:val="0082351B"/>
    <w:rsid w:val="00835A67"/>
    <w:rsid w:val="008B1FFA"/>
    <w:rsid w:val="008B2E3C"/>
    <w:rsid w:val="008D3459"/>
    <w:rsid w:val="00900441"/>
    <w:rsid w:val="00912DE2"/>
    <w:rsid w:val="009217FA"/>
    <w:rsid w:val="009370E9"/>
    <w:rsid w:val="00960CC1"/>
    <w:rsid w:val="009652F4"/>
    <w:rsid w:val="009D0631"/>
    <w:rsid w:val="009E1FF9"/>
    <w:rsid w:val="009E2F76"/>
    <w:rsid w:val="00A40425"/>
    <w:rsid w:val="00A55A93"/>
    <w:rsid w:val="00A5708A"/>
    <w:rsid w:val="00A6612E"/>
    <w:rsid w:val="00A94DE1"/>
    <w:rsid w:val="00AD3A5B"/>
    <w:rsid w:val="00AF243C"/>
    <w:rsid w:val="00B23F82"/>
    <w:rsid w:val="00B47146"/>
    <w:rsid w:val="00B534D2"/>
    <w:rsid w:val="00C02D32"/>
    <w:rsid w:val="00C1034C"/>
    <w:rsid w:val="00C30987"/>
    <w:rsid w:val="00C359BF"/>
    <w:rsid w:val="00C47A84"/>
    <w:rsid w:val="00C6027C"/>
    <w:rsid w:val="00C60A36"/>
    <w:rsid w:val="00C63C83"/>
    <w:rsid w:val="00C74CB1"/>
    <w:rsid w:val="00C815BC"/>
    <w:rsid w:val="00C90FEF"/>
    <w:rsid w:val="00CA5009"/>
    <w:rsid w:val="00CB6101"/>
    <w:rsid w:val="00CC3E28"/>
    <w:rsid w:val="00CC55E4"/>
    <w:rsid w:val="00CE4AAC"/>
    <w:rsid w:val="00CF2D7B"/>
    <w:rsid w:val="00D6445D"/>
    <w:rsid w:val="00D65FED"/>
    <w:rsid w:val="00DA4363"/>
    <w:rsid w:val="00DA4A23"/>
    <w:rsid w:val="00DB7793"/>
    <w:rsid w:val="00DE2B3C"/>
    <w:rsid w:val="00DE3EFA"/>
    <w:rsid w:val="00DF1BE2"/>
    <w:rsid w:val="00E06830"/>
    <w:rsid w:val="00E23EA1"/>
    <w:rsid w:val="00E4066A"/>
    <w:rsid w:val="00E73659"/>
    <w:rsid w:val="00E96C90"/>
    <w:rsid w:val="00EA30FD"/>
    <w:rsid w:val="00ED19FA"/>
    <w:rsid w:val="00ED456D"/>
    <w:rsid w:val="00ED5DCC"/>
    <w:rsid w:val="00F0624D"/>
    <w:rsid w:val="00F22A24"/>
    <w:rsid w:val="00F31029"/>
    <w:rsid w:val="00F34171"/>
    <w:rsid w:val="00F97162"/>
    <w:rsid w:val="00FB0D40"/>
    <w:rsid w:val="00FC1F31"/>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50F4C218-C376-4D35-B113-BE69C429A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paragraph" w:styleId="Footer">
    <w:name w:val="footer"/>
    <w:basedOn w:val="Normal"/>
    <w:link w:val="FooterChar"/>
    <w:uiPriority w:val="99"/>
    <w:unhideWhenUsed/>
    <w:rsid w:val="00456CD2"/>
    <w:pPr>
      <w:tabs>
        <w:tab w:val="center" w:pos="4680"/>
        <w:tab w:val="right" w:pos="9360"/>
      </w:tabs>
      <w:spacing w:line="240" w:lineRule="auto"/>
    </w:pPr>
  </w:style>
  <w:style w:type="character" w:customStyle="1" w:styleId="FooterChar">
    <w:name w:val="Footer Char"/>
    <w:basedOn w:val="DefaultParagraphFont"/>
    <w:link w:val="Footer"/>
    <w:uiPriority w:val="99"/>
    <w:rsid w:val="00DE3EFA"/>
  </w:style>
  <w:style w:type="character" w:styleId="PageNumber">
    <w:name w:val="page number"/>
    <w:basedOn w:val="DefaultParagraphFont"/>
    <w:rsid w:val="00DE3EFA"/>
  </w:style>
  <w:style w:type="paragraph" w:styleId="Header">
    <w:name w:val="header"/>
    <w:basedOn w:val="Normal"/>
    <w:link w:val="HeaderChar"/>
    <w:uiPriority w:val="99"/>
    <w:unhideWhenUsed/>
    <w:rsid w:val="00DE3EFA"/>
    <w:pPr>
      <w:tabs>
        <w:tab w:val="center" w:pos="4680"/>
        <w:tab w:val="right" w:pos="9360"/>
      </w:tabs>
      <w:spacing w:line="240" w:lineRule="auto"/>
    </w:pPr>
  </w:style>
  <w:style w:type="character" w:customStyle="1" w:styleId="HeaderChar">
    <w:name w:val="Header Char"/>
    <w:basedOn w:val="DefaultParagraphFont"/>
    <w:link w:val="Header"/>
    <w:uiPriority w:val="99"/>
    <w:rsid w:val="00DE3EFA"/>
  </w:style>
  <w:style w:type="character" w:styleId="UnresolvedMention">
    <w:name w:val="Unresolved Mention"/>
    <w:basedOn w:val="DefaultParagraphFont"/>
    <w:uiPriority w:val="99"/>
    <w:semiHidden/>
    <w:unhideWhenUsed/>
    <w:rsid w:val="00C6027C"/>
    <w:rPr>
      <w:color w:val="605E5C"/>
      <w:shd w:val="clear" w:color="auto" w:fill="E1DFDD"/>
    </w:rPr>
  </w:style>
  <w:style w:type="paragraph" w:styleId="FootnoteText">
    <w:name w:val="footnote text"/>
    <w:basedOn w:val="Normal"/>
    <w:link w:val="FootnoteTextChar"/>
    <w:uiPriority w:val="99"/>
    <w:semiHidden/>
    <w:unhideWhenUsed/>
    <w:rsid w:val="00555690"/>
    <w:pPr>
      <w:spacing w:line="240" w:lineRule="auto"/>
    </w:pPr>
    <w:rPr>
      <w:sz w:val="20"/>
      <w:szCs w:val="20"/>
    </w:rPr>
  </w:style>
  <w:style w:type="character" w:customStyle="1" w:styleId="FootnoteTextChar">
    <w:name w:val="Footnote Text Char"/>
    <w:basedOn w:val="DefaultParagraphFont"/>
    <w:link w:val="FootnoteText"/>
    <w:uiPriority w:val="99"/>
    <w:semiHidden/>
    <w:rsid w:val="00555690"/>
    <w:rPr>
      <w:sz w:val="20"/>
      <w:szCs w:val="20"/>
    </w:rPr>
  </w:style>
  <w:style w:type="paragraph" w:styleId="BodyText">
    <w:name w:val="Body Text"/>
    <w:basedOn w:val="Normal"/>
    <w:link w:val="BodyTextChar"/>
    <w:rsid w:val="00555690"/>
    <w:pPr>
      <w:suppressAutoHyphens/>
      <w:spacing w:after="120"/>
    </w:pPr>
    <w:rPr>
      <w:rFonts w:ascii="Times New Roman" w:hAnsi="Times New Roman" w:cs="Times New Roman"/>
      <w:sz w:val="24"/>
      <w:szCs w:val="24"/>
    </w:rPr>
  </w:style>
  <w:style w:type="character" w:customStyle="1" w:styleId="BodyTextChar">
    <w:name w:val="Body Text Char"/>
    <w:basedOn w:val="DefaultParagraphFont"/>
    <w:link w:val="BodyText"/>
    <w:rsid w:val="00555690"/>
    <w:rPr>
      <w:rFonts w:ascii="Times New Roman" w:hAnsi="Times New Roman" w:cs="Times New Roman"/>
      <w:sz w:val="24"/>
      <w:szCs w:val="24"/>
    </w:rPr>
  </w:style>
  <w:style w:type="character" w:styleId="FootnoteReference">
    <w:name w:val="footnote reference"/>
    <w:uiPriority w:val="99"/>
    <w:semiHidden/>
    <w:rsid w:val="00555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8667">
      <w:bodyDiv w:val="1"/>
      <w:marLeft w:val="0"/>
      <w:marRight w:val="0"/>
      <w:marTop w:val="0"/>
      <w:marBottom w:val="0"/>
      <w:divBdr>
        <w:top w:val="none" w:sz="0" w:space="0" w:color="auto"/>
        <w:left w:val="none" w:sz="0" w:space="0" w:color="auto"/>
        <w:bottom w:val="none" w:sz="0" w:space="0" w:color="auto"/>
        <w:right w:val="none" w:sz="0" w:space="0" w:color="auto"/>
      </w:divBdr>
    </w:div>
    <w:div w:id="10359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hs-regulations@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info-details/executive-office-of-health-and-human-services-public-hearings" TargetMode="External"/><Relationship Id="rId12" Type="http://schemas.openxmlformats.org/officeDocument/2006/relationships/hyperlink" Target="http://www.mass.gov/info-details/executive-office-of-health-and-human-services-public-hear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AAccommodations@mass.gov" TargetMode="External"/><Relationship Id="rId5" Type="http://schemas.openxmlformats.org/officeDocument/2006/relationships/footnotes" Target="footnotes.xml"/><Relationship Id="rId10" Type="http://schemas.openxmlformats.org/officeDocument/2006/relationships/hyperlink" Target="http://www.mass.gov/info-details/proposed-regulations-supporting-materials" TargetMode="External"/><Relationship Id="rId4" Type="http://schemas.openxmlformats.org/officeDocument/2006/relationships/webSettings" Target="webSettings.xml"/><Relationship Id="rId9" Type="http://schemas.openxmlformats.org/officeDocument/2006/relationships/hyperlink" Target="http://www.mass.gov/info-details/executive-office-of-health-and-human-services-public-hearin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1229</Words>
  <Characters>7010</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2025-11-20T14:18:00Z</cp:lastPrinted>
  <dcterms:created xsi:type="dcterms:W3CDTF">2025-12-04T13:10:00Z</dcterms:created>
  <dcterms:modified xsi:type="dcterms:W3CDTF">2025-12-04T13:10:00Z</dcterms:modified>
</cp:coreProperties>
</file>