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7F83B005" w14:textId="79FCF89E" w:rsidR="00A24124"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D11FA2">
        <w:rPr>
          <w:rFonts w:ascii="Arial" w:eastAsia="Times New Roman" w:hAnsi="Arial" w:cs="Arial"/>
          <w:sz w:val="24"/>
          <w:szCs w:val="20"/>
        </w:rPr>
        <w:t>t</w:t>
      </w:r>
      <w:r w:rsidR="00256D65">
        <w:rPr>
          <w:rFonts w:ascii="Arial" w:eastAsia="Times New Roman" w:hAnsi="Arial" w:cs="Arial"/>
          <w:sz w:val="24"/>
          <w:szCs w:val="20"/>
        </w:rPr>
        <w:t>hree</w:t>
      </w:r>
      <w:r w:rsidR="001B7FE3" w:rsidRPr="001B7FE3">
        <w:rPr>
          <w:rFonts w:ascii="Arial" w:eastAsia="Times New Roman" w:hAnsi="Arial" w:cs="Arial"/>
          <w:sz w:val="24"/>
          <w:szCs w:val="20"/>
        </w:rPr>
        <w:t xml:space="preserve">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w:t>
      </w:r>
      <w:r w:rsidR="00D11FA2">
        <w:rPr>
          <w:rFonts w:ascii="Arial" w:eastAsia="Times New Roman" w:hAnsi="Arial" w:cs="Arial"/>
          <w:sz w:val="24"/>
          <w:szCs w:val="20"/>
        </w:rPr>
        <w:t>s</w:t>
      </w:r>
      <w:r w:rsidR="001B7FE3" w:rsidRPr="001B7FE3">
        <w:rPr>
          <w:rFonts w:ascii="Arial" w:eastAsia="Times New Roman" w:hAnsi="Arial" w:cs="Arial"/>
          <w:sz w:val="24"/>
          <w:szCs w:val="20"/>
        </w:rPr>
        <w:t xml:space="preserve"> on </w:t>
      </w:r>
      <w:r w:rsidR="00D11FA2">
        <w:rPr>
          <w:rFonts w:ascii="Arial" w:eastAsia="Times New Roman" w:hAnsi="Arial" w:cs="Arial"/>
          <w:sz w:val="24"/>
          <w:szCs w:val="20"/>
        </w:rPr>
        <w:t>Friday, January 23, 2026</w:t>
      </w:r>
      <w:r w:rsidR="001B7FE3" w:rsidRPr="001B7FE3">
        <w:rPr>
          <w:rFonts w:ascii="Arial" w:eastAsia="Times New Roman" w:hAnsi="Arial" w:cs="Arial"/>
          <w:sz w:val="24"/>
          <w:szCs w:val="20"/>
        </w:rPr>
        <w:t xml:space="preserve">, at </w:t>
      </w:r>
      <w:r w:rsidR="00D11FA2">
        <w:rPr>
          <w:rFonts w:ascii="Arial" w:eastAsia="Times New Roman" w:hAnsi="Arial" w:cs="Arial"/>
          <w:sz w:val="24"/>
          <w:szCs w:val="20"/>
        </w:rPr>
        <w:t>the respective times listed below</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D11FA2">
        <w:rPr>
          <w:rFonts w:ascii="Arial" w:eastAsia="Times New Roman" w:hAnsi="Arial" w:cs="Arial"/>
          <w:sz w:val="24"/>
          <w:szCs w:val="20"/>
        </w:rPr>
        <w:t>s</w:t>
      </w:r>
      <w:r w:rsidR="00D5651F">
        <w:rPr>
          <w:rFonts w:ascii="Arial" w:eastAsia="Times New Roman" w:hAnsi="Arial" w:cs="Arial"/>
          <w:sz w:val="24"/>
          <w:szCs w:val="20"/>
        </w:rPr>
        <w:t>.</w:t>
      </w:r>
      <w:r w:rsidR="001B7FE3" w:rsidRPr="001B7FE3">
        <w:rPr>
          <w:rFonts w:ascii="Arial" w:eastAsia="Times New Roman" w:hAnsi="Arial" w:cs="Arial"/>
          <w:sz w:val="24"/>
          <w:szCs w:val="20"/>
        </w:rPr>
        <w:t xml:space="preserve"> </w:t>
      </w:r>
    </w:p>
    <w:p w14:paraId="2290AE2B" w14:textId="77777777" w:rsidR="00A24124" w:rsidRDefault="00A24124" w:rsidP="001B7FE3">
      <w:pPr>
        <w:tabs>
          <w:tab w:val="left" w:pos="-720"/>
        </w:tabs>
        <w:suppressAutoHyphens/>
        <w:spacing w:line="240" w:lineRule="auto"/>
        <w:rPr>
          <w:rFonts w:ascii="Arial" w:eastAsia="Times New Roman" w:hAnsi="Arial" w:cs="Arial"/>
          <w:sz w:val="24"/>
          <w:szCs w:val="20"/>
        </w:rPr>
      </w:pPr>
    </w:p>
    <w:p w14:paraId="51D50BA7" w14:textId="25E0EB48" w:rsidR="001B7FE3" w:rsidRPr="001B7FE3" w:rsidRDefault="00A24124" w:rsidP="001B7FE3">
      <w:pPr>
        <w:tabs>
          <w:tab w:val="left" w:pos="-720"/>
        </w:tabs>
        <w:suppressAutoHyphens/>
        <w:spacing w:line="240" w:lineRule="auto"/>
        <w:rPr>
          <w:rFonts w:ascii="Arial" w:eastAsia="Times New Roman" w:hAnsi="Arial" w:cs="Arial"/>
          <w:sz w:val="24"/>
          <w:szCs w:val="20"/>
        </w:rPr>
      </w:pPr>
      <w:r w:rsidRPr="007D3808">
        <w:rPr>
          <w:rFonts w:ascii="Arial" w:eastAsia="Times New Roman" w:hAnsi="Arial" w:cs="Arial"/>
          <w:bCs/>
          <w:sz w:val="24"/>
          <w:szCs w:val="20"/>
        </w:rPr>
        <w:t xml:space="preserve">Pursuant to M.G.L. Chapter 118E, Section 13D (f/k/a Chapter 257 of the Acts of 2008), EOHHS is required to establish, by regulation, and biennially </w:t>
      </w:r>
      <w:r w:rsidR="0054647F">
        <w:rPr>
          <w:rFonts w:ascii="Arial" w:eastAsia="Times New Roman" w:hAnsi="Arial" w:cs="Arial"/>
          <w:bCs/>
          <w:sz w:val="24"/>
          <w:szCs w:val="20"/>
        </w:rPr>
        <w:t>review the</w:t>
      </w:r>
      <w:r w:rsidRPr="007D3808">
        <w:rPr>
          <w:rFonts w:ascii="Arial" w:eastAsia="Times New Roman" w:hAnsi="Arial" w:cs="Arial"/>
          <w:bCs/>
          <w:sz w:val="24"/>
          <w:szCs w:val="20"/>
        </w:rPr>
        <w:t xml:space="preserve"> rates to be paid by governmental units to providers of social service programs, which include </w:t>
      </w:r>
      <w:r w:rsidR="0054647F">
        <w:rPr>
          <w:rFonts w:ascii="Arial" w:eastAsia="Times New Roman" w:hAnsi="Arial" w:cs="Arial"/>
          <w:bCs/>
          <w:sz w:val="24"/>
          <w:szCs w:val="20"/>
        </w:rPr>
        <w:t>the</w:t>
      </w:r>
      <w:r w:rsidR="00EF024D">
        <w:rPr>
          <w:rFonts w:ascii="Arial" w:eastAsia="Times New Roman" w:hAnsi="Arial" w:cs="Arial"/>
          <w:bCs/>
          <w:sz w:val="24"/>
          <w:szCs w:val="20"/>
        </w:rPr>
        <w:t xml:space="preserve"> services in these regulations</w:t>
      </w:r>
      <w:r w:rsidRPr="007D3808">
        <w:rPr>
          <w:rFonts w:ascii="Arial" w:eastAsia="Times New Roman" w:hAnsi="Arial" w:cs="Arial"/>
          <w:bCs/>
          <w:sz w:val="24"/>
          <w:szCs w:val="20"/>
        </w:rPr>
        <w:t xml:space="preserve">. </w:t>
      </w:r>
      <w:r w:rsidR="00743A52" w:rsidRPr="001B7FE3">
        <w:rPr>
          <w:rFonts w:ascii="Arial" w:eastAsia="Times New Roman" w:hAnsi="Arial" w:cs="Arial"/>
          <w:sz w:val="24"/>
          <w:szCs w:val="20"/>
        </w:rPr>
        <w:t xml:space="preserve">There is no fiscal impact on cities and towns.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4112E810" w:rsidR="001B7FE3" w:rsidRDefault="003B6C2A" w:rsidP="001B7FE3">
      <w:pPr>
        <w:spacing w:line="240" w:lineRule="auto"/>
        <w:rPr>
          <w:rFonts w:ascii="Arial" w:eastAsia="Times New Roman" w:hAnsi="Arial" w:cs="Arial"/>
          <w:b/>
          <w:sz w:val="24"/>
          <w:szCs w:val="20"/>
        </w:rPr>
      </w:pPr>
      <w:r>
        <w:rPr>
          <w:rFonts w:ascii="Arial" w:eastAsia="Times New Roman" w:hAnsi="Arial" w:cs="Arial"/>
          <w:b/>
          <w:sz w:val="24"/>
          <w:szCs w:val="20"/>
        </w:rPr>
        <w:t>(</w:t>
      </w:r>
      <w:r w:rsidR="00256D65">
        <w:rPr>
          <w:rFonts w:ascii="Arial" w:eastAsia="Times New Roman" w:hAnsi="Arial" w:cs="Arial"/>
          <w:b/>
          <w:sz w:val="24"/>
          <w:szCs w:val="20"/>
        </w:rPr>
        <w:t>1</w:t>
      </w:r>
      <w:r>
        <w:rPr>
          <w:rFonts w:ascii="Arial" w:eastAsia="Times New Roman" w:hAnsi="Arial" w:cs="Arial"/>
          <w:b/>
          <w:sz w:val="24"/>
          <w:szCs w:val="20"/>
        </w:rPr>
        <w:t>)</w:t>
      </w:r>
      <w:r w:rsidR="00256D65">
        <w:rPr>
          <w:rFonts w:ascii="Arial" w:eastAsia="Times New Roman" w:hAnsi="Arial" w:cs="Arial"/>
          <w:b/>
          <w:sz w:val="24"/>
          <w:szCs w:val="20"/>
        </w:rPr>
        <w:t xml:space="preserve"> </w:t>
      </w:r>
      <w:r w:rsidR="00D11FA2">
        <w:rPr>
          <w:rFonts w:ascii="Arial" w:eastAsia="Times New Roman" w:hAnsi="Arial" w:cs="Arial"/>
          <w:b/>
          <w:sz w:val="24"/>
          <w:szCs w:val="20"/>
        </w:rPr>
        <w:t xml:space="preserve">10:00 a.m.: </w:t>
      </w:r>
      <w:r w:rsidR="001B7FE3" w:rsidRPr="001B7FE3">
        <w:rPr>
          <w:rFonts w:ascii="Arial" w:eastAsia="Times New Roman" w:hAnsi="Arial" w:cs="Arial"/>
          <w:b/>
          <w:sz w:val="24"/>
          <w:szCs w:val="20"/>
        </w:rPr>
        <w:t xml:space="preserve">101 CMR </w:t>
      </w:r>
      <w:r w:rsidR="00D11FA2">
        <w:rPr>
          <w:rFonts w:ascii="Arial" w:eastAsia="Times New Roman" w:hAnsi="Arial" w:cs="Arial"/>
          <w:b/>
          <w:sz w:val="24"/>
          <w:szCs w:val="20"/>
        </w:rPr>
        <w:t>422</w:t>
      </w:r>
      <w:r w:rsidR="001B7FE3" w:rsidRPr="001B7FE3">
        <w:rPr>
          <w:rFonts w:ascii="Arial" w:eastAsia="Times New Roman" w:hAnsi="Arial" w:cs="Arial"/>
          <w:b/>
          <w:sz w:val="24"/>
          <w:szCs w:val="20"/>
        </w:rPr>
        <w:t xml:space="preserve">.00: </w:t>
      </w:r>
      <w:r w:rsidR="00955B55">
        <w:rPr>
          <w:rFonts w:ascii="Arial" w:eastAsia="Times New Roman" w:hAnsi="Arial" w:cs="Arial"/>
          <w:b/>
          <w:sz w:val="24"/>
          <w:szCs w:val="20"/>
        </w:rPr>
        <w:t>Rates for General Programs – Disability Services</w:t>
      </w:r>
    </w:p>
    <w:p w14:paraId="00EB5033" w14:textId="77777777" w:rsidR="00D85ECB" w:rsidRDefault="00D85ECB" w:rsidP="001B7FE3">
      <w:pPr>
        <w:spacing w:line="240" w:lineRule="auto"/>
        <w:rPr>
          <w:rFonts w:ascii="Arial" w:eastAsia="Times New Roman" w:hAnsi="Arial" w:cs="Arial"/>
          <w:b/>
          <w:sz w:val="24"/>
          <w:szCs w:val="20"/>
        </w:rPr>
      </w:pPr>
    </w:p>
    <w:p w14:paraId="19E55971" w14:textId="61507CEE" w:rsidR="00D85ECB" w:rsidRDefault="00D85ECB" w:rsidP="00B02846">
      <w:pPr>
        <w:spacing w:line="240" w:lineRule="auto"/>
        <w:ind w:left="360"/>
        <w:rPr>
          <w:rFonts w:ascii="Arial" w:eastAsia="Times New Roman" w:hAnsi="Arial" w:cs="Arial"/>
          <w:bCs/>
          <w:sz w:val="24"/>
          <w:szCs w:val="20"/>
        </w:rPr>
      </w:pPr>
      <w:r w:rsidRPr="00D85ECB">
        <w:rPr>
          <w:rFonts w:ascii="Arial" w:eastAsia="Times New Roman" w:hAnsi="Arial" w:cs="Arial"/>
          <w:bCs/>
          <w:sz w:val="24"/>
          <w:szCs w:val="20"/>
        </w:rPr>
        <w:t>101 CMR 422.00 establishes the payment rates for general programs - disability services provided to publicly aided individuals by governmental units under EOHHS’ regulatory authority. Services with rates established by this regulation are purchased by the Department of Developmental Services, the Massachusetts Commission for the Blind, and MassAbility (formerly the Massachusetts Rehabilitation Commission).</w:t>
      </w:r>
    </w:p>
    <w:p w14:paraId="06FC6C6D" w14:textId="77777777" w:rsidR="00D85ECB" w:rsidRDefault="00D85ECB" w:rsidP="00B02846">
      <w:pPr>
        <w:spacing w:line="240" w:lineRule="auto"/>
        <w:ind w:left="360"/>
        <w:rPr>
          <w:rFonts w:ascii="Arial" w:eastAsia="Times New Roman" w:hAnsi="Arial" w:cs="Arial"/>
          <w:bCs/>
          <w:sz w:val="24"/>
          <w:szCs w:val="20"/>
        </w:rPr>
      </w:pPr>
    </w:p>
    <w:p w14:paraId="41F26DEC" w14:textId="549CC46F" w:rsidR="007D3808" w:rsidRPr="007D3808" w:rsidRDefault="00D92066" w:rsidP="00B02846">
      <w:pPr>
        <w:spacing w:line="240" w:lineRule="auto"/>
        <w:ind w:left="360"/>
        <w:rPr>
          <w:rFonts w:ascii="Arial" w:eastAsia="Times New Roman" w:hAnsi="Arial" w:cs="Arial"/>
          <w:bCs/>
          <w:sz w:val="24"/>
          <w:szCs w:val="20"/>
        </w:rPr>
      </w:pPr>
      <w:r>
        <w:rPr>
          <w:rFonts w:ascii="Arial" w:eastAsia="Times New Roman" w:hAnsi="Arial" w:cs="Arial"/>
          <w:bCs/>
          <w:sz w:val="24"/>
          <w:szCs w:val="20"/>
        </w:rPr>
        <w:t>T</w:t>
      </w:r>
      <w:r w:rsidR="007D3808" w:rsidRPr="007D3808">
        <w:rPr>
          <w:rFonts w:ascii="Arial" w:eastAsia="Times New Roman" w:hAnsi="Arial" w:cs="Arial"/>
          <w:bCs/>
          <w:sz w:val="24"/>
          <w:szCs w:val="20"/>
        </w:rPr>
        <w:t xml:space="preserve">he </w:t>
      </w:r>
      <w:r w:rsidR="00425109">
        <w:rPr>
          <w:rFonts w:ascii="Arial" w:eastAsia="Times New Roman" w:hAnsi="Arial" w:cs="Arial"/>
          <w:bCs/>
          <w:sz w:val="24"/>
          <w:szCs w:val="20"/>
        </w:rPr>
        <w:t>rates for general programs – disability services</w:t>
      </w:r>
      <w:r w:rsidR="003D34A6">
        <w:rPr>
          <w:rFonts w:ascii="Arial" w:eastAsia="Times New Roman" w:hAnsi="Arial" w:cs="Arial"/>
          <w:bCs/>
          <w:sz w:val="24"/>
          <w:szCs w:val="20"/>
        </w:rPr>
        <w:t xml:space="preserve"> are being updated to</w:t>
      </w:r>
      <w:r w:rsidR="007D3808" w:rsidRPr="007D3808">
        <w:rPr>
          <w:rFonts w:ascii="Arial" w:eastAsia="Times New Roman" w:hAnsi="Arial" w:cs="Arial"/>
          <w:bCs/>
          <w:sz w:val="24"/>
          <w:szCs w:val="20"/>
        </w:rPr>
        <w:t xml:space="preserve"> include an increase by a cost adjustment factor (CAF) of 2.53% and incorporate salary benchmarks derived from the Bureau of Labor Statistics (BLS) median salary, May 2024 edition at the 53rd percentile. The CAF was determined by using baseline and prospective Massachusetts Economic Indicator data from IHS Economics – Spring 2025 Forecast, baseline scenario data. The CAF reflects the period between the rates’ base period (calendar year 2025 Q4) and the prospective calendar year 2026 Q1 through calendar year 2027 Q4. </w:t>
      </w:r>
      <w:bookmarkStart w:id="0" w:name="_Hlk78299081"/>
      <w:r w:rsidR="007D3808" w:rsidRPr="007D3808">
        <w:rPr>
          <w:rFonts w:ascii="Arial" w:eastAsia="Times New Roman" w:hAnsi="Arial" w:cs="Arial"/>
          <w:bCs/>
          <w:sz w:val="24"/>
          <w:szCs w:val="20"/>
        </w:rPr>
        <w:t>The tax and fringe rate has been benchmarked to 24.97% and the administrative allocation has been benchmarked to 12%.</w:t>
      </w:r>
      <w:bookmarkEnd w:id="0"/>
      <w:r w:rsidR="007D3808" w:rsidRPr="007D3808">
        <w:rPr>
          <w:rFonts w:ascii="Arial" w:eastAsia="Times New Roman" w:hAnsi="Arial" w:cs="Arial"/>
          <w:bCs/>
          <w:sz w:val="24"/>
          <w:szCs w:val="20"/>
        </w:rPr>
        <w:t xml:space="preserve"> We are also renaming the chapter to better align with how it’s defined in the regulation.</w:t>
      </w:r>
    </w:p>
    <w:p w14:paraId="2DC253E4" w14:textId="77777777" w:rsidR="00D85ECB" w:rsidRDefault="00D85ECB" w:rsidP="00B02846">
      <w:pPr>
        <w:spacing w:line="240" w:lineRule="auto"/>
        <w:ind w:left="360"/>
        <w:rPr>
          <w:rFonts w:ascii="Arial" w:eastAsia="Times New Roman" w:hAnsi="Arial" w:cs="Arial"/>
          <w:bCs/>
          <w:sz w:val="24"/>
          <w:szCs w:val="20"/>
        </w:rPr>
      </w:pPr>
    </w:p>
    <w:p w14:paraId="1E89A04E" w14:textId="77777777" w:rsidR="00091FBD" w:rsidRDefault="00091FBD" w:rsidP="00B02846">
      <w:pPr>
        <w:spacing w:line="240" w:lineRule="auto"/>
        <w:ind w:left="360"/>
        <w:rPr>
          <w:rFonts w:ascii="Arial" w:eastAsia="Times New Roman" w:hAnsi="Arial" w:cs="Arial"/>
          <w:bCs/>
          <w:sz w:val="24"/>
          <w:szCs w:val="20"/>
        </w:rPr>
      </w:pPr>
      <w:r w:rsidRPr="00091FBD">
        <w:rPr>
          <w:rFonts w:ascii="Arial" w:eastAsia="Times New Roman" w:hAnsi="Arial" w:cs="Arial"/>
          <w:bCs/>
          <w:sz w:val="24"/>
          <w:szCs w:val="20"/>
        </w:rPr>
        <w:t>The total annualized cost to state government from the increase in rates proposed by this regulation is approximately $592,753, which represents an increase of 6.11% over FY25 rate spending of approximately $9.6 million. These costs will not be realized until January 1, 2026, at which point the FY26 fiscal impact to state government will be $296,376 for the increase to existing rates. The increase in spending in FY26 will be covered through the Chapter 257 Reserve Account.</w:t>
      </w:r>
    </w:p>
    <w:p w14:paraId="77A29040" w14:textId="77777777" w:rsidR="00091FBD" w:rsidRPr="00091FBD" w:rsidRDefault="00091FBD" w:rsidP="00B02846">
      <w:pPr>
        <w:spacing w:line="240" w:lineRule="auto"/>
        <w:ind w:left="360"/>
        <w:rPr>
          <w:rFonts w:ascii="Arial" w:eastAsia="Times New Roman" w:hAnsi="Arial" w:cs="Arial"/>
          <w:bCs/>
          <w:sz w:val="24"/>
          <w:szCs w:val="20"/>
        </w:rPr>
      </w:pPr>
    </w:p>
    <w:p w14:paraId="2E782F29" w14:textId="448A5C58" w:rsidR="007D3808" w:rsidRPr="00D85ECB" w:rsidRDefault="00091FBD" w:rsidP="00B02846">
      <w:pPr>
        <w:spacing w:line="240" w:lineRule="auto"/>
        <w:ind w:left="360"/>
        <w:rPr>
          <w:rFonts w:ascii="Arial" w:eastAsia="Times New Roman" w:hAnsi="Arial" w:cs="Arial"/>
          <w:bCs/>
          <w:sz w:val="24"/>
          <w:szCs w:val="20"/>
        </w:rPr>
      </w:pPr>
      <w:r w:rsidRPr="00091FBD">
        <w:rPr>
          <w:rFonts w:ascii="Arial" w:eastAsia="Times New Roman" w:hAnsi="Arial" w:cs="Arial"/>
          <w:bCs/>
          <w:sz w:val="24"/>
          <w:szCs w:val="20"/>
        </w:rPr>
        <w:t>The proposed regulation contains rates for dates of service on or after January 1, 2026</w:t>
      </w:r>
      <w:r w:rsidR="001A4EEB">
        <w:rPr>
          <w:rFonts w:ascii="Arial" w:eastAsia="Times New Roman" w:hAnsi="Arial" w:cs="Arial"/>
          <w:bCs/>
          <w:sz w:val="24"/>
          <w:szCs w:val="20"/>
        </w:rPr>
        <w:t>.</w:t>
      </w:r>
    </w:p>
    <w:p w14:paraId="088E52D0" w14:textId="77777777" w:rsidR="00955B55" w:rsidRDefault="00955B55" w:rsidP="001B7FE3">
      <w:pPr>
        <w:spacing w:line="240" w:lineRule="auto"/>
        <w:rPr>
          <w:rFonts w:ascii="Arial" w:eastAsia="Times New Roman" w:hAnsi="Arial" w:cs="Arial"/>
          <w:b/>
          <w:sz w:val="24"/>
          <w:szCs w:val="20"/>
        </w:rPr>
      </w:pPr>
    </w:p>
    <w:p w14:paraId="5554DDD6" w14:textId="77777777" w:rsidR="005446DF" w:rsidRDefault="005446DF">
      <w:pPr>
        <w:rPr>
          <w:rFonts w:ascii="Arial" w:eastAsia="Times New Roman" w:hAnsi="Arial" w:cs="Arial"/>
          <w:b/>
          <w:sz w:val="24"/>
          <w:szCs w:val="20"/>
        </w:rPr>
      </w:pPr>
      <w:r>
        <w:rPr>
          <w:rFonts w:ascii="Arial" w:eastAsia="Times New Roman" w:hAnsi="Arial" w:cs="Arial"/>
          <w:b/>
          <w:sz w:val="24"/>
          <w:szCs w:val="20"/>
        </w:rPr>
        <w:br w:type="page"/>
      </w:r>
    </w:p>
    <w:p w14:paraId="73E8273E" w14:textId="0CEBE0F1" w:rsidR="00955B55" w:rsidRPr="001B7FE3" w:rsidRDefault="003B6C2A" w:rsidP="001B7FE3">
      <w:pPr>
        <w:spacing w:line="240" w:lineRule="auto"/>
        <w:rPr>
          <w:rFonts w:ascii="Arial" w:eastAsia="Times New Roman" w:hAnsi="Arial" w:cs="Arial"/>
          <w:sz w:val="24"/>
          <w:szCs w:val="20"/>
        </w:rPr>
      </w:pPr>
      <w:r>
        <w:rPr>
          <w:rFonts w:ascii="Arial" w:eastAsia="Times New Roman" w:hAnsi="Arial" w:cs="Arial"/>
          <w:b/>
          <w:sz w:val="24"/>
          <w:szCs w:val="20"/>
        </w:rPr>
        <w:lastRenderedPageBreak/>
        <w:t>(</w:t>
      </w:r>
      <w:r w:rsidR="00256D65">
        <w:rPr>
          <w:rFonts w:ascii="Arial" w:eastAsia="Times New Roman" w:hAnsi="Arial" w:cs="Arial"/>
          <w:b/>
          <w:sz w:val="24"/>
          <w:szCs w:val="20"/>
        </w:rPr>
        <w:t>2</w:t>
      </w:r>
      <w:r>
        <w:rPr>
          <w:rFonts w:ascii="Arial" w:eastAsia="Times New Roman" w:hAnsi="Arial" w:cs="Arial"/>
          <w:b/>
          <w:sz w:val="24"/>
          <w:szCs w:val="20"/>
        </w:rPr>
        <w:t>)</w:t>
      </w:r>
      <w:r w:rsidR="00256D65">
        <w:rPr>
          <w:rFonts w:ascii="Arial" w:eastAsia="Times New Roman" w:hAnsi="Arial" w:cs="Arial"/>
          <w:b/>
          <w:sz w:val="24"/>
          <w:szCs w:val="20"/>
        </w:rPr>
        <w:t xml:space="preserve"> </w:t>
      </w:r>
      <w:r w:rsidR="00955B55">
        <w:rPr>
          <w:rFonts w:ascii="Arial" w:eastAsia="Times New Roman" w:hAnsi="Arial" w:cs="Arial"/>
          <w:b/>
          <w:sz w:val="24"/>
          <w:szCs w:val="20"/>
        </w:rPr>
        <w:t>11:00 a.m</w:t>
      </w:r>
      <w:r w:rsidR="009B5FEC">
        <w:rPr>
          <w:rFonts w:ascii="Arial" w:eastAsia="Times New Roman" w:hAnsi="Arial" w:cs="Arial"/>
          <w:b/>
          <w:sz w:val="24"/>
          <w:szCs w:val="20"/>
        </w:rPr>
        <w:t>.</w:t>
      </w:r>
      <w:r w:rsidR="00955B55">
        <w:rPr>
          <w:rFonts w:ascii="Arial" w:eastAsia="Times New Roman" w:hAnsi="Arial" w:cs="Arial"/>
          <w:b/>
          <w:sz w:val="24"/>
          <w:szCs w:val="20"/>
        </w:rPr>
        <w:t xml:space="preserve">: 101 </w:t>
      </w:r>
      <w:r w:rsidR="009B5FEC">
        <w:rPr>
          <w:rFonts w:ascii="Arial" w:eastAsia="Times New Roman" w:hAnsi="Arial" w:cs="Arial"/>
          <w:b/>
          <w:sz w:val="24"/>
          <w:szCs w:val="20"/>
        </w:rPr>
        <w:t>CMR 330.00: Rates for Team Evaluation Services</w:t>
      </w:r>
    </w:p>
    <w:p w14:paraId="358E814C" w14:textId="77777777" w:rsidR="00D5651F" w:rsidRDefault="00D5651F" w:rsidP="00D5651F">
      <w:pPr>
        <w:spacing w:line="240" w:lineRule="auto"/>
        <w:rPr>
          <w:rFonts w:ascii="Arial" w:eastAsia="Times New Roman" w:hAnsi="Arial" w:cs="Arial"/>
          <w:sz w:val="24"/>
          <w:szCs w:val="20"/>
        </w:rPr>
      </w:pPr>
    </w:p>
    <w:p w14:paraId="240A6F4C" w14:textId="328B132A" w:rsidR="002C6F9D" w:rsidRDefault="00082606" w:rsidP="00B02846">
      <w:pPr>
        <w:spacing w:line="240" w:lineRule="auto"/>
        <w:ind w:left="360"/>
        <w:rPr>
          <w:rFonts w:ascii="Arial" w:eastAsia="Times New Roman" w:hAnsi="Arial" w:cs="Arial"/>
          <w:sz w:val="24"/>
          <w:szCs w:val="20"/>
        </w:rPr>
      </w:pPr>
      <w:r w:rsidRPr="00082606">
        <w:rPr>
          <w:rFonts w:ascii="Arial" w:eastAsia="Times New Roman" w:hAnsi="Arial" w:cs="Arial"/>
          <w:sz w:val="24"/>
          <w:szCs w:val="20"/>
        </w:rPr>
        <w:t xml:space="preserve">101 CMR 330.00 governs payment rates for team evaluation services provided to publicly aided individuals by governmental units.  </w:t>
      </w:r>
    </w:p>
    <w:p w14:paraId="2F352E21" w14:textId="77777777" w:rsidR="00082606" w:rsidRDefault="00082606" w:rsidP="00B02846">
      <w:pPr>
        <w:spacing w:line="240" w:lineRule="auto"/>
        <w:ind w:left="360"/>
        <w:rPr>
          <w:rFonts w:ascii="Arial" w:eastAsia="Times New Roman" w:hAnsi="Arial" w:cs="Arial"/>
          <w:sz w:val="24"/>
          <w:szCs w:val="20"/>
        </w:rPr>
      </w:pPr>
    </w:p>
    <w:p w14:paraId="3EA14FD3" w14:textId="2494EF54" w:rsidR="00B02846" w:rsidRPr="00B02846" w:rsidRDefault="00CD38C5" w:rsidP="00B02846">
      <w:pPr>
        <w:spacing w:line="240" w:lineRule="auto"/>
        <w:ind w:left="360"/>
        <w:rPr>
          <w:rFonts w:ascii="Arial" w:eastAsia="Times New Roman" w:hAnsi="Arial" w:cs="Arial"/>
          <w:sz w:val="24"/>
          <w:szCs w:val="20"/>
        </w:rPr>
      </w:pPr>
      <w:r>
        <w:rPr>
          <w:rFonts w:ascii="Arial" w:eastAsia="Times New Roman" w:hAnsi="Arial" w:cs="Arial"/>
          <w:sz w:val="24"/>
          <w:szCs w:val="20"/>
        </w:rPr>
        <w:t>T</w:t>
      </w:r>
      <w:r w:rsidR="00B02846" w:rsidRPr="00B02846">
        <w:rPr>
          <w:rFonts w:ascii="Arial" w:eastAsia="Times New Roman" w:hAnsi="Arial" w:cs="Arial"/>
          <w:sz w:val="24"/>
          <w:szCs w:val="20"/>
        </w:rPr>
        <w:t>he rates for team evaluation services are being updated to include an increase by a cost adjustment factor (CAF) of 7.32%. The CAF was calculated based on the optimistic forecast of the Spring 2025 Massachusetts Economic Indicators data developed by S&amp;P Global Market Intelligence. The tax and fringe rate was benchmarked to 24.97% based on the Approved Fiscal Year 2025 Fringe Benefit and Payroll Tax Rates from the Commonwealth of Massachusetts Office of the Comptroller. Salary benchmarks use data from the Bureau of Labor Statistics (BLS) May 2024 State Occupational Employment and Wage Estimates. Finally, productivity factors were updated to reflect current assumptions.</w:t>
      </w:r>
    </w:p>
    <w:p w14:paraId="4D8025A5" w14:textId="77777777" w:rsidR="00B02846" w:rsidRPr="00B02846" w:rsidRDefault="00B02846" w:rsidP="00B02846">
      <w:pPr>
        <w:spacing w:line="240" w:lineRule="auto"/>
        <w:ind w:left="360"/>
        <w:rPr>
          <w:rFonts w:ascii="Arial" w:eastAsia="Times New Roman" w:hAnsi="Arial" w:cs="Arial"/>
          <w:sz w:val="24"/>
          <w:szCs w:val="20"/>
        </w:rPr>
      </w:pPr>
    </w:p>
    <w:p w14:paraId="48311C88" w14:textId="77777777" w:rsidR="00B02846" w:rsidRPr="00B02846" w:rsidRDefault="00B02846" w:rsidP="00B02846">
      <w:pPr>
        <w:spacing w:line="240" w:lineRule="auto"/>
        <w:ind w:left="360"/>
        <w:rPr>
          <w:rFonts w:ascii="Arial" w:eastAsia="Times New Roman" w:hAnsi="Arial" w:cs="Arial"/>
          <w:sz w:val="24"/>
          <w:szCs w:val="20"/>
        </w:rPr>
      </w:pPr>
      <w:r w:rsidRPr="00B02846">
        <w:rPr>
          <w:rFonts w:ascii="Arial" w:eastAsia="Times New Roman" w:hAnsi="Arial" w:cs="Arial"/>
          <w:sz w:val="24"/>
          <w:szCs w:val="20"/>
        </w:rPr>
        <w:t>The estimated annual fiscal impact of the proposed amendments is an increase of $3,712, or a 0.36% increase over the current spending of $1,031,222. Due to the lack of centralized utilization data, the estimated current utilization data is based on the projected annual spending from the previous rate review.</w:t>
      </w:r>
    </w:p>
    <w:p w14:paraId="1F207556" w14:textId="77777777" w:rsidR="00B02846" w:rsidRPr="00B02846" w:rsidRDefault="00B02846" w:rsidP="00B02846">
      <w:pPr>
        <w:spacing w:line="240" w:lineRule="auto"/>
        <w:ind w:left="360"/>
        <w:rPr>
          <w:rFonts w:ascii="Arial" w:eastAsia="Times New Roman" w:hAnsi="Arial" w:cs="Arial"/>
          <w:sz w:val="24"/>
          <w:szCs w:val="20"/>
        </w:rPr>
      </w:pPr>
    </w:p>
    <w:p w14:paraId="3B42153F" w14:textId="77777777" w:rsidR="00B02846" w:rsidRPr="00B02846" w:rsidRDefault="00B02846" w:rsidP="00B02846">
      <w:pPr>
        <w:spacing w:line="240" w:lineRule="auto"/>
        <w:ind w:left="360"/>
        <w:rPr>
          <w:rFonts w:ascii="Arial" w:eastAsia="Times New Roman" w:hAnsi="Arial" w:cs="Arial"/>
          <w:sz w:val="24"/>
          <w:szCs w:val="20"/>
        </w:rPr>
      </w:pPr>
      <w:r w:rsidRPr="00B02846">
        <w:rPr>
          <w:rFonts w:ascii="Arial" w:eastAsia="Times New Roman" w:hAnsi="Arial" w:cs="Arial"/>
          <w:sz w:val="24"/>
          <w:szCs w:val="20"/>
        </w:rPr>
        <w:t>The proposed regulation contains rates effective for dates of service on or after March 1, 2026.</w:t>
      </w:r>
    </w:p>
    <w:p w14:paraId="0F80611D" w14:textId="77777777" w:rsidR="001B7FE3" w:rsidRPr="001B7FE3" w:rsidRDefault="001B7FE3" w:rsidP="001B7FE3">
      <w:pPr>
        <w:spacing w:line="240" w:lineRule="auto"/>
        <w:rPr>
          <w:rFonts w:ascii="Arial" w:eastAsia="Times New Roman" w:hAnsi="Arial" w:cs="Arial"/>
          <w:bCs/>
          <w:sz w:val="24"/>
          <w:szCs w:val="20"/>
        </w:rPr>
      </w:pPr>
    </w:p>
    <w:p w14:paraId="0F7C9023" w14:textId="0323EC98" w:rsidR="00DE2B00" w:rsidRPr="003B6C2A" w:rsidRDefault="003B6C2A" w:rsidP="003B6C2A">
      <w:pPr>
        <w:tabs>
          <w:tab w:val="left" w:pos="-720"/>
        </w:tabs>
        <w:suppressAutoHyphens/>
        <w:spacing w:line="240" w:lineRule="auto"/>
        <w:ind w:left="360" w:hanging="360"/>
        <w:rPr>
          <w:rFonts w:ascii="Arial" w:eastAsia="Times New Roman" w:hAnsi="Arial" w:cs="Arial"/>
          <w:b/>
          <w:bCs/>
          <w:sz w:val="24"/>
          <w:szCs w:val="24"/>
        </w:rPr>
      </w:pPr>
      <w:r>
        <w:rPr>
          <w:rFonts w:ascii="Arial" w:eastAsia="Times New Roman" w:hAnsi="Arial" w:cs="Arial"/>
          <w:b/>
          <w:bCs/>
          <w:sz w:val="24"/>
          <w:szCs w:val="24"/>
        </w:rPr>
        <w:t>(</w:t>
      </w:r>
      <w:r w:rsidR="00DE2B00" w:rsidRPr="003B6C2A">
        <w:rPr>
          <w:rFonts w:ascii="Arial" w:eastAsia="Times New Roman" w:hAnsi="Arial" w:cs="Arial"/>
          <w:b/>
          <w:bCs/>
          <w:sz w:val="24"/>
          <w:szCs w:val="24"/>
        </w:rPr>
        <w:t>3</w:t>
      </w:r>
      <w:r>
        <w:rPr>
          <w:rFonts w:ascii="Arial" w:eastAsia="Times New Roman" w:hAnsi="Arial" w:cs="Arial"/>
          <w:b/>
          <w:bCs/>
          <w:sz w:val="24"/>
          <w:szCs w:val="24"/>
        </w:rPr>
        <w:t>)</w:t>
      </w:r>
      <w:r w:rsidR="00DE2B00" w:rsidRPr="003B6C2A">
        <w:rPr>
          <w:rFonts w:ascii="Arial" w:eastAsia="Times New Roman" w:hAnsi="Arial" w:cs="Arial"/>
          <w:b/>
          <w:bCs/>
          <w:sz w:val="24"/>
          <w:szCs w:val="24"/>
        </w:rPr>
        <w:t xml:space="preserve"> 12:00 p.m.: 101 CMR 413.00: Payments </w:t>
      </w:r>
      <w:r w:rsidR="006E6FCD">
        <w:rPr>
          <w:rFonts w:ascii="Arial" w:eastAsia="Times New Roman" w:hAnsi="Arial" w:cs="Arial"/>
          <w:b/>
          <w:bCs/>
          <w:sz w:val="24"/>
          <w:szCs w:val="24"/>
        </w:rPr>
        <w:t>for</w:t>
      </w:r>
      <w:r w:rsidRPr="003B6C2A">
        <w:rPr>
          <w:rFonts w:ascii="Arial" w:eastAsia="Times New Roman" w:hAnsi="Arial" w:cs="Arial"/>
          <w:b/>
          <w:bCs/>
          <w:sz w:val="24"/>
          <w:szCs w:val="24"/>
        </w:rPr>
        <w:t xml:space="preserve"> Youth Intermediate-Term Stabilization Se</w:t>
      </w:r>
      <w:r>
        <w:rPr>
          <w:rFonts w:ascii="Arial" w:eastAsia="Times New Roman" w:hAnsi="Arial" w:cs="Arial"/>
          <w:b/>
          <w:bCs/>
          <w:sz w:val="24"/>
          <w:szCs w:val="24"/>
        </w:rPr>
        <w:t>r</w:t>
      </w:r>
      <w:r w:rsidRPr="003B6C2A">
        <w:rPr>
          <w:rFonts w:ascii="Arial" w:eastAsia="Times New Roman" w:hAnsi="Arial" w:cs="Arial"/>
          <w:b/>
          <w:bCs/>
          <w:sz w:val="24"/>
          <w:szCs w:val="24"/>
        </w:rPr>
        <w:t>vices</w:t>
      </w:r>
    </w:p>
    <w:p w14:paraId="2CA760AF" w14:textId="77777777" w:rsidR="00DE2B00" w:rsidRDefault="00DE2B00" w:rsidP="003B6C2A">
      <w:pPr>
        <w:tabs>
          <w:tab w:val="left" w:pos="-720"/>
        </w:tabs>
        <w:suppressAutoHyphens/>
        <w:spacing w:line="240" w:lineRule="auto"/>
        <w:ind w:left="360" w:hanging="360"/>
        <w:rPr>
          <w:rFonts w:ascii="Arial" w:eastAsia="Times New Roman" w:hAnsi="Arial" w:cs="Arial"/>
          <w:sz w:val="24"/>
          <w:szCs w:val="24"/>
        </w:rPr>
      </w:pPr>
    </w:p>
    <w:p w14:paraId="0418B788" w14:textId="77190B63" w:rsidR="003B6C2A" w:rsidRDefault="00DA3995" w:rsidP="00DA3995">
      <w:pPr>
        <w:tabs>
          <w:tab w:val="left" w:pos="-720"/>
        </w:tabs>
        <w:suppressAutoHyphens/>
        <w:spacing w:line="240" w:lineRule="auto"/>
        <w:ind w:left="360"/>
        <w:rPr>
          <w:rFonts w:ascii="Arial" w:eastAsia="Times New Roman" w:hAnsi="Arial" w:cs="Arial"/>
          <w:sz w:val="24"/>
          <w:szCs w:val="24"/>
        </w:rPr>
      </w:pPr>
      <w:r w:rsidRPr="00DA3995">
        <w:rPr>
          <w:rFonts w:ascii="Arial" w:eastAsia="Times New Roman" w:hAnsi="Arial" w:cs="Arial"/>
          <w:sz w:val="24"/>
          <w:szCs w:val="24"/>
        </w:rPr>
        <w:t>101 CMR 413.00 establishes the payment rates for youth intermediate-term stabilization services provided to publicly aided individuals by governmental units. These services are purchased by the Department of Youth Services (DYS).</w:t>
      </w:r>
    </w:p>
    <w:p w14:paraId="342BB769" w14:textId="77777777" w:rsidR="00DA3995" w:rsidRDefault="00DA3995" w:rsidP="00DA3995">
      <w:pPr>
        <w:tabs>
          <w:tab w:val="left" w:pos="-720"/>
        </w:tabs>
        <w:suppressAutoHyphens/>
        <w:spacing w:line="240" w:lineRule="auto"/>
        <w:ind w:left="360"/>
        <w:rPr>
          <w:rFonts w:ascii="Arial" w:eastAsia="Times New Roman" w:hAnsi="Arial" w:cs="Arial"/>
          <w:sz w:val="24"/>
          <w:szCs w:val="24"/>
        </w:rPr>
      </w:pPr>
    </w:p>
    <w:p w14:paraId="7F8262BC" w14:textId="3EA91F00" w:rsidR="007652DB" w:rsidRPr="007652DB" w:rsidRDefault="00C06F5F" w:rsidP="007652DB">
      <w:pPr>
        <w:tabs>
          <w:tab w:val="left" w:pos="-720"/>
        </w:tabs>
        <w:suppressAutoHyphens/>
        <w:spacing w:line="240" w:lineRule="auto"/>
        <w:ind w:left="360"/>
        <w:rPr>
          <w:rFonts w:ascii="Arial" w:eastAsia="Times New Roman" w:hAnsi="Arial" w:cs="Arial"/>
          <w:sz w:val="24"/>
          <w:szCs w:val="24"/>
        </w:rPr>
      </w:pPr>
      <w:r>
        <w:rPr>
          <w:rFonts w:ascii="Arial" w:eastAsia="Times New Roman" w:hAnsi="Arial" w:cs="Arial"/>
          <w:sz w:val="24"/>
          <w:szCs w:val="24"/>
        </w:rPr>
        <w:t>T</w:t>
      </w:r>
      <w:r w:rsidR="007652DB" w:rsidRPr="007652DB">
        <w:rPr>
          <w:rFonts w:ascii="Arial" w:eastAsia="Times New Roman" w:hAnsi="Arial" w:cs="Arial"/>
          <w:sz w:val="24"/>
          <w:szCs w:val="24"/>
        </w:rPr>
        <w:t xml:space="preserve">he rates for youth intermediate-term stabilization services are being updated to include an increase by cost adjustment factor (CAF) of 2.53%. The CAF was determined by using baseline and prospective Massachusetts Economic Indicator data from IHS Economics – Spring 2025 Forecast, optimistic scenario data. The CAF reflects the period between the rates’ base period (calendar year 2025 Q4) and the prospective period of calendar years 2026 and 2027. </w:t>
      </w:r>
      <w:r w:rsidR="007652DB" w:rsidRPr="007652DB">
        <w:rPr>
          <w:rFonts w:ascii="Arial" w:eastAsia="Times New Roman" w:hAnsi="Arial" w:cs="Arial"/>
          <w:bCs/>
          <w:sz w:val="24"/>
          <w:szCs w:val="24"/>
        </w:rPr>
        <w:t>Staff salaries have been benchmarked to the Massachusetts Bureau of Labor Statistics (BLS) wages as dated May 2024 at the 53</w:t>
      </w:r>
      <w:r w:rsidR="007652DB" w:rsidRPr="007652DB">
        <w:rPr>
          <w:rFonts w:ascii="Arial" w:eastAsia="Times New Roman" w:hAnsi="Arial" w:cs="Arial"/>
          <w:bCs/>
          <w:sz w:val="24"/>
          <w:szCs w:val="24"/>
          <w:vertAlign w:val="superscript"/>
        </w:rPr>
        <w:t>rd</w:t>
      </w:r>
      <w:r w:rsidR="007652DB" w:rsidRPr="007652DB">
        <w:rPr>
          <w:rFonts w:ascii="Arial" w:eastAsia="Times New Roman" w:hAnsi="Arial" w:cs="Arial"/>
          <w:bCs/>
          <w:sz w:val="24"/>
          <w:szCs w:val="24"/>
        </w:rPr>
        <w:t xml:space="preserve"> percentile. The tax and fringe rate has been benchmarked to 24.97% and the administrative allocation has been benchmarked to 12%</w:t>
      </w:r>
      <w:r w:rsidR="007652DB" w:rsidRPr="007652DB">
        <w:rPr>
          <w:rFonts w:ascii="Arial" w:eastAsia="Times New Roman" w:hAnsi="Arial" w:cs="Arial"/>
          <w:sz w:val="24"/>
          <w:szCs w:val="24"/>
        </w:rPr>
        <w:t xml:space="preserve">. </w:t>
      </w:r>
    </w:p>
    <w:p w14:paraId="4F3A7A61" w14:textId="77777777" w:rsidR="00F60B38" w:rsidRDefault="00F60B38" w:rsidP="007652DB">
      <w:pPr>
        <w:tabs>
          <w:tab w:val="left" w:pos="-720"/>
        </w:tabs>
        <w:suppressAutoHyphens/>
        <w:spacing w:line="240" w:lineRule="auto"/>
        <w:ind w:left="360"/>
        <w:rPr>
          <w:rFonts w:ascii="Arial" w:eastAsia="Times New Roman" w:hAnsi="Arial" w:cs="Arial"/>
          <w:sz w:val="24"/>
          <w:szCs w:val="24"/>
        </w:rPr>
      </w:pPr>
    </w:p>
    <w:p w14:paraId="4812BA96" w14:textId="1AA1E0D1" w:rsidR="007652DB" w:rsidRPr="007652DB" w:rsidRDefault="007652DB" w:rsidP="007652DB">
      <w:pPr>
        <w:tabs>
          <w:tab w:val="left" w:pos="-720"/>
        </w:tabs>
        <w:suppressAutoHyphens/>
        <w:spacing w:line="240" w:lineRule="auto"/>
        <w:ind w:left="360"/>
        <w:rPr>
          <w:rFonts w:ascii="Arial" w:eastAsia="Times New Roman" w:hAnsi="Arial" w:cs="Arial"/>
          <w:sz w:val="24"/>
          <w:szCs w:val="24"/>
        </w:rPr>
      </w:pPr>
      <w:r w:rsidRPr="007652DB">
        <w:rPr>
          <w:rFonts w:ascii="Arial" w:eastAsia="Times New Roman" w:hAnsi="Arial" w:cs="Arial"/>
          <w:sz w:val="24"/>
          <w:szCs w:val="24"/>
        </w:rPr>
        <w:t xml:space="preserve">The total estimated annualized cost to state government from the increase in rates established by these proposed amendments is $3.3 million, which represents an increase of 5.77% over FY25 spending of $57.7 million. These costs will not be realized until January 1, 2026, at which point the FY26 fiscal impact to state </w:t>
      </w:r>
      <w:r w:rsidRPr="007652DB">
        <w:rPr>
          <w:rFonts w:ascii="Arial" w:eastAsia="Times New Roman" w:hAnsi="Arial" w:cs="Arial"/>
          <w:sz w:val="24"/>
          <w:szCs w:val="24"/>
        </w:rPr>
        <w:lastRenderedPageBreak/>
        <w:t>government will be approximately $1.67 million for the increase to existing rates. The increase in spending will be covered through the Chapter 257 Reserve Account.</w:t>
      </w:r>
    </w:p>
    <w:p w14:paraId="03598E83" w14:textId="77777777" w:rsidR="007B30B5" w:rsidRDefault="007B30B5" w:rsidP="007652DB">
      <w:pPr>
        <w:tabs>
          <w:tab w:val="left" w:pos="-720"/>
        </w:tabs>
        <w:suppressAutoHyphens/>
        <w:spacing w:line="240" w:lineRule="auto"/>
        <w:ind w:left="360"/>
        <w:rPr>
          <w:rFonts w:ascii="Arial" w:eastAsia="Times New Roman" w:hAnsi="Arial" w:cs="Arial"/>
          <w:sz w:val="24"/>
          <w:szCs w:val="24"/>
        </w:rPr>
      </w:pPr>
    </w:p>
    <w:p w14:paraId="118CE2BD" w14:textId="3EB365EA" w:rsidR="007652DB" w:rsidRPr="007652DB" w:rsidRDefault="007652DB" w:rsidP="007652DB">
      <w:pPr>
        <w:tabs>
          <w:tab w:val="left" w:pos="-720"/>
        </w:tabs>
        <w:suppressAutoHyphens/>
        <w:spacing w:line="240" w:lineRule="auto"/>
        <w:ind w:left="360"/>
        <w:rPr>
          <w:rFonts w:ascii="Arial" w:eastAsia="Times New Roman" w:hAnsi="Arial" w:cs="Arial"/>
          <w:sz w:val="24"/>
          <w:szCs w:val="24"/>
        </w:rPr>
      </w:pPr>
      <w:r w:rsidRPr="007652DB">
        <w:rPr>
          <w:rFonts w:ascii="Arial" w:eastAsia="Times New Roman" w:hAnsi="Arial" w:cs="Arial"/>
          <w:sz w:val="24"/>
          <w:szCs w:val="24"/>
        </w:rPr>
        <w:t>The proposed regulation contains rates effective for dates of service on or after January 1, 2026.</w:t>
      </w:r>
    </w:p>
    <w:p w14:paraId="77ECA78B" w14:textId="77777777" w:rsidR="00DA3995" w:rsidRDefault="00DA3995" w:rsidP="00DA3995">
      <w:pPr>
        <w:tabs>
          <w:tab w:val="left" w:pos="-720"/>
        </w:tabs>
        <w:suppressAutoHyphens/>
        <w:spacing w:line="240" w:lineRule="auto"/>
        <w:ind w:left="360"/>
        <w:rPr>
          <w:rFonts w:ascii="Arial" w:eastAsia="Times New Roman" w:hAnsi="Arial" w:cs="Arial"/>
          <w:sz w:val="24"/>
          <w:szCs w:val="24"/>
        </w:rPr>
      </w:pPr>
    </w:p>
    <w:p w14:paraId="5C49D48A" w14:textId="43457D60"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w:t>
      </w:r>
      <w:r w:rsidR="009B5FEC">
        <w:rPr>
          <w:rFonts w:ascii="Arial" w:eastAsia="Times New Roman" w:hAnsi="Arial" w:cs="Arial"/>
          <w:sz w:val="24"/>
          <w:szCs w:val="24"/>
        </w:rPr>
        <w:t>either</w:t>
      </w:r>
      <w:r w:rsidRPr="002556E6">
        <w:rPr>
          <w:rFonts w:ascii="Arial" w:eastAsia="Times New Roman" w:hAnsi="Arial" w:cs="Arial"/>
          <w:sz w:val="24"/>
          <w:szCs w:val="24"/>
        </w:rPr>
        <w:t xml:space="preserv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42D836A5"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9B5FEC">
        <w:rPr>
          <w:rFonts w:ascii="Arial" w:eastAsia="Times New Roman" w:hAnsi="Arial" w:cs="Arial"/>
          <w:sz w:val="24"/>
          <w:szCs w:val="24"/>
        </w:rPr>
        <w:t>Friday, January 23, 2026</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6940B1FE"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o review the current draft</w:t>
      </w:r>
      <w:r w:rsidR="001A4EEB">
        <w:rPr>
          <w:rFonts w:ascii="Arial" w:eastAsia="Times New Roman" w:hAnsi="Arial" w:cs="Arial"/>
          <w:bCs/>
          <w:sz w:val="24"/>
          <w:szCs w:val="24"/>
        </w:rPr>
        <w:t>s</w:t>
      </w:r>
      <w:r w:rsidR="001B7FE3" w:rsidRPr="001B7FE3">
        <w:rPr>
          <w:rFonts w:ascii="Arial" w:eastAsia="Times New Roman" w:hAnsi="Arial" w:cs="Arial"/>
          <w:bCs/>
          <w:sz w:val="24"/>
          <w:szCs w:val="24"/>
        </w:rPr>
        <w:t xml:space="preserve"> of the proposed </w:t>
      </w:r>
      <w:r w:rsidR="00D84188">
        <w:rPr>
          <w:rFonts w:ascii="Arial" w:eastAsia="Times New Roman" w:hAnsi="Arial" w:cs="Arial"/>
          <w:bCs/>
          <w:sz w:val="24"/>
          <w:szCs w:val="24"/>
        </w:rPr>
        <w:t>regulation</w:t>
      </w:r>
      <w:r w:rsidR="001A4EEB">
        <w:rPr>
          <w:rFonts w:ascii="Arial" w:eastAsia="Times New Roman" w:hAnsi="Arial" w:cs="Arial"/>
          <w:bCs/>
          <w:sz w:val="24"/>
          <w:szCs w:val="24"/>
        </w:rPr>
        <w:t>s</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1F9517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1A4EEB">
        <w:rPr>
          <w:rFonts w:ascii="Arial" w:eastAsia="Times New Roman" w:hAnsi="Arial" w:cs="Arial"/>
          <w:bCs/>
          <w:sz w:val="24"/>
          <w:szCs w:val="20"/>
        </w:rPr>
        <w:t>s</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70877109" w:rsidR="00FE710C" w:rsidRPr="00D6445D" w:rsidRDefault="00EB4EB3"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January 2, 2026</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C06B" w14:textId="77777777" w:rsidR="00B043CC" w:rsidRDefault="00B043CC" w:rsidP="00DE3EFA">
      <w:pPr>
        <w:spacing w:line="240" w:lineRule="auto"/>
      </w:pPr>
      <w:r>
        <w:separator/>
      </w:r>
    </w:p>
  </w:endnote>
  <w:endnote w:type="continuationSeparator" w:id="0">
    <w:p w14:paraId="1313EFB9" w14:textId="77777777" w:rsidR="00B043CC" w:rsidRDefault="00B043CC" w:rsidP="00DE3EFA">
      <w:pPr>
        <w:spacing w:line="240" w:lineRule="auto"/>
      </w:pPr>
      <w:r>
        <w:continuationSeparator/>
      </w:r>
    </w:p>
  </w:endnote>
  <w:endnote w:type="continuationNotice" w:id="1">
    <w:p w14:paraId="7D849C65" w14:textId="77777777" w:rsidR="00B043CC" w:rsidRDefault="00B043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BB55C" w14:textId="77777777" w:rsidR="00B043CC" w:rsidRDefault="00B043CC" w:rsidP="00DE3EFA">
      <w:pPr>
        <w:spacing w:line="240" w:lineRule="auto"/>
      </w:pPr>
      <w:r>
        <w:separator/>
      </w:r>
    </w:p>
  </w:footnote>
  <w:footnote w:type="continuationSeparator" w:id="0">
    <w:p w14:paraId="53A3DB01" w14:textId="77777777" w:rsidR="00B043CC" w:rsidRDefault="00B043CC" w:rsidP="00DE3EFA">
      <w:pPr>
        <w:spacing w:line="240" w:lineRule="auto"/>
      </w:pPr>
      <w:r>
        <w:continuationSeparator/>
      </w:r>
    </w:p>
  </w:footnote>
  <w:footnote w:type="continuationNotice" w:id="1">
    <w:p w14:paraId="66D2FEAD" w14:textId="77777777" w:rsidR="00B043CC" w:rsidRDefault="00B043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82606"/>
    <w:rsid w:val="00091FBD"/>
    <w:rsid w:val="000B2BCA"/>
    <w:rsid w:val="000B417E"/>
    <w:rsid w:val="000C2D22"/>
    <w:rsid w:val="000F2753"/>
    <w:rsid w:val="00121A2F"/>
    <w:rsid w:val="00197AB5"/>
    <w:rsid w:val="001A4EEB"/>
    <w:rsid w:val="001B521B"/>
    <w:rsid w:val="001B7FE3"/>
    <w:rsid w:val="001D3BC5"/>
    <w:rsid w:val="002402CC"/>
    <w:rsid w:val="00240858"/>
    <w:rsid w:val="002556E6"/>
    <w:rsid w:val="00256D65"/>
    <w:rsid w:val="00280B8F"/>
    <w:rsid w:val="002A2967"/>
    <w:rsid w:val="002A2DE3"/>
    <w:rsid w:val="002C6F9D"/>
    <w:rsid w:val="002E7575"/>
    <w:rsid w:val="00323644"/>
    <w:rsid w:val="003254E5"/>
    <w:rsid w:val="003645D4"/>
    <w:rsid w:val="003B6C2A"/>
    <w:rsid w:val="003D036A"/>
    <w:rsid w:val="003D34A6"/>
    <w:rsid w:val="003F5031"/>
    <w:rsid w:val="00425109"/>
    <w:rsid w:val="004848CC"/>
    <w:rsid w:val="004D51D5"/>
    <w:rsid w:val="004E3A7B"/>
    <w:rsid w:val="004F78F1"/>
    <w:rsid w:val="005446DF"/>
    <w:rsid w:val="0054647F"/>
    <w:rsid w:val="00557644"/>
    <w:rsid w:val="005966AC"/>
    <w:rsid w:val="006123AD"/>
    <w:rsid w:val="00626A6B"/>
    <w:rsid w:val="00667BCF"/>
    <w:rsid w:val="0067433F"/>
    <w:rsid w:val="006838E9"/>
    <w:rsid w:val="006A0C82"/>
    <w:rsid w:val="006C0B86"/>
    <w:rsid w:val="006E6FCD"/>
    <w:rsid w:val="00743158"/>
    <w:rsid w:val="00743A52"/>
    <w:rsid w:val="00751F57"/>
    <w:rsid w:val="00765164"/>
    <w:rsid w:val="007652DB"/>
    <w:rsid w:val="00783749"/>
    <w:rsid w:val="0079007F"/>
    <w:rsid w:val="00791EC6"/>
    <w:rsid w:val="007A1158"/>
    <w:rsid w:val="007B30B5"/>
    <w:rsid w:val="007B313C"/>
    <w:rsid w:val="007D3808"/>
    <w:rsid w:val="007F0D2D"/>
    <w:rsid w:val="007F4487"/>
    <w:rsid w:val="007F68BB"/>
    <w:rsid w:val="00800AAA"/>
    <w:rsid w:val="00835A67"/>
    <w:rsid w:val="00844DED"/>
    <w:rsid w:val="0087411B"/>
    <w:rsid w:val="008B1FFA"/>
    <w:rsid w:val="008D3459"/>
    <w:rsid w:val="008E6E4A"/>
    <w:rsid w:val="00955B55"/>
    <w:rsid w:val="0098686B"/>
    <w:rsid w:val="009A4706"/>
    <w:rsid w:val="009B5FEC"/>
    <w:rsid w:val="009E2F76"/>
    <w:rsid w:val="00A24124"/>
    <w:rsid w:val="00A40425"/>
    <w:rsid w:val="00A55A93"/>
    <w:rsid w:val="00A67EB5"/>
    <w:rsid w:val="00A96BAA"/>
    <w:rsid w:val="00AA3C3F"/>
    <w:rsid w:val="00AD3A5B"/>
    <w:rsid w:val="00B02846"/>
    <w:rsid w:val="00B043CC"/>
    <w:rsid w:val="00B534D2"/>
    <w:rsid w:val="00C06F5F"/>
    <w:rsid w:val="00C1034C"/>
    <w:rsid w:val="00C359BF"/>
    <w:rsid w:val="00C5649D"/>
    <w:rsid w:val="00C63C83"/>
    <w:rsid w:val="00C815BC"/>
    <w:rsid w:val="00C81EA4"/>
    <w:rsid w:val="00CA5009"/>
    <w:rsid w:val="00CC3E28"/>
    <w:rsid w:val="00CD38C5"/>
    <w:rsid w:val="00CE74F7"/>
    <w:rsid w:val="00CF2D7B"/>
    <w:rsid w:val="00D11FA2"/>
    <w:rsid w:val="00D44A47"/>
    <w:rsid w:val="00D5651F"/>
    <w:rsid w:val="00D6445D"/>
    <w:rsid w:val="00D84188"/>
    <w:rsid w:val="00D85ECB"/>
    <w:rsid w:val="00D92066"/>
    <w:rsid w:val="00DA3995"/>
    <w:rsid w:val="00DA4363"/>
    <w:rsid w:val="00DA4A23"/>
    <w:rsid w:val="00DE2B00"/>
    <w:rsid w:val="00DE3EFA"/>
    <w:rsid w:val="00E06830"/>
    <w:rsid w:val="00E23EA1"/>
    <w:rsid w:val="00EA30FD"/>
    <w:rsid w:val="00EB4EB3"/>
    <w:rsid w:val="00ED5DCC"/>
    <w:rsid w:val="00EE1D26"/>
    <w:rsid w:val="00EF024D"/>
    <w:rsid w:val="00F049F4"/>
    <w:rsid w:val="00F22A24"/>
    <w:rsid w:val="00F34171"/>
    <w:rsid w:val="00F45F7E"/>
    <w:rsid w:val="00F60B38"/>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11</cp:revision>
  <cp:lastPrinted>2025-12-10T18:52:00Z</cp:lastPrinted>
  <dcterms:created xsi:type="dcterms:W3CDTF">2025-12-17T14:24:00Z</dcterms:created>
  <dcterms:modified xsi:type="dcterms:W3CDTF">2025-12-17T14:31:00Z</dcterms:modified>
</cp:coreProperties>
</file>