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3D46C309"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B65C47">
        <w:rPr>
          <w:rFonts w:ascii="Arial" w:eastAsia="Times New Roman" w:hAnsi="Arial" w:cs="Arial"/>
          <w:sz w:val="24"/>
          <w:szCs w:val="20"/>
        </w:rPr>
        <w:t>Friday, May 29, 2026</w:t>
      </w:r>
      <w:r w:rsidR="001B7FE3" w:rsidRPr="001B7FE3">
        <w:rPr>
          <w:rFonts w:ascii="Arial" w:eastAsia="Times New Roman" w:hAnsi="Arial" w:cs="Arial"/>
          <w:sz w:val="24"/>
          <w:szCs w:val="20"/>
        </w:rPr>
        <w:t xml:space="preserve">, at </w:t>
      </w:r>
      <w:r w:rsidR="00B65C47">
        <w:rPr>
          <w:rFonts w:ascii="Arial" w:eastAsia="Times New Roman" w:hAnsi="Arial" w:cs="Arial"/>
          <w:sz w:val="24"/>
          <w:szCs w:val="20"/>
        </w:rPr>
        <w:t>10:00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1928940F"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B65C47">
        <w:rPr>
          <w:rFonts w:ascii="Arial" w:eastAsia="Times New Roman" w:hAnsi="Arial" w:cs="Arial"/>
          <w:b/>
          <w:sz w:val="24"/>
          <w:szCs w:val="20"/>
        </w:rPr>
        <w:t>4</w:t>
      </w:r>
      <w:r w:rsidR="004D073C">
        <w:rPr>
          <w:rFonts w:ascii="Arial" w:eastAsia="Times New Roman" w:hAnsi="Arial" w:cs="Arial"/>
          <w:b/>
          <w:sz w:val="24"/>
          <w:szCs w:val="20"/>
        </w:rPr>
        <w:t>32</w:t>
      </w:r>
      <w:r w:rsidRPr="001B7FE3">
        <w:rPr>
          <w:rFonts w:ascii="Arial" w:eastAsia="Times New Roman" w:hAnsi="Arial" w:cs="Arial"/>
          <w:b/>
          <w:sz w:val="24"/>
          <w:szCs w:val="20"/>
        </w:rPr>
        <w:t xml:space="preserve">.00: </w:t>
      </w:r>
      <w:r w:rsidR="00B65C47">
        <w:rPr>
          <w:rFonts w:ascii="Arial" w:eastAsia="Times New Roman" w:hAnsi="Arial" w:cs="Arial"/>
          <w:b/>
          <w:sz w:val="24"/>
          <w:szCs w:val="20"/>
        </w:rPr>
        <w:t xml:space="preserve">Rates for </w:t>
      </w:r>
      <w:r w:rsidR="00483F51">
        <w:rPr>
          <w:rFonts w:ascii="Arial" w:eastAsia="Times New Roman" w:hAnsi="Arial" w:cs="Arial"/>
          <w:b/>
          <w:sz w:val="24"/>
          <w:szCs w:val="20"/>
        </w:rPr>
        <w:t>Certain Lead Agency</w:t>
      </w:r>
      <w:r w:rsidR="00B65C47">
        <w:rPr>
          <w:rFonts w:ascii="Arial" w:eastAsia="Times New Roman" w:hAnsi="Arial" w:cs="Arial"/>
          <w:b/>
          <w:sz w:val="24"/>
          <w:szCs w:val="20"/>
        </w:rPr>
        <w:t xml:space="preserve">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48465747"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B65C47">
        <w:rPr>
          <w:rFonts w:ascii="Arial" w:eastAsia="Times New Roman" w:hAnsi="Arial" w:cs="Arial"/>
          <w:sz w:val="24"/>
          <w:szCs w:val="20"/>
        </w:rPr>
        <w:t>January 1, 2027</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0F80611D" w14:textId="65FA69D2" w:rsidR="001B7FE3" w:rsidRDefault="00580DCF" w:rsidP="001B7FE3">
      <w:pPr>
        <w:spacing w:line="240" w:lineRule="auto"/>
        <w:rPr>
          <w:rFonts w:ascii="Arial" w:eastAsia="Times New Roman" w:hAnsi="Arial" w:cs="Arial"/>
          <w:bCs/>
          <w:sz w:val="24"/>
          <w:szCs w:val="20"/>
        </w:rPr>
      </w:pPr>
      <w:r w:rsidRPr="00580DCF">
        <w:rPr>
          <w:rFonts w:ascii="Arial" w:eastAsia="Times New Roman" w:hAnsi="Arial" w:cs="Arial"/>
          <w:bCs/>
          <w:sz w:val="24"/>
          <w:szCs w:val="20"/>
        </w:rPr>
        <w:t xml:space="preserve">101 CMR 432.00 governs the payment rates for certain lead agency services provided to publicly aided individuals by governmental units. </w:t>
      </w:r>
      <w:r w:rsidR="001C4B37">
        <w:rPr>
          <w:rFonts w:ascii="Arial" w:eastAsia="Times New Roman" w:hAnsi="Arial" w:cs="Arial"/>
          <w:bCs/>
          <w:sz w:val="24"/>
          <w:szCs w:val="20"/>
        </w:rPr>
        <w:t xml:space="preserve">The Department of Children and Families </w:t>
      </w:r>
      <w:r w:rsidR="007B30EB">
        <w:rPr>
          <w:rFonts w:ascii="Arial" w:eastAsia="Times New Roman" w:hAnsi="Arial" w:cs="Arial"/>
          <w:bCs/>
          <w:sz w:val="24"/>
          <w:szCs w:val="20"/>
        </w:rPr>
        <w:t xml:space="preserve">(DCF) </w:t>
      </w:r>
      <w:r w:rsidR="001C4B37">
        <w:rPr>
          <w:rFonts w:ascii="Arial" w:eastAsia="Times New Roman" w:hAnsi="Arial" w:cs="Arial"/>
          <w:bCs/>
          <w:sz w:val="24"/>
          <w:szCs w:val="20"/>
        </w:rPr>
        <w:t>purchases services</w:t>
      </w:r>
      <w:r w:rsidR="007B30EB">
        <w:rPr>
          <w:rFonts w:ascii="Arial" w:eastAsia="Times New Roman" w:hAnsi="Arial" w:cs="Arial"/>
          <w:bCs/>
          <w:sz w:val="24"/>
          <w:szCs w:val="20"/>
        </w:rPr>
        <w:t xml:space="preserve"> governed by these regulations.</w:t>
      </w:r>
    </w:p>
    <w:p w14:paraId="0369376C" w14:textId="77777777" w:rsidR="00F164EF" w:rsidRDefault="00F164EF" w:rsidP="001B7FE3">
      <w:pPr>
        <w:spacing w:line="240" w:lineRule="auto"/>
        <w:rPr>
          <w:rFonts w:ascii="Arial" w:eastAsia="Times New Roman" w:hAnsi="Arial" w:cs="Arial"/>
          <w:bCs/>
          <w:sz w:val="24"/>
          <w:szCs w:val="20"/>
        </w:rPr>
      </w:pPr>
    </w:p>
    <w:p w14:paraId="03FE3FC6" w14:textId="77777777" w:rsidR="00410F01" w:rsidRPr="00410F01" w:rsidRDefault="00410F01" w:rsidP="00410F01">
      <w:pPr>
        <w:spacing w:line="240" w:lineRule="auto"/>
        <w:rPr>
          <w:rFonts w:ascii="Arial" w:eastAsia="Times New Roman" w:hAnsi="Arial" w:cs="Arial"/>
          <w:bCs/>
          <w:sz w:val="24"/>
          <w:szCs w:val="20"/>
        </w:rPr>
      </w:pPr>
      <w:r w:rsidRPr="00410F01">
        <w:rPr>
          <w:rFonts w:ascii="Arial" w:eastAsia="Times New Roman" w:hAnsi="Arial" w:cs="Arial"/>
          <w:bCs/>
          <w:sz w:val="24"/>
          <w:szCs w:val="20"/>
        </w:rPr>
        <w:t>Pursuant to M.G.L. Chapter 118E, Section 13D (f/k/a Chapter 257 of the Acts of 2008), EOHHS is required to establish, by regulation, and biennially review the rates to be paid by governmental units for social service programs. In accordance with this statutory requirement, the lead agency rates established at 101 CMR 432.00 are being updated to include an increase by a cost adjustment factor (CAF) of 3.00%, effective January 1, 2027. The CAF was determined by using baseline and prospective Massachusetts Economic Indicator data from IHS Economics – Fall 2025 Forecast, baseline scenario data. The CAF reflects the period between the rates’ base period (calendar year 2026 Q2) and the prospective period of fiscal years 2027 and 2028. In addition to the FY26 CAF, the rates for all services have been updated to include all staff salaries, benchmarked to the most recent Massachusetts Bureau of Labor Statistics (BLS) wages dated May 2024 at the 53</w:t>
      </w:r>
      <w:r w:rsidRPr="00410F01">
        <w:rPr>
          <w:rFonts w:ascii="Arial" w:eastAsia="Times New Roman" w:hAnsi="Arial" w:cs="Arial"/>
          <w:bCs/>
          <w:sz w:val="24"/>
          <w:szCs w:val="20"/>
          <w:vertAlign w:val="superscript"/>
        </w:rPr>
        <w:t>rd</w:t>
      </w:r>
      <w:r w:rsidRPr="00410F01">
        <w:rPr>
          <w:rFonts w:ascii="Arial" w:eastAsia="Times New Roman" w:hAnsi="Arial" w:cs="Arial"/>
          <w:bCs/>
          <w:sz w:val="24"/>
          <w:szCs w:val="20"/>
        </w:rPr>
        <w:t xml:space="preserve"> percentile. The administrative allocation </w:t>
      </w:r>
      <w:proofErr w:type="gramStart"/>
      <w:r w:rsidRPr="00410F01">
        <w:rPr>
          <w:rFonts w:ascii="Arial" w:eastAsia="Times New Roman" w:hAnsi="Arial" w:cs="Arial"/>
          <w:bCs/>
          <w:sz w:val="24"/>
          <w:szCs w:val="20"/>
        </w:rPr>
        <w:t>has been</w:t>
      </w:r>
      <w:proofErr w:type="gramEnd"/>
      <w:r w:rsidRPr="00410F01">
        <w:rPr>
          <w:rFonts w:ascii="Arial" w:eastAsia="Times New Roman" w:hAnsi="Arial" w:cs="Arial"/>
          <w:bCs/>
          <w:sz w:val="24"/>
          <w:szCs w:val="20"/>
        </w:rPr>
        <w:t xml:space="preserve"> benchmarked to 12% and the tax and fringe rate </w:t>
      </w:r>
      <w:proofErr w:type="gramStart"/>
      <w:r w:rsidRPr="00410F01">
        <w:rPr>
          <w:rFonts w:ascii="Arial" w:eastAsia="Times New Roman" w:hAnsi="Arial" w:cs="Arial"/>
          <w:bCs/>
          <w:sz w:val="24"/>
          <w:szCs w:val="20"/>
        </w:rPr>
        <w:t>has been</w:t>
      </w:r>
      <w:proofErr w:type="gramEnd"/>
      <w:r w:rsidRPr="00410F01">
        <w:rPr>
          <w:rFonts w:ascii="Arial" w:eastAsia="Times New Roman" w:hAnsi="Arial" w:cs="Arial"/>
          <w:bCs/>
          <w:sz w:val="24"/>
          <w:szCs w:val="20"/>
        </w:rPr>
        <w:t xml:space="preserve"> benchmarked to 24.97%. This benchmark is derived from the MA Comptroller’s FY25 approved </w:t>
      </w:r>
      <w:proofErr w:type="gramStart"/>
      <w:r w:rsidRPr="00410F01">
        <w:rPr>
          <w:rFonts w:ascii="Arial" w:eastAsia="Times New Roman" w:hAnsi="Arial" w:cs="Arial"/>
          <w:bCs/>
          <w:sz w:val="24"/>
          <w:szCs w:val="20"/>
        </w:rPr>
        <w:t>rate</w:t>
      </w:r>
      <w:proofErr w:type="gramEnd"/>
      <w:r w:rsidRPr="00410F01">
        <w:rPr>
          <w:rFonts w:ascii="Arial" w:eastAsia="Times New Roman" w:hAnsi="Arial" w:cs="Arial"/>
          <w:bCs/>
          <w:sz w:val="24"/>
          <w:szCs w:val="20"/>
        </w:rPr>
        <w:t xml:space="preserve"> less terminal leave and retirement. </w:t>
      </w:r>
    </w:p>
    <w:p w14:paraId="4BE1415B" w14:textId="77777777" w:rsidR="00410F01" w:rsidRPr="00410F01" w:rsidRDefault="00410F01" w:rsidP="00410F01">
      <w:pPr>
        <w:spacing w:line="240" w:lineRule="auto"/>
        <w:rPr>
          <w:rFonts w:ascii="Arial" w:eastAsia="Times New Roman" w:hAnsi="Arial" w:cs="Arial"/>
          <w:bCs/>
          <w:sz w:val="24"/>
          <w:szCs w:val="20"/>
        </w:rPr>
      </w:pPr>
    </w:p>
    <w:p w14:paraId="1B952344" w14:textId="4C758688" w:rsidR="00410F01" w:rsidRPr="00410F01" w:rsidRDefault="00410F01" w:rsidP="00410F01">
      <w:pPr>
        <w:spacing w:line="240" w:lineRule="auto"/>
        <w:rPr>
          <w:rFonts w:ascii="Arial" w:eastAsia="Times New Roman" w:hAnsi="Arial" w:cs="Arial"/>
          <w:bCs/>
          <w:sz w:val="24"/>
          <w:szCs w:val="20"/>
        </w:rPr>
      </w:pPr>
      <w:r w:rsidRPr="00410F01">
        <w:rPr>
          <w:rFonts w:ascii="Arial" w:eastAsia="Times New Roman" w:hAnsi="Arial" w:cs="Arial"/>
          <w:bCs/>
          <w:sz w:val="24"/>
          <w:szCs w:val="20"/>
        </w:rPr>
        <w:t>The estimated fiscal impact of the proposed amendments to 101 CMR 432.00 for the second half of FY27 is $3.432 million. DCF has this built into their operating budget so there is no anticipated additional draw</w:t>
      </w:r>
      <w:r w:rsidR="00A86288">
        <w:rPr>
          <w:rFonts w:ascii="Arial" w:eastAsia="Times New Roman" w:hAnsi="Arial" w:cs="Arial"/>
          <w:bCs/>
          <w:sz w:val="24"/>
          <w:szCs w:val="20"/>
        </w:rPr>
        <w:t xml:space="preserve"> from the Chapter 257 Reserve Account</w:t>
      </w:r>
      <w:r w:rsidRPr="00410F01">
        <w:rPr>
          <w:rFonts w:ascii="Arial" w:eastAsia="Times New Roman" w:hAnsi="Arial" w:cs="Arial"/>
          <w:bCs/>
          <w:sz w:val="24"/>
          <w:szCs w:val="20"/>
        </w:rPr>
        <w:t xml:space="preserve">.   </w:t>
      </w:r>
    </w:p>
    <w:p w14:paraId="2024BAEA" w14:textId="77777777" w:rsidR="00F164EF" w:rsidRDefault="00F164EF" w:rsidP="001B7FE3">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 xml:space="preserve">To </w:t>
      </w:r>
      <w:proofErr w:type="gramStart"/>
      <w:r w:rsidR="00F45F7E" w:rsidRPr="00F45F7E">
        <w:rPr>
          <w:rFonts w:ascii="Arial" w:eastAsia="Times New Roman" w:hAnsi="Arial" w:cs="Arial"/>
          <w:sz w:val="24"/>
          <w:szCs w:val="20"/>
        </w:rPr>
        <w:t>join</w:t>
      </w:r>
      <w:proofErr w:type="gramEnd"/>
      <w:r w:rsidR="00F45F7E" w:rsidRPr="00F45F7E">
        <w:rPr>
          <w:rFonts w:ascii="Arial" w:eastAsia="Times New Roman" w:hAnsi="Arial" w:cs="Arial"/>
          <w:sz w:val="24"/>
          <w:szCs w:val="20"/>
        </w:rPr>
        <w:t xml:space="preserve">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07B24A84"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lastRenderedPageBreak/>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w:t>
      </w:r>
      <w:r w:rsidR="00F21FB1">
        <w:rPr>
          <w:rFonts w:ascii="Arial" w:eastAsia="Times New Roman" w:hAnsi="Arial" w:cs="Arial"/>
          <w:sz w:val="24"/>
          <w:szCs w:val="24"/>
        </w:rPr>
        <w:t xml:space="preserve"> Friday, May 2</w:t>
      </w:r>
      <w:r w:rsidR="00E44057">
        <w:rPr>
          <w:rFonts w:ascii="Arial" w:eastAsia="Times New Roman" w:hAnsi="Arial" w:cs="Arial"/>
          <w:sz w:val="24"/>
          <w:szCs w:val="24"/>
        </w:rPr>
        <w:t>9</w:t>
      </w:r>
      <w:r w:rsidR="00F21FB1">
        <w:rPr>
          <w:rFonts w:ascii="Arial" w:eastAsia="Times New Roman" w:hAnsi="Arial" w:cs="Arial"/>
          <w:sz w:val="24"/>
          <w:szCs w:val="24"/>
        </w:rPr>
        <w:t>, 2026</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2FDC2977" w:rsidR="00FE710C" w:rsidRPr="00D6445D" w:rsidRDefault="007F6F85"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May 8, 2026</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E0E4" w14:textId="77777777" w:rsidR="003842CD" w:rsidRDefault="003842CD" w:rsidP="00DE3EFA">
      <w:pPr>
        <w:spacing w:line="240" w:lineRule="auto"/>
      </w:pPr>
      <w:r>
        <w:separator/>
      </w:r>
    </w:p>
  </w:endnote>
  <w:endnote w:type="continuationSeparator" w:id="0">
    <w:p w14:paraId="4174AAD6" w14:textId="77777777" w:rsidR="003842CD" w:rsidRDefault="003842CD" w:rsidP="00DE3EFA">
      <w:pPr>
        <w:spacing w:line="240" w:lineRule="auto"/>
      </w:pPr>
      <w:r>
        <w:continuationSeparator/>
      </w:r>
    </w:p>
  </w:endnote>
  <w:endnote w:type="continuationNotice" w:id="1">
    <w:p w14:paraId="02779309" w14:textId="77777777" w:rsidR="003842CD" w:rsidRDefault="00384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3730" w14:textId="77777777" w:rsidR="003842CD" w:rsidRDefault="003842CD" w:rsidP="00DE3EFA">
      <w:pPr>
        <w:spacing w:line="240" w:lineRule="auto"/>
      </w:pPr>
      <w:r>
        <w:separator/>
      </w:r>
    </w:p>
  </w:footnote>
  <w:footnote w:type="continuationSeparator" w:id="0">
    <w:p w14:paraId="41786E88" w14:textId="77777777" w:rsidR="003842CD" w:rsidRDefault="003842CD" w:rsidP="00DE3EFA">
      <w:pPr>
        <w:spacing w:line="240" w:lineRule="auto"/>
      </w:pPr>
      <w:r>
        <w:continuationSeparator/>
      </w:r>
    </w:p>
  </w:footnote>
  <w:footnote w:type="continuationNotice" w:id="1">
    <w:p w14:paraId="464D7F77" w14:textId="77777777" w:rsidR="003842CD" w:rsidRDefault="003842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21A2F"/>
    <w:rsid w:val="00197AB5"/>
    <w:rsid w:val="001B521B"/>
    <w:rsid w:val="001B7FE3"/>
    <w:rsid w:val="001C4B37"/>
    <w:rsid w:val="001D3BC5"/>
    <w:rsid w:val="00212AA7"/>
    <w:rsid w:val="002402CC"/>
    <w:rsid w:val="00240858"/>
    <w:rsid w:val="00251B8B"/>
    <w:rsid w:val="002556E6"/>
    <w:rsid w:val="00280B8F"/>
    <w:rsid w:val="002A2967"/>
    <w:rsid w:val="002A2DE3"/>
    <w:rsid w:val="002E7575"/>
    <w:rsid w:val="00323644"/>
    <w:rsid w:val="003254E5"/>
    <w:rsid w:val="003645D4"/>
    <w:rsid w:val="003842CD"/>
    <w:rsid w:val="003D036A"/>
    <w:rsid w:val="003F5031"/>
    <w:rsid w:val="00410F01"/>
    <w:rsid w:val="00483F51"/>
    <w:rsid w:val="004848CC"/>
    <w:rsid w:val="004D073C"/>
    <w:rsid w:val="004D51D5"/>
    <w:rsid w:val="004E3A7B"/>
    <w:rsid w:val="004F78F1"/>
    <w:rsid w:val="00557644"/>
    <w:rsid w:val="00580DCF"/>
    <w:rsid w:val="005966AC"/>
    <w:rsid w:val="00667BCF"/>
    <w:rsid w:val="0067433F"/>
    <w:rsid w:val="006838E9"/>
    <w:rsid w:val="00686161"/>
    <w:rsid w:val="006A0C82"/>
    <w:rsid w:val="00743158"/>
    <w:rsid w:val="00751F57"/>
    <w:rsid w:val="00765164"/>
    <w:rsid w:val="00783749"/>
    <w:rsid w:val="0079007F"/>
    <w:rsid w:val="00791EC6"/>
    <w:rsid w:val="007A1158"/>
    <w:rsid w:val="007B30EB"/>
    <w:rsid w:val="007B313C"/>
    <w:rsid w:val="007F0D2D"/>
    <w:rsid w:val="007F4487"/>
    <w:rsid w:val="007F68BB"/>
    <w:rsid w:val="007F6F85"/>
    <w:rsid w:val="00800AAA"/>
    <w:rsid w:val="00835A67"/>
    <w:rsid w:val="0087411B"/>
    <w:rsid w:val="008B1FFA"/>
    <w:rsid w:val="008D3459"/>
    <w:rsid w:val="008E6E4A"/>
    <w:rsid w:val="009670B5"/>
    <w:rsid w:val="0098686B"/>
    <w:rsid w:val="009A4706"/>
    <w:rsid w:val="009E2F76"/>
    <w:rsid w:val="00A40425"/>
    <w:rsid w:val="00A55A93"/>
    <w:rsid w:val="00A67EB5"/>
    <w:rsid w:val="00A86288"/>
    <w:rsid w:val="00AA3C3F"/>
    <w:rsid w:val="00AD3A5B"/>
    <w:rsid w:val="00B534D2"/>
    <w:rsid w:val="00B65C47"/>
    <w:rsid w:val="00C1034C"/>
    <w:rsid w:val="00C359BF"/>
    <w:rsid w:val="00C5649D"/>
    <w:rsid w:val="00C63C83"/>
    <w:rsid w:val="00C815BC"/>
    <w:rsid w:val="00C81EA4"/>
    <w:rsid w:val="00CA5009"/>
    <w:rsid w:val="00CC3E28"/>
    <w:rsid w:val="00CF2D7B"/>
    <w:rsid w:val="00D44A47"/>
    <w:rsid w:val="00D5651F"/>
    <w:rsid w:val="00D6445D"/>
    <w:rsid w:val="00D84188"/>
    <w:rsid w:val="00DA4363"/>
    <w:rsid w:val="00DA4A23"/>
    <w:rsid w:val="00DE3EFA"/>
    <w:rsid w:val="00E024A2"/>
    <w:rsid w:val="00E06830"/>
    <w:rsid w:val="00E23EA1"/>
    <w:rsid w:val="00E44057"/>
    <w:rsid w:val="00EA30FD"/>
    <w:rsid w:val="00ED5DCC"/>
    <w:rsid w:val="00EE1D26"/>
    <w:rsid w:val="00F049F4"/>
    <w:rsid w:val="00F164EF"/>
    <w:rsid w:val="00F21FB1"/>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2</cp:revision>
  <cp:lastPrinted>2023-01-25T13:42:00Z</cp:lastPrinted>
  <dcterms:created xsi:type="dcterms:W3CDTF">2026-05-06T15:47:00Z</dcterms:created>
  <dcterms:modified xsi:type="dcterms:W3CDTF">2026-05-06T15:47:00Z</dcterms:modified>
</cp:coreProperties>
</file>