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7BC" w:rsidR="009D67BC" w:rsidP="009D67BC" w:rsidRDefault="009D67BC" w14:paraId="52E8694F" w14:textId="77777777">
      <w:r w:rsidRPr="009D67BC">
        <w:rPr>
          <w:b/>
          <w:bCs/>
        </w:rPr>
        <w:t>Minutes of the Seasonal Communities Advisory Council Meeting</w:t>
      </w:r>
    </w:p>
    <w:p w:rsidRPr="009D67BC" w:rsidR="009D67BC" w:rsidP="009D67BC" w:rsidRDefault="009D67BC" w14:paraId="391CE50D" w14:textId="7CBB011E">
      <w:r w:rsidRPr="009D67BC">
        <w:t xml:space="preserve">Date: </w:t>
      </w:r>
      <w:r w:rsidR="005F1C6E">
        <w:t>November</w:t>
      </w:r>
      <w:r w:rsidRPr="009D67BC">
        <w:t xml:space="preserve"> 1</w:t>
      </w:r>
      <w:r w:rsidR="001E69C8">
        <w:t>9</w:t>
      </w:r>
      <w:r w:rsidRPr="009D67BC">
        <w:t>, 2025</w:t>
      </w:r>
    </w:p>
    <w:p w:rsidRPr="009D67BC" w:rsidR="009D67BC" w:rsidP="009D67BC" w:rsidRDefault="001E69C8" w14:paraId="1E041145" w14:textId="2C6B2F8B">
      <w:r w:rsidR="34A4CD9C">
        <w:rPr/>
        <w:t>9</w:t>
      </w:r>
      <w:r w:rsidR="16F80A3F">
        <w:rPr/>
        <w:t>:</w:t>
      </w:r>
      <w:r w:rsidR="44F0453E">
        <w:rPr/>
        <w:t>3</w:t>
      </w:r>
      <w:r w:rsidR="16F80A3F">
        <w:rPr/>
        <w:t xml:space="preserve">0 AM – </w:t>
      </w:r>
      <w:r w:rsidR="34A4CD9C">
        <w:rPr/>
        <w:t>10</w:t>
      </w:r>
      <w:r w:rsidR="16F80A3F">
        <w:rPr/>
        <w:t xml:space="preserve">:30 </w:t>
      </w:r>
      <w:r w:rsidR="50D3B51B">
        <w:rPr/>
        <w:t>A</w:t>
      </w:r>
      <w:r w:rsidR="16F80A3F">
        <w:rPr/>
        <w:t>M</w:t>
      </w:r>
    </w:p>
    <w:p w:rsidRPr="000574D4" w:rsidR="009D67BC" w:rsidP="009D67BC" w:rsidRDefault="009D67BC" w14:paraId="225B1766" w14:textId="6C09DEEC">
      <w:pPr>
        <w:rPr>
          <w:i/>
          <w:iCs/>
        </w:rPr>
      </w:pPr>
      <w:r w:rsidRPr="009D67BC">
        <w:rPr>
          <w:i/>
          <w:iCs/>
        </w:rPr>
        <w:t xml:space="preserve">Note: </w:t>
      </w:r>
      <w:r w:rsidR="005F1C6E">
        <w:rPr>
          <w:i/>
          <w:iCs/>
        </w:rPr>
        <w:t>A</w:t>
      </w:r>
      <w:r w:rsidRPr="009D67BC">
        <w:rPr>
          <w:i/>
          <w:iCs/>
        </w:rPr>
        <w:t xml:space="preserve">ttendance for the </w:t>
      </w:r>
      <w:r w:rsidR="001E69C8">
        <w:rPr>
          <w:i/>
          <w:iCs/>
        </w:rPr>
        <w:t>11</w:t>
      </w:r>
      <w:r w:rsidRPr="009D67BC">
        <w:rPr>
          <w:i/>
          <w:iCs/>
        </w:rPr>
        <w:t>/1</w:t>
      </w:r>
      <w:r w:rsidR="001E69C8">
        <w:rPr>
          <w:i/>
          <w:iCs/>
        </w:rPr>
        <w:t>9</w:t>
      </w:r>
      <w:r w:rsidRPr="009D67BC">
        <w:rPr>
          <w:i/>
          <w:iCs/>
        </w:rPr>
        <w:t xml:space="preserve">/25 Seasonal Communities Advisory Council meeting is </w:t>
      </w:r>
      <w:r w:rsidR="00531F68">
        <w:rPr>
          <w:i/>
          <w:iCs/>
        </w:rPr>
        <w:t>entirely virtual</w:t>
      </w:r>
      <w:r w:rsidRPr="009D67BC">
        <w:rPr>
          <w:i/>
          <w:iCs/>
        </w:rPr>
        <w:t>.</w:t>
      </w:r>
    </w:p>
    <w:tbl>
      <w:tblPr>
        <w:tblStyle w:val="TableGrid"/>
        <w:tblW w:w="0" w:type="auto"/>
        <w:tblLayout w:type="fixed"/>
        <w:tblLook w:val="06A0" w:firstRow="1" w:lastRow="0" w:firstColumn="1" w:lastColumn="0" w:noHBand="1" w:noVBand="1"/>
      </w:tblPr>
      <w:tblGrid>
        <w:gridCol w:w="4680"/>
        <w:gridCol w:w="4680"/>
      </w:tblGrid>
      <w:tr w:rsidRPr="009D67BC" w:rsidR="009D67BC" w:rsidTr="3DBBFC9A" w14:paraId="755EEB30" w14:textId="77777777">
        <w:trPr>
          <w:trHeight w:val="300"/>
        </w:trPr>
        <w:tc>
          <w:tcPr>
            <w:tcW w:w="4680" w:type="dxa"/>
            <w:tcBorders>
              <w:top w:val="nil"/>
              <w:left w:val="nil"/>
              <w:bottom w:val="nil"/>
              <w:right w:val="nil"/>
            </w:tcBorders>
            <w:tcMar/>
            <w:hideMark/>
          </w:tcPr>
          <w:p w:rsidRPr="009D67BC" w:rsidR="009D67BC" w:rsidP="009D67BC" w:rsidRDefault="009D67BC" w14:paraId="1B9D62B3" w14:textId="77777777">
            <w:pPr>
              <w:spacing w:after="160" w:line="278" w:lineRule="auto"/>
              <w:rPr>
                <w:b/>
                <w:bCs/>
                <w:u w:val="single"/>
              </w:rPr>
            </w:pPr>
            <w:r w:rsidRPr="009D67BC">
              <w:rPr>
                <w:b/>
                <w:bCs/>
                <w:u w:val="single"/>
              </w:rPr>
              <w:t>Members Present</w:t>
            </w:r>
          </w:p>
          <w:p w:rsidR="009D67BC" w:rsidP="009D67BC" w:rsidRDefault="009D67BC" w14:paraId="7FE01ACE" w14:textId="77777777">
            <w:pPr>
              <w:spacing w:after="160" w:line="278" w:lineRule="auto"/>
            </w:pPr>
            <w:r w:rsidRPr="009D67BC">
              <w:t>Secretary Ed Augustus</w:t>
            </w:r>
          </w:p>
          <w:p w:rsidR="003220A6" w:rsidP="009D67BC" w:rsidRDefault="003220A6" w14:paraId="38BE3148" w14:textId="294C24C0">
            <w:pPr>
              <w:spacing w:after="160" w:line="278" w:lineRule="auto"/>
            </w:pPr>
            <w:r>
              <w:t>Peter Lombardi</w:t>
            </w:r>
          </w:p>
          <w:p w:rsidR="003220A6" w:rsidP="009D67BC" w:rsidRDefault="003220A6" w14:paraId="26387987" w14:textId="5B083F44">
            <w:pPr>
              <w:spacing w:after="160" w:line="278" w:lineRule="auto"/>
            </w:pPr>
            <w:r>
              <w:t>Megan Trudel</w:t>
            </w:r>
          </w:p>
          <w:p w:rsidR="003220A6" w:rsidP="009D67BC" w:rsidRDefault="003220A6" w14:paraId="6EEA5FD0" w14:textId="7AB7406F">
            <w:pPr>
              <w:spacing w:after="160" w:line="278" w:lineRule="auto"/>
            </w:pPr>
            <w:r>
              <w:t>James Anthony</w:t>
            </w:r>
          </w:p>
          <w:p w:rsidR="003220A6" w:rsidP="009D67BC" w:rsidRDefault="003220A6" w14:paraId="3F5723B0" w14:textId="68C07F9C">
            <w:pPr>
              <w:spacing w:after="160" w:line="278" w:lineRule="auto"/>
            </w:pPr>
            <w:r>
              <w:t>Rep</w:t>
            </w:r>
            <w:r w:rsidR="00E200D8">
              <w:t>resentative</w:t>
            </w:r>
            <w:r>
              <w:t xml:space="preserve"> Hadley Luddy</w:t>
            </w:r>
          </w:p>
          <w:p w:rsidR="003220A6" w:rsidP="009D67BC" w:rsidRDefault="003220A6" w14:paraId="6F5DFAB0" w14:textId="38262103">
            <w:pPr>
              <w:spacing w:after="160" w:line="278" w:lineRule="auto"/>
            </w:pPr>
            <w:r>
              <w:t>Alisa Magnotta</w:t>
            </w:r>
          </w:p>
          <w:p w:rsidR="003220A6" w:rsidP="009D67BC" w:rsidRDefault="003220A6" w14:paraId="41669A7B" w14:textId="7AFA48F3">
            <w:pPr>
              <w:spacing w:after="160" w:line="278" w:lineRule="auto"/>
            </w:pPr>
            <w:r>
              <w:t>Jonathan Butler</w:t>
            </w:r>
          </w:p>
          <w:p w:rsidR="003220A6" w:rsidP="009D67BC" w:rsidRDefault="003220A6" w14:paraId="5E9074FB" w14:textId="53B7A33F">
            <w:pPr>
              <w:spacing w:after="160" w:line="278" w:lineRule="auto"/>
            </w:pPr>
            <w:r>
              <w:t>Kevin Galligan</w:t>
            </w:r>
          </w:p>
          <w:p w:rsidR="003220A6" w:rsidP="009D67BC" w:rsidRDefault="003220A6" w14:paraId="2DFCE026" w14:textId="61441AE4">
            <w:pPr>
              <w:spacing w:after="160" w:line="278" w:lineRule="auto"/>
            </w:pPr>
            <w:r>
              <w:t>Michael Mecenas</w:t>
            </w:r>
          </w:p>
          <w:p w:rsidR="003220A6" w:rsidP="009D67BC" w:rsidRDefault="003220A6" w14:paraId="0437D05F" w14:textId="606E0290">
            <w:pPr>
              <w:spacing w:after="160" w:line="278" w:lineRule="auto"/>
            </w:pPr>
            <w:r>
              <w:t>Laura Silber</w:t>
            </w:r>
          </w:p>
          <w:p w:rsidR="003220A6" w:rsidP="009D67BC" w:rsidRDefault="003220A6" w14:paraId="017132EF" w14:textId="40ED0A9A">
            <w:pPr>
              <w:spacing w:after="160" w:line="278" w:lineRule="auto"/>
            </w:pPr>
            <w:r>
              <w:t>Senator Julian Cyr</w:t>
            </w:r>
          </w:p>
          <w:p w:rsidR="003220A6" w:rsidP="009D67BC" w:rsidRDefault="00AA5A70" w14:paraId="3B2FF759" w14:textId="755D853D">
            <w:pPr>
              <w:spacing w:after="160" w:line="278" w:lineRule="auto"/>
            </w:pPr>
            <w:r>
              <w:t xml:space="preserve">Kristy </w:t>
            </w:r>
            <w:proofErr w:type="spellStart"/>
            <w:r>
              <w:t>Senatori</w:t>
            </w:r>
            <w:proofErr w:type="spellEnd"/>
          </w:p>
          <w:p w:rsidRPr="009D67BC" w:rsidR="00AA5A70" w:rsidP="00AA5A70" w:rsidRDefault="00AA5A70" w14:paraId="7591FDBA" w14:textId="77777777">
            <w:pPr>
              <w:spacing w:after="160" w:line="278" w:lineRule="auto"/>
            </w:pPr>
            <w:r w:rsidRPr="009D67BC">
              <w:t xml:space="preserve">Tom Matuszko </w:t>
            </w:r>
          </w:p>
          <w:p w:rsidRPr="009D67BC" w:rsidR="00531F68" w:rsidP="00531F68" w:rsidRDefault="00531F68" w14:paraId="34E51E45" w14:textId="2166FE1A">
            <w:pPr>
              <w:spacing w:after="160" w:line="278" w:lineRule="auto"/>
            </w:pPr>
            <w:r w:rsidRPr="009D67BC">
              <w:t xml:space="preserve">Cameron </w:t>
            </w:r>
            <w:proofErr w:type="spellStart"/>
            <w:r w:rsidRPr="009D67BC">
              <w:t>Volastro</w:t>
            </w:r>
            <w:proofErr w:type="spellEnd"/>
          </w:p>
          <w:p w:rsidR="00E200D8" w:rsidP="00E200D8" w:rsidRDefault="00E200D8" w14:paraId="2759D0A9" w14:textId="77777777">
            <w:pPr>
              <w:spacing w:after="160" w:line="278" w:lineRule="auto"/>
            </w:pPr>
            <w:r>
              <w:t>Marian Rose</w:t>
            </w:r>
          </w:p>
          <w:p w:rsidR="00E200D8" w:rsidP="00E200D8" w:rsidRDefault="00E200D8" w14:paraId="3BA6BA29" w14:textId="77777777">
            <w:pPr>
              <w:spacing w:after="160" w:line="278" w:lineRule="auto"/>
            </w:pPr>
            <w:r>
              <w:t>Representative Kip Diggs</w:t>
            </w:r>
          </w:p>
          <w:p w:rsidR="00E200D8" w:rsidP="00531F68" w:rsidRDefault="00E200D8" w14:paraId="12718075" w14:textId="685DB1D4">
            <w:pPr>
              <w:spacing w:after="160" w:line="278" w:lineRule="auto"/>
            </w:pPr>
            <w:r w:rsidRPr="009D67BC">
              <w:t>Paul Niedzwiecki</w:t>
            </w:r>
          </w:p>
          <w:p w:rsidRPr="009D67BC" w:rsidR="009D67BC" w:rsidP="009D67BC" w:rsidRDefault="009D67BC" w14:paraId="4CE9BF9E" w14:textId="04375828">
            <w:pPr>
              <w:spacing w:after="160" w:line="278" w:lineRule="auto"/>
            </w:pPr>
            <w:r w:rsidR="00BE633B">
              <w:rPr/>
              <w:t>Sandra Milano</w:t>
            </w:r>
          </w:p>
        </w:tc>
        <w:tc>
          <w:tcPr>
            <w:tcW w:w="4680" w:type="dxa"/>
            <w:tcBorders>
              <w:top w:val="nil"/>
              <w:left w:val="nil"/>
              <w:bottom w:val="nil"/>
              <w:right w:val="nil"/>
            </w:tcBorders>
            <w:tcMar/>
          </w:tcPr>
          <w:p w:rsidRPr="009D67BC" w:rsidR="009D67BC" w:rsidP="009D67BC" w:rsidRDefault="009D67BC" w14:paraId="3E68DEB3" w14:textId="77777777">
            <w:pPr>
              <w:spacing w:after="160" w:line="278" w:lineRule="auto"/>
            </w:pPr>
            <w:r w:rsidRPr="009D67BC">
              <w:rPr>
                <w:b/>
                <w:bCs/>
                <w:u w:val="single"/>
              </w:rPr>
              <w:t>Members Not Present</w:t>
            </w:r>
          </w:p>
          <w:p w:rsidR="003220A6" w:rsidP="009D67BC" w:rsidRDefault="00AA5A70" w14:paraId="62909492" w14:textId="7FCDF490">
            <w:pPr>
              <w:spacing w:after="160" w:line="278" w:lineRule="auto"/>
            </w:pPr>
            <w:r>
              <w:t>Arie</w:t>
            </w:r>
            <w:r w:rsidR="004B1EBC">
              <w:t>l</w:t>
            </w:r>
            <w:r>
              <w:t>l</w:t>
            </w:r>
            <w:r w:rsidR="004B1EBC">
              <w:t>e</w:t>
            </w:r>
            <w:r>
              <w:t xml:space="preserve"> Faria</w:t>
            </w:r>
          </w:p>
          <w:p w:rsidR="00AA5A70" w:rsidP="009D67BC" w:rsidRDefault="00AA5A70" w14:paraId="0E855AF3" w14:textId="15F66801">
            <w:pPr>
              <w:spacing w:after="160" w:line="278" w:lineRule="auto"/>
            </w:pPr>
            <w:r>
              <w:t>Sen. Paul Mark</w:t>
            </w:r>
          </w:p>
          <w:p w:rsidR="00AA5A70" w:rsidP="009D67BC" w:rsidRDefault="00AA5A70" w14:paraId="169CA4A4" w14:textId="434BD890">
            <w:pPr>
              <w:spacing w:after="160" w:line="278" w:lineRule="auto"/>
            </w:pPr>
            <w:r w:rsidRPr="009D67BC">
              <w:t>Brian Horan</w:t>
            </w:r>
          </w:p>
          <w:p w:rsidR="00AA5A70" w:rsidP="00AA5A70" w:rsidRDefault="00AA5A70" w14:paraId="74D26D6E" w14:textId="77777777">
            <w:pPr>
              <w:spacing w:after="160" w:line="278" w:lineRule="auto"/>
            </w:pPr>
            <w:r w:rsidRPr="009D67BC">
              <w:t xml:space="preserve">Nitin Mhatre </w:t>
            </w:r>
          </w:p>
          <w:p w:rsidRPr="009D67BC" w:rsidR="009D67BC" w:rsidP="009D67BC" w:rsidRDefault="00531F68" w14:paraId="4F8F0A04" w14:textId="52298DD3">
            <w:pPr>
              <w:spacing w:after="160" w:line="278" w:lineRule="auto"/>
            </w:pPr>
            <w:r w:rsidRPr="009D67BC">
              <w:t>John Lewis</w:t>
            </w:r>
          </w:p>
          <w:p w:rsidRPr="009D67BC" w:rsidR="009D67BC" w:rsidP="009D67BC" w:rsidRDefault="00310D4D" w14:paraId="3D8012D3" w14:textId="49A46F99">
            <w:pPr>
              <w:spacing w:after="160" w:line="278" w:lineRule="auto"/>
            </w:pPr>
            <w:r>
              <w:t>Jane Ralph</w:t>
            </w:r>
          </w:p>
        </w:tc>
      </w:tr>
      <w:tr w:rsidRPr="009D67BC" w:rsidR="009D67BC" w:rsidTr="3DBBFC9A" w14:paraId="60E7180F" w14:textId="77777777">
        <w:trPr>
          <w:trHeight w:val="300"/>
        </w:trPr>
        <w:tc>
          <w:tcPr>
            <w:tcW w:w="4680" w:type="dxa"/>
            <w:tcBorders>
              <w:top w:val="nil"/>
              <w:left w:val="nil"/>
              <w:bottom w:val="nil"/>
              <w:right w:val="nil"/>
            </w:tcBorders>
            <w:tcMar/>
            <w:hideMark/>
          </w:tcPr>
          <w:p w:rsidRPr="009D67BC" w:rsidR="009D67BC" w:rsidP="009D67BC" w:rsidRDefault="009D67BC" w14:paraId="557175AA" w14:textId="77777777">
            <w:pPr>
              <w:spacing w:after="160" w:line="278" w:lineRule="auto"/>
            </w:pPr>
            <w:r w:rsidRPr="009D67BC">
              <w:rPr>
                <w:b/>
                <w:bCs/>
                <w:u w:val="single"/>
              </w:rPr>
              <w:t>EOHLC Staff</w:t>
            </w:r>
          </w:p>
          <w:p w:rsidRPr="009D67BC" w:rsidR="009D67BC" w:rsidP="009D67BC" w:rsidRDefault="009D67BC" w14:paraId="4F2228DF" w14:textId="77777777">
            <w:pPr>
              <w:spacing w:after="160" w:line="278" w:lineRule="auto"/>
            </w:pPr>
            <w:r w:rsidRPr="009D67BC">
              <w:lastRenderedPageBreak/>
              <w:t>Matthew Walsh</w:t>
            </w:r>
          </w:p>
          <w:p w:rsidRPr="009D67BC" w:rsidR="009D67BC" w:rsidP="009D67BC" w:rsidRDefault="009D67BC" w14:paraId="6C86CFD8" w14:textId="77777777">
            <w:pPr>
              <w:spacing w:after="160" w:line="278" w:lineRule="auto"/>
            </w:pPr>
            <w:r w:rsidRPr="009D67BC">
              <w:t>Philip Dearing</w:t>
            </w:r>
          </w:p>
          <w:p w:rsidR="009D67BC" w:rsidP="009D67BC" w:rsidRDefault="009D67BC" w14:paraId="1A8E55B1" w14:textId="77777777">
            <w:pPr>
              <w:spacing w:after="160" w:line="278" w:lineRule="auto"/>
            </w:pPr>
            <w:r>
              <w:t>Will MacArthur</w:t>
            </w:r>
          </w:p>
          <w:p w:rsidRPr="009D67BC" w:rsidR="00FE73C6" w:rsidP="009D67BC" w:rsidRDefault="00FE73C6" w14:paraId="648EE1D0" w14:textId="61FCAA58">
            <w:pPr>
              <w:spacing w:after="160" w:line="278" w:lineRule="auto"/>
            </w:pPr>
            <w:r>
              <w:t>Chris Kluchman</w:t>
            </w:r>
          </w:p>
        </w:tc>
        <w:tc>
          <w:tcPr>
            <w:tcW w:w="4680" w:type="dxa"/>
            <w:tcBorders>
              <w:top w:val="nil"/>
              <w:left w:val="nil"/>
              <w:bottom w:val="nil"/>
              <w:right w:val="nil"/>
            </w:tcBorders>
            <w:tcMar/>
          </w:tcPr>
          <w:p w:rsidRPr="009D67BC" w:rsidR="009D67BC" w:rsidP="009D67BC" w:rsidRDefault="009D67BC" w14:paraId="5879D3B5" w14:textId="77777777">
            <w:pPr>
              <w:spacing w:after="160" w:line="278" w:lineRule="auto"/>
            </w:pPr>
            <w:r w:rsidRPr="009D67BC">
              <w:rPr>
                <w:b/>
                <w:bCs/>
                <w:u w:val="single"/>
              </w:rPr>
              <w:lastRenderedPageBreak/>
              <w:t>Others Present</w:t>
            </w:r>
          </w:p>
          <w:p w:rsidRPr="009D67BC" w:rsidR="009D67BC" w:rsidP="009D67BC" w:rsidRDefault="009D67BC" w14:paraId="4E20F1BF" w14:textId="77777777">
            <w:pPr>
              <w:rPr>
                <w:b/>
                <w:bCs/>
              </w:rPr>
            </w:pPr>
          </w:p>
        </w:tc>
      </w:tr>
    </w:tbl>
    <w:p w:rsidRPr="009D67BC" w:rsidR="009D67BC" w:rsidP="009D67BC" w:rsidRDefault="009D67BC" w14:paraId="478DB464" w14:textId="77777777">
      <w:pPr>
        <w:rPr>
          <w:b/>
          <w:bCs/>
          <w:u w:val="single"/>
        </w:rPr>
      </w:pPr>
      <w:r w:rsidRPr="009D67BC">
        <w:rPr>
          <w:b/>
          <w:bCs/>
          <w:u w:val="single"/>
        </w:rPr>
        <w:t xml:space="preserve">Call to Order </w:t>
      </w:r>
    </w:p>
    <w:p w:rsidRPr="009D67BC" w:rsidR="009B4815" w:rsidP="009D67BC" w:rsidRDefault="001640BD" w14:paraId="454B15C3" w14:textId="1404C37E">
      <w:r>
        <w:t xml:space="preserve">Secretary Augustus </w:t>
      </w:r>
      <w:r w:rsidR="003220A6">
        <w:t>welcomed the group and called the meeting to order</w:t>
      </w:r>
      <w:r w:rsidR="00794156">
        <w:t xml:space="preserve"> and s</w:t>
      </w:r>
      <w:r w:rsidR="00531F68">
        <w:t>tipulated for the purposes of the open meeting law that everyone is participating virtually.</w:t>
      </w:r>
      <w:r w:rsidR="0006668E">
        <w:t xml:space="preserve"> James Anthony noted a typo in the chat, Kevin Galligan moved approval as amended, and James Anthony seconded. </w:t>
      </w:r>
      <w:r w:rsidR="004B1EBC">
        <w:t>The roll call vote was unanimous, with an abstention from Tom Matuszko.</w:t>
      </w:r>
      <w:r w:rsidR="009B4815">
        <w:t xml:space="preserve"> Secretary Augustus provided an overview of topics for the agenda and turned the meeting over to Phil Dearing to provide an overview of public comments received.</w:t>
      </w:r>
    </w:p>
    <w:p w:rsidRPr="009D67BC" w:rsidR="009D67BC" w:rsidP="009D67BC" w:rsidRDefault="009B4815" w14:paraId="004D8470" w14:textId="5DAAA404">
      <w:pPr>
        <w:rPr>
          <w:b/>
          <w:bCs/>
          <w:u w:val="single"/>
        </w:rPr>
      </w:pPr>
      <w:r>
        <w:rPr>
          <w:b/>
          <w:bCs/>
          <w:u w:val="single"/>
        </w:rPr>
        <w:t>Public comment summary</w:t>
      </w:r>
    </w:p>
    <w:p w:rsidR="009D67BC" w:rsidP="009D67BC" w:rsidRDefault="009B4815" w14:paraId="6CA9AB32" w14:textId="7B5247E8">
      <w:r>
        <w:t xml:space="preserve">Phil Dearing provided an overview of comments received from the public, noting that there were over 50 substantive comments ranging from technical tweaks to high-level perspectives. Staff reviewed all comments and made changes where possible, noting that many were limited by the scope of the enabling statute. </w:t>
      </w:r>
      <w:r w:rsidR="00CF25FF">
        <w:t>Dearing further summarized four specific themes. First, comments focused on expanding the tools available to seasonal communities</w:t>
      </w:r>
      <w:r w:rsidR="00881A62">
        <w:t xml:space="preserve">, and HLC is working to broaden regulatory language. Second, there was substantial confusion about the overlap between Tiny House and ADU regulations, and HLC is seeking to clarify this confusion </w:t>
      </w:r>
      <w:r w:rsidR="000F752F">
        <w:t>by specifying that Tiny Houses are principal dwellings. Further detailed questions will be addressed in FAQ documents or other technical support resources.</w:t>
      </w:r>
    </w:p>
    <w:p w:rsidR="000F752F" w:rsidP="009D67BC" w:rsidRDefault="00AB78BD" w14:paraId="1E59D100" w14:textId="60910151">
      <w:r w:rsidR="00AB78BD">
        <w:rPr/>
        <w:t xml:space="preserve">Peter Lombardi asked whether the tiny home regulations would </w:t>
      </w:r>
      <w:r w:rsidR="00AB78BD">
        <w:rPr/>
        <w:t>impact</w:t>
      </w:r>
      <w:r w:rsidR="00AB78BD">
        <w:rPr/>
        <w:t xml:space="preserve"> existing allowable tiny home uses. Matt Walsh clarified that it is a minimum requirement that Tiny Homes be allowed if they are </w:t>
      </w:r>
      <w:r w:rsidR="41ABA87E">
        <w:rPr/>
        <w:t>year-round</w:t>
      </w:r>
      <w:r w:rsidR="00AB78BD">
        <w:rPr/>
        <w:t xml:space="preserve"> housing, but </w:t>
      </w:r>
      <w:r w:rsidR="00836CF6">
        <w:rPr/>
        <w:t xml:space="preserve">this does not </w:t>
      </w:r>
      <w:r w:rsidR="00836CF6">
        <w:rPr/>
        <w:t>preclude</w:t>
      </w:r>
      <w:r w:rsidR="00836CF6">
        <w:rPr/>
        <w:t xml:space="preserve"> municipalities from allowing other </w:t>
      </w:r>
      <w:r w:rsidR="001C65C6">
        <w:rPr/>
        <w:t>Tiny Ho</w:t>
      </w:r>
      <w:r w:rsidR="386469D5">
        <w:rPr/>
        <w:t>us</w:t>
      </w:r>
      <w:r w:rsidR="001C65C6">
        <w:rPr/>
        <w:t>es</w:t>
      </w:r>
      <w:r w:rsidR="00FA5B78">
        <w:rPr/>
        <w:t>.</w:t>
      </w:r>
    </w:p>
    <w:p w:rsidR="001C65C6" w:rsidP="009D67BC" w:rsidRDefault="001C65C6" w14:paraId="5839EA63" w14:textId="63C599D6">
      <w:r w:rsidR="001C65C6">
        <w:rPr/>
        <w:t xml:space="preserve">Dearing </w:t>
      </w:r>
      <w:r w:rsidR="004F7F2D">
        <w:rPr/>
        <w:t xml:space="preserve">noted complexities in the undersized lot approach, and that HLC’s proposed approach is to require that attainable housing be allowed as-of-right for existing lots and allow it to be considered via special permit </w:t>
      </w:r>
      <w:r w:rsidR="4AA5608A">
        <w:rPr/>
        <w:t>for</w:t>
      </w:r>
      <w:r w:rsidR="004F7F2D">
        <w:rPr/>
        <w:t xml:space="preserve"> existing lots. </w:t>
      </w:r>
      <w:r w:rsidR="001208A5">
        <w:rPr/>
        <w:t>Dearing further clarified the lot size and setback parameters.</w:t>
      </w:r>
    </w:p>
    <w:p w:rsidR="001208A5" w:rsidP="009D67BC" w:rsidRDefault="007F4BB3" w14:paraId="7276FAFD" w14:textId="55AA3707">
      <w:r>
        <w:t xml:space="preserve">Senator Cyr returned to the topic of Tiny Homes and specified that they </w:t>
      </w:r>
      <w:r w:rsidR="00821CB0">
        <w:t xml:space="preserve">are only required to be allowed if they are year-round housing units. </w:t>
      </w:r>
      <w:r w:rsidR="00072989">
        <w:t xml:space="preserve">On the undersized lot topic, Senator Cyr </w:t>
      </w:r>
      <w:r w:rsidR="00072989">
        <w:lastRenderedPageBreak/>
        <w:t>expressed concern about requiring a special permit process for newly created lots</w:t>
      </w:r>
      <w:r w:rsidR="00640DFC">
        <w:t>, noting that the statutory intent is to unlock lots that are otherwise unusable for use as year-round housing.</w:t>
      </w:r>
    </w:p>
    <w:p w:rsidR="00640DFC" w:rsidP="009D67BC" w:rsidRDefault="00640DFC" w14:paraId="79B6AE4A" w14:textId="17C55710">
      <w:r>
        <w:t xml:space="preserve">Peter Lombardi </w:t>
      </w:r>
      <w:r w:rsidR="006B7748">
        <w:t xml:space="preserve">noted that he asked his planning team to consider Slide 6 and asked how the 15 feet of setbacks and 20 feet of frontage requirements were </w:t>
      </w:r>
      <w:r w:rsidR="00BC6FC9">
        <w:t xml:space="preserve">determined. Dearing said this was based on a review of existing standards and offered to conduct further research. </w:t>
      </w:r>
    </w:p>
    <w:p w:rsidRPr="009D67BC" w:rsidR="00420CE4" w:rsidP="009D67BC" w:rsidRDefault="00BC6FC9" w14:paraId="0DCE6043" w14:textId="7757340A">
      <w:r>
        <w:t>Megan Trudel asked for clarification that the existing lots are vacant lots and not lots with</w:t>
      </w:r>
      <w:r w:rsidR="00F15F23">
        <w:t xml:space="preserve"> existing structures. Nantucket has had a successful covenant approach, producing more than 100 deed-restricted affordable homes, and other communities may benefit from something similar. Laura Silber noted that </w:t>
      </w:r>
      <w:r w:rsidR="00550B67">
        <w:t>towns on Martha’s Vineyard are seeking to replicate the success of the Nantucket covenant program</w:t>
      </w:r>
      <w:r w:rsidR="00420CE4">
        <w:t>. She noted that if the statute doesn’t preclude an AMI restriction, that is a proven approach to creating new units affordable in perpetuity.</w:t>
      </w:r>
    </w:p>
    <w:p w:rsidRPr="009D67BC" w:rsidR="009D67BC" w:rsidP="009D67BC" w:rsidRDefault="009D67BC" w14:paraId="44197B80" w14:textId="299733EB">
      <w:pPr>
        <w:rPr>
          <w:b/>
          <w:bCs/>
          <w:u w:val="single"/>
        </w:rPr>
      </w:pPr>
      <w:r w:rsidRPr="009D67BC">
        <w:rPr>
          <w:b/>
          <w:bCs/>
          <w:u w:val="single"/>
        </w:rPr>
        <w:t xml:space="preserve">Seasonal Communities </w:t>
      </w:r>
      <w:r w:rsidR="00980786">
        <w:rPr>
          <w:b/>
          <w:bCs/>
          <w:u w:val="single"/>
        </w:rPr>
        <w:t>Additional Designations</w:t>
      </w:r>
    </w:p>
    <w:p w:rsidR="009D67BC" w:rsidP="009D67BC" w:rsidRDefault="00980786" w14:paraId="43C8C385" w14:textId="0A289DA0">
      <w:r w:rsidR="00980786">
        <w:rPr/>
        <w:t>Dearing shared that HLC’s Data and Research team and policy team</w:t>
      </w:r>
      <w:r w:rsidR="0012698D">
        <w:rPr/>
        <w:t xml:space="preserve">, that HLC </w:t>
      </w:r>
      <w:r w:rsidR="05690A19">
        <w:rPr/>
        <w:t xml:space="preserve">has developed a proposed set of designations </w:t>
      </w:r>
      <w:r w:rsidR="0012698D">
        <w:rPr/>
        <w:t xml:space="preserve">using the two metrics mentioned in statute that are specifically housing-related (those around short-term rentals and seasonal housing). This approach </w:t>
      </w:r>
      <w:r w:rsidR="00254BEA">
        <w:rPr/>
        <w:t xml:space="preserve">would add 18 </w:t>
      </w:r>
      <w:r w:rsidR="00254BEA">
        <w:rPr/>
        <w:t>additional</w:t>
      </w:r>
      <w:r w:rsidR="00254BEA">
        <w:rPr/>
        <w:t xml:space="preserve"> municipalities, and HLC would also consider applications from other municipalities who wish to make the </w:t>
      </w:r>
      <w:r w:rsidR="003D31A0">
        <w:rPr/>
        <w:t xml:space="preserve">case that they meet the goals of the statute and program. </w:t>
      </w:r>
      <w:r w:rsidR="005F1E90">
        <w:rPr/>
        <w:t>The Secretary reiterated HLC’s commitment to expanding the tools available to more communities.</w:t>
      </w:r>
    </w:p>
    <w:p w:rsidR="005F1E90" w:rsidP="009D67BC" w:rsidRDefault="005F1E90" w14:paraId="62F2832F" w14:textId="0E0DB7DB">
      <w:r>
        <w:t>Senator Cyr expressed support for the approach</w:t>
      </w:r>
      <w:r w:rsidR="00B93673">
        <w:t xml:space="preserve"> and asked two questions: first, what is the notification timeline, and second, has HLC considered providing a briefing or other mat</w:t>
      </w:r>
      <w:r w:rsidR="004C4CD1">
        <w:t>erials for the communities that would be newly eligible that are not on the Islands or Outer Cape and may be less aware of the available tools.</w:t>
      </w:r>
      <w:r w:rsidR="004A50C0">
        <w:t xml:space="preserve"> Secretary Augustus shared that he visited the Berkshires yesterday with legislative partners and heard that some Berkshire communities may be awaiting the final regulations before accepting the designation, and that he agrees there is a strong opportunity for a webinar or other resources.</w:t>
      </w:r>
    </w:p>
    <w:p w:rsidR="004A50C0" w:rsidP="009D67BC" w:rsidRDefault="001A51DC" w14:paraId="6F1560DA" w14:textId="6E9D70C4">
      <w:r>
        <w:t xml:space="preserve">Kevin Galligan expressed enthusiasm for the approach and said that when all communities work </w:t>
      </w:r>
      <w:proofErr w:type="gramStart"/>
      <w:r>
        <w:t>together</w:t>
      </w:r>
      <w:proofErr w:type="gramEnd"/>
      <w:r>
        <w:t xml:space="preserve"> they are stronger. </w:t>
      </w:r>
      <w:r w:rsidR="00AC06B2">
        <w:t>He encouraged HLC to make it very clear how HLC is defining each of these metrics</w:t>
      </w:r>
      <w:r w:rsidR="00C2276A">
        <w:t xml:space="preserve"> and to share data sources.</w:t>
      </w:r>
    </w:p>
    <w:p w:rsidR="00C2276A" w:rsidP="009D67BC" w:rsidRDefault="00C2276A" w14:paraId="68B6FCCD" w14:textId="10173F02">
      <w:r w:rsidR="00C2276A">
        <w:rPr/>
        <w:t xml:space="preserve">Secretary Augustus shared that the notification timeline would be </w:t>
      </w:r>
      <w:r w:rsidR="70AC8CF8">
        <w:rPr/>
        <w:t>in</w:t>
      </w:r>
      <w:r w:rsidR="00C2276A">
        <w:rPr/>
        <w:t xml:space="preserve"> December. </w:t>
      </w:r>
    </w:p>
    <w:p w:rsidR="008759DB" w:rsidP="009D67BC" w:rsidRDefault="008759DB" w14:paraId="6846F4EF" w14:textId="098C1FAC">
      <w:r>
        <w:t>Representative Diggs said that this approach makes sense, and that while he has filed a bill, getting it done beforehand is preferable.</w:t>
      </w:r>
    </w:p>
    <w:p w:rsidR="0026008F" w:rsidP="009D67BC" w:rsidRDefault="0026008F" w14:paraId="41E09CD7" w14:textId="19CDF53B">
      <w:r>
        <w:lastRenderedPageBreak/>
        <w:t>Peter Lombardi asked why seasonal employment ratio had been excluded</w:t>
      </w:r>
      <w:r w:rsidR="00B162C2">
        <w:t xml:space="preserve"> after there was consensus to include it from the spring working group. Secretary Augustus </w:t>
      </w:r>
      <w:r w:rsidR="00427879">
        <w:t>noted</w:t>
      </w:r>
      <w:r w:rsidR="00B162C2">
        <w:t xml:space="preserve"> that the use </w:t>
      </w:r>
      <w:r w:rsidR="00427879">
        <w:t xml:space="preserve">of the seasonal employment ratio produced anomalies </w:t>
      </w:r>
      <w:r w:rsidR="003E7B46">
        <w:t>that were not seasonal on other metrics.</w:t>
      </w:r>
    </w:p>
    <w:p w:rsidRPr="009D67BC" w:rsidR="003E7B46" w:rsidP="009D67BC" w:rsidRDefault="003E7B46" w14:paraId="42E6BADB" w14:textId="1EDCB226">
      <w:r>
        <w:t>Tom Matuszko similarly expressed enthusiasm for the updated list.</w:t>
      </w:r>
    </w:p>
    <w:p w:rsidRPr="009D67BC" w:rsidR="009D67BC" w:rsidP="009D67BC" w:rsidRDefault="00945E21" w14:paraId="0801927F" w14:textId="35EF665F">
      <w:pPr>
        <w:rPr>
          <w:b/>
          <w:bCs/>
          <w:u w:val="single"/>
        </w:rPr>
      </w:pPr>
      <w:r>
        <w:rPr>
          <w:b/>
          <w:bCs/>
          <w:u w:val="single"/>
        </w:rPr>
        <w:t>Seasonal Communities Report</w:t>
      </w:r>
    </w:p>
    <w:p w:rsidR="009D67BC" w:rsidP="009D67BC" w:rsidRDefault="00945E21" w14:paraId="0BF723C3" w14:textId="6F27ED0E">
      <w:r>
        <w:t xml:space="preserve">Matt Walsh provided an overview of technical fixes for the Seasonal Communities report. </w:t>
      </w:r>
      <w:r w:rsidR="00095D9D">
        <w:t xml:space="preserve">First, statute did not exempt year-round housing trusts from 30B for intra-municipal transfers, and for taxation, and the report recommends doing so. Second, </w:t>
      </w:r>
      <w:r w:rsidR="004C317C">
        <w:t>the statute did not</w:t>
      </w:r>
      <w:r w:rsidR="00197F59">
        <w:t xml:space="preserve"> address restrictions on perpetuities for deed restrictions, but Walsh clarified that specified-term restrictions can exceed 30 years. </w:t>
      </w:r>
      <w:r w:rsidR="00DD5A2C">
        <w:t xml:space="preserve">Third, the report recommends a statute change to allow accepting the designation by simple majority and require a two-thirds majority to withdraw </w:t>
      </w:r>
      <w:proofErr w:type="gramStart"/>
      <w:r w:rsidR="00DD5A2C">
        <w:t>in order to</w:t>
      </w:r>
      <w:proofErr w:type="gramEnd"/>
      <w:r w:rsidR="00DD5A2C">
        <w:t xml:space="preserve"> promote stability of the designation.</w:t>
      </w:r>
    </w:p>
    <w:p w:rsidR="008C2ED6" w:rsidP="009D67BC" w:rsidRDefault="008C2ED6" w14:paraId="4293A086" w14:textId="0844A79F">
      <w:r>
        <w:t>Walsh further noted that several larger changes contemplated in the report would require additional legislation. First, it was proposed to expand employment-specific housing eligibility</w:t>
      </w:r>
      <w:r w:rsidR="00D65C9C">
        <w:t xml:space="preserve">, </w:t>
      </w:r>
      <w:proofErr w:type="gramStart"/>
      <w:r w:rsidR="00D65C9C">
        <w:t>in order to</w:t>
      </w:r>
      <w:proofErr w:type="gramEnd"/>
      <w:r w:rsidR="00D65C9C">
        <w:t xml:space="preserve"> expand to other essential workers not covered under existing statute. Second there is a proposal to enable municipalities to enact transfer fees </w:t>
      </w:r>
      <w:r w:rsidR="00331365">
        <w:t>as a local option.</w:t>
      </w:r>
    </w:p>
    <w:p w:rsidR="004C4427" w:rsidP="009D67BC" w:rsidRDefault="00331365" w14:paraId="05E9607C" w14:textId="08F370CC">
      <w:r>
        <w:t>Walsh noted several recommendations pursuable through administrative action, including building model bylaws</w:t>
      </w:r>
      <w:r w:rsidR="00687F0B">
        <w:t xml:space="preserve"> and model deed-restrictions</w:t>
      </w:r>
      <w:r w:rsidR="004C4427">
        <w:t>. Walsh thanked members of the working group who participated in forming the recommendations and requested additional feedback</w:t>
      </w:r>
      <w:r w:rsidR="001E3A65">
        <w:t>, with an emphasis on written feedback.</w:t>
      </w:r>
    </w:p>
    <w:p w:rsidR="001E3A65" w:rsidP="009D67BC" w:rsidRDefault="001E3A65" w14:paraId="36D82E12" w14:textId="5E1E7805">
      <w:r>
        <w:t>Rep. Luddy lauded the report for focusing on the needs of additional employee groups.</w:t>
      </w:r>
    </w:p>
    <w:p w:rsidR="001F1C81" w:rsidP="009D67BC" w:rsidRDefault="000F73F7" w14:paraId="55667AAC" w14:textId="42706528">
      <w:r>
        <w:t xml:space="preserve">Senator Cyr recommended that the report reflect the full extent of local actions to support transfer fees, including 12 home rule petitions </w:t>
      </w:r>
      <w:r w:rsidR="001F1C81">
        <w:t>and 1 resolution from communities in the Cape and Islands District</w:t>
      </w:r>
      <w:r w:rsidR="00140E1C">
        <w:t>, and all six towns on Martha’s Vineyard</w:t>
      </w:r>
      <w:r w:rsidR="001F1C81">
        <w:t xml:space="preserve">. Peter Lombardi noted it may be more germane to the Commission’s charge to specifically recommend adding transfer fee local options for seasonal </w:t>
      </w:r>
      <w:proofErr w:type="gramStart"/>
      <w:r w:rsidR="001F1C81">
        <w:t>communities</w:t>
      </w:r>
      <w:r w:rsidR="00A120F2">
        <w:t>, and</w:t>
      </w:r>
      <w:proofErr w:type="gramEnd"/>
      <w:r w:rsidR="00A120F2">
        <w:t xml:space="preserve"> also asked for clarification on the 30B exemption provision, which he will further detail in a follow-up email</w:t>
      </w:r>
      <w:r w:rsidR="001F1C81">
        <w:t>.</w:t>
      </w:r>
      <w:r w:rsidR="00140E1C">
        <w:t xml:space="preserve"> Senator Cyr noted that most requesters have been seasonal communities, along with some larger cities such as Boston, Cambridge, and Somerville.</w:t>
      </w:r>
    </w:p>
    <w:p w:rsidRPr="009D67BC" w:rsidR="00A120F2" w:rsidP="00A120F2" w:rsidRDefault="001F7F0F" w14:paraId="39FF73C6" w14:textId="5FD163B6">
      <w:pPr>
        <w:rPr>
          <w:b/>
          <w:bCs/>
          <w:u w:val="single"/>
        </w:rPr>
      </w:pPr>
      <w:r>
        <w:rPr>
          <w:b/>
          <w:bCs/>
          <w:u w:val="single"/>
        </w:rPr>
        <w:t>Upcoming Notice of Funding Availability</w:t>
      </w:r>
    </w:p>
    <w:p w:rsidR="00A120F2" w:rsidP="009D67BC" w:rsidRDefault="001F7F0F" w14:paraId="719592AE" w14:textId="2282F591">
      <w:r>
        <w:t xml:space="preserve">Secretary Augustus noted that he valued speed and flexibility in putting the NOFA out so that communities that have accepted the designation can quickly move forward. </w:t>
      </w:r>
      <w:r w:rsidR="005B3BB6">
        <w:t xml:space="preserve">The communities that have already accepted </w:t>
      </w:r>
      <w:r w:rsidR="006B38F4">
        <w:t xml:space="preserve">will be eligible in FY26, and additional </w:t>
      </w:r>
      <w:r w:rsidR="006B38F4">
        <w:lastRenderedPageBreak/>
        <w:t xml:space="preserve">municipalities may see the successes of these communities in FY27 as they weigh </w:t>
      </w:r>
      <w:proofErr w:type="gramStart"/>
      <w:r w:rsidR="006B38F4">
        <w:t>whether or not</w:t>
      </w:r>
      <w:proofErr w:type="gramEnd"/>
      <w:r w:rsidR="006B38F4">
        <w:t xml:space="preserve"> to accept the designation.</w:t>
      </w:r>
    </w:p>
    <w:p w:rsidR="00895EC3" w:rsidP="009D67BC" w:rsidRDefault="00895EC3" w14:paraId="25907D5C" w14:textId="74FE9DC1">
      <w:r>
        <w:t xml:space="preserve">Kevin Galligan was enthusiastic about the </w:t>
      </w:r>
      <w:proofErr w:type="gramStart"/>
      <w:r>
        <w:t>approach, and</w:t>
      </w:r>
      <w:proofErr w:type="gramEnd"/>
      <w:r>
        <w:t xml:space="preserve"> sought clarification on what actions a municipal planner may need to take to solicit the funds. Chris Kluchman specified that </w:t>
      </w:r>
      <w:r w:rsidR="00887951">
        <w:t>a NOFA must be published under procurement rules, and then there will be a brief application to collect, for example, contact information.</w:t>
      </w:r>
    </w:p>
    <w:p w:rsidR="00385671" w:rsidP="009D67BC" w:rsidRDefault="00887951" w14:paraId="382149F8" w14:textId="68D87C02">
      <w:r>
        <w:t xml:space="preserve">Peter Lombardi </w:t>
      </w:r>
      <w:r w:rsidR="00126DBC">
        <w:t xml:space="preserve">asked whether the NOFA will be published </w:t>
      </w:r>
      <w:r w:rsidR="00221592">
        <w:t>before spring town meeting, as many communities do not have fall town meetings. He further noted that next year will be the same size of pie for a much larger group of communities</w:t>
      </w:r>
      <w:r w:rsidR="00385671">
        <w:t xml:space="preserve">, and that communities that have not yet accepted will have a smaller pie. Secretary Augustus noted that this is </w:t>
      </w:r>
      <w:r w:rsidR="00D03A2A">
        <w:t xml:space="preserve">accurate, but that </w:t>
      </w:r>
      <w:r w:rsidR="00D65D5A">
        <w:t>this doesn’t preclude</w:t>
      </w:r>
      <w:r w:rsidR="00D03A2A">
        <w:t xml:space="preserve"> adjust</w:t>
      </w:r>
      <w:r w:rsidR="00D65D5A">
        <w:t>ments to</w:t>
      </w:r>
      <w:r w:rsidR="00D03A2A">
        <w:t xml:space="preserve"> the CIP in the future as more communities join</w:t>
      </w:r>
      <w:r w:rsidR="00D65D5A">
        <w:t xml:space="preserve"> and if we see that the program is working well. Kluchman noted that the NOFA will be released shortly, likely in early December. Peter Lombardi </w:t>
      </w:r>
      <w:r w:rsidR="00884BD6">
        <w:t>made a follow-up comment on allowing the funds to be used to produce municipal workforce housing, and Secretary Augustus noted that HLC would investigate this issue.</w:t>
      </w:r>
    </w:p>
    <w:p w:rsidRPr="009D67BC" w:rsidR="00884BD6" w:rsidP="009D67BC" w:rsidRDefault="00213586" w14:paraId="0FD88AE6" w14:textId="3256773A">
      <w:r>
        <w:t>Laura Silber requested that Chris Kluchman copy the RPAs on outreach to the towns.</w:t>
      </w:r>
    </w:p>
    <w:p w:rsidRPr="009D67BC" w:rsidR="009D67BC" w:rsidP="009D67BC" w:rsidRDefault="00117480" w14:paraId="2323A51E" w14:textId="5D360048">
      <w:pPr>
        <w:rPr>
          <w:b/>
          <w:bCs/>
          <w:u w:val="single"/>
        </w:rPr>
      </w:pPr>
      <w:r>
        <w:rPr>
          <w:b/>
          <w:bCs/>
          <w:u w:val="single"/>
        </w:rPr>
        <w:t>Next Steps and Adjournment</w:t>
      </w:r>
    </w:p>
    <w:p w:rsidR="00981DEF" w:rsidRDefault="00117480" w14:paraId="0DCDE55A" w14:textId="66422A68">
      <w:r>
        <w:t>Phil Dearing provided an overview of next steps, including for the council to provide feedback for the year-end report recommendations</w:t>
      </w:r>
      <w:r w:rsidR="0063651B">
        <w:t>, stay tuned for the notice of funding availability, and plans to reconvene in early 2026.</w:t>
      </w:r>
      <w:r w:rsidR="0087146A">
        <w:t xml:space="preserve"> Secretary Augustus thanked the Commission and staff and entertained a motion to adjourn from James Anthony, </w:t>
      </w:r>
      <w:r w:rsidR="00E200D8">
        <w:t>seconded by Megan Trudel. The motion carried unanimously</w:t>
      </w:r>
      <w:r w:rsidR="000574D4">
        <w:t xml:space="preserve"> at 10:27am.</w:t>
      </w:r>
    </w:p>
    <w:sectPr w:rsidR="00981D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BC"/>
    <w:rsid w:val="000574D4"/>
    <w:rsid w:val="0006668E"/>
    <w:rsid w:val="00072989"/>
    <w:rsid w:val="00095D9D"/>
    <w:rsid w:val="000F73F7"/>
    <w:rsid w:val="000F752F"/>
    <w:rsid w:val="00117480"/>
    <w:rsid w:val="001208A5"/>
    <w:rsid w:val="0012698D"/>
    <w:rsid w:val="00126DBC"/>
    <w:rsid w:val="00140E1C"/>
    <w:rsid w:val="001640BD"/>
    <w:rsid w:val="00197F59"/>
    <w:rsid w:val="001A51DC"/>
    <w:rsid w:val="001C65C6"/>
    <w:rsid w:val="001E3A65"/>
    <w:rsid w:val="001E69C8"/>
    <w:rsid w:val="001F1C81"/>
    <w:rsid w:val="001F7F0F"/>
    <w:rsid w:val="00213586"/>
    <w:rsid w:val="00221592"/>
    <w:rsid w:val="00254BEA"/>
    <w:rsid w:val="0026008F"/>
    <w:rsid w:val="00310D4D"/>
    <w:rsid w:val="003220A6"/>
    <w:rsid w:val="00331365"/>
    <w:rsid w:val="00385671"/>
    <w:rsid w:val="003D31A0"/>
    <w:rsid w:val="003E7B46"/>
    <w:rsid w:val="00420CE4"/>
    <w:rsid w:val="00427879"/>
    <w:rsid w:val="004A50C0"/>
    <w:rsid w:val="004B1EBC"/>
    <w:rsid w:val="004C317C"/>
    <w:rsid w:val="004C4427"/>
    <w:rsid w:val="004C4CD1"/>
    <w:rsid w:val="004F7F2D"/>
    <w:rsid w:val="00531F68"/>
    <w:rsid w:val="00550B67"/>
    <w:rsid w:val="005B3BB6"/>
    <w:rsid w:val="005F1C6E"/>
    <w:rsid w:val="005F1E90"/>
    <w:rsid w:val="0063651B"/>
    <w:rsid w:val="00640DFC"/>
    <w:rsid w:val="00687F0B"/>
    <w:rsid w:val="006B38F4"/>
    <w:rsid w:val="006B7748"/>
    <w:rsid w:val="00794156"/>
    <w:rsid w:val="007F4BB3"/>
    <w:rsid w:val="00821CB0"/>
    <w:rsid w:val="00836CF6"/>
    <w:rsid w:val="0087146A"/>
    <w:rsid w:val="008759DB"/>
    <w:rsid w:val="00881A62"/>
    <w:rsid w:val="00884BD6"/>
    <w:rsid w:val="00887951"/>
    <w:rsid w:val="00895EC3"/>
    <w:rsid w:val="008C2ED6"/>
    <w:rsid w:val="00945E21"/>
    <w:rsid w:val="00980786"/>
    <w:rsid w:val="00981DEF"/>
    <w:rsid w:val="009B4815"/>
    <w:rsid w:val="009B6CF2"/>
    <w:rsid w:val="009D67BC"/>
    <w:rsid w:val="00A120F2"/>
    <w:rsid w:val="00A66438"/>
    <w:rsid w:val="00AA4BEF"/>
    <w:rsid w:val="00AA5A70"/>
    <w:rsid w:val="00AB78BD"/>
    <w:rsid w:val="00AC06B2"/>
    <w:rsid w:val="00B162C2"/>
    <w:rsid w:val="00B93673"/>
    <w:rsid w:val="00BC6FC9"/>
    <w:rsid w:val="00BE633B"/>
    <w:rsid w:val="00BF62BE"/>
    <w:rsid w:val="00C2276A"/>
    <w:rsid w:val="00CF25FF"/>
    <w:rsid w:val="00D03A2A"/>
    <w:rsid w:val="00D65C9C"/>
    <w:rsid w:val="00D65D5A"/>
    <w:rsid w:val="00DD5A2C"/>
    <w:rsid w:val="00E200D8"/>
    <w:rsid w:val="00ED0FC4"/>
    <w:rsid w:val="00F15F23"/>
    <w:rsid w:val="00FA5B78"/>
    <w:rsid w:val="00FE73C6"/>
    <w:rsid w:val="0122096C"/>
    <w:rsid w:val="05690A19"/>
    <w:rsid w:val="16F80A3F"/>
    <w:rsid w:val="20F9E92D"/>
    <w:rsid w:val="34A4CD9C"/>
    <w:rsid w:val="36D86257"/>
    <w:rsid w:val="386469D5"/>
    <w:rsid w:val="3DBBFC9A"/>
    <w:rsid w:val="41ABA87E"/>
    <w:rsid w:val="44F0453E"/>
    <w:rsid w:val="497AA345"/>
    <w:rsid w:val="4AA5608A"/>
    <w:rsid w:val="50D3B51B"/>
    <w:rsid w:val="70AC8CF8"/>
    <w:rsid w:val="7B8D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1822"/>
  <w15:chartTrackingRefBased/>
  <w15:docId w15:val="{9C2CAAE8-5798-469F-AB6D-CD81F730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67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7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7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67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D67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D67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D67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67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67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67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67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67BC"/>
    <w:rPr>
      <w:rFonts w:eastAsiaTheme="majorEastAsia" w:cstheme="majorBidi"/>
      <w:color w:val="272727" w:themeColor="text1" w:themeTint="D8"/>
    </w:rPr>
  </w:style>
  <w:style w:type="paragraph" w:styleId="Title">
    <w:name w:val="Title"/>
    <w:basedOn w:val="Normal"/>
    <w:next w:val="Normal"/>
    <w:link w:val="TitleChar"/>
    <w:uiPriority w:val="10"/>
    <w:qFormat/>
    <w:rsid w:val="009D67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67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67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7BC"/>
    <w:pPr>
      <w:spacing w:before="160"/>
      <w:jc w:val="center"/>
    </w:pPr>
    <w:rPr>
      <w:i/>
      <w:iCs/>
      <w:color w:val="404040" w:themeColor="text1" w:themeTint="BF"/>
    </w:rPr>
  </w:style>
  <w:style w:type="character" w:styleId="QuoteChar" w:customStyle="1">
    <w:name w:val="Quote Char"/>
    <w:basedOn w:val="DefaultParagraphFont"/>
    <w:link w:val="Quote"/>
    <w:uiPriority w:val="29"/>
    <w:rsid w:val="009D67BC"/>
    <w:rPr>
      <w:i/>
      <w:iCs/>
      <w:color w:val="404040" w:themeColor="text1" w:themeTint="BF"/>
    </w:rPr>
  </w:style>
  <w:style w:type="paragraph" w:styleId="ListParagraph">
    <w:name w:val="List Paragraph"/>
    <w:basedOn w:val="Normal"/>
    <w:uiPriority w:val="34"/>
    <w:qFormat/>
    <w:rsid w:val="009D67BC"/>
    <w:pPr>
      <w:ind w:left="720"/>
      <w:contextualSpacing/>
    </w:pPr>
  </w:style>
  <w:style w:type="character" w:styleId="IntenseEmphasis">
    <w:name w:val="Intense Emphasis"/>
    <w:basedOn w:val="DefaultParagraphFont"/>
    <w:uiPriority w:val="21"/>
    <w:qFormat/>
    <w:rsid w:val="009D67BC"/>
    <w:rPr>
      <w:i/>
      <w:iCs/>
      <w:color w:val="0F4761" w:themeColor="accent1" w:themeShade="BF"/>
    </w:rPr>
  </w:style>
  <w:style w:type="paragraph" w:styleId="IntenseQuote">
    <w:name w:val="Intense Quote"/>
    <w:basedOn w:val="Normal"/>
    <w:next w:val="Normal"/>
    <w:link w:val="IntenseQuoteChar"/>
    <w:uiPriority w:val="30"/>
    <w:qFormat/>
    <w:rsid w:val="009D67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67BC"/>
    <w:rPr>
      <w:i/>
      <w:iCs/>
      <w:color w:val="0F4761" w:themeColor="accent1" w:themeShade="BF"/>
    </w:rPr>
  </w:style>
  <w:style w:type="character" w:styleId="IntenseReference">
    <w:name w:val="Intense Reference"/>
    <w:basedOn w:val="DefaultParagraphFont"/>
    <w:uiPriority w:val="32"/>
    <w:qFormat/>
    <w:rsid w:val="009D67BC"/>
    <w:rPr>
      <w:b/>
      <w:bCs/>
      <w:smallCaps/>
      <w:color w:val="0F4761" w:themeColor="accent1" w:themeShade="BF"/>
      <w:spacing w:val="5"/>
    </w:rPr>
  </w:style>
  <w:style w:type="table" w:styleId="TableGrid">
    <w:name w:val="Table Grid"/>
    <w:basedOn w:val="TableNormal"/>
    <w:uiPriority w:val="39"/>
    <w:rsid w:val="009D67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D67BC"/>
    <w:rPr>
      <w:color w:val="467886" w:themeColor="hyperlink"/>
      <w:u w:val="single"/>
    </w:rPr>
  </w:style>
  <w:style w:type="character" w:styleId="UnresolvedMention">
    <w:name w:val="Unresolved Mention"/>
    <w:basedOn w:val="DefaultParagraphFont"/>
    <w:uiPriority w:val="99"/>
    <w:semiHidden/>
    <w:unhideWhenUsed/>
    <w:rsid w:val="009D67BC"/>
    <w:rPr>
      <w:color w:val="605E5C"/>
      <w:shd w:val="clear" w:color="auto" w:fill="E1DFDD"/>
    </w:rPr>
  </w:style>
  <w:style w:type="character" w:styleId="CommentReference">
    <w:name w:val="annotation reference"/>
    <w:basedOn w:val="DefaultParagraphFont"/>
    <w:uiPriority w:val="99"/>
    <w:semiHidden/>
    <w:unhideWhenUsed/>
    <w:rsid w:val="001C65C6"/>
    <w:rPr>
      <w:sz w:val="16"/>
      <w:szCs w:val="16"/>
    </w:rPr>
  </w:style>
  <w:style w:type="paragraph" w:styleId="CommentText">
    <w:name w:val="annotation text"/>
    <w:basedOn w:val="Normal"/>
    <w:link w:val="CommentTextChar"/>
    <w:uiPriority w:val="99"/>
    <w:unhideWhenUsed/>
    <w:rsid w:val="001C65C6"/>
    <w:pPr>
      <w:spacing w:line="240" w:lineRule="auto"/>
    </w:pPr>
    <w:rPr>
      <w:sz w:val="20"/>
      <w:szCs w:val="20"/>
    </w:rPr>
  </w:style>
  <w:style w:type="character" w:styleId="CommentTextChar" w:customStyle="1">
    <w:name w:val="Comment Text Char"/>
    <w:basedOn w:val="DefaultParagraphFont"/>
    <w:link w:val="CommentText"/>
    <w:uiPriority w:val="99"/>
    <w:rsid w:val="001C65C6"/>
    <w:rPr>
      <w:sz w:val="20"/>
      <w:szCs w:val="20"/>
    </w:rPr>
  </w:style>
  <w:style w:type="paragraph" w:styleId="CommentSubject">
    <w:name w:val="annotation subject"/>
    <w:basedOn w:val="CommentText"/>
    <w:next w:val="CommentText"/>
    <w:link w:val="CommentSubjectChar"/>
    <w:uiPriority w:val="99"/>
    <w:semiHidden/>
    <w:unhideWhenUsed/>
    <w:rsid w:val="001C65C6"/>
    <w:rPr>
      <w:b/>
      <w:bCs/>
    </w:rPr>
  </w:style>
  <w:style w:type="character" w:styleId="CommentSubjectChar" w:customStyle="1">
    <w:name w:val="Comment Subject Char"/>
    <w:basedOn w:val="CommentTextChar"/>
    <w:link w:val="CommentSubject"/>
    <w:uiPriority w:val="99"/>
    <w:semiHidden/>
    <w:rsid w:val="001C65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eccf4ed4b96b28e0037e480c344493c">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cdb403dccf5333a50c243726ca919532"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f635cb-58c7-4c7c-a2be-5f3d12299da6">
      <Terms xmlns="http://schemas.microsoft.com/office/infopath/2007/PartnerControls"/>
    </lcf76f155ced4ddcb4097134ff3c332f>
    <TaxCatchAll xmlns="dc119905-464d-4721-bcb1-84ed6b26f144" xsi:nil="true"/>
  </documentManagement>
</p:properties>
</file>

<file path=customXml/itemProps1.xml><?xml version="1.0" encoding="utf-8"?>
<ds:datastoreItem xmlns:ds="http://schemas.openxmlformats.org/officeDocument/2006/customXml" ds:itemID="{2B0869A6-C621-4863-864B-C598540DF1AC}"/>
</file>

<file path=customXml/itemProps2.xml><?xml version="1.0" encoding="utf-8"?>
<ds:datastoreItem xmlns:ds="http://schemas.openxmlformats.org/officeDocument/2006/customXml" ds:itemID="{A2C02069-1280-45A6-9041-55C13C0825CC}"/>
</file>

<file path=customXml/itemProps3.xml><?xml version="1.0" encoding="utf-8"?>
<ds:datastoreItem xmlns:ds="http://schemas.openxmlformats.org/officeDocument/2006/customXml" ds:itemID="{727C34E5-C225-4E94-9018-CDE0A3ACF25C}"/>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86</revision>
  <dcterms:created xsi:type="dcterms:W3CDTF">2025-11-19T14:30:00.0000000Z</dcterms:created>
  <dcterms:modified xsi:type="dcterms:W3CDTF">2026-02-09T14:47:37.2833360Z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0x0101001517B14D604B3B48B5D202D444E0E01D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{"FileActivityType":"6","FileActivityTimeStamp":"2025-11-19T14:46:51.307Z","FileActivityUsersOnPage":[{"DisplayName":"MacArthur, William (EOHLC)","Id":"william.macarthur@mass.gov"}],"FileActivityNavigationId":null}</vt:lpwstr>
  </property>
  <property fmtid="{D5CDD505-2E9C-101B-9397-08002B2CF9AE}" pid="9" name="TriggerFlowInfo">
    <vt:lpwstr/>
  </property>
</Properties>
</file>