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4431D" w14:textId="1087CB21" w:rsidR="007550B2" w:rsidRDefault="007550B2" w:rsidP="007550B2">
      <w:pPr>
        <w:jc w:val="center"/>
        <w:rPr>
          <w:rFonts w:eastAsia="Times New Roman" w:cs="Arial"/>
          <w:b/>
          <w:bCs/>
          <w:sz w:val="24"/>
          <w:szCs w:val="24"/>
        </w:rPr>
      </w:pPr>
      <w:r>
        <w:rPr>
          <w:rFonts w:eastAsia="Times New Roman" w:cs="Arial"/>
          <w:b/>
          <w:bCs/>
          <w:sz w:val="24"/>
          <w:szCs w:val="24"/>
        </w:rPr>
        <w:t xml:space="preserve">Special Board Meeting of Early Education and Care  </w:t>
      </w:r>
    </w:p>
    <w:p w14:paraId="313F822F" w14:textId="515DA4CA" w:rsidR="007550B2" w:rsidRDefault="007550B2" w:rsidP="007550B2">
      <w:pPr>
        <w:jc w:val="center"/>
        <w:rPr>
          <w:rFonts w:eastAsia="Times New Roman" w:cs="Courier New"/>
          <w:b/>
          <w:sz w:val="24"/>
          <w:szCs w:val="24"/>
        </w:rPr>
      </w:pPr>
      <w:r>
        <w:rPr>
          <w:rFonts w:eastAsia="Times New Roman" w:cs="Arial"/>
          <w:b/>
          <w:sz w:val="24"/>
          <w:szCs w:val="24"/>
        </w:rPr>
        <w:t>Monday, November 29, 2021</w:t>
      </w:r>
    </w:p>
    <w:p w14:paraId="6C7205F6" w14:textId="3C4D3F23" w:rsidR="007550B2" w:rsidRDefault="007550B2" w:rsidP="007550B2">
      <w:pPr>
        <w:jc w:val="center"/>
      </w:pPr>
      <w:r>
        <w:t>12:00pm-12:30pm</w:t>
      </w:r>
    </w:p>
    <w:p w14:paraId="6D5B93BE" w14:textId="77777777" w:rsidR="007550B2" w:rsidRDefault="007550B2" w:rsidP="007550B2">
      <w:pPr>
        <w:jc w:val="center"/>
        <w:rPr>
          <w:rFonts w:eastAsia="Times New Roman" w:cs="Times New Roman"/>
          <w:b/>
          <w:sz w:val="24"/>
          <w:szCs w:val="24"/>
        </w:rPr>
      </w:pPr>
      <w:r>
        <w:rPr>
          <w:rFonts w:eastAsia="Times New Roman" w:cs="Times New Roman"/>
          <w:b/>
          <w:sz w:val="24"/>
          <w:szCs w:val="24"/>
        </w:rPr>
        <w:t>Virtual Meeting</w:t>
      </w:r>
    </w:p>
    <w:p w14:paraId="6D3FD715" w14:textId="6B56A093" w:rsidR="007550B2" w:rsidRDefault="007550B2" w:rsidP="007550B2">
      <w:r>
        <w:t xml:space="preserve">NOTE: This meeting will be broadcast over EEC’s YouTube Channel:  </w:t>
      </w:r>
      <w:hyperlink r:id="rId8" w:history="1">
        <w:r>
          <w:rPr>
            <w:rStyle w:val="Hyperlink"/>
          </w:rPr>
          <w:t>https://youtu.be/4dUDx1rX0f0</w:t>
        </w:r>
      </w:hyperlink>
    </w:p>
    <w:p w14:paraId="452B3298" w14:textId="77777777" w:rsidR="007550B2" w:rsidRDefault="007550B2" w:rsidP="007550B2">
      <w:pPr>
        <w:pBdr>
          <w:bottom w:val="single" w:sz="12" w:space="1" w:color="auto"/>
        </w:pBdr>
        <w:rPr>
          <w:rFonts w:eastAsia="Times New Roman" w:cs="Times New Roman"/>
          <w:b/>
          <w:sz w:val="24"/>
          <w:szCs w:val="24"/>
        </w:rPr>
      </w:pPr>
    </w:p>
    <w:p w14:paraId="2540D5B3" w14:textId="77777777" w:rsidR="007550B2" w:rsidRDefault="007550B2" w:rsidP="007550B2">
      <w:pPr>
        <w:rPr>
          <w:rFonts w:ascii="Verdana" w:eastAsia="Times New Roman" w:hAnsi="Verdana" w:cs="Arial"/>
          <w:b/>
          <w:sz w:val="2"/>
          <w:szCs w:val="2"/>
        </w:rPr>
      </w:pPr>
    </w:p>
    <w:p w14:paraId="4352FDC2" w14:textId="77777777" w:rsidR="007550B2" w:rsidRDefault="007550B2" w:rsidP="007550B2">
      <w:pPr>
        <w:jc w:val="center"/>
        <w:rPr>
          <w:rFonts w:eastAsia="Times New Roman" w:cs="Arial"/>
          <w:sz w:val="16"/>
          <w:szCs w:val="16"/>
        </w:rPr>
      </w:pPr>
    </w:p>
    <w:p w14:paraId="61DDCB20" w14:textId="77777777" w:rsidR="007550B2" w:rsidRDefault="007550B2" w:rsidP="007550B2">
      <w:pPr>
        <w:jc w:val="center"/>
        <w:rPr>
          <w:rFonts w:eastAsia="Times New Roman" w:cs="Arial"/>
          <w:b/>
          <w:sz w:val="24"/>
          <w:szCs w:val="24"/>
        </w:rPr>
      </w:pPr>
      <w:r>
        <w:rPr>
          <w:rFonts w:eastAsia="Times New Roman" w:cs="Arial"/>
          <w:b/>
          <w:sz w:val="24"/>
          <w:szCs w:val="24"/>
        </w:rPr>
        <w:t xml:space="preserve">AGENDA: </w:t>
      </w:r>
    </w:p>
    <w:p w14:paraId="14C667B0" w14:textId="77777777" w:rsidR="007550B2" w:rsidRDefault="007550B2" w:rsidP="007550B2">
      <w:pPr>
        <w:jc w:val="both"/>
        <w:rPr>
          <w:rFonts w:eastAsia="Times New Roman" w:cs="Times New Roman"/>
          <w:b/>
          <w:bCs/>
          <w:sz w:val="24"/>
          <w:szCs w:val="24"/>
        </w:rPr>
      </w:pPr>
    </w:p>
    <w:p w14:paraId="1A849558" w14:textId="77777777" w:rsidR="007550B2" w:rsidRDefault="007550B2" w:rsidP="007550B2">
      <w:pPr>
        <w:jc w:val="both"/>
        <w:rPr>
          <w:b/>
          <w:bCs/>
          <w:sz w:val="24"/>
          <w:szCs w:val="24"/>
        </w:rPr>
      </w:pPr>
      <w:r>
        <w:rPr>
          <w:b/>
          <w:bCs/>
          <w:sz w:val="24"/>
          <w:szCs w:val="24"/>
        </w:rPr>
        <w:t>Welcome and Comments from the Chair</w:t>
      </w:r>
    </w:p>
    <w:p w14:paraId="6B62129B" w14:textId="77777777" w:rsidR="007550B2" w:rsidRDefault="007550B2" w:rsidP="007550B2">
      <w:pPr>
        <w:jc w:val="both"/>
        <w:rPr>
          <w:b/>
          <w:bCs/>
          <w:sz w:val="24"/>
          <w:szCs w:val="24"/>
        </w:rPr>
      </w:pPr>
    </w:p>
    <w:p w14:paraId="2C70A2A5" w14:textId="77777777" w:rsidR="007550B2" w:rsidRDefault="007550B2" w:rsidP="007550B2">
      <w:pPr>
        <w:jc w:val="both"/>
        <w:rPr>
          <w:b/>
          <w:bCs/>
          <w:sz w:val="24"/>
          <w:szCs w:val="24"/>
        </w:rPr>
      </w:pPr>
      <w:r>
        <w:rPr>
          <w:b/>
          <w:bCs/>
          <w:sz w:val="24"/>
          <w:szCs w:val="24"/>
        </w:rPr>
        <w:t>Comments from the Secretary</w:t>
      </w:r>
    </w:p>
    <w:p w14:paraId="781C61CA" w14:textId="77777777" w:rsidR="007550B2" w:rsidRDefault="007550B2" w:rsidP="007550B2">
      <w:pPr>
        <w:jc w:val="both"/>
        <w:rPr>
          <w:b/>
          <w:bCs/>
          <w:sz w:val="24"/>
          <w:szCs w:val="24"/>
        </w:rPr>
      </w:pPr>
    </w:p>
    <w:p w14:paraId="73E07804" w14:textId="77777777" w:rsidR="007550B2" w:rsidRDefault="007550B2" w:rsidP="007550B2">
      <w:pPr>
        <w:jc w:val="both"/>
        <w:rPr>
          <w:b/>
          <w:bCs/>
          <w:sz w:val="24"/>
          <w:szCs w:val="24"/>
        </w:rPr>
      </w:pPr>
      <w:r>
        <w:rPr>
          <w:b/>
          <w:bCs/>
          <w:sz w:val="24"/>
          <w:szCs w:val="24"/>
        </w:rPr>
        <w:t>Comments from the Commissioner</w:t>
      </w:r>
    </w:p>
    <w:p w14:paraId="0569388E" w14:textId="77777777" w:rsidR="007550B2" w:rsidRDefault="007550B2" w:rsidP="007550B2">
      <w:pPr>
        <w:jc w:val="both"/>
        <w:rPr>
          <w:b/>
          <w:bCs/>
          <w:sz w:val="24"/>
          <w:szCs w:val="24"/>
        </w:rPr>
      </w:pPr>
    </w:p>
    <w:p w14:paraId="30AB3FE2" w14:textId="77777777" w:rsidR="007550B2" w:rsidRDefault="007550B2" w:rsidP="007550B2">
      <w:pPr>
        <w:jc w:val="both"/>
        <w:rPr>
          <w:rFonts w:eastAsia="Times New Roman"/>
          <w:b/>
          <w:bCs/>
          <w:sz w:val="24"/>
          <w:szCs w:val="24"/>
        </w:rPr>
      </w:pPr>
      <w:r>
        <w:rPr>
          <w:b/>
          <w:bCs/>
          <w:sz w:val="24"/>
          <w:szCs w:val="24"/>
        </w:rPr>
        <w:t>Items for Discussion and Action</w:t>
      </w:r>
    </w:p>
    <w:p w14:paraId="34BE7F98" w14:textId="5023A9B0" w:rsidR="007550B2" w:rsidRDefault="007550B2" w:rsidP="007550B2">
      <w:pPr>
        <w:numPr>
          <w:ilvl w:val="0"/>
          <w:numId w:val="1"/>
        </w:numPr>
        <w:contextualSpacing/>
        <w:jc w:val="both"/>
        <w:rPr>
          <w:rFonts w:eastAsia="Times New Roman"/>
          <w:b/>
          <w:bCs/>
          <w:sz w:val="24"/>
          <w:szCs w:val="24"/>
        </w:rPr>
      </w:pPr>
      <w:r>
        <w:rPr>
          <w:rFonts w:eastAsia="Times New Roman"/>
          <w:sz w:val="24"/>
          <w:szCs w:val="24"/>
        </w:rPr>
        <w:t>Promulgation of Final Regulations – Discussion and Vote</w:t>
      </w:r>
    </w:p>
    <w:p w14:paraId="0B31B06E" w14:textId="6B76509B" w:rsidR="007550B2" w:rsidRDefault="007550B2" w:rsidP="007550B2">
      <w:pPr>
        <w:numPr>
          <w:ilvl w:val="1"/>
          <w:numId w:val="1"/>
        </w:numPr>
        <w:contextualSpacing/>
        <w:jc w:val="both"/>
        <w:rPr>
          <w:rFonts w:eastAsia="Times New Roman"/>
          <w:b/>
          <w:bCs/>
          <w:sz w:val="24"/>
          <w:szCs w:val="24"/>
        </w:rPr>
      </w:pPr>
      <w:r>
        <w:rPr>
          <w:rFonts w:eastAsia="Times New Roman"/>
          <w:sz w:val="24"/>
          <w:szCs w:val="24"/>
        </w:rPr>
        <w:t xml:space="preserve"> The regulations</w:t>
      </w:r>
      <w:r w:rsidR="009B674E">
        <w:rPr>
          <w:rFonts w:eastAsia="Times New Roman"/>
          <w:sz w:val="24"/>
          <w:szCs w:val="24"/>
        </w:rPr>
        <w:t>, previously approved as emergency regulations,</w:t>
      </w:r>
      <w:r>
        <w:rPr>
          <w:rFonts w:eastAsia="Times New Roman"/>
          <w:sz w:val="24"/>
          <w:szCs w:val="24"/>
        </w:rPr>
        <w:t xml:space="preserve"> authorize the Commissioner to (1) modify educator qualifications and professional development requirements, and take other administrative measures to improve the ability of programs to hire qualified educators while maintaining the health and safety of children; and (2) issue policies and requirements pertaining to the prevention of serious illnesses, contagious diseases, and reportable diseases, including a requirement for personal protective equipment to be used in programs</w:t>
      </w:r>
      <w:r w:rsidR="00C248B7">
        <w:rPr>
          <w:rFonts w:eastAsia="Times New Roman"/>
          <w:sz w:val="24"/>
          <w:szCs w:val="24"/>
        </w:rPr>
        <w:t xml:space="preserve">. </w:t>
      </w:r>
      <w:r>
        <w:rPr>
          <w:rFonts w:eastAsia="Times New Roman"/>
          <w:sz w:val="24"/>
          <w:szCs w:val="24"/>
        </w:rPr>
        <w:t>The regulations also change the date by which educators need to renew their CPR certifications.</w:t>
      </w:r>
    </w:p>
    <w:p w14:paraId="0C4A2702" w14:textId="77777777" w:rsidR="007550B2" w:rsidRDefault="007550B2" w:rsidP="007550B2">
      <w:pPr>
        <w:ind w:left="1440"/>
        <w:contextualSpacing/>
        <w:jc w:val="both"/>
        <w:rPr>
          <w:sz w:val="24"/>
          <w:szCs w:val="24"/>
        </w:rPr>
      </w:pPr>
    </w:p>
    <w:p w14:paraId="13C7304D" w14:textId="77777777" w:rsidR="007550B2" w:rsidRDefault="007550B2" w:rsidP="007550B2">
      <w:pPr>
        <w:jc w:val="both"/>
        <w:rPr>
          <w:b/>
          <w:bCs/>
          <w:sz w:val="24"/>
          <w:szCs w:val="24"/>
        </w:rPr>
      </w:pPr>
    </w:p>
    <w:p w14:paraId="5B94B2C4" w14:textId="77777777" w:rsidR="007550B2" w:rsidRDefault="007550B2" w:rsidP="007550B2">
      <w:pPr>
        <w:ind w:left="360"/>
        <w:rPr>
          <w:rFonts w:eastAsia="Times New Roman"/>
          <w:sz w:val="24"/>
          <w:szCs w:val="24"/>
        </w:rPr>
      </w:pPr>
    </w:p>
    <w:p w14:paraId="58B8284D" w14:textId="77777777" w:rsidR="007550B2" w:rsidRDefault="007550B2"/>
    <w:sectPr w:rsidR="00755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F5F34"/>
    <w:multiLevelType w:val="hybridMultilevel"/>
    <w:tmpl w:val="7D22202A"/>
    <w:lvl w:ilvl="0" w:tplc="3000E108">
      <w:start w:val="1"/>
      <w:numFmt w:val="decimal"/>
      <w:lvlText w:val="%1."/>
      <w:lvlJc w:val="left"/>
      <w:pPr>
        <w:ind w:left="1080" w:hanging="360"/>
      </w:pPr>
      <w:rPr>
        <w:rFonts w:ascii="Calibri" w:eastAsia="Times New Roman" w:hAnsi="Calibri" w:cs="Calibr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B2"/>
    <w:rsid w:val="006F19BD"/>
    <w:rsid w:val="007550B2"/>
    <w:rsid w:val="009B674E"/>
    <w:rsid w:val="00C2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D065"/>
  <w15:chartTrackingRefBased/>
  <w15:docId w15:val="{B52F0B88-5818-4F89-82DE-338C2D6D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0B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50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043801">
      <w:bodyDiv w:val="1"/>
      <w:marLeft w:val="0"/>
      <w:marRight w:val="0"/>
      <w:marTop w:val="0"/>
      <w:marBottom w:val="0"/>
      <w:divBdr>
        <w:top w:val="none" w:sz="0" w:space="0" w:color="auto"/>
        <w:left w:val="none" w:sz="0" w:space="0" w:color="auto"/>
        <w:bottom w:val="none" w:sz="0" w:space="0" w:color="auto"/>
        <w:right w:val="none" w:sz="0" w:space="0" w:color="auto"/>
      </w:divBdr>
    </w:div>
    <w:div w:id="54506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youtu.be/4dUDx1rX0f0__;!!CUhgQOZqV7M!yoO_FAuJ6dzkrJbZgWrpb00_DglssqnCMZrRJRoBPtVNzzRcnvP6o825U1spcOk3M07K0a6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71093A4B60634585D731BADB04A918" ma:contentTypeVersion="17" ma:contentTypeDescription="Create a new document." ma:contentTypeScope="" ma:versionID="b34ae47a8b993ced36fd03af455c5577">
  <xsd:schema xmlns:xsd="http://www.w3.org/2001/XMLSchema" xmlns:xs="http://www.w3.org/2001/XMLSchema" xmlns:p="http://schemas.microsoft.com/office/2006/metadata/properties" xmlns:ns1="http://schemas.microsoft.com/sharepoint/v3" xmlns:ns2="21f01d7f-4442-4f78-81a7-673acdc1a863" xmlns:ns3="d2723c30-6204-4949-b924-d29eb2d07b24" targetNamespace="http://schemas.microsoft.com/office/2006/metadata/properties" ma:root="true" ma:fieldsID="618886785f0953ef3c155b64593b3a59" ns1:_="" ns2:_="" ns3:_="">
    <xsd:import namespace="http://schemas.microsoft.com/sharepoint/v3"/>
    <xsd:import namespace="21f01d7f-4442-4f78-81a7-673acdc1a863"/>
    <xsd:import namespace="d2723c30-6204-4949-b924-d29eb2d07b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f01d7f-4442-4f78-81a7-673acdc1a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23c30-6204-4949-b924-d29eb2d07b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7DFC65-F2BF-4C14-9504-081C2B24BFFF}">
  <ds:schemaRefs>
    <ds:schemaRef ds:uri="http://schemas.microsoft.com/sharepoint/v3"/>
    <ds:schemaRef ds:uri="http://schemas.openxmlformats.org/package/2006/metadata/core-properties"/>
    <ds:schemaRef ds:uri="http://schemas.microsoft.com/office/2006/metadata/properties"/>
    <ds:schemaRef ds:uri="http://www.w3.org/XML/1998/namespace"/>
    <ds:schemaRef ds:uri="http://purl.org/dc/elements/1.1/"/>
    <ds:schemaRef ds:uri="21f01d7f-4442-4f78-81a7-673acdc1a863"/>
    <ds:schemaRef ds:uri="http://purl.org/dc/dcmitype/"/>
    <ds:schemaRef ds:uri="http://schemas.microsoft.com/office/2006/documentManagement/types"/>
    <ds:schemaRef ds:uri="http://schemas.microsoft.com/office/infopath/2007/PartnerControls"/>
    <ds:schemaRef ds:uri="d2723c30-6204-4949-b924-d29eb2d07b24"/>
    <ds:schemaRef ds:uri="http://purl.org/dc/terms/"/>
  </ds:schemaRefs>
</ds:datastoreItem>
</file>

<file path=customXml/itemProps2.xml><?xml version="1.0" encoding="utf-8"?>
<ds:datastoreItem xmlns:ds="http://schemas.openxmlformats.org/officeDocument/2006/customXml" ds:itemID="{A13F4135-8A62-429A-94A8-BD1185C50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f01d7f-4442-4f78-81a7-673acdc1a863"/>
    <ds:schemaRef ds:uri="d2723c30-6204-4949-b924-d29eb2d07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AB74AF-D1C5-4953-A4FC-EA4D6A5ED8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Premont, Catherine (EEC)</dc:creator>
  <cp:keywords/>
  <dc:description/>
  <cp:lastModifiedBy>Premont, Catherine (EEC)</cp:lastModifiedBy>
  <cp:revision>3</cp:revision>
  <dcterms:created xsi:type="dcterms:W3CDTF">2021-11-23T19:34:00Z</dcterms:created>
  <dcterms:modified xsi:type="dcterms:W3CDTF">2021-11-23T20:46:00Z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0x0101005071093A4B60634585D731BADB04A918</vt:lpwstr>
  </property>
</Properties>
</file>