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F29" w14:textId="77777777" w:rsidR="00A11777"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Pr>
          <w:rFonts w:asciiTheme="minorHAnsi" w:hAnsiTheme="minorHAnsi"/>
          <w:sz w:val="40"/>
        </w:rPr>
        <w:t xml:space="preserve"> 310 CMR 15.000 (Título 5)</w:t>
      </w:r>
    </w:p>
    <w:p w14:paraId="2A378360" w14:textId="62384FFA" w:rsidR="004C00FC"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Pr>
          <w:rFonts w:asciiTheme="minorHAnsi" w:hAnsiTheme="minorHAnsi"/>
          <w:sz w:val="40"/>
        </w:rPr>
        <w:t xml:space="preserve">Emendas regulamentares de áreas sensíveis ao nitrogênio de recursos naturais e </w:t>
      </w:r>
    </w:p>
    <w:p w14:paraId="53319263" w14:textId="54E3CB83" w:rsidR="004C00FC" w:rsidRPr="00AB5275" w:rsidRDefault="004C00FC" w:rsidP="004C00FC">
      <w:pPr>
        <w:pStyle w:val="NormalWeb"/>
        <w:spacing w:before="0" w:beforeAutospacing="0" w:after="160" w:afterAutospacing="0" w:line="256" w:lineRule="auto"/>
        <w:jc w:val="center"/>
        <w:rPr>
          <w:rFonts w:asciiTheme="minorHAnsi" w:hAnsiTheme="minorHAnsi" w:cstheme="minorHAnsi"/>
          <w:sz w:val="40"/>
          <w:szCs w:val="40"/>
        </w:rPr>
      </w:pPr>
      <w:r>
        <w:rPr>
          <w:rFonts w:asciiTheme="minorHAnsi" w:hAnsiTheme="minorHAnsi"/>
          <w:sz w:val="40"/>
        </w:rPr>
        <w:t>314 CMR 21.00, regulamentos de licenças de bacias hidrográficas</w:t>
      </w:r>
    </w:p>
    <w:p w14:paraId="6323C2B7" w14:textId="7369BDC0" w:rsidR="004C00FC" w:rsidRPr="00AB5275" w:rsidRDefault="004C00FC" w:rsidP="004C00FC">
      <w:pPr>
        <w:pStyle w:val="NormalWeb"/>
        <w:spacing w:before="0" w:beforeAutospacing="0" w:after="160" w:afterAutospacing="0" w:line="256" w:lineRule="auto"/>
        <w:jc w:val="center"/>
        <w:rPr>
          <w:rFonts w:asciiTheme="minorHAnsi" w:eastAsia="Calibri" w:hAnsiTheme="minorHAnsi" w:cstheme="minorHAnsi"/>
          <w:b/>
          <w:bCs/>
          <w:color w:val="000000" w:themeColor="text1"/>
          <w:kern w:val="2"/>
          <w:sz w:val="40"/>
          <w:szCs w:val="40"/>
          <w:u w:val="single"/>
        </w:rPr>
      </w:pPr>
      <w:r>
        <w:rPr>
          <w:rFonts w:asciiTheme="minorHAnsi" w:hAnsiTheme="minorHAnsi"/>
          <w:b/>
          <w:sz w:val="40"/>
          <w:u w:val="single"/>
        </w:rPr>
        <w:t>Perguntas e respostas sobre a implementação da regulamentação</w:t>
      </w:r>
    </w:p>
    <w:p w14:paraId="616A58CD" w14:textId="3B43FBA7" w:rsidR="00877B95" w:rsidRPr="00AB5275" w:rsidRDefault="00877B95" w:rsidP="004B454D">
      <w:pPr>
        <w:pStyle w:val="NormalWeb"/>
        <w:spacing w:before="0" w:beforeAutospacing="0" w:after="160" w:afterAutospacing="0" w:line="256" w:lineRule="auto"/>
        <w:rPr>
          <w:rFonts w:asciiTheme="minorHAnsi" w:eastAsia="Calibri" w:hAnsiTheme="minorHAnsi" w:cstheme="minorHAnsi"/>
          <w:color w:val="000000" w:themeColor="text1"/>
          <w:kern w:val="2"/>
          <w:sz w:val="32"/>
          <w:szCs w:val="32"/>
        </w:rPr>
      </w:pPr>
      <w:r>
        <w:rPr>
          <w:rFonts w:asciiTheme="minorHAnsi" w:hAnsiTheme="minorHAnsi"/>
          <w:color w:val="000000" w:themeColor="text1"/>
          <w:sz w:val="32"/>
        </w:rPr>
        <w:t>Quais áreas foram afetadas pelas revisões do Título 5?</w:t>
      </w:r>
    </w:p>
    <w:p w14:paraId="1DC835EC" w14:textId="6D56F9F4" w:rsidR="00877B95" w:rsidRPr="0049369C"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Há 14 municípios em Cape Cod que abrangem 31 bacias hidrográficas que agora foram designadas como Áreas sensíveis ao nitrogênio de recursos naturais (NRNSAs). Esta tabela lista os municípios com bacias hidrográficas com Cargas máximas diárias totais de nitrogênio (TMDLs) aprovadas e a data em que a bacia hidrográfica foi designada como NRNSA:</w:t>
      </w:r>
    </w:p>
    <w:tbl>
      <w:tblPr>
        <w:tblStyle w:val="TableGrid"/>
        <w:tblW w:w="0" w:type="auto"/>
        <w:tblInd w:w="720" w:type="dxa"/>
        <w:tblLook w:val="04A0" w:firstRow="1" w:lastRow="0" w:firstColumn="1" w:lastColumn="0" w:noHBand="0" w:noVBand="1"/>
      </w:tblPr>
      <w:tblGrid>
        <w:gridCol w:w="4328"/>
        <w:gridCol w:w="4302"/>
      </w:tblGrid>
      <w:tr w:rsidR="00CA2EB5" w14:paraId="6CDF953F" w14:textId="77777777" w:rsidTr="00CA2EB5">
        <w:tc>
          <w:tcPr>
            <w:tcW w:w="4675" w:type="dxa"/>
          </w:tcPr>
          <w:p w14:paraId="0EE8AC93" w14:textId="175C07CF" w:rsidR="00CA2EB5" w:rsidRPr="001A068D" w:rsidRDefault="00062418"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rPr>
            </w:pPr>
            <w:r>
              <w:rPr>
                <w:rFonts w:ascii="Calibri" w:hAnsi="Calibri"/>
                <w:b/>
                <w:color w:val="000000" w:themeColor="text1"/>
                <w:sz w:val="32"/>
                <w:u w:val="single"/>
              </w:rPr>
              <w:t>MUNICÍPIOS</w:t>
            </w:r>
          </w:p>
        </w:tc>
        <w:tc>
          <w:tcPr>
            <w:tcW w:w="4675" w:type="dxa"/>
          </w:tcPr>
          <w:p w14:paraId="0F312EDD" w14:textId="14F85A15" w:rsidR="00CA2EB5" w:rsidRPr="001A068D" w:rsidRDefault="00244E90"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rPr>
            </w:pPr>
            <w:r>
              <w:rPr>
                <w:rFonts w:ascii="Calibri" w:hAnsi="Calibri"/>
                <w:b/>
                <w:color w:val="000000" w:themeColor="text1"/>
                <w:sz w:val="32"/>
                <w:u w:val="single"/>
              </w:rPr>
              <w:t>Data de designação de NRNSA</w:t>
            </w:r>
          </w:p>
        </w:tc>
      </w:tr>
      <w:tr w:rsidR="00CA2EB5" w14:paraId="74025EA5" w14:textId="77777777" w:rsidTr="006C6FEF">
        <w:trPr>
          <w:trHeight w:val="2663"/>
        </w:trPr>
        <w:tc>
          <w:tcPr>
            <w:tcW w:w="4675" w:type="dxa"/>
          </w:tcPr>
          <w:p w14:paraId="586D7E3B" w14:textId="3B8F296D" w:rsidR="00461985" w:rsidRPr="008C058F" w:rsidRDefault="00062418" w:rsidP="006C6FEF">
            <w:pPr>
              <w:pStyle w:val="NormalWeb"/>
              <w:spacing w:after="160" w:line="256" w:lineRule="auto"/>
              <w:rPr>
                <w:rFonts w:ascii="Calibri" w:eastAsia="Calibri" w:hAnsi="Calibri"/>
                <w:color w:val="000000" w:themeColor="text1"/>
                <w:kern w:val="2"/>
                <w:sz w:val="32"/>
                <w:szCs w:val="32"/>
                <w:lang w:val="en-US"/>
              </w:rPr>
            </w:pPr>
            <w:r w:rsidRPr="008C058F">
              <w:rPr>
                <w:rFonts w:ascii="Calibri" w:hAnsi="Calibri"/>
                <w:color w:val="000000" w:themeColor="text1"/>
                <w:sz w:val="32"/>
                <w:lang w:val="en-US"/>
              </w:rPr>
              <w:t>BARNSTABLE, BOURNE, BREWSTER, CHATHAM, DENNIS, FALMOUTH, HARWICH, MASHPEE, ORLEANS, SANDWICH, YARMOUTH</w:t>
            </w:r>
          </w:p>
        </w:tc>
        <w:tc>
          <w:tcPr>
            <w:tcW w:w="4675" w:type="dxa"/>
          </w:tcPr>
          <w:p w14:paraId="5310B83C" w14:textId="77777777" w:rsidR="00CA2EB5" w:rsidRPr="008C058F" w:rsidRDefault="00CA2EB5" w:rsidP="007178E4">
            <w:pPr>
              <w:pStyle w:val="NormalWeb"/>
              <w:spacing w:before="0" w:beforeAutospacing="0" w:after="160" w:afterAutospacing="0" w:line="256" w:lineRule="auto"/>
              <w:jc w:val="center"/>
              <w:rPr>
                <w:rFonts w:ascii="Calibri" w:eastAsia="Calibri" w:hAnsi="Calibri"/>
                <w:color w:val="000000" w:themeColor="text1"/>
                <w:kern w:val="2"/>
                <w:sz w:val="32"/>
                <w:szCs w:val="32"/>
                <w:lang w:val="en-US"/>
              </w:rPr>
            </w:pPr>
          </w:p>
          <w:p w14:paraId="7B909072" w14:textId="1225139D" w:rsidR="007178E4" w:rsidRPr="006C6FEF" w:rsidRDefault="007178E4" w:rsidP="007178E4">
            <w:pPr>
              <w:pStyle w:val="NormalWeb"/>
              <w:spacing w:before="0" w:beforeAutospacing="0" w:after="160" w:afterAutospacing="0" w:line="256" w:lineRule="auto"/>
              <w:jc w:val="center"/>
              <w:rPr>
                <w:rFonts w:ascii="Calibri" w:eastAsia="Calibri" w:hAnsi="Calibri"/>
                <w:color w:val="000000" w:themeColor="text1"/>
                <w:kern w:val="2"/>
                <w:sz w:val="40"/>
                <w:szCs w:val="40"/>
              </w:rPr>
            </w:pPr>
            <w:r>
              <w:rPr>
                <w:rFonts w:ascii="Calibri" w:hAnsi="Calibri"/>
                <w:color w:val="000000" w:themeColor="text1"/>
                <w:sz w:val="40"/>
              </w:rPr>
              <w:t>7 de julho de 2023</w:t>
            </w:r>
          </w:p>
        </w:tc>
      </w:tr>
      <w:tr w:rsidR="00174385" w14:paraId="180C4717" w14:textId="77777777" w:rsidTr="00A327E3">
        <w:trPr>
          <w:trHeight w:val="719"/>
        </w:trPr>
        <w:tc>
          <w:tcPr>
            <w:tcW w:w="4675" w:type="dxa"/>
          </w:tcPr>
          <w:p w14:paraId="29B4FEAD" w14:textId="539A5763" w:rsidR="00174385" w:rsidRPr="00062418" w:rsidRDefault="00461985" w:rsidP="00A327E3">
            <w:pPr>
              <w:pStyle w:val="NormalWeb"/>
              <w:spacing w:after="0" w:afterAutospacing="0"/>
              <w:rPr>
                <w:rFonts w:ascii="Calibri" w:eastAsia="Calibri" w:hAnsi="Calibri"/>
                <w:color w:val="000000" w:themeColor="text1"/>
                <w:sz w:val="32"/>
                <w:szCs w:val="32"/>
              </w:rPr>
            </w:pPr>
            <w:r>
              <w:rPr>
                <w:rFonts w:ascii="Calibri" w:hAnsi="Calibri"/>
                <w:color w:val="000000" w:themeColor="text1"/>
                <w:sz w:val="32"/>
              </w:rPr>
              <w:t>EASTHAM, TRURO, WELLFLEET</w:t>
            </w:r>
          </w:p>
        </w:tc>
        <w:tc>
          <w:tcPr>
            <w:tcW w:w="4675" w:type="dxa"/>
          </w:tcPr>
          <w:p w14:paraId="1F9AFDEE" w14:textId="4EDF77C5" w:rsidR="00B2260A" w:rsidRPr="00461985" w:rsidRDefault="00174385" w:rsidP="00A327E3">
            <w:pPr>
              <w:pStyle w:val="NormalWeb"/>
              <w:spacing w:before="0" w:beforeAutospacing="0" w:after="0" w:afterAutospacing="0"/>
              <w:jc w:val="center"/>
              <w:rPr>
                <w:rFonts w:ascii="Calibri" w:eastAsia="Calibri" w:hAnsi="Calibri"/>
                <w:color w:val="000000" w:themeColor="text1"/>
                <w:kern w:val="2"/>
                <w:sz w:val="48"/>
                <w:szCs w:val="48"/>
              </w:rPr>
            </w:pPr>
            <w:r>
              <w:rPr>
                <w:rFonts w:ascii="Calibri" w:hAnsi="Calibri"/>
                <w:color w:val="000000" w:themeColor="text1"/>
                <w:sz w:val="40"/>
              </w:rPr>
              <w:t>29 de setembro de 2023</w:t>
            </w:r>
          </w:p>
        </w:tc>
      </w:tr>
    </w:tbl>
    <w:p w14:paraId="6EA88CD6" w14:textId="77777777" w:rsidR="00877B95" w:rsidRDefault="00877B95" w:rsidP="00877B95">
      <w:pPr>
        <w:pStyle w:val="NormalWeb"/>
        <w:spacing w:before="0" w:beforeAutospacing="0" w:after="160" w:afterAutospacing="0" w:line="256" w:lineRule="auto"/>
        <w:ind w:left="720"/>
        <w:rPr>
          <w:rFonts w:ascii="Calibri" w:eastAsia="Calibri" w:hAnsi="Calibri"/>
          <w:color w:val="000000" w:themeColor="text1"/>
          <w:kern w:val="2"/>
          <w:sz w:val="32"/>
          <w:szCs w:val="32"/>
        </w:rPr>
      </w:pPr>
    </w:p>
    <w:p w14:paraId="22F8D0C1" w14:textId="77777777" w:rsidR="007776CF" w:rsidRDefault="007776CF" w:rsidP="004B454D">
      <w:pPr>
        <w:pStyle w:val="NormalWeb"/>
        <w:spacing w:before="0" w:beforeAutospacing="0" w:after="160" w:afterAutospacing="0" w:line="256" w:lineRule="auto"/>
        <w:rPr>
          <w:rFonts w:ascii="Calibri" w:hAnsi="Calibri"/>
          <w:color w:val="000000" w:themeColor="text1"/>
          <w:sz w:val="32"/>
        </w:rPr>
      </w:pPr>
    </w:p>
    <w:p w14:paraId="62F70182" w14:textId="77777777" w:rsidR="007776CF" w:rsidRDefault="007776CF" w:rsidP="004B454D">
      <w:pPr>
        <w:pStyle w:val="NormalWeb"/>
        <w:spacing w:before="0" w:beforeAutospacing="0" w:after="160" w:afterAutospacing="0" w:line="256" w:lineRule="auto"/>
        <w:rPr>
          <w:rFonts w:ascii="Calibri" w:hAnsi="Calibri"/>
          <w:color w:val="000000" w:themeColor="text1"/>
          <w:sz w:val="32"/>
        </w:rPr>
      </w:pPr>
    </w:p>
    <w:p w14:paraId="375FFA14" w14:textId="61610B2F" w:rsidR="00DD7110" w:rsidRDefault="004B6484" w:rsidP="004B454D">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rPr>
        <w:lastRenderedPageBreak/>
        <w:t>Como posso saber se meu sistema está localizado em uma NRNSA?</w:t>
      </w:r>
    </w:p>
    <w:p w14:paraId="7AE7BCEA" w14:textId="64B162B6" w:rsidR="004B6484" w:rsidRPr="005A1486" w:rsidRDefault="004B648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O Departamento desenvolveu um Mapa de pesquisa de endereços de áreas sensíveis ao nitrogênio da área de recursos naturais, que pode ser encontrado aqui:</w:t>
      </w:r>
    </w:p>
    <w:p w14:paraId="32267354" w14:textId="72581B8E" w:rsidR="00C91607" w:rsidRDefault="00000000" w:rsidP="004B6484">
      <w:pPr>
        <w:pStyle w:val="NormalWeb"/>
        <w:spacing w:before="0" w:beforeAutospacing="0" w:after="160" w:afterAutospacing="0" w:line="256" w:lineRule="auto"/>
        <w:ind w:left="720"/>
        <w:rPr>
          <w:sz w:val="32"/>
          <w:szCs w:val="32"/>
        </w:rPr>
      </w:pPr>
      <w:hyperlink r:id="rId8" w:history="1">
        <w:r w:rsidR="000922F8">
          <w:rPr>
            <w:rStyle w:val="Hyperlink"/>
            <w:sz w:val="32"/>
          </w:rPr>
          <w:t>Pesquisa de endereços de áreas sensíveis ao nitrogênio (arcgis.com)</w:t>
        </w:r>
      </w:hyperlink>
    </w:p>
    <w:p w14:paraId="4C1EA054" w14:textId="7C91FB5D" w:rsidR="007908E6" w:rsidRPr="005A1486" w:rsidRDefault="007908E6"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rPr>
        <w:t>Clique no link.</w:t>
      </w:r>
    </w:p>
    <w:p w14:paraId="5F228803" w14:textId="2BEF6651" w:rsidR="007908E6" w:rsidRPr="005A1486" w:rsidRDefault="00C9469D"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rPr>
        <w:t>Concorde com os termos e condições ao marcar a caixa localizada no canto inferior esquerdo e clique em OK.</w:t>
      </w:r>
    </w:p>
    <w:p w14:paraId="4BF9B547" w14:textId="00AA0812" w:rsidR="007379AD" w:rsidRPr="005A1486" w:rsidRDefault="00505E85"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rPr>
        <w:t>Insira o endereço da unidade (número, rua e cidade).</w:t>
      </w:r>
    </w:p>
    <w:p w14:paraId="70B93150" w14:textId="670D2C40" w:rsidR="00505E85" w:rsidRPr="005A1486" w:rsidRDefault="00505E85"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rPr>
        <w:t>Se a instalação estiver em uma área marcada em verde escuro, ela está localizada em uma NRNSA que foi designada em 7 de julho de 2023.</w:t>
      </w:r>
    </w:p>
    <w:p w14:paraId="2F9DB291" w14:textId="6CA56B5E" w:rsidR="007D5489" w:rsidRPr="005A1486" w:rsidRDefault="007D5489" w:rsidP="004B6484">
      <w:pPr>
        <w:pStyle w:val="NormalWeb"/>
        <w:spacing w:before="0" w:beforeAutospacing="0" w:after="160" w:afterAutospacing="0" w:line="256" w:lineRule="auto"/>
        <w:ind w:left="720"/>
        <w:rPr>
          <w:color w:val="2F5496" w:themeColor="accent1" w:themeShade="BF"/>
          <w:sz w:val="32"/>
          <w:szCs w:val="32"/>
        </w:rPr>
      </w:pPr>
      <w:r>
        <w:rPr>
          <w:color w:val="2F5496" w:themeColor="accent1" w:themeShade="BF"/>
          <w:sz w:val="32"/>
        </w:rPr>
        <w:t>Se a instalação estiver na área marcada em azul, ela está localizada em uma NRNSA que foi designada em 29 de setembro de 2023.</w:t>
      </w:r>
    </w:p>
    <w:p w14:paraId="30204FF5" w14:textId="77777777" w:rsidR="007379AD" w:rsidRPr="007908E6" w:rsidRDefault="007379AD" w:rsidP="004B6484">
      <w:pPr>
        <w:pStyle w:val="NormalWeb"/>
        <w:spacing w:before="0" w:beforeAutospacing="0" w:after="160" w:afterAutospacing="0" w:line="256" w:lineRule="auto"/>
        <w:ind w:left="720"/>
        <w:rPr>
          <w:sz w:val="32"/>
          <w:szCs w:val="32"/>
        </w:rPr>
      </w:pPr>
    </w:p>
    <w:p w14:paraId="3141FA5B" w14:textId="567A92D6" w:rsidR="00DE02C4" w:rsidRDefault="00DE02C4" w:rsidP="004B454D">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rPr>
        <w:t>Qual é o período do Aviso de intenção (NOI)?</w:t>
      </w:r>
    </w:p>
    <w:p w14:paraId="57B54DC7" w14:textId="684DE401" w:rsidR="00DE02C4" w:rsidRPr="005A1486" w:rsidRDefault="00DE02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O período de NOI é de 2 anos após a data de designação de NRNSA durante o qual o município pode protocolá-lo para obter uma licença de bacia hidrográfica, um requerimento de licença de bacia hidrográfica ou de carga mínima de nitrogênio (De Minimis).</w:t>
      </w:r>
    </w:p>
    <w:p w14:paraId="7894DBE1" w14:textId="499687BD" w:rsidR="00877B95" w:rsidRDefault="00877B95" w:rsidP="0042617A">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rPr>
        <w:t>O que acontecerá no término do período de NOI?</w:t>
      </w:r>
    </w:p>
    <w:p w14:paraId="513A9190" w14:textId="6FA51333" w:rsidR="00877B95"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Se o seu município não enviar um Aviso de intenção, um requerimento de licença de bacia hidrográfica ou de carga mínima durante o período de 2 anos (NOI), as exigências relativas à instalação da Melhor tecnologia de redução de nitrogênio disponível (BANRT) para sistemas existentes entrarão em vigor.</w:t>
      </w:r>
    </w:p>
    <w:p w14:paraId="37A3EAB0" w14:textId="64F55384" w:rsidR="006039BB" w:rsidRDefault="006039B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lastRenderedPageBreak/>
        <w:t>Para os municípios com bacias hidrográficas designadas em 7 de julho de 2023, a exigência de atualizar os sistemas sépticos existentes com BANRT começará em 8 de julho de 2025.</w:t>
      </w:r>
    </w:p>
    <w:p w14:paraId="4AE2CE90" w14:textId="0FDC463E" w:rsidR="00290E19"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Para os municípios com bacias hidrográficas designadas em 29 de setembro de 2023, a exigência de atualizar os sistemas sépticos existentes com BANRT começará em 30 de setembro de 2025.</w:t>
      </w:r>
    </w:p>
    <w:p w14:paraId="5890E0A1" w14:textId="77777777" w:rsidR="00042CFB" w:rsidRDefault="00042CF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36146456" w14:textId="0DFE3BA9" w:rsidR="00042CFB" w:rsidRPr="00AB5275" w:rsidRDefault="00042CFB" w:rsidP="004B454D">
      <w:pPr>
        <w:pStyle w:val="NormalWeb"/>
        <w:spacing w:before="0" w:beforeAutospacing="0" w:after="160" w:afterAutospacing="0" w:line="256" w:lineRule="auto"/>
        <w:rPr>
          <w:rFonts w:ascii="Calibri" w:eastAsia="Calibri" w:hAnsi="Calibri"/>
          <w:kern w:val="2"/>
          <w:sz w:val="32"/>
          <w:szCs w:val="32"/>
        </w:rPr>
      </w:pPr>
      <w:r>
        <w:rPr>
          <w:rFonts w:ascii="Calibri" w:hAnsi="Calibri"/>
          <w:sz w:val="32"/>
        </w:rPr>
        <w:t>Como posso saber se o município onde moro protocolou um NOI, requerimento de licença de bacia hidrográfica ou de carga mínima?</w:t>
      </w:r>
    </w:p>
    <w:p w14:paraId="14CE61FB" w14:textId="04FA985C" w:rsidR="004D57F3" w:rsidRDefault="00067986"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O Departamento mantém uma lista dos municípios que enviaram um requerimento relacionado à licença de bacia hidrográfica, que pode ser encontrada aqui:</w:t>
      </w:r>
    </w:p>
    <w:p w14:paraId="61F7986D" w14:textId="54E29DD9" w:rsidR="00067986" w:rsidRPr="008C058F"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en-US"/>
        </w:rPr>
      </w:pPr>
      <w:r>
        <w:rPr>
          <w:rFonts w:ascii="Calibri" w:hAnsi="Calibri"/>
          <w:color w:val="2F5496" w:themeColor="accent1" w:themeShade="BF"/>
          <w:sz w:val="32"/>
        </w:rPr>
        <w:t xml:space="preserve"> </w:t>
      </w:r>
      <w:r w:rsidRPr="008C058F">
        <w:rPr>
          <w:rFonts w:ascii="Calibri" w:hAnsi="Calibri"/>
          <w:color w:val="2F5496" w:themeColor="accent1" w:themeShade="BF"/>
          <w:sz w:val="32"/>
          <w:lang w:val="en-US"/>
        </w:rPr>
        <w:t>[insert link to table of application submittals]</w:t>
      </w:r>
    </w:p>
    <w:p w14:paraId="5158B1E3" w14:textId="38F4F248" w:rsidR="00BD6DC4"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Esta lista é atualizada semanalmente.</w:t>
      </w:r>
    </w:p>
    <w:p w14:paraId="098EC387" w14:textId="099D06D1" w:rsidR="00BD6DC4"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Você também pode entrar em contato diretamente com seu município para obter mais informações sobre o status de um requerimento relacionado à licença de bacia hidrográfica.</w:t>
      </w:r>
    </w:p>
    <w:p w14:paraId="2F7EE6E4" w14:textId="77777777" w:rsidR="00290E19" w:rsidRPr="005A1486"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5FC0D1FB" w14:textId="288DBF1C" w:rsidR="00DE02C4" w:rsidRDefault="00CB2579" w:rsidP="00651111">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hAnsi="Calibri"/>
          <w:color w:val="000000" w:themeColor="text1"/>
          <w:sz w:val="32"/>
        </w:rPr>
        <w:t>Quando devo instalar BANRT em novas construções?</w:t>
      </w:r>
    </w:p>
    <w:p w14:paraId="44446BBC" w14:textId="54892AFD" w:rsidR="00D16246" w:rsidRDefault="00496216" w:rsidP="018082FB">
      <w:pPr>
        <w:pStyle w:val="NormalWeb"/>
        <w:spacing w:before="0" w:beforeAutospacing="0" w:after="160" w:afterAutospacing="0" w:line="256" w:lineRule="auto"/>
        <w:rPr>
          <w:rFonts w:asciiTheme="minorHAnsi" w:hAnsiTheme="minorHAnsi" w:cstheme="minorHAnsi"/>
          <w:sz w:val="32"/>
          <w:szCs w:val="32"/>
        </w:rPr>
      </w:pPr>
      <w:r>
        <w:rPr>
          <w:color w:val="2F5496" w:themeColor="accent1" w:themeShade="BF"/>
          <w:sz w:val="32"/>
        </w:rPr>
        <w:t>O Departamento prorrogou o prazo para exigir a incorporação de BANRT em sistemas sépticos que atendem novas construções em Cape Cod em NRNSAs designadas.</w:t>
      </w:r>
      <w:r>
        <w:rPr>
          <w:rFonts w:asciiTheme="minorHAnsi" w:hAnsiTheme="minorHAnsi"/>
          <w:color w:val="2F5496" w:themeColor="accent1" w:themeShade="BF"/>
          <w:sz w:val="32"/>
        </w:rPr>
        <w:t xml:space="preserve"> </w:t>
      </w:r>
    </w:p>
    <w:p w14:paraId="3C59C557" w14:textId="5D2B37E5" w:rsidR="00D16246" w:rsidRDefault="00DE02C4" w:rsidP="018082FB">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 xml:space="preserve">Segundo 15.215(2)(b): As novas construções devem incorporar BARNT a partir de </w:t>
      </w:r>
      <w:r>
        <w:rPr>
          <w:rFonts w:ascii="Calibri" w:hAnsi="Calibri"/>
          <w:b/>
          <w:bCs/>
          <w:color w:val="2F5496" w:themeColor="accent1" w:themeShade="BF"/>
          <w:sz w:val="32"/>
        </w:rPr>
        <w:t>seis meses</w:t>
      </w:r>
      <w:r>
        <w:rPr>
          <w:rFonts w:ascii="Calibri" w:hAnsi="Calibri"/>
          <w:color w:val="2F5496" w:themeColor="accent1" w:themeShade="BF"/>
          <w:sz w:val="32"/>
        </w:rPr>
        <w:t xml:space="preserve"> após a data de designação de NRNSA, a menos que o município tenha protocolado um NOI, requerimento de licença de bacia hidrográfica ou de carga mínima. </w:t>
      </w:r>
    </w:p>
    <w:p w14:paraId="2465D872" w14:textId="7B2F816D" w:rsidR="00C44D59" w:rsidRDefault="00D16246" w:rsidP="018082FB">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lastRenderedPageBreak/>
        <w:t>O Departamento prorrogou o prazo até 8 de julho de 2024 para qualquer nova construção em Cape Cod em áreas designadas como NRNSA. Se seu município não enviar um Aviso de intenção, um requerimento de licença de bacia hidrográfica ou de carga mínima até esta data, as exigências relativas à instalação de BANRT para novas construções entrarão em vigor.</w:t>
      </w:r>
    </w:p>
    <w:p w14:paraId="5AB364BF" w14:textId="55AC6BA9" w:rsidR="008B4D4E" w:rsidRDefault="0B84559D" w:rsidP="018082FB">
      <w:pPr>
        <w:pStyle w:val="NormalWeb"/>
        <w:spacing w:before="0" w:beforeAutospacing="0" w:after="160" w:afterAutospacing="0" w:line="256" w:lineRule="auto"/>
        <w:rPr>
          <w:rFonts w:ascii="Calibri" w:eastAsia="Calibri" w:hAnsi="Calibri"/>
          <w:color w:val="2F5496" w:themeColor="accent1" w:themeShade="BF"/>
          <w:sz w:val="32"/>
          <w:szCs w:val="32"/>
        </w:rPr>
      </w:pPr>
      <w:r>
        <w:rPr>
          <w:rFonts w:ascii="Calibri" w:hAnsi="Calibri"/>
          <w:color w:val="2F5496" w:themeColor="accent1" w:themeShade="BF"/>
          <w:sz w:val="32"/>
        </w:rPr>
        <w:t xml:space="preserve">É importante observar que as novas construções foram definidas no Título 5 em 310 CMR 15.002 e inclui o seguinte: a construção de um novo prédio que exige a licença de ocupação; e qualquer aumento no fluxo real ou previsto de um sistema existente. Consulte </w:t>
      </w:r>
      <w:hyperlink r:id="rId9">
        <w:r>
          <w:rPr>
            <w:rStyle w:val="Hyperlink"/>
            <w:rFonts w:ascii="Calibri" w:hAnsi="Calibri"/>
            <w:sz w:val="32"/>
          </w:rPr>
          <w:t>15.002</w:t>
        </w:r>
      </w:hyperlink>
      <w:r>
        <w:rPr>
          <w:rFonts w:ascii="Calibri" w:hAnsi="Calibri"/>
          <w:color w:val="2F5496" w:themeColor="accent1" w:themeShade="BF"/>
          <w:sz w:val="32"/>
        </w:rPr>
        <w:t xml:space="preserve"> para obter a definição completa.</w:t>
      </w:r>
    </w:p>
    <w:p w14:paraId="416DD9B8" w14:textId="77777777" w:rsidR="00B91A91" w:rsidRDefault="00B91A91" w:rsidP="018082FB">
      <w:pPr>
        <w:pStyle w:val="NormalWeb"/>
        <w:spacing w:before="0" w:beforeAutospacing="0" w:after="160" w:afterAutospacing="0" w:line="256" w:lineRule="auto"/>
        <w:rPr>
          <w:rFonts w:ascii="Calibri" w:eastAsia="Calibri" w:hAnsi="Calibri"/>
          <w:color w:val="2F5496" w:themeColor="accent1" w:themeShade="BF"/>
          <w:sz w:val="32"/>
          <w:szCs w:val="32"/>
        </w:rPr>
      </w:pPr>
    </w:p>
    <w:p w14:paraId="7DD689FF" w14:textId="79F625A1" w:rsidR="00B91A91" w:rsidRPr="00AB5275" w:rsidRDefault="00B91A91" w:rsidP="018082FB">
      <w:pPr>
        <w:pStyle w:val="NormalWeb"/>
        <w:spacing w:before="0" w:beforeAutospacing="0" w:after="160" w:afterAutospacing="0" w:line="256" w:lineRule="auto"/>
        <w:rPr>
          <w:rFonts w:ascii="Calibri" w:eastAsia="Calibri" w:hAnsi="Calibri"/>
          <w:kern w:val="2"/>
          <w:sz w:val="32"/>
          <w:szCs w:val="32"/>
        </w:rPr>
      </w:pPr>
      <w:r>
        <w:rPr>
          <w:rFonts w:ascii="Calibri" w:hAnsi="Calibri"/>
          <w:sz w:val="32"/>
        </w:rPr>
        <w:t>Quanto tempo tenho para instalar BANRT em um sistema séptico existente?</w:t>
      </w:r>
    </w:p>
    <w:p w14:paraId="3C3734D9" w14:textId="7375E083" w:rsidR="00DE02C4" w:rsidRPr="00765F33" w:rsidRDefault="008F1CDC" w:rsidP="0042617A">
      <w:pPr>
        <w:pStyle w:val="NormalWeb"/>
        <w:spacing w:before="0" w:beforeAutospacing="0" w:after="160" w:afterAutospacing="0" w:line="256" w:lineRule="auto"/>
        <w:rPr>
          <w:color w:val="2F5496" w:themeColor="accent1" w:themeShade="BF"/>
          <w:sz w:val="32"/>
          <w:szCs w:val="32"/>
        </w:rPr>
      </w:pPr>
      <w:r>
        <w:rPr>
          <w:rFonts w:ascii="Calibri" w:hAnsi="Calibri"/>
          <w:color w:val="2F5496" w:themeColor="accent1" w:themeShade="BF"/>
          <w:sz w:val="32"/>
        </w:rPr>
        <w:t xml:space="preserve">Os sistemas existentes terão </w:t>
      </w:r>
      <w:r>
        <w:rPr>
          <w:rFonts w:ascii="Calibri" w:hAnsi="Calibri"/>
          <w:b/>
          <w:bCs/>
          <w:color w:val="2F5496" w:themeColor="accent1" w:themeShade="BF"/>
          <w:sz w:val="32"/>
        </w:rPr>
        <w:t>5 anos para fazer a atualização para BANRT.</w:t>
      </w:r>
      <w:r>
        <w:rPr>
          <w:rFonts w:ascii="Calibri" w:hAnsi="Calibri"/>
          <w:color w:val="2F5496" w:themeColor="accent1" w:themeShade="BF"/>
          <w:sz w:val="32"/>
        </w:rPr>
        <w:t xml:space="preserve"> O período de 5 anos começará no final do período de NOI de 2 anos.</w:t>
      </w:r>
    </w:p>
    <w:p w14:paraId="26D2C0CF" w14:textId="0DBB2906" w:rsidR="008B4D4E" w:rsidRPr="00765F33"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Para as bacias hidrográficas de Cape Cod designadas como NRNSAs em 07/07/2023:</w:t>
      </w:r>
    </w:p>
    <w:p w14:paraId="60801375" w14:textId="00D16DE4" w:rsidR="00DE02C4" w:rsidRPr="00765F33" w:rsidRDefault="00DE02C4" w:rsidP="008B4D4E">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ab/>
      </w:r>
      <w:r>
        <w:rPr>
          <w:rFonts w:ascii="Calibri" w:hAnsi="Calibri"/>
          <w:color w:val="2F5496" w:themeColor="accent1" w:themeShade="BF"/>
          <w:sz w:val="32"/>
        </w:rPr>
        <w:tab/>
        <w:t>08/07/2025 a 08/07/2030 para sistemas existentes.</w:t>
      </w:r>
    </w:p>
    <w:p w14:paraId="33D6DABF" w14:textId="5BF8F8FA" w:rsidR="00DE02C4" w:rsidRPr="00765F33"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hAnsi="Calibri"/>
          <w:color w:val="2F5496" w:themeColor="accent1" w:themeShade="BF"/>
          <w:sz w:val="32"/>
        </w:rPr>
        <w:t>Para o Porto de Wellfleet designado como NRNSA em 29/09/2023:</w:t>
      </w:r>
    </w:p>
    <w:p w14:paraId="6A5DA8D1" w14:textId="0E978169" w:rsidR="00DE02C4" w:rsidRDefault="00DE02C4" w:rsidP="008B4D4E">
      <w:pPr>
        <w:pStyle w:val="NormalWeb"/>
        <w:spacing w:before="0" w:beforeAutospacing="0" w:after="160" w:afterAutospacing="0" w:line="256" w:lineRule="auto"/>
        <w:rPr>
          <w:rFonts w:ascii="Calibri" w:hAnsi="Calibri"/>
          <w:color w:val="2F5496" w:themeColor="accent1" w:themeShade="BF"/>
          <w:sz w:val="32"/>
        </w:rPr>
      </w:pPr>
      <w:r>
        <w:rPr>
          <w:rFonts w:ascii="Calibri" w:hAnsi="Calibri"/>
          <w:color w:val="2F5496" w:themeColor="accent1" w:themeShade="BF"/>
          <w:sz w:val="32"/>
        </w:rPr>
        <w:tab/>
      </w:r>
      <w:r>
        <w:rPr>
          <w:rFonts w:ascii="Calibri" w:hAnsi="Calibri"/>
          <w:color w:val="2F5496" w:themeColor="accent1" w:themeShade="BF"/>
          <w:sz w:val="32"/>
        </w:rPr>
        <w:tab/>
        <w:t>30/09/2025 a 30/09/2030 para sistemas existentes.</w:t>
      </w:r>
    </w:p>
    <w:p w14:paraId="38B3E71C" w14:textId="77777777" w:rsidR="007776CF" w:rsidRDefault="007776CF" w:rsidP="008B4D4E">
      <w:pPr>
        <w:pStyle w:val="NormalWeb"/>
        <w:spacing w:before="0" w:beforeAutospacing="0" w:after="160" w:afterAutospacing="0" w:line="256" w:lineRule="auto"/>
        <w:rPr>
          <w:rFonts w:ascii="Calibri" w:hAnsi="Calibri"/>
          <w:color w:val="2F5496" w:themeColor="accent1" w:themeShade="BF"/>
          <w:sz w:val="32"/>
        </w:rPr>
      </w:pPr>
    </w:p>
    <w:p w14:paraId="3CC74BBD" w14:textId="77777777" w:rsidR="007776CF" w:rsidRPr="00765F33" w:rsidRDefault="007776CF" w:rsidP="008B4D4E">
      <w:pPr>
        <w:pStyle w:val="NormalWeb"/>
        <w:spacing w:before="0" w:beforeAutospacing="0" w:after="160" w:afterAutospacing="0" w:line="256" w:lineRule="auto"/>
        <w:rPr>
          <w:color w:val="2F5496" w:themeColor="accent1" w:themeShade="BF"/>
          <w:sz w:val="32"/>
          <w:szCs w:val="32"/>
        </w:rPr>
      </w:pPr>
    </w:p>
    <w:p w14:paraId="7E3B95AB" w14:textId="77777777" w:rsidR="008B4D4E" w:rsidRPr="004C00FC" w:rsidRDefault="008B4D4E" w:rsidP="008B4D4E">
      <w:pPr>
        <w:pStyle w:val="NormalWeb"/>
        <w:spacing w:before="0" w:beforeAutospacing="0" w:after="160" w:afterAutospacing="0" w:line="256" w:lineRule="auto"/>
        <w:rPr>
          <w:sz w:val="32"/>
          <w:szCs w:val="32"/>
        </w:rPr>
      </w:pPr>
      <w:r>
        <w:rPr>
          <w:rFonts w:ascii="Calibri" w:hAnsi="Calibri"/>
          <w:color w:val="2F5496"/>
          <w:sz w:val="32"/>
        </w:rPr>
        <w:t> </w:t>
      </w:r>
    </w:p>
    <w:p w14:paraId="4EE9C478" w14:textId="459414D8" w:rsidR="008B4D4E" w:rsidRPr="004C00FC" w:rsidRDefault="009B097B" w:rsidP="00651111">
      <w:pPr>
        <w:pStyle w:val="NormalWeb"/>
        <w:spacing w:before="0" w:beforeAutospacing="0" w:after="160" w:afterAutospacing="0" w:line="256" w:lineRule="auto"/>
        <w:rPr>
          <w:sz w:val="32"/>
          <w:szCs w:val="32"/>
        </w:rPr>
      </w:pPr>
      <w:r>
        <w:rPr>
          <w:rFonts w:ascii="Calibri" w:hAnsi="Calibri"/>
          <w:color w:val="000000" w:themeColor="text1"/>
          <w:sz w:val="32"/>
        </w:rPr>
        <w:lastRenderedPageBreak/>
        <w:t>Os municípios têm até dois anos para protocolar o NOI conforme 15.215(2)(c)?</w:t>
      </w:r>
    </w:p>
    <w:p w14:paraId="79231977" w14:textId="776B7FDC" w:rsidR="008B4D4E" w:rsidRDefault="008B4D4E"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sz w:val="32"/>
        </w:rPr>
        <w:t>Sim, o período de apresentação do NOI é de 07/07/2023 a 07/07/2025 para as bacias hidrográficas de Cape Cod com um TMDL de nitrogênio de 07/07/2023; e de 29/09/2023 a 29/09/2025 para a bacia hidrográfica do Porto de Wellfleet.</w:t>
      </w:r>
    </w:p>
    <w:p w14:paraId="412AFA5E" w14:textId="77777777" w:rsidR="006C591A" w:rsidRPr="004C00FC" w:rsidRDefault="006C591A" w:rsidP="008B4D4E">
      <w:pPr>
        <w:pStyle w:val="NormalWeb"/>
        <w:spacing w:before="0" w:beforeAutospacing="0" w:after="160" w:afterAutospacing="0" w:line="256" w:lineRule="auto"/>
        <w:rPr>
          <w:sz w:val="32"/>
          <w:szCs w:val="32"/>
        </w:rPr>
      </w:pPr>
    </w:p>
    <w:p w14:paraId="2309699F" w14:textId="33BE9ECD" w:rsidR="008B4D4E" w:rsidRPr="004C00FC" w:rsidRDefault="008B4D4E" w:rsidP="4C3F6376">
      <w:pPr>
        <w:pStyle w:val="NormalWeb"/>
        <w:spacing w:before="0" w:beforeAutospacing="0" w:after="160" w:afterAutospacing="0" w:line="256" w:lineRule="auto"/>
        <w:rPr>
          <w:sz w:val="32"/>
          <w:szCs w:val="32"/>
        </w:rPr>
      </w:pPr>
      <w:r>
        <w:rPr>
          <w:rFonts w:ascii="Calibri" w:hAnsi="Calibri"/>
          <w:color w:val="000000" w:themeColor="text1"/>
          <w:sz w:val="32"/>
        </w:rPr>
        <w:t>Como um município ou Conselho de saúde local (LBOH) deve abordar novos projetos de construção que necessitem de licenciamento no período de (até) 1 ano e meio em relação ao prazo de seis meses para novas construções e o prazo de 2 anos para a apresentação do NOI?</w:t>
      </w:r>
    </w:p>
    <w:p w14:paraId="3B25C9E9" w14:textId="07111831" w:rsidR="008B4D4E" w:rsidRPr="004C00FC" w:rsidRDefault="00A70F94" w:rsidP="00651111">
      <w:pPr>
        <w:pStyle w:val="NormalWeb"/>
        <w:spacing w:before="0" w:beforeAutospacing="0" w:after="160" w:afterAutospacing="0" w:line="256" w:lineRule="auto"/>
        <w:rPr>
          <w:sz w:val="32"/>
          <w:szCs w:val="32"/>
        </w:rPr>
      </w:pPr>
      <w:r>
        <w:rPr>
          <w:rFonts w:ascii="Calibri" w:hAnsi="Calibri"/>
          <w:color w:val="2F5496" w:themeColor="accent1" w:themeShade="BF"/>
          <w:sz w:val="32"/>
        </w:rPr>
        <w:t xml:space="preserve">O Departamento prorrogou o prazo para que qualquer nova construção em Cape Cod em áreas designadas como NRNSAs possa instalar BANRT até 8 de julho de 2024. </w:t>
      </w:r>
      <w:r>
        <w:rPr>
          <w:rFonts w:ascii="Calibri" w:hAnsi="Calibri"/>
          <w:color w:val="2F5496"/>
          <w:sz w:val="32"/>
        </w:rPr>
        <w:t>Os requerimentos recebidos pelo LBOH a partir dessa data devem incorporar BANRT no projeto do sistema séptico, a menos que o município tenha protocolado um NOI, um requerimento de licença de bacia hidrográfica ou de carga mínima.</w:t>
      </w:r>
    </w:p>
    <w:p w14:paraId="33BFBE9F" w14:textId="77777777"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rPr>
        <w:t>A apresentação de qualquer um destes requerimentos suspenderá a exigência de instalação de BANRT tanto para novas construções quanto para instalações existentes.</w:t>
      </w:r>
    </w:p>
    <w:p w14:paraId="5E009E78" w14:textId="77777777" w:rsidR="008B4D4E" w:rsidRDefault="008B4D4E" w:rsidP="008B4D4E">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sz w:val="32"/>
        </w:rPr>
        <w:t>  </w:t>
      </w:r>
    </w:p>
    <w:p w14:paraId="58CC5116" w14:textId="24B86D9B"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000000" w:themeColor="text1"/>
          <w:sz w:val="32"/>
        </w:rPr>
        <w:t>Um município</w:t>
      </w:r>
      <w:r w:rsidR="00A42D12">
        <w:rPr>
          <w:rFonts w:ascii="Calibri" w:hAnsi="Calibri"/>
          <w:color w:val="000000" w:themeColor="text1"/>
          <w:sz w:val="32"/>
        </w:rPr>
        <w:t xml:space="preserve"> precisa</w:t>
      </w:r>
      <w:r>
        <w:rPr>
          <w:rFonts w:ascii="Calibri" w:hAnsi="Calibri"/>
          <w:color w:val="000000" w:themeColor="text1"/>
          <w:sz w:val="32"/>
        </w:rPr>
        <w:t xml:space="preserve"> protocolar o NOI até 7 de janeiro de 2024, para evitar que novas construções tenham que instalar BANRT? </w:t>
      </w:r>
    </w:p>
    <w:p w14:paraId="5835D7F8" w14:textId="694FD2AC" w:rsidR="002E6BE9" w:rsidRDefault="00396544"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themeColor="accent1" w:themeShade="BF"/>
          <w:sz w:val="32"/>
        </w:rPr>
        <w:t xml:space="preserve">O Departamento prorrogou o prazo para 8 de julho de 2024 para que qualquer nova construção em Cape Cod possa instalar BANRT em áreas designadas como NRNSAs. </w:t>
      </w:r>
      <w:r>
        <w:rPr>
          <w:rFonts w:ascii="Calibri" w:hAnsi="Calibri"/>
          <w:color w:val="2F5496"/>
          <w:sz w:val="32"/>
        </w:rPr>
        <w:t>Esta extensão aplica-se a todas as bacias hidrográficas designadas pela NRNSA em Cape Cod.</w:t>
      </w:r>
    </w:p>
    <w:p w14:paraId="02E0BD60" w14:textId="3707DFEB" w:rsidR="007F17F9" w:rsidRDefault="007F17F9"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hAnsi="Calibri"/>
          <w:color w:val="2F5496"/>
          <w:sz w:val="32"/>
        </w:rPr>
        <w:lastRenderedPageBreak/>
        <w:t>Um município precisa requerer um NOI, licença de bacia hidrográfica ou requerimento de carga mínima antes dessa data para manter a exigência de novas construções.</w:t>
      </w:r>
    </w:p>
    <w:p w14:paraId="4BCFC4E5" w14:textId="046D1AAA" w:rsidR="008B4D4E" w:rsidRPr="004C00FC" w:rsidRDefault="00413B52" w:rsidP="761170B6">
      <w:pPr>
        <w:pStyle w:val="NormalWeb"/>
        <w:spacing w:before="0" w:beforeAutospacing="0" w:after="160" w:afterAutospacing="0" w:line="256" w:lineRule="auto"/>
        <w:rPr>
          <w:sz w:val="32"/>
          <w:szCs w:val="32"/>
        </w:rPr>
      </w:pPr>
      <w:r>
        <w:rPr>
          <w:rFonts w:ascii="Calibri" w:hAnsi="Calibri"/>
          <w:color w:val="000000" w:themeColor="text1"/>
          <w:sz w:val="32"/>
        </w:rPr>
        <w:t xml:space="preserve">Há exigências/recomendações para que as propriedades instalem BANRT durante o período de NOI para atender as exigências futuras da licença de bacia hidrográfica. </w:t>
      </w:r>
    </w:p>
    <w:p w14:paraId="7CC17355" w14:textId="2D7E32FE"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rPr>
        <w:t xml:space="preserve">Para novas construções, se não houver requerimento de NOI, de licença de bacia hidrográfica ou de carga mínima que abranja a área onde o sistema estará localizado até 8 de julho de 2024, o </w:t>
      </w:r>
      <w:r>
        <w:rPr>
          <w:rFonts w:ascii="Calibri" w:hAnsi="Calibri"/>
          <w:color w:val="2F5496" w:themeColor="accent1" w:themeShade="BF"/>
          <w:sz w:val="32"/>
        </w:rPr>
        <w:t xml:space="preserve">proprietário </w:t>
      </w:r>
      <w:r>
        <w:rPr>
          <w:rFonts w:ascii="Calibri" w:hAnsi="Calibri"/>
          <w:color w:val="2F5496"/>
          <w:sz w:val="32"/>
        </w:rPr>
        <w:t>precisará instalar BANRT.</w:t>
      </w:r>
    </w:p>
    <w:p w14:paraId="24728488" w14:textId="452FF2B5"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rPr>
        <w:t>Para as instalações existentes, a exigência de instalação de BANRT começará em 08/07/2025 ou 29/09/2025, dependendo da bacia hidrográfica de NRNSA em que a instalação esteja localizada.</w:t>
      </w:r>
    </w:p>
    <w:p w14:paraId="58532A99" w14:textId="058470EC" w:rsidR="008B4D4E" w:rsidRPr="004C00FC" w:rsidRDefault="00BA3694" w:rsidP="00651111">
      <w:pPr>
        <w:pStyle w:val="NormalWeb"/>
        <w:spacing w:before="0" w:beforeAutospacing="0" w:after="160" w:afterAutospacing="0" w:line="256" w:lineRule="auto"/>
        <w:rPr>
          <w:sz w:val="32"/>
          <w:szCs w:val="32"/>
        </w:rPr>
      </w:pPr>
      <w:r>
        <w:rPr>
          <w:rFonts w:ascii="Calibri" w:hAnsi="Calibri"/>
          <w:color w:val="2F5496"/>
          <w:sz w:val="32"/>
        </w:rPr>
        <w:t xml:space="preserve">As instalações existentes que precisarem atualizar/substituir seu sistema antes desse período (ou seja, falha do sistema) devem trabalhar com o município e o BOH local para determinar a atualização mais adequada para o sistema. </w:t>
      </w:r>
    </w:p>
    <w:p w14:paraId="09961D95" w14:textId="1DFA047D"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rPr>
        <w:t>Determinar se um município tentará obter uma licença de bacia hidrográfica e como a área em que o sistema está localizado será abordada nesta licença pode ajudar a determinar que tipo de sistema deve ser instalado.</w:t>
      </w:r>
    </w:p>
    <w:p w14:paraId="5EF9831E" w14:textId="03C4BC60"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rPr>
        <w:t>Se um município tiver uma lei/regulamentação que exija a instalação de sistemas de I/A independentemente das exigências de atualização do Título 5 de BANRT, ela deverá ser cumprida conforme orientado pelo LBOH.</w:t>
      </w:r>
    </w:p>
    <w:p w14:paraId="5742D4F5" w14:textId="6F31629E" w:rsidR="001B26D5" w:rsidRDefault="008B4D4E" w:rsidP="00651111">
      <w:pPr>
        <w:pStyle w:val="NormalWeb"/>
        <w:spacing w:before="0" w:beforeAutospacing="0" w:after="160" w:afterAutospacing="0" w:line="256" w:lineRule="auto"/>
        <w:rPr>
          <w:sz w:val="32"/>
          <w:szCs w:val="32"/>
        </w:rPr>
      </w:pPr>
      <w:r>
        <w:rPr>
          <w:rFonts w:ascii="Calibri" w:hAnsi="Calibri"/>
          <w:color w:val="2F5496"/>
          <w:sz w:val="32"/>
        </w:rPr>
        <w:t xml:space="preserve">É importante observar que o Título 5 oferece uma isenção das exigências de atualização de BANRT para unidades que instalaram </w:t>
      </w:r>
      <w:r>
        <w:rPr>
          <w:rFonts w:ascii="Calibri" w:hAnsi="Calibri"/>
          <w:color w:val="2F5496"/>
          <w:sz w:val="32"/>
        </w:rPr>
        <w:lastRenderedPageBreak/>
        <w:t xml:space="preserve">sistemas aprimorados de remoção de nitrogênio até dez anos antes da data de vigência dos requisitos de atualização de BANRT. </w:t>
      </w:r>
    </w:p>
    <w:p w14:paraId="4E3031CE" w14:textId="54A13FBB" w:rsidR="008B4D4E" w:rsidRPr="004C00FC" w:rsidRDefault="00982CA2" w:rsidP="00651111">
      <w:pPr>
        <w:pStyle w:val="NormalWeb"/>
        <w:spacing w:before="0" w:beforeAutospacing="0" w:after="160" w:afterAutospacing="0" w:line="256" w:lineRule="auto"/>
        <w:rPr>
          <w:sz w:val="32"/>
          <w:szCs w:val="32"/>
        </w:rPr>
      </w:pPr>
      <w:r>
        <w:rPr>
          <w:rFonts w:ascii="Calibri" w:hAnsi="Calibri"/>
          <w:color w:val="000000" w:themeColor="text1"/>
          <w:sz w:val="32"/>
        </w:rPr>
        <w:t xml:space="preserve">Qual é o status da melhor tecnologia disponível e quais são os sistemas de I/A aprovados? </w:t>
      </w:r>
    </w:p>
    <w:p w14:paraId="29F399CB" w14:textId="4916DE59" w:rsidR="008B4D4E" w:rsidRPr="004C00FC" w:rsidRDefault="008B4D4E" w:rsidP="00651111">
      <w:pPr>
        <w:pStyle w:val="NormalWeb"/>
        <w:spacing w:before="0" w:beforeAutospacing="0" w:after="160" w:afterAutospacing="0" w:line="256" w:lineRule="auto"/>
        <w:rPr>
          <w:sz w:val="32"/>
          <w:szCs w:val="32"/>
        </w:rPr>
      </w:pPr>
      <w:r>
        <w:rPr>
          <w:rFonts w:ascii="Calibri" w:hAnsi="Calibri"/>
          <w:color w:val="2F5496"/>
          <w:sz w:val="32"/>
        </w:rPr>
        <w:t>O Departamento está analisando atualmente tecnologias aprimoradas de redução de nitrogênio e publicará aqui uma lista de todas as tecnologias de BANRT e quaisquer alterações:</w:t>
      </w:r>
    </w:p>
    <w:p w14:paraId="015FDCC3" w14:textId="77777777" w:rsidR="008B4D4E" w:rsidRPr="004C00FC" w:rsidRDefault="008B4D4E" w:rsidP="008B4D4E">
      <w:pPr>
        <w:pStyle w:val="NormalWeb"/>
        <w:spacing w:before="0" w:beforeAutospacing="0" w:after="160" w:afterAutospacing="0" w:line="256" w:lineRule="auto"/>
        <w:rPr>
          <w:sz w:val="32"/>
          <w:szCs w:val="32"/>
        </w:rPr>
      </w:pPr>
      <w:r>
        <w:rPr>
          <w:rFonts w:ascii="Calibri" w:hAnsi="Calibri"/>
          <w:color w:val="2F5496"/>
          <w:sz w:val="32"/>
        </w:rPr>
        <w:t xml:space="preserve"> </w:t>
      </w:r>
      <w:r>
        <w:rPr>
          <w:rFonts w:ascii="Calibri" w:hAnsi="Calibri"/>
          <w:color w:val="2F5496"/>
          <w:sz w:val="32"/>
        </w:rPr>
        <w:tab/>
      </w:r>
      <w:hyperlink r:id="rId10" w:history="1">
        <w:r>
          <w:rPr>
            <w:rStyle w:val="Hyperlink"/>
            <w:rFonts w:ascii="Calibri" w:hAnsi="Calibri"/>
            <w:sz w:val="32"/>
          </w:rPr>
          <w:t>Tecnologias inovadoras/alternativas aprovadas no Título 5 | Mass.gov</w:t>
        </w:r>
      </w:hyperlink>
    </w:p>
    <w:p w14:paraId="34841912" w14:textId="77777777" w:rsidR="00411DEF" w:rsidRDefault="00411DEF" w:rsidP="008B4D4E">
      <w:pPr>
        <w:pStyle w:val="NormalWeb"/>
        <w:spacing w:before="0" w:beforeAutospacing="0" w:after="0" w:afterAutospacing="0"/>
        <w:rPr>
          <w:rFonts w:ascii="Calibri" w:eastAsia="Calibri" w:hAnsi="Calibri"/>
          <w:color w:val="000000" w:themeColor="text1"/>
          <w:kern w:val="2"/>
          <w:sz w:val="32"/>
          <w:szCs w:val="32"/>
        </w:rPr>
      </w:pPr>
    </w:p>
    <w:p w14:paraId="5763A2F5" w14:textId="73844B5D" w:rsidR="00E6698E" w:rsidRDefault="008B4D4E" w:rsidP="00DB4593">
      <w:pPr>
        <w:pStyle w:val="NormalWeb"/>
        <w:spacing w:before="0" w:beforeAutospacing="0" w:after="0" w:afterAutospacing="0"/>
        <w:rPr>
          <w:rFonts w:ascii="Calibri" w:eastAsia="Calibri" w:hAnsi="Calibri"/>
          <w:color w:val="000000" w:themeColor="text1"/>
          <w:kern w:val="2"/>
          <w:sz w:val="32"/>
          <w:szCs w:val="32"/>
        </w:rPr>
      </w:pPr>
      <w:r>
        <w:rPr>
          <w:rFonts w:ascii="Calibri" w:hAnsi="Calibri"/>
          <w:color w:val="000000" w:themeColor="text1"/>
          <w:sz w:val="32"/>
        </w:rPr>
        <w:t>As revisões do Título 5 e as regulamentações da licença de bacia hidrográfica abordam a deterioração da água</w:t>
      </w:r>
      <w:r w:rsidR="005668C9">
        <w:rPr>
          <w:rFonts w:ascii="Calibri" w:hAnsi="Calibri"/>
          <w:color w:val="000000" w:themeColor="text1"/>
          <w:sz w:val="32"/>
        </w:rPr>
        <w:t xml:space="preserve"> doce</w:t>
      </w:r>
      <w:r>
        <w:rPr>
          <w:rFonts w:ascii="Calibri" w:hAnsi="Calibri"/>
          <w:color w:val="000000" w:themeColor="text1"/>
          <w:sz w:val="32"/>
        </w:rPr>
        <w:t xml:space="preserve">? </w:t>
      </w:r>
    </w:p>
    <w:p w14:paraId="6370BA79" w14:textId="77777777" w:rsidR="00E6698E" w:rsidRDefault="00E6698E" w:rsidP="008B4D4E">
      <w:pPr>
        <w:pStyle w:val="NormalWeb"/>
        <w:spacing w:before="0" w:beforeAutospacing="0" w:after="0" w:afterAutospacing="0"/>
        <w:rPr>
          <w:rFonts w:ascii="Calibri" w:eastAsia="Calibri" w:hAnsi="Calibri"/>
          <w:color w:val="000000" w:themeColor="text1"/>
          <w:kern w:val="2"/>
          <w:sz w:val="32"/>
          <w:szCs w:val="32"/>
        </w:rPr>
      </w:pPr>
    </w:p>
    <w:p w14:paraId="55A4DA6A" w14:textId="2F4062FC" w:rsidR="008B4D4E" w:rsidRPr="004C00FC" w:rsidRDefault="008B4D4E" w:rsidP="00651111">
      <w:pPr>
        <w:pStyle w:val="NormalWeb"/>
        <w:spacing w:before="0" w:beforeAutospacing="0" w:after="0" w:afterAutospacing="0"/>
        <w:rPr>
          <w:sz w:val="32"/>
          <w:szCs w:val="32"/>
        </w:rPr>
      </w:pPr>
      <w:r>
        <w:rPr>
          <w:rFonts w:ascii="Calibri" w:hAnsi="Calibri"/>
          <w:color w:val="2F5496"/>
          <w:sz w:val="32"/>
        </w:rPr>
        <w:t xml:space="preserve">Os municípios podem incorporar medidas para abordar a questão da água </w:t>
      </w:r>
      <w:r w:rsidR="005668C9">
        <w:rPr>
          <w:rFonts w:ascii="Calibri" w:hAnsi="Calibri"/>
          <w:color w:val="2F5496"/>
          <w:sz w:val="32"/>
        </w:rPr>
        <w:t xml:space="preserve">doce </w:t>
      </w:r>
      <w:r>
        <w:rPr>
          <w:rFonts w:ascii="Calibri" w:hAnsi="Calibri"/>
          <w:color w:val="2F5496"/>
          <w:sz w:val="32"/>
        </w:rPr>
        <w:t>em seu Plano abrangente de gestão de águas residuais (CWMP) e solicitar a incorporação de CWMP em sua licença de bacia hidrográfica.</w:t>
      </w:r>
    </w:p>
    <w:p w14:paraId="71785045" w14:textId="52EDD61B" w:rsidR="018082FB" w:rsidRDefault="018082FB" w:rsidP="018082FB">
      <w:pPr>
        <w:pStyle w:val="NormalWeb"/>
        <w:spacing w:before="0" w:beforeAutospacing="0" w:after="0" w:afterAutospacing="0"/>
        <w:rPr>
          <w:rFonts w:ascii="Calibri" w:eastAsia="Calibri" w:hAnsi="Calibri"/>
          <w:color w:val="2F5496" w:themeColor="accent1" w:themeShade="BF"/>
          <w:sz w:val="32"/>
          <w:szCs w:val="32"/>
        </w:rPr>
      </w:pPr>
    </w:p>
    <w:p w14:paraId="6F029BE3" w14:textId="7D70D9B9" w:rsidR="004C00FC" w:rsidRDefault="008410B0" w:rsidP="00D632DC">
      <w:pPr>
        <w:pStyle w:val="m-9107718623219472439msolistparagraph"/>
        <w:rPr>
          <w:sz w:val="32"/>
        </w:rPr>
      </w:pPr>
      <w:r>
        <w:rPr>
          <w:sz w:val="32"/>
        </w:rPr>
        <w:t>Segundo 15.215(4): O proprietário de um sistema ou sistema proposto deve verificar se a instalação está em uma área designada como sensível ao nitrogênio. O Departamento preparará e disponibilizará mapas em seu site que identificam as NRNSAs designadas no estado. Antes de qualquer transferência da propriedade onde a instalação está localizada, o cedente deverá informar ao cessionário e ao Conselho de saúde se a unidade está sujeita a uma atualização que exija a Melhor tecnologia de redução de nitrogênio disponível, conforme estabelecido em 310 CMR 15.215.</w:t>
      </w:r>
    </w:p>
    <w:p w14:paraId="511F4B71" w14:textId="77777777" w:rsidR="00236C74" w:rsidRPr="004C00FC" w:rsidRDefault="00236C74" w:rsidP="00D632DC">
      <w:pPr>
        <w:pStyle w:val="m-9107718623219472439msolistparagraph"/>
        <w:rPr>
          <w:rFonts w:eastAsia="Times New Roman"/>
          <w:sz w:val="32"/>
          <w:szCs w:val="32"/>
        </w:rPr>
      </w:pPr>
    </w:p>
    <w:p w14:paraId="2FBAFF64" w14:textId="77777777" w:rsidR="004C00FC" w:rsidRPr="004C00FC" w:rsidRDefault="004C00FC" w:rsidP="00DB4593">
      <w:pPr>
        <w:pStyle w:val="m-9107718623219472439msolistparagraph"/>
        <w:rPr>
          <w:rFonts w:eastAsia="Times New Roman"/>
          <w:sz w:val="32"/>
          <w:szCs w:val="32"/>
        </w:rPr>
      </w:pPr>
      <w:r>
        <w:rPr>
          <w:sz w:val="32"/>
        </w:rPr>
        <w:lastRenderedPageBreak/>
        <w:t xml:space="preserve">O termo "se" na frase final do CMR 15.215(4) significa que a divulgação é necessária somente se a instalação estiver sujeita a uma atualização?  </w:t>
      </w:r>
    </w:p>
    <w:p w14:paraId="33E464B6" w14:textId="03416942" w:rsidR="004C00FC" w:rsidRDefault="00E6698E" w:rsidP="00975E98">
      <w:pPr>
        <w:pStyle w:val="m-9107718623219472439msolistparagraph"/>
        <w:rPr>
          <w:rFonts w:eastAsia="Times New Roman"/>
          <w:color w:val="2F5496" w:themeColor="accent1" w:themeShade="BF"/>
          <w:sz w:val="32"/>
          <w:szCs w:val="32"/>
        </w:rPr>
      </w:pPr>
      <w:r>
        <w:rPr>
          <w:color w:val="2F5496" w:themeColor="accent1" w:themeShade="BF"/>
          <w:sz w:val="32"/>
        </w:rPr>
        <w:t>A divulgação deve indicar se a instalação está ou não sujeita a uma atualização. Isso será determinado com base na localização do sistema e no fato de o município ter protocolado um NOI, licença de bacia hidrográfica ou licença de carga mínima. O Departamento publicará uma lista dos requerimentos recebidos aqui: [insert link]</w:t>
      </w:r>
    </w:p>
    <w:p w14:paraId="54195B64" w14:textId="77777777" w:rsidR="00D00DDE" w:rsidRDefault="00C830AD" w:rsidP="00975E98">
      <w:pPr>
        <w:pStyle w:val="m-9107718623219472439msolistparagraph"/>
        <w:rPr>
          <w:color w:val="2F5496" w:themeColor="accent1" w:themeShade="BF"/>
          <w:sz w:val="32"/>
          <w:szCs w:val="32"/>
        </w:rPr>
      </w:pPr>
      <w:r>
        <w:rPr>
          <w:color w:val="2F5496" w:themeColor="accent1" w:themeShade="BF"/>
          <w:sz w:val="32"/>
        </w:rPr>
        <w:t xml:space="preserve">Além disso, os regulamentos exigem que a parte que tenha protocolado o NOI, requerimento de licença de bacia hidrográfica ou de carga mínima publique um aviso dessa solicitação no Monitor ambiental, no sistema de notificação e site da Prefeitura e em um jornal local com o maior número de leitores na área afetada. </w:t>
      </w:r>
    </w:p>
    <w:p w14:paraId="2C0C4473" w14:textId="2591593E" w:rsidR="000655E1" w:rsidRDefault="00634CE9" w:rsidP="00975E98">
      <w:pPr>
        <w:pStyle w:val="m-9107718623219472439msolistparagraph"/>
        <w:rPr>
          <w:color w:val="2F5496" w:themeColor="accent1" w:themeShade="BF"/>
          <w:sz w:val="32"/>
          <w:szCs w:val="32"/>
        </w:rPr>
      </w:pPr>
      <w:r>
        <w:rPr>
          <w:color w:val="2F5496" w:themeColor="accent1" w:themeShade="BF"/>
          <w:sz w:val="32"/>
        </w:rPr>
        <w:t>Além disso, se a área incluir uma População de Justiça ambiental, o aviso também deve ser traduzido e publicado em pelo menos uma organização adicional de notícias que atenda esta população.</w:t>
      </w:r>
    </w:p>
    <w:p w14:paraId="6E1D7B29" w14:textId="4ABB9BFA" w:rsidR="00D00DDE" w:rsidRDefault="00F14B59" w:rsidP="00975E98">
      <w:pPr>
        <w:pStyle w:val="m-9107718623219472439msolistparagraph"/>
        <w:rPr>
          <w:color w:val="2F5496" w:themeColor="accent1" w:themeShade="BF"/>
          <w:sz w:val="32"/>
          <w:szCs w:val="32"/>
        </w:rPr>
      </w:pPr>
      <w:r>
        <w:rPr>
          <w:color w:val="2F5496" w:themeColor="accent1" w:themeShade="BF"/>
          <w:sz w:val="32"/>
        </w:rPr>
        <w:t>O Visualizador do mapa de Justiça ambiental pode ser encontrado aqui:</w:t>
      </w:r>
    </w:p>
    <w:p w14:paraId="3FC2E02E" w14:textId="1C906898" w:rsidR="00956E91" w:rsidRPr="00F14B59" w:rsidRDefault="00000000" w:rsidP="00975E98">
      <w:pPr>
        <w:pStyle w:val="m-9107718623219472439msolistparagraph"/>
        <w:rPr>
          <w:color w:val="2F5496" w:themeColor="accent1" w:themeShade="BF"/>
          <w:sz w:val="32"/>
          <w:szCs w:val="32"/>
        </w:rPr>
      </w:pPr>
      <w:hyperlink r:id="rId11" w:history="1">
        <w:r w:rsidR="000922F8">
          <w:rPr>
            <w:rStyle w:val="Hyperlink"/>
            <w:sz w:val="32"/>
          </w:rPr>
          <w:t>Populações de Justiça ambiental de Massachusetts | Mass.gov</w:t>
        </w:r>
      </w:hyperlink>
    </w:p>
    <w:p w14:paraId="66AA827C" w14:textId="7A0BDBE0" w:rsidR="004C00FC" w:rsidRPr="004C00FC" w:rsidRDefault="004C00FC" w:rsidP="007206D8">
      <w:pPr>
        <w:pStyle w:val="m-9107718623219472439msolistparagraph"/>
        <w:spacing w:after="0" w:afterAutospacing="0"/>
        <w:rPr>
          <w:rFonts w:eastAsia="Times New Roman"/>
          <w:sz w:val="32"/>
          <w:szCs w:val="32"/>
        </w:rPr>
      </w:pPr>
      <w:r>
        <w:rPr>
          <w:sz w:val="32"/>
        </w:rPr>
        <w:t xml:space="preserve">Como ocorre a divulgação para um LBOH? </w:t>
      </w:r>
    </w:p>
    <w:p w14:paraId="092E4D6A" w14:textId="53CA2822" w:rsidR="005B3F73" w:rsidRDefault="00A93B7B" w:rsidP="00A03A81">
      <w:pPr>
        <w:pStyle w:val="m-9107718623219472439msolistparagraph"/>
        <w:spacing w:after="0" w:afterAutospacing="0"/>
        <w:rPr>
          <w:rFonts w:eastAsia="Times New Roman"/>
          <w:color w:val="2F5496" w:themeColor="accent1" w:themeShade="BF"/>
          <w:sz w:val="32"/>
          <w:szCs w:val="32"/>
        </w:rPr>
      </w:pPr>
      <w:r>
        <w:rPr>
          <w:color w:val="2F5496" w:themeColor="accent1" w:themeShade="BF"/>
          <w:sz w:val="32"/>
        </w:rPr>
        <w:t>O Departamento criou um modelo para o requisito de divulgação que pode ser encontrado aqui: [insert link]</w:t>
      </w:r>
    </w:p>
    <w:p w14:paraId="365CAA16" w14:textId="505C92E1" w:rsidR="004C00FC" w:rsidRDefault="009B54BD" w:rsidP="00A03A81">
      <w:pPr>
        <w:pStyle w:val="m-9107718623219472439msolistparagraph"/>
        <w:spacing w:after="0" w:afterAutospacing="0"/>
        <w:rPr>
          <w:color w:val="2F5496" w:themeColor="accent1" w:themeShade="BF"/>
          <w:sz w:val="32"/>
        </w:rPr>
      </w:pPr>
      <w:r>
        <w:rPr>
          <w:color w:val="2F5496" w:themeColor="accent1" w:themeShade="BF"/>
          <w:sz w:val="32"/>
        </w:rPr>
        <w:t>Deve ser assinado pela entidade que transferir a titularidade da propriedade da instalação, pela entidade para a qual esteja sendo transferida e uma cópia da divulgação deve ser enviada ao LBOH. Há um espaço no modelo de formulário para confirmação de recebimento por meio da assinatura do LBOH. O LBOH pode utilizar este modelo ou desenvolver o seu próprio modelo de divulgação.</w:t>
      </w:r>
    </w:p>
    <w:p w14:paraId="73E368B7" w14:textId="77777777" w:rsidR="007776CF" w:rsidRDefault="007776CF" w:rsidP="00A03A81">
      <w:pPr>
        <w:pStyle w:val="m-9107718623219472439msolistparagraph"/>
        <w:spacing w:after="0" w:afterAutospacing="0"/>
        <w:rPr>
          <w:color w:val="2F5496" w:themeColor="accent1" w:themeShade="BF"/>
          <w:sz w:val="32"/>
        </w:rPr>
      </w:pPr>
    </w:p>
    <w:p w14:paraId="6DA2F449" w14:textId="77777777" w:rsidR="007776CF" w:rsidRDefault="007776CF" w:rsidP="00A03A81">
      <w:pPr>
        <w:pStyle w:val="m-9107718623219472439msolistparagraph"/>
        <w:spacing w:after="0" w:afterAutospacing="0"/>
        <w:rPr>
          <w:rFonts w:eastAsia="Times New Roman"/>
          <w:color w:val="2F5496" w:themeColor="accent1" w:themeShade="BF"/>
          <w:sz w:val="32"/>
          <w:szCs w:val="32"/>
        </w:rPr>
      </w:pPr>
    </w:p>
    <w:p w14:paraId="42085C5B" w14:textId="6800CB30" w:rsidR="004C00FC" w:rsidRPr="004C00FC" w:rsidRDefault="004C00FC" w:rsidP="001A20C9">
      <w:pPr>
        <w:pStyle w:val="m-9107718623219472439msolistparagraph"/>
        <w:spacing w:after="0" w:afterAutospacing="0"/>
        <w:rPr>
          <w:rFonts w:eastAsia="Times New Roman"/>
          <w:sz w:val="32"/>
          <w:szCs w:val="32"/>
        </w:rPr>
      </w:pPr>
      <w:r>
        <w:rPr>
          <w:sz w:val="32"/>
        </w:rPr>
        <w:t xml:space="preserve">Isto poderia ser incorporado no relatório de inspeção do Título 5? </w:t>
      </w:r>
    </w:p>
    <w:p w14:paraId="55CBE347" w14:textId="63DA402A" w:rsidR="004C00FC" w:rsidRPr="004C00FC" w:rsidRDefault="004C00FC" w:rsidP="001A20C9">
      <w:pPr>
        <w:pStyle w:val="m-9107718623219472439msolistparagraph"/>
        <w:spacing w:after="0" w:afterAutospacing="0"/>
        <w:rPr>
          <w:rFonts w:eastAsia="Times New Roman"/>
          <w:sz w:val="32"/>
          <w:szCs w:val="32"/>
        </w:rPr>
      </w:pPr>
      <w:r>
        <w:rPr>
          <w:color w:val="2F5496" w:themeColor="accent1" w:themeShade="BF"/>
          <w:sz w:val="32"/>
        </w:rPr>
        <w:t>Nem todas as transferências de titularidade de propriedade exigem uma inspeção. Os regulamentos do Título 5 exigem que os proprietários das instalações verifiquem se o seu sistema séptico está localizado em uma NRNSA e se uma atualização é necessária, e não os avaliadores do sistema.</w:t>
      </w:r>
    </w:p>
    <w:p w14:paraId="575C5069" w14:textId="79002685" w:rsidR="018082FB" w:rsidRDefault="018082FB" w:rsidP="018082FB">
      <w:pPr>
        <w:pStyle w:val="m-9107718623219472439msolistparagraph"/>
        <w:spacing w:after="0" w:afterAutospacing="0"/>
        <w:rPr>
          <w:rFonts w:eastAsia="Times New Roman"/>
          <w:color w:val="2F5496" w:themeColor="accent1" w:themeShade="BF"/>
          <w:sz w:val="32"/>
          <w:szCs w:val="32"/>
        </w:rPr>
      </w:pPr>
    </w:p>
    <w:p w14:paraId="1BEFEE00" w14:textId="6743F543" w:rsidR="018082FB" w:rsidRDefault="018082FB" w:rsidP="018082FB">
      <w:pPr>
        <w:pStyle w:val="m-9107718623219472439msolistparagraph"/>
        <w:spacing w:after="0" w:afterAutospacing="0"/>
        <w:rPr>
          <w:rFonts w:eastAsia="Times New Roman"/>
          <w:color w:val="2F5496" w:themeColor="accent1" w:themeShade="BF"/>
          <w:sz w:val="32"/>
          <w:szCs w:val="32"/>
        </w:rPr>
      </w:pPr>
    </w:p>
    <w:p w14:paraId="30D931A9" w14:textId="1EAA79C3" w:rsidR="004C00FC" w:rsidRPr="004C00FC" w:rsidRDefault="004C00FC" w:rsidP="001A20C9">
      <w:pPr>
        <w:pStyle w:val="m-9107718623219472439msolistparagraph"/>
        <w:spacing w:after="0" w:afterAutospacing="0"/>
        <w:rPr>
          <w:rFonts w:eastAsia="Times New Roman"/>
          <w:sz w:val="32"/>
          <w:szCs w:val="32"/>
        </w:rPr>
      </w:pPr>
      <w:r>
        <w:rPr>
          <w:sz w:val="32"/>
        </w:rPr>
        <w:t xml:space="preserve">O que é necessário para novas construções e residências existentes durante o período em que um município se enquadra em uma NRNSA, mas ainda não possui uma licença de bacia hidrográfica? </w:t>
      </w:r>
    </w:p>
    <w:p w14:paraId="1752F8E3" w14:textId="1BF18346" w:rsidR="004C00FC" w:rsidRPr="004C00FC" w:rsidRDefault="004C00FC" w:rsidP="001A20C9">
      <w:pPr>
        <w:pStyle w:val="m-9107718623219472439msolistparagraph"/>
        <w:spacing w:after="0" w:afterAutospacing="0"/>
        <w:rPr>
          <w:rFonts w:eastAsia="Times New Roman"/>
          <w:sz w:val="32"/>
          <w:szCs w:val="32"/>
        </w:rPr>
      </w:pPr>
      <w:r>
        <w:rPr>
          <w:color w:val="2F5496" w:themeColor="accent1" w:themeShade="BF"/>
          <w:sz w:val="32"/>
        </w:rPr>
        <w:t>Se nenhum NOI, requerimento de licença de bacia hidrográfica ou de carga mínima for protocolado, a exigência da instalação de BANRT entrará em vigor em:</w:t>
      </w:r>
      <w:r>
        <w:rPr>
          <w:sz w:val="32"/>
        </w:rPr>
        <w:t xml:space="preserve"> </w:t>
      </w:r>
    </w:p>
    <w:p w14:paraId="74618AEA" w14:textId="7249724F" w:rsidR="00C93DBB" w:rsidRDefault="004C00FC" w:rsidP="00C93DBB">
      <w:pPr>
        <w:pStyle w:val="m-9107718623219472439msolistparagraph"/>
        <w:spacing w:after="0" w:afterAutospacing="0"/>
        <w:ind w:left="720"/>
        <w:rPr>
          <w:rFonts w:eastAsia="Times New Roman"/>
          <w:color w:val="2F5496" w:themeColor="accent1" w:themeShade="BF"/>
          <w:sz w:val="32"/>
          <w:szCs w:val="32"/>
        </w:rPr>
      </w:pPr>
      <w:r>
        <w:rPr>
          <w:color w:val="2F5496" w:themeColor="accent1" w:themeShade="BF"/>
          <w:sz w:val="32"/>
        </w:rPr>
        <w:t xml:space="preserve">Para novas construções, em 8 de julho de 2024. </w:t>
      </w:r>
    </w:p>
    <w:p w14:paraId="5DEB5F46" w14:textId="314598CA" w:rsidR="00C27E28" w:rsidRDefault="004C00FC" w:rsidP="00C27E28">
      <w:pPr>
        <w:pStyle w:val="m-9107718623219472439msolistparagraph"/>
        <w:spacing w:after="0" w:afterAutospacing="0"/>
        <w:ind w:left="720"/>
        <w:rPr>
          <w:rFonts w:eastAsia="Times New Roman"/>
          <w:color w:val="2F5496" w:themeColor="accent1" w:themeShade="BF"/>
          <w:sz w:val="32"/>
          <w:szCs w:val="32"/>
        </w:rPr>
      </w:pPr>
      <w:r>
        <w:rPr>
          <w:color w:val="2F5496" w:themeColor="accent1" w:themeShade="BF"/>
          <w:sz w:val="32"/>
        </w:rPr>
        <w:t xml:space="preserve">Para sistemas existentes, 2 anos após a designação de NRNSA: </w:t>
      </w:r>
    </w:p>
    <w:p w14:paraId="72615B1F" w14:textId="37A71F9C" w:rsidR="004C00FC" w:rsidRDefault="004C00FC" w:rsidP="0045607C">
      <w:pPr>
        <w:pStyle w:val="m-9107718623219472439msolistparagraph"/>
        <w:spacing w:after="0" w:afterAutospacing="0"/>
        <w:ind w:left="1440"/>
        <w:rPr>
          <w:rFonts w:eastAsia="Times New Roman"/>
          <w:color w:val="2F5496" w:themeColor="accent1" w:themeShade="BF"/>
          <w:sz w:val="32"/>
          <w:szCs w:val="32"/>
        </w:rPr>
      </w:pPr>
      <w:r>
        <w:rPr>
          <w:color w:val="2F5496" w:themeColor="accent1" w:themeShade="BF"/>
          <w:sz w:val="32"/>
        </w:rPr>
        <w:t>08/07/2025 para bacias hidrográficas de Cape Cod designadas em 07/07/2023; ou</w:t>
      </w:r>
    </w:p>
    <w:p w14:paraId="1BF1990B" w14:textId="0130D387" w:rsidR="004C00FC" w:rsidRDefault="003D4DDE" w:rsidP="004C00FC">
      <w:pPr>
        <w:pStyle w:val="m-9107718623219472439msolistparagraph"/>
        <w:spacing w:after="0" w:afterAutospacing="0"/>
        <w:ind w:left="720" w:firstLine="720"/>
        <w:rPr>
          <w:color w:val="2F5496" w:themeColor="accent1" w:themeShade="BF"/>
          <w:sz w:val="32"/>
        </w:rPr>
      </w:pPr>
      <w:r>
        <w:rPr>
          <w:color w:val="2F5496" w:themeColor="accent1" w:themeShade="BF"/>
          <w:sz w:val="32"/>
        </w:rPr>
        <w:t>30/09/2025 para a bacia hidrográfica do Porto de Wellfleet.</w:t>
      </w:r>
    </w:p>
    <w:p w14:paraId="71439EE9" w14:textId="77777777" w:rsidR="00236C74" w:rsidRDefault="00236C74" w:rsidP="004C00FC">
      <w:pPr>
        <w:pStyle w:val="m-9107718623219472439msolistparagraph"/>
        <w:spacing w:after="0" w:afterAutospacing="0"/>
        <w:ind w:left="720" w:firstLine="720"/>
        <w:rPr>
          <w:rFonts w:eastAsia="Times New Roman"/>
          <w:color w:val="2F5496" w:themeColor="accent1" w:themeShade="BF"/>
          <w:sz w:val="32"/>
          <w:szCs w:val="32"/>
        </w:rPr>
      </w:pPr>
    </w:p>
    <w:p w14:paraId="1333BA08" w14:textId="3B28D91A" w:rsidR="000E70A4" w:rsidRPr="0045607C" w:rsidRDefault="000E70A4" w:rsidP="000E70A4">
      <w:pPr>
        <w:pStyle w:val="m-9107718623219472439msolistparagraph"/>
        <w:spacing w:after="0" w:afterAutospacing="0"/>
        <w:rPr>
          <w:rFonts w:eastAsia="Times New Roman"/>
          <w:color w:val="000000" w:themeColor="text1"/>
          <w:sz w:val="32"/>
          <w:szCs w:val="32"/>
        </w:rPr>
      </w:pPr>
      <w:r>
        <w:rPr>
          <w:color w:val="000000" w:themeColor="text1"/>
          <w:sz w:val="32"/>
        </w:rPr>
        <w:lastRenderedPageBreak/>
        <w:t>O que acontecerá se o município enviar um NOI ou protocolar uma licença de bacia hidrográfica ou uma isenção de carga mínima, mas não obtiver a licença ou a isenção?</w:t>
      </w:r>
    </w:p>
    <w:p w14:paraId="55A4DF3A" w14:textId="742C5ACA" w:rsidR="004B70F3" w:rsidRPr="0045607C" w:rsidRDefault="004B70F3" w:rsidP="0045607C">
      <w:pPr>
        <w:pStyle w:val="m-9107718623219472439msolistparagraph"/>
        <w:spacing w:after="0" w:afterAutospacing="0"/>
        <w:rPr>
          <w:rFonts w:eastAsia="Times New Roman"/>
          <w:color w:val="0070C0"/>
          <w:sz w:val="32"/>
          <w:szCs w:val="32"/>
        </w:rPr>
      </w:pPr>
      <w:r>
        <w:rPr>
          <w:color w:val="0070C0"/>
          <w:sz w:val="32"/>
        </w:rPr>
        <w:t>Se uma licença de bacia hidrográfica ou isenção de carga mínima não for emitida pelo Departamento para uma bacia, a exigência de instalação/atualização de BANRT entrará em vigor para os sistemas nessa bacia hidrográfica específica.</w:t>
      </w:r>
    </w:p>
    <w:sectPr w:rsidR="004B70F3" w:rsidRPr="0045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4681"/>
    <w:multiLevelType w:val="hybridMultilevel"/>
    <w:tmpl w:val="337EC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24AA4"/>
    <w:multiLevelType w:val="multilevel"/>
    <w:tmpl w:val="50680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7B0137"/>
    <w:multiLevelType w:val="hybridMultilevel"/>
    <w:tmpl w:val="8CEA7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639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780051">
    <w:abstractNumId w:val="2"/>
  </w:num>
  <w:num w:numId="3" w16cid:durableId="23791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4F4A58-9F87-4656-9C5A-500E982A6C07}"/>
    <w:docVar w:name="dgnword-eventsink" w:val="2808885098880"/>
  </w:docVars>
  <w:rsids>
    <w:rsidRoot w:val="008B4D4E"/>
    <w:rsid w:val="00000786"/>
    <w:rsid w:val="00014DC3"/>
    <w:rsid w:val="00042CFB"/>
    <w:rsid w:val="000535A0"/>
    <w:rsid w:val="00060BCE"/>
    <w:rsid w:val="00061B5D"/>
    <w:rsid w:val="00062418"/>
    <w:rsid w:val="000646E5"/>
    <w:rsid w:val="000655E1"/>
    <w:rsid w:val="00067986"/>
    <w:rsid w:val="00084D45"/>
    <w:rsid w:val="00085D61"/>
    <w:rsid w:val="00087AB6"/>
    <w:rsid w:val="00091E55"/>
    <w:rsid w:val="000922F8"/>
    <w:rsid w:val="00095C3F"/>
    <w:rsid w:val="000A22C1"/>
    <w:rsid w:val="000A6E77"/>
    <w:rsid w:val="000B00FB"/>
    <w:rsid w:val="000C1DE0"/>
    <w:rsid w:val="000C27B4"/>
    <w:rsid w:val="000C5347"/>
    <w:rsid w:val="000E35C9"/>
    <w:rsid w:val="000E70A4"/>
    <w:rsid w:val="00101282"/>
    <w:rsid w:val="00103DEF"/>
    <w:rsid w:val="00106C71"/>
    <w:rsid w:val="00136DA1"/>
    <w:rsid w:val="001417AE"/>
    <w:rsid w:val="00153ACA"/>
    <w:rsid w:val="00155DF3"/>
    <w:rsid w:val="00156279"/>
    <w:rsid w:val="00157803"/>
    <w:rsid w:val="00161C5E"/>
    <w:rsid w:val="001637E7"/>
    <w:rsid w:val="0017187B"/>
    <w:rsid w:val="00174385"/>
    <w:rsid w:val="00180D87"/>
    <w:rsid w:val="00184178"/>
    <w:rsid w:val="00186EEB"/>
    <w:rsid w:val="00191FC3"/>
    <w:rsid w:val="0019373C"/>
    <w:rsid w:val="00194110"/>
    <w:rsid w:val="001A068D"/>
    <w:rsid w:val="001A078D"/>
    <w:rsid w:val="001A20C9"/>
    <w:rsid w:val="001B26D5"/>
    <w:rsid w:val="001B2BF1"/>
    <w:rsid w:val="001D005B"/>
    <w:rsid w:val="001D0DCB"/>
    <w:rsid w:val="001F5F3E"/>
    <w:rsid w:val="001F7195"/>
    <w:rsid w:val="002002A1"/>
    <w:rsid w:val="0020037C"/>
    <w:rsid w:val="00207E15"/>
    <w:rsid w:val="0021000A"/>
    <w:rsid w:val="002324CF"/>
    <w:rsid w:val="00235275"/>
    <w:rsid w:val="00236C74"/>
    <w:rsid w:val="002378E8"/>
    <w:rsid w:val="00241C93"/>
    <w:rsid w:val="00244E90"/>
    <w:rsid w:val="002467A3"/>
    <w:rsid w:val="00261D09"/>
    <w:rsid w:val="0027099E"/>
    <w:rsid w:val="0027385A"/>
    <w:rsid w:val="00275272"/>
    <w:rsid w:val="00290CE3"/>
    <w:rsid w:val="00290E19"/>
    <w:rsid w:val="00297D89"/>
    <w:rsid w:val="002A54B1"/>
    <w:rsid w:val="002C1FEB"/>
    <w:rsid w:val="002E5ABE"/>
    <w:rsid w:val="002E67C0"/>
    <w:rsid w:val="002E6BE9"/>
    <w:rsid w:val="002E7FF3"/>
    <w:rsid w:val="002F22C8"/>
    <w:rsid w:val="002F3F04"/>
    <w:rsid w:val="002F5EB6"/>
    <w:rsid w:val="00316D39"/>
    <w:rsid w:val="00317913"/>
    <w:rsid w:val="0032374C"/>
    <w:rsid w:val="00324BEA"/>
    <w:rsid w:val="003423DB"/>
    <w:rsid w:val="00352043"/>
    <w:rsid w:val="003614E5"/>
    <w:rsid w:val="003656A4"/>
    <w:rsid w:val="003657E3"/>
    <w:rsid w:val="00371797"/>
    <w:rsid w:val="00374179"/>
    <w:rsid w:val="00396054"/>
    <w:rsid w:val="00396544"/>
    <w:rsid w:val="00396B53"/>
    <w:rsid w:val="003A2946"/>
    <w:rsid w:val="003B10C2"/>
    <w:rsid w:val="003B61B1"/>
    <w:rsid w:val="003C073D"/>
    <w:rsid w:val="003C27C8"/>
    <w:rsid w:val="003D4DDE"/>
    <w:rsid w:val="003E16B7"/>
    <w:rsid w:val="003F7ED8"/>
    <w:rsid w:val="00402CE7"/>
    <w:rsid w:val="00411DEF"/>
    <w:rsid w:val="00412897"/>
    <w:rsid w:val="00413B52"/>
    <w:rsid w:val="004149FD"/>
    <w:rsid w:val="0041658B"/>
    <w:rsid w:val="0042617A"/>
    <w:rsid w:val="00427632"/>
    <w:rsid w:val="0043645F"/>
    <w:rsid w:val="004416B1"/>
    <w:rsid w:val="0045607C"/>
    <w:rsid w:val="00457635"/>
    <w:rsid w:val="00461985"/>
    <w:rsid w:val="0047042C"/>
    <w:rsid w:val="00471CD8"/>
    <w:rsid w:val="0047630F"/>
    <w:rsid w:val="0048088F"/>
    <w:rsid w:val="00490F8E"/>
    <w:rsid w:val="0049369C"/>
    <w:rsid w:val="00496216"/>
    <w:rsid w:val="004A3878"/>
    <w:rsid w:val="004A6023"/>
    <w:rsid w:val="004A64E0"/>
    <w:rsid w:val="004A683F"/>
    <w:rsid w:val="004B454D"/>
    <w:rsid w:val="004B6484"/>
    <w:rsid w:val="004B70F3"/>
    <w:rsid w:val="004C00FC"/>
    <w:rsid w:val="004D57F3"/>
    <w:rsid w:val="004D5803"/>
    <w:rsid w:val="004E0326"/>
    <w:rsid w:val="004E2EFC"/>
    <w:rsid w:val="004E7EBE"/>
    <w:rsid w:val="004F0637"/>
    <w:rsid w:val="00505E85"/>
    <w:rsid w:val="00523A32"/>
    <w:rsid w:val="00540161"/>
    <w:rsid w:val="00543E54"/>
    <w:rsid w:val="00551719"/>
    <w:rsid w:val="00561E34"/>
    <w:rsid w:val="005627A9"/>
    <w:rsid w:val="005668C9"/>
    <w:rsid w:val="005716DD"/>
    <w:rsid w:val="00571F5F"/>
    <w:rsid w:val="00576686"/>
    <w:rsid w:val="00577F89"/>
    <w:rsid w:val="00584804"/>
    <w:rsid w:val="00595FC8"/>
    <w:rsid w:val="00595FFB"/>
    <w:rsid w:val="005A1486"/>
    <w:rsid w:val="005B3F73"/>
    <w:rsid w:val="005C7C9E"/>
    <w:rsid w:val="005F027B"/>
    <w:rsid w:val="00601344"/>
    <w:rsid w:val="006039BB"/>
    <w:rsid w:val="00605427"/>
    <w:rsid w:val="006130FB"/>
    <w:rsid w:val="00616A4F"/>
    <w:rsid w:val="006173D4"/>
    <w:rsid w:val="0062733D"/>
    <w:rsid w:val="00627E83"/>
    <w:rsid w:val="00634CE9"/>
    <w:rsid w:val="00636F3E"/>
    <w:rsid w:val="00640206"/>
    <w:rsid w:val="00643F02"/>
    <w:rsid w:val="006461F7"/>
    <w:rsid w:val="00650DA4"/>
    <w:rsid w:val="00651111"/>
    <w:rsid w:val="00652D4E"/>
    <w:rsid w:val="00652D98"/>
    <w:rsid w:val="00657E7D"/>
    <w:rsid w:val="00665A40"/>
    <w:rsid w:val="00672519"/>
    <w:rsid w:val="00673673"/>
    <w:rsid w:val="00680937"/>
    <w:rsid w:val="00682762"/>
    <w:rsid w:val="00685162"/>
    <w:rsid w:val="0068594A"/>
    <w:rsid w:val="00690A49"/>
    <w:rsid w:val="00691092"/>
    <w:rsid w:val="00693430"/>
    <w:rsid w:val="00695F6A"/>
    <w:rsid w:val="006A2F03"/>
    <w:rsid w:val="006A7F01"/>
    <w:rsid w:val="006C0425"/>
    <w:rsid w:val="006C591A"/>
    <w:rsid w:val="006C6FEF"/>
    <w:rsid w:val="006C7635"/>
    <w:rsid w:val="006E3979"/>
    <w:rsid w:val="006E3BD3"/>
    <w:rsid w:val="006E564C"/>
    <w:rsid w:val="006F12ED"/>
    <w:rsid w:val="006F2DDD"/>
    <w:rsid w:val="006F5F5E"/>
    <w:rsid w:val="007178E4"/>
    <w:rsid w:val="007206D8"/>
    <w:rsid w:val="007372CD"/>
    <w:rsid w:val="007379AD"/>
    <w:rsid w:val="007423B9"/>
    <w:rsid w:val="007454E1"/>
    <w:rsid w:val="00751BD7"/>
    <w:rsid w:val="00765F33"/>
    <w:rsid w:val="007776CF"/>
    <w:rsid w:val="007908E6"/>
    <w:rsid w:val="00797200"/>
    <w:rsid w:val="007A1C0F"/>
    <w:rsid w:val="007A2E1C"/>
    <w:rsid w:val="007A4486"/>
    <w:rsid w:val="007D036A"/>
    <w:rsid w:val="007D5489"/>
    <w:rsid w:val="007D5A9A"/>
    <w:rsid w:val="007E2D0C"/>
    <w:rsid w:val="007E395B"/>
    <w:rsid w:val="007E5A3E"/>
    <w:rsid w:val="007E6517"/>
    <w:rsid w:val="007F17F9"/>
    <w:rsid w:val="007F52B7"/>
    <w:rsid w:val="007F5625"/>
    <w:rsid w:val="00824A32"/>
    <w:rsid w:val="00834336"/>
    <w:rsid w:val="00836FD4"/>
    <w:rsid w:val="008410B0"/>
    <w:rsid w:val="00842CB2"/>
    <w:rsid w:val="0084391E"/>
    <w:rsid w:val="00851884"/>
    <w:rsid w:val="008710C5"/>
    <w:rsid w:val="00877B95"/>
    <w:rsid w:val="00891A51"/>
    <w:rsid w:val="008945EE"/>
    <w:rsid w:val="008954C7"/>
    <w:rsid w:val="00895B9B"/>
    <w:rsid w:val="00896887"/>
    <w:rsid w:val="008A4EA1"/>
    <w:rsid w:val="008B4D4E"/>
    <w:rsid w:val="008C058F"/>
    <w:rsid w:val="008E42BC"/>
    <w:rsid w:val="008E6427"/>
    <w:rsid w:val="008F1CDC"/>
    <w:rsid w:val="008F46DD"/>
    <w:rsid w:val="009033B5"/>
    <w:rsid w:val="00906F90"/>
    <w:rsid w:val="00907139"/>
    <w:rsid w:val="00915971"/>
    <w:rsid w:val="00926524"/>
    <w:rsid w:val="00930480"/>
    <w:rsid w:val="00940EF0"/>
    <w:rsid w:val="00956B77"/>
    <w:rsid w:val="00956E91"/>
    <w:rsid w:val="0096490D"/>
    <w:rsid w:val="009649AD"/>
    <w:rsid w:val="00975E98"/>
    <w:rsid w:val="00982CA2"/>
    <w:rsid w:val="00993D6C"/>
    <w:rsid w:val="009A0952"/>
    <w:rsid w:val="009A3C76"/>
    <w:rsid w:val="009B097B"/>
    <w:rsid w:val="009B1075"/>
    <w:rsid w:val="009B4E3D"/>
    <w:rsid w:val="009B54BD"/>
    <w:rsid w:val="009B7757"/>
    <w:rsid w:val="009E06BF"/>
    <w:rsid w:val="009F40FC"/>
    <w:rsid w:val="00A0341B"/>
    <w:rsid w:val="00A03A81"/>
    <w:rsid w:val="00A1168D"/>
    <w:rsid w:val="00A11777"/>
    <w:rsid w:val="00A327E3"/>
    <w:rsid w:val="00A32C9E"/>
    <w:rsid w:val="00A42D12"/>
    <w:rsid w:val="00A504EC"/>
    <w:rsid w:val="00A60D70"/>
    <w:rsid w:val="00A61A99"/>
    <w:rsid w:val="00A62A89"/>
    <w:rsid w:val="00A63319"/>
    <w:rsid w:val="00A67313"/>
    <w:rsid w:val="00A70F94"/>
    <w:rsid w:val="00A751EA"/>
    <w:rsid w:val="00A8677D"/>
    <w:rsid w:val="00A93B7B"/>
    <w:rsid w:val="00AA3F77"/>
    <w:rsid w:val="00AB5275"/>
    <w:rsid w:val="00AC184B"/>
    <w:rsid w:val="00AD5CD3"/>
    <w:rsid w:val="00AE00E5"/>
    <w:rsid w:val="00AE5026"/>
    <w:rsid w:val="00AF08F3"/>
    <w:rsid w:val="00AF2970"/>
    <w:rsid w:val="00AF2C8E"/>
    <w:rsid w:val="00B13530"/>
    <w:rsid w:val="00B2260A"/>
    <w:rsid w:val="00B24656"/>
    <w:rsid w:val="00B2509E"/>
    <w:rsid w:val="00B323B9"/>
    <w:rsid w:val="00B34D36"/>
    <w:rsid w:val="00B43274"/>
    <w:rsid w:val="00B53A57"/>
    <w:rsid w:val="00B6024E"/>
    <w:rsid w:val="00B71785"/>
    <w:rsid w:val="00B720A3"/>
    <w:rsid w:val="00B76A1C"/>
    <w:rsid w:val="00B805FF"/>
    <w:rsid w:val="00B91A91"/>
    <w:rsid w:val="00B92B2D"/>
    <w:rsid w:val="00B9741F"/>
    <w:rsid w:val="00BA3694"/>
    <w:rsid w:val="00BA4777"/>
    <w:rsid w:val="00BB4DD5"/>
    <w:rsid w:val="00BB7E7B"/>
    <w:rsid w:val="00BC66E4"/>
    <w:rsid w:val="00BC761A"/>
    <w:rsid w:val="00BD38D7"/>
    <w:rsid w:val="00BD39F5"/>
    <w:rsid w:val="00BD6DC4"/>
    <w:rsid w:val="00BE3916"/>
    <w:rsid w:val="00BE4C3A"/>
    <w:rsid w:val="00BE59C9"/>
    <w:rsid w:val="00BF18D8"/>
    <w:rsid w:val="00BF2F70"/>
    <w:rsid w:val="00BF6308"/>
    <w:rsid w:val="00C00F05"/>
    <w:rsid w:val="00C0202D"/>
    <w:rsid w:val="00C15C19"/>
    <w:rsid w:val="00C26709"/>
    <w:rsid w:val="00C26B58"/>
    <w:rsid w:val="00C27E28"/>
    <w:rsid w:val="00C31123"/>
    <w:rsid w:val="00C32323"/>
    <w:rsid w:val="00C3651B"/>
    <w:rsid w:val="00C370B1"/>
    <w:rsid w:val="00C375D8"/>
    <w:rsid w:val="00C44D59"/>
    <w:rsid w:val="00C5027E"/>
    <w:rsid w:val="00C5746A"/>
    <w:rsid w:val="00C62BD7"/>
    <w:rsid w:val="00C71F9B"/>
    <w:rsid w:val="00C830AD"/>
    <w:rsid w:val="00C83806"/>
    <w:rsid w:val="00C91607"/>
    <w:rsid w:val="00C93DBB"/>
    <w:rsid w:val="00C9469D"/>
    <w:rsid w:val="00C9490F"/>
    <w:rsid w:val="00C97AE2"/>
    <w:rsid w:val="00CA2EB5"/>
    <w:rsid w:val="00CB2579"/>
    <w:rsid w:val="00CB6922"/>
    <w:rsid w:val="00CC4465"/>
    <w:rsid w:val="00CC7DBB"/>
    <w:rsid w:val="00CD1646"/>
    <w:rsid w:val="00CD23E2"/>
    <w:rsid w:val="00CE6078"/>
    <w:rsid w:val="00CF0F4D"/>
    <w:rsid w:val="00CF7AED"/>
    <w:rsid w:val="00D00DDE"/>
    <w:rsid w:val="00D16246"/>
    <w:rsid w:val="00D248E4"/>
    <w:rsid w:val="00D366CD"/>
    <w:rsid w:val="00D37CD2"/>
    <w:rsid w:val="00D447F3"/>
    <w:rsid w:val="00D51544"/>
    <w:rsid w:val="00D62B17"/>
    <w:rsid w:val="00D632DC"/>
    <w:rsid w:val="00D76E99"/>
    <w:rsid w:val="00D819EB"/>
    <w:rsid w:val="00D823E2"/>
    <w:rsid w:val="00D85A6F"/>
    <w:rsid w:val="00DA5DDE"/>
    <w:rsid w:val="00DB2E75"/>
    <w:rsid w:val="00DB3763"/>
    <w:rsid w:val="00DB4161"/>
    <w:rsid w:val="00DB4593"/>
    <w:rsid w:val="00DD0D1C"/>
    <w:rsid w:val="00DD4F4B"/>
    <w:rsid w:val="00DD7110"/>
    <w:rsid w:val="00DE0103"/>
    <w:rsid w:val="00DE02C4"/>
    <w:rsid w:val="00DE18EA"/>
    <w:rsid w:val="00DE3339"/>
    <w:rsid w:val="00E00756"/>
    <w:rsid w:val="00E00CE6"/>
    <w:rsid w:val="00E062C5"/>
    <w:rsid w:val="00E10045"/>
    <w:rsid w:val="00E1545F"/>
    <w:rsid w:val="00E204C8"/>
    <w:rsid w:val="00E23074"/>
    <w:rsid w:val="00E35BEC"/>
    <w:rsid w:val="00E54FCC"/>
    <w:rsid w:val="00E55A0D"/>
    <w:rsid w:val="00E60621"/>
    <w:rsid w:val="00E6171F"/>
    <w:rsid w:val="00E6698E"/>
    <w:rsid w:val="00E74BDE"/>
    <w:rsid w:val="00E759DA"/>
    <w:rsid w:val="00E80209"/>
    <w:rsid w:val="00E91944"/>
    <w:rsid w:val="00E94C0D"/>
    <w:rsid w:val="00EA162D"/>
    <w:rsid w:val="00EB0B39"/>
    <w:rsid w:val="00EC4655"/>
    <w:rsid w:val="00ED37AD"/>
    <w:rsid w:val="00ED5E58"/>
    <w:rsid w:val="00ED6AA4"/>
    <w:rsid w:val="00EE3631"/>
    <w:rsid w:val="00EE46C7"/>
    <w:rsid w:val="00EE7F07"/>
    <w:rsid w:val="00EF57C5"/>
    <w:rsid w:val="00F01556"/>
    <w:rsid w:val="00F1002E"/>
    <w:rsid w:val="00F12439"/>
    <w:rsid w:val="00F14B59"/>
    <w:rsid w:val="00F2250A"/>
    <w:rsid w:val="00F2535A"/>
    <w:rsid w:val="00F37334"/>
    <w:rsid w:val="00F451B3"/>
    <w:rsid w:val="00F575B5"/>
    <w:rsid w:val="00F7402D"/>
    <w:rsid w:val="00F75D1B"/>
    <w:rsid w:val="00F80070"/>
    <w:rsid w:val="00F966B6"/>
    <w:rsid w:val="00FA0C1D"/>
    <w:rsid w:val="00FA5065"/>
    <w:rsid w:val="00FB55AD"/>
    <w:rsid w:val="00FC650D"/>
    <w:rsid w:val="00FD39A7"/>
    <w:rsid w:val="00FD454F"/>
    <w:rsid w:val="00FD57D2"/>
    <w:rsid w:val="00FE3551"/>
    <w:rsid w:val="00FE66E7"/>
    <w:rsid w:val="00FF243E"/>
    <w:rsid w:val="018082FB"/>
    <w:rsid w:val="0653F41E"/>
    <w:rsid w:val="0B84559D"/>
    <w:rsid w:val="1065003F"/>
    <w:rsid w:val="10D7F8FF"/>
    <w:rsid w:val="14E5C583"/>
    <w:rsid w:val="17F693DB"/>
    <w:rsid w:val="1A4D4E6F"/>
    <w:rsid w:val="1C1823A1"/>
    <w:rsid w:val="1EC03F2E"/>
    <w:rsid w:val="2232BC08"/>
    <w:rsid w:val="22936029"/>
    <w:rsid w:val="27F939DB"/>
    <w:rsid w:val="2B6C952C"/>
    <w:rsid w:val="2CFEFBCA"/>
    <w:rsid w:val="2E2E558A"/>
    <w:rsid w:val="30045705"/>
    <w:rsid w:val="30D638D4"/>
    <w:rsid w:val="311B2FC3"/>
    <w:rsid w:val="3217B2FE"/>
    <w:rsid w:val="32A57675"/>
    <w:rsid w:val="35DD1737"/>
    <w:rsid w:val="377D157C"/>
    <w:rsid w:val="38A88504"/>
    <w:rsid w:val="3A5D7DC2"/>
    <w:rsid w:val="3BAA7807"/>
    <w:rsid w:val="3BE025C6"/>
    <w:rsid w:val="3BE08A6D"/>
    <w:rsid w:val="3BF94E23"/>
    <w:rsid w:val="42E14E70"/>
    <w:rsid w:val="48581E46"/>
    <w:rsid w:val="48950737"/>
    <w:rsid w:val="4A1E6D6C"/>
    <w:rsid w:val="4C3F6376"/>
    <w:rsid w:val="4C5259D4"/>
    <w:rsid w:val="56AC76F2"/>
    <w:rsid w:val="57E97232"/>
    <w:rsid w:val="581396CD"/>
    <w:rsid w:val="59C07753"/>
    <w:rsid w:val="5B4B378F"/>
    <w:rsid w:val="5BF499A8"/>
    <w:rsid w:val="5CE707F0"/>
    <w:rsid w:val="626D20BF"/>
    <w:rsid w:val="64B591BF"/>
    <w:rsid w:val="6831A81D"/>
    <w:rsid w:val="68DBCACB"/>
    <w:rsid w:val="6ACBFAD3"/>
    <w:rsid w:val="6EA0E9A1"/>
    <w:rsid w:val="6ED6A297"/>
    <w:rsid w:val="72804F31"/>
    <w:rsid w:val="72AE7BA3"/>
    <w:rsid w:val="73123FC5"/>
    <w:rsid w:val="761170B6"/>
    <w:rsid w:val="76D9150F"/>
    <w:rsid w:val="7A4F5D38"/>
    <w:rsid w:val="7B29C9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BC84"/>
  <w15:chartTrackingRefBased/>
  <w15:docId w15:val="{3548D4A7-1D71-49B3-9992-9615AC58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D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B4D4E"/>
    <w:rPr>
      <w:color w:val="0000FF"/>
      <w:u w:val="single"/>
    </w:rPr>
  </w:style>
  <w:style w:type="paragraph" w:customStyle="1" w:styleId="m-9107718623219472439msolistparagraph">
    <w:name w:val="m_-9107718623219472439msolistparagraph"/>
    <w:basedOn w:val="Normal"/>
    <w:rsid w:val="004C00FC"/>
    <w:pPr>
      <w:spacing w:before="100" w:beforeAutospacing="1" w:after="100" w:afterAutospacing="1"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4C00FC"/>
    <w:rPr>
      <w:sz w:val="16"/>
      <w:szCs w:val="16"/>
    </w:rPr>
  </w:style>
  <w:style w:type="paragraph" w:styleId="CommentText">
    <w:name w:val="annotation text"/>
    <w:basedOn w:val="Normal"/>
    <w:link w:val="CommentTextChar"/>
    <w:uiPriority w:val="99"/>
    <w:unhideWhenUsed/>
    <w:rsid w:val="004C00FC"/>
    <w:pPr>
      <w:spacing w:line="240" w:lineRule="auto"/>
    </w:pPr>
    <w:rPr>
      <w:sz w:val="20"/>
      <w:szCs w:val="20"/>
    </w:rPr>
  </w:style>
  <w:style w:type="character" w:customStyle="1" w:styleId="CommentTextChar">
    <w:name w:val="Comment Text Char"/>
    <w:basedOn w:val="DefaultParagraphFont"/>
    <w:link w:val="CommentText"/>
    <w:uiPriority w:val="99"/>
    <w:rsid w:val="004C00FC"/>
    <w:rPr>
      <w:sz w:val="20"/>
      <w:szCs w:val="20"/>
    </w:rPr>
  </w:style>
  <w:style w:type="table" w:styleId="TableGrid">
    <w:name w:val="Table Grid"/>
    <w:basedOn w:val="TableNormal"/>
    <w:uiPriority w:val="39"/>
    <w:rsid w:val="00CA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83F"/>
    <w:rPr>
      <w:color w:val="605E5C"/>
      <w:shd w:val="clear" w:color="auto" w:fill="E1DFDD"/>
    </w:rPr>
  </w:style>
  <w:style w:type="paragraph" w:styleId="Revision">
    <w:name w:val="Revision"/>
    <w:hidden/>
    <w:uiPriority w:val="99"/>
    <w:semiHidden/>
    <w:rsid w:val="00AC184B"/>
    <w:pPr>
      <w:spacing w:after="0" w:line="240" w:lineRule="auto"/>
    </w:pPr>
  </w:style>
  <w:style w:type="paragraph" w:styleId="CommentSubject">
    <w:name w:val="annotation subject"/>
    <w:basedOn w:val="CommentText"/>
    <w:next w:val="CommentText"/>
    <w:link w:val="CommentSubjectChar"/>
    <w:uiPriority w:val="99"/>
    <w:semiHidden/>
    <w:unhideWhenUsed/>
    <w:rsid w:val="00CB6922"/>
    <w:rPr>
      <w:b/>
      <w:bCs/>
    </w:rPr>
  </w:style>
  <w:style w:type="character" w:customStyle="1" w:styleId="CommentSubjectChar">
    <w:name w:val="Comment Subject Char"/>
    <w:basedOn w:val="CommentTextChar"/>
    <w:link w:val="CommentSubject"/>
    <w:uiPriority w:val="99"/>
    <w:semiHidden/>
    <w:rsid w:val="00CB6922"/>
    <w:rPr>
      <w:b/>
      <w:bCs/>
      <w:sz w:val="20"/>
      <w:szCs w:val="20"/>
    </w:rPr>
  </w:style>
  <w:style w:type="character" w:styleId="FollowedHyperlink">
    <w:name w:val="FollowedHyperlink"/>
    <w:basedOn w:val="DefaultParagraphFont"/>
    <w:uiPriority w:val="99"/>
    <w:semiHidden/>
    <w:unhideWhenUsed/>
    <w:rsid w:val="00E75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8018">
      <w:bodyDiv w:val="1"/>
      <w:marLeft w:val="0"/>
      <w:marRight w:val="0"/>
      <w:marTop w:val="0"/>
      <w:marBottom w:val="0"/>
      <w:divBdr>
        <w:top w:val="none" w:sz="0" w:space="0" w:color="auto"/>
        <w:left w:val="none" w:sz="0" w:space="0" w:color="auto"/>
        <w:bottom w:val="none" w:sz="0" w:space="0" w:color="auto"/>
        <w:right w:val="none" w:sz="0" w:space="0" w:color="auto"/>
      </w:divBdr>
    </w:div>
    <w:div w:id="1173758421">
      <w:bodyDiv w:val="1"/>
      <w:marLeft w:val="0"/>
      <w:marRight w:val="0"/>
      <w:marTop w:val="0"/>
      <w:marBottom w:val="0"/>
      <w:divBdr>
        <w:top w:val="none" w:sz="0" w:space="0" w:color="auto"/>
        <w:left w:val="none" w:sz="0" w:space="0" w:color="auto"/>
        <w:bottom w:val="none" w:sz="0" w:space="0" w:color="auto"/>
        <w:right w:val="none" w:sz="0" w:space="0" w:color="auto"/>
      </w:divBdr>
    </w:div>
    <w:div w:id="1393118476">
      <w:bodyDiv w:val="1"/>
      <w:marLeft w:val="0"/>
      <w:marRight w:val="0"/>
      <w:marTop w:val="0"/>
      <w:marBottom w:val="0"/>
      <w:divBdr>
        <w:top w:val="none" w:sz="0" w:space="0" w:color="auto"/>
        <w:left w:val="none" w:sz="0" w:space="0" w:color="auto"/>
        <w:bottom w:val="none" w:sz="0" w:space="0" w:color="auto"/>
        <w:right w:val="none" w:sz="0" w:space="0" w:color="auto"/>
      </w:divBdr>
    </w:div>
    <w:div w:id="1537619437">
      <w:bodyDiv w:val="1"/>
      <w:marLeft w:val="0"/>
      <w:marRight w:val="0"/>
      <w:marTop w:val="0"/>
      <w:marBottom w:val="0"/>
      <w:divBdr>
        <w:top w:val="none" w:sz="0" w:space="0" w:color="auto"/>
        <w:left w:val="none" w:sz="0" w:space="0" w:color="auto"/>
        <w:bottom w:val="none" w:sz="0" w:space="0" w:color="auto"/>
        <w:right w:val="none" w:sz="0" w:space="0" w:color="auto"/>
      </w:divBdr>
    </w:div>
    <w:div w:id="15485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oeea.maps.arcgis.com/apps/webappviewer/index.html?id=96035fe034044e2596b49168b0e35d8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5" Type="http://schemas.openxmlformats.org/officeDocument/2006/relationships/styles" Target="styles.xml"/><Relationship Id="rId10" Type="http://schemas.openxmlformats.org/officeDocument/2006/relationships/hyperlink" Target="https://www.mass.gov/guides/approved-title-5-innovativealternative-technologies" TargetMode="External"/><Relationship Id="rId4" Type="http://schemas.openxmlformats.org/officeDocument/2006/relationships/numbering" Target="numbering.xml"/><Relationship Id="rId9" Type="http://schemas.openxmlformats.org/officeDocument/2006/relationships/hyperlink" Target="https://www.mass.gov/doc/310-cmr-15000-title-5-of-the-state-environmental-co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58521478-CCF0-4528-8970-21891A6BA2F6}">
  <ds:schemaRefs>
    <ds:schemaRef ds:uri="http://schemas.microsoft.com/sharepoint/v3/contenttype/forms"/>
  </ds:schemaRefs>
</ds:datastoreItem>
</file>

<file path=customXml/itemProps2.xml><?xml version="1.0" encoding="utf-8"?>
<ds:datastoreItem xmlns:ds="http://schemas.openxmlformats.org/officeDocument/2006/customXml" ds:itemID="{4E55ED46-1EB7-447B-8C11-957022B2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39FFF-E3B3-4FA9-BE52-EB56903BA8FF}">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1872</Words>
  <Characters>10674</Characters>
  <Application>Microsoft Office Word</Application>
  <DocSecurity>0</DocSecurity>
  <Lines>88</Lines>
  <Paragraphs>25</Paragraphs>
  <ScaleCrop>false</ScaleCrop>
  <Company/>
  <LinksUpToDate>false</LinksUpToDate>
  <CharactersWithSpaces>12521</CharactersWithSpaces>
  <SharedDoc>false</SharedDoc>
  <HLinks>
    <vt:vector size="24" baseType="variant">
      <vt:variant>
        <vt:i4>6357094</vt:i4>
      </vt:variant>
      <vt:variant>
        <vt:i4>9</vt:i4>
      </vt:variant>
      <vt:variant>
        <vt:i4>0</vt:i4>
      </vt:variant>
      <vt:variant>
        <vt:i4>5</vt:i4>
      </vt:variant>
      <vt:variant>
        <vt:lpwstr>https://www.mass.gov/info-details/environmental-justice-populations-in-massachusetts?_gl=1*podtd0*_ga*MTgxODkwNDQ2Ny4xNjgzMjg4MjU5*_ga_MCLPEGW7WM*MTcwMTg5NDQ3NC43My4xLjE3MDE4OTQ1MjguMC4wLjA.</vt:lpwstr>
      </vt:variant>
      <vt:variant>
        <vt:lpwstr/>
      </vt:variant>
      <vt:variant>
        <vt:i4>2162721</vt:i4>
      </vt:variant>
      <vt:variant>
        <vt:i4>6</vt:i4>
      </vt:variant>
      <vt:variant>
        <vt:i4>0</vt:i4>
      </vt:variant>
      <vt:variant>
        <vt:i4>5</vt:i4>
      </vt:variant>
      <vt:variant>
        <vt:lpwstr>https://www.mass.gov/guides/approved-title-5-innovativealternative-technologies</vt:lpwstr>
      </vt:variant>
      <vt:variant>
        <vt:lpwstr/>
      </vt:variant>
      <vt:variant>
        <vt:i4>2490421</vt:i4>
      </vt:variant>
      <vt:variant>
        <vt:i4>3</vt:i4>
      </vt:variant>
      <vt:variant>
        <vt:i4>0</vt:i4>
      </vt:variant>
      <vt:variant>
        <vt:i4>5</vt:i4>
      </vt:variant>
      <vt:variant>
        <vt:lpwstr>https://www.mass.gov/doc/310-cmr-15000-title-5-of-the-state-environmental-code/download</vt:lpwstr>
      </vt:variant>
      <vt:variant>
        <vt:lpwstr/>
      </vt:variant>
      <vt:variant>
        <vt:i4>3539065</vt:i4>
      </vt:variant>
      <vt:variant>
        <vt:i4>0</vt:i4>
      </vt:variant>
      <vt:variant>
        <vt:i4>0</vt:i4>
      </vt:variant>
      <vt:variant>
        <vt:i4>5</vt:i4>
      </vt:variant>
      <vt:variant>
        <vt:lpwstr>https://mass-eoeea.maps.arcgis.com/apps/webappviewer/index.html?id=96035fe034044e2596b49168b0e35d8e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Chubb, Marybeth (DEP)</dc:creator>
  <cp:keywords/>
  <dc:description/>
  <cp:lastModifiedBy>Wu, Victoria (DEP)</cp:lastModifiedBy>
  <cp:revision>3</cp:revision>
  <dcterms:created xsi:type="dcterms:W3CDTF">2024-01-04T19:47:00Z</dcterms:created>
  <dcterms:modified xsi:type="dcterms:W3CDTF">2024-02-16T17:10:00Z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