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58FAF" w14:textId="77777777" w:rsidR="0087565B" w:rsidRDefault="00EA450E" w:rsidP="00AC63EB">
      <w:pPr>
        <w:keepLines/>
        <w:pBdr>
          <w:bottom w:val="single" w:sz="18" w:space="5" w:color="BFBFBF"/>
        </w:pBdr>
        <w:tabs>
          <w:tab w:val="right" w:pos="10440"/>
        </w:tabs>
        <w:spacing w:before="360"/>
        <w:ind w:right="-360" w:hanging="360"/>
        <w:rPr>
          <w:rFonts w:ascii="Arial" w:hAnsi="Arial" w:cs="Arial"/>
          <w:b/>
          <w:bCs/>
          <w:color w:val="365F91"/>
          <w:sz w:val="28"/>
          <w:szCs w:val="28"/>
        </w:rPr>
      </w:pPr>
      <w:r w:rsidRPr="00D22816">
        <w:rPr>
          <w:i/>
          <w:noProof/>
          <w:color w:val="365F91"/>
        </w:rPr>
        <mc:AlternateContent>
          <mc:Choice Requires="wps">
            <w:drawing>
              <wp:anchor distT="0" distB="0" distL="114300" distR="114300" simplePos="0" relativeHeight="251660288" behindDoc="0" locked="0" layoutInCell="1" allowOverlap="1" wp14:anchorId="4322B1B9" wp14:editId="2508E2F8">
                <wp:simplePos x="0" y="0"/>
                <wp:positionH relativeFrom="page">
                  <wp:posOffset>-6350</wp:posOffset>
                </wp:positionH>
                <wp:positionV relativeFrom="paragraph">
                  <wp:posOffset>-1445260</wp:posOffset>
                </wp:positionV>
                <wp:extent cx="7787640" cy="1956435"/>
                <wp:effectExtent l="0" t="0" r="3810" b="57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1956435"/>
                        </a:xfrm>
                        <a:prstGeom prst="rect">
                          <a:avLst/>
                        </a:prstGeom>
                        <a:gradFill rotWithShape="0">
                          <a:gsLst>
                            <a:gs pos="0">
                              <a:srgbClr val="95B3D7"/>
                            </a:gs>
                            <a:gs pos="100000">
                              <a:srgbClr val="95B3D7">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5969C" w14:textId="77777777" w:rsidR="003C1832" w:rsidRPr="00BE50AC" w:rsidRDefault="003C1832" w:rsidP="00BE50AC">
                            <w:pPr>
                              <w:pStyle w:val="BIDTitle"/>
                              <w:spacing w:line="276" w:lineRule="auto"/>
                              <w:jc w:val="both"/>
                              <w:rPr>
                                <w:color w:val="auto"/>
                                <w:sz w:val="28"/>
                                <w:szCs w:val="28"/>
                              </w:rPr>
                            </w:pPr>
                          </w:p>
                          <w:p w14:paraId="3B0F8C87" w14:textId="77777777" w:rsidR="003C1832" w:rsidRDefault="003C1832" w:rsidP="004E21EC">
                            <w:pPr>
                              <w:pStyle w:val="BIDTitle"/>
                              <w:spacing w:line="276" w:lineRule="auto"/>
                              <w:jc w:val="both"/>
                              <w:rPr>
                                <w:color w:val="auto"/>
                                <w:sz w:val="24"/>
                                <w:szCs w:val="24"/>
                              </w:rPr>
                            </w:pPr>
                            <w:r>
                              <w:rPr>
                                <w:color w:val="auto"/>
                                <w:sz w:val="46"/>
                                <w:szCs w:val="46"/>
                              </w:rPr>
                              <w:t xml:space="preserve">   </w:t>
                            </w:r>
                            <w:r w:rsidRPr="0052528E">
                              <w:rPr>
                                <w:rFonts w:ascii="Arial" w:hAnsi="Arial" w:cs="Arial"/>
                                <w:color w:val="auto"/>
                                <w:sz w:val="40"/>
                                <w:szCs w:val="40"/>
                              </w:rPr>
                              <w:t xml:space="preserve"> </w:t>
                            </w:r>
                          </w:p>
                          <w:p w14:paraId="5E8EF72D" w14:textId="77777777" w:rsidR="003C1832" w:rsidRDefault="003C1832" w:rsidP="0037688D">
                            <w:pPr>
                              <w:pStyle w:val="BIDTitle"/>
                              <w:spacing w:line="240" w:lineRule="auto"/>
                              <w:rPr>
                                <w:rFonts w:ascii="Arial" w:hAnsi="Arial" w:cs="Arial"/>
                                <w:color w:val="auto"/>
                                <w:sz w:val="24"/>
                                <w:szCs w:val="24"/>
                              </w:rPr>
                            </w:pPr>
                            <w:r w:rsidRPr="00EE45B8">
                              <w:rPr>
                                <w:rFonts w:ascii="Arial" w:hAnsi="Arial" w:cs="Arial"/>
                                <w:color w:val="auto"/>
                                <w:sz w:val="24"/>
                                <w:szCs w:val="24"/>
                              </w:rPr>
                              <w:t xml:space="preserve">            </w:t>
                            </w:r>
                          </w:p>
                          <w:p w14:paraId="7BD9B1AF" w14:textId="77777777" w:rsidR="00765B24" w:rsidRPr="00765B24" w:rsidRDefault="003C1832" w:rsidP="00765B24">
                            <w:pPr>
                              <w:pStyle w:val="BIDTitle"/>
                              <w:spacing w:line="240" w:lineRule="auto"/>
                              <w:jc w:val="center"/>
                              <w:rPr>
                                <w:rFonts w:ascii="Arial" w:hAnsi="Arial" w:cs="Arial"/>
                                <w:color w:val="17365D" w:themeColor="text2" w:themeShade="BF"/>
                                <w:sz w:val="28"/>
                                <w:szCs w:val="28"/>
                              </w:rPr>
                            </w:pPr>
                            <w:r w:rsidRPr="00EA450E">
                              <w:rPr>
                                <w:rFonts w:ascii="Arial" w:hAnsi="Arial" w:cs="Arial"/>
                                <w:color w:val="17365D" w:themeColor="text2" w:themeShade="BF"/>
                                <w:sz w:val="40"/>
                                <w:szCs w:val="40"/>
                              </w:rPr>
                              <w:t xml:space="preserve">    </w:t>
                            </w:r>
                            <w:r w:rsidR="00765B24" w:rsidRPr="00765B24">
                              <w:rPr>
                                <w:rFonts w:ascii="Arial" w:hAnsi="Arial" w:cs="Arial"/>
                                <w:color w:val="17365D" w:themeColor="text2" w:themeShade="BF"/>
                                <w:sz w:val="28"/>
                                <w:szCs w:val="28"/>
                              </w:rPr>
                              <w:t>Nucleic</w:t>
                            </w:r>
                            <w:r w:rsidRPr="00765B24">
                              <w:rPr>
                                <w:rFonts w:ascii="Arial" w:hAnsi="Arial" w:cs="Arial"/>
                                <w:color w:val="17365D" w:themeColor="text2" w:themeShade="BF"/>
                                <w:sz w:val="28"/>
                                <w:szCs w:val="28"/>
                              </w:rPr>
                              <w:t xml:space="preserve"> </w:t>
                            </w:r>
                            <w:r w:rsidR="00765B24" w:rsidRPr="00765B24">
                              <w:rPr>
                                <w:rFonts w:ascii="Arial" w:hAnsi="Arial" w:cs="Arial"/>
                                <w:color w:val="17365D" w:themeColor="text2" w:themeShade="BF"/>
                                <w:sz w:val="28"/>
                                <w:szCs w:val="28"/>
                              </w:rPr>
                              <w:t xml:space="preserve">Acid Amplification Testing for Early Diagnosis of Tuberculosis </w:t>
                            </w:r>
                          </w:p>
                          <w:p w14:paraId="1278D10D" w14:textId="369EEB44" w:rsidR="003C1832" w:rsidRDefault="00765B24" w:rsidP="00765B24">
                            <w:pPr>
                              <w:pStyle w:val="BIDTitle"/>
                              <w:spacing w:line="240" w:lineRule="auto"/>
                              <w:jc w:val="center"/>
                              <w:rPr>
                                <w:rFonts w:ascii="Arial" w:hAnsi="Arial" w:cs="Arial"/>
                                <w:color w:val="17365D" w:themeColor="text2" w:themeShade="BF"/>
                                <w:sz w:val="28"/>
                                <w:szCs w:val="28"/>
                              </w:rPr>
                            </w:pPr>
                            <w:r w:rsidRPr="00765B24">
                              <w:rPr>
                                <w:rFonts w:ascii="Arial" w:hAnsi="Arial" w:cs="Arial"/>
                                <w:color w:val="17365D" w:themeColor="text2" w:themeShade="BF"/>
                                <w:sz w:val="28"/>
                                <w:szCs w:val="28"/>
                              </w:rPr>
                              <w:t>and Identification of Rifampin Resistance</w:t>
                            </w:r>
                          </w:p>
                          <w:p w14:paraId="09B455EA" w14:textId="77777777" w:rsidR="00765B24" w:rsidRPr="00765B24" w:rsidRDefault="00765B24" w:rsidP="00765B24">
                            <w:pPr>
                              <w:pStyle w:val="BIDTitle"/>
                              <w:spacing w:line="240" w:lineRule="auto"/>
                              <w:jc w:val="center"/>
                              <w:rPr>
                                <w:rFonts w:ascii="Arial" w:hAnsi="Arial" w:cs="Arial"/>
                                <w:color w:val="auto"/>
                                <w:sz w:val="22"/>
                                <w:szCs w:val="22"/>
                              </w:rPr>
                            </w:pPr>
                          </w:p>
                          <w:p w14:paraId="3FF89034" w14:textId="698292D6" w:rsidR="003C1832" w:rsidRDefault="003C1832" w:rsidP="0089021D">
                            <w:pPr>
                              <w:pStyle w:val="BIDTitle"/>
                              <w:spacing w:line="240" w:lineRule="auto"/>
                              <w:jc w:val="center"/>
                              <w:rPr>
                                <w:rFonts w:ascii="Arial" w:hAnsi="Arial" w:cs="Arial"/>
                                <w:color w:val="auto"/>
                                <w:sz w:val="24"/>
                                <w:szCs w:val="24"/>
                              </w:rPr>
                            </w:pPr>
                            <w:r w:rsidRPr="008920BC">
                              <w:rPr>
                                <w:rFonts w:ascii="Arial" w:hAnsi="Arial" w:cs="Arial"/>
                                <w:color w:val="auto"/>
                                <w:sz w:val="24"/>
                                <w:szCs w:val="24"/>
                              </w:rPr>
                              <w:t>Massachusetts Department of Public Health</w:t>
                            </w:r>
                          </w:p>
                          <w:p w14:paraId="51481D25" w14:textId="31A4C702" w:rsidR="00765B24" w:rsidRDefault="00765B24" w:rsidP="0089021D">
                            <w:pPr>
                              <w:pStyle w:val="BIDTitle"/>
                              <w:spacing w:line="240" w:lineRule="auto"/>
                              <w:jc w:val="center"/>
                              <w:rPr>
                                <w:rFonts w:ascii="Arial" w:hAnsi="Arial" w:cs="Arial"/>
                                <w:color w:val="auto"/>
                                <w:sz w:val="24"/>
                                <w:szCs w:val="24"/>
                              </w:rPr>
                            </w:pPr>
                            <w:r>
                              <w:rPr>
                                <w:rFonts w:ascii="Arial" w:hAnsi="Arial" w:cs="Arial"/>
                                <w:color w:val="auto"/>
                                <w:sz w:val="24"/>
                                <w:szCs w:val="24"/>
                              </w:rPr>
                              <w:t>Bureau of Infectious Disease and Laboratory Sciences</w:t>
                            </w:r>
                          </w:p>
                          <w:p w14:paraId="3DC0E25F" w14:textId="77777777" w:rsidR="003C1832" w:rsidRPr="00EA450E" w:rsidRDefault="003C1832" w:rsidP="0089021D">
                            <w:pPr>
                              <w:pStyle w:val="BIDTitle"/>
                              <w:spacing w:line="240" w:lineRule="auto"/>
                              <w:jc w:val="center"/>
                              <w:rPr>
                                <w:rFonts w:ascii="Arial" w:hAnsi="Arial" w:cs="Arial"/>
                                <w:color w:val="auto"/>
                                <w:sz w:val="24"/>
                                <w:szCs w:val="24"/>
                              </w:rPr>
                            </w:pPr>
                            <w:r>
                              <w:rPr>
                                <w:rFonts w:ascii="Arial" w:hAnsi="Arial" w:cs="Arial"/>
                                <w:color w:val="auto"/>
                                <w:sz w:val="24"/>
                                <w:szCs w:val="24"/>
                              </w:rPr>
                              <w:t>Division of Global Populations and Infectious Disease Prevention</w:t>
                            </w:r>
                          </w:p>
                          <w:p w14:paraId="2BB93B4B" w14:textId="77777777" w:rsidR="003C1832" w:rsidRPr="00285364" w:rsidRDefault="003C1832" w:rsidP="0089021D">
                            <w:pPr>
                              <w:pStyle w:val="BIDTitle"/>
                              <w:spacing w:line="240" w:lineRule="auto"/>
                              <w:jc w:val="center"/>
                              <w:rPr>
                                <w:rFonts w:ascii="Arial" w:hAnsi="Arial" w:cs="Arial"/>
                                <w:color w:val="002060"/>
                                <w:sz w:val="40"/>
                                <w:szCs w:val="40"/>
                              </w:rPr>
                            </w:pPr>
                          </w:p>
                          <w:p w14:paraId="7C246B7B" w14:textId="77777777" w:rsidR="003C1832" w:rsidRDefault="003C1832" w:rsidP="0037688D">
                            <w:pPr>
                              <w:pStyle w:val="BIDTitle"/>
                              <w:spacing w:line="240" w:lineRule="auto"/>
                              <w:rPr>
                                <w:rFonts w:ascii="Arial" w:hAnsi="Arial" w:cs="Arial"/>
                                <w:color w:val="auto"/>
                                <w:sz w:val="24"/>
                                <w:szCs w:val="24"/>
                              </w:rPr>
                            </w:pPr>
                            <w:r>
                              <w:rPr>
                                <w:rFonts w:ascii="Arial" w:hAnsi="Arial" w:cs="Arial"/>
                                <w:color w:val="auto"/>
                                <w:sz w:val="24"/>
                                <w:szCs w:val="24"/>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2B1B9" id="_x0000_t202" coordsize="21600,21600" o:spt="202" path="m,l,21600r21600,l21600,xe">
                <v:stroke joinstyle="miter"/>
                <v:path gradientshapeok="t" o:connecttype="rect"/>
              </v:shapetype>
              <v:shape id="Text Box 3" o:spid="_x0000_s1026" type="#_x0000_t202" style="position:absolute;margin-left:-.5pt;margin-top:-113.8pt;width:613.2pt;height:15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" fillcolor="#95b3d7" stroked="f">
                <v:fill color2="#eaf0f7" angle="90" focus="100%" type="gradient"/>
                <v:textbox inset=",7.2pt,,7.2pt">
                  <w:txbxContent>
                    <w:p w14:paraId="1625969C" w14:textId="77777777" w:rsidR="003C1832" w:rsidRPr="00BE50AC" w:rsidRDefault="003C1832" w:rsidP="00BE50AC">
                      <w:pPr>
                        <w:pStyle w:val="BIDTitle"/>
                        <w:spacing w:line="276" w:lineRule="auto"/>
                        <w:jc w:val="both"/>
                        <w:rPr>
                          <w:color w:val="auto"/>
                          <w:sz w:val="28"/>
                          <w:szCs w:val="28"/>
                        </w:rPr>
                      </w:pPr>
                    </w:p>
                    <w:p w14:paraId="3B0F8C87" w14:textId="77777777" w:rsidR="003C1832" w:rsidRDefault="003C1832" w:rsidP="004E21EC">
                      <w:pPr>
                        <w:pStyle w:val="BIDTitle"/>
                        <w:spacing w:line="276" w:lineRule="auto"/>
                        <w:jc w:val="both"/>
                        <w:rPr>
                          <w:color w:val="auto"/>
                          <w:sz w:val="24"/>
                          <w:szCs w:val="24"/>
                        </w:rPr>
                      </w:pPr>
                      <w:r>
                        <w:rPr>
                          <w:color w:val="auto"/>
                          <w:sz w:val="46"/>
                          <w:szCs w:val="46"/>
                        </w:rPr>
                        <w:t xml:space="preserve">   </w:t>
                      </w:r>
                      <w:r w:rsidRPr="0052528E">
                        <w:rPr>
                          <w:rFonts w:ascii="Arial" w:hAnsi="Arial" w:cs="Arial"/>
                          <w:color w:val="auto"/>
                          <w:sz w:val="40"/>
                          <w:szCs w:val="40"/>
                        </w:rPr>
                        <w:t xml:space="preserve"> </w:t>
                      </w:r>
                    </w:p>
                    <w:p w14:paraId="5E8EF72D" w14:textId="77777777" w:rsidR="003C1832" w:rsidRDefault="003C1832" w:rsidP="0037688D">
                      <w:pPr>
                        <w:pStyle w:val="BIDTitle"/>
                        <w:spacing w:line="240" w:lineRule="auto"/>
                        <w:rPr>
                          <w:rFonts w:ascii="Arial" w:hAnsi="Arial" w:cs="Arial"/>
                          <w:color w:val="auto"/>
                          <w:sz w:val="24"/>
                          <w:szCs w:val="24"/>
                        </w:rPr>
                      </w:pPr>
                      <w:r w:rsidRPr="00EE45B8">
                        <w:rPr>
                          <w:rFonts w:ascii="Arial" w:hAnsi="Arial" w:cs="Arial"/>
                          <w:color w:val="auto"/>
                          <w:sz w:val="24"/>
                          <w:szCs w:val="24"/>
                        </w:rPr>
                        <w:t xml:space="preserve">            </w:t>
                      </w:r>
                    </w:p>
                    <w:p w14:paraId="7BD9B1AF" w14:textId="77777777" w:rsidR="00765B24" w:rsidRPr="00765B24" w:rsidRDefault="003C1832" w:rsidP="00765B24">
                      <w:pPr>
                        <w:pStyle w:val="BIDTitle"/>
                        <w:spacing w:line="240" w:lineRule="auto"/>
                        <w:jc w:val="center"/>
                        <w:rPr>
                          <w:rFonts w:ascii="Arial" w:hAnsi="Arial" w:cs="Arial"/>
                          <w:color w:val="17365D" w:themeColor="text2" w:themeShade="BF"/>
                          <w:sz w:val="28"/>
                          <w:szCs w:val="28"/>
                        </w:rPr>
                      </w:pPr>
                      <w:r w:rsidRPr="00EA450E">
                        <w:rPr>
                          <w:rFonts w:ascii="Arial" w:hAnsi="Arial" w:cs="Arial"/>
                          <w:color w:val="17365D" w:themeColor="text2" w:themeShade="BF"/>
                          <w:sz w:val="40"/>
                          <w:szCs w:val="40"/>
                        </w:rPr>
                        <w:t xml:space="preserve">    </w:t>
                      </w:r>
                      <w:r w:rsidR="00765B24" w:rsidRPr="00765B24">
                        <w:rPr>
                          <w:rFonts w:ascii="Arial" w:hAnsi="Arial" w:cs="Arial"/>
                          <w:color w:val="17365D" w:themeColor="text2" w:themeShade="BF"/>
                          <w:sz w:val="28"/>
                          <w:szCs w:val="28"/>
                        </w:rPr>
                        <w:t>Nucleic</w:t>
                      </w:r>
                      <w:r w:rsidRPr="00765B24">
                        <w:rPr>
                          <w:rFonts w:ascii="Arial" w:hAnsi="Arial" w:cs="Arial"/>
                          <w:color w:val="17365D" w:themeColor="text2" w:themeShade="BF"/>
                          <w:sz w:val="28"/>
                          <w:szCs w:val="28"/>
                        </w:rPr>
                        <w:t xml:space="preserve"> </w:t>
                      </w:r>
                      <w:r w:rsidR="00765B24" w:rsidRPr="00765B24">
                        <w:rPr>
                          <w:rFonts w:ascii="Arial" w:hAnsi="Arial" w:cs="Arial"/>
                          <w:color w:val="17365D" w:themeColor="text2" w:themeShade="BF"/>
                          <w:sz w:val="28"/>
                          <w:szCs w:val="28"/>
                        </w:rPr>
                        <w:t xml:space="preserve">Acid Amplification Testing for Early Diagnosis of Tuberculosis </w:t>
                      </w:r>
                    </w:p>
                    <w:p w14:paraId="1278D10D" w14:textId="369EEB44" w:rsidR="003C1832" w:rsidRDefault="00765B24" w:rsidP="00765B24">
                      <w:pPr>
                        <w:pStyle w:val="BIDTitle"/>
                        <w:spacing w:line="240" w:lineRule="auto"/>
                        <w:jc w:val="center"/>
                        <w:rPr>
                          <w:rFonts w:ascii="Arial" w:hAnsi="Arial" w:cs="Arial"/>
                          <w:color w:val="17365D" w:themeColor="text2" w:themeShade="BF"/>
                          <w:sz w:val="28"/>
                          <w:szCs w:val="28"/>
                        </w:rPr>
                      </w:pPr>
                      <w:r w:rsidRPr="00765B24">
                        <w:rPr>
                          <w:rFonts w:ascii="Arial" w:hAnsi="Arial" w:cs="Arial"/>
                          <w:color w:val="17365D" w:themeColor="text2" w:themeShade="BF"/>
                          <w:sz w:val="28"/>
                          <w:szCs w:val="28"/>
                        </w:rPr>
                        <w:t>and Identification of Rifampin Resistance</w:t>
                      </w:r>
                    </w:p>
                    <w:p w14:paraId="09B455EA" w14:textId="77777777" w:rsidR="00765B24" w:rsidRPr="00765B24" w:rsidRDefault="00765B24" w:rsidP="00765B24">
                      <w:pPr>
                        <w:pStyle w:val="BIDTitle"/>
                        <w:spacing w:line="240" w:lineRule="auto"/>
                        <w:jc w:val="center"/>
                        <w:rPr>
                          <w:rFonts w:ascii="Arial" w:hAnsi="Arial" w:cs="Arial"/>
                          <w:color w:val="auto"/>
                          <w:sz w:val="22"/>
                          <w:szCs w:val="22"/>
                        </w:rPr>
                      </w:pPr>
                    </w:p>
                    <w:p w14:paraId="3FF89034" w14:textId="698292D6" w:rsidR="003C1832" w:rsidRDefault="003C1832" w:rsidP="0089021D">
                      <w:pPr>
                        <w:pStyle w:val="BIDTitle"/>
                        <w:spacing w:line="240" w:lineRule="auto"/>
                        <w:jc w:val="center"/>
                        <w:rPr>
                          <w:rFonts w:ascii="Arial" w:hAnsi="Arial" w:cs="Arial"/>
                          <w:color w:val="auto"/>
                          <w:sz w:val="24"/>
                          <w:szCs w:val="24"/>
                        </w:rPr>
                      </w:pPr>
                      <w:r w:rsidRPr="008920BC">
                        <w:rPr>
                          <w:rFonts w:ascii="Arial" w:hAnsi="Arial" w:cs="Arial"/>
                          <w:color w:val="auto"/>
                          <w:sz w:val="24"/>
                          <w:szCs w:val="24"/>
                        </w:rPr>
                        <w:t>Massachusetts Department of Public Health</w:t>
                      </w:r>
                    </w:p>
                    <w:p w14:paraId="51481D25" w14:textId="31A4C702" w:rsidR="00765B24" w:rsidRDefault="00765B24" w:rsidP="0089021D">
                      <w:pPr>
                        <w:pStyle w:val="BIDTitle"/>
                        <w:spacing w:line="240" w:lineRule="auto"/>
                        <w:jc w:val="center"/>
                        <w:rPr>
                          <w:rFonts w:ascii="Arial" w:hAnsi="Arial" w:cs="Arial"/>
                          <w:color w:val="auto"/>
                          <w:sz w:val="24"/>
                          <w:szCs w:val="24"/>
                        </w:rPr>
                      </w:pPr>
                      <w:r>
                        <w:rPr>
                          <w:rFonts w:ascii="Arial" w:hAnsi="Arial" w:cs="Arial"/>
                          <w:color w:val="auto"/>
                          <w:sz w:val="24"/>
                          <w:szCs w:val="24"/>
                        </w:rPr>
                        <w:t>Bureau of Infectious Disease and Laboratory Sciences</w:t>
                      </w:r>
                    </w:p>
                    <w:p w14:paraId="3DC0E25F" w14:textId="77777777" w:rsidR="003C1832" w:rsidRPr="00EA450E" w:rsidRDefault="003C1832" w:rsidP="0089021D">
                      <w:pPr>
                        <w:pStyle w:val="BIDTitle"/>
                        <w:spacing w:line="240" w:lineRule="auto"/>
                        <w:jc w:val="center"/>
                        <w:rPr>
                          <w:rFonts w:ascii="Arial" w:hAnsi="Arial" w:cs="Arial"/>
                          <w:color w:val="auto"/>
                          <w:sz w:val="24"/>
                          <w:szCs w:val="24"/>
                        </w:rPr>
                      </w:pPr>
                      <w:r>
                        <w:rPr>
                          <w:rFonts w:ascii="Arial" w:hAnsi="Arial" w:cs="Arial"/>
                          <w:color w:val="auto"/>
                          <w:sz w:val="24"/>
                          <w:szCs w:val="24"/>
                        </w:rPr>
                        <w:t>Division of Global Populations and Infectious Disease Prevention</w:t>
                      </w:r>
                    </w:p>
                    <w:p w14:paraId="2BB93B4B" w14:textId="77777777" w:rsidR="003C1832" w:rsidRPr="00285364" w:rsidRDefault="003C1832" w:rsidP="0089021D">
                      <w:pPr>
                        <w:pStyle w:val="BIDTitle"/>
                        <w:spacing w:line="240" w:lineRule="auto"/>
                        <w:jc w:val="center"/>
                        <w:rPr>
                          <w:rFonts w:ascii="Arial" w:hAnsi="Arial" w:cs="Arial"/>
                          <w:color w:val="002060"/>
                          <w:sz w:val="40"/>
                          <w:szCs w:val="40"/>
                        </w:rPr>
                      </w:pPr>
                    </w:p>
                    <w:p w14:paraId="7C246B7B" w14:textId="77777777" w:rsidR="003C1832" w:rsidRDefault="003C1832" w:rsidP="0037688D">
                      <w:pPr>
                        <w:pStyle w:val="BIDTitle"/>
                        <w:spacing w:line="240" w:lineRule="auto"/>
                        <w:rPr>
                          <w:rFonts w:ascii="Arial" w:hAnsi="Arial" w:cs="Arial"/>
                          <w:color w:val="auto"/>
                          <w:sz w:val="24"/>
                          <w:szCs w:val="24"/>
                        </w:rPr>
                      </w:pPr>
                      <w:r>
                        <w:rPr>
                          <w:rFonts w:ascii="Arial" w:hAnsi="Arial" w:cs="Arial"/>
                          <w:color w:val="auto"/>
                          <w:sz w:val="24"/>
                          <w:szCs w:val="24"/>
                        </w:rPr>
                        <w:t xml:space="preserve">                       </w:t>
                      </w:r>
                    </w:p>
                  </w:txbxContent>
                </v:textbox>
                <w10:wrap anchorx="page"/>
              </v:shape>
            </w:pict>
          </mc:Fallback>
        </mc:AlternateContent>
      </w:r>
      <w:r w:rsidR="00D26AE4">
        <w:rPr>
          <w:noProof/>
        </w:rPr>
        <mc:AlternateContent>
          <mc:Choice Requires="wps">
            <w:drawing>
              <wp:anchor distT="0" distB="0" distL="114300" distR="114300" simplePos="0" relativeHeight="251664384" behindDoc="0" locked="0" layoutInCell="1" allowOverlap="1" wp14:anchorId="60F818FC" wp14:editId="28E37409">
                <wp:simplePos x="0" y="0"/>
                <wp:positionH relativeFrom="column">
                  <wp:posOffset>-480060</wp:posOffset>
                </wp:positionH>
                <wp:positionV relativeFrom="paragraph">
                  <wp:posOffset>-774700</wp:posOffset>
                </wp:positionV>
                <wp:extent cx="807720"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07720" cy="838200"/>
                        </a:xfrm>
                        <a:prstGeom prst="rect">
                          <a:avLst/>
                        </a:prstGeom>
                        <a:noFill/>
                        <a:ln w="6350">
                          <a:noFill/>
                        </a:ln>
                      </wps:spPr>
                      <wps:txbx>
                        <w:txbxContent>
                          <w:p w14:paraId="52453B09" w14:textId="77777777" w:rsidR="003C1832" w:rsidRDefault="003C1832">
                            <w:r w:rsidRPr="00985D47">
                              <w:rPr>
                                <w:noProof/>
                              </w:rPr>
                              <w:drawing>
                                <wp:inline distT="0" distB="0" distL="0" distR="0" wp14:anchorId="348C7E77" wp14:editId="0CDC6CFB">
                                  <wp:extent cx="618490" cy="690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490" cy="690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818FC" id="Text Box 6" o:spid="_x0000_s1027" type="#_x0000_t202" style="position:absolute;margin-left:-37.8pt;margin-top:-61pt;width:63.6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" filled="f" stroked="f" strokeweight=".5pt">
                <v:textbox>
                  <w:txbxContent>
                    <w:p w14:paraId="52453B09" w14:textId="77777777" w:rsidR="003C1832" w:rsidRDefault="003C1832">
                      <w:r w:rsidRPr="00985D47">
                        <w:rPr>
                          <w:noProof/>
                        </w:rPr>
                        <w:drawing>
                          <wp:inline distT="0" distB="0" distL="0" distR="0" wp14:anchorId="348C7E77" wp14:editId="0CDC6CFB">
                            <wp:extent cx="618490" cy="690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490" cy="690080"/>
                                    </a:xfrm>
                                    <a:prstGeom prst="rect">
                                      <a:avLst/>
                                    </a:prstGeom>
                                    <a:noFill/>
                                    <a:ln>
                                      <a:noFill/>
                                    </a:ln>
                                  </pic:spPr>
                                </pic:pic>
                              </a:graphicData>
                            </a:graphic>
                          </wp:inline>
                        </w:drawing>
                      </w:r>
                    </w:p>
                  </w:txbxContent>
                </v:textbox>
              </v:shape>
            </w:pict>
          </mc:Fallback>
        </mc:AlternateContent>
      </w:r>
      <w:r w:rsidR="00D26AE4">
        <w:rPr>
          <w:noProof/>
        </w:rPr>
        <mc:AlternateContent>
          <mc:Choice Requires="wps">
            <w:drawing>
              <wp:anchor distT="0" distB="0" distL="114300" distR="114300" simplePos="0" relativeHeight="251660799" behindDoc="1" locked="0" layoutInCell="1" allowOverlap="1" wp14:anchorId="38E733BE" wp14:editId="18B8DBE3">
                <wp:simplePos x="0" y="0"/>
                <wp:positionH relativeFrom="column">
                  <wp:posOffset>-845820</wp:posOffset>
                </wp:positionH>
                <wp:positionV relativeFrom="paragraph">
                  <wp:posOffset>-1292860</wp:posOffset>
                </wp:positionV>
                <wp:extent cx="7940040" cy="1684020"/>
                <wp:effectExtent l="0" t="0" r="22860" b="11430"/>
                <wp:wrapNone/>
                <wp:docPr id="5" name="Text Box 5"/>
                <wp:cNvGraphicFramePr/>
                <a:graphic xmlns:a="http://schemas.openxmlformats.org/drawingml/2006/main">
                  <a:graphicData uri="http://schemas.microsoft.com/office/word/2010/wordprocessingShape">
                    <wps:wsp>
                      <wps:cNvSpPr txBox="1"/>
                      <wps:spPr>
                        <a:xfrm>
                          <a:off x="0" y="0"/>
                          <a:ext cx="7940040" cy="1684020"/>
                        </a:xfrm>
                        <a:prstGeom prst="rect">
                          <a:avLst/>
                        </a:prstGeom>
                        <a:noFill/>
                        <a:ln w="6350">
                          <a:solidFill>
                            <a:prstClr val="black"/>
                          </a:solidFill>
                        </a:ln>
                      </wps:spPr>
                      <wps:txbx>
                        <w:txbxContent>
                          <w:p w14:paraId="4714628E" w14:textId="77777777" w:rsidR="003C1832" w:rsidRDefault="003C1832" w:rsidP="00D26AE4">
                            <w:pPr>
                              <w:pStyle w:val="BIDTitle"/>
                              <w:spacing w:line="240" w:lineRule="auto"/>
                              <w:jc w:val="center"/>
                              <w:rPr>
                                <w:rFonts w:ascii="Arial" w:hAnsi="Arial" w:cs="Arial"/>
                                <w:color w:val="00206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733BE" id="Text Box 5" o:spid="_x0000_s1028" type="#_x0000_t202" style="position:absolute;margin-left:-66.6pt;margin-top:-101.8pt;width:625.2pt;height:132.6pt;z-index:-25165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" filled="f" strokeweight=".5pt">
                <v:textbox>
                  <w:txbxContent>
                    <w:p w14:paraId="4714628E" w14:textId="77777777" w:rsidR="003C1832" w:rsidRDefault="003C1832" w:rsidP="00D26AE4">
                      <w:pPr>
                        <w:pStyle w:val="BIDTitle"/>
                        <w:spacing w:line="240" w:lineRule="auto"/>
                        <w:jc w:val="center"/>
                        <w:rPr>
                          <w:rFonts w:ascii="Arial" w:hAnsi="Arial" w:cs="Arial"/>
                          <w:color w:val="002060"/>
                          <w:sz w:val="40"/>
                          <w:szCs w:val="40"/>
                        </w:rPr>
                      </w:pPr>
                    </w:p>
                  </w:txbxContent>
                </v:textbox>
              </v:shape>
            </w:pict>
          </mc:Fallback>
        </mc:AlternateContent>
      </w:r>
      <w:r w:rsidR="004D22D3" w:rsidRPr="00D22816">
        <w:rPr>
          <w:i/>
          <w:noProof/>
          <w:color w:val="365F91"/>
        </w:rPr>
        <mc:AlternateContent>
          <mc:Choice Requires="wps">
            <w:drawing>
              <wp:anchor distT="0" distB="0" distL="114300" distR="114300" simplePos="0" relativeHeight="251661312" behindDoc="0" locked="0" layoutInCell="1" allowOverlap="1" wp14:anchorId="06D86178" wp14:editId="361FEF71">
                <wp:simplePos x="0" y="0"/>
                <wp:positionH relativeFrom="column">
                  <wp:posOffset>-624840</wp:posOffset>
                </wp:positionH>
                <wp:positionV relativeFrom="paragraph">
                  <wp:posOffset>-1442085</wp:posOffset>
                </wp:positionV>
                <wp:extent cx="944880" cy="269875"/>
                <wp:effectExtent l="3810" t="0" r="381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269875"/>
                        </a:xfrm>
                        <a:prstGeom prst="rect">
                          <a:avLst/>
                        </a:prstGeom>
                        <a:gradFill rotWithShape="0">
                          <a:gsLst>
                            <a:gs pos="0">
                              <a:srgbClr val="8DB3E2"/>
                            </a:gs>
                            <a:gs pos="100000">
                              <a:srgbClr val="8DB3E2">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E60EF" w14:textId="77777777" w:rsidR="003C1832" w:rsidRDefault="003C1832"/>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D86178" id="Text Box 2" o:spid="_x0000_s1029" type="#_x0000_t202" style="position:absolute;margin-left:-49.2pt;margin-top:-113.55pt;width:74.4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" fillcolor="#8db3e2" stroked="f">
                <v:fill color2="#e8f0f9" angle="90" focus="100%" type="gradient"/>
                <v:textbox style="mso-fit-shape-to-text:t">
                  <w:txbxContent>
                    <w:p w14:paraId="029E60EF" w14:textId="77777777" w:rsidR="003C1832" w:rsidRDefault="003C1832"/>
                  </w:txbxContent>
                </v:textbox>
              </v:shape>
            </w:pict>
          </mc:Fallback>
        </mc:AlternateContent>
      </w:r>
      <w:r w:rsidR="0037688D">
        <w:rPr>
          <w:rFonts w:ascii="Arial" w:hAnsi="Arial" w:cs="Arial"/>
          <w:b/>
          <w:bCs/>
          <w:color w:val="365F91"/>
          <w:sz w:val="28"/>
          <w:szCs w:val="28"/>
        </w:rPr>
        <w:t xml:space="preserve">        </w:t>
      </w:r>
    </w:p>
    <w:p w14:paraId="1AC62F1A" w14:textId="08D2CDD9" w:rsidR="00816CBB" w:rsidRPr="007173C7" w:rsidRDefault="00F05AC8" w:rsidP="00AC63EB">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INTRODUCTION</w:t>
      </w:r>
      <w:r w:rsidRPr="007173C7">
        <w:rPr>
          <w:rFonts w:asciiTheme="minorHAnsi" w:hAnsiTheme="minorHAnsi" w:cs="Arial"/>
          <w:b/>
          <w:bCs/>
          <w:color w:val="365F91"/>
          <w:sz w:val="32"/>
          <w:szCs w:val="32"/>
        </w:rPr>
        <w:t xml:space="preserve">                                                                                                                             </w:t>
      </w:r>
    </w:p>
    <w:p w14:paraId="4009BC1B" w14:textId="77777777" w:rsidR="00365E34" w:rsidRPr="00365E34" w:rsidRDefault="00365E34" w:rsidP="00365E34">
      <w:pPr>
        <w:autoSpaceDE w:val="0"/>
        <w:autoSpaceDN w:val="0"/>
        <w:adjustRightInd w:val="0"/>
        <w:rPr>
          <w:rFonts w:ascii="Garamond-BookCondensed" w:eastAsia="Times New Roman" w:hAnsi="Garamond-BookCondensed" w:cs="Garamond-BookCondensed"/>
          <w:sz w:val="20"/>
          <w:szCs w:val="20"/>
        </w:rPr>
      </w:pPr>
    </w:p>
    <w:p w14:paraId="33F2ED6C" w14:textId="42ACD06B" w:rsidR="00765B24" w:rsidRPr="005F169C" w:rsidRDefault="00765B24" w:rsidP="005F169C">
      <w:pPr>
        <w:pStyle w:val="Pa3"/>
        <w:spacing w:after="180" w:line="276" w:lineRule="auto"/>
        <w:ind w:left="-180" w:right="-270"/>
        <w:rPr>
          <w:rFonts w:asciiTheme="minorHAnsi" w:hAnsiTheme="minorHAnsi" w:cstheme="minorHAnsi"/>
          <w:bCs/>
          <w:sz w:val="23"/>
          <w:szCs w:val="23"/>
        </w:rPr>
      </w:pPr>
      <w:r w:rsidRPr="005F169C">
        <w:rPr>
          <w:rFonts w:asciiTheme="minorHAnsi" w:eastAsia="Times New Roman" w:hAnsiTheme="minorHAnsi" w:cs="Garamond-BookCondensed"/>
          <w:sz w:val="23"/>
          <w:szCs w:val="23"/>
        </w:rPr>
        <w:t>Nuc</w:t>
      </w:r>
      <w:r w:rsidR="005F169C" w:rsidRPr="005F169C">
        <w:rPr>
          <w:rFonts w:asciiTheme="minorHAnsi" w:eastAsia="Times New Roman" w:hAnsiTheme="minorHAnsi" w:cs="Garamond-BookCondensed"/>
          <w:sz w:val="23"/>
          <w:szCs w:val="23"/>
        </w:rPr>
        <w:t>l</w:t>
      </w:r>
      <w:r w:rsidRPr="005F169C">
        <w:rPr>
          <w:rFonts w:asciiTheme="minorHAnsi" w:eastAsia="Times New Roman" w:hAnsiTheme="minorHAnsi" w:cs="Garamond-BookCondensed"/>
          <w:sz w:val="23"/>
          <w:szCs w:val="23"/>
        </w:rPr>
        <w:t xml:space="preserve">eic </w:t>
      </w:r>
      <w:r w:rsidRPr="005F169C">
        <w:rPr>
          <w:rFonts w:asciiTheme="minorHAnsi" w:hAnsiTheme="minorHAnsi" w:cstheme="minorHAnsi"/>
          <w:bCs/>
          <w:sz w:val="23"/>
          <w:szCs w:val="23"/>
        </w:rPr>
        <w:t>acid amplification testing has become a standard of care for diagnosis of pulmonary tuberculosis and for guiding the management of persons suspected of having infectious tuberculosis in inpatient settings. This document highlights currently available FDA-approved testing platforms and reviews indications and appropriate use of these tests.</w:t>
      </w:r>
    </w:p>
    <w:p w14:paraId="2129BBF6" w14:textId="4E80B66E" w:rsidR="00456CE7" w:rsidRPr="007173C7" w:rsidRDefault="00765B24" w:rsidP="00456CE7">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NUCLEIC ACID AMPLIFICATION TESTS</w:t>
      </w:r>
      <w:r w:rsidR="00456CE7" w:rsidRPr="007173C7">
        <w:rPr>
          <w:rFonts w:asciiTheme="minorHAnsi" w:hAnsiTheme="minorHAnsi" w:cs="Arial"/>
          <w:b/>
          <w:bCs/>
          <w:color w:val="365F91"/>
          <w:sz w:val="32"/>
          <w:szCs w:val="32"/>
        </w:rPr>
        <w:t xml:space="preserve">                                                                                                                             </w:t>
      </w:r>
    </w:p>
    <w:p w14:paraId="591C8E01" w14:textId="77777777" w:rsidR="00456CE7" w:rsidRPr="00365E34" w:rsidRDefault="00456CE7" w:rsidP="00456CE7">
      <w:pPr>
        <w:autoSpaceDE w:val="0"/>
        <w:autoSpaceDN w:val="0"/>
        <w:adjustRightInd w:val="0"/>
        <w:rPr>
          <w:rFonts w:ascii="Garamond-BookCondensed" w:eastAsia="Times New Roman" w:hAnsi="Garamond-BookCondensed" w:cs="Garamond-BookCondensed"/>
          <w:sz w:val="20"/>
          <w:szCs w:val="20"/>
        </w:rPr>
      </w:pPr>
    </w:p>
    <w:p w14:paraId="3E1D444F" w14:textId="27E5BC4C" w:rsidR="00765B24" w:rsidRPr="005F169C" w:rsidRDefault="00765B24" w:rsidP="005F169C">
      <w:pPr>
        <w:pStyle w:val="Pa3"/>
        <w:spacing w:after="180" w:line="276" w:lineRule="auto"/>
        <w:ind w:left="-180" w:right="-270"/>
        <w:rPr>
          <w:rFonts w:asciiTheme="minorHAnsi" w:hAnsiTheme="minorHAnsi" w:cstheme="minorHAnsi"/>
          <w:bCs/>
          <w:color w:val="000000"/>
          <w:sz w:val="23"/>
          <w:szCs w:val="23"/>
        </w:rPr>
      </w:pPr>
      <w:r w:rsidRPr="005F169C">
        <w:rPr>
          <w:rFonts w:asciiTheme="minorHAnsi" w:eastAsia="Times New Roman" w:hAnsiTheme="minorHAnsi"/>
          <w:sz w:val="23"/>
          <w:szCs w:val="23"/>
        </w:rPr>
        <w:t xml:space="preserve">A nucleic </w:t>
      </w:r>
      <w:r w:rsidRPr="005F169C">
        <w:rPr>
          <w:rFonts w:asciiTheme="minorHAnsi" w:hAnsiTheme="minorHAnsi" w:cstheme="minorHAnsi"/>
          <w:bCs/>
          <w:color w:val="000000"/>
          <w:sz w:val="23"/>
          <w:szCs w:val="23"/>
        </w:rPr>
        <w:t xml:space="preserve">acid amplification (NAA) test is a powerful tool to assist in the early diagnosis of tuberculosis (TB) and determination of drug resistance. Two NAA tests are approved by the U.S. Food and Drug Administration (FDA) and are available for testing respiratory specimens: </w:t>
      </w:r>
    </w:p>
    <w:p w14:paraId="03D25A0D" w14:textId="77777777" w:rsidR="00765B24" w:rsidRPr="005F169C" w:rsidRDefault="00765B24" w:rsidP="005F169C">
      <w:pPr>
        <w:pStyle w:val="ListParagraph"/>
        <w:numPr>
          <w:ilvl w:val="0"/>
          <w:numId w:val="30"/>
        </w:numPr>
        <w:spacing w:after="200"/>
        <w:ind w:right="-270"/>
        <w:contextualSpacing/>
        <w:rPr>
          <w:rFonts w:asciiTheme="minorHAnsi" w:hAnsiTheme="minorHAnsi" w:cstheme="minorHAnsi"/>
          <w:color w:val="000000"/>
          <w:sz w:val="23"/>
          <w:szCs w:val="23"/>
        </w:rPr>
      </w:pPr>
      <w:r w:rsidRPr="005F169C">
        <w:rPr>
          <w:rFonts w:asciiTheme="minorHAnsi" w:hAnsiTheme="minorHAnsi" w:cstheme="minorHAnsi"/>
          <w:b/>
          <w:color w:val="000000"/>
          <w:sz w:val="23"/>
          <w:szCs w:val="23"/>
        </w:rPr>
        <w:t xml:space="preserve">Hologic Amplified MTD test </w:t>
      </w:r>
      <w:r w:rsidRPr="005F169C">
        <w:rPr>
          <w:rFonts w:asciiTheme="minorHAnsi" w:hAnsiTheme="minorHAnsi" w:cstheme="minorHAnsi"/>
          <w:color w:val="000000"/>
          <w:sz w:val="23"/>
          <w:szCs w:val="23"/>
        </w:rPr>
        <w:t>(</w:t>
      </w:r>
      <w:proofErr w:type="spellStart"/>
      <w:r w:rsidRPr="005F169C">
        <w:rPr>
          <w:rFonts w:asciiTheme="minorHAnsi" w:hAnsiTheme="minorHAnsi" w:cstheme="minorHAnsi"/>
          <w:color w:val="000000"/>
          <w:sz w:val="23"/>
          <w:szCs w:val="23"/>
        </w:rPr>
        <w:t>GenProbe</w:t>
      </w:r>
      <w:proofErr w:type="spellEnd"/>
      <w:r w:rsidRPr="005F169C">
        <w:rPr>
          <w:rFonts w:asciiTheme="minorHAnsi" w:hAnsiTheme="minorHAnsi" w:cstheme="minorHAnsi"/>
          <w:color w:val="000000"/>
          <w:sz w:val="23"/>
          <w:szCs w:val="23"/>
        </w:rPr>
        <w:t>): Sputum (spontaneous or induced) or bronchial specimens; patient on anti-TB therapy ≤ 7 days.</w:t>
      </w:r>
    </w:p>
    <w:p w14:paraId="37D565E9" w14:textId="77777777" w:rsidR="00765B24" w:rsidRPr="005F169C" w:rsidRDefault="00765B24" w:rsidP="005F169C">
      <w:pPr>
        <w:pStyle w:val="ListParagraph"/>
        <w:numPr>
          <w:ilvl w:val="0"/>
          <w:numId w:val="30"/>
        </w:numPr>
        <w:spacing w:after="120"/>
        <w:ind w:right="-270"/>
        <w:contextualSpacing/>
        <w:rPr>
          <w:rFonts w:asciiTheme="minorHAnsi" w:hAnsiTheme="minorHAnsi" w:cstheme="minorHAnsi"/>
          <w:sz w:val="23"/>
          <w:szCs w:val="23"/>
        </w:rPr>
      </w:pPr>
      <w:proofErr w:type="spellStart"/>
      <w:r w:rsidRPr="005F169C">
        <w:rPr>
          <w:rFonts w:asciiTheme="minorHAnsi" w:hAnsiTheme="minorHAnsi" w:cstheme="minorHAnsi"/>
          <w:b/>
          <w:color w:val="000000"/>
          <w:sz w:val="23"/>
          <w:szCs w:val="23"/>
        </w:rPr>
        <w:t>Xpert</w:t>
      </w:r>
      <w:proofErr w:type="spellEnd"/>
      <w:r w:rsidRPr="005F169C">
        <w:rPr>
          <w:rFonts w:asciiTheme="minorHAnsi" w:hAnsiTheme="minorHAnsi" w:cstheme="minorHAnsi"/>
          <w:b/>
          <w:color w:val="000000"/>
          <w:sz w:val="23"/>
          <w:szCs w:val="23"/>
        </w:rPr>
        <w:t>® MTB/RIF assay</w:t>
      </w:r>
      <w:r w:rsidRPr="005F169C">
        <w:rPr>
          <w:rFonts w:asciiTheme="minorHAnsi" w:hAnsiTheme="minorHAnsi" w:cstheme="minorHAnsi"/>
          <w:color w:val="000000"/>
          <w:sz w:val="23"/>
          <w:szCs w:val="23"/>
        </w:rPr>
        <w:t xml:space="preserve">: Sputum (spontaneous or induced) only; patient on anti-TB therapy ≤ 3 days; </w:t>
      </w:r>
      <w:r w:rsidRPr="005F169C">
        <w:rPr>
          <w:rFonts w:asciiTheme="minorHAnsi" w:hAnsiTheme="minorHAnsi" w:cstheme="minorHAnsi"/>
          <w:sz w:val="23"/>
          <w:szCs w:val="23"/>
        </w:rPr>
        <w:t xml:space="preserve">see below for bronchial specimens. </w:t>
      </w:r>
    </w:p>
    <w:p w14:paraId="10B37689" w14:textId="77777777" w:rsidR="00765B24" w:rsidRPr="005F169C" w:rsidRDefault="00765B24" w:rsidP="005F169C">
      <w:pPr>
        <w:autoSpaceDE w:val="0"/>
        <w:autoSpaceDN w:val="0"/>
        <w:adjustRightInd w:val="0"/>
        <w:ind w:left="360" w:right="-270"/>
        <w:rPr>
          <w:rFonts w:ascii="Calibri" w:hAnsi="Calibri" w:cs="Calibri"/>
          <w:color w:val="000000"/>
          <w:sz w:val="23"/>
          <w:szCs w:val="23"/>
        </w:rPr>
      </w:pPr>
      <w:r w:rsidRPr="005F169C">
        <w:rPr>
          <w:rFonts w:ascii="Calibri" w:hAnsi="Calibri" w:cs="Calibri"/>
          <w:color w:val="000000"/>
          <w:sz w:val="23"/>
          <w:szCs w:val="23"/>
        </w:rPr>
        <w:t xml:space="preserve">The </w:t>
      </w:r>
      <w:proofErr w:type="spellStart"/>
      <w:r w:rsidRPr="005F169C">
        <w:rPr>
          <w:rFonts w:ascii="Calibri" w:hAnsi="Calibri" w:cs="Calibri"/>
          <w:color w:val="000000"/>
          <w:sz w:val="23"/>
          <w:szCs w:val="23"/>
        </w:rPr>
        <w:t>Xpert</w:t>
      </w:r>
      <w:proofErr w:type="spellEnd"/>
      <w:r w:rsidRPr="005F169C">
        <w:rPr>
          <w:rFonts w:ascii="Calibri" w:hAnsi="Calibri" w:cs="Calibri"/>
          <w:color w:val="000000"/>
          <w:sz w:val="23"/>
          <w:szCs w:val="23"/>
        </w:rPr>
        <w:t xml:space="preserve">® MTB/RIF assay also determines susceptibility to Rifampin (RIF).  </w:t>
      </w:r>
      <w:r w:rsidRPr="005F169C">
        <w:rPr>
          <w:rFonts w:ascii="Calibri" w:hAnsi="Calibri" w:cs="Calibri"/>
          <w:sz w:val="23"/>
          <w:szCs w:val="23"/>
        </w:rPr>
        <w:t>If RIF resistance is detected, a specimen should be sent to a reference laboratory to confirm the resistance by DNA sequencing as soon as possible.</w:t>
      </w:r>
      <w:r w:rsidRPr="005F169C">
        <w:rPr>
          <w:rFonts w:ascii="Calibri" w:hAnsi="Calibri" w:cs="Calibri"/>
          <w:color w:val="000000"/>
          <w:sz w:val="23"/>
          <w:szCs w:val="23"/>
        </w:rPr>
        <w:t xml:space="preserve"> </w:t>
      </w:r>
    </w:p>
    <w:p w14:paraId="5BBB92CD" w14:textId="572D62ED" w:rsidR="00034D74" w:rsidRPr="007173C7" w:rsidRDefault="00765B24" w:rsidP="00034D74">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DEPARTMENT OF PUBLIC HEALTH RECOMMENDATIONS</w:t>
      </w:r>
      <w:r w:rsidR="00034D74" w:rsidRPr="007173C7">
        <w:rPr>
          <w:rFonts w:asciiTheme="minorHAnsi" w:hAnsiTheme="minorHAnsi" w:cs="Arial"/>
          <w:b/>
          <w:bCs/>
          <w:color w:val="365F91"/>
          <w:sz w:val="32"/>
          <w:szCs w:val="32"/>
        </w:rPr>
        <w:t xml:space="preserve">                                                                                                                             </w:t>
      </w:r>
    </w:p>
    <w:p w14:paraId="45FBB124" w14:textId="77777777" w:rsidR="00034D74" w:rsidRPr="00E71612" w:rsidRDefault="00034D74" w:rsidP="00456CE7">
      <w:pPr>
        <w:rPr>
          <w:rFonts w:asciiTheme="minorHAnsi" w:eastAsia="Times New Roman" w:hAnsiTheme="minorHAnsi"/>
          <w:sz w:val="20"/>
          <w:szCs w:val="20"/>
        </w:rPr>
      </w:pPr>
    </w:p>
    <w:p w14:paraId="5ADC1B1C" w14:textId="66A15115" w:rsidR="003B16CC" w:rsidRPr="005F169C" w:rsidRDefault="003B16CC" w:rsidP="005F169C">
      <w:pPr>
        <w:spacing w:after="180" w:line="276" w:lineRule="auto"/>
        <w:ind w:left="-180" w:right="-270"/>
        <w:rPr>
          <w:rFonts w:asciiTheme="minorHAnsi" w:eastAsia="Times New Roman" w:hAnsiTheme="minorHAnsi"/>
          <w:sz w:val="23"/>
          <w:szCs w:val="23"/>
        </w:rPr>
      </w:pPr>
      <w:r w:rsidRPr="005F169C">
        <w:rPr>
          <w:rFonts w:asciiTheme="minorHAnsi" w:eastAsia="Times New Roman" w:hAnsiTheme="minorHAnsi"/>
          <w:sz w:val="23"/>
          <w:szCs w:val="23"/>
        </w:rPr>
        <w:t>For initial diagnosis of Pulmonary TB, three sputum specimens should be collected 8-24 hours apart, with at least one obtained as an early morning specimen. Ideally, specimens should be collected before drug therapy is started</w:t>
      </w:r>
      <w:r w:rsidRPr="005F169C">
        <w:rPr>
          <w:rFonts w:asciiTheme="minorHAnsi" w:eastAsia="Times New Roman" w:hAnsiTheme="minorHAnsi"/>
          <w:sz w:val="23"/>
          <w:szCs w:val="23"/>
          <w:vertAlign w:val="superscript"/>
        </w:rPr>
        <w:footnoteReference w:id="1"/>
      </w:r>
      <w:r w:rsidRPr="005F169C">
        <w:rPr>
          <w:rFonts w:asciiTheme="minorHAnsi" w:eastAsia="Times New Roman" w:hAnsiTheme="minorHAnsi"/>
          <w:sz w:val="23"/>
          <w:szCs w:val="23"/>
        </w:rPr>
        <w:t xml:space="preserve">, since a few days of treatment may inhibit growth and prevent isolation of </w:t>
      </w:r>
      <w:r w:rsidRPr="005F169C">
        <w:rPr>
          <w:rFonts w:asciiTheme="minorHAnsi" w:eastAsia="Times New Roman" w:hAnsiTheme="minorHAnsi"/>
          <w:i/>
          <w:iCs/>
          <w:sz w:val="23"/>
          <w:szCs w:val="23"/>
        </w:rPr>
        <w:t>M. tuberculosis</w:t>
      </w:r>
      <w:r w:rsidRPr="005F169C">
        <w:rPr>
          <w:rFonts w:asciiTheme="minorHAnsi" w:eastAsia="Times New Roman" w:hAnsiTheme="minorHAnsi"/>
          <w:sz w:val="23"/>
          <w:szCs w:val="23"/>
        </w:rPr>
        <w:t xml:space="preserve"> complex. </w:t>
      </w:r>
    </w:p>
    <w:p w14:paraId="4908DBD6" w14:textId="349D206A" w:rsidR="003B16CC" w:rsidRPr="005F169C" w:rsidRDefault="003B16CC" w:rsidP="003B16CC">
      <w:pPr>
        <w:pStyle w:val="ListParagraph"/>
        <w:numPr>
          <w:ilvl w:val="0"/>
          <w:numId w:val="29"/>
        </w:numPr>
        <w:rPr>
          <w:rFonts w:asciiTheme="minorHAnsi" w:eastAsia="Times New Roman" w:hAnsiTheme="minorHAnsi"/>
          <w:sz w:val="23"/>
          <w:szCs w:val="23"/>
        </w:rPr>
      </w:pPr>
      <w:r w:rsidRPr="005F169C">
        <w:rPr>
          <w:rFonts w:asciiTheme="minorHAnsi" w:eastAsia="Times New Roman" w:hAnsiTheme="minorHAnsi"/>
          <w:b/>
          <w:bCs/>
          <w:sz w:val="23"/>
          <w:szCs w:val="23"/>
        </w:rPr>
        <w:t>NAA testing should be performed on at least one respiratory specimen from each patient with signs and symptoms of active pulmonary TB disease for whom a diagnosis of TB is being considered but has not yet been established.</w:t>
      </w:r>
      <w:r w:rsidRPr="005F169C">
        <w:rPr>
          <w:rFonts w:asciiTheme="minorHAnsi" w:eastAsia="Times New Roman" w:hAnsiTheme="minorHAnsi"/>
          <w:sz w:val="23"/>
          <w:szCs w:val="23"/>
        </w:rPr>
        <w:t xml:space="preserve"> Clinical suspicion for tuberculosis should be high; this may be supported further by the presence of risk for tuberculosis infection and a positive Tuberculin skin test or an Interferon-gamma Release Assay (IGRA).</w:t>
      </w:r>
    </w:p>
    <w:p w14:paraId="4B644E7C" w14:textId="77777777" w:rsidR="003B16CC" w:rsidRPr="005F169C" w:rsidRDefault="003B16CC" w:rsidP="003B16CC">
      <w:pPr>
        <w:pStyle w:val="ListParagraph"/>
        <w:numPr>
          <w:ilvl w:val="0"/>
          <w:numId w:val="29"/>
        </w:numPr>
        <w:spacing w:after="200" w:line="276" w:lineRule="auto"/>
        <w:contextualSpacing/>
        <w:rPr>
          <w:rFonts w:ascii="Calibri" w:hAnsi="Calibri" w:cs="Calibri"/>
          <w:color w:val="000000"/>
          <w:sz w:val="23"/>
          <w:szCs w:val="23"/>
        </w:rPr>
      </w:pPr>
      <w:r w:rsidRPr="005F169C">
        <w:rPr>
          <w:rFonts w:ascii="Calibri" w:hAnsi="Calibri" w:cs="Calibri"/>
          <w:color w:val="000000"/>
          <w:sz w:val="23"/>
          <w:szCs w:val="23"/>
        </w:rPr>
        <w:lastRenderedPageBreak/>
        <w:t>Specimens also should be tested by both concentrated smear and culture. NAA testing does not replace the need for acid-fast bacilli (AFB) smear and culture. Smears are helpful in interpreting test results and cultures are necessary for confirmation of identification, determination of drug susceptibility, and genotyping.</w:t>
      </w:r>
    </w:p>
    <w:p w14:paraId="7BA59347" w14:textId="783D5BB9" w:rsidR="003B16CC" w:rsidRPr="005F169C" w:rsidRDefault="003B16CC" w:rsidP="005F169C">
      <w:pPr>
        <w:spacing w:after="180" w:line="276" w:lineRule="auto"/>
        <w:ind w:left="-180" w:right="-270"/>
        <w:rPr>
          <w:rFonts w:ascii="Calibri" w:eastAsia="Times New Roman" w:hAnsi="Calibri" w:cs="Calibri"/>
          <w:sz w:val="23"/>
          <w:szCs w:val="23"/>
        </w:rPr>
      </w:pPr>
      <w:r w:rsidRPr="005F169C">
        <w:rPr>
          <w:rFonts w:ascii="Calibri" w:hAnsi="Calibri" w:cs="Calibri"/>
          <w:sz w:val="23"/>
          <w:szCs w:val="23"/>
        </w:rPr>
        <w:t xml:space="preserve">The Massachusetts State Public Health Laboratory (SPHL) can perform smear, </w:t>
      </w:r>
      <w:proofErr w:type="spellStart"/>
      <w:r w:rsidRPr="005F169C">
        <w:rPr>
          <w:rFonts w:ascii="Calibri" w:hAnsi="Calibri" w:cs="Calibri"/>
          <w:sz w:val="23"/>
          <w:szCs w:val="23"/>
        </w:rPr>
        <w:t>Xpert</w:t>
      </w:r>
      <w:proofErr w:type="spellEnd"/>
      <w:r w:rsidRPr="005F169C">
        <w:rPr>
          <w:rFonts w:ascii="Calibri" w:hAnsi="Calibri" w:cs="Calibri"/>
          <w:sz w:val="23"/>
          <w:szCs w:val="23"/>
        </w:rPr>
        <w:t xml:space="preserve">® MTB/RIF assay, culture, and drug susceptibility testing (DST). </w:t>
      </w:r>
      <w:r w:rsidRPr="005F169C">
        <w:rPr>
          <w:rFonts w:ascii="Calibri" w:hAnsi="Calibri" w:cs="Calibri"/>
          <w:b/>
          <w:color w:val="000000"/>
          <w:sz w:val="23"/>
          <w:szCs w:val="23"/>
        </w:rPr>
        <w:t xml:space="preserve">The </w:t>
      </w:r>
      <w:proofErr w:type="spellStart"/>
      <w:r w:rsidRPr="005F169C">
        <w:rPr>
          <w:rFonts w:ascii="Calibri" w:hAnsi="Calibri" w:cs="Calibri"/>
          <w:b/>
          <w:color w:val="000000"/>
          <w:sz w:val="23"/>
          <w:szCs w:val="23"/>
        </w:rPr>
        <w:t>Xpert</w:t>
      </w:r>
      <w:proofErr w:type="spellEnd"/>
      <w:r w:rsidRPr="005F169C">
        <w:rPr>
          <w:rFonts w:ascii="Calibri" w:hAnsi="Calibri" w:cs="Calibri"/>
          <w:b/>
          <w:color w:val="000000"/>
          <w:sz w:val="23"/>
          <w:szCs w:val="23"/>
        </w:rPr>
        <w:t>® MTB/RIF assay has been validated in accordance with the Clinical Laboratory Improvement Act (CLIA) by the SPHL for bronchial fluids and washes.</w:t>
      </w:r>
      <w:r w:rsidRPr="005F169C">
        <w:rPr>
          <w:rFonts w:ascii="Calibri" w:hAnsi="Calibri" w:cs="Calibri"/>
          <w:sz w:val="23"/>
          <w:szCs w:val="23"/>
        </w:rPr>
        <w:t xml:space="preserve"> </w:t>
      </w:r>
      <w:r w:rsidRPr="005F169C">
        <w:rPr>
          <w:rFonts w:ascii="Calibri" w:eastAsia="Times New Roman" w:hAnsi="Calibri" w:cs="Calibri"/>
          <w:sz w:val="23"/>
          <w:szCs w:val="23"/>
        </w:rPr>
        <w:t xml:space="preserve">All positive smear, NAAT, culture, and DST results are reported via telephone to the ordering provider as soon as they become available.  Preliminary and final reports are available on the MDPH Electronic Laboratory Reporting (ELR) web portal. To gain access to the ELR portal please contact SPHL at </w:t>
      </w:r>
      <w:hyperlink r:id="rId8" w:history="1">
        <w:r w:rsidRPr="005F169C">
          <w:rPr>
            <w:rStyle w:val="Hyperlink"/>
            <w:rFonts w:ascii="Calibri" w:eastAsia="Times New Roman" w:hAnsi="Calibri" w:cs="Calibri"/>
            <w:sz w:val="23"/>
            <w:szCs w:val="23"/>
          </w:rPr>
          <w:t>ELR.Support@massmail.state.ma.us</w:t>
        </w:r>
      </w:hyperlink>
      <w:r w:rsidRPr="005F169C">
        <w:rPr>
          <w:rFonts w:ascii="Calibri" w:eastAsia="Times New Roman" w:hAnsi="Calibri" w:cs="Calibri"/>
          <w:sz w:val="23"/>
          <w:szCs w:val="23"/>
        </w:rPr>
        <w:t xml:space="preserve">. </w:t>
      </w:r>
    </w:p>
    <w:p w14:paraId="244F2C77" w14:textId="3EF17289" w:rsidR="00EC5465" w:rsidRPr="007173C7" w:rsidRDefault="003B16CC" w:rsidP="00EC5465">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MOLECULAR DETECTION OF DRUG RESISTANCE</w:t>
      </w:r>
      <w:r w:rsidR="00EC5465" w:rsidRPr="007173C7">
        <w:rPr>
          <w:rFonts w:asciiTheme="minorHAnsi" w:hAnsiTheme="minorHAnsi" w:cs="Arial"/>
          <w:b/>
          <w:bCs/>
          <w:color w:val="365F91"/>
          <w:sz w:val="32"/>
          <w:szCs w:val="32"/>
        </w:rPr>
        <w:t xml:space="preserve">                                                                                                                             </w:t>
      </w:r>
    </w:p>
    <w:p w14:paraId="0C699352" w14:textId="77777777" w:rsidR="00EC5465" w:rsidRPr="00E71612" w:rsidRDefault="00EC5465" w:rsidP="000B0EB1">
      <w:pPr>
        <w:rPr>
          <w:rFonts w:ascii="Calibri" w:hAnsi="Calibri" w:cs="Calibri"/>
          <w:sz w:val="20"/>
          <w:szCs w:val="20"/>
        </w:rPr>
      </w:pPr>
    </w:p>
    <w:p w14:paraId="1AB98732" w14:textId="77777777" w:rsidR="003B16CC" w:rsidRPr="005F169C" w:rsidRDefault="003B16CC" w:rsidP="005F169C">
      <w:pPr>
        <w:autoSpaceDE w:val="0"/>
        <w:autoSpaceDN w:val="0"/>
        <w:adjustRightInd w:val="0"/>
        <w:spacing w:after="180" w:line="276" w:lineRule="auto"/>
        <w:ind w:left="-180" w:right="-270"/>
        <w:rPr>
          <w:rFonts w:asciiTheme="minorHAnsi" w:hAnsiTheme="minorHAnsi" w:cstheme="minorHAnsi"/>
          <w:sz w:val="23"/>
          <w:szCs w:val="23"/>
        </w:rPr>
      </w:pPr>
      <w:r w:rsidRPr="005F169C">
        <w:rPr>
          <w:rFonts w:asciiTheme="minorHAnsi" w:hAnsiTheme="minorHAnsi" w:cs="Arial"/>
          <w:sz w:val="23"/>
          <w:szCs w:val="23"/>
        </w:rPr>
        <w:t>The Centers for Disease Control and Prevention (CDC</w:t>
      </w:r>
      <w:r w:rsidRPr="005F169C">
        <w:rPr>
          <w:rFonts w:asciiTheme="minorHAnsi" w:hAnsiTheme="minorHAnsi" w:cstheme="minorHAnsi"/>
          <w:sz w:val="23"/>
          <w:szCs w:val="23"/>
        </w:rPr>
        <w:t xml:space="preserve">) offers a molecular detection of drug resistance (MDDR) testing service using DNA sequencing free of charge. The laboratory accepts NAA-positive concentrated sputum specimens as well as MTB culture isolates. The service can be accessed on request and with submission of specimens or isolates to the State Public Health Laboratory. </w:t>
      </w:r>
    </w:p>
    <w:p w14:paraId="49456C35" w14:textId="5A845BA9" w:rsidR="00EC5465" w:rsidRPr="005F169C" w:rsidRDefault="003B16CC" w:rsidP="005F169C">
      <w:pPr>
        <w:spacing w:after="180" w:line="276" w:lineRule="auto"/>
        <w:ind w:left="-180" w:right="-270"/>
        <w:rPr>
          <w:rFonts w:asciiTheme="minorHAnsi" w:hAnsiTheme="minorHAnsi" w:cstheme="minorHAnsi"/>
          <w:sz w:val="23"/>
          <w:szCs w:val="23"/>
        </w:rPr>
      </w:pPr>
      <w:r w:rsidRPr="005F169C">
        <w:rPr>
          <w:rFonts w:asciiTheme="minorHAnsi" w:hAnsiTheme="minorHAnsi" w:cstheme="minorHAnsi"/>
          <w:b/>
          <w:i/>
          <w:color w:val="000000"/>
          <w:sz w:val="23"/>
          <w:szCs w:val="23"/>
        </w:rPr>
        <w:t>Nucleic Acid Amplification testing is NOT used to monitor treatment responses</w:t>
      </w:r>
      <w:r w:rsidRPr="005F169C">
        <w:rPr>
          <w:rFonts w:asciiTheme="minorHAnsi" w:hAnsiTheme="minorHAnsi" w:cstheme="minorHAnsi"/>
          <w:color w:val="000000"/>
          <w:sz w:val="23"/>
          <w:szCs w:val="23"/>
        </w:rPr>
        <w:t>. These tests signal the presence of nucleic acid (DNA or RNA) but provide no indication of viability of the organisms nor of their ability to be transmitted.</w:t>
      </w:r>
      <w:r w:rsidR="001A3DBF" w:rsidRPr="005F169C">
        <w:rPr>
          <w:rFonts w:asciiTheme="minorHAnsi" w:hAnsiTheme="minorHAnsi" w:cstheme="minorHAnsi"/>
          <w:sz w:val="23"/>
          <w:szCs w:val="23"/>
        </w:rPr>
        <w:t xml:space="preserve"> </w:t>
      </w:r>
    </w:p>
    <w:p w14:paraId="5467CB5E" w14:textId="02DBCB62" w:rsidR="00E71612" w:rsidRPr="007173C7" w:rsidRDefault="00E71612" w:rsidP="00E71612">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TB TESTING FOR RELEASE FROM AIRBORNE INFECTION ISOLATION (AII)</w:t>
      </w:r>
      <w:r w:rsidRPr="007173C7">
        <w:rPr>
          <w:rFonts w:asciiTheme="minorHAnsi" w:hAnsiTheme="minorHAnsi" w:cs="Arial"/>
          <w:b/>
          <w:bCs/>
          <w:color w:val="365F91"/>
          <w:sz w:val="32"/>
          <w:szCs w:val="32"/>
        </w:rPr>
        <w:t xml:space="preserve">                                                                                                                             </w:t>
      </w:r>
    </w:p>
    <w:p w14:paraId="2A8D278F" w14:textId="77777777" w:rsidR="00E71612" w:rsidRDefault="00E71612" w:rsidP="00E71612">
      <w:pPr>
        <w:keepLines/>
        <w:tabs>
          <w:tab w:val="right" w:pos="10440"/>
        </w:tabs>
        <w:ind w:right="-360"/>
        <w:rPr>
          <w:rFonts w:ascii="Calibri" w:hAnsi="Calibri" w:cs="Calibri"/>
          <w:color w:val="000000"/>
          <w:sz w:val="20"/>
          <w:szCs w:val="20"/>
        </w:rPr>
      </w:pPr>
    </w:p>
    <w:p w14:paraId="7A23CD99" w14:textId="17EAECDA" w:rsidR="00E71612" w:rsidRPr="005F169C" w:rsidRDefault="00E71612" w:rsidP="005F169C">
      <w:pPr>
        <w:keepLines/>
        <w:tabs>
          <w:tab w:val="right" w:pos="10440"/>
        </w:tabs>
        <w:spacing w:after="180" w:line="276" w:lineRule="auto"/>
        <w:ind w:left="-180" w:right="-360"/>
        <w:rPr>
          <w:rFonts w:ascii="Calibri" w:hAnsi="Calibri" w:cs="Calibri"/>
          <w:sz w:val="23"/>
          <w:szCs w:val="23"/>
        </w:rPr>
      </w:pPr>
      <w:r w:rsidRPr="005F169C">
        <w:rPr>
          <w:rFonts w:ascii="Calibri" w:hAnsi="Calibri" w:cs="Calibri"/>
          <w:color w:val="000000"/>
          <w:sz w:val="23"/>
          <w:szCs w:val="23"/>
        </w:rPr>
        <w:t xml:space="preserve">The </w:t>
      </w:r>
      <w:proofErr w:type="spellStart"/>
      <w:r w:rsidRPr="005F169C">
        <w:rPr>
          <w:rFonts w:ascii="Calibri" w:hAnsi="Calibri" w:cs="Calibri"/>
          <w:color w:val="000000"/>
          <w:sz w:val="23"/>
          <w:szCs w:val="23"/>
        </w:rPr>
        <w:t>Xpert</w:t>
      </w:r>
      <w:proofErr w:type="spellEnd"/>
      <w:r w:rsidRPr="005F169C">
        <w:rPr>
          <w:rFonts w:ascii="Calibri" w:hAnsi="Calibri" w:cs="Calibri"/>
          <w:color w:val="000000"/>
          <w:sz w:val="23"/>
          <w:szCs w:val="23"/>
        </w:rPr>
        <w:t xml:space="preserve">® MTB/RIF has been approved by the FDA to assist in decision-making regarding release of a patient with suspected infectious TB from AII. A protocol for this application has been developed by the National TB Controllers Association and the Association of Public Health Laboratories. The link to the protocol is included in the Resources section below. </w:t>
      </w:r>
    </w:p>
    <w:p w14:paraId="56B65995" w14:textId="45160DFF" w:rsidR="00F52B58" w:rsidRPr="007173C7" w:rsidRDefault="00F52B58" w:rsidP="00E71612">
      <w:pPr>
        <w:keepLines/>
        <w:pBdr>
          <w:bottom w:val="single" w:sz="18" w:space="5" w:color="BFBFBF"/>
        </w:pBdr>
        <w:tabs>
          <w:tab w:val="right" w:pos="10440"/>
        </w:tabs>
        <w:spacing w:before="360"/>
        <w:ind w:right="-360" w:hanging="360"/>
        <w:rPr>
          <w:rFonts w:asciiTheme="minorHAnsi" w:hAnsiTheme="minorHAnsi" w:cs="Arial"/>
          <w:b/>
          <w:bCs/>
          <w:color w:val="365F91"/>
          <w:sz w:val="32"/>
          <w:szCs w:val="32"/>
        </w:rPr>
      </w:pPr>
      <w:r>
        <w:rPr>
          <w:rFonts w:asciiTheme="minorHAnsi" w:hAnsiTheme="minorHAnsi" w:cs="Arial"/>
          <w:b/>
          <w:bCs/>
          <w:color w:val="365F91"/>
          <w:sz w:val="32"/>
          <w:szCs w:val="32"/>
        </w:rPr>
        <w:t>RESOURCE</w:t>
      </w:r>
      <w:r w:rsidR="003B16CC">
        <w:rPr>
          <w:rFonts w:asciiTheme="minorHAnsi" w:hAnsiTheme="minorHAnsi" w:cs="Arial"/>
          <w:b/>
          <w:bCs/>
          <w:color w:val="365F91"/>
          <w:sz w:val="32"/>
          <w:szCs w:val="32"/>
        </w:rPr>
        <w:t>S</w:t>
      </w:r>
    </w:p>
    <w:p w14:paraId="3C278F03" w14:textId="77777777" w:rsidR="003B16CC" w:rsidRPr="00E71612" w:rsidRDefault="003B16CC" w:rsidP="00F52B58">
      <w:pPr>
        <w:rPr>
          <w:rFonts w:asciiTheme="minorHAnsi" w:hAnsiTheme="minorHAnsi" w:cs="Arial"/>
          <w:sz w:val="20"/>
          <w:szCs w:val="20"/>
        </w:rPr>
      </w:pPr>
    </w:p>
    <w:p w14:paraId="30320412" w14:textId="6712D5A4" w:rsidR="003B16CC" w:rsidRPr="005F169C" w:rsidRDefault="00F8584D" w:rsidP="005F169C">
      <w:pPr>
        <w:ind w:left="-180"/>
        <w:rPr>
          <w:rStyle w:val="Hyperlink"/>
          <w:rFonts w:asciiTheme="minorHAnsi" w:hAnsiTheme="minorHAnsi" w:cstheme="minorHAnsi"/>
          <w:sz w:val="23"/>
          <w:szCs w:val="23"/>
        </w:rPr>
      </w:pPr>
      <w:hyperlink r:id="rId9" w:history="1">
        <w:r w:rsidR="003B16CC" w:rsidRPr="005F169C">
          <w:rPr>
            <w:rStyle w:val="Hyperlink"/>
            <w:rFonts w:asciiTheme="minorHAnsi" w:hAnsiTheme="minorHAnsi" w:cstheme="minorHAnsi"/>
            <w:sz w:val="23"/>
            <w:szCs w:val="23"/>
          </w:rPr>
          <w:t>Report of an expert consultation on the uses of nucleic acid amplification tests for the diagnosis of tuberculosis</w:t>
        </w:r>
      </w:hyperlink>
    </w:p>
    <w:p w14:paraId="589AE365" w14:textId="77777777" w:rsidR="003B16CC" w:rsidRPr="005F169C" w:rsidRDefault="003B16CC" w:rsidP="005F169C">
      <w:pPr>
        <w:ind w:left="-180"/>
        <w:rPr>
          <w:rFonts w:asciiTheme="minorHAnsi" w:hAnsiTheme="minorHAnsi" w:cstheme="minorHAnsi"/>
          <w:sz w:val="23"/>
          <w:szCs w:val="23"/>
        </w:rPr>
      </w:pPr>
    </w:p>
    <w:p w14:paraId="09D2ED93" w14:textId="77777777" w:rsidR="003B16CC" w:rsidRPr="005F169C" w:rsidRDefault="00F8584D" w:rsidP="005F169C">
      <w:pPr>
        <w:ind w:left="-180"/>
        <w:rPr>
          <w:rFonts w:asciiTheme="minorHAnsi" w:hAnsiTheme="minorHAnsi" w:cstheme="minorHAnsi"/>
          <w:b/>
          <w:bCs/>
          <w:sz w:val="23"/>
          <w:szCs w:val="23"/>
        </w:rPr>
      </w:pPr>
      <w:hyperlink r:id="rId10" w:anchor=".YCFWIDGSk2x" w:history="1">
        <w:r w:rsidR="003B16CC" w:rsidRPr="005F169C">
          <w:rPr>
            <w:rStyle w:val="Hyperlink"/>
            <w:rFonts w:asciiTheme="minorHAnsi" w:hAnsiTheme="minorHAnsi" w:cstheme="minorHAnsi"/>
            <w:sz w:val="23"/>
            <w:szCs w:val="23"/>
            <w:bdr w:val="none" w:sz="0" w:space="0" w:color="auto" w:frame="1"/>
          </w:rPr>
          <w:t xml:space="preserve">Consensus Statement on the Use of Cepheid </w:t>
        </w:r>
        <w:proofErr w:type="spellStart"/>
        <w:r w:rsidR="003B16CC" w:rsidRPr="005F169C">
          <w:rPr>
            <w:rStyle w:val="Hyperlink"/>
            <w:rFonts w:asciiTheme="minorHAnsi" w:hAnsiTheme="minorHAnsi" w:cstheme="minorHAnsi"/>
            <w:sz w:val="23"/>
            <w:szCs w:val="23"/>
            <w:bdr w:val="none" w:sz="0" w:space="0" w:color="auto" w:frame="1"/>
          </w:rPr>
          <w:t>Xpert</w:t>
        </w:r>
        <w:proofErr w:type="spellEnd"/>
        <w:r w:rsidR="003B16CC" w:rsidRPr="005F169C">
          <w:rPr>
            <w:rStyle w:val="Hyperlink"/>
            <w:rFonts w:asciiTheme="minorHAnsi" w:hAnsiTheme="minorHAnsi" w:cstheme="minorHAnsi"/>
            <w:sz w:val="23"/>
            <w:szCs w:val="23"/>
            <w:bdr w:val="none" w:sz="0" w:space="0" w:color="auto" w:frame="1"/>
          </w:rPr>
          <w:t xml:space="preserve"> MTB/RIF Assay in Making Decisions to Discontinue Airborne Infection Isolation in Healthcare Settings</w:t>
        </w:r>
      </w:hyperlink>
    </w:p>
    <w:p w14:paraId="35CE58B8" w14:textId="77777777" w:rsidR="003B16CC" w:rsidRPr="005F169C" w:rsidRDefault="003B16CC" w:rsidP="005F169C">
      <w:pPr>
        <w:ind w:left="-180"/>
        <w:rPr>
          <w:rFonts w:asciiTheme="minorHAnsi" w:hAnsiTheme="minorHAnsi" w:cstheme="minorHAnsi"/>
          <w:sz w:val="23"/>
          <w:szCs w:val="23"/>
        </w:rPr>
      </w:pPr>
    </w:p>
    <w:p w14:paraId="075026F4" w14:textId="42DB5299" w:rsidR="002C484A" w:rsidRPr="005F169C" w:rsidRDefault="00F52B58" w:rsidP="005F169C">
      <w:pPr>
        <w:ind w:left="-180"/>
        <w:rPr>
          <w:rFonts w:asciiTheme="minorHAnsi" w:hAnsiTheme="minorHAnsi" w:cstheme="minorHAnsi"/>
          <w:sz w:val="23"/>
          <w:szCs w:val="23"/>
        </w:rPr>
      </w:pPr>
      <w:r w:rsidRPr="005F169C">
        <w:rPr>
          <w:rFonts w:asciiTheme="minorHAnsi" w:hAnsiTheme="minorHAnsi" w:cstheme="minorHAnsi"/>
          <w:sz w:val="23"/>
          <w:szCs w:val="23"/>
        </w:rPr>
        <w:t>For more information</w:t>
      </w:r>
      <w:r w:rsidR="003B16CC" w:rsidRPr="005F169C">
        <w:rPr>
          <w:rFonts w:asciiTheme="minorHAnsi" w:hAnsiTheme="minorHAnsi" w:cstheme="minorHAnsi"/>
          <w:sz w:val="23"/>
          <w:szCs w:val="23"/>
        </w:rPr>
        <w:t>,</w:t>
      </w:r>
      <w:r w:rsidRPr="005F169C">
        <w:rPr>
          <w:rFonts w:asciiTheme="minorHAnsi" w:hAnsiTheme="minorHAnsi" w:cstheme="minorHAnsi"/>
          <w:sz w:val="23"/>
          <w:szCs w:val="23"/>
        </w:rPr>
        <w:t xml:space="preserve"> contact the Massachusetts TB Program at 617-983-6970</w:t>
      </w:r>
      <w:r w:rsidR="00C158BB" w:rsidRPr="005F169C">
        <w:rPr>
          <w:rFonts w:asciiTheme="minorHAnsi" w:hAnsiTheme="minorHAnsi" w:cstheme="minorHAnsi"/>
          <w:sz w:val="23"/>
          <w:szCs w:val="23"/>
        </w:rPr>
        <w:t>.</w:t>
      </w:r>
    </w:p>
    <w:sectPr w:rsidR="002C484A" w:rsidRPr="005F169C" w:rsidSect="00F8584D">
      <w:headerReference w:type="default" r:id="rId11"/>
      <w:footerReference w:type="default" r:id="rId12"/>
      <w:footerReference w:type="first" r:id="rId13"/>
      <w:pgSz w:w="12240" w:h="15840"/>
      <w:pgMar w:top="1800" w:right="1080" w:bottom="1440" w:left="1080" w:header="1008"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2EC83" w14:textId="77777777" w:rsidR="001E6BDE" w:rsidRDefault="001E6BDE" w:rsidP="00505F11">
      <w:r>
        <w:separator/>
      </w:r>
    </w:p>
  </w:endnote>
  <w:endnote w:type="continuationSeparator" w:id="0">
    <w:p w14:paraId="4465CD3B" w14:textId="77777777" w:rsidR="001E6BDE" w:rsidRDefault="001E6BDE"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BookCondensed">
    <w:altName w:val="Garamon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AEF0C" w14:textId="4BB31F46" w:rsidR="003C1832" w:rsidRDefault="003C1832" w:rsidP="007173C7">
    <w:pPr>
      <w:pStyle w:val="Footer"/>
      <w:pBdr>
        <w:top w:val="single" w:sz="4" w:space="0" w:color="BFBFBF"/>
      </w:pBdr>
      <w:tabs>
        <w:tab w:val="clear" w:pos="8640"/>
      </w:tabs>
      <w:rPr>
        <w:rFonts w:asciiTheme="minorHAnsi" w:hAnsiTheme="minorHAnsi" w:cstheme="minorHAnsi"/>
        <w:noProof/>
        <w:sz w:val="20"/>
        <w:szCs w:val="20"/>
      </w:rPr>
    </w:pPr>
    <w:r w:rsidRPr="00403DDE">
      <w:rPr>
        <w:rFonts w:ascii="Calibri" w:hAnsi="Calibri"/>
        <w:sz w:val="20"/>
        <w:szCs w:val="20"/>
      </w:rPr>
      <w:t>Bureau of Infectious Disease and Laboratory Sciences</w:t>
    </w:r>
    <w:r>
      <w:rPr>
        <w:rFonts w:ascii="Calibri" w:hAnsi="Calibri"/>
        <w:sz w:val="20"/>
        <w:szCs w:val="20"/>
      </w:rPr>
      <w:t xml:space="preserve"> | </w:t>
    </w:r>
    <w:r w:rsidRPr="00403DDE">
      <w:rPr>
        <w:rFonts w:ascii="Calibri" w:hAnsi="Calibri"/>
        <w:sz w:val="20"/>
        <w:szCs w:val="20"/>
      </w:rPr>
      <w:t>Division of Global Populations and Infectious Disease Prevention</w:t>
    </w:r>
    <w:r>
      <w:rPr>
        <w:rFonts w:ascii="Calibri" w:hAnsi="Calibri"/>
        <w:sz w:val="20"/>
        <w:szCs w:val="20"/>
      </w:rPr>
      <w:t xml:space="preserve">                                                                                                                                                                                    </w:t>
    </w:r>
    <w:r w:rsidRPr="00BB4D8D">
      <w:rPr>
        <w:rFonts w:ascii="Calibri" w:hAnsi="Calibri"/>
        <w:sz w:val="20"/>
        <w:szCs w:val="20"/>
      </w:rPr>
      <w:t>305 South Street, Jamaica Plain, MA 02130</w:t>
    </w:r>
    <w:r>
      <w:rPr>
        <w:rFonts w:ascii="Calibri" w:hAnsi="Calibri"/>
        <w:sz w:val="20"/>
        <w:szCs w:val="20"/>
      </w:rPr>
      <w:t xml:space="preserve">  </w:t>
    </w:r>
    <w:hyperlink r:id="rId1" w:history="1">
      <w:r w:rsidR="003B16CC" w:rsidRPr="00843DB8">
        <w:rPr>
          <w:rStyle w:val="Hyperlink"/>
          <w:rFonts w:ascii="Calibri" w:hAnsi="Calibri"/>
          <w:sz w:val="20"/>
          <w:szCs w:val="20"/>
        </w:rPr>
        <w:t>www.mass.gov/tuberculosis</w:t>
      </w:r>
    </w:hyperlink>
    <w:r>
      <w:rPr>
        <w:rFonts w:ascii="Calibri" w:hAnsi="Calibri"/>
        <w:sz w:val="20"/>
        <w:szCs w:val="20"/>
      </w:rPr>
      <w:t xml:space="preserve">   </w:t>
    </w:r>
    <w:r>
      <w:rPr>
        <w:rFonts w:ascii="Calibri" w:hAnsi="Calibri"/>
        <w:sz w:val="20"/>
        <w:szCs w:val="20"/>
      </w:rPr>
      <w:tab/>
    </w:r>
    <w:r w:rsidR="005F169C">
      <w:rPr>
        <w:rFonts w:ascii="Calibri" w:hAnsi="Calibri"/>
        <w:sz w:val="20"/>
        <w:szCs w:val="20"/>
      </w:rPr>
      <w:tab/>
    </w:r>
    <w:r w:rsidR="005F169C">
      <w:rPr>
        <w:rFonts w:ascii="Calibri" w:hAnsi="Calibri"/>
        <w:sz w:val="20"/>
        <w:szCs w:val="20"/>
      </w:rPr>
      <w:tab/>
    </w:r>
    <w:r w:rsidR="003B16CC">
      <w:rPr>
        <w:rFonts w:ascii="Calibri" w:hAnsi="Calibri"/>
        <w:sz w:val="20"/>
        <w:szCs w:val="20"/>
      </w:rPr>
      <w:t xml:space="preserve">April </w:t>
    </w:r>
    <w:r>
      <w:rPr>
        <w:rFonts w:asciiTheme="minorHAnsi" w:hAnsiTheme="minorHAnsi" w:cstheme="minorHAnsi"/>
        <w:sz w:val="20"/>
        <w:szCs w:val="20"/>
      </w:rPr>
      <w:t>20</w:t>
    </w:r>
    <w:r w:rsidR="003B16CC">
      <w:rPr>
        <w:rFonts w:asciiTheme="minorHAnsi" w:hAnsiTheme="minorHAnsi" w:cstheme="minorHAnsi"/>
        <w:sz w:val="20"/>
        <w:szCs w:val="20"/>
      </w:rPr>
      <w:t>2</w:t>
    </w:r>
    <w:r>
      <w:rPr>
        <w:rFonts w:asciiTheme="minorHAnsi" w:hAnsiTheme="minorHAnsi" w:cstheme="minorHAnsi"/>
        <w:sz w:val="20"/>
        <w:szCs w:val="20"/>
      </w:rPr>
      <w:t>1</w:t>
    </w:r>
    <w:r w:rsidRPr="00BB4D8D">
      <w:rPr>
        <w:rFonts w:asciiTheme="minorHAnsi" w:hAnsiTheme="minorHAnsi" w:cstheme="minorHAnsi"/>
        <w:sz w:val="20"/>
        <w:szCs w:val="20"/>
      </w:rPr>
      <w:t xml:space="preserve"> - Page | </w:t>
    </w:r>
    <w:r w:rsidRPr="00BB4D8D">
      <w:rPr>
        <w:rFonts w:asciiTheme="minorHAnsi" w:hAnsiTheme="minorHAnsi" w:cstheme="minorHAnsi"/>
        <w:sz w:val="20"/>
        <w:szCs w:val="20"/>
      </w:rPr>
      <w:fldChar w:fldCharType="begin"/>
    </w:r>
    <w:r w:rsidRPr="00BB4D8D">
      <w:rPr>
        <w:rFonts w:asciiTheme="minorHAnsi" w:hAnsiTheme="minorHAnsi" w:cstheme="minorHAnsi"/>
        <w:sz w:val="20"/>
        <w:szCs w:val="20"/>
      </w:rPr>
      <w:instrText xml:space="preserve"> PAGE   \* MERGEFORMAT </w:instrText>
    </w:r>
    <w:r w:rsidRPr="00BB4D8D">
      <w:rPr>
        <w:rFonts w:asciiTheme="minorHAnsi" w:hAnsiTheme="minorHAnsi" w:cstheme="minorHAnsi"/>
        <w:sz w:val="20"/>
        <w:szCs w:val="20"/>
      </w:rPr>
      <w:fldChar w:fldCharType="separate"/>
    </w:r>
    <w:r w:rsidR="00316C04">
      <w:rPr>
        <w:rFonts w:asciiTheme="minorHAnsi" w:hAnsiTheme="minorHAnsi" w:cstheme="minorHAnsi"/>
        <w:noProof/>
        <w:sz w:val="20"/>
        <w:szCs w:val="20"/>
      </w:rPr>
      <w:t>1</w:t>
    </w:r>
    <w:r w:rsidRPr="00BB4D8D">
      <w:rPr>
        <w:rFonts w:asciiTheme="minorHAnsi" w:hAnsiTheme="minorHAnsi" w:cstheme="minorHAnsi"/>
        <w:noProof/>
        <w:sz w:val="20"/>
        <w:szCs w:val="20"/>
      </w:rPr>
      <w:fldChar w:fldCharType="end"/>
    </w:r>
  </w:p>
  <w:p w14:paraId="0CA18950" w14:textId="77777777" w:rsidR="003C1832" w:rsidRDefault="003C1832" w:rsidP="007173C7">
    <w:pPr>
      <w:pStyle w:val="Footer"/>
      <w:ind w:left="720" w:hanging="1170"/>
      <w:rPr>
        <w:rFonts w:asciiTheme="minorHAnsi" w:hAnsiTheme="minorHAnsi" w:cstheme="minorHAnsi"/>
        <w:noProof/>
        <w:sz w:val="20"/>
        <w:szCs w:val="20"/>
      </w:rPr>
    </w:pPr>
  </w:p>
  <w:p w14:paraId="2C1D6F65" w14:textId="77777777" w:rsidR="003C1832" w:rsidRPr="00BB4D8D" w:rsidRDefault="003C1832" w:rsidP="007173C7">
    <w:pPr>
      <w:pStyle w:val="Footer"/>
      <w:ind w:left="720" w:hanging="1170"/>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4CD31" w14:textId="77777777" w:rsidR="003C1832" w:rsidRDefault="003C1832" w:rsidP="004D22D3">
    <w:pPr>
      <w:pStyle w:val="Footer"/>
      <w:jc w:val="right"/>
    </w:pP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F7156" w14:textId="77777777" w:rsidR="001E6BDE" w:rsidRDefault="001E6BDE" w:rsidP="00505F11">
      <w:r>
        <w:separator/>
      </w:r>
    </w:p>
  </w:footnote>
  <w:footnote w:type="continuationSeparator" w:id="0">
    <w:p w14:paraId="34BCBCED" w14:textId="77777777" w:rsidR="001E6BDE" w:rsidRDefault="001E6BDE" w:rsidP="00505F11">
      <w:r>
        <w:continuationSeparator/>
      </w:r>
    </w:p>
  </w:footnote>
  <w:footnote w:id="1">
    <w:p w14:paraId="6ABD4606" w14:textId="77777777" w:rsidR="003B16CC" w:rsidRDefault="003B16CC" w:rsidP="003B16CC">
      <w:pPr>
        <w:pStyle w:val="FootnoteText"/>
      </w:pPr>
      <w:r>
        <w:rPr>
          <w:rStyle w:val="FootnoteReference"/>
        </w:rPr>
        <w:footnoteRef/>
      </w:r>
      <w:r>
        <w:t xml:space="preserve"> </w:t>
      </w:r>
      <w:r w:rsidRPr="002C5B51">
        <w:rPr>
          <w:rFonts w:cstheme="minorHAnsi"/>
          <w:color w:val="000000"/>
          <w:sz w:val="22"/>
          <w:szCs w:val="24"/>
        </w:rPr>
        <w:t xml:space="preserve">Commercial nucleic acid amplification (NAA) tests cannot be performed if patients have been on anti-tuberculous therapy for </w:t>
      </w:r>
      <w:r w:rsidRPr="002C5B51">
        <w:rPr>
          <w:rFonts w:cstheme="minorHAnsi"/>
          <w:color w:val="000000"/>
          <w:sz w:val="22"/>
          <w:szCs w:val="24"/>
          <w:u w:val="single"/>
        </w:rPr>
        <w:t>&gt;</w:t>
      </w:r>
      <w:r>
        <w:rPr>
          <w:rFonts w:cstheme="minorHAnsi"/>
          <w:color w:val="000000"/>
          <w:sz w:val="22"/>
          <w:szCs w:val="24"/>
        </w:rPr>
        <w:t>3</w:t>
      </w:r>
      <w:r w:rsidRPr="002C5B51">
        <w:rPr>
          <w:rFonts w:cstheme="minorHAnsi"/>
          <w:color w:val="000000"/>
          <w:sz w:val="22"/>
          <w:szCs w:val="24"/>
        </w:rPr>
        <w:t xml:space="preserve"> days </w:t>
      </w:r>
      <w:r>
        <w:rPr>
          <w:rFonts w:cstheme="minorHAnsi"/>
          <w:color w:val="000000"/>
          <w:sz w:val="22"/>
          <w:szCs w:val="24"/>
        </w:rPr>
        <w:t>with</w:t>
      </w:r>
      <w:r w:rsidRPr="002C5B51">
        <w:rPr>
          <w:rFonts w:cstheme="minorHAnsi"/>
          <w:color w:val="000000"/>
          <w:sz w:val="22"/>
          <w:szCs w:val="24"/>
        </w:rPr>
        <w:t xml:space="preserve"> the </w:t>
      </w:r>
      <w:proofErr w:type="spellStart"/>
      <w:r w:rsidRPr="002C5B51">
        <w:rPr>
          <w:rFonts w:cstheme="minorHAnsi"/>
          <w:color w:val="000000"/>
          <w:sz w:val="22"/>
          <w:szCs w:val="24"/>
        </w:rPr>
        <w:t>Xpert</w:t>
      </w:r>
      <w:proofErr w:type="spellEnd"/>
      <w:r w:rsidRPr="002C5B51">
        <w:rPr>
          <w:rFonts w:cstheme="minorHAnsi"/>
          <w:color w:val="000000"/>
          <w:sz w:val="22"/>
          <w:szCs w:val="24"/>
        </w:rPr>
        <w:t xml:space="preserve"> MTB/RIF</w:t>
      </w:r>
      <w:r w:rsidRPr="002C5B51">
        <w:rPr>
          <w:rStyle w:val="A3"/>
          <w:rFonts w:cstheme="minorHAnsi"/>
          <w:sz w:val="22"/>
          <w:szCs w:val="24"/>
        </w:rPr>
        <w:t xml:space="preserve"> </w:t>
      </w:r>
      <w:r w:rsidRPr="002C5B51">
        <w:rPr>
          <w:rFonts w:cstheme="minorHAnsi"/>
          <w:color w:val="000000"/>
          <w:sz w:val="22"/>
          <w:szCs w:val="24"/>
        </w:rPr>
        <w:t xml:space="preserve">assay or </w:t>
      </w:r>
      <w:r w:rsidRPr="002C5B51">
        <w:rPr>
          <w:rFonts w:cstheme="minorHAnsi"/>
          <w:color w:val="000000"/>
          <w:sz w:val="22"/>
          <w:szCs w:val="24"/>
          <w:u w:val="single"/>
        </w:rPr>
        <w:t>&gt;</w:t>
      </w:r>
      <w:r>
        <w:rPr>
          <w:rFonts w:cstheme="minorHAnsi"/>
          <w:color w:val="000000"/>
          <w:sz w:val="22"/>
          <w:szCs w:val="24"/>
        </w:rPr>
        <w:t>7</w:t>
      </w:r>
      <w:r w:rsidRPr="002C5B51">
        <w:rPr>
          <w:rFonts w:cstheme="minorHAnsi"/>
          <w:color w:val="000000"/>
          <w:sz w:val="22"/>
          <w:szCs w:val="24"/>
        </w:rPr>
        <w:t xml:space="preserve"> days with the Amplified MTD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C4FD2" w14:textId="248482A5" w:rsidR="00F8584D" w:rsidRPr="00F8584D" w:rsidRDefault="00F8584D" w:rsidP="00F8584D">
    <w:pPr>
      <w:pStyle w:val="Header"/>
      <w:jc w:val="right"/>
      <w:rPr>
        <w:rFonts w:ascii="Calibri" w:hAnsi="Calibri" w:cs="Calibri"/>
        <w:sz w:val="20"/>
        <w:szCs w:val="20"/>
      </w:rPr>
    </w:pPr>
    <w:r>
      <w:rPr>
        <w:rFonts w:ascii="Calibri" w:hAnsi="Calibri" w:cs="Calibri"/>
        <w:sz w:val="20"/>
        <w:szCs w:val="20"/>
      </w:rPr>
      <w:t>Nucleic Acid Amplification Testing for 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A092D"/>
    <w:multiLevelType w:val="singleLevel"/>
    <w:tmpl w:val="DA9AE6E8"/>
    <w:lvl w:ilvl="0">
      <w:start w:val="2"/>
      <w:numFmt w:val="decimal"/>
      <w:lvlText w:val="%1."/>
      <w:lvlJc w:val="left"/>
      <w:pPr>
        <w:tabs>
          <w:tab w:val="num" w:pos="360"/>
        </w:tabs>
        <w:ind w:left="360" w:hanging="360"/>
      </w:pPr>
      <w:rPr>
        <w:b w:val="0"/>
        <w:i w:val="0"/>
      </w:rPr>
    </w:lvl>
  </w:abstractNum>
  <w:abstractNum w:abstractNumId="1" w15:restartNumberingAfterBreak="0">
    <w:nsid w:val="0E853705"/>
    <w:multiLevelType w:val="hybridMultilevel"/>
    <w:tmpl w:val="BE08B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9A7F1E"/>
    <w:multiLevelType w:val="hybridMultilevel"/>
    <w:tmpl w:val="0950C4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73AC7"/>
    <w:multiLevelType w:val="hybridMultilevel"/>
    <w:tmpl w:val="2D92C30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1D656A"/>
    <w:multiLevelType w:val="hybridMultilevel"/>
    <w:tmpl w:val="CF2446E4"/>
    <w:lvl w:ilvl="0" w:tplc="C9DC8ACC">
      <w:start w:val="3"/>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D5EBA"/>
    <w:multiLevelType w:val="hybridMultilevel"/>
    <w:tmpl w:val="F0EE94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047EA"/>
    <w:multiLevelType w:val="hybridMultilevel"/>
    <w:tmpl w:val="0E286F36"/>
    <w:lvl w:ilvl="0" w:tplc="4D9229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42A96"/>
    <w:multiLevelType w:val="hybridMultilevel"/>
    <w:tmpl w:val="D04A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F24A6"/>
    <w:multiLevelType w:val="hybridMultilevel"/>
    <w:tmpl w:val="40F208BE"/>
    <w:lvl w:ilvl="0" w:tplc="E696C60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D2690"/>
    <w:multiLevelType w:val="singleLevel"/>
    <w:tmpl w:val="04090001"/>
    <w:lvl w:ilvl="0">
      <w:start w:val="1"/>
      <w:numFmt w:val="bullet"/>
      <w:lvlText w:val=""/>
      <w:lvlJc w:val="left"/>
      <w:pPr>
        <w:ind w:left="720" w:hanging="360"/>
      </w:pPr>
      <w:rPr>
        <w:rFonts w:ascii="Symbol" w:hAnsi="Symbol" w:hint="default"/>
        <w:b w:val="0"/>
        <w:i w:val="0"/>
      </w:rPr>
    </w:lvl>
  </w:abstractNum>
  <w:abstractNum w:abstractNumId="10" w15:restartNumberingAfterBreak="0">
    <w:nsid w:val="364B092D"/>
    <w:multiLevelType w:val="hybridMultilevel"/>
    <w:tmpl w:val="72A0CD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592F85"/>
    <w:multiLevelType w:val="hybridMultilevel"/>
    <w:tmpl w:val="8922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34ADC"/>
    <w:multiLevelType w:val="hybridMultilevel"/>
    <w:tmpl w:val="198A464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0400599"/>
    <w:multiLevelType w:val="hybridMultilevel"/>
    <w:tmpl w:val="FC6A3852"/>
    <w:lvl w:ilvl="0" w:tplc="4FEC89D2">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607F4C"/>
    <w:multiLevelType w:val="hybridMultilevel"/>
    <w:tmpl w:val="95EA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637D2"/>
    <w:multiLevelType w:val="hybridMultilevel"/>
    <w:tmpl w:val="63B0C776"/>
    <w:lvl w:ilvl="0" w:tplc="04090015">
      <w:start w:val="1"/>
      <w:numFmt w:val="upperLetter"/>
      <w:lvlText w:val="%1."/>
      <w:lvlJc w:val="left"/>
      <w:pPr>
        <w:ind w:left="720" w:hanging="360"/>
      </w:pPr>
      <w:rPr>
        <w:rFonts w:hint="default"/>
      </w:rPr>
    </w:lvl>
    <w:lvl w:ilvl="1" w:tplc="4FEC89D2">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B2295"/>
    <w:multiLevelType w:val="hybridMultilevel"/>
    <w:tmpl w:val="E738C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F64EF0"/>
    <w:multiLevelType w:val="hybridMultilevel"/>
    <w:tmpl w:val="0276C6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86FD9"/>
    <w:multiLevelType w:val="hybridMultilevel"/>
    <w:tmpl w:val="5EFC72D6"/>
    <w:lvl w:ilvl="0" w:tplc="253264BE">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8531D"/>
    <w:multiLevelType w:val="hybridMultilevel"/>
    <w:tmpl w:val="92B013F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09B57C7"/>
    <w:multiLevelType w:val="hybridMultilevel"/>
    <w:tmpl w:val="89DA063E"/>
    <w:lvl w:ilvl="0" w:tplc="04090013">
      <w:start w:val="1"/>
      <w:numFmt w:val="upperRoman"/>
      <w:lvlText w:val="%1."/>
      <w:lvlJc w:val="righ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E5130"/>
    <w:multiLevelType w:val="hybridMultilevel"/>
    <w:tmpl w:val="DC6A4D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45551B0"/>
    <w:multiLevelType w:val="hybridMultilevel"/>
    <w:tmpl w:val="2FB24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4" w15:restartNumberingAfterBreak="0">
    <w:nsid w:val="67E91FAC"/>
    <w:multiLevelType w:val="hybridMultilevel"/>
    <w:tmpl w:val="82821B5C"/>
    <w:lvl w:ilvl="0" w:tplc="4FEC89D2">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826477F"/>
    <w:multiLevelType w:val="hybridMultilevel"/>
    <w:tmpl w:val="504A7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2B5646"/>
    <w:multiLevelType w:val="hybridMultilevel"/>
    <w:tmpl w:val="B41890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50B9D"/>
    <w:multiLevelType w:val="hybridMultilevel"/>
    <w:tmpl w:val="9B3E0F76"/>
    <w:lvl w:ilvl="0" w:tplc="594AD298">
      <w:start w:val="1"/>
      <w:numFmt w:val="upperRoman"/>
      <w:lvlText w:val="%1."/>
      <w:lvlJc w:val="righ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64561B"/>
    <w:multiLevelType w:val="hybridMultilevel"/>
    <w:tmpl w:val="2B36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4036E"/>
    <w:multiLevelType w:val="hybridMultilevel"/>
    <w:tmpl w:val="A95A94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3"/>
  </w:num>
  <w:num w:numId="2">
    <w:abstractNumId w:val="2"/>
  </w:num>
  <w:num w:numId="3">
    <w:abstractNumId w:val="17"/>
  </w:num>
  <w:num w:numId="4">
    <w:abstractNumId w:val="9"/>
  </w:num>
  <w:num w:numId="5">
    <w:abstractNumId w:val="0"/>
  </w:num>
  <w:num w:numId="6">
    <w:abstractNumId w:val="29"/>
  </w:num>
  <w:num w:numId="7">
    <w:abstractNumId w:val="19"/>
  </w:num>
  <w:num w:numId="8">
    <w:abstractNumId w:val="12"/>
  </w:num>
  <w:num w:numId="9">
    <w:abstractNumId w:val="22"/>
  </w:num>
  <w:num w:numId="10">
    <w:abstractNumId w:val="26"/>
  </w:num>
  <w:num w:numId="11">
    <w:abstractNumId w:val="3"/>
  </w:num>
  <w:num w:numId="12">
    <w:abstractNumId w:val="20"/>
  </w:num>
  <w:num w:numId="13">
    <w:abstractNumId w:val="5"/>
  </w:num>
  <w:num w:numId="14">
    <w:abstractNumId w:val="28"/>
  </w:num>
  <w:num w:numId="15">
    <w:abstractNumId w:val="25"/>
  </w:num>
  <w:num w:numId="16">
    <w:abstractNumId w:val="6"/>
  </w:num>
  <w:num w:numId="17">
    <w:abstractNumId w:val="24"/>
  </w:num>
  <w:num w:numId="18">
    <w:abstractNumId w:val="11"/>
  </w:num>
  <w:num w:numId="19">
    <w:abstractNumId w:val="13"/>
  </w:num>
  <w:num w:numId="20">
    <w:abstractNumId w:val="15"/>
  </w:num>
  <w:num w:numId="21">
    <w:abstractNumId w:val="27"/>
  </w:num>
  <w:num w:numId="22">
    <w:abstractNumId w:val="21"/>
  </w:num>
  <w:num w:numId="23">
    <w:abstractNumId w:val="10"/>
  </w:num>
  <w:num w:numId="24">
    <w:abstractNumId w:val="8"/>
  </w:num>
  <w:num w:numId="25">
    <w:abstractNumId w:val="4"/>
  </w:num>
  <w:num w:numId="26">
    <w:abstractNumId w:val="18"/>
  </w:num>
  <w:num w:numId="27">
    <w:abstractNumId w:val="14"/>
  </w:num>
  <w:num w:numId="28">
    <w:abstractNumId w:val="7"/>
  </w:num>
  <w:num w:numId="29">
    <w:abstractNumId w:val="16"/>
  </w:num>
  <w:num w:numId="3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F7D"/>
    <w:rsid w:val="00001EE5"/>
    <w:rsid w:val="00020F99"/>
    <w:rsid w:val="00021777"/>
    <w:rsid w:val="000227DC"/>
    <w:rsid w:val="000250CA"/>
    <w:rsid w:val="00034D74"/>
    <w:rsid w:val="00042AE0"/>
    <w:rsid w:val="00047D35"/>
    <w:rsid w:val="00051487"/>
    <w:rsid w:val="00054012"/>
    <w:rsid w:val="00073A1C"/>
    <w:rsid w:val="0007586A"/>
    <w:rsid w:val="000822BA"/>
    <w:rsid w:val="00082AE6"/>
    <w:rsid w:val="00082F30"/>
    <w:rsid w:val="00096CF7"/>
    <w:rsid w:val="000A61E5"/>
    <w:rsid w:val="000B0EB1"/>
    <w:rsid w:val="000D0C44"/>
    <w:rsid w:val="000E0D61"/>
    <w:rsid w:val="00102723"/>
    <w:rsid w:val="0010458A"/>
    <w:rsid w:val="0011271E"/>
    <w:rsid w:val="0011358B"/>
    <w:rsid w:val="001343D9"/>
    <w:rsid w:val="00157FB5"/>
    <w:rsid w:val="00160A49"/>
    <w:rsid w:val="00164202"/>
    <w:rsid w:val="0016480A"/>
    <w:rsid w:val="0017518A"/>
    <w:rsid w:val="00181AE6"/>
    <w:rsid w:val="001822B4"/>
    <w:rsid w:val="00185008"/>
    <w:rsid w:val="0018546D"/>
    <w:rsid w:val="00185AF9"/>
    <w:rsid w:val="00197331"/>
    <w:rsid w:val="00197AEF"/>
    <w:rsid w:val="001A0372"/>
    <w:rsid w:val="001A3DBF"/>
    <w:rsid w:val="001A6485"/>
    <w:rsid w:val="001A7C7D"/>
    <w:rsid w:val="001B1CD6"/>
    <w:rsid w:val="001B6BCA"/>
    <w:rsid w:val="001C2B61"/>
    <w:rsid w:val="001C35B3"/>
    <w:rsid w:val="001C7C32"/>
    <w:rsid w:val="001D2816"/>
    <w:rsid w:val="001E0D01"/>
    <w:rsid w:val="001E6BDE"/>
    <w:rsid w:val="001E7A4B"/>
    <w:rsid w:val="001F1060"/>
    <w:rsid w:val="001F15F1"/>
    <w:rsid w:val="001F306B"/>
    <w:rsid w:val="001F65F5"/>
    <w:rsid w:val="00201C0B"/>
    <w:rsid w:val="00206712"/>
    <w:rsid w:val="00207F24"/>
    <w:rsid w:val="00225827"/>
    <w:rsid w:val="00237185"/>
    <w:rsid w:val="0024051D"/>
    <w:rsid w:val="00245A49"/>
    <w:rsid w:val="002477FC"/>
    <w:rsid w:val="00255F79"/>
    <w:rsid w:val="00283661"/>
    <w:rsid w:val="00285364"/>
    <w:rsid w:val="00286F3B"/>
    <w:rsid w:val="002C0297"/>
    <w:rsid w:val="002C484A"/>
    <w:rsid w:val="002F014B"/>
    <w:rsid w:val="002F6C8B"/>
    <w:rsid w:val="00302A67"/>
    <w:rsid w:val="00312946"/>
    <w:rsid w:val="00316091"/>
    <w:rsid w:val="00316B47"/>
    <w:rsid w:val="00316C04"/>
    <w:rsid w:val="003325B7"/>
    <w:rsid w:val="003423DF"/>
    <w:rsid w:val="00364711"/>
    <w:rsid w:val="00365C4F"/>
    <w:rsid w:val="00365E34"/>
    <w:rsid w:val="0037688D"/>
    <w:rsid w:val="003A1F0E"/>
    <w:rsid w:val="003A635E"/>
    <w:rsid w:val="003B16CC"/>
    <w:rsid w:val="003C1832"/>
    <w:rsid w:val="003D0D8C"/>
    <w:rsid w:val="003D40DC"/>
    <w:rsid w:val="003E11A2"/>
    <w:rsid w:val="003F0749"/>
    <w:rsid w:val="003F36E6"/>
    <w:rsid w:val="00401BAB"/>
    <w:rsid w:val="00403DDE"/>
    <w:rsid w:val="004075A7"/>
    <w:rsid w:val="00410ED1"/>
    <w:rsid w:val="00413ED2"/>
    <w:rsid w:val="00454416"/>
    <w:rsid w:val="00456CE7"/>
    <w:rsid w:val="00467035"/>
    <w:rsid w:val="00471A6E"/>
    <w:rsid w:val="0047746B"/>
    <w:rsid w:val="0048087B"/>
    <w:rsid w:val="0049559E"/>
    <w:rsid w:val="0049737F"/>
    <w:rsid w:val="004A037E"/>
    <w:rsid w:val="004A0D57"/>
    <w:rsid w:val="004A1983"/>
    <w:rsid w:val="004C001E"/>
    <w:rsid w:val="004C382F"/>
    <w:rsid w:val="004C43FC"/>
    <w:rsid w:val="004D22D3"/>
    <w:rsid w:val="004D5F16"/>
    <w:rsid w:val="004E21EC"/>
    <w:rsid w:val="004E7CD4"/>
    <w:rsid w:val="004F6011"/>
    <w:rsid w:val="005004F5"/>
    <w:rsid w:val="00501578"/>
    <w:rsid w:val="0050323E"/>
    <w:rsid w:val="00505F11"/>
    <w:rsid w:val="0052528E"/>
    <w:rsid w:val="0052736D"/>
    <w:rsid w:val="00536600"/>
    <w:rsid w:val="00542121"/>
    <w:rsid w:val="005512CF"/>
    <w:rsid w:val="005623B7"/>
    <w:rsid w:val="00594320"/>
    <w:rsid w:val="00595395"/>
    <w:rsid w:val="005A4487"/>
    <w:rsid w:val="005B5496"/>
    <w:rsid w:val="005C7933"/>
    <w:rsid w:val="005D37EB"/>
    <w:rsid w:val="005D5E5A"/>
    <w:rsid w:val="005E4E69"/>
    <w:rsid w:val="005F169C"/>
    <w:rsid w:val="00606E73"/>
    <w:rsid w:val="00634FE0"/>
    <w:rsid w:val="00635295"/>
    <w:rsid w:val="0063599F"/>
    <w:rsid w:val="006445ED"/>
    <w:rsid w:val="00655EB8"/>
    <w:rsid w:val="00673183"/>
    <w:rsid w:val="0068234A"/>
    <w:rsid w:val="00683723"/>
    <w:rsid w:val="006845B9"/>
    <w:rsid w:val="006A0A23"/>
    <w:rsid w:val="006A17E7"/>
    <w:rsid w:val="006B43E0"/>
    <w:rsid w:val="006C2267"/>
    <w:rsid w:val="006F25B1"/>
    <w:rsid w:val="006F3146"/>
    <w:rsid w:val="006F3AD0"/>
    <w:rsid w:val="006F7E74"/>
    <w:rsid w:val="007173C7"/>
    <w:rsid w:val="00723999"/>
    <w:rsid w:val="007266FA"/>
    <w:rsid w:val="00742ADD"/>
    <w:rsid w:val="0074586A"/>
    <w:rsid w:val="00752049"/>
    <w:rsid w:val="00752FE3"/>
    <w:rsid w:val="00763F57"/>
    <w:rsid w:val="00764C1B"/>
    <w:rsid w:val="007659D9"/>
    <w:rsid w:val="00765B24"/>
    <w:rsid w:val="007761E7"/>
    <w:rsid w:val="0078191C"/>
    <w:rsid w:val="0078403C"/>
    <w:rsid w:val="00793F7D"/>
    <w:rsid w:val="007B5C47"/>
    <w:rsid w:val="007C0FD0"/>
    <w:rsid w:val="007C1048"/>
    <w:rsid w:val="007C155E"/>
    <w:rsid w:val="007C3A03"/>
    <w:rsid w:val="007C5A1A"/>
    <w:rsid w:val="007E1629"/>
    <w:rsid w:val="007E7356"/>
    <w:rsid w:val="00802EE8"/>
    <w:rsid w:val="00807B2D"/>
    <w:rsid w:val="00816CBB"/>
    <w:rsid w:val="00816D46"/>
    <w:rsid w:val="00817200"/>
    <w:rsid w:val="00821C6B"/>
    <w:rsid w:val="00827B7F"/>
    <w:rsid w:val="00843225"/>
    <w:rsid w:val="00846B8F"/>
    <w:rsid w:val="00850507"/>
    <w:rsid w:val="00850E70"/>
    <w:rsid w:val="00864541"/>
    <w:rsid w:val="00871304"/>
    <w:rsid w:val="00872193"/>
    <w:rsid w:val="00872E52"/>
    <w:rsid w:val="00873209"/>
    <w:rsid w:val="008754B0"/>
    <w:rsid w:val="0087565B"/>
    <w:rsid w:val="00876D26"/>
    <w:rsid w:val="00880056"/>
    <w:rsid w:val="0088372C"/>
    <w:rsid w:val="00884FF4"/>
    <w:rsid w:val="0089021D"/>
    <w:rsid w:val="00893990"/>
    <w:rsid w:val="008C6C5A"/>
    <w:rsid w:val="008D0F67"/>
    <w:rsid w:val="008D300C"/>
    <w:rsid w:val="008E0432"/>
    <w:rsid w:val="008F73CF"/>
    <w:rsid w:val="00913595"/>
    <w:rsid w:val="009319CA"/>
    <w:rsid w:val="009324C3"/>
    <w:rsid w:val="009350B2"/>
    <w:rsid w:val="00954817"/>
    <w:rsid w:val="00954A88"/>
    <w:rsid w:val="0096094E"/>
    <w:rsid w:val="009660A2"/>
    <w:rsid w:val="0096680C"/>
    <w:rsid w:val="00967B1E"/>
    <w:rsid w:val="009755FD"/>
    <w:rsid w:val="009821B0"/>
    <w:rsid w:val="0098598A"/>
    <w:rsid w:val="00985D47"/>
    <w:rsid w:val="00990C80"/>
    <w:rsid w:val="00990FDB"/>
    <w:rsid w:val="009A0812"/>
    <w:rsid w:val="009A4AF2"/>
    <w:rsid w:val="009B47F2"/>
    <w:rsid w:val="009B71A7"/>
    <w:rsid w:val="009D193E"/>
    <w:rsid w:val="009D1B53"/>
    <w:rsid w:val="009D1DC5"/>
    <w:rsid w:val="009D6742"/>
    <w:rsid w:val="009E20FF"/>
    <w:rsid w:val="00A1181C"/>
    <w:rsid w:val="00A1500E"/>
    <w:rsid w:val="00A212AB"/>
    <w:rsid w:val="00A2646C"/>
    <w:rsid w:val="00A41936"/>
    <w:rsid w:val="00A45C6D"/>
    <w:rsid w:val="00A46F0E"/>
    <w:rsid w:val="00A535C1"/>
    <w:rsid w:val="00A62C0B"/>
    <w:rsid w:val="00A63A44"/>
    <w:rsid w:val="00A66BB4"/>
    <w:rsid w:val="00A72390"/>
    <w:rsid w:val="00A801C3"/>
    <w:rsid w:val="00AA0203"/>
    <w:rsid w:val="00AA4203"/>
    <w:rsid w:val="00AB4385"/>
    <w:rsid w:val="00AC63EB"/>
    <w:rsid w:val="00AD3146"/>
    <w:rsid w:val="00AE41B9"/>
    <w:rsid w:val="00AE7C30"/>
    <w:rsid w:val="00B07F95"/>
    <w:rsid w:val="00B119DD"/>
    <w:rsid w:val="00B11E45"/>
    <w:rsid w:val="00B27C90"/>
    <w:rsid w:val="00B471ED"/>
    <w:rsid w:val="00B62B98"/>
    <w:rsid w:val="00B7554C"/>
    <w:rsid w:val="00B86C54"/>
    <w:rsid w:val="00B95C8B"/>
    <w:rsid w:val="00B970AD"/>
    <w:rsid w:val="00BA2E3E"/>
    <w:rsid w:val="00BA33F3"/>
    <w:rsid w:val="00BB4D8D"/>
    <w:rsid w:val="00BB748D"/>
    <w:rsid w:val="00BC2D9B"/>
    <w:rsid w:val="00BE50AC"/>
    <w:rsid w:val="00BF1B40"/>
    <w:rsid w:val="00BF1BA5"/>
    <w:rsid w:val="00BF67C4"/>
    <w:rsid w:val="00C11074"/>
    <w:rsid w:val="00C158BB"/>
    <w:rsid w:val="00C26E81"/>
    <w:rsid w:val="00C405BF"/>
    <w:rsid w:val="00C500F0"/>
    <w:rsid w:val="00C50109"/>
    <w:rsid w:val="00C60D81"/>
    <w:rsid w:val="00C704D2"/>
    <w:rsid w:val="00C7386D"/>
    <w:rsid w:val="00C73C80"/>
    <w:rsid w:val="00C759B6"/>
    <w:rsid w:val="00C76E86"/>
    <w:rsid w:val="00C9096D"/>
    <w:rsid w:val="00CA00BB"/>
    <w:rsid w:val="00CC6AEA"/>
    <w:rsid w:val="00D1139C"/>
    <w:rsid w:val="00D11BD6"/>
    <w:rsid w:val="00D20E12"/>
    <w:rsid w:val="00D22816"/>
    <w:rsid w:val="00D26AE4"/>
    <w:rsid w:val="00D26C6E"/>
    <w:rsid w:val="00D51723"/>
    <w:rsid w:val="00D710BD"/>
    <w:rsid w:val="00D9138D"/>
    <w:rsid w:val="00D97A4D"/>
    <w:rsid w:val="00DA0E92"/>
    <w:rsid w:val="00DA7FF5"/>
    <w:rsid w:val="00DC2107"/>
    <w:rsid w:val="00DC3DE1"/>
    <w:rsid w:val="00DC53C0"/>
    <w:rsid w:val="00DC6894"/>
    <w:rsid w:val="00DD571D"/>
    <w:rsid w:val="00DE001F"/>
    <w:rsid w:val="00DF0DE9"/>
    <w:rsid w:val="00DF0F5F"/>
    <w:rsid w:val="00DF4349"/>
    <w:rsid w:val="00E00E90"/>
    <w:rsid w:val="00E16197"/>
    <w:rsid w:val="00E16847"/>
    <w:rsid w:val="00E20043"/>
    <w:rsid w:val="00E22C96"/>
    <w:rsid w:val="00E2540B"/>
    <w:rsid w:val="00E26C6B"/>
    <w:rsid w:val="00E43FB6"/>
    <w:rsid w:val="00E518D4"/>
    <w:rsid w:val="00E65552"/>
    <w:rsid w:val="00E66479"/>
    <w:rsid w:val="00E71612"/>
    <w:rsid w:val="00E72CAA"/>
    <w:rsid w:val="00E7333A"/>
    <w:rsid w:val="00E820CA"/>
    <w:rsid w:val="00E919A3"/>
    <w:rsid w:val="00EA450E"/>
    <w:rsid w:val="00EB63FD"/>
    <w:rsid w:val="00EC5465"/>
    <w:rsid w:val="00EE14C6"/>
    <w:rsid w:val="00EE45B8"/>
    <w:rsid w:val="00EF07EB"/>
    <w:rsid w:val="00EF584F"/>
    <w:rsid w:val="00F05AC8"/>
    <w:rsid w:val="00F128F7"/>
    <w:rsid w:val="00F20BB9"/>
    <w:rsid w:val="00F41805"/>
    <w:rsid w:val="00F43C46"/>
    <w:rsid w:val="00F4756A"/>
    <w:rsid w:val="00F52B58"/>
    <w:rsid w:val="00F7095D"/>
    <w:rsid w:val="00F7376C"/>
    <w:rsid w:val="00F80AAF"/>
    <w:rsid w:val="00F8584D"/>
    <w:rsid w:val="00FB4295"/>
    <w:rsid w:val="00FB729F"/>
    <w:rsid w:val="00FF1C9E"/>
    <w:rsid w:val="00FF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E1415D0"/>
  <w14:defaultImageDpi w14:val="0"/>
  <w15:docId w15:val="{8370DB8A-FA75-40DF-9822-3739ECD3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toa heading" w:semiHidden="1" w:unhideWhenUsed="1"/>
    <w:lsdException w:name="List" w:semiHidden="1" w:uiPriority="0"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locked/>
    <w:rsid w:val="009D1B53"/>
    <w:pPr>
      <w:keepNext/>
      <w:widowControl w:val="0"/>
      <w:tabs>
        <w:tab w:val="left" w:pos="360"/>
      </w:tabs>
      <w:suppressAutoHyphens/>
      <w:outlineLvl w:val="0"/>
    </w:pPr>
    <w:rPr>
      <w:rFonts w:ascii="Times New Roman" w:eastAsia="Times New Roman" w:hAnsi="Times New Roman"/>
      <w:b/>
      <w:szCs w:val="20"/>
    </w:rPr>
  </w:style>
  <w:style w:type="paragraph" w:styleId="Heading2">
    <w:name w:val="heading 2"/>
    <w:basedOn w:val="Normal"/>
    <w:next w:val="Normal"/>
    <w:link w:val="Heading2Char"/>
    <w:semiHidden/>
    <w:unhideWhenUsed/>
    <w:qFormat/>
    <w:locked/>
    <w:rsid w:val="00BA33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qFormat/>
    <w:locked/>
    <w:rsid w:val="008C6C5A"/>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semiHidden/>
    <w:unhideWhenUsed/>
    <w:qFormat/>
    <w:locked/>
    <w:rsid w:val="008C6C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link w:val="Footer"/>
    <w:uiPriority w:val="99"/>
    <w:locked/>
    <w:rsid w:val="00505F11"/>
    <w:rPr>
      <w:rFonts w:cs="Times New Roman"/>
      <w:sz w:val="24"/>
    </w:rPr>
  </w:style>
  <w:style w:type="character" w:styleId="PageNumber">
    <w:name w:val="page number"/>
    <w:uiPriority w:val="99"/>
    <w:semiHidden/>
    <w:rsid w:val="00505F11"/>
    <w:rPr>
      <w:rFonts w:cs="Times New Roman"/>
    </w:rPr>
  </w:style>
  <w:style w:type="character" w:styleId="Hyperlink">
    <w:name w:val="Hyperlink"/>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1"/>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34"/>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link w:val="BalloonText"/>
    <w:uiPriority w:val="99"/>
    <w:semiHidden/>
    <w:locked/>
    <w:rsid w:val="0007586A"/>
    <w:rPr>
      <w:rFonts w:ascii="Tahoma" w:hAnsi="Tahoma" w:cs="Tahoma"/>
      <w:sz w:val="16"/>
      <w:szCs w:val="16"/>
    </w:rPr>
  </w:style>
  <w:style w:type="paragraph" w:styleId="EndnoteText">
    <w:name w:val="endnote text"/>
    <w:basedOn w:val="Normal"/>
    <w:link w:val="EndnoteTextChar"/>
    <w:semiHidden/>
    <w:rsid w:val="009E20FF"/>
    <w:pPr>
      <w:widowControl w:val="0"/>
    </w:pPr>
    <w:rPr>
      <w:rFonts w:ascii="Courier New" w:hAnsi="Courier New"/>
      <w:szCs w:val="20"/>
    </w:rPr>
  </w:style>
  <w:style w:type="character" w:customStyle="1" w:styleId="EndnoteTextChar">
    <w:name w:val="Endnote Text Char"/>
    <w:link w:val="EndnoteText"/>
    <w:semiHidden/>
    <w:locked/>
    <w:rsid w:val="009E20FF"/>
    <w:rPr>
      <w:rFonts w:ascii="Courier New" w:hAnsi="Courier New" w:cs="Times New Roman"/>
      <w:sz w:val="20"/>
      <w:szCs w:val="20"/>
    </w:rPr>
  </w:style>
  <w:style w:type="paragraph" w:styleId="NormalWeb">
    <w:name w:val="Normal (Web)"/>
    <w:basedOn w:val="Normal"/>
    <w:uiPriority w:val="99"/>
    <w:semiHidden/>
    <w:unhideWhenUsed/>
    <w:rsid w:val="009E20FF"/>
    <w:pPr>
      <w:spacing w:before="100" w:beforeAutospacing="1" w:after="100" w:afterAutospacing="1"/>
    </w:pPr>
    <w:rPr>
      <w:rFonts w:ascii="Times New Roman" w:hAnsi="Times New Roman"/>
    </w:rPr>
  </w:style>
  <w:style w:type="character" w:styleId="Strong">
    <w:name w:val="Strong"/>
    <w:uiPriority w:val="22"/>
    <w:qFormat/>
    <w:locked/>
    <w:rsid w:val="009E20FF"/>
    <w:rPr>
      <w:rFonts w:cs="Times New Roman"/>
      <w:b/>
    </w:rPr>
  </w:style>
  <w:style w:type="paragraph" w:customStyle="1" w:styleId="Default">
    <w:name w:val="Default"/>
    <w:rsid w:val="003F0749"/>
    <w:pPr>
      <w:autoSpaceDE w:val="0"/>
      <w:autoSpaceDN w:val="0"/>
      <w:adjustRightInd w:val="0"/>
    </w:pPr>
    <w:rPr>
      <w:rFonts w:ascii="Times New Roman" w:hAnsi="Times New Roman"/>
      <w:color w:val="000000"/>
      <w:sz w:val="24"/>
      <w:szCs w:val="24"/>
    </w:rPr>
  </w:style>
  <w:style w:type="paragraph" w:styleId="BodyText">
    <w:name w:val="Body Text"/>
    <w:basedOn w:val="Default"/>
    <w:next w:val="Default"/>
    <w:link w:val="BodyTextChar"/>
    <w:uiPriority w:val="99"/>
    <w:rsid w:val="003F0749"/>
    <w:rPr>
      <w:color w:val="auto"/>
    </w:rPr>
  </w:style>
  <w:style w:type="character" w:customStyle="1" w:styleId="BodyTextChar">
    <w:name w:val="Body Text Char"/>
    <w:link w:val="BodyText"/>
    <w:uiPriority w:val="99"/>
    <w:locked/>
    <w:rsid w:val="003F0749"/>
    <w:rPr>
      <w:rFonts w:ascii="Times New Roman" w:hAnsi="Times New Roman" w:cs="Times New Roman"/>
      <w:sz w:val="24"/>
      <w:szCs w:val="24"/>
    </w:rPr>
  </w:style>
  <w:style w:type="character" w:styleId="Emphasis">
    <w:name w:val="Emphasis"/>
    <w:qFormat/>
    <w:locked/>
    <w:rsid w:val="003F0749"/>
    <w:rPr>
      <w:rFonts w:cs="Times New Roman"/>
      <w:i/>
    </w:rPr>
  </w:style>
  <w:style w:type="character" w:customStyle="1" w:styleId="Heading1Char">
    <w:name w:val="Heading 1 Char"/>
    <w:basedOn w:val="DefaultParagraphFont"/>
    <w:link w:val="Heading1"/>
    <w:rsid w:val="009D1B53"/>
    <w:rPr>
      <w:rFonts w:ascii="Times New Roman" w:eastAsia="Times New Roman" w:hAnsi="Times New Roman"/>
      <w:b/>
      <w:sz w:val="24"/>
    </w:rPr>
  </w:style>
  <w:style w:type="paragraph" w:styleId="List">
    <w:name w:val="List"/>
    <w:basedOn w:val="Normal"/>
    <w:rsid w:val="009D1B53"/>
    <w:pPr>
      <w:ind w:left="360" w:hanging="360"/>
    </w:pPr>
    <w:rPr>
      <w:rFonts w:ascii="Times New Roman" w:eastAsia="Times New Roman" w:hAnsi="Times New Roman"/>
      <w:sz w:val="20"/>
      <w:szCs w:val="20"/>
    </w:rPr>
  </w:style>
  <w:style w:type="character" w:customStyle="1" w:styleId="Heading2Char">
    <w:name w:val="Heading 2 Char"/>
    <w:basedOn w:val="DefaultParagraphFont"/>
    <w:link w:val="Heading2"/>
    <w:semiHidden/>
    <w:rsid w:val="00BA33F3"/>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rsid w:val="0089021D"/>
    <w:pPr>
      <w:spacing w:after="120" w:line="480" w:lineRule="auto"/>
    </w:pPr>
  </w:style>
  <w:style w:type="character" w:customStyle="1" w:styleId="BodyText2Char">
    <w:name w:val="Body Text 2 Char"/>
    <w:basedOn w:val="DefaultParagraphFont"/>
    <w:link w:val="BodyText2"/>
    <w:uiPriority w:val="99"/>
    <w:rsid w:val="0089021D"/>
    <w:rPr>
      <w:sz w:val="24"/>
      <w:szCs w:val="24"/>
    </w:rPr>
  </w:style>
  <w:style w:type="character" w:styleId="FollowedHyperlink">
    <w:name w:val="FollowedHyperlink"/>
    <w:basedOn w:val="DefaultParagraphFont"/>
    <w:uiPriority w:val="99"/>
    <w:rsid w:val="0089021D"/>
    <w:rPr>
      <w:color w:val="800080" w:themeColor="followedHyperlink"/>
      <w:u w:val="single"/>
    </w:rPr>
  </w:style>
  <w:style w:type="character" w:customStyle="1" w:styleId="Heading6Char">
    <w:name w:val="Heading 6 Char"/>
    <w:basedOn w:val="DefaultParagraphFont"/>
    <w:link w:val="Heading6"/>
    <w:semiHidden/>
    <w:rsid w:val="008C6C5A"/>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8C6C5A"/>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rsid w:val="008C6C5A"/>
    <w:pPr>
      <w:spacing w:after="120" w:line="480" w:lineRule="auto"/>
      <w:ind w:left="360"/>
    </w:pPr>
  </w:style>
  <w:style w:type="character" w:customStyle="1" w:styleId="BodyTextIndent2Char">
    <w:name w:val="Body Text Indent 2 Char"/>
    <w:basedOn w:val="DefaultParagraphFont"/>
    <w:link w:val="BodyTextIndent2"/>
    <w:uiPriority w:val="99"/>
    <w:rsid w:val="008C6C5A"/>
    <w:rPr>
      <w:sz w:val="24"/>
      <w:szCs w:val="24"/>
    </w:rPr>
  </w:style>
  <w:style w:type="paragraph" w:styleId="TOC7">
    <w:name w:val="toc 7"/>
    <w:basedOn w:val="Normal"/>
    <w:next w:val="Normal"/>
    <w:autoRedefine/>
    <w:locked/>
    <w:rsid w:val="0052736D"/>
    <w:pPr>
      <w:spacing w:after="100"/>
      <w:ind w:left="1440"/>
    </w:pPr>
  </w:style>
  <w:style w:type="table" w:styleId="TableGrid">
    <w:name w:val="Table Grid"/>
    <w:basedOn w:val="TableNormal"/>
    <w:uiPriority w:val="99"/>
    <w:locked/>
    <w:rsid w:val="00365E34"/>
    <w:rPr>
      <w:rFonts w:ascii="Times New Roman" w:eastAsia="Times New Roman" w:hAnsi="Times New Roman"/>
      <w:lang w:bidi="km-K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A4203"/>
    <w:rPr>
      <w:sz w:val="16"/>
      <w:szCs w:val="16"/>
    </w:rPr>
  </w:style>
  <w:style w:type="paragraph" w:styleId="CommentSubject">
    <w:name w:val="annotation subject"/>
    <w:basedOn w:val="CommentText"/>
    <w:next w:val="CommentText"/>
    <w:link w:val="CommentSubjectChar"/>
    <w:uiPriority w:val="99"/>
    <w:rsid w:val="00AA4203"/>
    <w:rPr>
      <w:rFonts w:ascii="Cambria" w:hAnsi="Cambria"/>
      <w:b/>
      <w:bCs/>
    </w:rPr>
  </w:style>
  <w:style w:type="character" w:customStyle="1" w:styleId="CommentSubjectChar">
    <w:name w:val="Comment Subject Char"/>
    <w:basedOn w:val="CommentTextChar"/>
    <w:link w:val="CommentSubject"/>
    <w:uiPriority w:val="99"/>
    <w:rsid w:val="00AA4203"/>
    <w:rPr>
      <w:rFonts w:ascii="Times New Roman" w:hAnsi="Times New Roman" w:cs="Times New Roman"/>
      <w:b/>
      <w:bCs/>
    </w:rPr>
  </w:style>
  <w:style w:type="paragraph" w:styleId="Revision">
    <w:name w:val="Revision"/>
    <w:hidden/>
    <w:uiPriority w:val="99"/>
    <w:semiHidden/>
    <w:rsid w:val="00C7386D"/>
    <w:rPr>
      <w:sz w:val="24"/>
      <w:szCs w:val="24"/>
    </w:rPr>
  </w:style>
  <w:style w:type="paragraph" w:styleId="Subtitle">
    <w:name w:val="Subtitle"/>
    <w:basedOn w:val="Normal"/>
    <w:next w:val="Normal"/>
    <w:link w:val="SubtitleChar"/>
    <w:qFormat/>
    <w:locked/>
    <w:rsid w:val="00034D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34D7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034D74"/>
    <w:rPr>
      <w:sz w:val="24"/>
      <w:szCs w:val="24"/>
    </w:rPr>
  </w:style>
  <w:style w:type="character" w:customStyle="1" w:styleId="UnresolvedMention1">
    <w:name w:val="Unresolved Mention1"/>
    <w:basedOn w:val="DefaultParagraphFont"/>
    <w:uiPriority w:val="99"/>
    <w:semiHidden/>
    <w:unhideWhenUsed/>
    <w:rsid w:val="004A037E"/>
    <w:rPr>
      <w:color w:val="808080"/>
      <w:shd w:val="clear" w:color="auto" w:fill="E6E6E6"/>
    </w:rPr>
  </w:style>
  <w:style w:type="paragraph" w:customStyle="1" w:styleId="Pa3">
    <w:name w:val="Pa3"/>
    <w:basedOn w:val="Normal"/>
    <w:next w:val="Normal"/>
    <w:uiPriority w:val="99"/>
    <w:rsid w:val="00765B24"/>
    <w:pPr>
      <w:autoSpaceDE w:val="0"/>
      <w:autoSpaceDN w:val="0"/>
      <w:adjustRightInd w:val="0"/>
      <w:spacing w:line="241" w:lineRule="atLeast"/>
    </w:pPr>
    <w:rPr>
      <w:rFonts w:ascii="HelveticaNeueLT Std" w:eastAsiaTheme="minorHAnsi" w:hAnsi="HelveticaNeueLT Std" w:cstheme="minorBidi"/>
    </w:rPr>
  </w:style>
  <w:style w:type="character" w:customStyle="1" w:styleId="A3">
    <w:name w:val="A3"/>
    <w:uiPriority w:val="99"/>
    <w:rsid w:val="003B16CC"/>
    <w:rPr>
      <w:rFonts w:ascii="Franklin Gothic Book" w:hAnsi="Franklin Gothic Book" w:cs="Franklin Gothic Book"/>
      <w:color w:val="000000"/>
      <w:sz w:val="11"/>
      <w:szCs w:val="11"/>
    </w:rPr>
  </w:style>
  <w:style w:type="paragraph" w:styleId="FootnoteText">
    <w:name w:val="footnote text"/>
    <w:basedOn w:val="Normal"/>
    <w:link w:val="FootnoteTextChar"/>
    <w:uiPriority w:val="99"/>
    <w:semiHidden/>
    <w:unhideWhenUsed/>
    <w:rsid w:val="003B16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B16CC"/>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B16CC"/>
    <w:rPr>
      <w:vertAlign w:val="superscript"/>
    </w:rPr>
  </w:style>
  <w:style w:type="character" w:styleId="UnresolvedMention">
    <w:name w:val="Unresolved Mention"/>
    <w:basedOn w:val="DefaultParagraphFont"/>
    <w:uiPriority w:val="99"/>
    <w:semiHidden/>
    <w:unhideWhenUsed/>
    <w:rsid w:val="003B1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6766">
      <w:bodyDiv w:val="1"/>
      <w:marLeft w:val="0"/>
      <w:marRight w:val="0"/>
      <w:marTop w:val="0"/>
      <w:marBottom w:val="0"/>
      <w:divBdr>
        <w:top w:val="none" w:sz="0" w:space="0" w:color="auto"/>
        <w:left w:val="none" w:sz="0" w:space="0" w:color="auto"/>
        <w:bottom w:val="none" w:sz="0" w:space="0" w:color="auto"/>
        <w:right w:val="none" w:sz="0" w:space="0" w:color="auto"/>
      </w:divBdr>
    </w:div>
    <w:div w:id="219825180">
      <w:marLeft w:val="0"/>
      <w:marRight w:val="0"/>
      <w:marTop w:val="0"/>
      <w:marBottom w:val="0"/>
      <w:divBdr>
        <w:top w:val="none" w:sz="0" w:space="0" w:color="auto"/>
        <w:left w:val="none" w:sz="0" w:space="0" w:color="auto"/>
        <w:bottom w:val="none" w:sz="0" w:space="0" w:color="auto"/>
        <w:right w:val="none" w:sz="0" w:space="0" w:color="auto"/>
      </w:divBdr>
    </w:div>
    <w:div w:id="219825181">
      <w:marLeft w:val="0"/>
      <w:marRight w:val="0"/>
      <w:marTop w:val="0"/>
      <w:marBottom w:val="0"/>
      <w:divBdr>
        <w:top w:val="none" w:sz="0" w:space="0" w:color="auto"/>
        <w:left w:val="none" w:sz="0" w:space="0" w:color="auto"/>
        <w:bottom w:val="none" w:sz="0" w:space="0" w:color="auto"/>
        <w:right w:val="none" w:sz="0" w:space="0" w:color="auto"/>
      </w:divBdr>
    </w:div>
    <w:div w:id="219825182">
      <w:marLeft w:val="0"/>
      <w:marRight w:val="0"/>
      <w:marTop w:val="0"/>
      <w:marBottom w:val="0"/>
      <w:divBdr>
        <w:top w:val="none" w:sz="0" w:space="0" w:color="auto"/>
        <w:left w:val="none" w:sz="0" w:space="0" w:color="auto"/>
        <w:bottom w:val="none" w:sz="0" w:space="0" w:color="auto"/>
        <w:right w:val="none" w:sz="0" w:space="0" w:color="auto"/>
      </w:divBdr>
    </w:div>
    <w:div w:id="219825183">
      <w:marLeft w:val="0"/>
      <w:marRight w:val="0"/>
      <w:marTop w:val="0"/>
      <w:marBottom w:val="0"/>
      <w:divBdr>
        <w:top w:val="none" w:sz="0" w:space="0" w:color="auto"/>
        <w:left w:val="none" w:sz="0" w:space="0" w:color="auto"/>
        <w:bottom w:val="none" w:sz="0" w:space="0" w:color="auto"/>
        <w:right w:val="none" w:sz="0" w:space="0" w:color="auto"/>
      </w:divBdr>
    </w:div>
    <w:div w:id="1831824228">
      <w:bodyDiv w:val="1"/>
      <w:marLeft w:val="0"/>
      <w:marRight w:val="0"/>
      <w:marTop w:val="0"/>
      <w:marBottom w:val="0"/>
      <w:divBdr>
        <w:top w:val="none" w:sz="0" w:space="0" w:color="auto"/>
        <w:left w:val="none" w:sz="0" w:space="0" w:color="auto"/>
        <w:bottom w:val="none" w:sz="0" w:space="0" w:color="auto"/>
        <w:right w:val="none" w:sz="0" w:space="0" w:color="auto"/>
      </w:divBdr>
      <w:divsChild>
        <w:div w:id="1835296695">
          <w:marLeft w:val="0"/>
          <w:marRight w:val="0"/>
          <w:marTop w:val="0"/>
          <w:marBottom w:val="0"/>
          <w:divBdr>
            <w:top w:val="none" w:sz="0" w:space="0" w:color="auto"/>
            <w:left w:val="none" w:sz="0" w:space="0" w:color="auto"/>
            <w:bottom w:val="none" w:sz="0" w:space="0" w:color="auto"/>
            <w:right w:val="none" w:sz="0" w:space="0" w:color="auto"/>
          </w:divBdr>
          <w:divsChild>
            <w:div w:id="624897213">
              <w:marLeft w:val="0"/>
              <w:marRight w:val="0"/>
              <w:marTop w:val="0"/>
              <w:marBottom w:val="0"/>
              <w:divBdr>
                <w:top w:val="none" w:sz="0" w:space="0" w:color="auto"/>
                <w:left w:val="none" w:sz="0" w:space="0" w:color="auto"/>
                <w:bottom w:val="none" w:sz="0" w:space="0" w:color="auto"/>
                <w:right w:val="none" w:sz="0" w:space="0" w:color="auto"/>
              </w:divBdr>
              <w:divsChild>
                <w:div w:id="959919946">
                  <w:marLeft w:val="0"/>
                  <w:marRight w:val="0"/>
                  <w:marTop w:val="0"/>
                  <w:marBottom w:val="0"/>
                  <w:divBdr>
                    <w:top w:val="none" w:sz="0" w:space="0" w:color="auto"/>
                    <w:left w:val="none" w:sz="0" w:space="0" w:color="auto"/>
                    <w:bottom w:val="none" w:sz="0" w:space="0" w:color="auto"/>
                    <w:right w:val="none" w:sz="0" w:space="0" w:color="auto"/>
                  </w:divBdr>
                  <w:divsChild>
                    <w:div w:id="312416673">
                      <w:marLeft w:val="0"/>
                      <w:marRight w:val="0"/>
                      <w:marTop w:val="0"/>
                      <w:marBottom w:val="0"/>
                      <w:divBdr>
                        <w:top w:val="none" w:sz="0" w:space="0" w:color="auto"/>
                        <w:left w:val="none" w:sz="0" w:space="0" w:color="auto"/>
                        <w:bottom w:val="none" w:sz="0" w:space="0" w:color="auto"/>
                        <w:right w:val="none" w:sz="0" w:space="0" w:color="auto"/>
                      </w:divBdr>
                      <w:divsChild>
                        <w:div w:id="333916954">
                          <w:marLeft w:val="0"/>
                          <w:marRight w:val="0"/>
                          <w:marTop w:val="0"/>
                          <w:marBottom w:val="0"/>
                          <w:divBdr>
                            <w:top w:val="none" w:sz="0" w:space="0" w:color="auto"/>
                            <w:left w:val="none" w:sz="0" w:space="0" w:color="auto"/>
                            <w:bottom w:val="none" w:sz="0" w:space="0" w:color="auto"/>
                            <w:right w:val="none" w:sz="0" w:space="0" w:color="auto"/>
                          </w:divBdr>
                          <w:divsChild>
                            <w:div w:id="1639800899">
                              <w:marLeft w:val="0"/>
                              <w:marRight w:val="0"/>
                              <w:marTop w:val="0"/>
                              <w:marBottom w:val="0"/>
                              <w:divBdr>
                                <w:top w:val="none" w:sz="0" w:space="0" w:color="auto"/>
                                <w:left w:val="none" w:sz="0" w:space="0" w:color="auto"/>
                                <w:bottom w:val="none" w:sz="0" w:space="0" w:color="auto"/>
                                <w:right w:val="none" w:sz="0" w:space="0" w:color="auto"/>
                              </w:divBdr>
                              <w:divsChild>
                                <w:div w:id="1531721891">
                                  <w:marLeft w:val="0"/>
                                  <w:marRight w:val="0"/>
                                  <w:marTop w:val="0"/>
                                  <w:marBottom w:val="0"/>
                                  <w:divBdr>
                                    <w:top w:val="none" w:sz="0" w:space="0" w:color="auto"/>
                                    <w:left w:val="none" w:sz="0" w:space="0" w:color="auto"/>
                                    <w:bottom w:val="none" w:sz="0" w:space="0" w:color="auto"/>
                                    <w:right w:val="none" w:sz="0" w:space="0" w:color="auto"/>
                                  </w:divBdr>
                                  <w:divsChild>
                                    <w:div w:id="547838111">
                                      <w:marLeft w:val="0"/>
                                      <w:marRight w:val="0"/>
                                      <w:marTop w:val="0"/>
                                      <w:marBottom w:val="0"/>
                                      <w:divBdr>
                                        <w:top w:val="none" w:sz="0" w:space="0" w:color="auto"/>
                                        <w:left w:val="none" w:sz="0" w:space="0" w:color="auto"/>
                                        <w:bottom w:val="none" w:sz="0" w:space="0" w:color="auto"/>
                                        <w:right w:val="none" w:sz="0" w:space="0" w:color="auto"/>
                                      </w:divBdr>
                                      <w:divsChild>
                                        <w:div w:id="985165365">
                                          <w:marLeft w:val="0"/>
                                          <w:marRight w:val="0"/>
                                          <w:marTop w:val="0"/>
                                          <w:marBottom w:val="0"/>
                                          <w:divBdr>
                                            <w:top w:val="none" w:sz="0" w:space="0" w:color="auto"/>
                                            <w:left w:val="none" w:sz="0" w:space="0" w:color="auto"/>
                                            <w:bottom w:val="none" w:sz="0" w:space="0" w:color="auto"/>
                                            <w:right w:val="none" w:sz="0" w:space="0" w:color="auto"/>
                                          </w:divBdr>
                                          <w:divsChild>
                                            <w:div w:id="330640178">
                                              <w:marLeft w:val="0"/>
                                              <w:marRight w:val="0"/>
                                              <w:marTop w:val="0"/>
                                              <w:marBottom w:val="0"/>
                                              <w:divBdr>
                                                <w:top w:val="none" w:sz="0" w:space="0" w:color="auto"/>
                                                <w:left w:val="none" w:sz="0" w:space="0" w:color="auto"/>
                                                <w:bottom w:val="none" w:sz="0" w:space="0" w:color="auto"/>
                                                <w:right w:val="none" w:sz="0" w:space="0" w:color="auto"/>
                                              </w:divBdr>
                                              <w:divsChild>
                                                <w:div w:id="151168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ELR.Support@massmail.state.ma.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bcontrollers.org/resources/airborne-infection-isolation/" TargetMode="External"/><Relationship Id="rId4" Type="http://schemas.openxmlformats.org/officeDocument/2006/relationships/webSettings" Target="webSettings.xml"/><Relationship Id="rId9" Type="http://schemas.openxmlformats.org/officeDocument/2006/relationships/hyperlink" Target="http://www.cdc.gov/tb/publications/guidelines/amplification_tests/reccomendations.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ss.gov/tuberculo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651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vt:lpstr>
    </vt:vector>
  </TitlesOfParts>
  <Company>Massachusetts Department of Public Health</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Sheila Erimez</dc:creator>
  <cp:lastModifiedBy>Cochran, Jennifer (DPH)</cp:lastModifiedBy>
  <cp:revision>5</cp:revision>
  <cp:lastPrinted>2017-12-13T19:32:00Z</cp:lastPrinted>
  <dcterms:created xsi:type="dcterms:W3CDTF">2021-03-30T15:01:00Z</dcterms:created>
  <dcterms:modified xsi:type="dcterms:W3CDTF">2021-03-30T20:21:00Z</dcterms:modified>
</cp:coreProperties>
</file>