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26A4C" w14:textId="7B80F44D" w:rsidR="004261F2" w:rsidRPr="0044122B" w:rsidRDefault="00F12B1C" w:rsidP="00896B92">
      <w:pPr>
        <w:pStyle w:val="NoSpacing"/>
        <w:jc w:val="center"/>
        <w:rPr>
          <w:rFonts w:ascii="Arial" w:hAnsi="Arial" w:cs="Arial"/>
          <w:b/>
          <w:i/>
          <w:sz w:val="24"/>
          <w:szCs w:val="24"/>
        </w:rPr>
      </w:pPr>
      <w:bookmarkStart w:id="0" w:name="_GoBack"/>
      <w:r>
        <w:rPr>
          <w:rFonts w:ascii="Arial" w:hAnsi="Arial" w:cs="Arial"/>
          <w:b/>
          <w:i/>
          <w:sz w:val="24"/>
          <w:szCs w:val="24"/>
        </w:rPr>
        <w:t xml:space="preserve">Drug </w:t>
      </w:r>
      <w:r w:rsidR="0009633C">
        <w:rPr>
          <w:rFonts w:ascii="Arial" w:hAnsi="Arial" w:cs="Arial"/>
          <w:b/>
          <w:i/>
          <w:sz w:val="24"/>
          <w:szCs w:val="24"/>
        </w:rPr>
        <w:t>Monograph</w:t>
      </w:r>
    </w:p>
    <w:bookmarkEnd w:id="0"/>
    <w:p w14:paraId="3C94BA5B" w14:textId="77777777" w:rsidR="009F5A3B" w:rsidRPr="0044122B" w:rsidRDefault="009F5A3B" w:rsidP="004920E8">
      <w:pPr>
        <w:pStyle w:val="NoSpacing"/>
        <w:jc w:val="center"/>
        <w:rPr>
          <w:rFonts w:ascii="Arial" w:hAnsi="Arial" w:cs="Arial"/>
          <w:sz w:val="20"/>
          <w:szCs w:val="20"/>
        </w:rPr>
      </w:pPr>
    </w:p>
    <w:p w14:paraId="30BDF93F" w14:textId="2973F6FF" w:rsidR="009F5A3B" w:rsidRPr="0044122B" w:rsidRDefault="009F5A3B" w:rsidP="004920E8">
      <w:pPr>
        <w:pStyle w:val="NoSpacing"/>
        <w:rPr>
          <w:rFonts w:ascii="Arial" w:hAnsi="Arial" w:cs="Arial"/>
          <w:sz w:val="20"/>
          <w:szCs w:val="20"/>
        </w:rPr>
      </w:pPr>
      <w:r w:rsidRPr="0044122B">
        <w:rPr>
          <w:rFonts w:ascii="Arial" w:hAnsi="Arial" w:cs="Arial"/>
          <w:b/>
          <w:sz w:val="20"/>
          <w:szCs w:val="20"/>
        </w:rPr>
        <w:t>Generic Name</w:t>
      </w:r>
      <w:r w:rsidRPr="00896B92">
        <w:rPr>
          <w:rFonts w:ascii="Arial" w:hAnsi="Arial" w:cs="Arial"/>
          <w:sz w:val="20"/>
          <w:szCs w:val="20"/>
        </w:rPr>
        <w:t>:</w:t>
      </w:r>
      <w:r w:rsidR="00730BE7" w:rsidRPr="00896B92">
        <w:rPr>
          <w:rFonts w:ascii="Arial" w:hAnsi="Arial" w:cs="Arial"/>
          <w:sz w:val="20"/>
          <w:szCs w:val="20"/>
        </w:rPr>
        <w:t xml:space="preserve"> </w:t>
      </w:r>
      <w:r w:rsidR="00E87A9F">
        <w:rPr>
          <w:rFonts w:ascii="Arial" w:hAnsi="Arial" w:cs="Arial"/>
          <w:sz w:val="20"/>
          <w:szCs w:val="20"/>
        </w:rPr>
        <w:t>tapentadol</w:t>
      </w:r>
      <w:r w:rsidR="00896B92">
        <w:rPr>
          <w:rFonts w:ascii="Arial" w:hAnsi="Arial" w:cs="Arial"/>
          <w:sz w:val="20"/>
          <w:szCs w:val="20"/>
        </w:rPr>
        <w:t xml:space="preserve"> extended-release</w:t>
      </w:r>
    </w:p>
    <w:p w14:paraId="030FA49B" w14:textId="1DD1348E" w:rsidR="009F5A3B" w:rsidRDefault="009F5A3B" w:rsidP="004920E8">
      <w:pPr>
        <w:pStyle w:val="NoSpacing"/>
        <w:rPr>
          <w:rFonts w:ascii="Arial" w:hAnsi="Arial" w:cs="Arial"/>
          <w:sz w:val="20"/>
          <w:szCs w:val="20"/>
          <w:vertAlign w:val="superscript"/>
        </w:rPr>
      </w:pPr>
      <w:r w:rsidRPr="0044122B">
        <w:rPr>
          <w:rFonts w:ascii="Arial" w:hAnsi="Arial" w:cs="Arial"/>
          <w:b/>
          <w:sz w:val="20"/>
          <w:szCs w:val="20"/>
        </w:rPr>
        <w:t>Trade Name</w:t>
      </w:r>
      <w:r w:rsidRPr="0044122B">
        <w:rPr>
          <w:rFonts w:ascii="Arial" w:hAnsi="Arial" w:cs="Arial"/>
          <w:sz w:val="20"/>
          <w:szCs w:val="20"/>
        </w:rPr>
        <w:t>:</w:t>
      </w:r>
      <w:r w:rsidR="00730BE7" w:rsidRPr="0044122B">
        <w:rPr>
          <w:rFonts w:ascii="Arial" w:hAnsi="Arial" w:cs="Arial"/>
          <w:sz w:val="20"/>
          <w:szCs w:val="20"/>
        </w:rPr>
        <w:t xml:space="preserve"> </w:t>
      </w:r>
      <w:r w:rsidR="00E87A9F">
        <w:rPr>
          <w:rFonts w:ascii="Arial" w:hAnsi="Arial" w:cs="Arial"/>
          <w:sz w:val="20"/>
          <w:szCs w:val="20"/>
        </w:rPr>
        <w:t>Nucynta</w:t>
      </w:r>
      <w:r w:rsidR="00896B92">
        <w:rPr>
          <w:rFonts w:ascii="Arial" w:hAnsi="Arial" w:cs="Arial"/>
          <w:sz w:val="20"/>
          <w:szCs w:val="20"/>
        </w:rPr>
        <w:t xml:space="preserve"> ER</w:t>
      </w:r>
      <w:r w:rsidR="00603258" w:rsidRPr="0044122B">
        <w:rPr>
          <w:rFonts w:ascii="Arial" w:hAnsi="Arial" w:cs="Arial"/>
          <w:sz w:val="20"/>
          <w:szCs w:val="20"/>
          <w:vertAlign w:val="superscript"/>
        </w:rPr>
        <w:t>®</w:t>
      </w:r>
    </w:p>
    <w:p w14:paraId="0A2A8310" w14:textId="5D75907A" w:rsidR="00D90BD5" w:rsidRDefault="0009633C" w:rsidP="00D90BD5">
      <w:pPr>
        <w:pStyle w:val="NoSpacing"/>
        <w:rPr>
          <w:rFonts w:ascii="Arial" w:hAnsi="Arial" w:cs="Arial"/>
          <w:sz w:val="20"/>
          <w:szCs w:val="20"/>
        </w:rPr>
      </w:pPr>
      <w:r>
        <w:rPr>
          <w:rFonts w:ascii="Arial" w:hAnsi="Arial" w:cs="Arial"/>
          <w:b/>
          <w:bCs/>
          <w:sz w:val="20"/>
          <w:szCs w:val="20"/>
        </w:rPr>
        <w:t>Dosage Form</w:t>
      </w:r>
      <w:r w:rsidR="00D90BD5" w:rsidRPr="00D90BD5">
        <w:rPr>
          <w:rFonts w:ascii="Arial" w:hAnsi="Arial" w:cs="Arial"/>
          <w:bCs/>
          <w:sz w:val="20"/>
          <w:szCs w:val="20"/>
        </w:rPr>
        <w:t>:</w:t>
      </w:r>
      <w:r w:rsidR="00D90BD5">
        <w:rPr>
          <w:rFonts w:ascii="Arial" w:hAnsi="Arial" w:cs="Arial"/>
          <w:b/>
          <w:bCs/>
          <w:color w:val="FF0000"/>
          <w:sz w:val="20"/>
          <w:szCs w:val="20"/>
        </w:rPr>
        <w:t xml:space="preserve"> </w:t>
      </w:r>
      <w:r w:rsidR="00896B92">
        <w:rPr>
          <w:rFonts w:ascii="Arial" w:hAnsi="Arial" w:cs="Arial"/>
          <w:sz w:val="20"/>
          <w:szCs w:val="20"/>
        </w:rPr>
        <w:t>Extended-release tablets</w:t>
      </w:r>
    </w:p>
    <w:p w14:paraId="02347FBA" w14:textId="5A8B8217" w:rsidR="0009633C" w:rsidRPr="00DE4583" w:rsidRDefault="00DE4583" w:rsidP="00DE4583">
      <w:pPr>
        <w:pStyle w:val="NoSpacing"/>
        <w:rPr>
          <w:rFonts w:ascii="Arial" w:hAnsi="Arial" w:cs="Arial"/>
          <w:sz w:val="20"/>
          <w:szCs w:val="20"/>
        </w:rPr>
      </w:pPr>
      <w:r w:rsidRPr="00DE4583">
        <w:rPr>
          <w:rFonts w:ascii="Arial" w:hAnsi="Arial" w:cs="Arial"/>
          <w:b/>
          <w:bCs/>
          <w:sz w:val="20"/>
          <w:szCs w:val="20"/>
        </w:rPr>
        <w:t>National Drug Codes (NDC#)</w:t>
      </w:r>
      <w:r w:rsidR="0009633C">
        <w:rPr>
          <w:rFonts w:ascii="Arial" w:hAnsi="Arial" w:cs="Arial"/>
          <w:b/>
          <w:sz w:val="20"/>
          <w:szCs w:val="20"/>
        </w:rPr>
        <w:t xml:space="preserve">: </w:t>
      </w:r>
      <w:r w:rsidRPr="00DE4583">
        <w:rPr>
          <w:rFonts w:ascii="Arial" w:hAnsi="Arial" w:cs="Arial"/>
          <w:sz w:val="20"/>
          <w:szCs w:val="20"/>
        </w:rPr>
        <w:t>50 mg</w:t>
      </w:r>
      <w:r>
        <w:rPr>
          <w:rFonts w:ascii="Arial" w:hAnsi="Arial" w:cs="Arial"/>
          <w:b/>
          <w:sz w:val="20"/>
          <w:szCs w:val="20"/>
        </w:rPr>
        <w:t xml:space="preserve"> </w:t>
      </w:r>
      <w:r w:rsidRPr="00DE4583">
        <w:rPr>
          <w:rFonts w:ascii="Arial" w:hAnsi="Arial" w:cs="Arial"/>
          <w:sz w:val="20"/>
          <w:szCs w:val="20"/>
        </w:rPr>
        <w:t>50458-860-01</w:t>
      </w:r>
      <w:r w:rsidR="0009633C">
        <w:rPr>
          <w:rFonts w:ascii="Arial" w:hAnsi="Arial" w:cs="Arial"/>
          <w:sz w:val="20"/>
          <w:szCs w:val="20"/>
        </w:rPr>
        <w:t xml:space="preserve">, </w:t>
      </w:r>
      <w:r w:rsidRPr="00DE4583">
        <w:rPr>
          <w:rFonts w:ascii="Arial" w:hAnsi="Arial" w:cs="Arial"/>
          <w:sz w:val="20"/>
          <w:szCs w:val="20"/>
        </w:rPr>
        <w:t>50458-860-02</w:t>
      </w:r>
      <w:r>
        <w:rPr>
          <w:rFonts w:ascii="Arial" w:hAnsi="Arial" w:cs="Arial"/>
          <w:sz w:val="20"/>
          <w:szCs w:val="20"/>
        </w:rPr>
        <w:t>;</w:t>
      </w:r>
      <w:r w:rsidR="0009633C">
        <w:rPr>
          <w:rFonts w:ascii="Arial" w:hAnsi="Arial" w:cs="Arial"/>
          <w:sz w:val="20"/>
          <w:szCs w:val="20"/>
        </w:rPr>
        <w:t xml:space="preserve"> </w:t>
      </w:r>
      <w:r>
        <w:rPr>
          <w:rFonts w:ascii="Arial" w:hAnsi="Arial" w:cs="Arial"/>
          <w:sz w:val="20"/>
          <w:szCs w:val="20"/>
        </w:rPr>
        <w:t xml:space="preserve">100 mg </w:t>
      </w:r>
      <w:r w:rsidRPr="00DE4583">
        <w:rPr>
          <w:rFonts w:ascii="Arial" w:hAnsi="Arial" w:cs="Arial"/>
          <w:sz w:val="20"/>
          <w:szCs w:val="20"/>
        </w:rPr>
        <w:t>50458-861-01</w:t>
      </w:r>
      <w:r w:rsidR="0009633C">
        <w:rPr>
          <w:rFonts w:ascii="Arial" w:hAnsi="Arial" w:cs="Arial"/>
          <w:sz w:val="20"/>
          <w:szCs w:val="20"/>
        </w:rPr>
        <w:t xml:space="preserve">, </w:t>
      </w:r>
      <w:r w:rsidRPr="00DE4583">
        <w:rPr>
          <w:rFonts w:ascii="Arial" w:hAnsi="Arial" w:cs="Arial"/>
          <w:sz w:val="20"/>
          <w:szCs w:val="20"/>
        </w:rPr>
        <w:t>50458-861-02</w:t>
      </w:r>
      <w:r>
        <w:rPr>
          <w:rFonts w:ascii="Arial" w:hAnsi="Arial" w:cs="Arial"/>
          <w:sz w:val="20"/>
          <w:szCs w:val="20"/>
        </w:rPr>
        <w:t>;</w:t>
      </w:r>
      <w:r w:rsidR="0009633C">
        <w:rPr>
          <w:rFonts w:ascii="Arial" w:hAnsi="Arial" w:cs="Arial"/>
          <w:sz w:val="20"/>
          <w:szCs w:val="20"/>
        </w:rPr>
        <w:t xml:space="preserve"> </w:t>
      </w:r>
      <w:r>
        <w:rPr>
          <w:rFonts w:ascii="Arial" w:hAnsi="Arial" w:cs="Arial"/>
          <w:sz w:val="20"/>
          <w:szCs w:val="20"/>
        </w:rPr>
        <w:t xml:space="preserve">150 mg </w:t>
      </w:r>
      <w:r w:rsidRPr="00DE4583">
        <w:rPr>
          <w:rFonts w:ascii="Arial" w:hAnsi="Arial" w:cs="Arial"/>
          <w:sz w:val="20"/>
          <w:szCs w:val="20"/>
        </w:rPr>
        <w:t>50458-862-01</w:t>
      </w:r>
      <w:r w:rsidR="0009633C">
        <w:rPr>
          <w:rFonts w:ascii="Arial" w:hAnsi="Arial" w:cs="Arial"/>
          <w:sz w:val="20"/>
          <w:szCs w:val="20"/>
        </w:rPr>
        <w:t xml:space="preserve">, </w:t>
      </w:r>
      <w:r w:rsidRPr="00DE4583">
        <w:rPr>
          <w:rFonts w:ascii="Arial" w:hAnsi="Arial" w:cs="Arial"/>
          <w:sz w:val="20"/>
          <w:szCs w:val="20"/>
        </w:rPr>
        <w:t>50458-862-02</w:t>
      </w:r>
      <w:r>
        <w:rPr>
          <w:rFonts w:ascii="Arial" w:hAnsi="Arial" w:cs="Arial"/>
          <w:sz w:val="20"/>
          <w:szCs w:val="20"/>
        </w:rPr>
        <w:t>; 200 mg</w:t>
      </w:r>
      <w:r w:rsidR="0009633C">
        <w:rPr>
          <w:rFonts w:ascii="Arial" w:hAnsi="Arial" w:cs="Arial"/>
          <w:sz w:val="20"/>
          <w:szCs w:val="20"/>
        </w:rPr>
        <w:t xml:space="preserve"> </w:t>
      </w:r>
      <w:r>
        <w:rPr>
          <w:rFonts w:ascii="Arial" w:hAnsi="Arial" w:cs="Arial"/>
          <w:sz w:val="20"/>
          <w:szCs w:val="20"/>
        </w:rPr>
        <w:t>50458-</w:t>
      </w:r>
      <w:r w:rsidRPr="00DE4583">
        <w:rPr>
          <w:rFonts w:ascii="Arial" w:hAnsi="Arial" w:cs="Arial"/>
          <w:sz w:val="20"/>
          <w:szCs w:val="20"/>
        </w:rPr>
        <w:t>863-01</w:t>
      </w:r>
      <w:r>
        <w:rPr>
          <w:rFonts w:ascii="Arial" w:hAnsi="Arial" w:cs="Arial"/>
          <w:sz w:val="20"/>
          <w:szCs w:val="20"/>
        </w:rPr>
        <w:t xml:space="preserve">, </w:t>
      </w:r>
      <w:r w:rsidRPr="00DE4583">
        <w:rPr>
          <w:rFonts w:ascii="Arial" w:hAnsi="Arial" w:cs="Arial"/>
          <w:sz w:val="20"/>
          <w:szCs w:val="20"/>
        </w:rPr>
        <w:t>50458-863-02</w:t>
      </w:r>
      <w:r>
        <w:rPr>
          <w:rFonts w:ascii="Arial" w:hAnsi="Arial" w:cs="Arial"/>
          <w:sz w:val="20"/>
          <w:szCs w:val="20"/>
        </w:rPr>
        <w:t>; 250 mg 50458-</w:t>
      </w:r>
      <w:r w:rsidRPr="00DE4583">
        <w:rPr>
          <w:rFonts w:ascii="Arial" w:hAnsi="Arial" w:cs="Arial"/>
          <w:sz w:val="20"/>
          <w:szCs w:val="20"/>
        </w:rPr>
        <w:t>864-01</w:t>
      </w:r>
      <w:r>
        <w:rPr>
          <w:rFonts w:ascii="Arial" w:hAnsi="Arial" w:cs="Arial"/>
          <w:sz w:val="20"/>
          <w:szCs w:val="20"/>
        </w:rPr>
        <w:t xml:space="preserve">, </w:t>
      </w:r>
      <w:r w:rsidRPr="00DE4583">
        <w:rPr>
          <w:rFonts w:ascii="Arial" w:hAnsi="Arial" w:cs="Arial"/>
          <w:sz w:val="20"/>
          <w:szCs w:val="20"/>
        </w:rPr>
        <w:t>50458-864-02</w:t>
      </w:r>
    </w:p>
    <w:p w14:paraId="1BF2AB7F" w14:textId="2CF0891F" w:rsidR="009F5A3B" w:rsidRPr="0044122B" w:rsidRDefault="009F5A3B" w:rsidP="004920E8">
      <w:pPr>
        <w:pStyle w:val="NoSpacing"/>
        <w:rPr>
          <w:rFonts w:ascii="Arial" w:hAnsi="Arial" w:cs="Arial"/>
          <w:sz w:val="20"/>
          <w:szCs w:val="20"/>
        </w:rPr>
      </w:pPr>
      <w:r w:rsidRPr="0044122B">
        <w:rPr>
          <w:rFonts w:ascii="Arial" w:hAnsi="Arial" w:cs="Arial"/>
          <w:b/>
          <w:sz w:val="20"/>
          <w:szCs w:val="20"/>
        </w:rPr>
        <w:t>Manufacturer</w:t>
      </w:r>
      <w:r w:rsidRPr="0044122B">
        <w:rPr>
          <w:rFonts w:ascii="Arial" w:hAnsi="Arial" w:cs="Arial"/>
          <w:sz w:val="20"/>
          <w:szCs w:val="20"/>
        </w:rPr>
        <w:t>:</w:t>
      </w:r>
      <w:r w:rsidR="00730BE7" w:rsidRPr="0044122B">
        <w:rPr>
          <w:rFonts w:ascii="Arial" w:hAnsi="Arial" w:cs="Arial"/>
          <w:sz w:val="20"/>
          <w:szCs w:val="20"/>
        </w:rPr>
        <w:t xml:space="preserve"> </w:t>
      </w:r>
      <w:proofErr w:type="spellStart"/>
      <w:r w:rsidR="00F61D29">
        <w:rPr>
          <w:rFonts w:ascii="Arial" w:hAnsi="Arial" w:cs="Arial"/>
          <w:sz w:val="20"/>
          <w:szCs w:val="20"/>
        </w:rPr>
        <w:t>Depomed</w:t>
      </w:r>
      <w:proofErr w:type="spellEnd"/>
      <w:r w:rsidR="00F61D29">
        <w:rPr>
          <w:rFonts w:ascii="Arial" w:hAnsi="Arial" w:cs="Arial"/>
          <w:sz w:val="20"/>
          <w:szCs w:val="20"/>
        </w:rPr>
        <w:t>, Inc.</w:t>
      </w:r>
    </w:p>
    <w:p w14:paraId="5E953C4B" w14:textId="3B252127" w:rsidR="00D82FB1" w:rsidRPr="0009633C" w:rsidRDefault="002F791F" w:rsidP="004920E8">
      <w:pPr>
        <w:pStyle w:val="NoSpacing"/>
        <w:rPr>
          <w:rFonts w:ascii="Arial" w:hAnsi="Arial" w:cs="Arial"/>
          <w:sz w:val="20"/>
          <w:szCs w:val="20"/>
        </w:rPr>
      </w:pPr>
      <w:r>
        <w:rPr>
          <w:rFonts w:ascii="Arial" w:hAnsi="Arial" w:cs="Arial"/>
          <w:b/>
          <w:sz w:val="20"/>
          <w:szCs w:val="20"/>
        </w:rPr>
        <w:t xml:space="preserve">ADF Product </w:t>
      </w:r>
      <w:r w:rsidR="0009633C">
        <w:rPr>
          <w:rFonts w:ascii="Arial" w:hAnsi="Arial" w:cs="Arial"/>
          <w:b/>
          <w:sz w:val="20"/>
          <w:szCs w:val="20"/>
        </w:rPr>
        <w:t xml:space="preserve">Classification: </w:t>
      </w:r>
      <w:r w:rsidR="00F61D29">
        <w:rPr>
          <w:rFonts w:ascii="Arial" w:hAnsi="Arial" w:cs="Arial"/>
          <w:sz w:val="20"/>
          <w:szCs w:val="20"/>
        </w:rPr>
        <w:t>Not Applicable</w:t>
      </w:r>
    </w:p>
    <w:p w14:paraId="1E36FB4A" w14:textId="77777777" w:rsidR="000401E7" w:rsidRPr="0044122B" w:rsidRDefault="000401E7" w:rsidP="004920E8">
      <w:pPr>
        <w:pStyle w:val="NoSpacing"/>
        <w:rPr>
          <w:rFonts w:ascii="Arial" w:hAnsi="Arial" w:cs="Arial"/>
          <w:sz w:val="20"/>
          <w:szCs w:val="20"/>
        </w:rPr>
      </w:pPr>
    </w:p>
    <w:p w14:paraId="3E530AE4" w14:textId="61F57ADF" w:rsidR="009F5A3B" w:rsidRDefault="0009633C" w:rsidP="004920E8">
      <w:pPr>
        <w:pStyle w:val="NoSpacing"/>
        <w:rPr>
          <w:rFonts w:ascii="Arial" w:hAnsi="Arial" w:cs="Arial"/>
          <w:b/>
          <w:sz w:val="20"/>
          <w:szCs w:val="20"/>
          <w:u w:val="single"/>
        </w:rPr>
      </w:pPr>
      <w:r>
        <w:rPr>
          <w:rFonts w:ascii="Arial" w:hAnsi="Arial" w:cs="Arial"/>
          <w:b/>
          <w:sz w:val="20"/>
          <w:szCs w:val="20"/>
          <w:u w:val="single"/>
        </w:rPr>
        <w:t xml:space="preserve">Executive </w:t>
      </w:r>
      <w:r w:rsidR="009F5A3B" w:rsidRPr="0044122B">
        <w:rPr>
          <w:rFonts w:ascii="Arial" w:hAnsi="Arial" w:cs="Arial"/>
          <w:b/>
          <w:sz w:val="20"/>
          <w:szCs w:val="20"/>
          <w:u w:val="single"/>
        </w:rPr>
        <w:t>Summary</w:t>
      </w:r>
    </w:p>
    <w:p w14:paraId="6CEAC326" w14:textId="6BB2A70D" w:rsidR="001302AF" w:rsidRDefault="00857A34" w:rsidP="00E212A9">
      <w:pPr>
        <w:pStyle w:val="NoSpacing"/>
        <w:rPr>
          <w:rFonts w:ascii="Arial" w:hAnsi="Arial" w:cs="Arial"/>
          <w:sz w:val="20"/>
          <w:szCs w:val="20"/>
        </w:rPr>
      </w:pPr>
      <w:r w:rsidRPr="00857A34">
        <w:rPr>
          <w:rFonts w:ascii="Arial" w:hAnsi="Arial" w:cs="Arial"/>
          <w:sz w:val="20"/>
          <w:szCs w:val="20"/>
        </w:rPr>
        <w:t>Nucynta ER</w:t>
      </w:r>
      <w:r w:rsidRPr="00857A34">
        <w:rPr>
          <w:rFonts w:ascii="Arial" w:hAnsi="Arial" w:cs="Arial"/>
          <w:sz w:val="20"/>
          <w:szCs w:val="20"/>
          <w:vertAlign w:val="superscript"/>
        </w:rPr>
        <w:t>®</w:t>
      </w:r>
      <w:r w:rsidRPr="00857A34">
        <w:rPr>
          <w:rFonts w:ascii="Arial" w:hAnsi="Arial" w:cs="Arial"/>
          <w:sz w:val="20"/>
          <w:szCs w:val="20"/>
        </w:rPr>
        <w:t xml:space="preserve"> (tapentadol extended-release)</w:t>
      </w:r>
      <w:r>
        <w:rPr>
          <w:rFonts w:ascii="Arial" w:hAnsi="Arial" w:cs="Arial"/>
          <w:sz w:val="20"/>
          <w:szCs w:val="20"/>
        </w:rPr>
        <w:t xml:space="preserve"> is an extended-release (ER) formulation of tapentadol that is approved by the Food and Drug Administration (FDA) to treat</w:t>
      </w:r>
      <w:r w:rsidRPr="00B35AD5">
        <w:rPr>
          <w:rFonts w:ascii="Arial" w:hAnsi="Arial" w:cs="Arial"/>
          <w:sz w:val="20"/>
          <w:szCs w:val="20"/>
        </w:rPr>
        <w:t xml:space="preserve"> pain severe enough to require around-the-cl</w:t>
      </w:r>
      <w:r>
        <w:rPr>
          <w:rFonts w:ascii="Arial" w:hAnsi="Arial" w:cs="Arial"/>
          <w:sz w:val="20"/>
          <w:szCs w:val="20"/>
        </w:rPr>
        <w:t xml:space="preserve">ock, long-term opioid treatment and for which alternative treatment options are inadequate. </w:t>
      </w:r>
      <w:r w:rsidRPr="00857A34">
        <w:rPr>
          <w:rFonts w:ascii="Arial" w:hAnsi="Arial" w:cs="Arial"/>
          <w:sz w:val="20"/>
          <w:szCs w:val="20"/>
        </w:rPr>
        <w:t>Nucynta ER</w:t>
      </w:r>
      <w:r w:rsidRPr="00857A34">
        <w:rPr>
          <w:rFonts w:ascii="Arial" w:hAnsi="Arial" w:cs="Arial"/>
          <w:sz w:val="20"/>
          <w:szCs w:val="20"/>
          <w:vertAlign w:val="superscript"/>
        </w:rPr>
        <w:t>®</w:t>
      </w:r>
      <w:r w:rsidRPr="00857A34">
        <w:rPr>
          <w:rFonts w:ascii="Arial" w:hAnsi="Arial" w:cs="Arial"/>
          <w:sz w:val="20"/>
          <w:szCs w:val="20"/>
        </w:rPr>
        <w:t xml:space="preserve"> (tapentadol extended-release)</w:t>
      </w:r>
      <w:r>
        <w:rPr>
          <w:rFonts w:ascii="Arial" w:hAnsi="Arial" w:cs="Arial"/>
          <w:sz w:val="20"/>
          <w:szCs w:val="20"/>
        </w:rPr>
        <w:t xml:space="preserve"> is also FDA-approved to treat </w:t>
      </w:r>
      <w:r w:rsidRPr="00857A34">
        <w:rPr>
          <w:rFonts w:ascii="Arial" w:hAnsi="Arial" w:cs="Arial"/>
          <w:sz w:val="20"/>
          <w:szCs w:val="20"/>
        </w:rPr>
        <w:t>neuropathic pain associated with diabetic peripheral neuropathy (DPN) in adults severe enough to require daily, around-the-clock, long-term opioid treatment and for which alternative treatment options are inadequate</w:t>
      </w:r>
      <w:r>
        <w:rPr>
          <w:rFonts w:ascii="Arial" w:hAnsi="Arial" w:cs="Arial"/>
          <w:sz w:val="20"/>
          <w:szCs w:val="20"/>
        </w:rPr>
        <w:t>.</w:t>
      </w:r>
      <w:r>
        <w:rPr>
          <w:rFonts w:ascii="Arial" w:hAnsi="Arial" w:cs="Arial"/>
          <w:sz w:val="20"/>
          <w:szCs w:val="20"/>
          <w:vertAlign w:val="superscript"/>
        </w:rPr>
        <w:t>1,2</w:t>
      </w:r>
      <w:r>
        <w:rPr>
          <w:rFonts w:ascii="Arial" w:hAnsi="Arial" w:cs="Arial"/>
          <w:sz w:val="20"/>
          <w:szCs w:val="20"/>
        </w:rPr>
        <w:t xml:space="preserve"> </w:t>
      </w:r>
      <w:r w:rsidR="00F94E48" w:rsidRPr="00DC3BA5">
        <w:rPr>
          <w:rFonts w:ascii="Arial" w:hAnsi="Arial" w:cs="Arial"/>
          <w:sz w:val="20"/>
          <w:szCs w:val="20"/>
          <w:highlight w:val="yellow"/>
        </w:rPr>
        <w:t>Recommended initial dosing for Nucynta ER</w:t>
      </w:r>
      <w:r w:rsidR="00F94E48" w:rsidRPr="00DC3BA5">
        <w:rPr>
          <w:rFonts w:ascii="Arial" w:hAnsi="Arial" w:cs="Arial"/>
          <w:sz w:val="20"/>
          <w:szCs w:val="20"/>
          <w:highlight w:val="yellow"/>
          <w:vertAlign w:val="superscript"/>
        </w:rPr>
        <w:t>®</w:t>
      </w:r>
      <w:r w:rsidR="00F94E48" w:rsidRPr="00DC3BA5">
        <w:rPr>
          <w:rFonts w:ascii="Arial" w:hAnsi="Arial" w:cs="Arial"/>
          <w:sz w:val="20"/>
          <w:szCs w:val="20"/>
          <w:highlight w:val="yellow"/>
        </w:rPr>
        <w:t xml:space="preserve"> (tapentadol extended-release) as the first opioid analgesic is 50 mg every 12 hours. </w:t>
      </w:r>
      <w:r w:rsidR="00DC3BA5" w:rsidRPr="00DC3BA5">
        <w:rPr>
          <w:rFonts w:ascii="Arial" w:hAnsi="Arial" w:cs="Arial"/>
          <w:sz w:val="20"/>
          <w:szCs w:val="20"/>
          <w:highlight w:val="yellow"/>
        </w:rPr>
        <w:t>The manufacturer does not provide specific conversion factors or initial dosing for patients converting to Nucynta ER</w:t>
      </w:r>
      <w:r w:rsidR="00DC3BA5" w:rsidRPr="00DC3BA5">
        <w:rPr>
          <w:rFonts w:ascii="Arial" w:hAnsi="Arial" w:cs="Arial"/>
          <w:sz w:val="20"/>
          <w:szCs w:val="20"/>
          <w:highlight w:val="yellow"/>
          <w:vertAlign w:val="superscript"/>
        </w:rPr>
        <w:t>®</w:t>
      </w:r>
      <w:r w:rsidR="00DC3BA5" w:rsidRPr="00DC3BA5">
        <w:rPr>
          <w:rFonts w:ascii="Arial" w:hAnsi="Arial" w:cs="Arial"/>
          <w:sz w:val="20"/>
          <w:szCs w:val="20"/>
          <w:highlight w:val="yellow"/>
        </w:rPr>
        <w:t xml:space="preserve"> (tapentadol extended-release) from other opioids.</w:t>
      </w:r>
      <w:r w:rsidR="00DC3BA5" w:rsidRPr="00DC3BA5">
        <w:rPr>
          <w:rFonts w:ascii="Arial" w:hAnsi="Arial" w:cs="Arial"/>
          <w:sz w:val="20"/>
          <w:szCs w:val="20"/>
          <w:highlight w:val="yellow"/>
          <w:vertAlign w:val="superscript"/>
        </w:rPr>
        <w:t>1</w:t>
      </w:r>
      <w:r w:rsidR="00DC3BA5">
        <w:rPr>
          <w:rFonts w:ascii="Arial" w:hAnsi="Arial" w:cs="Arial"/>
          <w:sz w:val="20"/>
          <w:szCs w:val="20"/>
        </w:rPr>
        <w:t xml:space="preserve"> </w:t>
      </w:r>
      <w:r w:rsidR="00262CE1">
        <w:rPr>
          <w:rFonts w:ascii="Arial" w:hAnsi="Arial" w:cs="Arial"/>
          <w:sz w:val="20"/>
          <w:szCs w:val="20"/>
        </w:rPr>
        <w:t>Nucynta ER</w:t>
      </w:r>
      <w:r w:rsidR="00262CE1">
        <w:rPr>
          <w:rFonts w:ascii="Arial" w:hAnsi="Arial" w:cs="Arial"/>
          <w:sz w:val="20"/>
          <w:szCs w:val="20"/>
          <w:vertAlign w:val="superscript"/>
        </w:rPr>
        <w:t>®</w:t>
      </w:r>
      <w:r w:rsidR="00262CE1">
        <w:rPr>
          <w:rFonts w:ascii="Arial" w:hAnsi="Arial" w:cs="Arial"/>
          <w:sz w:val="20"/>
          <w:szCs w:val="20"/>
        </w:rPr>
        <w:t xml:space="preserve"> (tapentadol extended-release) contains tapentadol which is a </w:t>
      </w:r>
      <w:r w:rsidR="00CE0D6E">
        <w:rPr>
          <w:rFonts w:ascii="Arial" w:hAnsi="Arial" w:cs="Arial"/>
          <w:sz w:val="20"/>
          <w:szCs w:val="20"/>
        </w:rPr>
        <w:t>µ opioid receptor agonist and norepinephrine reuptake inhibitor. Both properties are thought to contribute to the analgesic effects of tapentadol.</w:t>
      </w:r>
      <w:r w:rsidR="00CE0D6E">
        <w:rPr>
          <w:rFonts w:ascii="Arial" w:hAnsi="Arial" w:cs="Arial"/>
          <w:sz w:val="20"/>
          <w:szCs w:val="20"/>
          <w:vertAlign w:val="superscript"/>
        </w:rPr>
        <w:t>1-4</w:t>
      </w:r>
      <w:r w:rsidR="00262CE1">
        <w:rPr>
          <w:rFonts w:ascii="Arial" w:hAnsi="Arial" w:cs="Arial"/>
          <w:sz w:val="20"/>
          <w:szCs w:val="20"/>
        </w:rPr>
        <w:t xml:space="preserve"> </w:t>
      </w:r>
      <w:r w:rsidRPr="00857A34">
        <w:rPr>
          <w:rFonts w:ascii="Arial" w:hAnsi="Arial" w:cs="Arial"/>
          <w:sz w:val="20"/>
          <w:szCs w:val="20"/>
        </w:rPr>
        <w:t>Nucynta ER</w:t>
      </w:r>
      <w:r w:rsidRPr="00857A34">
        <w:rPr>
          <w:rFonts w:ascii="Arial" w:hAnsi="Arial" w:cs="Arial"/>
          <w:sz w:val="20"/>
          <w:szCs w:val="20"/>
          <w:vertAlign w:val="superscript"/>
        </w:rPr>
        <w:t>®</w:t>
      </w:r>
      <w:r w:rsidRPr="00857A34">
        <w:rPr>
          <w:rFonts w:ascii="Arial" w:hAnsi="Arial" w:cs="Arial"/>
          <w:sz w:val="20"/>
          <w:szCs w:val="20"/>
        </w:rPr>
        <w:t xml:space="preserve"> (tapentadol extended-release)</w:t>
      </w:r>
      <w:r>
        <w:rPr>
          <w:rFonts w:ascii="Arial" w:hAnsi="Arial" w:cs="Arial"/>
          <w:sz w:val="20"/>
          <w:szCs w:val="20"/>
        </w:rPr>
        <w:t xml:space="preserve"> is being evaluated by the Drug Formulary Commission to determine if properties of the drug and formulation merit inclusion on the Massachusetts formulary of therapeutically equivalent substitutions, as outlined in Chapter 258 of the Acts of 2014.</w:t>
      </w:r>
    </w:p>
    <w:p w14:paraId="2811DB44" w14:textId="77777777" w:rsidR="00857A34" w:rsidRDefault="00857A34" w:rsidP="00E212A9">
      <w:pPr>
        <w:pStyle w:val="NoSpacing"/>
        <w:rPr>
          <w:rFonts w:ascii="Arial" w:hAnsi="Arial" w:cs="Arial"/>
          <w:sz w:val="20"/>
          <w:szCs w:val="20"/>
        </w:rPr>
      </w:pPr>
    </w:p>
    <w:p w14:paraId="6E8D737F" w14:textId="214C8833" w:rsidR="00262CE1" w:rsidRDefault="00783CB8" w:rsidP="00E212A9">
      <w:pPr>
        <w:pStyle w:val="NoSpacing"/>
        <w:rPr>
          <w:rFonts w:ascii="Arial" w:hAnsi="Arial" w:cs="Arial"/>
          <w:sz w:val="20"/>
          <w:szCs w:val="20"/>
        </w:rPr>
      </w:pPr>
      <w:r>
        <w:rPr>
          <w:rFonts w:ascii="Arial" w:hAnsi="Arial" w:cs="Arial"/>
          <w:sz w:val="20"/>
          <w:szCs w:val="20"/>
        </w:rPr>
        <w:t xml:space="preserve">The efficacy and safety of </w:t>
      </w:r>
      <w:r w:rsidRPr="00857A34">
        <w:rPr>
          <w:rFonts w:ascii="Arial" w:hAnsi="Arial" w:cs="Arial"/>
          <w:sz w:val="20"/>
          <w:szCs w:val="20"/>
        </w:rPr>
        <w:t>Nucynta ER</w:t>
      </w:r>
      <w:r w:rsidRPr="00857A34">
        <w:rPr>
          <w:rFonts w:ascii="Arial" w:hAnsi="Arial" w:cs="Arial"/>
          <w:sz w:val="20"/>
          <w:szCs w:val="20"/>
          <w:vertAlign w:val="superscript"/>
        </w:rPr>
        <w:t>®</w:t>
      </w:r>
      <w:r w:rsidRPr="00857A34">
        <w:rPr>
          <w:rFonts w:ascii="Arial" w:hAnsi="Arial" w:cs="Arial"/>
          <w:sz w:val="20"/>
          <w:szCs w:val="20"/>
        </w:rPr>
        <w:t xml:space="preserve"> (tapentadol extended-release)</w:t>
      </w:r>
      <w:r>
        <w:rPr>
          <w:rFonts w:ascii="Arial" w:hAnsi="Arial" w:cs="Arial"/>
          <w:sz w:val="20"/>
          <w:szCs w:val="20"/>
        </w:rPr>
        <w:t xml:space="preserve"> </w:t>
      </w:r>
      <w:r w:rsidR="00DC2527">
        <w:rPr>
          <w:rFonts w:ascii="Arial" w:hAnsi="Arial" w:cs="Arial"/>
          <w:sz w:val="20"/>
          <w:szCs w:val="20"/>
        </w:rPr>
        <w:t>was</w:t>
      </w:r>
      <w:r>
        <w:rPr>
          <w:rFonts w:ascii="Arial" w:hAnsi="Arial" w:cs="Arial"/>
          <w:sz w:val="20"/>
          <w:szCs w:val="20"/>
        </w:rPr>
        <w:t xml:space="preserve"> established in two phase III </w:t>
      </w:r>
      <w:r w:rsidR="00262CE1">
        <w:rPr>
          <w:rFonts w:ascii="Arial" w:hAnsi="Arial" w:cs="Arial"/>
          <w:sz w:val="20"/>
          <w:szCs w:val="20"/>
        </w:rPr>
        <w:t xml:space="preserve">clinical </w:t>
      </w:r>
      <w:r>
        <w:rPr>
          <w:rFonts w:ascii="Arial" w:hAnsi="Arial" w:cs="Arial"/>
          <w:sz w:val="20"/>
          <w:szCs w:val="20"/>
        </w:rPr>
        <w:t>trials in chronic low back pain (LBP)</w:t>
      </w:r>
      <w:r w:rsidR="00262CE1">
        <w:rPr>
          <w:rFonts w:ascii="Arial" w:hAnsi="Arial" w:cs="Arial"/>
          <w:sz w:val="20"/>
          <w:szCs w:val="20"/>
        </w:rPr>
        <w:t xml:space="preserve"> and osteoarthritis (OA) of the knee.</w:t>
      </w:r>
      <w:r w:rsidR="00CE0D6E">
        <w:rPr>
          <w:rFonts w:ascii="Arial" w:hAnsi="Arial" w:cs="Arial"/>
          <w:sz w:val="20"/>
          <w:szCs w:val="20"/>
          <w:vertAlign w:val="superscript"/>
        </w:rPr>
        <w:t>5,6</w:t>
      </w:r>
      <w:r w:rsidR="00262CE1">
        <w:rPr>
          <w:rFonts w:ascii="Arial" w:hAnsi="Arial" w:cs="Arial"/>
          <w:sz w:val="20"/>
          <w:szCs w:val="20"/>
        </w:rPr>
        <w:t xml:space="preserve"> For DPN, the safety and efficacy of </w:t>
      </w:r>
      <w:r w:rsidR="00262CE1" w:rsidRPr="00857A34">
        <w:rPr>
          <w:rFonts w:ascii="Arial" w:hAnsi="Arial" w:cs="Arial"/>
          <w:sz w:val="20"/>
          <w:szCs w:val="20"/>
        </w:rPr>
        <w:t>Nucynta ER</w:t>
      </w:r>
      <w:r w:rsidR="00262CE1" w:rsidRPr="00857A34">
        <w:rPr>
          <w:rFonts w:ascii="Arial" w:hAnsi="Arial" w:cs="Arial"/>
          <w:sz w:val="20"/>
          <w:szCs w:val="20"/>
          <w:vertAlign w:val="superscript"/>
        </w:rPr>
        <w:t>®</w:t>
      </w:r>
      <w:r w:rsidR="00262CE1" w:rsidRPr="00857A34">
        <w:rPr>
          <w:rFonts w:ascii="Arial" w:hAnsi="Arial" w:cs="Arial"/>
          <w:sz w:val="20"/>
          <w:szCs w:val="20"/>
        </w:rPr>
        <w:t xml:space="preserve"> (tapentadol extended-release)</w:t>
      </w:r>
      <w:r w:rsidR="00262CE1">
        <w:rPr>
          <w:rFonts w:ascii="Arial" w:hAnsi="Arial" w:cs="Arial"/>
          <w:sz w:val="20"/>
          <w:szCs w:val="20"/>
        </w:rPr>
        <w:t xml:space="preserve"> was established in two phase III clinical trials.</w:t>
      </w:r>
      <w:r w:rsidR="00CE0D6E">
        <w:rPr>
          <w:rFonts w:ascii="Arial" w:hAnsi="Arial" w:cs="Arial"/>
          <w:sz w:val="20"/>
          <w:szCs w:val="20"/>
          <w:vertAlign w:val="superscript"/>
        </w:rPr>
        <w:t>7,8</w:t>
      </w:r>
      <w:r w:rsidR="00262CE1">
        <w:rPr>
          <w:rFonts w:ascii="Arial" w:hAnsi="Arial" w:cs="Arial"/>
          <w:sz w:val="20"/>
          <w:szCs w:val="20"/>
        </w:rPr>
        <w:t xml:space="preserve"> The long-term tolerability and safety of </w:t>
      </w:r>
      <w:r w:rsidR="00262CE1" w:rsidRPr="00857A34">
        <w:rPr>
          <w:rFonts w:ascii="Arial" w:hAnsi="Arial" w:cs="Arial"/>
          <w:sz w:val="20"/>
          <w:szCs w:val="20"/>
        </w:rPr>
        <w:t>Nucynta ER</w:t>
      </w:r>
      <w:r w:rsidR="00262CE1" w:rsidRPr="00857A34">
        <w:rPr>
          <w:rFonts w:ascii="Arial" w:hAnsi="Arial" w:cs="Arial"/>
          <w:sz w:val="20"/>
          <w:szCs w:val="20"/>
          <w:vertAlign w:val="superscript"/>
        </w:rPr>
        <w:t>®</w:t>
      </w:r>
      <w:r w:rsidR="00262CE1" w:rsidRPr="00857A34">
        <w:rPr>
          <w:rFonts w:ascii="Arial" w:hAnsi="Arial" w:cs="Arial"/>
          <w:sz w:val="20"/>
          <w:szCs w:val="20"/>
        </w:rPr>
        <w:t xml:space="preserve"> (tapentadol extended-release)</w:t>
      </w:r>
      <w:r w:rsidR="00262CE1">
        <w:rPr>
          <w:rFonts w:ascii="Arial" w:hAnsi="Arial" w:cs="Arial"/>
          <w:sz w:val="20"/>
          <w:szCs w:val="20"/>
        </w:rPr>
        <w:t xml:space="preserve"> </w:t>
      </w:r>
      <w:r w:rsidR="00DC2527">
        <w:rPr>
          <w:rFonts w:ascii="Arial" w:hAnsi="Arial" w:cs="Arial"/>
          <w:sz w:val="20"/>
          <w:szCs w:val="20"/>
        </w:rPr>
        <w:t>was</w:t>
      </w:r>
      <w:r w:rsidR="00262CE1">
        <w:rPr>
          <w:rFonts w:ascii="Arial" w:hAnsi="Arial" w:cs="Arial"/>
          <w:sz w:val="20"/>
          <w:szCs w:val="20"/>
        </w:rPr>
        <w:t xml:space="preserve"> established in two extension studies of one year in length, the second of which was an extension study in patients that had already been treated for up to one year with </w:t>
      </w:r>
      <w:r w:rsidR="00262CE1" w:rsidRPr="00857A34">
        <w:rPr>
          <w:rFonts w:ascii="Arial" w:hAnsi="Arial" w:cs="Arial"/>
          <w:sz w:val="20"/>
          <w:szCs w:val="20"/>
        </w:rPr>
        <w:t>Nucynta ER</w:t>
      </w:r>
      <w:r w:rsidR="00262CE1" w:rsidRPr="00857A34">
        <w:rPr>
          <w:rFonts w:ascii="Arial" w:hAnsi="Arial" w:cs="Arial"/>
          <w:sz w:val="20"/>
          <w:szCs w:val="20"/>
          <w:vertAlign w:val="superscript"/>
        </w:rPr>
        <w:t>®</w:t>
      </w:r>
      <w:r w:rsidR="00262CE1" w:rsidRPr="00857A34">
        <w:rPr>
          <w:rFonts w:ascii="Arial" w:hAnsi="Arial" w:cs="Arial"/>
          <w:sz w:val="20"/>
          <w:szCs w:val="20"/>
        </w:rPr>
        <w:t xml:space="preserve"> (tapentadol extended-release)</w:t>
      </w:r>
      <w:r w:rsidR="00262CE1">
        <w:rPr>
          <w:rFonts w:ascii="Arial" w:hAnsi="Arial" w:cs="Arial"/>
          <w:sz w:val="20"/>
          <w:szCs w:val="20"/>
        </w:rPr>
        <w:t>.</w:t>
      </w:r>
      <w:r w:rsidR="00CE0D6E">
        <w:rPr>
          <w:rFonts w:ascii="Arial" w:hAnsi="Arial" w:cs="Arial"/>
          <w:sz w:val="20"/>
          <w:szCs w:val="20"/>
          <w:vertAlign w:val="superscript"/>
        </w:rPr>
        <w:t>9,10</w:t>
      </w:r>
      <w:r w:rsidR="00262CE1">
        <w:rPr>
          <w:rFonts w:ascii="Arial" w:hAnsi="Arial" w:cs="Arial"/>
          <w:sz w:val="20"/>
          <w:szCs w:val="20"/>
        </w:rPr>
        <w:t xml:space="preserve"> </w:t>
      </w:r>
      <w:r w:rsidR="00262CE1" w:rsidRPr="00857A34">
        <w:rPr>
          <w:rFonts w:ascii="Arial" w:hAnsi="Arial" w:cs="Arial"/>
          <w:sz w:val="20"/>
          <w:szCs w:val="20"/>
        </w:rPr>
        <w:t>Nucynta ER</w:t>
      </w:r>
      <w:r w:rsidR="00262CE1" w:rsidRPr="00857A34">
        <w:rPr>
          <w:rFonts w:ascii="Arial" w:hAnsi="Arial" w:cs="Arial"/>
          <w:sz w:val="20"/>
          <w:szCs w:val="20"/>
          <w:vertAlign w:val="superscript"/>
        </w:rPr>
        <w:t>®</w:t>
      </w:r>
      <w:r w:rsidR="00262CE1" w:rsidRPr="00857A34">
        <w:rPr>
          <w:rFonts w:ascii="Arial" w:hAnsi="Arial" w:cs="Arial"/>
          <w:sz w:val="20"/>
          <w:szCs w:val="20"/>
        </w:rPr>
        <w:t xml:space="preserve"> (tapentadol extended-release)</w:t>
      </w:r>
      <w:r w:rsidR="00262CE1">
        <w:rPr>
          <w:rFonts w:ascii="Arial" w:hAnsi="Arial" w:cs="Arial"/>
          <w:sz w:val="20"/>
          <w:szCs w:val="20"/>
        </w:rPr>
        <w:t xml:space="preserve"> has also been evaluated in patients with chronic cancer-related pain (CCP), and was found to be a relatively safe and effective treatment option in CCP.</w:t>
      </w:r>
      <w:r w:rsidR="00CE0D6E">
        <w:rPr>
          <w:rFonts w:ascii="Arial" w:hAnsi="Arial" w:cs="Arial"/>
          <w:sz w:val="20"/>
          <w:szCs w:val="20"/>
          <w:vertAlign w:val="superscript"/>
        </w:rPr>
        <w:t>11,12</w:t>
      </w:r>
    </w:p>
    <w:p w14:paraId="3C568BA3" w14:textId="77777777" w:rsidR="00262CE1" w:rsidRDefault="00262CE1" w:rsidP="00E212A9">
      <w:pPr>
        <w:pStyle w:val="NoSpacing"/>
        <w:rPr>
          <w:rFonts w:ascii="Arial" w:hAnsi="Arial" w:cs="Arial"/>
          <w:sz w:val="20"/>
          <w:szCs w:val="20"/>
        </w:rPr>
      </w:pPr>
    </w:p>
    <w:p w14:paraId="3FBFA040" w14:textId="3FF6A399" w:rsidR="00DC3BA5" w:rsidRDefault="00262CE1" w:rsidP="00E212A9">
      <w:pPr>
        <w:pStyle w:val="NoSpacing"/>
        <w:rPr>
          <w:rFonts w:ascii="Arial" w:hAnsi="Arial" w:cs="Arial"/>
          <w:sz w:val="20"/>
          <w:szCs w:val="20"/>
        </w:rPr>
      </w:pPr>
      <w:r w:rsidRPr="00857A34">
        <w:rPr>
          <w:rFonts w:ascii="Arial" w:hAnsi="Arial" w:cs="Arial"/>
          <w:sz w:val="20"/>
          <w:szCs w:val="20"/>
        </w:rPr>
        <w:t>Nucynta ER</w:t>
      </w:r>
      <w:r w:rsidRPr="00857A34">
        <w:rPr>
          <w:rFonts w:ascii="Arial" w:hAnsi="Arial" w:cs="Arial"/>
          <w:sz w:val="20"/>
          <w:szCs w:val="20"/>
          <w:vertAlign w:val="superscript"/>
        </w:rPr>
        <w:t>®</w:t>
      </w:r>
      <w:r w:rsidRPr="00857A34">
        <w:rPr>
          <w:rFonts w:ascii="Arial" w:hAnsi="Arial" w:cs="Arial"/>
          <w:sz w:val="20"/>
          <w:szCs w:val="20"/>
        </w:rPr>
        <w:t xml:space="preserve"> (tapentadol extended-release)</w:t>
      </w:r>
      <w:r>
        <w:rPr>
          <w:rFonts w:ascii="Arial" w:hAnsi="Arial" w:cs="Arial"/>
          <w:sz w:val="20"/>
          <w:szCs w:val="20"/>
        </w:rPr>
        <w:t xml:space="preserve"> is not approved as an abuse-deterrent formulation (ADF)</w:t>
      </w:r>
      <w:r w:rsidR="00CE0D6E">
        <w:rPr>
          <w:rFonts w:ascii="Arial" w:hAnsi="Arial" w:cs="Arial"/>
          <w:sz w:val="20"/>
          <w:szCs w:val="20"/>
        </w:rPr>
        <w:t xml:space="preserve">; however, </w:t>
      </w:r>
      <w:r w:rsidR="00CE0D6E">
        <w:rPr>
          <w:rFonts w:ascii="Arial" w:hAnsi="Arial" w:cs="Arial"/>
          <w:i/>
          <w:sz w:val="20"/>
          <w:szCs w:val="20"/>
        </w:rPr>
        <w:t>in vitro</w:t>
      </w:r>
      <w:r w:rsidR="00CE0D6E">
        <w:rPr>
          <w:rFonts w:ascii="Arial" w:hAnsi="Arial" w:cs="Arial"/>
          <w:sz w:val="20"/>
          <w:szCs w:val="20"/>
        </w:rPr>
        <w:t xml:space="preserve"> laboratory manipulation and extraction studies and clinical abuse potential studies have been performed.</w:t>
      </w:r>
      <w:r w:rsidR="00CE0D6E">
        <w:rPr>
          <w:rFonts w:ascii="Arial" w:hAnsi="Arial" w:cs="Arial"/>
          <w:sz w:val="20"/>
          <w:szCs w:val="20"/>
          <w:vertAlign w:val="superscript"/>
        </w:rPr>
        <w:t>13</w:t>
      </w:r>
      <w:proofErr w:type="gramStart"/>
      <w:r w:rsidR="00CE0D6E">
        <w:rPr>
          <w:rFonts w:ascii="Arial" w:hAnsi="Arial" w:cs="Arial"/>
          <w:sz w:val="20"/>
          <w:szCs w:val="20"/>
          <w:vertAlign w:val="superscript"/>
        </w:rPr>
        <w:t>,14</w:t>
      </w:r>
      <w:proofErr w:type="gramEnd"/>
      <w:r w:rsidR="000A4BC0">
        <w:rPr>
          <w:rFonts w:ascii="Arial" w:hAnsi="Arial" w:cs="Arial"/>
          <w:sz w:val="20"/>
          <w:szCs w:val="20"/>
        </w:rPr>
        <w:t xml:space="preserve"> Attempts to crush or break the</w:t>
      </w:r>
      <w:r w:rsidR="000A4BC0" w:rsidRPr="000A4BC0">
        <w:rPr>
          <w:rFonts w:ascii="Arial" w:hAnsi="Arial" w:cs="Arial"/>
          <w:sz w:val="20"/>
          <w:szCs w:val="20"/>
        </w:rPr>
        <w:t xml:space="preserve"> </w:t>
      </w:r>
      <w:r w:rsidR="000A4BC0" w:rsidRPr="00857A34">
        <w:rPr>
          <w:rFonts w:ascii="Arial" w:hAnsi="Arial" w:cs="Arial"/>
          <w:sz w:val="20"/>
          <w:szCs w:val="20"/>
        </w:rPr>
        <w:t>Nucynta ER</w:t>
      </w:r>
      <w:r w:rsidR="000A4BC0" w:rsidRPr="00857A34">
        <w:rPr>
          <w:rFonts w:ascii="Arial" w:hAnsi="Arial" w:cs="Arial"/>
          <w:sz w:val="20"/>
          <w:szCs w:val="20"/>
          <w:vertAlign w:val="superscript"/>
        </w:rPr>
        <w:t>®</w:t>
      </w:r>
      <w:r w:rsidR="000A4BC0" w:rsidRPr="00857A34">
        <w:rPr>
          <w:rFonts w:ascii="Arial" w:hAnsi="Arial" w:cs="Arial"/>
          <w:sz w:val="20"/>
          <w:szCs w:val="20"/>
        </w:rPr>
        <w:t xml:space="preserve"> (tapentadol extended-release)</w:t>
      </w:r>
      <w:r w:rsidR="000A4BC0">
        <w:rPr>
          <w:rFonts w:ascii="Arial" w:hAnsi="Arial" w:cs="Arial"/>
          <w:sz w:val="20"/>
          <w:szCs w:val="20"/>
        </w:rPr>
        <w:t xml:space="preserve"> tablet resulted in minimal deformation with every method used, with the exception of using a hammer in the laboratory manipulation study. Hammering </w:t>
      </w:r>
      <w:r w:rsidR="000A4BC0" w:rsidRPr="00857A34">
        <w:rPr>
          <w:rFonts w:ascii="Arial" w:hAnsi="Arial" w:cs="Arial"/>
          <w:sz w:val="20"/>
          <w:szCs w:val="20"/>
        </w:rPr>
        <w:t>Nucynta ER</w:t>
      </w:r>
      <w:r w:rsidR="000A4BC0" w:rsidRPr="00857A34">
        <w:rPr>
          <w:rFonts w:ascii="Arial" w:hAnsi="Arial" w:cs="Arial"/>
          <w:sz w:val="20"/>
          <w:szCs w:val="20"/>
          <w:vertAlign w:val="superscript"/>
        </w:rPr>
        <w:t>®</w:t>
      </w:r>
      <w:r w:rsidR="000A4BC0" w:rsidRPr="00857A34">
        <w:rPr>
          <w:rFonts w:ascii="Arial" w:hAnsi="Arial" w:cs="Arial"/>
          <w:sz w:val="20"/>
          <w:szCs w:val="20"/>
        </w:rPr>
        <w:t xml:space="preserve"> (tapentadol extended-release)</w:t>
      </w:r>
      <w:r w:rsidR="000A4BC0">
        <w:rPr>
          <w:rFonts w:ascii="Arial" w:hAnsi="Arial" w:cs="Arial"/>
          <w:sz w:val="20"/>
          <w:szCs w:val="20"/>
        </w:rPr>
        <w:t xml:space="preserve"> tablets resulted in flattening of tablets, but no pulverization. Flattened </w:t>
      </w:r>
      <w:r w:rsidR="000A4BC0" w:rsidRPr="00857A34">
        <w:rPr>
          <w:rFonts w:ascii="Arial" w:hAnsi="Arial" w:cs="Arial"/>
          <w:sz w:val="20"/>
          <w:szCs w:val="20"/>
        </w:rPr>
        <w:t>Nucynta ER</w:t>
      </w:r>
      <w:r w:rsidR="000A4BC0" w:rsidRPr="00857A34">
        <w:rPr>
          <w:rFonts w:ascii="Arial" w:hAnsi="Arial" w:cs="Arial"/>
          <w:sz w:val="20"/>
          <w:szCs w:val="20"/>
          <w:vertAlign w:val="superscript"/>
        </w:rPr>
        <w:t>®</w:t>
      </w:r>
      <w:r w:rsidR="000A4BC0" w:rsidRPr="00857A34">
        <w:rPr>
          <w:rFonts w:ascii="Arial" w:hAnsi="Arial" w:cs="Arial"/>
          <w:sz w:val="20"/>
          <w:szCs w:val="20"/>
        </w:rPr>
        <w:t xml:space="preserve"> (tapentadol extended-release)</w:t>
      </w:r>
      <w:r w:rsidR="000A4BC0">
        <w:rPr>
          <w:rFonts w:ascii="Arial" w:hAnsi="Arial" w:cs="Arial"/>
          <w:sz w:val="20"/>
          <w:szCs w:val="20"/>
        </w:rPr>
        <w:t xml:space="preserve"> tablets were susceptible to release of over 50% of drug upon dissolution with vigorous shaking over an extended period of time.</w:t>
      </w:r>
      <w:r w:rsidR="002A63B0">
        <w:rPr>
          <w:rFonts w:ascii="Arial" w:hAnsi="Arial" w:cs="Arial"/>
          <w:sz w:val="20"/>
          <w:szCs w:val="20"/>
        </w:rPr>
        <w:t xml:space="preserve"> </w:t>
      </w:r>
      <w:r w:rsidR="002A63B0" w:rsidRPr="002A63B0">
        <w:rPr>
          <w:rFonts w:ascii="Arial" w:hAnsi="Arial" w:cs="Arial"/>
          <w:sz w:val="20"/>
          <w:szCs w:val="20"/>
          <w:highlight w:val="yellow"/>
        </w:rPr>
        <w:t>In addition, flattened tablets had a faster release profile compared to intact tablets with 30% of drug released after 30 minutes</w:t>
      </w:r>
      <w:r w:rsidR="002A63B0">
        <w:rPr>
          <w:rFonts w:ascii="Arial" w:hAnsi="Arial" w:cs="Arial"/>
          <w:sz w:val="20"/>
          <w:szCs w:val="20"/>
          <w:highlight w:val="yellow"/>
        </w:rPr>
        <w:t xml:space="preserve">; however, </w:t>
      </w:r>
      <w:r w:rsidR="002A63B0">
        <w:rPr>
          <w:rFonts w:ascii="Arial" w:hAnsi="Arial" w:cs="Arial"/>
          <w:i/>
          <w:sz w:val="20"/>
          <w:szCs w:val="20"/>
          <w:highlight w:val="yellow"/>
        </w:rPr>
        <w:t>in vivo</w:t>
      </w:r>
      <w:r w:rsidR="002A63B0">
        <w:rPr>
          <w:rFonts w:ascii="Arial" w:hAnsi="Arial" w:cs="Arial"/>
          <w:sz w:val="20"/>
          <w:szCs w:val="20"/>
          <w:highlight w:val="yellow"/>
        </w:rPr>
        <w:t xml:space="preserve"> data such as time to peak serum concentration (T</w:t>
      </w:r>
      <w:r w:rsidR="002A63B0">
        <w:rPr>
          <w:rFonts w:ascii="Arial" w:hAnsi="Arial" w:cs="Arial"/>
          <w:sz w:val="20"/>
          <w:szCs w:val="20"/>
          <w:highlight w:val="yellow"/>
          <w:vertAlign w:val="subscript"/>
        </w:rPr>
        <w:t>max</w:t>
      </w:r>
      <w:r w:rsidR="00BF1BA0">
        <w:rPr>
          <w:rFonts w:ascii="Arial" w:hAnsi="Arial" w:cs="Arial"/>
          <w:sz w:val="20"/>
          <w:szCs w:val="20"/>
          <w:highlight w:val="yellow"/>
        </w:rPr>
        <w:t xml:space="preserve">) </w:t>
      </w:r>
      <w:r w:rsidR="002A63B0">
        <w:rPr>
          <w:rFonts w:ascii="Arial" w:hAnsi="Arial" w:cs="Arial"/>
          <w:sz w:val="20"/>
          <w:szCs w:val="20"/>
          <w:highlight w:val="yellow"/>
        </w:rPr>
        <w:t xml:space="preserve">for the </w:t>
      </w:r>
      <w:r w:rsidR="00285174">
        <w:rPr>
          <w:rFonts w:ascii="Arial" w:hAnsi="Arial" w:cs="Arial"/>
          <w:sz w:val="20"/>
          <w:szCs w:val="20"/>
          <w:highlight w:val="yellow"/>
        </w:rPr>
        <w:t>f</w:t>
      </w:r>
      <w:r w:rsidR="00921A21">
        <w:rPr>
          <w:rFonts w:ascii="Arial" w:hAnsi="Arial" w:cs="Arial"/>
          <w:sz w:val="20"/>
          <w:szCs w:val="20"/>
          <w:highlight w:val="yellow"/>
        </w:rPr>
        <w:t>lattened tablets is unavailable due to the nature of the study</w:t>
      </w:r>
      <w:r w:rsidR="002A63B0" w:rsidRPr="002A63B0">
        <w:rPr>
          <w:rFonts w:ascii="Arial" w:hAnsi="Arial" w:cs="Arial"/>
          <w:sz w:val="20"/>
          <w:szCs w:val="20"/>
          <w:highlight w:val="yellow"/>
        </w:rPr>
        <w:t>.</w:t>
      </w:r>
      <w:r w:rsidR="000A4BC0">
        <w:rPr>
          <w:rFonts w:ascii="Arial" w:hAnsi="Arial" w:cs="Arial"/>
          <w:sz w:val="20"/>
          <w:szCs w:val="20"/>
          <w:vertAlign w:val="superscript"/>
        </w:rPr>
        <w:t>13</w:t>
      </w:r>
      <w:r w:rsidR="000A4BC0">
        <w:rPr>
          <w:rFonts w:ascii="Arial" w:hAnsi="Arial" w:cs="Arial"/>
          <w:sz w:val="20"/>
          <w:szCs w:val="20"/>
        </w:rPr>
        <w:t xml:space="preserve"> Clinical abuse potential studies revealed that recreational opioid users generally had more difficulty altering the </w:t>
      </w:r>
      <w:r w:rsidR="000A4BC0" w:rsidRPr="00857A34">
        <w:rPr>
          <w:rFonts w:ascii="Arial" w:hAnsi="Arial" w:cs="Arial"/>
          <w:sz w:val="20"/>
          <w:szCs w:val="20"/>
        </w:rPr>
        <w:t>Nucynta ER</w:t>
      </w:r>
      <w:r w:rsidR="000A4BC0" w:rsidRPr="00857A34">
        <w:rPr>
          <w:rFonts w:ascii="Arial" w:hAnsi="Arial" w:cs="Arial"/>
          <w:sz w:val="20"/>
          <w:szCs w:val="20"/>
          <w:vertAlign w:val="superscript"/>
        </w:rPr>
        <w:t>®</w:t>
      </w:r>
      <w:r w:rsidR="000A4BC0" w:rsidRPr="00857A34">
        <w:rPr>
          <w:rFonts w:ascii="Arial" w:hAnsi="Arial" w:cs="Arial"/>
          <w:sz w:val="20"/>
          <w:szCs w:val="20"/>
        </w:rPr>
        <w:t xml:space="preserve"> (tapentadol extended-release)</w:t>
      </w:r>
      <w:r w:rsidR="000A4BC0">
        <w:rPr>
          <w:rFonts w:ascii="Arial" w:hAnsi="Arial" w:cs="Arial"/>
          <w:sz w:val="20"/>
          <w:szCs w:val="20"/>
        </w:rPr>
        <w:t xml:space="preserve"> dosage form than a non-ADF oxycodone ER tablet, and the subjects were more willing to abuse the powder made from tampering with the non-ADF oxycodone ER tablet.</w:t>
      </w:r>
      <w:r w:rsidR="000A4BC0">
        <w:rPr>
          <w:rFonts w:ascii="Arial" w:hAnsi="Arial" w:cs="Arial"/>
          <w:sz w:val="20"/>
          <w:szCs w:val="20"/>
          <w:vertAlign w:val="superscript"/>
        </w:rPr>
        <w:t>4</w:t>
      </w:r>
      <w:r w:rsidR="000A4BC0">
        <w:rPr>
          <w:rFonts w:ascii="Arial" w:hAnsi="Arial" w:cs="Arial"/>
          <w:sz w:val="20"/>
          <w:szCs w:val="20"/>
        </w:rPr>
        <w:t xml:space="preserve"> </w:t>
      </w:r>
    </w:p>
    <w:p w14:paraId="2A3F174F" w14:textId="77777777" w:rsidR="00DC3BA5" w:rsidRDefault="00DC3BA5" w:rsidP="00E212A9">
      <w:pPr>
        <w:pStyle w:val="NoSpacing"/>
        <w:rPr>
          <w:rFonts w:ascii="Arial" w:hAnsi="Arial" w:cs="Arial"/>
          <w:sz w:val="20"/>
          <w:szCs w:val="20"/>
        </w:rPr>
      </w:pPr>
    </w:p>
    <w:p w14:paraId="104D6A66" w14:textId="4EED91C3" w:rsidR="003B5D17" w:rsidRPr="009D59CF" w:rsidRDefault="006D0AF3" w:rsidP="00E212A9">
      <w:pPr>
        <w:pStyle w:val="NoSpacing"/>
        <w:rPr>
          <w:rFonts w:ascii="Arial" w:hAnsi="Arial" w:cs="Arial"/>
          <w:sz w:val="20"/>
          <w:szCs w:val="20"/>
        </w:rPr>
      </w:pPr>
      <w:r>
        <w:rPr>
          <w:rFonts w:ascii="Arial" w:hAnsi="Arial" w:cs="Arial"/>
          <w:sz w:val="20"/>
          <w:szCs w:val="20"/>
        </w:rPr>
        <w:lastRenderedPageBreak/>
        <w:t xml:space="preserve">Postmarketing survey data indicates there is a relatively low level of abuse of tapentadol immediate-release; however, it is not clear if this is a function of availability or the medication itself. There is currently a lack of published postmarketing data related to the abuse of </w:t>
      </w:r>
      <w:r w:rsidRPr="00857A34">
        <w:rPr>
          <w:rFonts w:ascii="Arial" w:hAnsi="Arial" w:cs="Arial"/>
          <w:sz w:val="20"/>
          <w:szCs w:val="20"/>
        </w:rPr>
        <w:t>Nucynta ER</w:t>
      </w:r>
      <w:r w:rsidRPr="00857A34">
        <w:rPr>
          <w:rFonts w:ascii="Arial" w:hAnsi="Arial" w:cs="Arial"/>
          <w:sz w:val="20"/>
          <w:szCs w:val="20"/>
          <w:vertAlign w:val="superscript"/>
        </w:rPr>
        <w:t>®</w:t>
      </w:r>
      <w:r w:rsidRPr="00857A34">
        <w:rPr>
          <w:rFonts w:ascii="Arial" w:hAnsi="Arial" w:cs="Arial"/>
          <w:sz w:val="20"/>
          <w:szCs w:val="20"/>
        </w:rPr>
        <w:t xml:space="preserve"> (tapentadol extended-release)</w:t>
      </w:r>
      <w:r>
        <w:rPr>
          <w:rFonts w:ascii="Arial" w:hAnsi="Arial" w:cs="Arial"/>
          <w:sz w:val="20"/>
          <w:szCs w:val="20"/>
        </w:rPr>
        <w:t>.</w:t>
      </w:r>
      <w:r>
        <w:rPr>
          <w:rFonts w:ascii="Arial" w:hAnsi="Arial" w:cs="Arial"/>
          <w:sz w:val="20"/>
          <w:szCs w:val="20"/>
          <w:vertAlign w:val="superscript"/>
        </w:rPr>
        <w:t>2</w:t>
      </w:r>
      <w:r>
        <w:rPr>
          <w:rFonts w:ascii="Arial" w:hAnsi="Arial" w:cs="Arial"/>
          <w:sz w:val="20"/>
          <w:szCs w:val="20"/>
        </w:rPr>
        <w:t xml:space="preserve"> </w:t>
      </w:r>
      <w:r w:rsidR="009D59CF" w:rsidRPr="00A51488">
        <w:rPr>
          <w:rFonts w:ascii="Arial" w:hAnsi="Arial" w:cs="Arial"/>
          <w:sz w:val="20"/>
          <w:szCs w:val="20"/>
          <w:highlight w:val="yellow"/>
        </w:rPr>
        <w:t>One postmarketing survey study indicated that Nucynta ER</w:t>
      </w:r>
      <w:r w:rsidR="009D59CF" w:rsidRPr="00A51488">
        <w:rPr>
          <w:rFonts w:ascii="Arial" w:hAnsi="Arial" w:cs="Arial"/>
          <w:sz w:val="20"/>
          <w:szCs w:val="20"/>
          <w:highlight w:val="yellow"/>
          <w:vertAlign w:val="superscript"/>
        </w:rPr>
        <w:t>®</w:t>
      </w:r>
      <w:r w:rsidR="009D59CF" w:rsidRPr="00A51488">
        <w:rPr>
          <w:rFonts w:ascii="Arial" w:hAnsi="Arial" w:cs="Arial"/>
          <w:sz w:val="20"/>
          <w:szCs w:val="20"/>
          <w:highlight w:val="yellow"/>
        </w:rPr>
        <w:t xml:space="preserve"> (tapentadol extended-release) abuse was reported significantly less frequently than all other long-acting comparators with the exception of hydromorphone ER; however, the survey was conducted from January 2011 to September 2012, and Nucynta ER</w:t>
      </w:r>
      <w:r w:rsidR="009D59CF" w:rsidRPr="00A51488">
        <w:rPr>
          <w:rFonts w:ascii="Arial" w:hAnsi="Arial" w:cs="Arial"/>
          <w:sz w:val="20"/>
          <w:szCs w:val="20"/>
          <w:highlight w:val="yellow"/>
          <w:vertAlign w:val="superscript"/>
        </w:rPr>
        <w:t>®</w:t>
      </w:r>
      <w:r w:rsidR="009D59CF" w:rsidRPr="00A51488">
        <w:rPr>
          <w:rFonts w:ascii="Arial" w:hAnsi="Arial" w:cs="Arial"/>
          <w:sz w:val="20"/>
          <w:szCs w:val="20"/>
          <w:highlight w:val="yellow"/>
        </w:rPr>
        <w:t xml:space="preserve"> (tapentadol extended-release) was not approved in the United States until August 2011.</w:t>
      </w:r>
      <w:r w:rsidR="00EB365C">
        <w:rPr>
          <w:rFonts w:ascii="Arial" w:hAnsi="Arial" w:cs="Arial"/>
          <w:sz w:val="20"/>
          <w:szCs w:val="20"/>
          <w:highlight w:val="yellow"/>
          <w:vertAlign w:val="superscript"/>
        </w:rPr>
        <w:t>15</w:t>
      </w:r>
    </w:p>
    <w:p w14:paraId="27A6A318" w14:textId="77777777" w:rsidR="003B5D17" w:rsidRDefault="003B5D17" w:rsidP="00E212A9">
      <w:pPr>
        <w:pStyle w:val="NoSpacing"/>
        <w:rPr>
          <w:rFonts w:ascii="Arial" w:hAnsi="Arial" w:cs="Arial"/>
          <w:sz w:val="20"/>
          <w:szCs w:val="20"/>
        </w:rPr>
      </w:pPr>
    </w:p>
    <w:p w14:paraId="659F52F6" w14:textId="43562BE4" w:rsidR="00857A34" w:rsidRPr="00DC3BA5" w:rsidRDefault="006D0AF3" w:rsidP="00E212A9">
      <w:pPr>
        <w:pStyle w:val="NoSpacing"/>
        <w:rPr>
          <w:rFonts w:ascii="Arial" w:hAnsi="Arial" w:cs="Arial"/>
          <w:sz w:val="20"/>
          <w:szCs w:val="20"/>
          <w:vertAlign w:val="superscript"/>
        </w:rPr>
      </w:pPr>
      <w:r>
        <w:rPr>
          <w:rFonts w:ascii="Arial" w:hAnsi="Arial" w:cs="Arial"/>
          <w:sz w:val="20"/>
          <w:szCs w:val="20"/>
        </w:rPr>
        <w:t xml:space="preserve">Potential strengths of </w:t>
      </w:r>
      <w:r w:rsidRPr="00857A34">
        <w:rPr>
          <w:rFonts w:ascii="Arial" w:hAnsi="Arial" w:cs="Arial"/>
          <w:sz w:val="20"/>
          <w:szCs w:val="20"/>
        </w:rPr>
        <w:t>Nucynta ER</w:t>
      </w:r>
      <w:r w:rsidRPr="00857A34">
        <w:rPr>
          <w:rFonts w:ascii="Arial" w:hAnsi="Arial" w:cs="Arial"/>
          <w:sz w:val="20"/>
          <w:szCs w:val="20"/>
          <w:vertAlign w:val="superscript"/>
        </w:rPr>
        <w:t>®</w:t>
      </w:r>
      <w:r w:rsidRPr="00857A34">
        <w:rPr>
          <w:rFonts w:ascii="Arial" w:hAnsi="Arial" w:cs="Arial"/>
          <w:sz w:val="20"/>
          <w:szCs w:val="20"/>
        </w:rPr>
        <w:t xml:space="preserve"> (tapentadol extended-release)</w:t>
      </w:r>
      <w:r>
        <w:rPr>
          <w:rFonts w:ascii="Arial" w:hAnsi="Arial" w:cs="Arial"/>
          <w:sz w:val="20"/>
          <w:szCs w:val="20"/>
        </w:rPr>
        <w:t xml:space="preserve"> include the novel mechanism of action and a potentially favorable adverse effect profile relative to the opioid class. Potential weaknesses of </w:t>
      </w:r>
      <w:r w:rsidRPr="00857A34">
        <w:rPr>
          <w:rFonts w:ascii="Arial" w:hAnsi="Arial" w:cs="Arial"/>
          <w:sz w:val="20"/>
          <w:szCs w:val="20"/>
        </w:rPr>
        <w:t>Nucynta ER</w:t>
      </w:r>
      <w:r w:rsidRPr="00857A34">
        <w:rPr>
          <w:rFonts w:ascii="Arial" w:hAnsi="Arial" w:cs="Arial"/>
          <w:sz w:val="20"/>
          <w:szCs w:val="20"/>
          <w:vertAlign w:val="superscript"/>
        </w:rPr>
        <w:t>®</w:t>
      </w:r>
      <w:r w:rsidRPr="00857A34">
        <w:rPr>
          <w:rFonts w:ascii="Arial" w:hAnsi="Arial" w:cs="Arial"/>
          <w:sz w:val="20"/>
          <w:szCs w:val="20"/>
        </w:rPr>
        <w:t xml:space="preserve"> (tapentadol extended-release)</w:t>
      </w:r>
      <w:r>
        <w:rPr>
          <w:rFonts w:ascii="Arial" w:hAnsi="Arial" w:cs="Arial"/>
          <w:sz w:val="20"/>
          <w:szCs w:val="20"/>
        </w:rPr>
        <w:t xml:space="preserve"> include cost, potential for drug-drug interactions with antidepressants and inability to exceed 500 mg per day, which may not provide adequate analgesia for patients that require high doses of opioids for conditions such as cancer-related pain.</w:t>
      </w:r>
      <w:r w:rsidR="00DC3BA5">
        <w:rPr>
          <w:rFonts w:ascii="Arial" w:hAnsi="Arial" w:cs="Arial"/>
          <w:sz w:val="20"/>
          <w:szCs w:val="20"/>
        </w:rPr>
        <w:t xml:space="preserve"> </w:t>
      </w:r>
      <w:r w:rsidR="00DC3BA5" w:rsidRPr="00DC3BA5">
        <w:rPr>
          <w:rFonts w:ascii="Arial" w:hAnsi="Arial" w:cs="Arial"/>
          <w:sz w:val="20"/>
          <w:szCs w:val="20"/>
          <w:highlight w:val="yellow"/>
        </w:rPr>
        <w:t>Similar to all other long-acting opioids, Nucynta ER</w:t>
      </w:r>
      <w:r w:rsidR="00DC3BA5" w:rsidRPr="00DC3BA5">
        <w:rPr>
          <w:rFonts w:ascii="Arial" w:hAnsi="Arial" w:cs="Arial"/>
          <w:sz w:val="20"/>
          <w:szCs w:val="20"/>
          <w:highlight w:val="yellow"/>
          <w:vertAlign w:val="superscript"/>
        </w:rPr>
        <w:t>®</w:t>
      </w:r>
      <w:r w:rsidR="00DC3BA5" w:rsidRPr="00DC3BA5">
        <w:rPr>
          <w:rFonts w:ascii="Arial" w:hAnsi="Arial" w:cs="Arial"/>
          <w:sz w:val="20"/>
          <w:szCs w:val="20"/>
          <w:highlight w:val="yellow"/>
        </w:rPr>
        <w:t xml:space="preserve"> (tapentadol extended-release) is subject to requirements of the shared system Extended-Release and Long-Acting (ER/LA) Risk Evaluation and Mitigation Strategies (REMS) program.</w:t>
      </w:r>
      <w:r w:rsidR="00EB365C">
        <w:rPr>
          <w:rFonts w:ascii="Arial" w:hAnsi="Arial" w:cs="Arial"/>
          <w:sz w:val="20"/>
          <w:szCs w:val="20"/>
          <w:highlight w:val="yellow"/>
          <w:vertAlign w:val="superscript"/>
        </w:rPr>
        <w:t>16</w:t>
      </w:r>
    </w:p>
    <w:p w14:paraId="04814D09" w14:textId="77777777" w:rsidR="00DC3BA5" w:rsidRDefault="00DC3BA5">
      <w:pPr>
        <w:spacing w:after="0" w:line="240" w:lineRule="auto"/>
        <w:rPr>
          <w:rFonts w:ascii="Arial" w:hAnsi="Arial" w:cs="Arial"/>
          <w:b/>
          <w:sz w:val="20"/>
          <w:szCs w:val="20"/>
          <w:u w:val="single"/>
        </w:rPr>
      </w:pPr>
      <w:r>
        <w:rPr>
          <w:rFonts w:ascii="Arial" w:hAnsi="Arial" w:cs="Arial"/>
          <w:b/>
          <w:sz w:val="20"/>
          <w:szCs w:val="20"/>
          <w:u w:val="single"/>
        </w:rPr>
        <w:br w:type="page"/>
      </w:r>
    </w:p>
    <w:p w14:paraId="054D874A" w14:textId="516E034C" w:rsidR="00E212A9" w:rsidRPr="0044122B" w:rsidRDefault="00AB342E" w:rsidP="00E212A9">
      <w:pPr>
        <w:pStyle w:val="NoSpacing"/>
        <w:rPr>
          <w:rFonts w:ascii="Arial" w:hAnsi="Arial" w:cs="Arial"/>
          <w:b/>
          <w:sz w:val="20"/>
          <w:szCs w:val="20"/>
          <w:u w:val="single"/>
        </w:rPr>
      </w:pPr>
      <w:r>
        <w:rPr>
          <w:rFonts w:ascii="Arial" w:hAnsi="Arial" w:cs="Arial"/>
          <w:b/>
          <w:sz w:val="20"/>
          <w:szCs w:val="20"/>
          <w:u w:val="single"/>
        </w:rPr>
        <w:lastRenderedPageBreak/>
        <w:t>Reference Data</w:t>
      </w:r>
    </w:p>
    <w:p w14:paraId="7CF80C40" w14:textId="1E68332A" w:rsidR="00A0691A" w:rsidRPr="000F6EF7" w:rsidRDefault="00AD7783" w:rsidP="00E212A9">
      <w:pPr>
        <w:pStyle w:val="NoSpacing"/>
        <w:rPr>
          <w:rFonts w:ascii="Arial" w:hAnsi="Arial" w:cs="Arial"/>
          <w:sz w:val="20"/>
          <w:szCs w:val="20"/>
        </w:rPr>
      </w:pPr>
      <w:r w:rsidRPr="00AD7783">
        <w:rPr>
          <w:rFonts w:ascii="Arial" w:hAnsi="Arial" w:cs="Arial"/>
          <w:sz w:val="20"/>
          <w:szCs w:val="20"/>
        </w:rPr>
        <w:t>Nucynta ER</w:t>
      </w:r>
      <w:r w:rsidRPr="00AD7783">
        <w:rPr>
          <w:rFonts w:ascii="Arial" w:hAnsi="Arial" w:cs="Arial"/>
          <w:sz w:val="20"/>
          <w:szCs w:val="20"/>
          <w:vertAlign w:val="superscript"/>
        </w:rPr>
        <w:t>®</w:t>
      </w:r>
      <w:r w:rsidRPr="00AD7783">
        <w:rPr>
          <w:rFonts w:ascii="Arial" w:hAnsi="Arial" w:cs="Arial"/>
          <w:sz w:val="20"/>
          <w:szCs w:val="20"/>
        </w:rPr>
        <w:t xml:space="preserve"> (tapentadol extended-release)</w:t>
      </w:r>
      <w:r>
        <w:rPr>
          <w:rFonts w:ascii="Arial" w:hAnsi="Arial" w:cs="Arial"/>
          <w:sz w:val="20"/>
          <w:szCs w:val="20"/>
        </w:rPr>
        <w:t xml:space="preserve"> is a long-acting formulation of tapentadol. </w:t>
      </w:r>
      <w:r w:rsidR="007178A7">
        <w:rPr>
          <w:rFonts w:ascii="Arial" w:hAnsi="Arial" w:cs="Arial"/>
          <w:sz w:val="20"/>
          <w:szCs w:val="20"/>
        </w:rPr>
        <w:t>The exact mechanism of action for tapentadol is unknown; however, preclinical studies have shown that tapentadol is a µ opioid receptor agonist and a norepinephrine reuptake inhibitor.</w:t>
      </w:r>
      <w:r w:rsidR="00BB15E9">
        <w:rPr>
          <w:rFonts w:ascii="Arial" w:hAnsi="Arial" w:cs="Arial"/>
          <w:sz w:val="20"/>
          <w:szCs w:val="20"/>
          <w:vertAlign w:val="superscript"/>
        </w:rPr>
        <w:t>1</w:t>
      </w:r>
      <w:r w:rsidR="00BB15E9">
        <w:rPr>
          <w:rFonts w:ascii="Arial" w:hAnsi="Arial" w:cs="Arial"/>
          <w:sz w:val="20"/>
          <w:szCs w:val="20"/>
        </w:rPr>
        <w:t xml:space="preserve"> Stimulation of the </w:t>
      </w:r>
      <w:r w:rsidR="00BB15E9" w:rsidRPr="00591A24">
        <w:rPr>
          <w:rFonts w:ascii="Arial" w:hAnsi="Arial" w:cs="Arial"/>
          <w:sz w:val="20"/>
          <w:szCs w:val="20"/>
        </w:rPr>
        <w:t>µ opioid receptors</w:t>
      </w:r>
      <w:r w:rsidR="00BB15E9">
        <w:rPr>
          <w:rFonts w:ascii="Arial" w:hAnsi="Arial" w:cs="Arial"/>
          <w:sz w:val="20"/>
          <w:szCs w:val="20"/>
        </w:rPr>
        <w:t xml:space="preserve"> results in analgesia, decreased gastrointestinal motility, euphoria, physical dependence, respiratory depression and sedation.</w:t>
      </w:r>
      <w:r w:rsidR="00BB15E9">
        <w:rPr>
          <w:rFonts w:ascii="Arial" w:hAnsi="Arial" w:cs="Arial"/>
          <w:sz w:val="20"/>
          <w:szCs w:val="20"/>
          <w:vertAlign w:val="superscript"/>
        </w:rPr>
        <w:t>3</w:t>
      </w:r>
      <w:r w:rsidR="00935CE3">
        <w:rPr>
          <w:rFonts w:ascii="Arial" w:hAnsi="Arial" w:cs="Arial"/>
          <w:sz w:val="20"/>
          <w:szCs w:val="20"/>
        </w:rPr>
        <w:t xml:space="preserve"> Norepinephrine reuptake inhibition is thought to provide analgesia as a result of norepinephrine mediated activation of spinal α2-adrenergic receptors, resulting in inhibition of presynaptic and postsynaptic nociceptive transmission.</w:t>
      </w:r>
      <w:r w:rsidR="00935CE3">
        <w:rPr>
          <w:rFonts w:ascii="Arial" w:hAnsi="Arial" w:cs="Arial"/>
          <w:sz w:val="20"/>
          <w:szCs w:val="20"/>
          <w:vertAlign w:val="superscript"/>
        </w:rPr>
        <w:t>4</w:t>
      </w:r>
      <w:r w:rsidR="00AB4E5D">
        <w:rPr>
          <w:rFonts w:ascii="Arial" w:hAnsi="Arial" w:cs="Arial"/>
          <w:sz w:val="20"/>
          <w:szCs w:val="20"/>
        </w:rPr>
        <w:t xml:space="preserve"> </w:t>
      </w:r>
      <w:r w:rsidR="00AB4E5D" w:rsidRPr="00AB4E5D">
        <w:rPr>
          <w:rFonts w:ascii="Arial" w:hAnsi="Arial" w:cs="Arial"/>
          <w:sz w:val="20"/>
          <w:szCs w:val="20"/>
        </w:rPr>
        <w:t>Nucynta ER</w:t>
      </w:r>
      <w:r w:rsidR="00AB4E5D" w:rsidRPr="00AB4E5D">
        <w:rPr>
          <w:rFonts w:ascii="Arial" w:hAnsi="Arial" w:cs="Arial"/>
          <w:sz w:val="20"/>
          <w:szCs w:val="20"/>
          <w:vertAlign w:val="superscript"/>
        </w:rPr>
        <w:t>®</w:t>
      </w:r>
      <w:r w:rsidR="00AB4E5D" w:rsidRPr="00AB4E5D">
        <w:rPr>
          <w:rFonts w:ascii="Arial" w:hAnsi="Arial" w:cs="Arial"/>
          <w:sz w:val="20"/>
          <w:szCs w:val="20"/>
        </w:rPr>
        <w:t xml:space="preserve"> (tapentadol extended-release)</w:t>
      </w:r>
      <w:r w:rsidR="00AB4E5D">
        <w:rPr>
          <w:rFonts w:ascii="Arial" w:hAnsi="Arial" w:cs="Arial"/>
          <w:sz w:val="20"/>
          <w:szCs w:val="20"/>
        </w:rPr>
        <w:t xml:space="preserve"> tablets are formulated to resist breaking and crushing; however, tablets may be flattened </w:t>
      </w:r>
      <w:r w:rsidR="000F6EF7">
        <w:rPr>
          <w:rFonts w:ascii="Arial" w:hAnsi="Arial" w:cs="Arial"/>
          <w:sz w:val="20"/>
          <w:szCs w:val="20"/>
        </w:rPr>
        <w:t>with a hammer and over half of the tapentadol may be extracted from a flattened tablet by use of an organic solvent with vigorous shaking over an extended period of time.</w:t>
      </w:r>
      <w:r w:rsidR="006011AF">
        <w:rPr>
          <w:rFonts w:ascii="Arial" w:hAnsi="Arial" w:cs="Arial"/>
          <w:sz w:val="20"/>
          <w:szCs w:val="20"/>
          <w:vertAlign w:val="superscript"/>
        </w:rPr>
        <w:t>2,13</w:t>
      </w:r>
      <w:r w:rsidR="000F6EF7">
        <w:rPr>
          <w:rFonts w:ascii="Arial" w:hAnsi="Arial" w:cs="Arial"/>
          <w:sz w:val="20"/>
          <w:szCs w:val="20"/>
        </w:rPr>
        <w:t xml:space="preserve"> </w:t>
      </w:r>
    </w:p>
    <w:p w14:paraId="22C94168" w14:textId="77777777" w:rsidR="00F61D29" w:rsidRDefault="00F61D29" w:rsidP="00E212A9">
      <w:pPr>
        <w:pStyle w:val="NoSpacing"/>
        <w:rPr>
          <w:rFonts w:ascii="Arial" w:hAnsi="Arial" w:cs="Arial"/>
          <w:sz w:val="20"/>
          <w:szCs w:val="20"/>
        </w:rPr>
      </w:pPr>
    </w:p>
    <w:p w14:paraId="00FB73A6" w14:textId="2D01B391" w:rsidR="00A0691A" w:rsidRPr="00A0691A" w:rsidRDefault="00A0691A" w:rsidP="00A0691A">
      <w:pPr>
        <w:spacing w:after="0" w:line="240" w:lineRule="auto"/>
        <w:rPr>
          <w:rFonts w:ascii="Arial" w:hAnsi="Arial" w:cs="Arial"/>
          <w:b/>
          <w:sz w:val="20"/>
          <w:szCs w:val="20"/>
        </w:rPr>
      </w:pPr>
      <w:r w:rsidRPr="00A0691A">
        <w:rPr>
          <w:rFonts w:ascii="Arial" w:hAnsi="Arial" w:cs="Arial"/>
          <w:b/>
          <w:sz w:val="20"/>
          <w:szCs w:val="20"/>
        </w:rPr>
        <w:t>Table 1. Long-Acting Opioid Availability</w:t>
      </w:r>
      <w:r w:rsidR="00E214EB">
        <w:rPr>
          <w:rFonts w:ascii="Arial" w:hAnsi="Arial" w:cs="Arial"/>
          <w:b/>
          <w:sz w:val="20"/>
          <w:szCs w:val="20"/>
          <w:vertAlign w:val="superscript"/>
        </w:rPr>
        <w:t>17</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0"/>
        <w:gridCol w:w="3060"/>
        <w:gridCol w:w="2466"/>
      </w:tblGrid>
      <w:tr w:rsidR="0093521C" w:rsidRPr="00B5437C" w14:paraId="69736AFB" w14:textId="77777777" w:rsidTr="0093521C">
        <w:trPr>
          <w:tblHeader/>
        </w:trPr>
        <w:tc>
          <w:tcPr>
            <w:tcW w:w="4050" w:type="dxa"/>
            <w:tcBorders>
              <w:bottom w:val="single" w:sz="4" w:space="0" w:color="000000"/>
            </w:tcBorders>
            <w:shd w:val="clear" w:color="auto" w:fill="C0C0C0"/>
            <w:vAlign w:val="center"/>
          </w:tcPr>
          <w:p w14:paraId="3B003360" w14:textId="77777777" w:rsidR="0093521C" w:rsidRPr="00B5437C" w:rsidRDefault="0093521C" w:rsidP="0093521C">
            <w:pPr>
              <w:pStyle w:val="NoSpacing"/>
              <w:jc w:val="center"/>
              <w:rPr>
                <w:rFonts w:ascii="Arial" w:hAnsi="Arial" w:cs="Arial"/>
                <w:b/>
                <w:sz w:val="20"/>
                <w:szCs w:val="20"/>
              </w:rPr>
            </w:pPr>
            <w:r w:rsidRPr="00B5437C">
              <w:rPr>
                <w:rFonts w:ascii="Arial" w:hAnsi="Arial" w:cs="Arial"/>
                <w:b/>
                <w:sz w:val="20"/>
                <w:szCs w:val="20"/>
              </w:rPr>
              <w:t>Generic Name (Trade name)</w:t>
            </w:r>
          </w:p>
        </w:tc>
        <w:tc>
          <w:tcPr>
            <w:tcW w:w="3060" w:type="dxa"/>
            <w:tcBorders>
              <w:bottom w:val="single" w:sz="4" w:space="0" w:color="000000"/>
            </w:tcBorders>
            <w:shd w:val="clear" w:color="auto" w:fill="C0C0C0"/>
          </w:tcPr>
          <w:p w14:paraId="11BFC78A" w14:textId="77777777" w:rsidR="0093521C" w:rsidRPr="00B5437C" w:rsidRDefault="0093521C" w:rsidP="0093521C">
            <w:pPr>
              <w:pStyle w:val="NoSpacing"/>
              <w:jc w:val="center"/>
              <w:rPr>
                <w:rFonts w:ascii="Arial" w:hAnsi="Arial" w:cs="Arial"/>
                <w:b/>
                <w:sz w:val="20"/>
                <w:szCs w:val="20"/>
              </w:rPr>
            </w:pPr>
            <w:r>
              <w:rPr>
                <w:rFonts w:ascii="Arial" w:hAnsi="Arial" w:cs="Arial"/>
                <w:b/>
                <w:sz w:val="20"/>
                <w:szCs w:val="20"/>
              </w:rPr>
              <w:t>Abuse Deterrent Formulation Available</w:t>
            </w:r>
          </w:p>
        </w:tc>
        <w:tc>
          <w:tcPr>
            <w:tcW w:w="2466" w:type="dxa"/>
            <w:tcBorders>
              <w:bottom w:val="single" w:sz="4" w:space="0" w:color="000000"/>
            </w:tcBorders>
            <w:shd w:val="clear" w:color="auto" w:fill="C0C0C0"/>
          </w:tcPr>
          <w:p w14:paraId="0556AE90" w14:textId="77777777" w:rsidR="0093521C" w:rsidRPr="00B5437C" w:rsidRDefault="0093521C" w:rsidP="0093521C">
            <w:pPr>
              <w:pStyle w:val="NoSpacing"/>
              <w:jc w:val="center"/>
              <w:rPr>
                <w:rFonts w:ascii="Arial" w:hAnsi="Arial" w:cs="Arial"/>
                <w:b/>
                <w:sz w:val="20"/>
                <w:szCs w:val="20"/>
              </w:rPr>
            </w:pPr>
            <w:r>
              <w:rPr>
                <w:rFonts w:ascii="Arial" w:hAnsi="Arial" w:cs="Arial"/>
                <w:b/>
                <w:sz w:val="20"/>
                <w:szCs w:val="20"/>
              </w:rPr>
              <w:t xml:space="preserve">Commercially Available </w:t>
            </w:r>
          </w:p>
        </w:tc>
      </w:tr>
      <w:tr w:rsidR="0093521C" w:rsidRPr="00B5437C" w14:paraId="3DC71CFF" w14:textId="77777777" w:rsidTr="0093521C">
        <w:tc>
          <w:tcPr>
            <w:tcW w:w="4050" w:type="dxa"/>
          </w:tcPr>
          <w:p w14:paraId="0BDC0085" w14:textId="77777777" w:rsidR="0093521C" w:rsidRPr="00A956C8" w:rsidRDefault="0093521C" w:rsidP="0093521C">
            <w:pPr>
              <w:pStyle w:val="NoSpacing"/>
              <w:rPr>
                <w:rFonts w:ascii="Arial" w:hAnsi="Arial" w:cs="Arial"/>
                <w:sz w:val="20"/>
                <w:szCs w:val="20"/>
              </w:rPr>
            </w:pPr>
            <w:r>
              <w:rPr>
                <w:rFonts w:ascii="Arial" w:hAnsi="Arial" w:cs="Arial"/>
                <w:sz w:val="20"/>
                <w:szCs w:val="20"/>
              </w:rPr>
              <w:t>Buprenorphine (</w:t>
            </w:r>
            <w:proofErr w:type="spellStart"/>
            <w:r>
              <w:rPr>
                <w:rFonts w:ascii="Arial" w:hAnsi="Arial" w:cs="Arial"/>
                <w:sz w:val="20"/>
                <w:szCs w:val="20"/>
              </w:rPr>
              <w:t>Belbuca</w:t>
            </w:r>
            <w:proofErr w:type="spellEnd"/>
            <w:r w:rsidRPr="00D52883">
              <w:rPr>
                <w:rFonts w:ascii="Arial" w:hAnsi="Arial" w:cs="Arial"/>
                <w:sz w:val="20"/>
                <w:szCs w:val="20"/>
                <w:vertAlign w:val="superscript"/>
              </w:rPr>
              <w:t>®</w:t>
            </w:r>
            <w:r>
              <w:rPr>
                <w:rFonts w:ascii="Arial" w:hAnsi="Arial" w:cs="Arial"/>
                <w:sz w:val="20"/>
                <w:szCs w:val="20"/>
              </w:rPr>
              <w:t xml:space="preserve">, </w:t>
            </w:r>
            <w:proofErr w:type="spellStart"/>
            <w:r>
              <w:rPr>
                <w:rFonts w:ascii="Arial" w:hAnsi="Arial" w:cs="Arial"/>
                <w:sz w:val="20"/>
                <w:szCs w:val="20"/>
              </w:rPr>
              <w:t>Butrans</w:t>
            </w:r>
            <w:proofErr w:type="spellEnd"/>
            <w:r w:rsidRPr="00D52883">
              <w:rPr>
                <w:rFonts w:ascii="Arial" w:hAnsi="Arial" w:cs="Arial"/>
                <w:sz w:val="20"/>
                <w:szCs w:val="20"/>
                <w:vertAlign w:val="superscript"/>
              </w:rPr>
              <w:t>®</w:t>
            </w:r>
            <w:r>
              <w:rPr>
                <w:rFonts w:ascii="Arial" w:hAnsi="Arial" w:cs="Arial"/>
                <w:sz w:val="20"/>
                <w:szCs w:val="20"/>
              </w:rPr>
              <w:t>)</w:t>
            </w:r>
          </w:p>
        </w:tc>
        <w:tc>
          <w:tcPr>
            <w:tcW w:w="3060" w:type="dxa"/>
          </w:tcPr>
          <w:p w14:paraId="120C9FEC" w14:textId="77777777" w:rsidR="0093521C" w:rsidRPr="00064254" w:rsidRDefault="0093521C" w:rsidP="0093521C">
            <w:pPr>
              <w:pStyle w:val="NoSpacing"/>
              <w:jc w:val="center"/>
              <w:rPr>
                <w:rFonts w:ascii="Arial" w:hAnsi="Arial" w:cs="Arial"/>
                <w:sz w:val="20"/>
                <w:szCs w:val="20"/>
              </w:rPr>
            </w:pPr>
            <w:r>
              <w:rPr>
                <w:rFonts w:ascii="Arial" w:hAnsi="Arial" w:cs="Arial"/>
                <w:sz w:val="20"/>
                <w:szCs w:val="20"/>
              </w:rPr>
              <w:t>-</w:t>
            </w:r>
          </w:p>
        </w:tc>
        <w:tc>
          <w:tcPr>
            <w:tcW w:w="2466" w:type="dxa"/>
          </w:tcPr>
          <w:p w14:paraId="095FDDA8" w14:textId="77777777" w:rsidR="0093521C" w:rsidRPr="00064254" w:rsidRDefault="0093521C" w:rsidP="0093521C">
            <w:pPr>
              <w:spacing w:after="0" w:line="240" w:lineRule="auto"/>
              <w:jc w:val="center"/>
              <w:rPr>
                <w:rStyle w:val="st1"/>
                <w:rFonts w:ascii="MS Gothic" w:eastAsia="MS Gothic" w:hAnsi="MS Gothic" w:cs="MS Gothic"/>
                <w:lang w:val="en"/>
              </w:rPr>
            </w:pPr>
            <w:r w:rsidRPr="00064254">
              <w:rPr>
                <w:rStyle w:val="st1"/>
                <w:rFonts w:ascii="MS Gothic" w:eastAsia="MS Gothic" w:hAnsi="MS Gothic" w:cs="MS Gothic" w:hint="eastAsia"/>
                <w:lang w:val="en"/>
              </w:rPr>
              <w:t>✓</w:t>
            </w:r>
          </w:p>
        </w:tc>
      </w:tr>
      <w:tr w:rsidR="0093521C" w:rsidRPr="00B5437C" w14:paraId="7FF40148" w14:textId="77777777" w:rsidTr="0093521C">
        <w:tc>
          <w:tcPr>
            <w:tcW w:w="4050" w:type="dxa"/>
          </w:tcPr>
          <w:p w14:paraId="1AB02780" w14:textId="77777777"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Fentanyl (Duragesic</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14:paraId="72E80A33" w14:textId="77777777"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14:paraId="4ADC4947"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218A7E51" w14:textId="77777777" w:rsidTr="0093521C">
        <w:tc>
          <w:tcPr>
            <w:tcW w:w="4050" w:type="dxa"/>
          </w:tcPr>
          <w:p w14:paraId="4EE214DA"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(Hysingla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5246C609" w14:textId="77777777"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14:paraId="0028351E"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4F525EF4" w14:textId="77777777" w:rsidTr="0093521C">
        <w:tc>
          <w:tcPr>
            <w:tcW w:w="4050" w:type="dxa"/>
          </w:tcPr>
          <w:p w14:paraId="591CA8AA"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Hydrocodone (Zohydro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3B7F75AC" w14:textId="77777777"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14:paraId="23D22140" w14:textId="77777777" w:rsidR="0093521C" w:rsidRPr="00BE62A6" w:rsidRDefault="0093521C" w:rsidP="0093521C">
            <w:pPr>
              <w:spacing w:after="0" w:line="240" w:lineRule="auto"/>
              <w:jc w:val="center"/>
            </w:pPr>
            <w:r w:rsidRPr="00BE62A6">
              <w:rPr>
                <w:rStyle w:val="st1"/>
                <w:rFonts w:ascii="MS Gothic" w:eastAsia="MS Gothic" w:hAnsi="MS Gothic" w:cs="MS Gothic" w:hint="eastAsia"/>
                <w:lang w:val="en"/>
              </w:rPr>
              <w:t>✓</w:t>
            </w:r>
          </w:p>
        </w:tc>
      </w:tr>
      <w:tr w:rsidR="0093521C" w:rsidRPr="00B5437C" w14:paraId="48617FF0" w14:textId="77777777" w:rsidTr="0093521C">
        <w:trPr>
          <w:trHeight w:val="70"/>
        </w:trPr>
        <w:tc>
          <w:tcPr>
            <w:tcW w:w="4050" w:type="dxa"/>
          </w:tcPr>
          <w:p w14:paraId="26119427" w14:textId="77777777" w:rsidR="0093521C" w:rsidRPr="006D2582" w:rsidRDefault="0093521C" w:rsidP="0093521C">
            <w:pPr>
              <w:pStyle w:val="NoSpacing"/>
              <w:rPr>
                <w:rFonts w:ascii="Arial" w:hAnsi="Arial" w:cs="Arial"/>
                <w:sz w:val="20"/>
                <w:szCs w:val="20"/>
                <w:highlight w:val="yellow"/>
              </w:rPr>
            </w:pPr>
            <w:r w:rsidRPr="00D52883">
              <w:rPr>
                <w:rFonts w:ascii="Arial" w:hAnsi="Arial" w:cs="Arial"/>
                <w:sz w:val="20"/>
                <w:szCs w:val="20"/>
              </w:rPr>
              <w:t>Hydromorphone (Exalgo</w:t>
            </w:r>
            <w:r w:rsidRPr="00D52883">
              <w:rPr>
                <w:rFonts w:ascii="Arial" w:hAnsi="Arial" w:cs="Arial"/>
                <w:sz w:val="20"/>
                <w:szCs w:val="20"/>
                <w:vertAlign w:val="superscript"/>
              </w:rPr>
              <w:t>®</w:t>
            </w:r>
            <w:r w:rsidRPr="00D52883">
              <w:rPr>
                <w:rFonts w:ascii="Arial" w:hAnsi="Arial" w:cs="Arial"/>
                <w:sz w:val="20"/>
                <w:szCs w:val="20"/>
              </w:rPr>
              <w:t>)</w:t>
            </w:r>
          </w:p>
        </w:tc>
        <w:tc>
          <w:tcPr>
            <w:tcW w:w="3060" w:type="dxa"/>
          </w:tcPr>
          <w:p w14:paraId="0B6D6A06" w14:textId="77777777"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14:paraId="7F891116"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36C365EE" w14:textId="77777777" w:rsidTr="0093521C">
        <w:tc>
          <w:tcPr>
            <w:tcW w:w="4050" w:type="dxa"/>
          </w:tcPr>
          <w:p w14:paraId="5F75F945" w14:textId="47B699E1" w:rsidR="0093521C" w:rsidRPr="00C05448" w:rsidRDefault="0093521C" w:rsidP="0093521C">
            <w:pPr>
              <w:pStyle w:val="NoSpacing"/>
              <w:rPr>
                <w:rFonts w:ascii="Arial" w:hAnsi="Arial" w:cs="Arial"/>
                <w:sz w:val="20"/>
                <w:szCs w:val="20"/>
              </w:rPr>
            </w:pPr>
            <w:r>
              <w:rPr>
                <w:rFonts w:ascii="Arial" w:hAnsi="Arial" w:cs="Arial"/>
                <w:sz w:val="20"/>
                <w:szCs w:val="20"/>
              </w:rPr>
              <w:t>Levorphanol</w:t>
            </w:r>
            <w:r w:rsidR="00C05448">
              <w:rPr>
                <w:rFonts w:ascii="Arial" w:hAnsi="Arial" w:cs="Arial"/>
                <w:sz w:val="20"/>
                <w:szCs w:val="20"/>
              </w:rPr>
              <w:t xml:space="preserve"> (Levo-Dromoran</w:t>
            </w:r>
            <w:r w:rsidR="00C05448">
              <w:rPr>
                <w:rFonts w:ascii="Arial" w:hAnsi="Arial" w:cs="Arial"/>
                <w:sz w:val="20"/>
                <w:szCs w:val="20"/>
                <w:vertAlign w:val="superscript"/>
              </w:rPr>
              <w:t>®</w:t>
            </w:r>
            <w:r w:rsidR="00C05448">
              <w:rPr>
                <w:rFonts w:ascii="Arial" w:hAnsi="Arial" w:cs="Arial"/>
                <w:sz w:val="20"/>
                <w:szCs w:val="20"/>
              </w:rPr>
              <w:t>)</w:t>
            </w:r>
          </w:p>
        </w:tc>
        <w:tc>
          <w:tcPr>
            <w:tcW w:w="3060" w:type="dxa"/>
          </w:tcPr>
          <w:p w14:paraId="4BE8B929" w14:textId="77777777"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14:paraId="3A1445B8"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3DB4AF10" w14:textId="77777777" w:rsidTr="0093521C">
        <w:tc>
          <w:tcPr>
            <w:tcW w:w="4050" w:type="dxa"/>
          </w:tcPr>
          <w:p w14:paraId="012A3D3F" w14:textId="77777777" w:rsidR="0093521C" w:rsidRPr="00FE2809" w:rsidRDefault="0093521C" w:rsidP="0093521C">
            <w:pPr>
              <w:pStyle w:val="NoSpacing"/>
              <w:rPr>
                <w:rFonts w:ascii="Arial" w:hAnsi="Arial" w:cs="Arial"/>
                <w:sz w:val="20"/>
                <w:szCs w:val="20"/>
              </w:rPr>
            </w:pPr>
            <w:r w:rsidRPr="00FE2809">
              <w:rPr>
                <w:rFonts w:ascii="Arial" w:hAnsi="Arial" w:cs="Arial"/>
                <w:sz w:val="20"/>
                <w:szCs w:val="20"/>
              </w:rPr>
              <w:t>Methadone (Diskets Disper</w:t>
            </w:r>
            <w:r>
              <w:rPr>
                <w:rFonts w:ascii="Arial" w:hAnsi="Arial" w:cs="Arial"/>
                <w:sz w:val="20"/>
                <w:szCs w:val="20"/>
              </w:rPr>
              <w:t>s</w:t>
            </w:r>
            <w:r w:rsidRPr="00FE2809">
              <w:rPr>
                <w:rFonts w:ascii="Arial" w:hAnsi="Arial" w:cs="Arial"/>
                <w:sz w:val="20"/>
                <w:szCs w:val="20"/>
              </w:rPr>
              <w:t>ible</w:t>
            </w:r>
            <w:r w:rsidRPr="00FE2809">
              <w:rPr>
                <w:rFonts w:ascii="Arial" w:hAnsi="Arial" w:cs="Arial"/>
                <w:sz w:val="20"/>
                <w:szCs w:val="20"/>
                <w:vertAlign w:val="superscript"/>
              </w:rPr>
              <w:t>®</w:t>
            </w:r>
            <w:r w:rsidRPr="00FE2809">
              <w:rPr>
                <w:rFonts w:ascii="Arial" w:hAnsi="Arial" w:cs="Arial"/>
                <w:sz w:val="20"/>
                <w:szCs w:val="20"/>
              </w:rPr>
              <w:t>, Dolophine</w:t>
            </w:r>
            <w:r w:rsidRPr="00FE2809">
              <w:rPr>
                <w:rFonts w:ascii="Arial" w:hAnsi="Arial" w:cs="Arial"/>
                <w:sz w:val="20"/>
                <w:szCs w:val="20"/>
                <w:vertAlign w:val="superscript"/>
              </w:rPr>
              <w:t>®</w:t>
            </w:r>
            <w:r w:rsidRPr="00FE2809">
              <w:rPr>
                <w:rFonts w:ascii="Arial" w:hAnsi="Arial" w:cs="Arial"/>
                <w:sz w:val="20"/>
                <w:szCs w:val="20"/>
              </w:rPr>
              <w:t>, Methadose</w:t>
            </w:r>
            <w:r w:rsidRPr="00FE2809">
              <w:rPr>
                <w:rFonts w:ascii="Arial" w:hAnsi="Arial" w:cs="Arial"/>
                <w:sz w:val="20"/>
                <w:szCs w:val="20"/>
                <w:vertAlign w:val="superscript"/>
              </w:rPr>
              <w:t>®</w:t>
            </w:r>
            <w:r w:rsidRPr="00FE2809">
              <w:rPr>
                <w:rFonts w:ascii="Arial" w:hAnsi="Arial" w:cs="Arial"/>
                <w:sz w:val="20"/>
                <w:szCs w:val="20"/>
              </w:rPr>
              <w:t>, Methadone Intensol</w:t>
            </w:r>
            <w:r w:rsidRPr="00FE2809">
              <w:rPr>
                <w:rFonts w:ascii="Arial" w:hAnsi="Arial" w:cs="Arial"/>
                <w:sz w:val="20"/>
                <w:szCs w:val="20"/>
                <w:vertAlign w:val="superscript"/>
              </w:rPr>
              <w:t>®</w:t>
            </w:r>
            <w:r w:rsidRPr="00FE2809">
              <w:rPr>
                <w:rFonts w:ascii="Arial" w:hAnsi="Arial" w:cs="Arial"/>
                <w:sz w:val="20"/>
                <w:szCs w:val="20"/>
              </w:rPr>
              <w:t>)</w:t>
            </w:r>
          </w:p>
        </w:tc>
        <w:tc>
          <w:tcPr>
            <w:tcW w:w="3060" w:type="dxa"/>
          </w:tcPr>
          <w:p w14:paraId="4C7C4EEF" w14:textId="77777777" w:rsidR="0093521C" w:rsidRPr="00FE2809" w:rsidRDefault="0093521C" w:rsidP="0093521C">
            <w:pPr>
              <w:pStyle w:val="NoSpacing"/>
              <w:jc w:val="center"/>
              <w:rPr>
                <w:rFonts w:ascii="Arial" w:hAnsi="Arial" w:cs="Arial"/>
                <w:sz w:val="20"/>
                <w:szCs w:val="20"/>
              </w:rPr>
            </w:pPr>
            <w:r w:rsidRPr="00FE2809">
              <w:rPr>
                <w:rFonts w:ascii="Arial" w:hAnsi="Arial" w:cs="Arial"/>
                <w:sz w:val="20"/>
                <w:szCs w:val="20"/>
              </w:rPr>
              <w:t>-</w:t>
            </w:r>
          </w:p>
        </w:tc>
        <w:tc>
          <w:tcPr>
            <w:tcW w:w="2466" w:type="dxa"/>
          </w:tcPr>
          <w:p w14:paraId="57ED17BE" w14:textId="77777777" w:rsidR="0093521C" w:rsidRPr="00FE2809" w:rsidRDefault="0093521C" w:rsidP="0093521C">
            <w:pPr>
              <w:spacing w:after="0" w:line="240" w:lineRule="auto"/>
              <w:jc w:val="center"/>
            </w:pPr>
            <w:r w:rsidRPr="00FE2809">
              <w:rPr>
                <w:rStyle w:val="st1"/>
                <w:rFonts w:ascii="MS Gothic" w:eastAsia="MS Gothic" w:hAnsi="MS Gothic" w:cs="MS Gothic" w:hint="eastAsia"/>
                <w:lang w:val="en"/>
              </w:rPr>
              <w:t>✓</w:t>
            </w:r>
          </w:p>
        </w:tc>
      </w:tr>
      <w:tr w:rsidR="0093521C" w:rsidRPr="00B5437C" w14:paraId="7EF7A106" w14:textId="77777777" w:rsidTr="0093521C">
        <w:tc>
          <w:tcPr>
            <w:tcW w:w="4050" w:type="dxa"/>
          </w:tcPr>
          <w:p w14:paraId="57ACC6E3" w14:textId="77777777" w:rsidR="0093521C" w:rsidRPr="006D2582" w:rsidRDefault="0093521C" w:rsidP="0093521C">
            <w:pPr>
              <w:pStyle w:val="NoSpacing"/>
              <w:rPr>
                <w:rFonts w:ascii="Arial" w:hAnsi="Arial" w:cs="Arial"/>
                <w:sz w:val="20"/>
                <w:szCs w:val="20"/>
                <w:highlight w:val="yellow"/>
              </w:rPr>
            </w:pPr>
            <w:r w:rsidRPr="008E4FB0">
              <w:rPr>
                <w:rFonts w:ascii="Arial" w:hAnsi="Arial" w:cs="Arial"/>
                <w:sz w:val="20"/>
                <w:szCs w:val="20"/>
              </w:rPr>
              <w:t>Morphine sulfate (Avinza</w:t>
            </w:r>
            <w:r w:rsidRPr="008E4FB0">
              <w:rPr>
                <w:rFonts w:ascii="Arial" w:hAnsi="Arial" w:cs="Arial"/>
                <w:sz w:val="20"/>
                <w:szCs w:val="20"/>
                <w:vertAlign w:val="superscript"/>
              </w:rPr>
              <w:t>®</w:t>
            </w:r>
            <w:r w:rsidRPr="008E4FB0">
              <w:rPr>
                <w:rFonts w:ascii="Arial" w:hAnsi="Arial" w:cs="Arial"/>
                <w:sz w:val="20"/>
                <w:szCs w:val="20"/>
              </w:rPr>
              <w:t>, Kadian</w:t>
            </w:r>
            <w:r w:rsidRPr="008E4FB0">
              <w:rPr>
                <w:rFonts w:ascii="Arial" w:hAnsi="Arial" w:cs="Arial"/>
                <w:sz w:val="20"/>
                <w:szCs w:val="20"/>
                <w:vertAlign w:val="superscript"/>
              </w:rPr>
              <w:t>®</w:t>
            </w:r>
            <w:r w:rsidRPr="008E4FB0">
              <w:rPr>
                <w:rFonts w:ascii="Arial" w:hAnsi="Arial" w:cs="Arial"/>
                <w:sz w:val="20"/>
                <w:szCs w:val="20"/>
              </w:rPr>
              <w:t>, MS Contin</w:t>
            </w:r>
            <w:r w:rsidRPr="008E4FB0">
              <w:rPr>
                <w:rFonts w:ascii="Arial" w:hAnsi="Arial" w:cs="Arial"/>
                <w:sz w:val="20"/>
                <w:szCs w:val="20"/>
                <w:vertAlign w:val="superscript"/>
              </w:rPr>
              <w:t>®</w:t>
            </w:r>
            <w:r w:rsidRPr="008E4FB0">
              <w:rPr>
                <w:rFonts w:ascii="Arial" w:hAnsi="Arial" w:cs="Arial"/>
                <w:sz w:val="20"/>
                <w:szCs w:val="20"/>
              </w:rPr>
              <w:t>)</w:t>
            </w:r>
          </w:p>
        </w:tc>
        <w:tc>
          <w:tcPr>
            <w:tcW w:w="3060" w:type="dxa"/>
          </w:tcPr>
          <w:p w14:paraId="1A56D6A6" w14:textId="77777777" w:rsidR="0093521C" w:rsidRPr="00064254" w:rsidRDefault="0093521C" w:rsidP="0093521C">
            <w:pPr>
              <w:pStyle w:val="NoSpacing"/>
              <w:jc w:val="center"/>
              <w:rPr>
                <w:rFonts w:ascii="Arial" w:hAnsi="Arial" w:cs="Arial"/>
                <w:sz w:val="20"/>
                <w:szCs w:val="20"/>
              </w:rPr>
            </w:pPr>
            <w:r w:rsidRPr="00064254">
              <w:rPr>
                <w:rFonts w:ascii="Arial" w:hAnsi="Arial" w:cs="Arial"/>
                <w:sz w:val="20"/>
                <w:szCs w:val="20"/>
              </w:rPr>
              <w:t>-</w:t>
            </w:r>
          </w:p>
        </w:tc>
        <w:tc>
          <w:tcPr>
            <w:tcW w:w="2466" w:type="dxa"/>
          </w:tcPr>
          <w:p w14:paraId="10754C2A"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6A04D10C" w14:textId="77777777" w:rsidTr="0093521C">
        <w:tc>
          <w:tcPr>
            <w:tcW w:w="4050" w:type="dxa"/>
          </w:tcPr>
          <w:p w14:paraId="7CE9651A" w14:textId="77777777" w:rsidR="0093521C" w:rsidRPr="00573A3A" w:rsidRDefault="0093521C" w:rsidP="0093521C">
            <w:pPr>
              <w:pStyle w:val="NoSpacing"/>
              <w:rPr>
                <w:rFonts w:ascii="Arial" w:hAnsi="Arial" w:cs="Arial"/>
                <w:sz w:val="20"/>
                <w:szCs w:val="20"/>
              </w:rPr>
            </w:pPr>
            <w:r>
              <w:rPr>
                <w:rFonts w:ascii="Arial" w:hAnsi="Arial" w:cs="Arial"/>
                <w:sz w:val="20"/>
                <w:szCs w:val="20"/>
              </w:rPr>
              <w:t>Morphine sulfate (</w:t>
            </w:r>
            <w:proofErr w:type="spellStart"/>
            <w:r>
              <w:rPr>
                <w:rFonts w:ascii="Arial" w:hAnsi="Arial" w:cs="Arial"/>
                <w:sz w:val="20"/>
                <w:szCs w:val="20"/>
              </w:rPr>
              <w:t>MorphaBond</w:t>
            </w:r>
            <w:proofErr w:type="spellEnd"/>
            <w:r>
              <w:rPr>
                <w:rFonts w:ascii="Arial" w:hAnsi="Arial" w:cs="Arial"/>
                <w:sz w:val="20"/>
                <w:szCs w:val="20"/>
                <w:vertAlign w:val="superscript"/>
              </w:rPr>
              <w:t>®</w:t>
            </w:r>
            <w:r>
              <w:rPr>
                <w:rFonts w:ascii="Arial" w:hAnsi="Arial" w:cs="Arial"/>
                <w:sz w:val="20"/>
                <w:szCs w:val="20"/>
              </w:rPr>
              <w:t>)</w:t>
            </w:r>
          </w:p>
        </w:tc>
        <w:tc>
          <w:tcPr>
            <w:tcW w:w="3060" w:type="dxa"/>
          </w:tcPr>
          <w:p w14:paraId="20D8954D" w14:textId="77777777" w:rsidR="0093521C" w:rsidRPr="00064254"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14:paraId="2FE47261" w14:textId="77777777" w:rsidR="0093521C" w:rsidRPr="00064254" w:rsidRDefault="0093521C" w:rsidP="0093521C">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w:t>
            </w:r>
          </w:p>
        </w:tc>
      </w:tr>
      <w:tr w:rsidR="0093521C" w:rsidRPr="00B5437C" w14:paraId="088F5E96" w14:textId="77777777" w:rsidTr="0093521C">
        <w:tc>
          <w:tcPr>
            <w:tcW w:w="4050" w:type="dxa"/>
          </w:tcPr>
          <w:p w14:paraId="55D4A315"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Morphine sulfate/naltrexone (Embeda</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598141C8" w14:textId="77777777"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14:paraId="4EC577BD" w14:textId="77777777"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B5437C" w14:paraId="6B483149" w14:textId="77777777" w:rsidTr="0093521C">
        <w:trPr>
          <w:trHeight w:val="70"/>
        </w:trPr>
        <w:tc>
          <w:tcPr>
            <w:tcW w:w="4050" w:type="dxa"/>
          </w:tcPr>
          <w:p w14:paraId="7F2C5A8F" w14:textId="77777777" w:rsidR="0093521C" w:rsidRPr="00BE62A6" w:rsidRDefault="0093521C" w:rsidP="0093521C">
            <w:pPr>
              <w:pStyle w:val="NoSpacing"/>
              <w:rPr>
                <w:rFonts w:ascii="Arial" w:hAnsi="Arial" w:cs="Arial"/>
                <w:sz w:val="20"/>
                <w:szCs w:val="20"/>
              </w:rPr>
            </w:pPr>
            <w:r w:rsidRPr="00BE62A6">
              <w:rPr>
                <w:rFonts w:ascii="Arial" w:hAnsi="Arial" w:cs="Arial"/>
                <w:sz w:val="20"/>
                <w:szCs w:val="20"/>
              </w:rPr>
              <w:t>Oxycodone (OxyContin</w:t>
            </w:r>
            <w:r w:rsidRPr="00BE62A6">
              <w:rPr>
                <w:rFonts w:ascii="Arial" w:hAnsi="Arial" w:cs="Arial"/>
                <w:sz w:val="20"/>
                <w:szCs w:val="20"/>
                <w:vertAlign w:val="superscript"/>
              </w:rPr>
              <w:t>®</w:t>
            </w:r>
            <w:r w:rsidRPr="00BE62A6">
              <w:rPr>
                <w:rFonts w:ascii="Arial" w:hAnsi="Arial" w:cs="Arial"/>
                <w:sz w:val="20"/>
                <w:szCs w:val="20"/>
              </w:rPr>
              <w:t>)</w:t>
            </w:r>
          </w:p>
        </w:tc>
        <w:tc>
          <w:tcPr>
            <w:tcW w:w="3060" w:type="dxa"/>
          </w:tcPr>
          <w:p w14:paraId="639B1762" w14:textId="77777777" w:rsidR="0093521C" w:rsidRPr="00BE62A6" w:rsidRDefault="0093521C" w:rsidP="0093521C">
            <w:pPr>
              <w:pStyle w:val="NoSpacing"/>
              <w:jc w:val="center"/>
              <w:rPr>
                <w:rFonts w:ascii="Arial" w:hAnsi="Arial" w:cs="Arial"/>
                <w:sz w:val="20"/>
                <w:szCs w:val="20"/>
              </w:rPr>
            </w:pPr>
            <w:r w:rsidRPr="00BE62A6">
              <w:rPr>
                <w:rStyle w:val="st1"/>
                <w:rFonts w:ascii="MS Gothic" w:eastAsia="MS Gothic" w:hAnsi="MS Gothic" w:cs="MS Gothic" w:hint="eastAsia"/>
                <w:lang w:val="en"/>
              </w:rPr>
              <w:t>✓</w:t>
            </w:r>
          </w:p>
        </w:tc>
        <w:tc>
          <w:tcPr>
            <w:tcW w:w="2466" w:type="dxa"/>
          </w:tcPr>
          <w:p w14:paraId="4FDCF8F8" w14:textId="77777777" w:rsidR="0093521C" w:rsidRPr="00064254" w:rsidRDefault="0093521C" w:rsidP="0093521C">
            <w:pPr>
              <w:spacing w:after="0" w:line="240" w:lineRule="auto"/>
              <w:jc w:val="center"/>
            </w:pPr>
            <w:r w:rsidRPr="00064254">
              <w:rPr>
                <w:rStyle w:val="st1"/>
                <w:rFonts w:ascii="MS Gothic" w:eastAsia="MS Gothic" w:hAnsi="MS Gothic" w:cs="MS Gothic" w:hint="eastAsia"/>
                <w:lang w:val="en"/>
              </w:rPr>
              <w:t>✓</w:t>
            </w:r>
          </w:p>
        </w:tc>
      </w:tr>
      <w:tr w:rsidR="0093521C" w:rsidRPr="00B5437C" w14:paraId="662673DF" w14:textId="77777777" w:rsidTr="0093521C">
        <w:trPr>
          <w:trHeight w:val="70"/>
        </w:trPr>
        <w:tc>
          <w:tcPr>
            <w:tcW w:w="4050" w:type="dxa"/>
          </w:tcPr>
          <w:p w14:paraId="4B97ACA3" w14:textId="77777777" w:rsidR="0093521C" w:rsidRPr="00573A3A" w:rsidRDefault="0093521C" w:rsidP="0093521C">
            <w:pPr>
              <w:pStyle w:val="NoSpacing"/>
              <w:rPr>
                <w:rFonts w:ascii="Arial" w:hAnsi="Arial" w:cs="Arial"/>
                <w:sz w:val="20"/>
                <w:szCs w:val="20"/>
              </w:rPr>
            </w:pPr>
            <w:r>
              <w:rPr>
                <w:rFonts w:ascii="Arial" w:hAnsi="Arial" w:cs="Arial"/>
                <w:sz w:val="20"/>
                <w:szCs w:val="20"/>
              </w:rPr>
              <w:t>Oxycodone (</w:t>
            </w:r>
            <w:proofErr w:type="spellStart"/>
            <w:r>
              <w:rPr>
                <w:rFonts w:ascii="Arial" w:hAnsi="Arial" w:cs="Arial"/>
                <w:sz w:val="20"/>
                <w:szCs w:val="20"/>
              </w:rPr>
              <w:t>Xtampza</w:t>
            </w:r>
            <w:proofErr w:type="spellEnd"/>
            <w:r>
              <w:rPr>
                <w:rFonts w:ascii="Arial" w:hAnsi="Arial" w:cs="Arial"/>
                <w:sz w:val="20"/>
                <w:szCs w:val="20"/>
              </w:rPr>
              <w:t xml:space="preserve"> ER</w:t>
            </w:r>
            <w:r>
              <w:rPr>
                <w:rFonts w:ascii="Arial" w:hAnsi="Arial" w:cs="Arial"/>
                <w:sz w:val="20"/>
                <w:szCs w:val="20"/>
                <w:vertAlign w:val="superscript"/>
              </w:rPr>
              <w:t>®</w:t>
            </w:r>
            <w:r>
              <w:rPr>
                <w:rFonts w:ascii="Arial" w:hAnsi="Arial" w:cs="Arial"/>
                <w:sz w:val="20"/>
                <w:szCs w:val="20"/>
              </w:rPr>
              <w:t>)*</w:t>
            </w:r>
          </w:p>
        </w:tc>
        <w:tc>
          <w:tcPr>
            <w:tcW w:w="3060" w:type="dxa"/>
          </w:tcPr>
          <w:p w14:paraId="14C6D171" w14:textId="77777777" w:rsidR="0093521C" w:rsidRPr="00BE62A6" w:rsidRDefault="0093521C" w:rsidP="0093521C">
            <w:pPr>
              <w:pStyle w:val="NoSpacing"/>
              <w:jc w:val="center"/>
              <w:rPr>
                <w:rStyle w:val="st1"/>
                <w:rFonts w:ascii="MS Gothic" w:eastAsia="MS Gothic" w:hAnsi="MS Gothic" w:cs="MS Gothic"/>
                <w:lang w:val="en"/>
              </w:rPr>
            </w:pPr>
            <w:r w:rsidRPr="00BE62A6">
              <w:rPr>
                <w:rStyle w:val="st1"/>
                <w:rFonts w:ascii="MS Gothic" w:eastAsia="MS Gothic" w:hAnsi="MS Gothic" w:cs="MS Gothic" w:hint="eastAsia"/>
                <w:lang w:val="en"/>
              </w:rPr>
              <w:t>✓</w:t>
            </w:r>
          </w:p>
        </w:tc>
        <w:tc>
          <w:tcPr>
            <w:tcW w:w="2466" w:type="dxa"/>
          </w:tcPr>
          <w:p w14:paraId="2A5DA8EE" w14:textId="77777777" w:rsidR="0093521C" w:rsidRPr="00064254" w:rsidRDefault="0093521C" w:rsidP="0093521C">
            <w:pPr>
              <w:spacing w:after="0" w:line="240" w:lineRule="auto"/>
              <w:jc w:val="center"/>
              <w:rPr>
                <w:rStyle w:val="st1"/>
                <w:rFonts w:ascii="MS Gothic" w:eastAsia="MS Gothic" w:hAnsi="MS Gothic" w:cs="MS Gothic"/>
                <w:lang w:val="en"/>
              </w:rPr>
            </w:pPr>
            <w:r>
              <w:rPr>
                <w:rStyle w:val="st1"/>
                <w:rFonts w:ascii="MS Gothic" w:eastAsia="MS Gothic" w:hAnsi="MS Gothic" w:cs="MS Gothic"/>
                <w:lang w:val="en"/>
              </w:rPr>
              <w:t>-</w:t>
            </w:r>
          </w:p>
        </w:tc>
      </w:tr>
      <w:tr w:rsidR="0093521C" w:rsidRPr="00136CA1" w14:paraId="7F907223" w14:textId="77777777" w:rsidTr="0093521C">
        <w:tc>
          <w:tcPr>
            <w:tcW w:w="4050" w:type="dxa"/>
          </w:tcPr>
          <w:p w14:paraId="6C3821CD"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Oxycodone/naloxone (</w:t>
            </w:r>
            <w:proofErr w:type="spellStart"/>
            <w:r w:rsidRPr="00136CA1">
              <w:rPr>
                <w:rFonts w:ascii="Arial" w:hAnsi="Arial" w:cs="Arial"/>
                <w:sz w:val="20"/>
                <w:szCs w:val="20"/>
              </w:rPr>
              <w:t>Targiniq</w:t>
            </w:r>
            <w:proofErr w:type="spellEnd"/>
            <w:r>
              <w:rPr>
                <w:rFonts w:ascii="Arial" w:hAnsi="Arial" w:cs="Arial"/>
                <w:sz w:val="20"/>
                <w:szCs w:val="20"/>
              </w:rPr>
              <w:t xml:space="preserve">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4075B5FA" w14:textId="77777777" w:rsidR="0093521C" w:rsidRPr="00136CA1" w:rsidRDefault="0093521C" w:rsidP="0093521C">
            <w:pPr>
              <w:pStyle w:val="NoSpacing"/>
              <w:jc w:val="center"/>
              <w:rPr>
                <w:rFonts w:ascii="Arial" w:hAnsi="Arial" w:cs="Arial"/>
                <w:sz w:val="20"/>
                <w:szCs w:val="20"/>
              </w:rPr>
            </w:pPr>
            <w:r w:rsidRPr="00136CA1">
              <w:rPr>
                <w:rStyle w:val="st1"/>
                <w:rFonts w:ascii="MS Gothic" w:eastAsia="MS Gothic" w:hAnsi="MS Gothic" w:cs="MS Gothic" w:hint="eastAsia"/>
                <w:lang w:val="en"/>
              </w:rPr>
              <w:t>✓</w:t>
            </w:r>
          </w:p>
        </w:tc>
        <w:tc>
          <w:tcPr>
            <w:tcW w:w="2466" w:type="dxa"/>
          </w:tcPr>
          <w:p w14:paraId="7ED2FF13" w14:textId="77777777" w:rsidR="0093521C" w:rsidRPr="00136CA1" w:rsidRDefault="0093521C" w:rsidP="0093521C">
            <w:pPr>
              <w:spacing w:after="0" w:line="240" w:lineRule="auto"/>
              <w:jc w:val="center"/>
              <w:rPr>
                <w:rStyle w:val="st1"/>
                <w:rFonts w:ascii="MS Gothic" w:eastAsia="MS Gothic" w:hAnsi="MS Gothic" w:cs="MS Gothic"/>
                <w:lang w:val="en"/>
              </w:rPr>
            </w:pPr>
            <w:r w:rsidRPr="00136CA1">
              <w:rPr>
                <w:rStyle w:val="st1"/>
                <w:rFonts w:ascii="MS Gothic" w:eastAsia="MS Gothic" w:hAnsi="MS Gothic" w:cs="MS Gothic"/>
                <w:lang w:val="en"/>
              </w:rPr>
              <w:t>-</w:t>
            </w:r>
          </w:p>
        </w:tc>
      </w:tr>
      <w:tr w:rsidR="0093521C" w:rsidRPr="00136CA1" w14:paraId="7CCF038D" w14:textId="77777777" w:rsidTr="0093521C">
        <w:tc>
          <w:tcPr>
            <w:tcW w:w="4050" w:type="dxa"/>
          </w:tcPr>
          <w:p w14:paraId="63779AAE"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Oxymorphone (Opana</w:t>
            </w:r>
            <w:r w:rsidRPr="00136CA1">
              <w:rPr>
                <w:rFonts w:ascii="Arial" w:hAnsi="Arial" w:cs="Arial"/>
                <w:sz w:val="20"/>
                <w:szCs w:val="20"/>
                <w:vertAlign w:val="superscript"/>
              </w:rPr>
              <w:t>®</w:t>
            </w:r>
            <w:r w:rsidRPr="00136CA1">
              <w:rPr>
                <w:rFonts w:ascii="Arial" w:hAnsi="Arial" w:cs="Arial"/>
                <w:sz w:val="20"/>
                <w:szCs w:val="20"/>
              </w:rPr>
              <w:t xml:space="preserve"> ER)</w:t>
            </w:r>
          </w:p>
        </w:tc>
        <w:tc>
          <w:tcPr>
            <w:tcW w:w="3060" w:type="dxa"/>
          </w:tcPr>
          <w:p w14:paraId="7E75E9B0" w14:textId="77777777"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14:paraId="0C92F509" w14:textId="77777777"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r w:rsidR="0093521C" w:rsidRPr="00136CA1" w14:paraId="4DD3F673" w14:textId="77777777" w:rsidTr="0093521C">
        <w:trPr>
          <w:trHeight w:val="70"/>
        </w:trPr>
        <w:tc>
          <w:tcPr>
            <w:tcW w:w="4050" w:type="dxa"/>
          </w:tcPr>
          <w:p w14:paraId="2CC83BA6" w14:textId="77777777" w:rsidR="0093521C" w:rsidRPr="00136CA1" w:rsidRDefault="0093521C" w:rsidP="0093521C">
            <w:pPr>
              <w:pStyle w:val="NoSpacing"/>
              <w:rPr>
                <w:rFonts w:ascii="Arial" w:hAnsi="Arial" w:cs="Arial"/>
                <w:sz w:val="20"/>
                <w:szCs w:val="20"/>
              </w:rPr>
            </w:pPr>
            <w:r w:rsidRPr="00136CA1">
              <w:rPr>
                <w:rFonts w:ascii="Arial" w:hAnsi="Arial" w:cs="Arial"/>
                <w:sz w:val="20"/>
                <w:szCs w:val="20"/>
              </w:rPr>
              <w:t>Tapentadol (Nucynta ER</w:t>
            </w:r>
            <w:r w:rsidRPr="00136CA1">
              <w:rPr>
                <w:rFonts w:ascii="Arial" w:hAnsi="Arial" w:cs="Arial"/>
                <w:sz w:val="20"/>
                <w:szCs w:val="20"/>
                <w:vertAlign w:val="superscript"/>
              </w:rPr>
              <w:t>®</w:t>
            </w:r>
            <w:r w:rsidRPr="00136CA1">
              <w:rPr>
                <w:rFonts w:ascii="Arial" w:hAnsi="Arial" w:cs="Arial"/>
                <w:sz w:val="20"/>
                <w:szCs w:val="20"/>
              </w:rPr>
              <w:t>)</w:t>
            </w:r>
          </w:p>
        </w:tc>
        <w:tc>
          <w:tcPr>
            <w:tcW w:w="3060" w:type="dxa"/>
          </w:tcPr>
          <w:p w14:paraId="18A519B6" w14:textId="77777777" w:rsidR="0093521C" w:rsidRPr="00136CA1" w:rsidRDefault="0093521C" w:rsidP="0093521C">
            <w:pPr>
              <w:pStyle w:val="NoSpacing"/>
              <w:jc w:val="center"/>
              <w:rPr>
                <w:rFonts w:ascii="Arial" w:hAnsi="Arial" w:cs="Arial"/>
                <w:sz w:val="20"/>
                <w:szCs w:val="20"/>
              </w:rPr>
            </w:pPr>
            <w:r w:rsidRPr="00136CA1">
              <w:rPr>
                <w:rFonts w:ascii="Arial" w:hAnsi="Arial" w:cs="Arial"/>
                <w:sz w:val="20"/>
                <w:szCs w:val="20"/>
              </w:rPr>
              <w:t>-</w:t>
            </w:r>
          </w:p>
        </w:tc>
        <w:tc>
          <w:tcPr>
            <w:tcW w:w="2466" w:type="dxa"/>
          </w:tcPr>
          <w:p w14:paraId="10D81CC2" w14:textId="77777777" w:rsidR="0093521C" w:rsidRPr="00136CA1" w:rsidRDefault="0093521C" w:rsidP="0093521C">
            <w:pPr>
              <w:spacing w:after="0" w:line="240" w:lineRule="auto"/>
              <w:jc w:val="center"/>
            </w:pPr>
            <w:r w:rsidRPr="00136CA1">
              <w:rPr>
                <w:rStyle w:val="st1"/>
                <w:rFonts w:ascii="MS Gothic" w:eastAsia="MS Gothic" w:hAnsi="MS Gothic" w:cs="MS Gothic" w:hint="eastAsia"/>
                <w:lang w:val="en"/>
              </w:rPr>
              <w:t>✓</w:t>
            </w:r>
          </w:p>
        </w:tc>
      </w:tr>
    </w:tbl>
    <w:p w14:paraId="63C75086" w14:textId="1D84D202" w:rsidR="00E212A9" w:rsidRPr="004F44E7" w:rsidRDefault="004F44E7" w:rsidP="004F44E7">
      <w:pPr>
        <w:spacing w:after="0" w:line="240"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Xtampza</w:t>
      </w:r>
      <w:proofErr w:type="spellEnd"/>
      <w:r>
        <w:rPr>
          <w:rFonts w:ascii="Arial" w:hAnsi="Arial" w:cs="Arial"/>
          <w:sz w:val="16"/>
          <w:szCs w:val="16"/>
        </w:rPr>
        <w:t xml:space="preserve"> ER approval is tentative, pending patent litigation</w:t>
      </w:r>
    </w:p>
    <w:p w14:paraId="59DD8FD6" w14:textId="77777777" w:rsidR="004F44E7" w:rsidRDefault="004F44E7" w:rsidP="00E212A9">
      <w:pPr>
        <w:pStyle w:val="NoSpacing"/>
        <w:rPr>
          <w:rFonts w:ascii="Arial" w:hAnsi="Arial" w:cs="Arial"/>
          <w:b/>
          <w:sz w:val="20"/>
          <w:szCs w:val="20"/>
        </w:rPr>
      </w:pPr>
    </w:p>
    <w:p w14:paraId="2B496DD7" w14:textId="29C1CDDD" w:rsidR="00201C3C" w:rsidRDefault="00A0691A" w:rsidP="00201C3C">
      <w:pPr>
        <w:pStyle w:val="NoSpacing"/>
        <w:rPr>
          <w:rFonts w:ascii="Arial" w:hAnsi="Arial" w:cs="Arial"/>
          <w:b/>
          <w:sz w:val="20"/>
          <w:szCs w:val="20"/>
          <w:u w:val="single"/>
        </w:rPr>
      </w:pPr>
      <w:r>
        <w:rPr>
          <w:rFonts w:ascii="Arial" w:hAnsi="Arial" w:cs="Arial"/>
          <w:b/>
          <w:sz w:val="20"/>
          <w:szCs w:val="20"/>
          <w:u w:val="single"/>
        </w:rPr>
        <w:t>Therapeutic Indications/Efficacy</w:t>
      </w:r>
    </w:p>
    <w:p w14:paraId="70A3340A" w14:textId="36DB9C76" w:rsidR="00F44B9D" w:rsidRDefault="002E312F" w:rsidP="00FD63AA">
      <w:pPr>
        <w:spacing w:after="0" w:line="240" w:lineRule="auto"/>
        <w:rPr>
          <w:rFonts w:ascii="Arial" w:hAnsi="Arial" w:cs="Arial"/>
          <w:sz w:val="20"/>
          <w:szCs w:val="20"/>
        </w:rPr>
      </w:pPr>
      <w:r w:rsidRPr="002E312F">
        <w:rPr>
          <w:rFonts w:ascii="Arial" w:hAnsi="Arial" w:cs="Arial"/>
          <w:sz w:val="20"/>
          <w:szCs w:val="20"/>
        </w:rPr>
        <w:t>Nucynta ER</w:t>
      </w:r>
      <w:r w:rsidRPr="002E312F">
        <w:rPr>
          <w:rFonts w:ascii="Arial" w:hAnsi="Arial" w:cs="Arial"/>
          <w:sz w:val="20"/>
          <w:szCs w:val="20"/>
          <w:vertAlign w:val="superscript"/>
        </w:rPr>
        <w:t>®</w:t>
      </w:r>
      <w:r w:rsidRPr="002E312F">
        <w:rPr>
          <w:rFonts w:ascii="Arial" w:hAnsi="Arial" w:cs="Arial"/>
          <w:sz w:val="20"/>
          <w:szCs w:val="20"/>
        </w:rPr>
        <w:t xml:space="preserve"> (tapentadol extended-release)</w:t>
      </w:r>
      <w:r>
        <w:rPr>
          <w:rFonts w:ascii="Arial" w:hAnsi="Arial" w:cs="Arial"/>
          <w:sz w:val="20"/>
          <w:szCs w:val="20"/>
        </w:rPr>
        <w:t xml:space="preserve"> is FDA-approved for the treatment of </w:t>
      </w:r>
      <w:r w:rsidRPr="002E312F">
        <w:rPr>
          <w:rFonts w:ascii="Arial" w:hAnsi="Arial" w:cs="Arial"/>
          <w:sz w:val="20"/>
          <w:szCs w:val="20"/>
        </w:rPr>
        <w:t xml:space="preserve">pain severe enough to require </w:t>
      </w:r>
      <w:r>
        <w:rPr>
          <w:rFonts w:ascii="Arial" w:hAnsi="Arial" w:cs="Arial"/>
          <w:sz w:val="20"/>
          <w:szCs w:val="20"/>
        </w:rPr>
        <w:t xml:space="preserve">daily, </w:t>
      </w:r>
      <w:r w:rsidRPr="002E312F">
        <w:rPr>
          <w:rFonts w:ascii="Arial" w:hAnsi="Arial" w:cs="Arial"/>
          <w:sz w:val="20"/>
          <w:szCs w:val="20"/>
        </w:rPr>
        <w:t>around-the-clock, long-term opioid treatment and for which alternative treatment options are inadequate</w:t>
      </w:r>
      <w:r>
        <w:rPr>
          <w:rFonts w:ascii="Arial" w:hAnsi="Arial" w:cs="Arial"/>
          <w:sz w:val="20"/>
          <w:szCs w:val="20"/>
        </w:rPr>
        <w:t xml:space="preserve">. In addition, </w:t>
      </w:r>
      <w:r w:rsidRPr="002E312F">
        <w:rPr>
          <w:rFonts w:ascii="Arial" w:hAnsi="Arial" w:cs="Arial"/>
          <w:sz w:val="20"/>
          <w:szCs w:val="20"/>
        </w:rPr>
        <w:t>Nucynta ER</w:t>
      </w:r>
      <w:r w:rsidRPr="002E312F">
        <w:rPr>
          <w:rFonts w:ascii="Arial" w:hAnsi="Arial" w:cs="Arial"/>
          <w:sz w:val="20"/>
          <w:szCs w:val="20"/>
          <w:vertAlign w:val="superscript"/>
        </w:rPr>
        <w:t>®</w:t>
      </w:r>
      <w:r w:rsidRPr="002E312F">
        <w:rPr>
          <w:rFonts w:ascii="Arial" w:hAnsi="Arial" w:cs="Arial"/>
          <w:sz w:val="20"/>
          <w:szCs w:val="20"/>
        </w:rPr>
        <w:t xml:space="preserve"> (tapentadol extended-release)</w:t>
      </w:r>
      <w:r>
        <w:rPr>
          <w:rFonts w:ascii="Arial" w:hAnsi="Arial" w:cs="Arial"/>
          <w:sz w:val="20"/>
          <w:szCs w:val="20"/>
        </w:rPr>
        <w:t xml:space="preserve"> is FDA-approved for neuropathic pain associated with diabetic peripheral neuropathy (DPN) in adults severe enough to require</w:t>
      </w:r>
      <w:r w:rsidRPr="002E312F">
        <w:rPr>
          <w:rFonts w:ascii="Arial" w:hAnsi="Arial" w:cs="Arial"/>
          <w:sz w:val="20"/>
          <w:szCs w:val="20"/>
        </w:rPr>
        <w:t xml:space="preserve"> daily, around-the-clock, long-term opioid treatment and for which alternative treatment options are inadequate</w:t>
      </w:r>
      <w:r>
        <w:rPr>
          <w:rFonts w:ascii="Arial" w:hAnsi="Arial" w:cs="Arial"/>
          <w:sz w:val="20"/>
          <w:szCs w:val="20"/>
        </w:rPr>
        <w:t>.</w:t>
      </w:r>
      <w:r>
        <w:rPr>
          <w:rFonts w:ascii="Arial" w:hAnsi="Arial" w:cs="Arial"/>
          <w:sz w:val="20"/>
          <w:szCs w:val="20"/>
          <w:vertAlign w:val="superscript"/>
        </w:rPr>
        <w:t>1</w:t>
      </w:r>
      <w:r>
        <w:rPr>
          <w:rFonts w:ascii="Arial" w:hAnsi="Arial" w:cs="Arial"/>
          <w:sz w:val="20"/>
          <w:szCs w:val="20"/>
        </w:rPr>
        <w:t xml:space="preserve"> </w:t>
      </w:r>
      <w:r w:rsidR="001F656A">
        <w:rPr>
          <w:rFonts w:ascii="Arial" w:hAnsi="Arial" w:cs="Arial"/>
          <w:sz w:val="20"/>
          <w:szCs w:val="20"/>
        </w:rPr>
        <w:t xml:space="preserve">FDA-approval of </w:t>
      </w:r>
      <w:r w:rsidR="001F656A" w:rsidRPr="002E312F">
        <w:rPr>
          <w:rFonts w:ascii="Arial" w:hAnsi="Arial" w:cs="Arial"/>
          <w:sz w:val="20"/>
          <w:szCs w:val="20"/>
        </w:rPr>
        <w:t>Nucynta ER</w:t>
      </w:r>
      <w:r w:rsidR="001F656A" w:rsidRPr="002E312F">
        <w:rPr>
          <w:rFonts w:ascii="Arial" w:hAnsi="Arial" w:cs="Arial"/>
          <w:sz w:val="20"/>
          <w:szCs w:val="20"/>
          <w:vertAlign w:val="superscript"/>
        </w:rPr>
        <w:t>®</w:t>
      </w:r>
      <w:r w:rsidR="001F656A" w:rsidRPr="002E312F">
        <w:rPr>
          <w:rFonts w:ascii="Arial" w:hAnsi="Arial" w:cs="Arial"/>
          <w:sz w:val="20"/>
          <w:szCs w:val="20"/>
        </w:rPr>
        <w:t xml:space="preserve"> (tapentadol extended-release)</w:t>
      </w:r>
      <w:r w:rsidR="001F656A">
        <w:rPr>
          <w:rFonts w:ascii="Arial" w:hAnsi="Arial" w:cs="Arial"/>
          <w:sz w:val="20"/>
          <w:szCs w:val="20"/>
        </w:rPr>
        <w:t xml:space="preserve"> for chronic pain was based upon the results of two phase III clinical trials that evaluated the safety and efficacy of </w:t>
      </w:r>
      <w:r w:rsidR="001F656A" w:rsidRPr="002E312F">
        <w:rPr>
          <w:rFonts w:ascii="Arial" w:hAnsi="Arial" w:cs="Arial"/>
          <w:sz w:val="20"/>
          <w:szCs w:val="20"/>
        </w:rPr>
        <w:t>Nucynta ER</w:t>
      </w:r>
      <w:r w:rsidR="001F656A" w:rsidRPr="002E312F">
        <w:rPr>
          <w:rFonts w:ascii="Arial" w:hAnsi="Arial" w:cs="Arial"/>
          <w:sz w:val="20"/>
          <w:szCs w:val="20"/>
          <w:vertAlign w:val="superscript"/>
        </w:rPr>
        <w:t>®</w:t>
      </w:r>
      <w:r w:rsidR="001F656A" w:rsidRPr="002E312F">
        <w:rPr>
          <w:rFonts w:ascii="Arial" w:hAnsi="Arial" w:cs="Arial"/>
          <w:sz w:val="20"/>
          <w:szCs w:val="20"/>
        </w:rPr>
        <w:t xml:space="preserve"> (tapentadol extended-release)</w:t>
      </w:r>
      <w:r w:rsidR="001F656A">
        <w:rPr>
          <w:rFonts w:ascii="Arial" w:hAnsi="Arial" w:cs="Arial"/>
          <w:sz w:val="20"/>
          <w:szCs w:val="20"/>
        </w:rPr>
        <w:t xml:space="preserve"> in chronic low back pain (LBP) and osteoarthritis (OA) of the knee.</w:t>
      </w:r>
      <w:r w:rsidR="00CE0D6E">
        <w:rPr>
          <w:rFonts w:ascii="Arial" w:hAnsi="Arial" w:cs="Arial"/>
          <w:sz w:val="20"/>
          <w:szCs w:val="20"/>
          <w:vertAlign w:val="superscript"/>
        </w:rPr>
        <w:t>5,6</w:t>
      </w:r>
      <w:r w:rsidR="001F656A">
        <w:rPr>
          <w:rFonts w:ascii="Arial" w:hAnsi="Arial" w:cs="Arial"/>
          <w:sz w:val="20"/>
          <w:szCs w:val="20"/>
        </w:rPr>
        <w:t xml:space="preserve"> FDA-approval of </w:t>
      </w:r>
      <w:r w:rsidR="001F656A" w:rsidRPr="002E312F">
        <w:rPr>
          <w:rFonts w:ascii="Arial" w:hAnsi="Arial" w:cs="Arial"/>
          <w:sz w:val="20"/>
          <w:szCs w:val="20"/>
        </w:rPr>
        <w:t>Nucynta ER</w:t>
      </w:r>
      <w:r w:rsidR="001F656A" w:rsidRPr="002E312F">
        <w:rPr>
          <w:rFonts w:ascii="Arial" w:hAnsi="Arial" w:cs="Arial"/>
          <w:sz w:val="20"/>
          <w:szCs w:val="20"/>
          <w:vertAlign w:val="superscript"/>
        </w:rPr>
        <w:t>®</w:t>
      </w:r>
      <w:r w:rsidR="001F656A" w:rsidRPr="002E312F">
        <w:rPr>
          <w:rFonts w:ascii="Arial" w:hAnsi="Arial" w:cs="Arial"/>
          <w:sz w:val="20"/>
          <w:szCs w:val="20"/>
        </w:rPr>
        <w:t xml:space="preserve"> (tapentadol extended-release)</w:t>
      </w:r>
      <w:r w:rsidR="001F656A">
        <w:rPr>
          <w:rFonts w:ascii="Arial" w:hAnsi="Arial" w:cs="Arial"/>
          <w:sz w:val="20"/>
          <w:szCs w:val="20"/>
        </w:rPr>
        <w:t xml:space="preserve"> for DPN was based upon the results of two phase III clinical trials in adult patients with DPN.</w:t>
      </w:r>
      <w:r w:rsidR="00CE0D6E">
        <w:rPr>
          <w:rFonts w:ascii="Arial" w:hAnsi="Arial" w:cs="Arial"/>
          <w:sz w:val="20"/>
          <w:szCs w:val="20"/>
          <w:vertAlign w:val="superscript"/>
        </w:rPr>
        <w:t>7,8</w:t>
      </w:r>
      <w:r w:rsidR="00D448B0">
        <w:rPr>
          <w:rFonts w:ascii="Arial" w:hAnsi="Arial" w:cs="Arial"/>
          <w:sz w:val="20"/>
          <w:szCs w:val="20"/>
        </w:rPr>
        <w:t xml:space="preserve"> </w:t>
      </w:r>
      <w:r w:rsidR="00D448B0" w:rsidRPr="002E312F">
        <w:rPr>
          <w:rFonts w:ascii="Arial" w:hAnsi="Arial" w:cs="Arial"/>
          <w:sz w:val="20"/>
          <w:szCs w:val="20"/>
        </w:rPr>
        <w:t>Nucynta ER</w:t>
      </w:r>
      <w:r w:rsidR="00D448B0" w:rsidRPr="002E312F">
        <w:rPr>
          <w:rFonts w:ascii="Arial" w:hAnsi="Arial" w:cs="Arial"/>
          <w:sz w:val="20"/>
          <w:szCs w:val="20"/>
          <w:vertAlign w:val="superscript"/>
        </w:rPr>
        <w:t>®</w:t>
      </w:r>
      <w:r w:rsidR="00D448B0" w:rsidRPr="002E312F">
        <w:rPr>
          <w:rFonts w:ascii="Arial" w:hAnsi="Arial" w:cs="Arial"/>
          <w:sz w:val="20"/>
          <w:szCs w:val="20"/>
        </w:rPr>
        <w:t xml:space="preserve"> (tapentadol extended-release)</w:t>
      </w:r>
      <w:r w:rsidR="00D448B0">
        <w:rPr>
          <w:rFonts w:ascii="Arial" w:hAnsi="Arial" w:cs="Arial"/>
          <w:sz w:val="20"/>
          <w:szCs w:val="20"/>
        </w:rPr>
        <w:t xml:space="preserve"> has been evaluated f</w:t>
      </w:r>
      <w:r w:rsidR="00957BE5">
        <w:rPr>
          <w:rFonts w:ascii="Arial" w:hAnsi="Arial" w:cs="Arial"/>
          <w:sz w:val="20"/>
          <w:szCs w:val="20"/>
        </w:rPr>
        <w:t>or long-term safety and tolerability</w:t>
      </w:r>
      <w:r w:rsidR="00D448B0">
        <w:rPr>
          <w:rFonts w:ascii="Arial" w:hAnsi="Arial" w:cs="Arial"/>
          <w:sz w:val="20"/>
          <w:szCs w:val="20"/>
        </w:rPr>
        <w:t xml:space="preserve"> </w:t>
      </w:r>
      <w:r w:rsidR="006C5100">
        <w:rPr>
          <w:rFonts w:ascii="Arial" w:hAnsi="Arial" w:cs="Arial"/>
          <w:sz w:val="20"/>
          <w:szCs w:val="20"/>
        </w:rPr>
        <w:t>in two long-term extension studies</w:t>
      </w:r>
      <w:r w:rsidR="00D448B0">
        <w:rPr>
          <w:rFonts w:ascii="Arial" w:hAnsi="Arial" w:cs="Arial"/>
          <w:sz w:val="20"/>
          <w:szCs w:val="20"/>
        </w:rPr>
        <w:t>, and for chronic cancer pain in two phase III clinical trials.</w:t>
      </w:r>
      <w:r w:rsidR="00CE0D6E">
        <w:rPr>
          <w:rFonts w:ascii="Arial" w:hAnsi="Arial" w:cs="Arial"/>
          <w:sz w:val="20"/>
          <w:szCs w:val="20"/>
          <w:vertAlign w:val="superscript"/>
        </w:rPr>
        <w:t>9-12</w:t>
      </w:r>
    </w:p>
    <w:p w14:paraId="4981E58A" w14:textId="77777777" w:rsidR="00D448B0" w:rsidRDefault="00D448B0" w:rsidP="00FD63AA">
      <w:pPr>
        <w:spacing w:after="0" w:line="240" w:lineRule="auto"/>
        <w:rPr>
          <w:rFonts w:ascii="Arial" w:hAnsi="Arial" w:cs="Arial"/>
          <w:sz w:val="20"/>
          <w:szCs w:val="20"/>
        </w:rPr>
      </w:pPr>
    </w:p>
    <w:p w14:paraId="174FC111" w14:textId="65F70F71" w:rsidR="00D448B0" w:rsidRDefault="00D448B0" w:rsidP="00FD63AA">
      <w:pPr>
        <w:spacing w:after="0" w:line="240" w:lineRule="auto"/>
        <w:rPr>
          <w:rFonts w:ascii="Arial" w:hAnsi="Arial" w:cs="Arial"/>
          <w:sz w:val="20"/>
          <w:szCs w:val="20"/>
        </w:rPr>
      </w:pPr>
      <w:r>
        <w:rPr>
          <w:rFonts w:ascii="Arial" w:hAnsi="Arial" w:cs="Arial"/>
          <w:sz w:val="20"/>
          <w:szCs w:val="20"/>
        </w:rPr>
        <w:t>The LBP study was a randomized, double-blind, multicenter, active and placebo-controlled</w:t>
      </w:r>
      <w:r w:rsidR="003A3F07">
        <w:rPr>
          <w:rFonts w:ascii="Arial" w:hAnsi="Arial" w:cs="Arial"/>
          <w:sz w:val="20"/>
          <w:szCs w:val="20"/>
        </w:rPr>
        <w:t xml:space="preserve"> trial performed in 981 </w:t>
      </w:r>
      <w:r w:rsidR="0057370B">
        <w:rPr>
          <w:rFonts w:ascii="Arial" w:hAnsi="Arial" w:cs="Arial"/>
          <w:sz w:val="20"/>
          <w:szCs w:val="20"/>
        </w:rPr>
        <w:t>patients aged</w:t>
      </w:r>
      <w:r w:rsidR="003A3F07">
        <w:rPr>
          <w:rFonts w:ascii="Arial" w:hAnsi="Arial" w:cs="Arial"/>
          <w:sz w:val="20"/>
          <w:szCs w:val="20"/>
        </w:rPr>
        <w:t xml:space="preserve"> 18 years</w:t>
      </w:r>
      <w:r w:rsidR="0057370B">
        <w:rPr>
          <w:rFonts w:ascii="Arial" w:hAnsi="Arial" w:cs="Arial"/>
          <w:sz w:val="20"/>
          <w:szCs w:val="20"/>
        </w:rPr>
        <w:t xml:space="preserve"> or older</w:t>
      </w:r>
      <w:r w:rsidR="003A3F07">
        <w:rPr>
          <w:rFonts w:ascii="Arial" w:hAnsi="Arial" w:cs="Arial"/>
          <w:sz w:val="20"/>
          <w:szCs w:val="20"/>
        </w:rPr>
        <w:t xml:space="preserve"> with at least three months of non-malignant LBP. </w:t>
      </w:r>
      <w:r w:rsidR="00631CD6">
        <w:rPr>
          <w:rFonts w:ascii="Arial" w:hAnsi="Arial" w:cs="Arial"/>
          <w:sz w:val="20"/>
          <w:szCs w:val="20"/>
        </w:rPr>
        <w:t xml:space="preserve">Patients were </w:t>
      </w:r>
      <w:r w:rsidR="00631CD6">
        <w:rPr>
          <w:rFonts w:ascii="Arial" w:hAnsi="Arial" w:cs="Arial"/>
          <w:sz w:val="20"/>
          <w:szCs w:val="20"/>
        </w:rPr>
        <w:lastRenderedPageBreak/>
        <w:t xml:space="preserve">randomized in a 1:1:1 fashion to </w:t>
      </w:r>
      <w:r w:rsidR="00DC2527" w:rsidRPr="002E312F">
        <w:rPr>
          <w:rFonts w:ascii="Arial" w:hAnsi="Arial" w:cs="Arial"/>
          <w:sz w:val="20"/>
          <w:szCs w:val="20"/>
        </w:rPr>
        <w:t>Nucynta ER</w:t>
      </w:r>
      <w:r w:rsidR="00DC2527" w:rsidRPr="002E312F">
        <w:rPr>
          <w:rFonts w:ascii="Arial" w:hAnsi="Arial" w:cs="Arial"/>
          <w:sz w:val="20"/>
          <w:szCs w:val="20"/>
          <w:vertAlign w:val="superscript"/>
        </w:rPr>
        <w:t>®</w:t>
      </w:r>
      <w:r w:rsidR="00DC2527" w:rsidRPr="002E312F">
        <w:rPr>
          <w:rFonts w:ascii="Arial" w:hAnsi="Arial" w:cs="Arial"/>
          <w:sz w:val="20"/>
          <w:szCs w:val="20"/>
        </w:rPr>
        <w:t xml:space="preserve"> </w:t>
      </w:r>
      <w:r w:rsidR="00DC2527">
        <w:rPr>
          <w:rFonts w:ascii="Arial" w:hAnsi="Arial" w:cs="Arial"/>
          <w:sz w:val="20"/>
          <w:szCs w:val="20"/>
        </w:rPr>
        <w:t>(</w:t>
      </w:r>
      <w:r w:rsidR="00631CD6">
        <w:rPr>
          <w:rFonts w:ascii="Arial" w:hAnsi="Arial" w:cs="Arial"/>
          <w:sz w:val="20"/>
          <w:szCs w:val="20"/>
        </w:rPr>
        <w:t>tapentadol extended-release</w:t>
      </w:r>
      <w:r w:rsidR="00DC2527">
        <w:rPr>
          <w:rFonts w:ascii="Arial" w:hAnsi="Arial" w:cs="Arial"/>
          <w:sz w:val="20"/>
          <w:szCs w:val="20"/>
        </w:rPr>
        <w:t>)</w:t>
      </w:r>
      <w:r w:rsidR="00631CD6">
        <w:rPr>
          <w:rFonts w:ascii="Arial" w:hAnsi="Arial" w:cs="Arial"/>
          <w:sz w:val="20"/>
          <w:szCs w:val="20"/>
        </w:rPr>
        <w:t xml:space="preserve"> 100 mg to 250 mg twice daily</w:t>
      </w:r>
      <w:r w:rsidR="002E489F">
        <w:rPr>
          <w:rFonts w:ascii="Arial" w:hAnsi="Arial" w:cs="Arial"/>
          <w:sz w:val="20"/>
          <w:szCs w:val="20"/>
        </w:rPr>
        <w:t xml:space="preserve"> (n=321)</w:t>
      </w:r>
      <w:r w:rsidR="00631CD6">
        <w:rPr>
          <w:rFonts w:ascii="Arial" w:hAnsi="Arial" w:cs="Arial"/>
          <w:sz w:val="20"/>
          <w:szCs w:val="20"/>
        </w:rPr>
        <w:t>, oxycodone ER 20 mg to 50 mg twice daily</w:t>
      </w:r>
      <w:r w:rsidR="002E489F">
        <w:rPr>
          <w:rFonts w:ascii="Arial" w:hAnsi="Arial" w:cs="Arial"/>
          <w:sz w:val="20"/>
          <w:szCs w:val="20"/>
        </w:rPr>
        <w:t xml:space="preserve"> (n=334)</w:t>
      </w:r>
      <w:r w:rsidR="00631CD6">
        <w:rPr>
          <w:rFonts w:ascii="Arial" w:hAnsi="Arial" w:cs="Arial"/>
          <w:sz w:val="20"/>
          <w:szCs w:val="20"/>
        </w:rPr>
        <w:t xml:space="preserve"> or placebo</w:t>
      </w:r>
      <w:r w:rsidR="002E489F">
        <w:rPr>
          <w:rFonts w:ascii="Arial" w:hAnsi="Arial" w:cs="Arial"/>
          <w:sz w:val="20"/>
          <w:szCs w:val="20"/>
        </w:rPr>
        <w:t xml:space="preserve"> (n=326)</w:t>
      </w:r>
      <w:r w:rsidR="00631CD6">
        <w:rPr>
          <w:rFonts w:ascii="Arial" w:hAnsi="Arial" w:cs="Arial"/>
          <w:sz w:val="20"/>
          <w:szCs w:val="20"/>
        </w:rPr>
        <w:t>. The trial was 15 weeks in length, consisting o</w:t>
      </w:r>
      <w:r w:rsidR="002E489F">
        <w:rPr>
          <w:rFonts w:ascii="Arial" w:hAnsi="Arial" w:cs="Arial"/>
          <w:sz w:val="20"/>
          <w:szCs w:val="20"/>
        </w:rPr>
        <w:t>f a three week titration period and</w:t>
      </w:r>
      <w:r w:rsidR="00631CD6">
        <w:rPr>
          <w:rFonts w:ascii="Arial" w:hAnsi="Arial" w:cs="Arial"/>
          <w:sz w:val="20"/>
          <w:szCs w:val="20"/>
        </w:rPr>
        <w:t xml:space="preserve"> a 12-week maintenance period</w:t>
      </w:r>
      <w:r w:rsidR="002E489F">
        <w:rPr>
          <w:rFonts w:ascii="Arial" w:hAnsi="Arial" w:cs="Arial"/>
          <w:sz w:val="20"/>
          <w:szCs w:val="20"/>
        </w:rPr>
        <w:t xml:space="preserve">. Follow-up was conducted four days after the end of the 12-week maintenance period. </w:t>
      </w:r>
      <w:r w:rsidR="00003124">
        <w:rPr>
          <w:rFonts w:ascii="Arial" w:hAnsi="Arial" w:cs="Arial"/>
          <w:sz w:val="20"/>
          <w:szCs w:val="20"/>
        </w:rPr>
        <w:t xml:space="preserve">The primary endpoint evaluated was change in </w:t>
      </w:r>
      <w:r w:rsidR="001272FA">
        <w:rPr>
          <w:rFonts w:ascii="Arial" w:hAnsi="Arial" w:cs="Arial"/>
          <w:sz w:val="20"/>
          <w:szCs w:val="20"/>
        </w:rPr>
        <w:t xml:space="preserve">average </w:t>
      </w:r>
      <w:r w:rsidR="00003124">
        <w:rPr>
          <w:rFonts w:ascii="Arial" w:hAnsi="Arial" w:cs="Arial"/>
          <w:sz w:val="20"/>
          <w:szCs w:val="20"/>
        </w:rPr>
        <w:t>pain intensity from baseline to week 12</w:t>
      </w:r>
      <w:r w:rsidR="00076D07">
        <w:rPr>
          <w:rFonts w:ascii="Arial" w:hAnsi="Arial" w:cs="Arial"/>
          <w:sz w:val="20"/>
          <w:szCs w:val="20"/>
        </w:rPr>
        <w:t xml:space="preserve"> of the maintenance period</w:t>
      </w:r>
      <w:r w:rsidR="00003124">
        <w:rPr>
          <w:rFonts w:ascii="Arial" w:hAnsi="Arial" w:cs="Arial"/>
          <w:sz w:val="20"/>
          <w:szCs w:val="20"/>
        </w:rPr>
        <w:t xml:space="preserve">. Treatment with </w:t>
      </w:r>
      <w:r w:rsidR="00DC2527" w:rsidRPr="00DC2527">
        <w:rPr>
          <w:rFonts w:ascii="Arial" w:hAnsi="Arial" w:cs="Arial"/>
          <w:sz w:val="20"/>
          <w:szCs w:val="20"/>
        </w:rPr>
        <w:t>Nucynta ER</w:t>
      </w:r>
      <w:r w:rsidR="00DC2527" w:rsidRPr="00DC2527">
        <w:rPr>
          <w:rFonts w:ascii="Arial" w:hAnsi="Arial" w:cs="Arial"/>
          <w:sz w:val="20"/>
          <w:szCs w:val="20"/>
          <w:vertAlign w:val="superscript"/>
        </w:rPr>
        <w:t>®</w:t>
      </w:r>
      <w:r w:rsidR="00DC2527" w:rsidRPr="00DC2527">
        <w:rPr>
          <w:rFonts w:ascii="Arial" w:hAnsi="Arial" w:cs="Arial"/>
          <w:sz w:val="20"/>
          <w:szCs w:val="20"/>
        </w:rPr>
        <w:t xml:space="preserve"> (tapentadol extended-release) </w:t>
      </w:r>
      <w:r w:rsidR="00003124">
        <w:rPr>
          <w:rFonts w:ascii="Arial" w:hAnsi="Arial" w:cs="Arial"/>
          <w:sz w:val="20"/>
          <w:szCs w:val="20"/>
        </w:rPr>
        <w:t xml:space="preserve">significantly reduced </w:t>
      </w:r>
      <w:r w:rsidR="001272FA">
        <w:rPr>
          <w:rFonts w:ascii="Arial" w:hAnsi="Arial" w:cs="Arial"/>
          <w:sz w:val="20"/>
          <w:szCs w:val="20"/>
        </w:rPr>
        <w:t xml:space="preserve">average </w:t>
      </w:r>
      <w:r w:rsidR="00003124">
        <w:rPr>
          <w:rFonts w:ascii="Arial" w:hAnsi="Arial" w:cs="Arial"/>
          <w:sz w:val="20"/>
          <w:szCs w:val="20"/>
        </w:rPr>
        <w:t>pain intensity from baseline to week 12</w:t>
      </w:r>
      <w:r w:rsidR="00076D07">
        <w:rPr>
          <w:rFonts w:ascii="Arial" w:hAnsi="Arial" w:cs="Arial"/>
          <w:sz w:val="20"/>
          <w:szCs w:val="20"/>
        </w:rPr>
        <w:t xml:space="preserve"> of the maintenance period</w:t>
      </w:r>
      <w:r w:rsidR="00003124">
        <w:rPr>
          <w:rFonts w:ascii="Arial" w:hAnsi="Arial" w:cs="Arial"/>
          <w:sz w:val="20"/>
          <w:szCs w:val="20"/>
        </w:rPr>
        <w:t xml:space="preserve"> compared to placebo with a least squares</w:t>
      </w:r>
      <w:r w:rsidR="00076D07">
        <w:rPr>
          <w:rFonts w:ascii="Arial" w:hAnsi="Arial" w:cs="Arial"/>
          <w:sz w:val="20"/>
          <w:szCs w:val="20"/>
        </w:rPr>
        <w:t xml:space="preserve"> mean </w:t>
      </w:r>
      <w:r w:rsidR="00003124">
        <w:rPr>
          <w:rFonts w:ascii="Arial" w:hAnsi="Arial" w:cs="Arial"/>
          <w:sz w:val="20"/>
          <w:szCs w:val="20"/>
        </w:rPr>
        <w:t>difference</w:t>
      </w:r>
      <w:r w:rsidR="00076D07">
        <w:rPr>
          <w:rFonts w:ascii="Arial" w:hAnsi="Arial" w:cs="Arial"/>
          <w:sz w:val="20"/>
          <w:szCs w:val="20"/>
        </w:rPr>
        <w:t xml:space="preserve"> (LSMD)</w:t>
      </w:r>
      <w:r w:rsidR="00003124">
        <w:rPr>
          <w:rFonts w:ascii="Arial" w:hAnsi="Arial" w:cs="Arial"/>
          <w:sz w:val="20"/>
          <w:szCs w:val="20"/>
        </w:rPr>
        <w:t xml:space="preserve"> of -0.8 (95% confidence inte</w:t>
      </w:r>
      <w:r w:rsidR="00DC2527">
        <w:rPr>
          <w:rFonts w:ascii="Arial" w:hAnsi="Arial" w:cs="Arial"/>
          <w:sz w:val="20"/>
          <w:szCs w:val="20"/>
        </w:rPr>
        <w:t>rval [CI], -1.22 to -0.47;</w:t>
      </w:r>
      <w:r w:rsidR="00003124">
        <w:rPr>
          <w:rFonts w:ascii="Arial" w:hAnsi="Arial" w:cs="Arial"/>
          <w:sz w:val="20"/>
          <w:szCs w:val="20"/>
        </w:rPr>
        <w:t xml:space="preserve"> P&lt;0.001). Secondary endpoints evaluated include</w:t>
      </w:r>
      <w:r w:rsidR="007D235D">
        <w:rPr>
          <w:rFonts w:ascii="Arial" w:hAnsi="Arial" w:cs="Arial"/>
          <w:sz w:val="20"/>
          <w:szCs w:val="20"/>
        </w:rPr>
        <w:t xml:space="preserve"> change in</w:t>
      </w:r>
      <w:r w:rsidR="001272FA">
        <w:rPr>
          <w:rFonts w:ascii="Arial" w:hAnsi="Arial" w:cs="Arial"/>
          <w:sz w:val="20"/>
          <w:szCs w:val="20"/>
        </w:rPr>
        <w:t xml:space="preserve"> average</w:t>
      </w:r>
      <w:r w:rsidR="007D235D">
        <w:rPr>
          <w:rFonts w:ascii="Arial" w:hAnsi="Arial" w:cs="Arial"/>
          <w:sz w:val="20"/>
          <w:szCs w:val="20"/>
        </w:rPr>
        <w:t xml:space="preserve"> pain intensity from baseline to week 12 over the entire maintenance period, the proportion of patients that responded with ≥ 30% and ≥ 50% reduction in pain intensity at week 12 of the maintenance period, patient’s global impression of change (PGIC) scores, Brief Pain Inventory (BPI) questionnaire scores, Short Form-36 (SF-36) scores, EuroQol-5 Dimension (EQ-5D) scores and sleep questionnaire scores.</w:t>
      </w:r>
      <w:r w:rsidR="00CE0D6E">
        <w:rPr>
          <w:rFonts w:ascii="Arial" w:hAnsi="Arial" w:cs="Arial"/>
          <w:sz w:val="20"/>
          <w:szCs w:val="20"/>
          <w:vertAlign w:val="superscript"/>
        </w:rPr>
        <w:t>5</w:t>
      </w:r>
    </w:p>
    <w:p w14:paraId="5132CE89" w14:textId="77777777" w:rsidR="007D235D" w:rsidRDefault="007D235D" w:rsidP="00FD63AA">
      <w:pPr>
        <w:spacing w:after="0" w:line="240" w:lineRule="auto"/>
        <w:rPr>
          <w:rFonts w:ascii="Arial" w:hAnsi="Arial" w:cs="Arial"/>
          <w:sz w:val="20"/>
          <w:szCs w:val="20"/>
        </w:rPr>
      </w:pPr>
    </w:p>
    <w:p w14:paraId="0A8E4FF4" w14:textId="1F343125" w:rsidR="00F00567" w:rsidRDefault="00895409" w:rsidP="00FD63AA">
      <w:pPr>
        <w:spacing w:after="0" w:line="240" w:lineRule="auto"/>
        <w:rPr>
          <w:rFonts w:ascii="Arial" w:hAnsi="Arial" w:cs="Arial"/>
          <w:sz w:val="20"/>
          <w:szCs w:val="20"/>
        </w:rPr>
      </w:pPr>
      <w:r>
        <w:rPr>
          <w:rFonts w:ascii="Arial" w:hAnsi="Arial" w:cs="Arial"/>
          <w:sz w:val="20"/>
          <w:szCs w:val="20"/>
        </w:rPr>
        <w:t xml:space="preserve">The OA study was a randomized, double-blind, multicenter, active and placebo-controlled trial performed in 1,023 patients aged 40 years and older with OA of the knee requiring the use of analgesics for at least three months. </w:t>
      </w:r>
      <w:r w:rsidRPr="00895409">
        <w:rPr>
          <w:rFonts w:ascii="Arial" w:hAnsi="Arial" w:cs="Arial"/>
          <w:sz w:val="20"/>
          <w:szCs w:val="20"/>
        </w:rPr>
        <w:t xml:space="preserve">Patients were randomized in a 1:1:1 fashion to </w:t>
      </w:r>
      <w:r w:rsidR="00DC2527" w:rsidRPr="00DC2527">
        <w:rPr>
          <w:rFonts w:ascii="Arial" w:hAnsi="Arial" w:cs="Arial"/>
          <w:sz w:val="20"/>
          <w:szCs w:val="20"/>
        </w:rPr>
        <w:t>Nucynta ER</w:t>
      </w:r>
      <w:r w:rsidR="00DC2527" w:rsidRPr="00DC2527">
        <w:rPr>
          <w:rFonts w:ascii="Arial" w:hAnsi="Arial" w:cs="Arial"/>
          <w:sz w:val="20"/>
          <w:szCs w:val="20"/>
          <w:vertAlign w:val="superscript"/>
        </w:rPr>
        <w:t>®</w:t>
      </w:r>
      <w:r w:rsidR="00DC2527" w:rsidRPr="00DC2527">
        <w:rPr>
          <w:rFonts w:ascii="Arial" w:hAnsi="Arial" w:cs="Arial"/>
          <w:sz w:val="20"/>
          <w:szCs w:val="20"/>
        </w:rPr>
        <w:t xml:space="preserve"> (tapentadol extended-release) </w:t>
      </w:r>
      <w:r w:rsidRPr="00895409">
        <w:rPr>
          <w:rFonts w:ascii="Arial" w:hAnsi="Arial" w:cs="Arial"/>
          <w:sz w:val="20"/>
          <w:szCs w:val="20"/>
        </w:rPr>
        <w:t>100 mg to 250 mg twice daily</w:t>
      </w:r>
      <w:r>
        <w:rPr>
          <w:rFonts w:ascii="Arial" w:hAnsi="Arial" w:cs="Arial"/>
          <w:sz w:val="20"/>
          <w:szCs w:val="20"/>
        </w:rPr>
        <w:t xml:space="preserve"> (n=344</w:t>
      </w:r>
      <w:r w:rsidRPr="00895409">
        <w:rPr>
          <w:rFonts w:ascii="Arial" w:hAnsi="Arial" w:cs="Arial"/>
          <w:sz w:val="20"/>
          <w:szCs w:val="20"/>
        </w:rPr>
        <w:t>), oxycodone ER 20 mg to 50 mg twice daily</w:t>
      </w:r>
      <w:r>
        <w:rPr>
          <w:rFonts w:ascii="Arial" w:hAnsi="Arial" w:cs="Arial"/>
          <w:sz w:val="20"/>
          <w:szCs w:val="20"/>
        </w:rPr>
        <w:t xml:space="preserve"> (n=342</w:t>
      </w:r>
      <w:r w:rsidRPr="00895409">
        <w:rPr>
          <w:rFonts w:ascii="Arial" w:hAnsi="Arial" w:cs="Arial"/>
          <w:sz w:val="20"/>
          <w:szCs w:val="20"/>
        </w:rPr>
        <w:t>) or placebo</w:t>
      </w:r>
      <w:r>
        <w:rPr>
          <w:rFonts w:ascii="Arial" w:hAnsi="Arial" w:cs="Arial"/>
          <w:sz w:val="20"/>
          <w:szCs w:val="20"/>
        </w:rPr>
        <w:t xml:space="preserve"> (n=337</w:t>
      </w:r>
      <w:r w:rsidRPr="00895409">
        <w:rPr>
          <w:rFonts w:ascii="Arial" w:hAnsi="Arial" w:cs="Arial"/>
          <w:sz w:val="20"/>
          <w:szCs w:val="20"/>
        </w:rPr>
        <w:t>).</w:t>
      </w:r>
      <w:r w:rsidR="001C48A0" w:rsidRPr="001C48A0">
        <w:rPr>
          <w:rFonts w:ascii="Arial" w:hAnsi="Arial" w:cs="Arial"/>
          <w:sz w:val="20"/>
          <w:szCs w:val="20"/>
        </w:rPr>
        <w:t xml:space="preserve"> The trial was 15 weeks in length, consisting of a three week titration period and a 12-week maintenance period</w:t>
      </w:r>
      <w:r w:rsidR="001C48A0">
        <w:rPr>
          <w:rFonts w:ascii="Arial" w:hAnsi="Arial" w:cs="Arial"/>
          <w:sz w:val="20"/>
          <w:szCs w:val="20"/>
        </w:rPr>
        <w:t xml:space="preserve">, excluding screening and washout </w:t>
      </w:r>
      <w:r w:rsidR="001272FA">
        <w:rPr>
          <w:rFonts w:ascii="Arial" w:hAnsi="Arial" w:cs="Arial"/>
          <w:sz w:val="20"/>
          <w:szCs w:val="20"/>
        </w:rPr>
        <w:t>periods prior to randomization. Follow-up was conducted 14 days after the last dose of study medication.</w:t>
      </w:r>
      <w:r w:rsidR="001272FA" w:rsidRPr="001272FA">
        <w:rPr>
          <w:rFonts w:ascii="Arial" w:hAnsi="Arial" w:cs="Arial"/>
          <w:sz w:val="20"/>
          <w:szCs w:val="20"/>
        </w:rPr>
        <w:t xml:space="preserve"> The primary endpoint evaluated was change in average pain intensity from baseline to week 12.</w:t>
      </w:r>
      <w:r w:rsidR="001272FA">
        <w:rPr>
          <w:rFonts w:ascii="Arial" w:hAnsi="Arial" w:cs="Arial"/>
          <w:sz w:val="20"/>
          <w:szCs w:val="20"/>
        </w:rPr>
        <w:t xml:space="preserve"> </w:t>
      </w:r>
      <w:r w:rsidR="00076D07">
        <w:rPr>
          <w:rFonts w:ascii="Arial" w:hAnsi="Arial" w:cs="Arial"/>
          <w:sz w:val="20"/>
          <w:szCs w:val="20"/>
        </w:rPr>
        <w:t xml:space="preserve">Treatment with </w:t>
      </w:r>
      <w:r w:rsidR="00DC2527" w:rsidRPr="00DC2527">
        <w:rPr>
          <w:rFonts w:ascii="Arial" w:hAnsi="Arial" w:cs="Arial"/>
          <w:sz w:val="20"/>
          <w:szCs w:val="20"/>
        </w:rPr>
        <w:t>Nucynta ER</w:t>
      </w:r>
      <w:r w:rsidR="00DC2527" w:rsidRPr="00DC2527">
        <w:rPr>
          <w:rFonts w:ascii="Arial" w:hAnsi="Arial" w:cs="Arial"/>
          <w:sz w:val="20"/>
          <w:szCs w:val="20"/>
          <w:vertAlign w:val="superscript"/>
        </w:rPr>
        <w:t>®</w:t>
      </w:r>
      <w:r w:rsidR="00DC2527" w:rsidRPr="00DC2527">
        <w:rPr>
          <w:rFonts w:ascii="Arial" w:hAnsi="Arial" w:cs="Arial"/>
          <w:sz w:val="20"/>
          <w:szCs w:val="20"/>
        </w:rPr>
        <w:t xml:space="preserve"> (tapentadol extended-release) </w:t>
      </w:r>
      <w:r w:rsidR="00076D07">
        <w:rPr>
          <w:rFonts w:ascii="Arial" w:hAnsi="Arial" w:cs="Arial"/>
          <w:sz w:val="20"/>
          <w:szCs w:val="20"/>
        </w:rPr>
        <w:t xml:space="preserve">significantly reduced average pain intensity from baseline to week 12 of the maintenance period compared to placebo with a LSMD of -0.7 </w:t>
      </w:r>
      <w:r w:rsidR="00E616B2">
        <w:rPr>
          <w:rFonts w:ascii="Arial" w:hAnsi="Arial" w:cs="Arial"/>
          <w:sz w:val="20"/>
          <w:szCs w:val="20"/>
        </w:rPr>
        <w:t xml:space="preserve">(95% CI, -1.04 to -0.33). </w:t>
      </w:r>
      <w:r w:rsidR="001272FA" w:rsidRPr="001272FA">
        <w:rPr>
          <w:rFonts w:ascii="Arial" w:hAnsi="Arial" w:cs="Arial"/>
          <w:sz w:val="20"/>
          <w:szCs w:val="20"/>
        </w:rPr>
        <w:t>Secondary endpoints evaluated include change in average pain intensity from baseline to week 12 over the entire maintenance period, the proportion of patients that responded with ≥ 30% and ≥ 50% reduction in pain intensity at week 12 of the maintenance period</w:t>
      </w:r>
      <w:r w:rsidR="001272FA">
        <w:rPr>
          <w:rFonts w:ascii="Arial" w:hAnsi="Arial" w:cs="Arial"/>
          <w:sz w:val="20"/>
          <w:szCs w:val="20"/>
        </w:rPr>
        <w:t xml:space="preserve">, </w:t>
      </w:r>
      <w:r w:rsidR="00F00567">
        <w:rPr>
          <w:rFonts w:ascii="Arial" w:hAnsi="Arial" w:cs="Arial"/>
          <w:sz w:val="20"/>
          <w:szCs w:val="20"/>
        </w:rPr>
        <w:t>changes from baseline in Western Ontario and McMaster Universities Arthritis Index (WOMAC) scores, Patient Assessment of Constipation Symptoms (PAC-SYM) scores, EQ-5D scores and SF-36 scores.</w:t>
      </w:r>
      <w:r w:rsidR="00CE0D6E">
        <w:rPr>
          <w:rFonts w:ascii="Arial" w:hAnsi="Arial" w:cs="Arial"/>
          <w:sz w:val="20"/>
          <w:szCs w:val="20"/>
          <w:vertAlign w:val="superscript"/>
        </w:rPr>
        <w:t>6</w:t>
      </w:r>
    </w:p>
    <w:p w14:paraId="18969AA2" w14:textId="77777777" w:rsidR="00F00567" w:rsidRDefault="00F00567" w:rsidP="00FD63AA">
      <w:pPr>
        <w:spacing w:after="0" w:line="240" w:lineRule="auto"/>
        <w:rPr>
          <w:rFonts w:ascii="Arial" w:hAnsi="Arial" w:cs="Arial"/>
          <w:sz w:val="20"/>
          <w:szCs w:val="20"/>
        </w:rPr>
      </w:pPr>
    </w:p>
    <w:p w14:paraId="252A336A" w14:textId="2D9721F9" w:rsidR="007D235D" w:rsidRDefault="003C3C2C" w:rsidP="00FD63AA">
      <w:pPr>
        <w:spacing w:after="0" w:line="240" w:lineRule="auto"/>
        <w:rPr>
          <w:rFonts w:ascii="Arial" w:hAnsi="Arial" w:cs="Arial"/>
          <w:sz w:val="20"/>
          <w:szCs w:val="20"/>
        </w:rPr>
      </w:pPr>
      <w:r>
        <w:rPr>
          <w:rFonts w:ascii="Arial" w:hAnsi="Arial" w:cs="Arial"/>
          <w:sz w:val="20"/>
          <w:szCs w:val="20"/>
        </w:rPr>
        <w:t xml:space="preserve">DPN Study 1 was a randomized, double-blind, </w:t>
      </w:r>
      <w:r w:rsidR="0057370B">
        <w:rPr>
          <w:rFonts w:ascii="Arial" w:hAnsi="Arial" w:cs="Arial"/>
          <w:sz w:val="20"/>
          <w:szCs w:val="20"/>
        </w:rPr>
        <w:t xml:space="preserve">placebo-controlled trial performed in 588 patients aged 18 years or older with painful DPN for at least six months. The trial was 15 weeks in length, consisting of a three week, open-label titration phase where all patients were titrated to their optimal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57370B">
        <w:rPr>
          <w:rFonts w:ascii="Arial" w:hAnsi="Arial" w:cs="Arial"/>
          <w:sz w:val="20"/>
          <w:szCs w:val="20"/>
        </w:rPr>
        <w:t xml:space="preserve">dose and a 12-week double-blind maintenance phase. After the titration phase, 389 patients were randomized in a 1:1 fashion to their optimal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57370B">
        <w:rPr>
          <w:rFonts w:ascii="Arial" w:hAnsi="Arial" w:cs="Arial"/>
          <w:sz w:val="20"/>
          <w:szCs w:val="20"/>
        </w:rPr>
        <w:t>dose</w:t>
      </w:r>
      <w:r w:rsidR="00076D07">
        <w:rPr>
          <w:rFonts w:ascii="Arial" w:hAnsi="Arial" w:cs="Arial"/>
          <w:sz w:val="20"/>
          <w:szCs w:val="20"/>
        </w:rPr>
        <w:t xml:space="preserve"> (n=196)</w:t>
      </w:r>
      <w:r w:rsidR="0057370B">
        <w:rPr>
          <w:rFonts w:ascii="Arial" w:hAnsi="Arial" w:cs="Arial"/>
          <w:sz w:val="20"/>
          <w:szCs w:val="20"/>
        </w:rPr>
        <w:t xml:space="preserve"> or placebo</w:t>
      </w:r>
      <w:r w:rsidR="00076D07">
        <w:rPr>
          <w:rFonts w:ascii="Arial" w:hAnsi="Arial" w:cs="Arial"/>
          <w:sz w:val="20"/>
          <w:szCs w:val="20"/>
        </w:rPr>
        <w:t xml:space="preserve"> (n=193)</w:t>
      </w:r>
      <w:r w:rsidR="0057370B">
        <w:rPr>
          <w:rFonts w:ascii="Arial" w:hAnsi="Arial" w:cs="Arial"/>
          <w:sz w:val="20"/>
          <w:szCs w:val="20"/>
        </w:rPr>
        <w:t>.</w:t>
      </w:r>
      <w:r w:rsidR="00F00567">
        <w:rPr>
          <w:rFonts w:ascii="Arial" w:hAnsi="Arial" w:cs="Arial"/>
          <w:sz w:val="20"/>
          <w:szCs w:val="20"/>
        </w:rPr>
        <w:t xml:space="preserve"> </w:t>
      </w:r>
      <w:r w:rsidR="006C26B2">
        <w:rPr>
          <w:rFonts w:ascii="Arial" w:hAnsi="Arial" w:cs="Arial"/>
          <w:sz w:val="20"/>
          <w:szCs w:val="20"/>
        </w:rPr>
        <w:t xml:space="preserve">The rate of patients completing the study was less than 70% in both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6C26B2">
        <w:rPr>
          <w:rFonts w:ascii="Arial" w:hAnsi="Arial" w:cs="Arial"/>
          <w:sz w:val="20"/>
          <w:szCs w:val="20"/>
        </w:rPr>
        <w:t xml:space="preserve">treated and placebo groups. </w:t>
      </w:r>
      <w:r w:rsidR="00076D07">
        <w:rPr>
          <w:rFonts w:ascii="Arial" w:hAnsi="Arial" w:cs="Arial"/>
          <w:sz w:val="20"/>
          <w:szCs w:val="20"/>
        </w:rPr>
        <w:t xml:space="preserve">The primary endpoint evaluated was the change from baseline in average pain intensity over the last week of the study. </w:t>
      </w:r>
      <w:r w:rsidR="008468B3">
        <w:rPr>
          <w:rFonts w:ascii="Arial" w:hAnsi="Arial" w:cs="Arial"/>
          <w:sz w:val="20"/>
          <w:szCs w:val="20"/>
        </w:rPr>
        <w:t xml:space="preserve">For the primary endpoint, the LSMD between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8468B3">
        <w:rPr>
          <w:rFonts w:ascii="Arial" w:hAnsi="Arial" w:cs="Arial"/>
          <w:sz w:val="20"/>
          <w:szCs w:val="20"/>
        </w:rPr>
        <w:t xml:space="preserve">and placebo was -1.3 (95% CI, -1.70 to -0.92, P&lt;0.001). Of note, the least squares mean change in average pain intensity from baseline was 0.0 in the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8468B3">
        <w:rPr>
          <w:rFonts w:ascii="Arial" w:hAnsi="Arial" w:cs="Arial"/>
          <w:sz w:val="20"/>
          <w:szCs w:val="20"/>
        </w:rPr>
        <w:t xml:space="preserve">group. This indicates no change in average pain intensity from baseline for the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8468B3">
        <w:rPr>
          <w:rFonts w:ascii="Arial" w:hAnsi="Arial" w:cs="Arial"/>
          <w:sz w:val="20"/>
          <w:szCs w:val="20"/>
        </w:rPr>
        <w:t xml:space="preserve">group, and worsening average pain intensity for placebo at the end of the study. </w:t>
      </w:r>
      <w:r w:rsidR="008468B3" w:rsidRPr="008468B3">
        <w:rPr>
          <w:rFonts w:ascii="Arial" w:hAnsi="Arial" w:cs="Arial"/>
          <w:sz w:val="20"/>
          <w:szCs w:val="20"/>
        </w:rPr>
        <w:t>Secondary endpoints evaluated include</w:t>
      </w:r>
      <w:r w:rsidR="001C7F15">
        <w:rPr>
          <w:rFonts w:ascii="Arial" w:hAnsi="Arial" w:cs="Arial"/>
          <w:sz w:val="20"/>
          <w:szCs w:val="20"/>
        </w:rPr>
        <w:t xml:space="preserve"> </w:t>
      </w:r>
      <w:r w:rsidR="001C7F15" w:rsidRPr="001C7F15">
        <w:rPr>
          <w:rFonts w:ascii="Arial" w:hAnsi="Arial" w:cs="Arial"/>
          <w:sz w:val="20"/>
          <w:szCs w:val="20"/>
        </w:rPr>
        <w:t>the proportion of patients that responded with ≥ 30% and ≥ 50% reduction in pain intensity at week 12 of the maintenance period</w:t>
      </w:r>
      <w:r w:rsidR="001C7F15">
        <w:rPr>
          <w:rFonts w:ascii="Arial" w:hAnsi="Arial" w:cs="Arial"/>
          <w:sz w:val="20"/>
          <w:szCs w:val="20"/>
        </w:rPr>
        <w:t xml:space="preserve"> and PGIC at weeks 2, 6 and 12 of the maintenance period.</w:t>
      </w:r>
      <w:r w:rsidR="00CE0D6E">
        <w:rPr>
          <w:rFonts w:ascii="Arial" w:hAnsi="Arial" w:cs="Arial"/>
          <w:sz w:val="20"/>
          <w:szCs w:val="20"/>
          <w:vertAlign w:val="superscript"/>
        </w:rPr>
        <w:t>7</w:t>
      </w:r>
    </w:p>
    <w:p w14:paraId="3FC55383" w14:textId="77777777" w:rsidR="001C7F15" w:rsidRDefault="001C7F15" w:rsidP="00FD63AA">
      <w:pPr>
        <w:spacing w:after="0" w:line="240" w:lineRule="auto"/>
        <w:rPr>
          <w:rFonts w:ascii="Arial" w:hAnsi="Arial" w:cs="Arial"/>
          <w:sz w:val="20"/>
          <w:szCs w:val="20"/>
        </w:rPr>
      </w:pPr>
    </w:p>
    <w:p w14:paraId="1021AC06" w14:textId="5DC1C6E2" w:rsidR="001C7F15" w:rsidRDefault="00220254" w:rsidP="00FD63AA">
      <w:pPr>
        <w:spacing w:after="0" w:line="240" w:lineRule="auto"/>
        <w:rPr>
          <w:rFonts w:ascii="Arial" w:hAnsi="Arial" w:cs="Arial"/>
          <w:sz w:val="20"/>
          <w:szCs w:val="20"/>
        </w:rPr>
      </w:pPr>
      <w:r>
        <w:rPr>
          <w:rFonts w:ascii="Arial" w:hAnsi="Arial" w:cs="Arial"/>
          <w:sz w:val="20"/>
          <w:szCs w:val="20"/>
        </w:rPr>
        <w:t xml:space="preserve">DPN Study 2 was a randomized, double-blind, placebo-controlled trial performed in 459 patients </w:t>
      </w:r>
      <w:r w:rsidRPr="00220254">
        <w:rPr>
          <w:rFonts w:ascii="Arial" w:hAnsi="Arial" w:cs="Arial"/>
          <w:sz w:val="20"/>
          <w:szCs w:val="20"/>
        </w:rPr>
        <w:t xml:space="preserve">aged 18 years or older with painful DPN for at least six months. The trial was 15 weeks in length, consisting of a three week, open-label titration phase where all patients were titrated to their optimal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Pr="00220254">
        <w:rPr>
          <w:rFonts w:ascii="Arial" w:hAnsi="Arial" w:cs="Arial"/>
          <w:sz w:val="20"/>
          <w:szCs w:val="20"/>
        </w:rPr>
        <w:t xml:space="preserve">dose and a 12-week double-blind </w:t>
      </w:r>
      <w:r w:rsidR="001C7C3C">
        <w:rPr>
          <w:rFonts w:ascii="Arial" w:hAnsi="Arial" w:cs="Arial"/>
          <w:sz w:val="20"/>
          <w:szCs w:val="20"/>
        </w:rPr>
        <w:t>treatment</w:t>
      </w:r>
      <w:r w:rsidRPr="00220254">
        <w:rPr>
          <w:rFonts w:ascii="Arial" w:hAnsi="Arial" w:cs="Arial"/>
          <w:sz w:val="20"/>
          <w:szCs w:val="20"/>
        </w:rPr>
        <w:t xml:space="preserve"> phase.</w:t>
      </w:r>
      <w:r w:rsidR="006C26B2">
        <w:rPr>
          <w:rFonts w:ascii="Arial" w:hAnsi="Arial" w:cs="Arial"/>
          <w:sz w:val="20"/>
          <w:szCs w:val="20"/>
        </w:rPr>
        <w:t xml:space="preserve"> After the titration phase, 338</w:t>
      </w:r>
      <w:r>
        <w:rPr>
          <w:rFonts w:ascii="Arial" w:hAnsi="Arial" w:cs="Arial"/>
          <w:sz w:val="20"/>
          <w:szCs w:val="20"/>
        </w:rPr>
        <w:t xml:space="preserve"> patients were randomized in approximately a 1:1 fashion to their optimal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Pr>
          <w:rFonts w:ascii="Arial" w:hAnsi="Arial" w:cs="Arial"/>
          <w:sz w:val="20"/>
          <w:szCs w:val="20"/>
        </w:rPr>
        <w:t>dose</w:t>
      </w:r>
      <w:r w:rsidR="006C26B2">
        <w:rPr>
          <w:rFonts w:ascii="Arial" w:hAnsi="Arial" w:cs="Arial"/>
          <w:sz w:val="20"/>
          <w:szCs w:val="20"/>
        </w:rPr>
        <w:t xml:space="preserve"> (n=166) or placebo (n=152). The rate of patients completing the study was less than 80% in both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6C26B2">
        <w:rPr>
          <w:rFonts w:ascii="Arial" w:hAnsi="Arial" w:cs="Arial"/>
          <w:sz w:val="20"/>
          <w:szCs w:val="20"/>
        </w:rPr>
        <w:t>treated and placebo groups.</w:t>
      </w:r>
      <w:r w:rsidR="001C7C3C">
        <w:rPr>
          <w:rFonts w:ascii="Arial" w:hAnsi="Arial" w:cs="Arial"/>
          <w:sz w:val="20"/>
          <w:szCs w:val="20"/>
        </w:rPr>
        <w:t xml:space="preserve"> </w:t>
      </w:r>
      <w:r w:rsidR="001C7C3C" w:rsidRPr="001C7C3C">
        <w:rPr>
          <w:rFonts w:ascii="Arial" w:hAnsi="Arial" w:cs="Arial"/>
          <w:sz w:val="20"/>
          <w:szCs w:val="20"/>
        </w:rPr>
        <w:t xml:space="preserve">For the primary endpoint, the LSMD between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1C7C3C" w:rsidRPr="001C7C3C">
        <w:rPr>
          <w:rFonts w:ascii="Arial" w:hAnsi="Arial" w:cs="Arial"/>
          <w:sz w:val="20"/>
          <w:szCs w:val="20"/>
        </w:rPr>
        <w:t xml:space="preserve">and placebo </w:t>
      </w:r>
      <w:r w:rsidR="001C7C3C" w:rsidRPr="001C7C3C">
        <w:rPr>
          <w:rFonts w:ascii="Arial" w:hAnsi="Arial" w:cs="Arial"/>
          <w:sz w:val="20"/>
          <w:szCs w:val="20"/>
        </w:rPr>
        <w:lastRenderedPageBreak/>
        <w:t>was</w:t>
      </w:r>
      <w:r w:rsidR="00EE46D7">
        <w:rPr>
          <w:rFonts w:ascii="Arial" w:hAnsi="Arial" w:cs="Arial"/>
          <w:sz w:val="20"/>
          <w:szCs w:val="20"/>
        </w:rPr>
        <w:t xml:space="preserve"> -0.95 (95% CI, -1.42 to -0.49;</w:t>
      </w:r>
      <w:r w:rsidR="001C7C3C">
        <w:rPr>
          <w:rFonts w:ascii="Arial" w:hAnsi="Arial" w:cs="Arial"/>
          <w:sz w:val="20"/>
          <w:szCs w:val="20"/>
        </w:rPr>
        <w:t xml:space="preserve"> P&lt;0.001), in favor of treatment with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w:t>
      </w:r>
      <w:r w:rsidR="001C7C3C">
        <w:rPr>
          <w:rFonts w:ascii="Arial" w:hAnsi="Arial" w:cs="Arial"/>
          <w:sz w:val="20"/>
          <w:szCs w:val="20"/>
        </w:rPr>
        <w:t>. O</w:t>
      </w:r>
      <w:r w:rsidR="00EE46D7">
        <w:rPr>
          <w:rFonts w:ascii="Arial" w:hAnsi="Arial" w:cs="Arial"/>
          <w:sz w:val="20"/>
          <w:szCs w:val="20"/>
        </w:rPr>
        <w:t>f</w:t>
      </w:r>
      <w:r w:rsidR="001C7C3C">
        <w:rPr>
          <w:rFonts w:ascii="Arial" w:hAnsi="Arial" w:cs="Arial"/>
          <w:sz w:val="20"/>
          <w:szCs w:val="20"/>
        </w:rPr>
        <w:t xml:space="preserve"> note, the mean (SD) change from baseline to week 12 of the double-blind treatment phase for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sidR="001C7C3C">
        <w:rPr>
          <w:rFonts w:ascii="Arial" w:hAnsi="Arial" w:cs="Arial"/>
          <w:sz w:val="20"/>
          <w:szCs w:val="20"/>
        </w:rPr>
        <w:t>was 0.28 (2.04), indicating that pain worsened over the course of treatment, but to a lesser extent than with placebo (1.30[2.43]). Second</w:t>
      </w:r>
      <w:r w:rsidR="00D63D21">
        <w:rPr>
          <w:rFonts w:ascii="Arial" w:hAnsi="Arial" w:cs="Arial"/>
          <w:sz w:val="20"/>
          <w:szCs w:val="20"/>
        </w:rPr>
        <w:t>ary endpoints evaluated include</w:t>
      </w:r>
      <w:r w:rsidR="001C7C3C">
        <w:rPr>
          <w:rFonts w:ascii="Arial" w:hAnsi="Arial" w:cs="Arial"/>
          <w:sz w:val="20"/>
          <w:szCs w:val="20"/>
        </w:rPr>
        <w:t xml:space="preserve"> </w:t>
      </w:r>
      <w:r w:rsidR="00D63D21" w:rsidRPr="00D63D21">
        <w:rPr>
          <w:rFonts w:ascii="Arial" w:hAnsi="Arial" w:cs="Arial"/>
          <w:sz w:val="20"/>
          <w:szCs w:val="20"/>
        </w:rPr>
        <w:t>the proportion of patients that responded with ≥ 30% and ≥ 50% reduction in pain intensity at week 12 of the</w:t>
      </w:r>
      <w:r w:rsidR="00D63D21">
        <w:rPr>
          <w:rFonts w:ascii="Arial" w:hAnsi="Arial" w:cs="Arial"/>
          <w:sz w:val="20"/>
          <w:szCs w:val="20"/>
        </w:rPr>
        <w:t xml:space="preserve"> double-blind treatment phase, PGIC at the end of the double-blind treatment phase and changes from baseline to the end of the double-blind treatment phase on the BPI-SF, Neuropathic Pain Symptom Inventory (NPSI), SF-36 and EQ-5D.</w:t>
      </w:r>
      <w:r w:rsidR="00CE0D6E">
        <w:rPr>
          <w:rFonts w:ascii="Arial" w:hAnsi="Arial" w:cs="Arial"/>
          <w:sz w:val="20"/>
          <w:szCs w:val="20"/>
          <w:vertAlign w:val="superscript"/>
        </w:rPr>
        <w:t>8</w:t>
      </w:r>
    </w:p>
    <w:p w14:paraId="33439DB9" w14:textId="77777777" w:rsidR="000775E6" w:rsidRDefault="000775E6" w:rsidP="00FD63AA">
      <w:pPr>
        <w:spacing w:after="0" w:line="240" w:lineRule="auto"/>
        <w:rPr>
          <w:rFonts w:ascii="Arial" w:hAnsi="Arial" w:cs="Arial"/>
          <w:sz w:val="20"/>
          <w:szCs w:val="20"/>
        </w:rPr>
      </w:pPr>
    </w:p>
    <w:p w14:paraId="44069B86" w14:textId="1A39B399" w:rsidR="000775E6" w:rsidRPr="00035652" w:rsidRDefault="00957BE5" w:rsidP="00FD63AA">
      <w:pPr>
        <w:spacing w:after="0" w:line="240" w:lineRule="auto"/>
        <w:rPr>
          <w:rFonts w:ascii="Arial" w:hAnsi="Arial" w:cs="Arial"/>
          <w:sz w:val="20"/>
          <w:szCs w:val="20"/>
        </w:rPr>
      </w:pPr>
      <w:r>
        <w:rPr>
          <w:rFonts w:ascii="Arial" w:hAnsi="Arial" w:cs="Arial"/>
          <w:sz w:val="20"/>
          <w:szCs w:val="20"/>
        </w:rPr>
        <w:t>An open-label, active-controlled</w:t>
      </w:r>
      <w:r w:rsidR="00D8224A">
        <w:rPr>
          <w:rFonts w:ascii="Arial" w:hAnsi="Arial" w:cs="Arial"/>
          <w:sz w:val="20"/>
          <w:szCs w:val="20"/>
        </w:rPr>
        <w:t>,</w:t>
      </w:r>
      <w:r>
        <w:rPr>
          <w:rFonts w:ascii="Arial" w:hAnsi="Arial" w:cs="Arial"/>
          <w:sz w:val="20"/>
          <w:szCs w:val="20"/>
        </w:rPr>
        <w:t xml:space="preserve"> long-term study assessed the safety and tolerability of treatment with </w:t>
      </w:r>
      <w:r w:rsidR="00EE46D7" w:rsidRPr="00EE46D7">
        <w:rPr>
          <w:rFonts w:ascii="Arial" w:hAnsi="Arial" w:cs="Arial"/>
          <w:sz w:val="20"/>
          <w:szCs w:val="20"/>
        </w:rPr>
        <w:t>Nucynta ER</w:t>
      </w:r>
      <w:r w:rsidR="00EE46D7" w:rsidRPr="00EE46D7">
        <w:rPr>
          <w:rFonts w:ascii="Arial" w:hAnsi="Arial" w:cs="Arial"/>
          <w:sz w:val="20"/>
          <w:szCs w:val="20"/>
          <w:vertAlign w:val="superscript"/>
        </w:rPr>
        <w:t>®</w:t>
      </w:r>
      <w:r w:rsidR="00EE46D7" w:rsidRPr="00EE46D7">
        <w:rPr>
          <w:rFonts w:ascii="Arial" w:hAnsi="Arial" w:cs="Arial"/>
          <w:sz w:val="20"/>
          <w:szCs w:val="20"/>
        </w:rPr>
        <w:t xml:space="preserve"> (tapentadol extended-release) </w:t>
      </w:r>
      <w:r>
        <w:rPr>
          <w:rFonts w:ascii="Arial" w:hAnsi="Arial" w:cs="Arial"/>
          <w:sz w:val="20"/>
          <w:szCs w:val="20"/>
        </w:rPr>
        <w:t xml:space="preserve">in patients aged 18 years or older with chronic LBP or OA of the hip or knee. The study was 52 weeks in length, consisting of a one week titration period and a 51-week maintenance period. Patients were randomized in a 4:1 fashion to </w:t>
      </w:r>
      <w:r w:rsidR="00D8224A">
        <w:rPr>
          <w:rFonts w:ascii="Arial" w:hAnsi="Arial" w:cs="Arial"/>
          <w:sz w:val="20"/>
          <w:szCs w:val="20"/>
        </w:rPr>
        <w:t xml:space="preserve">receive treatment with </w:t>
      </w:r>
      <w:r>
        <w:rPr>
          <w:rFonts w:ascii="Arial" w:hAnsi="Arial" w:cs="Arial"/>
          <w:sz w:val="20"/>
          <w:szCs w:val="20"/>
        </w:rPr>
        <w:t xml:space="preserve">either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Pr>
          <w:rFonts w:ascii="Arial" w:hAnsi="Arial" w:cs="Arial"/>
          <w:sz w:val="20"/>
          <w:szCs w:val="20"/>
        </w:rPr>
        <w:t>(n=894) or oxycodone ER (n=223)</w:t>
      </w:r>
      <w:r w:rsidR="00D8224A">
        <w:rPr>
          <w:rFonts w:ascii="Arial" w:hAnsi="Arial" w:cs="Arial"/>
          <w:sz w:val="20"/>
          <w:szCs w:val="20"/>
        </w:rPr>
        <w:t xml:space="preserve">. The percentage of patients that completed the study was 46.2% for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D8224A">
        <w:rPr>
          <w:rFonts w:ascii="Arial" w:hAnsi="Arial" w:cs="Arial"/>
          <w:sz w:val="20"/>
          <w:szCs w:val="20"/>
        </w:rPr>
        <w:t xml:space="preserve">and 35.0% for oxycodone ER. The most common reason for discontinuing study medication was adverse events in both the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D8224A">
        <w:rPr>
          <w:rFonts w:ascii="Arial" w:hAnsi="Arial" w:cs="Arial"/>
          <w:sz w:val="20"/>
          <w:szCs w:val="20"/>
        </w:rPr>
        <w:t xml:space="preserve">and oxycodone ER groups with 22.7% and 36.8% of patients discontinuing treatment, respectively. The time to discontinuing treatment was significantly longer for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D8224A">
        <w:rPr>
          <w:rFonts w:ascii="Arial" w:hAnsi="Arial" w:cs="Arial"/>
          <w:sz w:val="20"/>
          <w:szCs w:val="20"/>
        </w:rPr>
        <w:t xml:space="preserve">compared to oxycodone ER (P&lt;0.001). </w:t>
      </w:r>
      <w:r w:rsidR="00213008">
        <w:rPr>
          <w:rFonts w:ascii="Arial" w:hAnsi="Arial" w:cs="Arial"/>
          <w:sz w:val="20"/>
          <w:szCs w:val="20"/>
        </w:rPr>
        <w:t xml:space="preserve">The incidence of treatment emergent adverse events that lead to study discontinuation was lower in the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213008">
        <w:rPr>
          <w:rFonts w:ascii="Arial" w:hAnsi="Arial" w:cs="Arial"/>
          <w:sz w:val="20"/>
          <w:szCs w:val="20"/>
        </w:rPr>
        <w:t xml:space="preserve">group compared to the oxycodone ER group for nausea, constipation, dizziness, vomiting, fatigue, somnolence and pruritus. A lower proportion of patients discontinued treatment due to lack of efficacy in the oxycodone ER group compared to the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213008">
        <w:rPr>
          <w:rFonts w:ascii="Arial" w:hAnsi="Arial" w:cs="Arial"/>
          <w:sz w:val="20"/>
          <w:szCs w:val="20"/>
        </w:rPr>
        <w:t>group (3.1% compared to 8.1%, respectively).</w:t>
      </w:r>
      <w:r w:rsidR="00D94751">
        <w:rPr>
          <w:rFonts w:ascii="Arial" w:hAnsi="Arial" w:cs="Arial"/>
          <w:sz w:val="20"/>
          <w:szCs w:val="20"/>
        </w:rPr>
        <w:t xml:space="preserve"> There were no deaths reported during the study.</w:t>
      </w:r>
      <w:r w:rsidR="00CE0D6E">
        <w:rPr>
          <w:rFonts w:ascii="Arial" w:hAnsi="Arial" w:cs="Arial"/>
          <w:sz w:val="20"/>
          <w:szCs w:val="20"/>
          <w:vertAlign w:val="superscript"/>
        </w:rPr>
        <w:t>9</w:t>
      </w:r>
      <w:r w:rsidR="00035652">
        <w:rPr>
          <w:rFonts w:ascii="Arial" w:hAnsi="Arial" w:cs="Arial"/>
          <w:sz w:val="20"/>
          <w:szCs w:val="20"/>
        </w:rPr>
        <w:t xml:space="preserve"> A one year extension study of the long-term safety and tolerability study, the LBP study and the OA study in 1,154 patients revealed comparable results, and authors concluded that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035652">
        <w:rPr>
          <w:rFonts w:ascii="Arial" w:hAnsi="Arial" w:cs="Arial"/>
          <w:sz w:val="20"/>
          <w:szCs w:val="20"/>
        </w:rPr>
        <w:t>was well tolerated and effective for chronic OA or LBP over up to two years of treatment.</w:t>
      </w:r>
      <w:r w:rsidR="00CE0D6E">
        <w:rPr>
          <w:rFonts w:ascii="Arial" w:hAnsi="Arial" w:cs="Arial"/>
          <w:sz w:val="20"/>
          <w:szCs w:val="20"/>
          <w:vertAlign w:val="superscript"/>
        </w:rPr>
        <w:t>10</w:t>
      </w:r>
    </w:p>
    <w:p w14:paraId="4E6FDB35" w14:textId="77777777" w:rsidR="00213008" w:rsidRDefault="00213008" w:rsidP="00FD63AA">
      <w:pPr>
        <w:spacing w:after="0" w:line="240" w:lineRule="auto"/>
        <w:rPr>
          <w:rFonts w:ascii="Arial" w:hAnsi="Arial" w:cs="Arial"/>
          <w:sz w:val="20"/>
          <w:szCs w:val="20"/>
        </w:rPr>
      </w:pPr>
    </w:p>
    <w:p w14:paraId="0E27318F" w14:textId="24785F72" w:rsidR="00D94751" w:rsidRDefault="00F865DF" w:rsidP="00FD63AA">
      <w:pPr>
        <w:spacing w:after="0" w:line="240" w:lineRule="auto"/>
        <w:rPr>
          <w:rFonts w:ascii="Arial" w:hAnsi="Arial" w:cs="Arial"/>
          <w:sz w:val="20"/>
          <w:szCs w:val="20"/>
        </w:rPr>
      </w:pPr>
      <w:r>
        <w:rPr>
          <w:rFonts w:ascii="Arial" w:hAnsi="Arial" w:cs="Arial"/>
          <w:sz w:val="20"/>
          <w:szCs w:val="20"/>
        </w:rPr>
        <w:t xml:space="preserve">A randomized, double-blind, multicenter, active-controlled, phase III clinical trial </w:t>
      </w:r>
      <w:r w:rsidR="00745568">
        <w:rPr>
          <w:rFonts w:ascii="Arial" w:hAnsi="Arial" w:cs="Arial"/>
          <w:sz w:val="20"/>
          <w:szCs w:val="20"/>
        </w:rPr>
        <w:t xml:space="preserve">evaluated the safety and efficacy of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745568">
        <w:rPr>
          <w:rFonts w:ascii="Arial" w:hAnsi="Arial" w:cs="Arial"/>
          <w:sz w:val="20"/>
          <w:szCs w:val="20"/>
        </w:rPr>
        <w:t xml:space="preserve">compared to oxycodone ER in 343 patients aged 20 years or older with chronic cancer-related pain (CCP). The trial was four weeks in length, excluding one week screening and post-treatment periods. Patients were randomized in a 1:1 fashion to receive treatment with either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1E7ED1">
        <w:rPr>
          <w:rFonts w:ascii="Arial" w:hAnsi="Arial" w:cs="Arial"/>
          <w:sz w:val="20"/>
          <w:szCs w:val="20"/>
        </w:rPr>
        <w:t xml:space="preserve">dosed 25 mg to 200 mg twice daily </w:t>
      </w:r>
      <w:r w:rsidR="00745568">
        <w:rPr>
          <w:rFonts w:ascii="Arial" w:hAnsi="Arial" w:cs="Arial"/>
          <w:sz w:val="20"/>
          <w:szCs w:val="20"/>
        </w:rPr>
        <w:t>(n=168</w:t>
      </w:r>
      <w:r w:rsidR="001E7ED1">
        <w:rPr>
          <w:rFonts w:ascii="Arial" w:hAnsi="Arial" w:cs="Arial"/>
          <w:sz w:val="20"/>
          <w:szCs w:val="20"/>
        </w:rPr>
        <w:t xml:space="preserve">) or oxycodone ER 5 mg to 40 mg twice daily (n=172). The primary endpoint evaluated was mean change in average pain intensity from baseline to the last three days of study drug administration. Per protocol analysis was used for all efficacy endpoints. For the primary endpoint, the LSMD between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1E7ED1">
        <w:rPr>
          <w:rFonts w:ascii="Arial" w:hAnsi="Arial" w:cs="Arial"/>
          <w:sz w:val="20"/>
          <w:szCs w:val="20"/>
        </w:rPr>
        <w:t xml:space="preserve">and oxycodone ER was -0.06 (95% CI, -0.506 to 0.383), indicating treatment with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1E7ED1">
        <w:rPr>
          <w:rFonts w:ascii="Arial" w:hAnsi="Arial" w:cs="Arial"/>
          <w:sz w:val="20"/>
          <w:szCs w:val="20"/>
        </w:rPr>
        <w:t xml:space="preserve">was non-inferior to oxycodone ER. Secondary endpoints evaluated include </w:t>
      </w:r>
      <w:r w:rsidR="001E7ED1" w:rsidRPr="001E7ED1">
        <w:rPr>
          <w:rFonts w:ascii="Arial" w:hAnsi="Arial" w:cs="Arial"/>
          <w:sz w:val="20"/>
          <w:szCs w:val="20"/>
        </w:rPr>
        <w:t>the proportion of patients that responded with ≥ 30% and ≥ 50% reduction in pain intensity</w:t>
      </w:r>
      <w:r w:rsidR="001E7ED1">
        <w:rPr>
          <w:rFonts w:ascii="Arial" w:hAnsi="Arial" w:cs="Arial"/>
          <w:sz w:val="20"/>
          <w:szCs w:val="20"/>
        </w:rPr>
        <w:t xml:space="preserve"> from baseline during the last</w:t>
      </w:r>
      <w:r w:rsidR="00977383">
        <w:rPr>
          <w:rFonts w:ascii="Arial" w:hAnsi="Arial" w:cs="Arial"/>
          <w:sz w:val="20"/>
          <w:szCs w:val="20"/>
        </w:rPr>
        <w:t xml:space="preserve"> three days of treatment, PGIC and rescue medication used.</w:t>
      </w:r>
      <w:r w:rsidR="00CE0D6E">
        <w:rPr>
          <w:rFonts w:ascii="Arial" w:hAnsi="Arial" w:cs="Arial"/>
          <w:sz w:val="20"/>
          <w:szCs w:val="20"/>
          <w:vertAlign w:val="superscript"/>
        </w:rPr>
        <w:t>11</w:t>
      </w:r>
      <w:r w:rsidR="00977383">
        <w:rPr>
          <w:rFonts w:ascii="Arial" w:hAnsi="Arial" w:cs="Arial"/>
          <w:sz w:val="20"/>
          <w:szCs w:val="20"/>
        </w:rPr>
        <w:t xml:space="preserve"> In addition to this CCP study, results of an open-label trial in CCP patients suggest that conversion from morphine ER to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977383">
        <w:rPr>
          <w:rFonts w:ascii="Arial" w:hAnsi="Arial" w:cs="Arial"/>
          <w:sz w:val="20"/>
          <w:szCs w:val="20"/>
        </w:rPr>
        <w:t xml:space="preserve">is relatively safe and effective with improved gastrointestinal tolerability for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977383">
        <w:rPr>
          <w:rFonts w:ascii="Arial" w:hAnsi="Arial" w:cs="Arial"/>
          <w:sz w:val="20"/>
          <w:szCs w:val="20"/>
        </w:rPr>
        <w:t>compared to morphine ER.</w:t>
      </w:r>
      <w:r w:rsidR="00CE0D6E">
        <w:rPr>
          <w:rFonts w:ascii="Arial" w:hAnsi="Arial" w:cs="Arial"/>
          <w:sz w:val="20"/>
          <w:szCs w:val="20"/>
          <w:vertAlign w:val="superscript"/>
        </w:rPr>
        <w:t>12</w:t>
      </w:r>
    </w:p>
    <w:p w14:paraId="1FC213DF" w14:textId="77777777" w:rsidR="00977383" w:rsidRDefault="00977383" w:rsidP="00FD63AA">
      <w:pPr>
        <w:spacing w:after="0" w:line="240" w:lineRule="auto"/>
        <w:rPr>
          <w:rFonts w:ascii="Arial" w:hAnsi="Arial" w:cs="Arial"/>
          <w:sz w:val="20"/>
          <w:szCs w:val="20"/>
        </w:rPr>
      </w:pPr>
    </w:p>
    <w:p w14:paraId="73811F7C" w14:textId="3C102186" w:rsidR="00977383" w:rsidRDefault="009A4BD0" w:rsidP="00FD63AA">
      <w:pPr>
        <w:spacing w:after="0" w:line="240" w:lineRule="auto"/>
        <w:rPr>
          <w:rFonts w:ascii="Arial" w:hAnsi="Arial" w:cs="Arial"/>
          <w:sz w:val="20"/>
          <w:szCs w:val="20"/>
        </w:rPr>
      </w:pPr>
      <w:r w:rsidRPr="002E312F">
        <w:rPr>
          <w:rFonts w:ascii="Arial" w:hAnsi="Arial" w:cs="Arial"/>
          <w:sz w:val="20"/>
          <w:szCs w:val="20"/>
        </w:rPr>
        <w:t>Nucynta ER</w:t>
      </w:r>
      <w:r w:rsidRPr="002E312F">
        <w:rPr>
          <w:rFonts w:ascii="Arial" w:hAnsi="Arial" w:cs="Arial"/>
          <w:sz w:val="20"/>
          <w:szCs w:val="20"/>
          <w:vertAlign w:val="superscript"/>
        </w:rPr>
        <w:t>®</w:t>
      </w:r>
      <w:r w:rsidRPr="002E312F">
        <w:rPr>
          <w:rFonts w:ascii="Arial" w:hAnsi="Arial" w:cs="Arial"/>
          <w:sz w:val="20"/>
          <w:szCs w:val="20"/>
        </w:rPr>
        <w:t xml:space="preserve"> (tapentadol extended-release)</w:t>
      </w:r>
      <w:r>
        <w:rPr>
          <w:rFonts w:ascii="Arial" w:hAnsi="Arial" w:cs="Arial"/>
          <w:sz w:val="20"/>
          <w:szCs w:val="20"/>
        </w:rPr>
        <w:t xml:space="preserve"> is not approved as an abuse-deterrent formulation</w:t>
      </w:r>
      <w:r w:rsidR="00027B40">
        <w:rPr>
          <w:rFonts w:ascii="Arial" w:hAnsi="Arial" w:cs="Arial"/>
          <w:sz w:val="20"/>
          <w:szCs w:val="20"/>
        </w:rPr>
        <w:t xml:space="preserve"> (ADF)</w:t>
      </w:r>
      <w:r>
        <w:rPr>
          <w:rFonts w:ascii="Arial" w:hAnsi="Arial" w:cs="Arial"/>
          <w:sz w:val="20"/>
          <w:szCs w:val="20"/>
        </w:rPr>
        <w:t xml:space="preserve"> by the FDA; however, </w:t>
      </w:r>
      <w:r>
        <w:rPr>
          <w:rFonts w:ascii="Arial" w:hAnsi="Arial" w:cs="Arial"/>
          <w:i/>
          <w:sz w:val="20"/>
          <w:szCs w:val="20"/>
        </w:rPr>
        <w:t>in vitro</w:t>
      </w:r>
      <w:r>
        <w:rPr>
          <w:rFonts w:ascii="Arial" w:hAnsi="Arial" w:cs="Arial"/>
          <w:sz w:val="20"/>
          <w:szCs w:val="20"/>
        </w:rPr>
        <w:t xml:space="preserve"> laboratory manipulation studies and clinical abuse potential studies have been performed.</w:t>
      </w:r>
      <w:r>
        <w:rPr>
          <w:rFonts w:ascii="Arial" w:hAnsi="Arial" w:cs="Arial"/>
          <w:sz w:val="20"/>
          <w:szCs w:val="20"/>
          <w:vertAlign w:val="superscript"/>
        </w:rPr>
        <w:t>1,2,</w:t>
      </w:r>
      <w:r w:rsidR="00CE0D6E">
        <w:rPr>
          <w:rFonts w:ascii="Arial" w:hAnsi="Arial" w:cs="Arial"/>
          <w:sz w:val="20"/>
          <w:szCs w:val="20"/>
          <w:vertAlign w:val="superscript"/>
        </w:rPr>
        <w:t>13</w:t>
      </w:r>
      <w:r w:rsidR="00815C1B">
        <w:rPr>
          <w:rFonts w:ascii="Arial" w:hAnsi="Arial" w:cs="Arial"/>
          <w:sz w:val="20"/>
          <w:szCs w:val="20"/>
          <w:vertAlign w:val="superscript"/>
        </w:rPr>
        <w:t>,</w:t>
      </w:r>
      <w:r w:rsidR="006C5100">
        <w:rPr>
          <w:rFonts w:ascii="Arial" w:hAnsi="Arial" w:cs="Arial"/>
          <w:sz w:val="20"/>
          <w:szCs w:val="20"/>
          <w:vertAlign w:val="superscript"/>
        </w:rPr>
        <w:t>14</w:t>
      </w:r>
      <w:r>
        <w:rPr>
          <w:rFonts w:ascii="Arial" w:hAnsi="Arial" w:cs="Arial"/>
          <w:sz w:val="20"/>
          <w:szCs w:val="20"/>
        </w:rPr>
        <w:t xml:space="preserve"> An </w:t>
      </w:r>
      <w:r>
        <w:rPr>
          <w:rFonts w:ascii="Arial" w:hAnsi="Arial" w:cs="Arial"/>
          <w:i/>
          <w:sz w:val="20"/>
          <w:szCs w:val="20"/>
        </w:rPr>
        <w:t>in vitro</w:t>
      </w:r>
      <w:r>
        <w:rPr>
          <w:rFonts w:ascii="Arial" w:hAnsi="Arial" w:cs="Arial"/>
          <w:sz w:val="20"/>
          <w:szCs w:val="20"/>
        </w:rPr>
        <w:t xml:space="preserve"> laboratory manipulation study revealed that </w:t>
      </w:r>
      <w:r w:rsidRPr="002E312F">
        <w:rPr>
          <w:rFonts w:ascii="Arial" w:hAnsi="Arial" w:cs="Arial"/>
          <w:sz w:val="20"/>
          <w:szCs w:val="20"/>
        </w:rPr>
        <w:t>Nucynta ER</w:t>
      </w:r>
      <w:r w:rsidRPr="002E312F">
        <w:rPr>
          <w:rFonts w:ascii="Arial" w:hAnsi="Arial" w:cs="Arial"/>
          <w:sz w:val="20"/>
          <w:szCs w:val="20"/>
          <w:vertAlign w:val="superscript"/>
        </w:rPr>
        <w:t>®</w:t>
      </w:r>
      <w:r w:rsidRPr="002E312F">
        <w:rPr>
          <w:rFonts w:ascii="Arial" w:hAnsi="Arial" w:cs="Arial"/>
          <w:sz w:val="20"/>
          <w:szCs w:val="20"/>
        </w:rPr>
        <w:t xml:space="preserve"> (tapentadol extended-release)</w:t>
      </w:r>
      <w:r>
        <w:rPr>
          <w:rFonts w:ascii="Arial" w:hAnsi="Arial" w:cs="Arial"/>
          <w:sz w:val="20"/>
          <w:szCs w:val="20"/>
        </w:rPr>
        <w:t xml:space="preserve"> tablets were not able to be deformed by using two metal spoons, pill crusher use resulted in minimal deformation, use of a standard pharmacopeia breaking force tester resulted in slight deformation and use of a hammer flattened tablets without pulverization or breakage. </w:t>
      </w:r>
      <w:r w:rsidR="00815C1B">
        <w:rPr>
          <w:rFonts w:ascii="Arial" w:hAnsi="Arial" w:cs="Arial"/>
          <w:sz w:val="20"/>
          <w:szCs w:val="20"/>
        </w:rPr>
        <w:t xml:space="preserve">Tablets tampered with spoons, a pill crusher and breaking force tester were found to have similar release profiles; however, tablets flattened by hammering released tapentadol faster with 30% of tapentadol released after 30 </w:t>
      </w:r>
      <w:r w:rsidR="00815C1B">
        <w:rPr>
          <w:rFonts w:ascii="Arial" w:hAnsi="Arial" w:cs="Arial"/>
          <w:sz w:val="20"/>
          <w:szCs w:val="20"/>
        </w:rPr>
        <w:lastRenderedPageBreak/>
        <w:t xml:space="preserve">minutes. Similarly, intact tablets resisted extraction in solvents, but tablets flattened by hammering allowed for &gt; 50% of tapentadol to be released over an extended period of time with vigorous shaking. The </w:t>
      </w:r>
      <w:r w:rsidR="00815C1B">
        <w:rPr>
          <w:rFonts w:ascii="Arial" w:hAnsi="Arial" w:cs="Arial"/>
          <w:i/>
          <w:sz w:val="20"/>
          <w:szCs w:val="20"/>
        </w:rPr>
        <w:t>in vitro</w:t>
      </w:r>
      <w:r w:rsidR="00815C1B">
        <w:rPr>
          <w:rFonts w:ascii="Arial" w:hAnsi="Arial" w:cs="Arial"/>
          <w:sz w:val="20"/>
          <w:szCs w:val="20"/>
        </w:rPr>
        <w:t xml:space="preserve"> manipulation study did not mention any attempt to tamper with the tablets via use of a grinding apparatus.</w:t>
      </w:r>
      <w:r w:rsidR="00CE0D6E">
        <w:rPr>
          <w:rFonts w:ascii="Arial" w:hAnsi="Arial" w:cs="Arial"/>
          <w:sz w:val="20"/>
          <w:szCs w:val="20"/>
          <w:vertAlign w:val="superscript"/>
        </w:rPr>
        <w:t>13</w:t>
      </w:r>
      <w:r w:rsidR="00815C1B">
        <w:rPr>
          <w:rFonts w:ascii="Arial" w:hAnsi="Arial" w:cs="Arial"/>
          <w:sz w:val="20"/>
          <w:szCs w:val="20"/>
        </w:rPr>
        <w:t xml:space="preserve"> </w:t>
      </w:r>
    </w:p>
    <w:p w14:paraId="188C7922" w14:textId="77777777" w:rsidR="00815C1B" w:rsidRDefault="00815C1B" w:rsidP="00FD63AA">
      <w:pPr>
        <w:spacing w:after="0" w:line="240" w:lineRule="auto"/>
        <w:rPr>
          <w:rFonts w:ascii="Arial" w:hAnsi="Arial" w:cs="Arial"/>
          <w:sz w:val="20"/>
          <w:szCs w:val="20"/>
        </w:rPr>
      </w:pPr>
    </w:p>
    <w:p w14:paraId="56658232" w14:textId="52F2F20F" w:rsidR="00815C1B" w:rsidRPr="00815C1B" w:rsidRDefault="00815C1B" w:rsidP="00FD63AA">
      <w:pPr>
        <w:spacing w:after="0" w:line="240" w:lineRule="auto"/>
        <w:rPr>
          <w:rFonts w:ascii="Arial" w:hAnsi="Arial" w:cs="Arial"/>
          <w:sz w:val="20"/>
          <w:szCs w:val="20"/>
        </w:rPr>
      </w:pPr>
      <w:r>
        <w:rPr>
          <w:rFonts w:ascii="Arial" w:hAnsi="Arial" w:cs="Arial"/>
          <w:sz w:val="20"/>
          <w:szCs w:val="20"/>
        </w:rPr>
        <w:t>Two clinical abuse potential studies were conducted in 25 volunteers that abused oxycodone ER</w:t>
      </w:r>
      <w:r w:rsidR="00E60EE6">
        <w:rPr>
          <w:rFonts w:ascii="Arial" w:hAnsi="Arial" w:cs="Arial"/>
          <w:sz w:val="20"/>
          <w:szCs w:val="20"/>
        </w:rPr>
        <w:t xml:space="preserve"> intranasally or intravenously prior to study enrollment. Study 1 evaluated intranasal abuse and Study 2 evaluated intravenous abuse. Subjects were given approved tools including hammers, razors, lighters, spoons, dollar bills, syringes, cotton and water to use to prepare doses of the study medications. In Study 1, the primary endpoint</w:t>
      </w:r>
      <w:r w:rsidR="00027B40">
        <w:rPr>
          <w:rFonts w:ascii="Arial" w:hAnsi="Arial" w:cs="Arial"/>
          <w:sz w:val="20"/>
          <w:szCs w:val="20"/>
        </w:rPr>
        <w:t xml:space="preserve"> evaluated</w:t>
      </w:r>
      <w:r w:rsidR="00E60EE6">
        <w:rPr>
          <w:rFonts w:ascii="Arial" w:hAnsi="Arial" w:cs="Arial"/>
          <w:sz w:val="20"/>
          <w:szCs w:val="20"/>
        </w:rPr>
        <w:t xml:space="preserve"> was willingness to insufflate the powder made</w:t>
      </w:r>
      <w:r w:rsidR="00027B40">
        <w:rPr>
          <w:rFonts w:ascii="Arial" w:hAnsi="Arial" w:cs="Arial"/>
          <w:sz w:val="20"/>
          <w:szCs w:val="20"/>
        </w:rPr>
        <w:t xml:space="preserve">. For the oxycodone ER 40 mg tablet, 100% of subjects were willing to insufflate the powder they made compared to 24% and 16% for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027B40">
        <w:rPr>
          <w:rFonts w:ascii="Arial" w:hAnsi="Arial" w:cs="Arial"/>
          <w:sz w:val="20"/>
          <w:szCs w:val="20"/>
        </w:rPr>
        <w:t xml:space="preserve">50 mg and 250 mg tablets, respectively. The primary endpoint evaluated in Study 2 was the percent yield of active drug in solution the subjects were able to extract. The mean (SD) percent yield of oxycodone ER 40 mg tablet was </w:t>
      </w:r>
      <w:r w:rsidR="003A3FF0">
        <w:rPr>
          <w:rFonts w:ascii="Arial" w:hAnsi="Arial" w:cs="Arial"/>
          <w:sz w:val="20"/>
          <w:szCs w:val="20"/>
        </w:rPr>
        <w:t xml:space="preserve">significantly higher with </w:t>
      </w:r>
      <w:r w:rsidR="00027B40">
        <w:rPr>
          <w:rFonts w:ascii="Arial" w:hAnsi="Arial" w:cs="Arial"/>
          <w:sz w:val="20"/>
          <w:szCs w:val="20"/>
        </w:rPr>
        <w:t xml:space="preserve">37.02% (16.67%) </w:t>
      </w:r>
      <w:r w:rsidR="003A3FF0">
        <w:rPr>
          <w:rFonts w:ascii="Arial" w:hAnsi="Arial" w:cs="Arial"/>
          <w:sz w:val="20"/>
          <w:szCs w:val="20"/>
        </w:rPr>
        <w:t xml:space="preserve">extracted </w:t>
      </w:r>
      <w:r w:rsidR="00027B40">
        <w:rPr>
          <w:rFonts w:ascii="Arial" w:hAnsi="Arial" w:cs="Arial"/>
          <w:sz w:val="20"/>
          <w:szCs w:val="20"/>
        </w:rPr>
        <w:t xml:space="preserve">compared to 3.52% (2.77%) for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027B40">
        <w:rPr>
          <w:rFonts w:ascii="Arial" w:hAnsi="Arial" w:cs="Arial"/>
          <w:sz w:val="20"/>
          <w:szCs w:val="20"/>
        </w:rPr>
        <w:t xml:space="preserve">50 mg tablets (P=0.008). </w:t>
      </w:r>
      <w:r w:rsidR="003A3FF0">
        <w:rPr>
          <w:rFonts w:ascii="Arial" w:hAnsi="Arial" w:cs="Arial"/>
          <w:sz w:val="20"/>
          <w:szCs w:val="20"/>
        </w:rPr>
        <w:t xml:space="preserve">None of the subjects were able to extract tapentadol from the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3A3FF0">
        <w:rPr>
          <w:rFonts w:ascii="Arial" w:hAnsi="Arial" w:cs="Arial"/>
          <w:sz w:val="20"/>
          <w:szCs w:val="20"/>
        </w:rPr>
        <w:t xml:space="preserve">250 mg tablet as a liquid. Both Study 1 and Study 2 indicated that subjects spent more time tampering with </w:t>
      </w:r>
      <w:r w:rsidR="00C53910" w:rsidRPr="00C53910">
        <w:rPr>
          <w:rFonts w:ascii="Arial" w:hAnsi="Arial" w:cs="Arial"/>
          <w:sz w:val="20"/>
          <w:szCs w:val="20"/>
        </w:rPr>
        <w:t>Nucynta ER</w:t>
      </w:r>
      <w:r w:rsidR="00C53910" w:rsidRPr="00C53910">
        <w:rPr>
          <w:rFonts w:ascii="Arial" w:hAnsi="Arial" w:cs="Arial"/>
          <w:sz w:val="20"/>
          <w:szCs w:val="20"/>
          <w:vertAlign w:val="superscript"/>
        </w:rPr>
        <w:t>®</w:t>
      </w:r>
      <w:r w:rsidR="00C53910" w:rsidRPr="00C53910">
        <w:rPr>
          <w:rFonts w:ascii="Arial" w:hAnsi="Arial" w:cs="Arial"/>
          <w:sz w:val="20"/>
          <w:szCs w:val="20"/>
        </w:rPr>
        <w:t xml:space="preserve"> (tapentadol extended-release) </w:t>
      </w:r>
      <w:r w:rsidR="003A3FF0">
        <w:rPr>
          <w:rFonts w:ascii="Arial" w:hAnsi="Arial" w:cs="Arial"/>
          <w:sz w:val="20"/>
          <w:szCs w:val="20"/>
        </w:rPr>
        <w:t>tablets than oxycodone ER tablets. Of note, the comparator oxycodone ER tablets were not the reformulated oxycodone ER that is currently approved as an ADF.</w:t>
      </w:r>
      <w:r w:rsidR="00DD2FD0">
        <w:rPr>
          <w:rFonts w:ascii="Arial" w:hAnsi="Arial" w:cs="Arial"/>
          <w:sz w:val="20"/>
          <w:szCs w:val="20"/>
          <w:vertAlign w:val="superscript"/>
        </w:rPr>
        <w:t>14</w:t>
      </w:r>
      <w:r w:rsidR="00027B40">
        <w:rPr>
          <w:rFonts w:ascii="Arial" w:hAnsi="Arial" w:cs="Arial"/>
          <w:sz w:val="20"/>
          <w:szCs w:val="20"/>
        </w:rPr>
        <w:t xml:space="preserve"> </w:t>
      </w:r>
    </w:p>
    <w:p w14:paraId="343969C1" w14:textId="77777777" w:rsidR="00213008" w:rsidRPr="00213008" w:rsidRDefault="00213008" w:rsidP="00FD63AA">
      <w:pPr>
        <w:spacing w:after="0" w:line="240" w:lineRule="auto"/>
        <w:rPr>
          <w:rFonts w:ascii="Arial" w:hAnsi="Arial" w:cs="Arial"/>
          <w:sz w:val="20"/>
          <w:szCs w:val="20"/>
        </w:rPr>
      </w:pPr>
    </w:p>
    <w:p w14:paraId="0B9ECAED" w14:textId="77777777" w:rsidR="000775E6" w:rsidRDefault="000775E6" w:rsidP="00FD63AA">
      <w:pPr>
        <w:spacing w:after="0" w:line="240" w:lineRule="auto"/>
        <w:rPr>
          <w:rFonts w:ascii="Arial" w:hAnsi="Arial" w:cs="Arial"/>
          <w:sz w:val="20"/>
          <w:szCs w:val="20"/>
        </w:rPr>
      </w:pPr>
    </w:p>
    <w:p w14:paraId="65DB9081" w14:textId="77777777" w:rsidR="000775E6" w:rsidRPr="000775E6" w:rsidRDefault="000775E6" w:rsidP="00FD63AA">
      <w:pPr>
        <w:spacing w:after="0" w:line="240" w:lineRule="auto"/>
        <w:rPr>
          <w:rFonts w:ascii="Arial" w:hAnsi="Arial" w:cs="Arial"/>
          <w:sz w:val="20"/>
          <w:szCs w:val="20"/>
        </w:rPr>
      </w:pPr>
    </w:p>
    <w:p w14:paraId="3E30D2AD" w14:textId="77777777" w:rsidR="001F656A" w:rsidRDefault="001F656A" w:rsidP="00FD63AA">
      <w:pPr>
        <w:spacing w:after="0" w:line="240" w:lineRule="auto"/>
        <w:rPr>
          <w:rFonts w:ascii="Arial" w:hAnsi="Arial" w:cs="Arial"/>
          <w:sz w:val="20"/>
          <w:szCs w:val="20"/>
        </w:rPr>
      </w:pPr>
    </w:p>
    <w:p w14:paraId="720F1CD3" w14:textId="77777777" w:rsidR="001F656A" w:rsidRPr="001F656A" w:rsidRDefault="001F656A" w:rsidP="00FD63AA">
      <w:pPr>
        <w:spacing w:after="0" w:line="240" w:lineRule="auto"/>
        <w:rPr>
          <w:rFonts w:ascii="Arial" w:hAnsi="Arial" w:cs="Arial"/>
          <w:sz w:val="20"/>
          <w:szCs w:val="20"/>
        </w:rPr>
      </w:pPr>
    </w:p>
    <w:p w14:paraId="37DE6C14" w14:textId="77777777" w:rsidR="00C96864" w:rsidRPr="00C96864" w:rsidRDefault="00C96864" w:rsidP="00FD63AA">
      <w:pPr>
        <w:spacing w:after="0" w:line="240" w:lineRule="auto"/>
        <w:rPr>
          <w:rFonts w:ascii="Arial" w:hAnsi="Arial" w:cs="Arial"/>
          <w:sz w:val="20"/>
          <w:szCs w:val="20"/>
        </w:rPr>
      </w:pPr>
    </w:p>
    <w:p w14:paraId="6AE51D32" w14:textId="77777777" w:rsidR="00FD63AA" w:rsidRPr="00FD63AA" w:rsidRDefault="00FD63AA" w:rsidP="00FD63AA">
      <w:pPr>
        <w:spacing w:after="0" w:line="240" w:lineRule="auto"/>
        <w:rPr>
          <w:rFonts w:ascii="Arial" w:hAnsi="Arial" w:cs="Arial"/>
          <w:sz w:val="20"/>
          <w:szCs w:val="20"/>
        </w:rPr>
      </w:pPr>
    </w:p>
    <w:p w14:paraId="729DF083" w14:textId="77777777" w:rsidR="00201C3C" w:rsidRDefault="00201C3C" w:rsidP="00201C3C"/>
    <w:p w14:paraId="3020BA6A" w14:textId="77777777" w:rsidR="00201C3C" w:rsidRPr="00201C3C" w:rsidRDefault="00201C3C" w:rsidP="00201C3C">
      <w:pPr>
        <w:sectPr w:rsidR="00201C3C" w:rsidRPr="00201C3C" w:rsidSect="008A4984">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729C52D7" w14:textId="7E9C244D" w:rsidR="001C2825" w:rsidRPr="0044122B" w:rsidRDefault="00150F67" w:rsidP="004920E8">
      <w:pPr>
        <w:pStyle w:val="NoSpacing"/>
        <w:ind w:left="-770"/>
        <w:rPr>
          <w:rFonts w:ascii="Arial" w:hAnsi="Arial" w:cs="Arial"/>
          <w:b/>
          <w:sz w:val="20"/>
          <w:szCs w:val="20"/>
        </w:rPr>
      </w:pPr>
      <w:r w:rsidRPr="0044122B">
        <w:rPr>
          <w:rFonts w:ascii="Arial" w:hAnsi="Arial" w:cs="Arial"/>
          <w:b/>
          <w:sz w:val="20"/>
          <w:szCs w:val="20"/>
        </w:rPr>
        <w:lastRenderedPageBreak/>
        <w:t xml:space="preserve">Table </w:t>
      </w:r>
      <w:r w:rsidR="004F27CC">
        <w:rPr>
          <w:rFonts w:ascii="Arial" w:hAnsi="Arial" w:cs="Arial"/>
          <w:b/>
          <w:sz w:val="20"/>
          <w:szCs w:val="20"/>
        </w:rPr>
        <w:t>2</w:t>
      </w:r>
      <w:r w:rsidRPr="0044122B">
        <w:rPr>
          <w:rFonts w:ascii="Arial" w:hAnsi="Arial" w:cs="Arial"/>
          <w:b/>
          <w:sz w:val="20"/>
          <w:szCs w:val="20"/>
        </w:rPr>
        <w:t>. Clinical Trials</w:t>
      </w:r>
      <w:r w:rsidR="007A0812">
        <w:rPr>
          <w:rFonts w:ascii="Arial" w:hAnsi="Arial" w:cs="Arial"/>
          <w:b/>
          <w:sz w:val="20"/>
          <w:szCs w:val="20"/>
          <w:vertAlign w:val="superscript"/>
        </w:rPr>
        <w:t>5-8</w:t>
      </w:r>
      <w:proofErr w:type="gramStart"/>
      <w:r w:rsidR="007A0812">
        <w:rPr>
          <w:rFonts w:ascii="Arial" w:hAnsi="Arial" w:cs="Arial"/>
          <w:b/>
          <w:sz w:val="20"/>
          <w:szCs w:val="20"/>
          <w:vertAlign w:val="superscript"/>
        </w:rPr>
        <w:t>,11</w:t>
      </w:r>
      <w:r w:rsidR="008C498F">
        <w:rPr>
          <w:rFonts w:ascii="Arial" w:hAnsi="Arial" w:cs="Arial"/>
          <w:b/>
          <w:sz w:val="20"/>
          <w:szCs w:val="20"/>
          <w:vertAlign w:val="superscript"/>
        </w:rPr>
        <w:t>,14</w:t>
      </w:r>
      <w:proofErr w:type="gramEnd"/>
      <w:r w:rsidRPr="0044122B">
        <w:rPr>
          <w:rFonts w:ascii="Arial" w:hAnsi="Arial" w:cs="Arial"/>
          <w:b/>
          <w:sz w:val="20"/>
          <w:szCs w:val="20"/>
        </w:rPr>
        <w:t xml:space="preserve"> </w:t>
      </w:r>
    </w:p>
    <w:tbl>
      <w:tblPr>
        <w:tblW w:w="13730" w:type="dxa"/>
        <w:tblInd w:w="-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2640"/>
        <w:gridCol w:w="1760"/>
        <w:gridCol w:w="1540"/>
        <w:gridCol w:w="1760"/>
        <w:gridCol w:w="6030"/>
      </w:tblGrid>
      <w:tr w:rsidR="00AE7C5C" w:rsidRPr="0044122B" w14:paraId="5D4074A8" w14:textId="77777777" w:rsidTr="001723DB">
        <w:trPr>
          <w:tblHeader/>
        </w:trPr>
        <w:tc>
          <w:tcPr>
            <w:tcW w:w="2640" w:type="dxa"/>
            <w:shd w:val="clear" w:color="auto" w:fill="C0C0C0"/>
            <w:vAlign w:val="center"/>
          </w:tcPr>
          <w:p w14:paraId="7222F63E" w14:textId="77777777"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Study and Drug Regimen</w:t>
            </w:r>
          </w:p>
        </w:tc>
        <w:tc>
          <w:tcPr>
            <w:tcW w:w="1760" w:type="dxa"/>
            <w:shd w:val="clear" w:color="auto" w:fill="C0C0C0"/>
            <w:vAlign w:val="center"/>
          </w:tcPr>
          <w:p w14:paraId="424D9758" w14:textId="77777777"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Study Design and</w:t>
            </w:r>
          </w:p>
          <w:p w14:paraId="35B3D752" w14:textId="77777777"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Demographics</w:t>
            </w:r>
          </w:p>
        </w:tc>
        <w:tc>
          <w:tcPr>
            <w:tcW w:w="1540" w:type="dxa"/>
            <w:shd w:val="clear" w:color="auto" w:fill="C0C0C0"/>
            <w:vAlign w:val="center"/>
          </w:tcPr>
          <w:p w14:paraId="4F584226" w14:textId="77777777"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Sample Size</w:t>
            </w:r>
          </w:p>
          <w:p w14:paraId="07EE9216" w14:textId="77777777"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and Study Duration</w:t>
            </w:r>
          </w:p>
        </w:tc>
        <w:tc>
          <w:tcPr>
            <w:tcW w:w="1760" w:type="dxa"/>
            <w:shd w:val="clear" w:color="auto" w:fill="C0C0C0"/>
            <w:vAlign w:val="center"/>
          </w:tcPr>
          <w:p w14:paraId="66670725" w14:textId="77777777"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End Points</w:t>
            </w:r>
          </w:p>
        </w:tc>
        <w:tc>
          <w:tcPr>
            <w:tcW w:w="6030" w:type="dxa"/>
            <w:shd w:val="clear" w:color="auto" w:fill="C0C0C0"/>
            <w:vAlign w:val="center"/>
          </w:tcPr>
          <w:p w14:paraId="1989F647" w14:textId="77777777" w:rsidR="00AE7C5C" w:rsidRPr="0044122B" w:rsidRDefault="00AE7C5C" w:rsidP="00D6554F">
            <w:pPr>
              <w:pStyle w:val="NoSpacing"/>
              <w:jc w:val="center"/>
              <w:rPr>
                <w:rFonts w:ascii="Arial" w:hAnsi="Arial" w:cs="Arial"/>
                <w:b/>
                <w:sz w:val="20"/>
                <w:szCs w:val="20"/>
              </w:rPr>
            </w:pPr>
            <w:r w:rsidRPr="0044122B">
              <w:rPr>
                <w:rFonts w:ascii="Arial" w:hAnsi="Arial" w:cs="Arial"/>
                <w:b/>
                <w:sz w:val="20"/>
                <w:szCs w:val="20"/>
              </w:rPr>
              <w:t>Results</w:t>
            </w:r>
          </w:p>
        </w:tc>
      </w:tr>
      <w:tr w:rsidR="006A1DB0" w:rsidRPr="0044122B" w14:paraId="24845D2C" w14:textId="77777777" w:rsidTr="001723DB">
        <w:tc>
          <w:tcPr>
            <w:tcW w:w="2640" w:type="dxa"/>
          </w:tcPr>
          <w:p w14:paraId="5D32A239" w14:textId="19495FDB" w:rsidR="006A1DB0" w:rsidRPr="006A1DB0" w:rsidRDefault="00903FBD" w:rsidP="006A1DB0">
            <w:pPr>
              <w:pStyle w:val="NoSpacing"/>
              <w:rPr>
                <w:rFonts w:ascii="Arial" w:hAnsi="Arial" w:cs="Arial"/>
                <w:sz w:val="20"/>
                <w:szCs w:val="20"/>
              </w:rPr>
            </w:pPr>
            <w:proofErr w:type="spellStart"/>
            <w:r>
              <w:rPr>
                <w:rFonts w:ascii="Arial" w:hAnsi="Arial" w:cs="Arial"/>
                <w:sz w:val="20"/>
                <w:szCs w:val="20"/>
              </w:rPr>
              <w:t>Buynak</w:t>
            </w:r>
            <w:proofErr w:type="spellEnd"/>
            <w:r>
              <w:rPr>
                <w:rFonts w:ascii="Arial" w:hAnsi="Arial" w:cs="Arial"/>
                <w:sz w:val="20"/>
                <w:szCs w:val="20"/>
              </w:rPr>
              <w:t xml:space="preserve"> et al</w:t>
            </w:r>
            <w:r w:rsidR="006A1DB0" w:rsidRPr="006A1DB0">
              <w:rPr>
                <w:rFonts w:ascii="Arial" w:hAnsi="Arial" w:cs="Arial"/>
                <w:sz w:val="20"/>
                <w:szCs w:val="20"/>
                <w:vertAlign w:val="superscript"/>
              </w:rPr>
              <w:t>5</w:t>
            </w:r>
          </w:p>
          <w:p w14:paraId="0C50C491" w14:textId="77777777" w:rsidR="006A1DB0" w:rsidRPr="006A1DB0" w:rsidRDefault="006A1DB0" w:rsidP="006A1DB0">
            <w:pPr>
              <w:pStyle w:val="NoSpacing"/>
              <w:rPr>
                <w:rFonts w:ascii="Arial" w:hAnsi="Arial" w:cs="Arial"/>
                <w:sz w:val="20"/>
                <w:szCs w:val="20"/>
              </w:rPr>
            </w:pPr>
          </w:p>
          <w:p w14:paraId="1191B0FE"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Tapentadol ER 100 mg BID </w:t>
            </w:r>
          </w:p>
          <w:p w14:paraId="1D3FAA3C" w14:textId="77777777" w:rsidR="006A1DB0" w:rsidRPr="006A1DB0" w:rsidRDefault="006A1DB0" w:rsidP="006A1DB0">
            <w:pPr>
              <w:pStyle w:val="NoSpacing"/>
              <w:rPr>
                <w:rFonts w:ascii="Arial" w:hAnsi="Arial" w:cs="Arial"/>
                <w:sz w:val="20"/>
                <w:szCs w:val="20"/>
              </w:rPr>
            </w:pPr>
          </w:p>
          <w:p w14:paraId="2E728ED9"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vs </w:t>
            </w:r>
          </w:p>
          <w:p w14:paraId="7BDEE682" w14:textId="77777777" w:rsidR="006A1DB0" w:rsidRPr="006A1DB0" w:rsidRDefault="006A1DB0" w:rsidP="006A1DB0">
            <w:pPr>
              <w:pStyle w:val="NoSpacing"/>
              <w:rPr>
                <w:rFonts w:ascii="Arial" w:hAnsi="Arial" w:cs="Arial"/>
                <w:sz w:val="20"/>
                <w:szCs w:val="20"/>
              </w:rPr>
            </w:pPr>
          </w:p>
          <w:p w14:paraId="313DF49A"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oxycodone CR 20 mg BID</w:t>
            </w:r>
          </w:p>
          <w:p w14:paraId="30DD76A9" w14:textId="77777777" w:rsidR="006A1DB0" w:rsidRPr="006A1DB0" w:rsidRDefault="006A1DB0" w:rsidP="006A1DB0">
            <w:pPr>
              <w:pStyle w:val="NoSpacing"/>
              <w:rPr>
                <w:rFonts w:ascii="Arial" w:hAnsi="Arial" w:cs="Arial"/>
                <w:sz w:val="20"/>
                <w:szCs w:val="20"/>
              </w:rPr>
            </w:pPr>
          </w:p>
          <w:p w14:paraId="3B1E0C82"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vs </w:t>
            </w:r>
          </w:p>
          <w:p w14:paraId="0AD2AC46" w14:textId="77777777" w:rsidR="006A1DB0" w:rsidRPr="006A1DB0" w:rsidRDefault="006A1DB0" w:rsidP="006A1DB0">
            <w:pPr>
              <w:pStyle w:val="NoSpacing"/>
              <w:rPr>
                <w:rFonts w:ascii="Arial" w:hAnsi="Arial" w:cs="Arial"/>
                <w:sz w:val="20"/>
                <w:szCs w:val="20"/>
              </w:rPr>
            </w:pPr>
          </w:p>
          <w:p w14:paraId="4F27B320"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placebo</w:t>
            </w:r>
          </w:p>
          <w:p w14:paraId="410FA738" w14:textId="77777777" w:rsidR="006A1DB0" w:rsidRPr="006A1DB0" w:rsidRDefault="006A1DB0" w:rsidP="006A1DB0">
            <w:pPr>
              <w:pStyle w:val="NoSpacing"/>
              <w:rPr>
                <w:rFonts w:ascii="Arial" w:hAnsi="Arial" w:cs="Arial"/>
                <w:sz w:val="20"/>
                <w:szCs w:val="20"/>
              </w:rPr>
            </w:pPr>
          </w:p>
          <w:p w14:paraId="108EEBF5" w14:textId="0DF12415" w:rsidR="006A1DB0" w:rsidRPr="006A1DB0" w:rsidRDefault="006A1DB0" w:rsidP="006A1DB0">
            <w:pPr>
              <w:pStyle w:val="NoSpacing"/>
              <w:rPr>
                <w:rFonts w:ascii="Arial" w:hAnsi="Arial" w:cs="Arial"/>
                <w:sz w:val="20"/>
                <w:szCs w:val="20"/>
              </w:rPr>
            </w:pPr>
            <w:r w:rsidRPr="006A1DB0">
              <w:rPr>
                <w:rFonts w:ascii="Arial" w:hAnsi="Arial" w:cs="Arial"/>
                <w:sz w:val="20"/>
                <w:szCs w:val="20"/>
              </w:rPr>
              <w:t>Initial treatment with tapentadol ER 50 mg BID</w:t>
            </w:r>
            <w:r w:rsidR="00C53910">
              <w:rPr>
                <w:rFonts w:ascii="Arial" w:hAnsi="Arial" w:cs="Arial"/>
                <w:sz w:val="20"/>
                <w:szCs w:val="20"/>
              </w:rPr>
              <w:t xml:space="preserve"> or oxycodone CR 10 mg BID for three</w:t>
            </w:r>
            <w:r w:rsidRPr="006A1DB0">
              <w:rPr>
                <w:rFonts w:ascii="Arial" w:hAnsi="Arial" w:cs="Arial"/>
                <w:sz w:val="20"/>
                <w:szCs w:val="20"/>
              </w:rPr>
              <w:t xml:space="preserve"> days; then doses were increased to tapentadol ER 100 mg BID or oxycodone CR 20 mg BID (minimum study doses); at 3-day intervals doses were increased in increments of tapentadol ER 50 mg or oxycodone CR 10 mg (max daily doses: tapentadol ER 250 mg BID or oxycodone CR 50 mg BID). </w:t>
            </w:r>
          </w:p>
          <w:p w14:paraId="55FEDCF6" w14:textId="77777777" w:rsidR="006A1DB0" w:rsidRPr="006A1DB0" w:rsidRDefault="006A1DB0" w:rsidP="006A1DB0">
            <w:pPr>
              <w:pStyle w:val="NoSpacing"/>
              <w:rPr>
                <w:rFonts w:ascii="Arial" w:hAnsi="Arial" w:cs="Arial"/>
                <w:sz w:val="20"/>
                <w:szCs w:val="20"/>
              </w:rPr>
            </w:pPr>
          </w:p>
          <w:p w14:paraId="34D1D185" w14:textId="2E3EC208" w:rsidR="006A1DB0" w:rsidRPr="006A1DB0" w:rsidRDefault="00C53910" w:rsidP="006A1DB0">
            <w:pPr>
              <w:spacing w:after="0" w:line="240" w:lineRule="auto"/>
              <w:rPr>
                <w:rFonts w:ascii="Arial" w:hAnsi="Arial" w:cs="Arial"/>
                <w:sz w:val="20"/>
                <w:szCs w:val="20"/>
              </w:rPr>
            </w:pPr>
            <w:r>
              <w:rPr>
                <w:rFonts w:ascii="Arial" w:hAnsi="Arial" w:cs="Arial"/>
                <w:sz w:val="20"/>
                <w:szCs w:val="20"/>
              </w:rPr>
              <w:t>APAP ≤1,000 mg/day (max of three</w:t>
            </w:r>
            <w:r w:rsidR="006A1DB0" w:rsidRPr="006A1DB0">
              <w:rPr>
                <w:rFonts w:ascii="Arial" w:hAnsi="Arial" w:cs="Arial"/>
                <w:sz w:val="20"/>
                <w:szCs w:val="20"/>
              </w:rPr>
              <w:t xml:space="preserve"> consecutive days) was permitted.</w:t>
            </w:r>
          </w:p>
        </w:tc>
        <w:tc>
          <w:tcPr>
            <w:tcW w:w="1760" w:type="dxa"/>
          </w:tcPr>
          <w:p w14:paraId="2EE91906"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AC, DB, MC, PC, PRO, RCT</w:t>
            </w:r>
          </w:p>
          <w:p w14:paraId="3F71B7B9" w14:textId="77777777" w:rsidR="006A1DB0" w:rsidRPr="006A1DB0" w:rsidRDefault="006A1DB0" w:rsidP="006A1DB0">
            <w:pPr>
              <w:pStyle w:val="NoSpacing"/>
              <w:rPr>
                <w:rFonts w:ascii="Arial" w:hAnsi="Arial" w:cs="Arial"/>
                <w:sz w:val="20"/>
                <w:szCs w:val="20"/>
              </w:rPr>
            </w:pPr>
          </w:p>
          <w:p w14:paraId="57E34936" w14:textId="08A2050F" w:rsidR="006A1DB0" w:rsidRPr="006A1DB0" w:rsidRDefault="006A1DB0" w:rsidP="006A1DB0">
            <w:pPr>
              <w:spacing w:after="0" w:line="240" w:lineRule="auto"/>
              <w:rPr>
                <w:rFonts w:ascii="Arial" w:hAnsi="Arial" w:cs="Arial"/>
                <w:sz w:val="20"/>
                <w:szCs w:val="20"/>
              </w:rPr>
            </w:pPr>
            <w:r w:rsidRPr="006A1DB0">
              <w:rPr>
                <w:rFonts w:ascii="Arial" w:hAnsi="Arial" w:cs="Arial"/>
                <w:sz w:val="20"/>
                <w:szCs w:val="20"/>
              </w:rPr>
              <w:t xml:space="preserve">Patients ≥18 years with a history of non-malignant low back pain for ≥3 months who were dissatisfied with their current treatment, had a baseline pain intensity ≥5 on an 11-point rating scale after washout, and whose previous opioid daily doses, if applicable, were equivalent to ≤160 mg of oral morphine </w:t>
            </w:r>
          </w:p>
        </w:tc>
        <w:tc>
          <w:tcPr>
            <w:tcW w:w="1540" w:type="dxa"/>
          </w:tcPr>
          <w:p w14:paraId="4AA8C38D" w14:textId="77777777" w:rsidR="006A1DB0" w:rsidRPr="006A1DB0" w:rsidRDefault="006A1DB0" w:rsidP="006A1DB0">
            <w:pPr>
              <w:pStyle w:val="NoSpacing"/>
              <w:jc w:val="center"/>
              <w:rPr>
                <w:rFonts w:ascii="Arial" w:hAnsi="Arial" w:cs="Arial"/>
                <w:sz w:val="20"/>
                <w:szCs w:val="20"/>
              </w:rPr>
            </w:pPr>
            <w:r w:rsidRPr="006A1DB0">
              <w:rPr>
                <w:rFonts w:ascii="Arial" w:hAnsi="Arial" w:cs="Arial"/>
                <w:sz w:val="20"/>
                <w:szCs w:val="20"/>
              </w:rPr>
              <w:t>N=981</w:t>
            </w:r>
          </w:p>
          <w:p w14:paraId="4762CD6A" w14:textId="77777777" w:rsidR="006A1DB0" w:rsidRPr="006A1DB0" w:rsidRDefault="006A1DB0" w:rsidP="006A1DB0">
            <w:pPr>
              <w:pStyle w:val="NoSpacing"/>
              <w:jc w:val="center"/>
              <w:rPr>
                <w:rFonts w:ascii="Arial" w:hAnsi="Arial" w:cs="Arial"/>
                <w:sz w:val="20"/>
                <w:szCs w:val="20"/>
              </w:rPr>
            </w:pPr>
          </w:p>
          <w:p w14:paraId="2CB1E9D5" w14:textId="346F4981" w:rsidR="006A1DB0" w:rsidRPr="006A1DB0" w:rsidRDefault="006A1DB0" w:rsidP="006A1DB0">
            <w:pPr>
              <w:spacing w:after="0" w:line="240" w:lineRule="auto"/>
              <w:jc w:val="center"/>
              <w:rPr>
                <w:rFonts w:ascii="Arial" w:hAnsi="Arial" w:cs="Arial"/>
                <w:sz w:val="20"/>
                <w:szCs w:val="20"/>
              </w:rPr>
            </w:pPr>
            <w:r w:rsidRPr="006A1DB0">
              <w:rPr>
                <w:rFonts w:ascii="Arial" w:hAnsi="Arial" w:cs="Arial"/>
                <w:sz w:val="20"/>
                <w:szCs w:val="20"/>
              </w:rPr>
              <w:t xml:space="preserve">12 weeks (maintenance phase after a 3-week </w:t>
            </w:r>
            <w:r w:rsidRPr="006A1DB0">
              <w:rPr>
                <w:rFonts w:ascii="Arial" w:hAnsi="Arial" w:cs="Arial"/>
                <w:sz w:val="20"/>
                <w:szCs w:val="20"/>
              </w:rPr>
              <w:br/>
              <w:t xml:space="preserve"> titration phase)</w:t>
            </w:r>
          </w:p>
        </w:tc>
        <w:tc>
          <w:tcPr>
            <w:tcW w:w="1760" w:type="dxa"/>
          </w:tcPr>
          <w:p w14:paraId="2C63A637"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Primary: </w:t>
            </w:r>
          </w:p>
          <w:p w14:paraId="05EC6958"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Change from baseline in mean pain intensity at week-12 of the maintenance period</w:t>
            </w:r>
          </w:p>
          <w:p w14:paraId="599214E2" w14:textId="77777777" w:rsidR="006A1DB0" w:rsidRPr="006A1DB0" w:rsidRDefault="006A1DB0" w:rsidP="006A1DB0">
            <w:pPr>
              <w:pStyle w:val="NoSpacing"/>
              <w:rPr>
                <w:rFonts w:ascii="Arial" w:hAnsi="Arial" w:cs="Arial"/>
                <w:sz w:val="20"/>
                <w:szCs w:val="20"/>
              </w:rPr>
            </w:pPr>
          </w:p>
          <w:p w14:paraId="5437F99E"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Secondary: </w:t>
            </w:r>
          </w:p>
          <w:p w14:paraId="728D8CEF" w14:textId="0270023C" w:rsidR="006A1DB0" w:rsidRPr="006A1DB0" w:rsidRDefault="006A1DB0" w:rsidP="006A1DB0">
            <w:pPr>
              <w:spacing w:after="0" w:line="240" w:lineRule="auto"/>
              <w:rPr>
                <w:rFonts w:ascii="Arial" w:hAnsi="Arial" w:cs="Arial"/>
                <w:sz w:val="20"/>
                <w:szCs w:val="20"/>
              </w:rPr>
            </w:pPr>
            <w:r w:rsidRPr="006A1DB0">
              <w:rPr>
                <w:rFonts w:ascii="Arial" w:hAnsi="Arial" w:cs="Arial"/>
                <w:sz w:val="20"/>
                <w:szCs w:val="20"/>
              </w:rPr>
              <w:t xml:space="preserve">Change from baseline in mean pain intensity over the entire 12-week maintenance period, proportion of patients with ≥30 and ≥50% reduction in pain intensity at week-12 of maintenance, PGIC score, BPI survey, SF-36 health survey </w:t>
            </w:r>
          </w:p>
        </w:tc>
        <w:tc>
          <w:tcPr>
            <w:tcW w:w="6030" w:type="dxa"/>
          </w:tcPr>
          <w:p w14:paraId="1E12777D"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Primary: </w:t>
            </w:r>
          </w:p>
          <w:p w14:paraId="457EB906"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Throughout the 12-week maintenance period, average pain intensity scores improved in both the tapentadol ER and oxycodone CR groups relative to placebo. </w:t>
            </w:r>
          </w:p>
          <w:p w14:paraId="298CF804" w14:textId="77777777" w:rsidR="006A1DB0" w:rsidRPr="006A1DB0" w:rsidRDefault="006A1DB0" w:rsidP="006A1DB0">
            <w:pPr>
              <w:pStyle w:val="NoSpacing"/>
              <w:rPr>
                <w:rFonts w:ascii="Arial" w:hAnsi="Arial" w:cs="Arial"/>
                <w:sz w:val="20"/>
                <w:szCs w:val="20"/>
              </w:rPr>
            </w:pPr>
          </w:p>
          <w:p w14:paraId="20138D51"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The mean (SD) change in pain intensity from baseline to week 12 was -2.9 (2.66) for tapentadol ER and -2.1 (2.33) for placebo resulting in a least square mean difference vs placebo of -0.8 (95% CI, -1.22 to -0.47; P&lt;0.001). </w:t>
            </w:r>
          </w:p>
          <w:p w14:paraId="29212A6E" w14:textId="77777777" w:rsidR="006A1DB0" w:rsidRPr="006A1DB0" w:rsidRDefault="006A1DB0" w:rsidP="006A1DB0">
            <w:pPr>
              <w:pStyle w:val="NoSpacing"/>
              <w:rPr>
                <w:rFonts w:ascii="Arial" w:hAnsi="Arial" w:cs="Arial"/>
                <w:sz w:val="20"/>
                <w:szCs w:val="20"/>
              </w:rPr>
            </w:pPr>
          </w:p>
          <w:p w14:paraId="786574CE"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The mean change in pain intensity from baseline over the entire maintenance period was -2.8 (2.50) for tapentadol ER and -2.1 (2.20) for placebo, corresponding to a least square mean difference vs placebo of -0.7 (95% CI, -1.06 to -0.35; P&lt;0.001). </w:t>
            </w:r>
          </w:p>
          <w:p w14:paraId="673F018A" w14:textId="77777777" w:rsidR="006A1DB0" w:rsidRPr="006A1DB0" w:rsidRDefault="006A1DB0" w:rsidP="006A1DB0">
            <w:pPr>
              <w:pStyle w:val="NoSpacing"/>
              <w:rPr>
                <w:rFonts w:ascii="Arial" w:hAnsi="Arial" w:cs="Arial"/>
                <w:sz w:val="20"/>
                <w:szCs w:val="20"/>
              </w:rPr>
            </w:pPr>
          </w:p>
          <w:p w14:paraId="772AEAF7"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Secondary: </w:t>
            </w:r>
          </w:p>
          <w:p w14:paraId="4484EBC8"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The mean pain intensity was also reduced for the oxycodone CR group. Compared to the placebo group at week 12 the least square mean difference was -0.9 (95% CI, -1.24 to -0.49; P&lt;0.001); and over the entire maintenance period the least square mean difference was -0.8 (95% CI, -1.16 to -0.46; P&lt;0.001). </w:t>
            </w:r>
          </w:p>
          <w:p w14:paraId="3A5640A2" w14:textId="77777777" w:rsidR="006A1DB0" w:rsidRPr="006A1DB0" w:rsidRDefault="006A1DB0" w:rsidP="006A1DB0">
            <w:pPr>
              <w:pStyle w:val="NoSpacing"/>
              <w:rPr>
                <w:rFonts w:ascii="Arial" w:hAnsi="Arial" w:cs="Arial"/>
                <w:sz w:val="20"/>
                <w:szCs w:val="20"/>
              </w:rPr>
            </w:pPr>
          </w:p>
          <w:p w14:paraId="19FA4CB0"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Reductions in mean pain intensity were significantly greater with tapentadol ER than with placebo at week-12 of the maintenance period both for patients with moderate and severe baseline pain intensity. Significantly greater reductions in mean pain intensity with tapentadol ER compared to placebo were also observed for the overall maintenance period in patients with both moderate baseline pain intensity and severe baseline pain intensity. </w:t>
            </w:r>
          </w:p>
          <w:p w14:paraId="325CBA81" w14:textId="77777777" w:rsidR="006A1DB0" w:rsidRPr="006A1DB0" w:rsidRDefault="006A1DB0" w:rsidP="006A1DB0">
            <w:pPr>
              <w:pStyle w:val="NoSpacing"/>
              <w:rPr>
                <w:rFonts w:ascii="Arial" w:hAnsi="Arial" w:cs="Arial"/>
                <w:sz w:val="20"/>
                <w:szCs w:val="20"/>
              </w:rPr>
            </w:pPr>
          </w:p>
          <w:p w14:paraId="2A6BB40B"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Reductions in mean pain intensity were also significantly greater with oxycodone CR than with placebo for patients with moderate and severe baseline pain intensity at both week 12 of the </w:t>
            </w:r>
            <w:r w:rsidRPr="006A1DB0">
              <w:rPr>
                <w:rFonts w:ascii="Arial" w:hAnsi="Arial" w:cs="Arial"/>
                <w:sz w:val="20"/>
                <w:szCs w:val="20"/>
              </w:rPr>
              <w:lastRenderedPageBreak/>
              <w:t>maintenance period and for the overall maintenance period.</w:t>
            </w:r>
          </w:p>
          <w:p w14:paraId="00E6C0EC" w14:textId="77777777" w:rsidR="006A1DB0" w:rsidRPr="006A1DB0" w:rsidRDefault="006A1DB0" w:rsidP="006A1DB0">
            <w:pPr>
              <w:pStyle w:val="NoSpacing"/>
              <w:rPr>
                <w:rFonts w:ascii="Arial" w:hAnsi="Arial" w:cs="Arial"/>
                <w:sz w:val="20"/>
                <w:szCs w:val="20"/>
              </w:rPr>
            </w:pPr>
          </w:p>
          <w:p w14:paraId="2F83D6AE"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The overall distribution of responders at week 12 of the maintenance period was significantly different between the tapentadol ER group and the placebo group (P=0.004), with a higher percentage of patients showing improvements in pain scores in the tapentadol ER group than in the placebo group. The overall distribution of responders at week 12 in the oxycodone CR group, however, was not significantly different from the placebo group (P=0.090).</w:t>
            </w:r>
          </w:p>
          <w:p w14:paraId="6FCFACD9" w14:textId="77777777" w:rsidR="006A1DB0" w:rsidRPr="006A1DB0" w:rsidRDefault="006A1DB0" w:rsidP="006A1DB0">
            <w:pPr>
              <w:pStyle w:val="NoSpacing"/>
              <w:rPr>
                <w:rFonts w:ascii="Arial" w:hAnsi="Arial" w:cs="Arial"/>
                <w:sz w:val="20"/>
                <w:szCs w:val="20"/>
              </w:rPr>
            </w:pPr>
          </w:p>
          <w:p w14:paraId="0D26EBCC"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A total of 39.7% of patients treated with tapentadol ER compared to 27.1% of patients treated with placebo responded with ≥30% improvement in pain intensity at week-12 compared to baseline (P&lt;0.001). </w:t>
            </w:r>
          </w:p>
          <w:p w14:paraId="29309CA5" w14:textId="77777777" w:rsidR="006A1DB0" w:rsidRPr="006A1DB0" w:rsidRDefault="006A1DB0" w:rsidP="006A1DB0">
            <w:pPr>
              <w:pStyle w:val="NoSpacing"/>
              <w:rPr>
                <w:rFonts w:ascii="Arial" w:hAnsi="Arial" w:cs="Arial"/>
                <w:sz w:val="20"/>
                <w:szCs w:val="20"/>
              </w:rPr>
            </w:pPr>
          </w:p>
          <w:p w14:paraId="48F62DDF"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A total of 27.0% of patients treated with tapentadol ER compared to 18.9% of patients treated with placebo responded with 50% improvement in pain intensity at week-12 compared to baseline (P&lt;0.016). </w:t>
            </w:r>
          </w:p>
          <w:p w14:paraId="274AAC3D" w14:textId="77777777" w:rsidR="006A1DB0" w:rsidRPr="006A1DB0" w:rsidRDefault="006A1DB0" w:rsidP="006A1DB0">
            <w:pPr>
              <w:pStyle w:val="NoSpacing"/>
              <w:rPr>
                <w:rFonts w:ascii="Arial" w:hAnsi="Arial" w:cs="Arial"/>
                <w:sz w:val="20"/>
                <w:szCs w:val="20"/>
              </w:rPr>
            </w:pPr>
          </w:p>
          <w:p w14:paraId="76BE6D09"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The percentage of patients in the oxycodone CR group with ≥30% improvement in pain intensity at week-12 compared to baseline was 30.4% (P=0.365) and did not differ significantly from placebo (percent among placebo group not reported). Conversely, the percentage of patients in the oxycodone CR group with ≥50% improvement in pain intensity at week-12 compared to baseline was 23.3% (P=0.174) and did not differ significantly from placebo (percent among placebo group not reported).</w:t>
            </w:r>
          </w:p>
          <w:p w14:paraId="0269DA0D" w14:textId="77777777" w:rsidR="006A1DB0" w:rsidRPr="006A1DB0" w:rsidRDefault="006A1DB0" w:rsidP="006A1DB0">
            <w:pPr>
              <w:pStyle w:val="NoSpacing"/>
              <w:rPr>
                <w:rFonts w:ascii="Arial" w:hAnsi="Arial" w:cs="Arial"/>
                <w:sz w:val="20"/>
                <w:szCs w:val="20"/>
              </w:rPr>
            </w:pPr>
          </w:p>
          <w:p w14:paraId="31DEC7DD"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At endpoint, there was a significant difference in PGIC ratings for both tapentadol ER (P&lt; 0.001) and oxycodone CR (P&lt;0.001) compared to placebo.</w:t>
            </w:r>
          </w:p>
          <w:p w14:paraId="4AA64A65" w14:textId="77777777" w:rsidR="006A1DB0" w:rsidRPr="006A1DB0" w:rsidRDefault="006A1DB0" w:rsidP="006A1DB0">
            <w:pPr>
              <w:pStyle w:val="NoSpacing"/>
              <w:rPr>
                <w:rFonts w:ascii="Arial" w:hAnsi="Arial" w:cs="Arial"/>
                <w:sz w:val="20"/>
                <w:szCs w:val="20"/>
              </w:rPr>
            </w:pPr>
          </w:p>
          <w:p w14:paraId="6880DEC1"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lastRenderedPageBreak/>
              <w:t>Compared to placebo, both tapentadol ER and oxycodone CR showed significant reductions from baseline to week-12 in the BPI total score, the pain interference subscale score, and the pain subscale score.</w:t>
            </w:r>
          </w:p>
          <w:p w14:paraId="32EE78B1" w14:textId="77777777" w:rsidR="006A1DB0" w:rsidRPr="006A1DB0" w:rsidRDefault="006A1DB0" w:rsidP="006A1DB0">
            <w:pPr>
              <w:pStyle w:val="NoSpacing"/>
              <w:rPr>
                <w:rFonts w:ascii="Arial" w:hAnsi="Arial" w:cs="Arial"/>
                <w:sz w:val="20"/>
                <w:szCs w:val="20"/>
              </w:rPr>
            </w:pPr>
          </w:p>
          <w:p w14:paraId="0198EB55"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The percentage of patients with “any pain today other than everyday kinds of pain” on the BPI survey at baseline was 88.6, 85.6, and 86.1% for the placebo group, tapentadol ER group, and oxycodone CR group, respectively. </w:t>
            </w:r>
          </w:p>
          <w:p w14:paraId="6288C4DD"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 </w:t>
            </w:r>
          </w:p>
          <w:p w14:paraId="33F539D7"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At week 12, the percentage scores decreased to 80.7% for the placebo group, 69.8% for the tapentadol ER group, and 67.3% for the oxycodone CR group. </w:t>
            </w:r>
          </w:p>
          <w:p w14:paraId="61B8AD18" w14:textId="77777777" w:rsidR="006A1DB0" w:rsidRPr="006A1DB0" w:rsidRDefault="006A1DB0" w:rsidP="006A1DB0">
            <w:pPr>
              <w:pStyle w:val="NoSpacing"/>
              <w:rPr>
                <w:rFonts w:ascii="Arial" w:hAnsi="Arial" w:cs="Arial"/>
                <w:sz w:val="20"/>
                <w:szCs w:val="20"/>
              </w:rPr>
            </w:pPr>
          </w:p>
          <w:p w14:paraId="04D55035" w14:textId="7331CAAD"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The percentage of patients who reported “at least 50% pain relief during the past week” was similar for all three treatment groups at baseline for the placebo, tapentadol ER, and oxycodone ER groups (23.4, 24.7, and 20.9%, respectively). These results increased to 59.7, 75.4, and 80.0% among the placebo, tapentadol ER, and </w:t>
            </w:r>
            <w:r w:rsidR="00903FBD" w:rsidRPr="00903FBD">
              <w:rPr>
                <w:rFonts w:ascii="Arial" w:hAnsi="Arial" w:cs="Arial"/>
                <w:sz w:val="20"/>
                <w:szCs w:val="20"/>
              </w:rPr>
              <w:t>oxycodone CR</w:t>
            </w:r>
            <w:r w:rsidRPr="006A1DB0">
              <w:rPr>
                <w:rFonts w:ascii="Arial" w:hAnsi="Arial" w:cs="Arial"/>
                <w:sz w:val="20"/>
                <w:szCs w:val="20"/>
              </w:rPr>
              <w:t xml:space="preserve"> groups, respectively at week 12. </w:t>
            </w:r>
          </w:p>
          <w:p w14:paraId="0672B69B" w14:textId="77777777" w:rsidR="006A1DB0" w:rsidRPr="006A1DB0" w:rsidRDefault="006A1DB0" w:rsidP="006A1DB0">
            <w:pPr>
              <w:pStyle w:val="NoSpacing"/>
              <w:rPr>
                <w:rFonts w:ascii="Arial" w:hAnsi="Arial" w:cs="Arial"/>
                <w:sz w:val="20"/>
                <w:szCs w:val="20"/>
              </w:rPr>
            </w:pPr>
          </w:p>
          <w:p w14:paraId="79D4185E"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Treatment with both tapentadol ER and oxycodone CR significantly improved physical health status compared to placebo, as reflected by the physical component summary score.</w:t>
            </w:r>
          </w:p>
          <w:p w14:paraId="58B7D9F7" w14:textId="77777777" w:rsidR="006A1DB0" w:rsidRPr="006A1DB0" w:rsidRDefault="006A1DB0" w:rsidP="006A1DB0">
            <w:pPr>
              <w:pStyle w:val="NoSpacing"/>
              <w:rPr>
                <w:rFonts w:ascii="Arial" w:hAnsi="Arial" w:cs="Arial"/>
                <w:sz w:val="20"/>
                <w:szCs w:val="20"/>
              </w:rPr>
            </w:pPr>
          </w:p>
          <w:p w14:paraId="2031B053"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The mean changes at week-12 from baseline on the SF-36 survey for four of eight measures (physical functioning, role-physical, bodily pain, and vitality) were significantly improved in the tapentadol ER group compared to the placebo group. </w:t>
            </w:r>
          </w:p>
          <w:p w14:paraId="2D462098" w14:textId="77777777" w:rsidR="006A1DB0" w:rsidRPr="006A1DB0" w:rsidRDefault="006A1DB0" w:rsidP="006A1DB0">
            <w:pPr>
              <w:pStyle w:val="NoSpacing"/>
              <w:rPr>
                <w:rFonts w:ascii="Arial" w:hAnsi="Arial" w:cs="Arial"/>
                <w:sz w:val="20"/>
                <w:szCs w:val="20"/>
              </w:rPr>
            </w:pPr>
          </w:p>
          <w:p w14:paraId="765D22C9"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The mean changes from baseline were significantly improved for role-physical and bodily pain scores among the oxycodone CR group compared to the placebo group. </w:t>
            </w:r>
          </w:p>
          <w:p w14:paraId="6E0C625E" w14:textId="77777777" w:rsidR="006A1DB0" w:rsidRPr="006A1DB0" w:rsidRDefault="006A1DB0" w:rsidP="006A1DB0">
            <w:pPr>
              <w:pStyle w:val="NoSpacing"/>
              <w:rPr>
                <w:rFonts w:ascii="Arial" w:hAnsi="Arial" w:cs="Arial"/>
                <w:sz w:val="20"/>
                <w:szCs w:val="20"/>
              </w:rPr>
            </w:pPr>
          </w:p>
          <w:p w14:paraId="6C2698D2"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lastRenderedPageBreak/>
              <w:t>No clinically important changes in laboratory values, vital signs, or electrocardiogram findings were attributed to treatment. Overall, at least one adverse event was reported by 59.6, 75.5, and 84.8% of patients in the placebo, tapentadol ER, and oxycodone CR groups, respectively.</w:t>
            </w:r>
          </w:p>
          <w:p w14:paraId="1FC1A70D" w14:textId="77777777" w:rsidR="006A1DB0" w:rsidRPr="006A1DB0" w:rsidRDefault="006A1DB0" w:rsidP="006A1DB0">
            <w:pPr>
              <w:pStyle w:val="NoSpacing"/>
              <w:rPr>
                <w:rFonts w:ascii="Arial" w:hAnsi="Arial" w:cs="Arial"/>
                <w:sz w:val="20"/>
                <w:szCs w:val="20"/>
              </w:rPr>
            </w:pPr>
          </w:p>
          <w:p w14:paraId="633273D0" w14:textId="77777777" w:rsidR="006A1DB0" w:rsidRPr="006A1DB0" w:rsidRDefault="006A1DB0" w:rsidP="006A1DB0">
            <w:pPr>
              <w:pStyle w:val="NoSpacing"/>
              <w:rPr>
                <w:rFonts w:ascii="Arial" w:hAnsi="Arial" w:cs="Arial"/>
                <w:sz w:val="20"/>
                <w:szCs w:val="20"/>
              </w:rPr>
            </w:pPr>
            <w:r w:rsidRPr="006A1DB0">
              <w:rPr>
                <w:rFonts w:ascii="Arial" w:hAnsi="Arial" w:cs="Arial"/>
                <w:sz w:val="20"/>
                <w:szCs w:val="20"/>
              </w:rPr>
              <w:t xml:space="preserve">The most commonly reported events (reported by &gt;10% in any treatment group) were nausea, constipation, headache, vomiting, dizziness, pruritus, and somnolence, the majority of which were categorized as mild to moderate in intensity across all treatment groups. </w:t>
            </w:r>
          </w:p>
          <w:p w14:paraId="2191E774" w14:textId="77777777" w:rsidR="006A1DB0" w:rsidRPr="006A1DB0" w:rsidRDefault="006A1DB0" w:rsidP="006A1DB0">
            <w:pPr>
              <w:pStyle w:val="NoSpacing"/>
              <w:rPr>
                <w:rFonts w:ascii="Arial" w:hAnsi="Arial" w:cs="Arial"/>
                <w:sz w:val="20"/>
                <w:szCs w:val="20"/>
              </w:rPr>
            </w:pPr>
          </w:p>
          <w:p w14:paraId="3B66A271" w14:textId="75690E66" w:rsidR="006A1DB0" w:rsidRPr="006A1DB0" w:rsidRDefault="006A1DB0" w:rsidP="006A1DB0">
            <w:pPr>
              <w:spacing w:after="0" w:line="240" w:lineRule="auto"/>
              <w:rPr>
                <w:rFonts w:ascii="Arial" w:hAnsi="Arial" w:cs="Arial"/>
                <w:sz w:val="20"/>
                <w:szCs w:val="20"/>
              </w:rPr>
            </w:pPr>
            <w:r w:rsidRPr="006A1DB0">
              <w:rPr>
                <w:rFonts w:ascii="Arial" w:hAnsi="Arial" w:cs="Arial"/>
                <w:sz w:val="20"/>
                <w:szCs w:val="20"/>
              </w:rPr>
              <w:t xml:space="preserve">In the oxycodone CR group, the incidence of vomiting, constipation, and pruritus was nearly double incidence in the tapentadol ER group. </w:t>
            </w:r>
          </w:p>
        </w:tc>
      </w:tr>
      <w:tr w:rsidR="00047706" w:rsidRPr="0044122B" w14:paraId="3FA5BBAB" w14:textId="77777777" w:rsidTr="001723DB">
        <w:tc>
          <w:tcPr>
            <w:tcW w:w="2640" w:type="dxa"/>
          </w:tcPr>
          <w:p w14:paraId="0DB79D3B" w14:textId="2EEF1047" w:rsidR="00047706" w:rsidRPr="00047706" w:rsidRDefault="00047706" w:rsidP="00DC2527">
            <w:pPr>
              <w:pStyle w:val="NoSpacing"/>
              <w:rPr>
                <w:rFonts w:ascii="Arial" w:hAnsi="Arial" w:cs="Arial"/>
                <w:sz w:val="20"/>
                <w:szCs w:val="20"/>
              </w:rPr>
            </w:pPr>
            <w:proofErr w:type="spellStart"/>
            <w:r w:rsidRPr="00047706">
              <w:rPr>
                <w:rFonts w:ascii="Arial" w:hAnsi="Arial" w:cs="Arial"/>
                <w:sz w:val="20"/>
                <w:szCs w:val="20"/>
              </w:rPr>
              <w:lastRenderedPageBreak/>
              <w:t>Afilalo</w:t>
            </w:r>
            <w:proofErr w:type="spellEnd"/>
            <w:r w:rsidRPr="00047706">
              <w:rPr>
                <w:rFonts w:ascii="Arial" w:hAnsi="Arial" w:cs="Arial"/>
                <w:sz w:val="20"/>
                <w:szCs w:val="20"/>
              </w:rPr>
              <w:t xml:space="preserve"> et al</w:t>
            </w:r>
            <w:r>
              <w:rPr>
                <w:rFonts w:ascii="Arial" w:hAnsi="Arial" w:cs="Arial"/>
                <w:sz w:val="20"/>
                <w:szCs w:val="20"/>
                <w:vertAlign w:val="superscript"/>
              </w:rPr>
              <w:t>6</w:t>
            </w:r>
          </w:p>
          <w:p w14:paraId="1CDCB472" w14:textId="77777777" w:rsidR="00047706" w:rsidRPr="00047706" w:rsidRDefault="00047706" w:rsidP="00DC2527">
            <w:pPr>
              <w:pStyle w:val="NoSpacing"/>
              <w:rPr>
                <w:rFonts w:ascii="Arial" w:hAnsi="Arial" w:cs="Arial"/>
                <w:sz w:val="20"/>
                <w:szCs w:val="20"/>
              </w:rPr>
            </w:pPr>
          </w:p>
          <w:p w14:paraId="5A03453D"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Tapentadol ER 100 mg BID </w:t>
            </w:r>
          </w:p>
          <w:p w14:paraId="4A842E78" w14:textId="77777777" w:rsidR="00047706" w:rsidRPr="00047706" w:rsidRDefault="00047706" w:rsidP="00DC2527">
            <w:pPr>
              <w:pStyle w:val="NoSpacing"/>
              <w:rPr>
                <w:rFonts w:ascii="Arial" w:hAnsi="Arial" w:cs="Arial"/>
                <w:sz w:val="20"/>
                <w:szCs w:val="20"/>
              </w:rPr>
            </w:pPr>
          </w:p>
          <w:p w14:paraId="4BF78E5B"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vs </w:t>
            </w:r>
          </w:p>
          <w:p w14:paraId="731D0DF3" w14:textId="77777777" w:rsidR="00047706" w:rsidRPr="00047706" w:rsidRDefault="00047706" w:rsidP="00DC2527">
            <w:pPr>
              <w:pStyle w:val="NoSpacing"/>
              <w:rPr>
                <w:rFonts w:ascii="Arial" w:hAnsi="Arial" w:cs="Arial"/>
                <w:sz w:val="20"/>
                <w:szCs w:val="20"/>
              </w:rPr>
            </w:pPr>
          </w:p>
          <w:p w14:paraId="3CAD1BC3"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placebo</w:t>
            </w:r>
          </w:p>
          <w:p w14:paraId="580EE4AD" w14:textId="77777777" w:rsidR="00047706" w:rsidRPr="00047706" w:rsidRDefault="00047706" w:rsidP="00DC2527">
            <w:pPr>
              <w:pStyle w:val="NoSpacing"/>
              <w:rPr>
                <w:rFonts w:ascii="Arial" w:hAnsi="Arial" w:cs="Arial"/>
                <w:sz w:val="20"/>
                <w:szCs w:val="20"/>
              </w:rPr>
            </w:pPr>
          </w:p>
          <w:p w14:paraId="4E679CB6"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vs</w:t>
            </w:r>
          </w:p>
          <w:p w14:paraId="77F3C01D" w14:textId="77777777" w:rsidR="00047706" w:rsidRPr="00047706" w:rsidRDefault="00047706" w:rsidP="00DC2527">
            <w:pPr>
              <w:pStyle w:val="NoSpacing"/>
              <w:rPr>
                <w:rFonts w:ascii="Arial" w:hAnsi="Arial" w:cs="Arial"/>
                <w:sz w:val="20"/>
                <w:szCs w:val="20"/>
              </w:rPr>
            </w:pPr>
          </w:p>
          <w:p w14:paraId="5D1E1C1C"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oxycodone CR 20 mg BID</w:t>
            </w:r>
          </w:p>
          <w:p w14:paraId="67293683" w14:textId="77777777" w:rsidR="00047706" w:rsidRPr="00047706" w:rsidRDefault="00047706" w:rsidP="00DC2527">
            <w:pPr>
              <w:pStyle w:val="NoSpacing"/>
              <w:rPr>
                <w:rFonts w:ascii="Arial" w:hAnsi="Arial" w:cs="Arial"/>
                <w:sz w:val="20"/>
                <w:szCs w:val="20"/>
              </w:rPr>
            </w:pPr>
          </w:p>
          <w:p w14:paraId="331D1F59" w14:textId="7E07DFEA"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Initial treatment with tapentadol ER 50 mg BID or oxycodone CR 10 mg BID for </w:t>
            </w:r>
            <w:r w:rsidR="00903FBD">
              <w:rPr>
                <w:rFonts w:ascii="Arial" w:hAnsi="Arial" w:cs="Arial"/>
                <w:sz w:val="20"/>
                <w:szCs w:val="20"/>
              </w:rPr>
              <w:t>three</w:t>
            </w:r>
            <w:r w:rsidRPr="00047706">
              <w:rPr>
                <w:rFonts w:ascii="Arial" w:hAnsi="Arial" w:cs="Arial"/>
                <w:sz w:val="20"/>
                <w:szCs w:val="20"/>
              </w:rPr>
              <w:t xml:space="preserve"> days; then doses were increased to tapentadol ER 100 mg BID or oxycodone CR 20 mg </w:t>
            </w:r>
            <w:r w:rsidRPr="00047706">
              <w:rPr>
                <w:rFonts w:ascii="Arial" w:hAnsi="Arial" w:cs="Arial"/>
                <w:sz w:val="20"/>
                <w:szCs w:val="20"/>
              </w:rPr>
              <w:lastRenderedPageBreak/>
              <w:t xml:space="preserve">BID (minimum study doses); at 3-day intervals doses were increased in increments of tapentadol ER 50 mg or oxycodone CR 10 mg (max daily doses: tapentadol ER 250 mg BID or oxycodone CR 50 mg BID). </w:t>
            </w:r>
          </w:p>
          <w:p w14:paraId="7F48786A" w14:textId="77777777" w:rsidR="00047706" w:rsidRPr="00047706" w:rsidRDefault="00047706" w:rsidP="00DC2527">
            <w:pPr>
              <w:pStyle w:val="NoSpacing"/>
              <w:rPr>
                <w:rFonts w:ascii="Arial" w:hAnsi="Arial" w:cs="Arial"/>
                <w:sz w:val="20"/>
                <w:szCs w:val="20"/>
              </w:rPr>
            </w:pPr>
          </w:p>
          <w:p w14:paraId="65D33C1A" w14:textId="14221B42" w:rsidR="00047706" w:rsidRPr="00047706" w:rsidRDefault="00903FBD" w:rsidP="000B3401">
            <w:pPr>
              <w:spacing w:after="0" w:line="240" w:lineRule="auto"/>
              <w:rPr>
                <w:rFonts w:ascii="Arial" w:hAnsi="Arial" w:cs="Arial"/>
                <w:sz w:val="20"/>
                <w:szCs w:val="20"/>
              </w:rPr>
            </w:pPr>
            <w:r>
              <w:rPr>
                <w:rFonts w:ascii="Arial" w:hAnsi="Arial" w:cs="Arial"/>
                <w:sz w:val="20"/>
                <w:szCs w:val="20"/>
              </w:rPr>
              <w:t>APAP ≤1,000 mg/day (max of three</w:t>
            </w:r>
            <w:r w:rsidR="00047706" w:rsidRPr="00047706">
              <w:rPr>
                <w:rFonts w:ascii="Arial" w:hAnsi="Arial" w:cs="Arial"/>
                <w:sz w:val="20"/>
                <w:szCs w:val="20"/>
              </w:rPr>
              <w:t xml:space="preserve"> consecutive days) was permitted.</w:t>
            </w:r>
          </w:p>
        </w:tc>
        <w:tc>
          <w:tcPr>
            <w:tcW w:w="1760" w:type="dxa"/>
          </w:tcPr>
          <w:p w14:paraId="33D36AC5"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lastRenderedPageBreak/>
              <w:t>AC, DB, MC, PC, RCT</w:t>
            </w:r>
          </w:p>
          <w:p w14:paraId="50B3C9A7" w14:textId="77777777" w:rsidR="00047706" w:rsidRPr="00047706" w:rsidRDefault="00047706" w:rsidP="00DC2527">
            <w:pPr>
              <w:pStyle w:val="NoSpacing"/>
              <w:rPr>
                <w:rFonts w:ascii="Arial" w:hAnsi="Arial" w:cs="Arial"/>
                <w:sz w:val="20"/>
                <w:szCs w:val="20"/>
              </w:rPr>
            </w:pPr>
          </w:p>
          <w:p w14:paraId="73B5B073" w14:textId="17279F8F" w:rsidR="00047706" w:rsidRPr="00047706" w:rsidRDefault="00047706" w:rsidP="00F61D29">
            <w:pPr>
              <w:spacing w:after="0" w:line="240" w:lineRule="auto"/>
              <w:rPr>
                <w:rFonts w:ascii="Arial" w:hAnsi="Arial" w:cs="Arial"/>
                <w:sz w:val="20"/>
                <w:szCs w:val="20"/>
              </w:rPr>
            </w:pPr>
            <w:r w:rsidRPr="00047706">
              <w:rPr>
                <w:rFonts w:ascii="Arial" w:hAnsi="Arial" w:cs="Arial"/>
                <w:sz w:val="20"/>
                <w:szCs w:val="20"/>
              </w:rPr>
              <w:t xml:space="preserve">Patients </w:t>
            </w:r>
            <w:r w:rsidRPr="00047706">
              <w:rPr>
                <w:rFonts w:ascii="Arial" w:hAnsi="Arial" w:cs="Arial"/>
                <w:sz w:val="20"/>
                <w:szCs w:val="20"/>
                <w:u w:val="single"/>
              </w:rPr>
              <w:t>&gt;</w:t>
            </w:r>
            <w:r w:rsidRPr="00047706">
              <w:rPr>
                <w:rFonts w:ascii="Arial" w:hAnsi="Arial" w:cs="Arial"/>
                <w:sz w:val="20"/>
                <w:szCs w:val="20"/>
              </w:rPr>
              <w:t xml:space="preserve">40 years of age with a diagnosis of OA of the knee (per ACR criteria) functional capacity class I-III, and pain at reference joint requiring analgesics (both non-opioid and opioid doses ≤ 160 mg oral morphine daily) for ≥3 months, </w:t>
            </w:r>
            <w:r w:rsidRPr="00047706">
              <w:rPr>
                <w:rFonts w:ascii="Arial" w:hAnsi="Arial" w:cs="Arial"/>
                <w:sz w:val="20"/>
                <w:szCs w:val="20"/>
              </w:rPr>
              <w:lastRenderedPageBreak/>
              <w:t>who were dissatisfied with their current analgesic regimen, and had a baseline pain</w:t>
            </w:r>
            <w:r w:rsidR="00903FBD">
              <w:rPr>
                <w:rFonts w:ascii="Arial" w:hAnsi="Arial" w:cs="Arial"/>
                <w:sz w:val="20"/>
                <w:szCs w:val="20"/>
              </w:rPr>
              <w:t xml:space="preserve"> intensity score ≥5 during the three</w:t>
            </w:r>
            <w:r w:rsidRPr="00047706">
              <w:rPr>
                <w:rFonts w:ascii="Arial" w:hAnsi="Arial" w:cs="Arial"/>
                <w:sz w:val="20"/>
                <w:szCs w:val="20"/>
              </w:rPr>
              <w:t xml:space="preserve"> days prior to randomization </w:t>
            </w:r>
          </w:p>
        </w:tc>
        <w:tc>
          <w:tcPr>
            <w:tcW w:w="1540" w:type="dxa"/>
          </w:tcPr>
          <w:p w14:paraId="27E13031" w14:textId="77777777" w:rsidR="00047706" w:rsidRPr="00047706" w:rsidRDefault="00047706" w:rsidP="00DC2527">
            <w:pPr>
              <w:pStyle w:val="NoSpacing"/>
              <w:jc w:val="center"/>
              <w:rPr>
                <w:rFonts w:ascii="Arial" w:hAnsi="Arial" w:cs="Arial"/>
                <w:sz w:val="20"/>
                <w:szCs w:val="20"/>
              </w:rPr>
            </w:pPr>
            <w:r w:rsidRPr="00047706">
              <w:rPr>
                <w:rFonts w:ascii="Arial" w:hAnsi="Arial" w:cs="Arial"/>
                <w:sz w:val="20"/>
                <w:szCs w:val="20"/>
              </w:rPr>
              <w:lastRenderedPageBreak/>
              <w:t>N=1,030</w:t>
            </w:r>
          </w:p>
          <w:p w14:paraId="0502925C" w14:textId="77777777" w:rsidR="00047706" w:rsidRPr="00047706" w:rsidRDefault="00047706" w:rsidP="00DC2527">
            <w:pPr>
              <w:pStyle w:val="NoSpacing"/>
              <w:jc w:val="center"/>
              <w:rPr>
                <w:rFonts w:ascii="Arial" w:hAnsi="Arial" w:cs="Arial"/>
                <w:sz w:val="20"/>
                <w:szCs w:val="20"/>
              </w:rPr>
            </w:pPr>
          </w:p>
          <w:p w14:paraId="1C3F180D" w14:textId="4EB57CA2" w:rsidR="00047706" w:rsidRPr="00047706" w:rsidRDefault="00047706" w:rsidP="000B3401">
            <w:pPr>
              <w:spacing w:after="0" w:line="240" w:lineRule="auto"/>
              <w:jc w:val="center"/>
              <w:rPr>
                <w:rFonts w:ascii="Arial" w:hAnsi="Arial" w:cs="Arial"/>
                <w:sz w:val="20"/>
                <w:szCs w:val="20"/>
              </w:rPr>
            </w:pPr>
            <w:r w:rsidRPr="00047706">
              <w:rPr>
                <w:rFonts w:ascii="Arial" w:hAnsi="Arial" w:cs="Arial"/>
                <w:sz w:val="20"/>
                <w:szCs w:val="20"/>
              </w:rPr>
              <w:t>12 weeks (maintenance phase after a 3-week titration phase)</w:t>
            </w:r>
          </w:p>
        </w:tc>
        <w:tc>
          <w:tcPr>
            <w:tcW w:w="1760" w:type="dxa"/>
          </w:tcPr>
          <w:p w14:paraId="237B28F2"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Primary: </w:t>
            </w:r>
          </w:p>
          <w:p w14:paraId="46DE9A70"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Change in average pain intensity at week-12 of the maintenance period compared to baseline</w:t>
            </w:r>
          </w:p>
          <w:p w14:paraId="64D7A250" w14:textId="77777777" w:rsidR="00047706" w:rsidRPr="00047706" w:rsidRDefault="00047706" w:rsidP="00DC2527">
            <w:pPr>
              <w:pStyle w:val="NoSpacing"/>
              <w:rPr>
                <w:rFonts w:ascii="Arial" w:hAnsi="Arial" w:cs="Arial"/>
                <w:sz w:val="20"/>
                <w:szCs w:val="20"/>
              </w:rPr>
            </w:pPr>
          </w:p>
          <w:p w14:paraId="3F7AB8EB"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Secondary: </w:t>
            </w:r>
          </w:p>
          <w:p w14:paraId="3B8A7055" w14:textId="6214F1C0" w:rsidR="00047706" w:rsidRPr="00047706" w:rsidRDefault="00047706" w:rsidP="000B3401">
            <w:pPr>
              <w:spacing w:after="0" w:line="240" w:lineRule="auto"/>
              <w:rPr>
                <w:rFonts w:ascii="Arial" w:hAnsi="Arial" w:cs="Arial"/>
                <w:sz w:val="20"/>
                <w:szCs w:val="20"/>
              </w:rPr>
            </w:pPr>
            <w:r w:rsidRPr="00047706">
              <w:rPr>
                <w:rFonts w:ascii="Arial" w:hAnsi="Arial" w:cs="Arial"/>
                <w:sz w:val="20"/>
                <w:szCs w:val="20"/>
              </w:rPr>
              <w:t>Change in average pain intensity over the entire 12-week maintenance period compared to baseline</w:t>
            </w:r>
          </w:p>
        </w:tc>
        <w:tc>
          <w:tcPr>
            <w:tcW w:w="6030" w:type="dxa"/>
          </w:tcPr>
          <w:p w14:paraId="588B3F8B"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Primary:</w:t>
            </w:r>
          </w:p>
          <w:p w14:paraId="7111ADCE" w14:textId="652B95E8" w:rsidR="00047706" w:rsidRPr="00047706" w:rsidRDefault="00047706" w:rsidP="00DC2527">
            <w:pPr>
              <w:pStyle w:val="NoSpacing"/>
              <w:rPr>
                <w:rFonts w:ascii="Arial" w:hAnsi="Arial" w:cs="Arial"/>
                <w:sz w:val="20"/>
                <w:szCs w:val="20"/>
              </w:rPr>
            </w:pPr>
            <w:r w:rsidRPr="00047706">
              <w:rPr>
                <w:rFonts w:ascii="Arial" w:hAnsi="Arial" w:cs="Arial"/>
                <w:sz w:val="20"/>
                <w:szCs w:val="20"/>
              </w:rPr>
              <w:t>Significant pain relief was achieved with tapentadol ER vs placebo at study endpoint. The lea</w:t>
            </w:r>
            <w:r>
              <w:rPr>
                <w:rFonts w:ascii="Arial" w:hAnsi="Arial" w:cs="Arial"/>
                <w:sz w:val="20"/>
                <w:szCs w:val="20"/>
              </w:rPr>
              <w:t>st square mean difference was -</w:t>
            </w:r>
            <w:r w:rsidRPr="00047706">
              <w:rPr>
                <w:rFonts w:ascii="Arial" w:hAnsi="Arial" w:cs="Arial"/>
                <w:sz w:val="20"/>
                <w:szCs w:val="20"/>
              </w:rPr>
              <w:t xml:space="preserve">0.7 (95% CI, -1.04, -0.33) at week 12 of the maintenance period compared to placebo. </w:t>
            </w:r>
          </w:p>
          <w:p w14:paraId="4E45B0C5" w14:textId="77777777" w:rsidR="00047706" w:rsidRPr="00047706" w:rsidRDefault="00047706" w:rsidP="00DC2527">
            <w:pPr>
              <w:pStyle w:val="NoSpacing"/>
              <w:rPr>
                <w:rFonts w:ascii="Arial" w:hAnsi="Arial" w:cs="Arial"/>
                <w:sz w:val="20"/>
                <w:szCs w:val="20"/>
              </w:rPr>
            </w:pPr>
          </w:p>
          <w:p w14:paraId="629B55D9"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Secondary: </w:t>
            </w:r>
          </w:p>
          <w:p w14:paraId="7C394F54"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The least square mean difference was -0.7 (95% CI, -1.00 to -0.33) for the overall maintenance period for tapentadol compared to placebo (P-values not reported).</w:t>
            </w:r>
          </w:p>
          <w:p w14:paraId="3DA54021" w14:textId="77777777" w:rsidR="00047706" w:rsidRPr="00047706" w:rsidRDefault="00047706" w:rsidP="00DC2527">
            <w:pPr>
              <w:pStyle w:val="NoSpacing"/>
              <w:rPr>
                <w:rFonts w:ascii="Arial" w:hAnsi="Arial" w:cs="Arial"/>
                <w:sz w:val="20"/>
                <w:szCs w:val="20"/>
              </w:rPr>
            </w:pPr>
          </w:p>
          <w:p w14:paraId="0799FA26"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The average pain intensity rating with oxycodone CR was reduced significantly compared to placebo from baseline for the overall maintenance period (least square mean difference vs placebo, -0.3; 95% CI, -0.67 to 0.00), but was not statistically significantly lower at week-12 of the maintenance period (-0.3; 95% CI, -0.68 to 0.02); P-values not reported.</w:t>
            </w:r>
          </w:p>
          <w:p w14:paraId="391E3436" w14:textId="77777777" w:rsidR="00047706" w:rsidRPr="00047706" w:rsidRDefault="00047706" w:rsidP="00DC2527">
            <w:pPr>
              <w:pStyle w:val="NoSpacing"/>
              <w:rPr>
                <w:rFonts w:ascii="Arial" w:hAnsi="Arial" w:cs="Arial"/>
                <w:sz w:val="20"/>
                <w:szCs w:val="20"/>
              </w:rPr>
            </w:pPr>
          </w:p>
          <w:p w14:paraId="56C5BC21"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The percentage of patients who achieved ≥30% reduction from baseline in average pain intensity at week-12 of the maintenance </w:t>
            </w:r>
            <w:r w:rsidRPr="00047706">
              <w:rPr>
                <w:rFonts w:ascii="Arial" w:hAnsi="Arial" w:cs="Arial"/>
                <w:sz w:val="20"/>
                <w:szCs w:val="20"/>
              </w:rPr>
              <w:lastRenderedPageBreak/>
              <w:t>period was not significantly different between tapentadol ER and placebo (43.0 vs 35.9%; P=0.058), but was significantly lower for oxycodone CR compared to placebo (24.9 vs 35.9%; P=0.002).</w:t>
            </w:r>
          </w:p>
          <w:p w14:paraId="7ACF26E2" w14:textId="77777777" w:rsidR="00047706" w:rsidRPr="00047706" w:rsidRDefault="00047706" w:rsidP="00DC2527">
            <w:pPr>
              <w:pStyle w:val="NoSpacing"/>
              <w:rPr>
                <w:rFonts w:ascii="Arial" w:hAnsi="Arial" w:cs="Arial"/>
                <w:sz w:val="20"/>
                <w:szCs w:val="20"/>
              </w:rPr>
            </w:pPr>
          </w:p>
          <w:p w14:paraId="7813B7B1"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Treatment with tapentadol ER resulted in a significantly higher percentage of patients achieving ≥50% reduction in average pain intensity from baseline at week-12 of the maintenance period vs treatment with placebo (32.0 vs 24.3%; P=0.027). Conversely, treatment with oxycodone CR resulted in a significantly lower percentage of patients achieving at least a 50% reduction in average pain intensity from baseline at week-12 of the maintenance period vs treatment with placebo (17.3 vs 24.3%; P=0.023).</w:t>
            </w:r>
          </w:p>
          <w:p w14:paraId="277AEA6D" w14:textId="77777777" w:rsidR="00047706" w:rsidRPr="00047706" w:rsidRDefault="00047706" w:rsidP="00DC2527">
            <w:pPr>
              <w:pStyle w:val="NoSpacing"/>
              <w:rPr>
                <w:rFonts w:ascii="Arial" w:hAnsi="Arial" w:cs="Arial"/>
                <w:sz w:val="20"/>
                <w:szCs w:val="20"/>
              </w:rPr>
            </w:pPr>
          </w:p>
          <w:p w14:paraId="31802B72"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Tapentadol ER was significantly better than placebo at week-12 on the WOMAC global scale with a least square mean difference of -0.21 (95% CI, -0.357 to -0.065; P=0.0047) compared to the least square mean difference between oxycodone CR and placebo -0.18 (95% CI, -0.343 to -0.010; P=0.0381). </w:t>
            </w:r>
          </w:p>
          <w:p w14:paraId="1D0F71B5" w14:textId="77777777" w:rsidR="00047706" w:rsidRPr="00047706" w:rsidRDefault="00047706" w:rsidP="00DC2527">
            <w:pPr>
              <w:pStyle w:val="NoSpacing"/>
              <w:rPr>
                <w:rFonts w:ascii="Arial" w:hAnsi="Arial" w:cs="Arial"/>
                <w:sz w:val="20"/>
                <w:szCs w:val="20"/>
              </w:rPr>
            </w:pPr>
          </w:p>
          <w:p w14:paraId="7489F68E"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The pain subscale for tapentadol ER compared to placebo was a least square mean difference of -0.27 (95% CI, -0.422 to -0.126; P&lt;0.001) compared to the least square mean difference between oxycodone CR and placebo of -0.17 (95% CI, -0.338 to -0.000; P=0.051). </w:t>
            </w:r>
          </w:p>
          <w:p w14:paraId="6BC4A290" w14:textId="77777777" w:rsidR="00047706" w:rsidRPr="00047706" w:rsidRDefault="00047706" w:rsidP="00DC2527">
            <w:pPr>
              <w:pStyle w:val="NoSpacing"/>
              <w:rPr>
                <w:rFonts w:ascii="Arial" w:hAnsi="Arial" w:cs="Arial"/>
                <w:sz w:val="20"/>
                <w:szCs w:val="20"/>
              </w:rPr>
            </w:pPr>
          </w:p>
          <w:p w14:paraId="719D6D9D"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The physical function subscale at week-12 was significantly improved with tapentadol ER and placebo (least square mean difference of -0.21; 95% CI, -0.357 to -0.060; P=0.006), whereas the least square mean difference between oxycodone CR and placebo was -0.20 (95% CI, -0.373 to -0.034; P=0.019). </w:t>
            </w:r>
          </w:p>
          <w:p w14:paraId="3F831141" w14:textId="77777777" w:rsidR="00047706" w:rsidRPr="00047706" w:rsidRDefault="00047706" w:rsidP="00DC2527">
            <w:pPr>
              <w:pStyle w:val="NoSpacing"/>
              <w:rPr>
                <w:rFonts w:ascii="Arial" w:hAnsi="Arial" w:cs="Arial"/>
                <w:sz w:val="20"/>
                <w:szCs w:val="20"/>
              </w:rPr>
            </w:pPr>
          </w:p>
          <w:p w14:paraId="2239AFC6"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The stiffness subscale assessment was improved with tapentadol ER compared to placebo with a least square mean difference of -0.17 (95% CI, -0.377 to -0.002; P=0.053); however the difference </w:t>
            </w:r>
            <w:r w:rsidRPr="00047706">
              <w:rPr>
                <w:rFonts w:ascii="Arial" w:hAnsi="Arial" w:cs="Arial"/>
                <w:sz w:val="20"/>
                <w:szCs w:val="20"/>
              </w:rPr>
              <w:lastRenderedPageBreak/>
              <w:t>was not statistically significant. Conversely, the least square mean difference between oxycodone ER and placebo was -0.10 (95% CI, -0.292 to 0.096; P=0.321), which also was not statistically significant.</w:t>
            </w:r>
          </w:p>
          <w:p w14:paraId="1A190B82" w14:textId="77777777" w:rsidR="00047706" w:rsidRPr="00047706" w:rsidRDefault="00047706" w:rsidP="00DC2527">
            <w:pPr>
              <w:pStyle w:val="NoSpacing"/>
              <w:rPr>
                <w:rFonts w:ascii="Arial" w:hAnsi="Arial" w:cs="Arial"/>
                <w:sz w:val="20"/>
                <w:szCs w:val="20"/>
              </w:rPr>
            </w:pPr>
          </w:p>
          <w:p w14:paraId="49043CE7" w14:textId="4DDB4621" w:rsidR="00047706" w:rsidRPr="00047706" w:rsidRDefault="00047706" w:rsidP="000B3401">
            <w:pPr>
              <w:spacing w:after="0" w:line="240" w:lineRule="auto"/>
              <w:rPr>
                <w:rFonts w:ascii="Arial" w:hAnsi="Arial" w:cs="Arial"/>
                <w:sz w:val="20"/>
                <w:szCs w:val="20"/>
              </w:rPr>
            </w:pPr>
            <w:r w:rsidRPr="00047706">
              <w:rPr>
                <w:rFonts w:ascii="Arial" w:hAnsi="Arial" w:cs="Arial"/>
                <w:sz w:val="20"/>
                <w:szCs w:val="20"/>
              </w:rPr>
              <w:t xml:space="preserve">The incidence of adverse events was 61.1% with placebo, 75.9% with tapentadol ER, and 87.4% with oxycodone CR. The most common events (≥10% in any group) in the active treatment groups were nausea, constipation, vomiting, dizziness, headache, somnolence, fatigue and pruritus. The majority of reported events were mild to moderate in severity. Events leading to discontinuation occurred in 6.5% of patients treated with placebo, 19.2% of patients treated with tapentadol ER, and 42.7% of patients treated with oxycodone ER. Gastrointestinal-related events were the most common events in both active treatment groups. </w:t>
            </w:r>
          </w:p>
        </w:tc>
      </w:tr>
      <w:tr w:rsidR="00047706" w:rsidRPr="0044122B" w14:paraId="0788EB9E" w14:textId="77777777" w:rsidTr="001723DB">
        <w:tc>
          <w:tcPr>
            <w:tcW w:w="2640" w:type="dxa"/>
          </w:tcPr>
          <w:p w14:paraId="2EFA0362" w14:textId="366900EA" w:rsidR="00047706" w:rsidRPr="00047706" w:rsidRDefault="00903FBD" w:rsidP="00DC2527">
            <w:pPr>
              <w:pStyle w:val="NoSpacing"/>
              <w:rPr>
                <w:rFonts w:ascii="Arial" w:hAnsi="Arial" w:cs="Arial"/>
                <w:sz w:val="20"/>
                <w:szCs w:val="20"/>
              </w:rPr>
            </w:pPr>
            <w:r>
              <w:rPr>
                <w:rFonts w:ascii="Arial" w:hAnsi="Arial" w:cs="Arial"/>
                <w:sz w:val="20"/>
                <w:szCs w:val="20"/>
              </w:rPr>
              <w:lastRenderedPageBreak/>
              <w:t>Schwartz et al</w:t>
            </w:r>
            <w:r w:rsidR="00047706">
              <w:rPr>
                <w:rFonts w:ascii="Arial" w:hAnsi="Arial" w:cs="Arial"/>
                <w:sz w:val="20"/>
                <w:szCs w:val="20"/>
                <w:vertAlign w:val="superscript"/>
              </w:rPr>
              <w:t>7</w:t>
            </w:r>
          </w:p>
          <w:p w14:paraId="4860993F" w14:textId="77777777" w:rsidR="00047706" w:rsidRPr="00047706" w:rsidRDefault="00047706" w:rsidP="00DC2527">
            <w:pPr>
              <w:pStyle w:val="NoSpacing"/>
              <w:rPr>
                <w:rFonts w:ascii="Arial" w:hAnsi="Arial" w:cs="Arial"/>
                <w:sz w:val="20"/>
                <w:szCs w:val="20"/>
              </w:rPr>
            </w:pPr>
          </w:p>
          <w:p w14:paraId="3CE3ED23"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Tapentadol ER 100 to 250 mg BID (fixed, optimal dose identified for patients during OL phase of trial) </w:t>
            </w:r>
          </w:p>
          <w:p w14:paraId="0F0D3D19" w14:textId="77777777" w:rsidR="00047706" w:rsidRPr="00047706" w:rsidRDefault="00047706" w:rsidP="00DC2527">
            <w:pPr>
              <w:pStyle w:val="NoSpacing"/>
              <w:rPr>
                <w:rFonts w:ascii="Arial" w:hAnsi="Arial" w:cs="Arial"/>
                <w:sz w:val="20"/>
                <w:szCs w:val="20"/>
              </w:rPr>
            </w:pPr>
          </w:p>
          <w:p w14:paraId="09ED9258"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vs </w:t>
            </w:r>
          </w:p>
          <w:p w14:paraId="7A13FE86" w14:textId="77777777" w:rsidR="00047706" w:rsidRPr="00047706" w:rsidRDefault="00047706" w:rsidP="00DC2527">
            <w:pPr>
              <w:pStyle w:val="NoSpacing"/>
              <w:rPr>
                <w:rFonts w:ascii="Arial" w:hAnsi="Arial" w:cs="Arial"/>
                <w:sz w:val="20"/>
                <w:szCs w:val="20"/>
              </w:rPr>
            </w:pPr>
          </w:p>
          <w:p w14:paraId="6C186299"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placebo</w:t>
            </w:r>
          </w:p>
          <w:p w14:paraId="7E8B7473" w14:textId="77777777" w:rsidR="00047706" w:rsidRPr="00047706" w:rsidRDefault="00047706" w:rsidP="00DC2527">
            <w:pPr>
              <w:pStyle w:val="NoSpacing"/>
              <w:rPr>
                <w:rFonts w:ascii="Arial" w:hAnsi="Arial" w:cs="Arial"/>
                <w:sz w:val="20"/>
                <w:szCs w:val="20"/>
              </w:rPr>
            </w:pPr>
          </w:p>
          <w:p w14:paraId="46FF5D22" w14:textId="561CA32F"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Initial treatment with tapentadol ER 50 mg BID for </w:t>
            </w:r>
            <w:r w:rsidR="00903FBD">
              <w:rPr>
                <w:rFonts w:ascii="Arial" w:hAnsi="Arial" w:cs="Arial"/>
                <w:sz w:val="20"/>
                <w:szCs w:val="20"/>
              </w:rPr>
              <w:t>three</w:t>
            </w:r>
            <w:r w:rsidRPr="00047706">
              <w:rPr>
                <w:rFonts w:ascii="Arial" w:hAnsi="Arial" w:cs="Arial"/>
                <w:sz w:val="20"/>
                <w:szCs w:val="20"/>
              </w:rPr>
              <w:t xml:space="preserve"> days; then titrated t</w:t>
            </w:r>
            <w:r w:rsidR="00903FBD">
              <w:rPr>
                <w:rFonts w:ascii="Arial" w:hAnsi="Arial" w:cs="Arial"/>
                <w:sz w:val="20"/>
                <w:szCs w:val="20"/>
              </w:rPr>
              <w:t>o tapentadol ER 100 mg BID for three</w:t>
            </w:r>
            <w:r w:rsidRPr="00047706">
              <w:rPr>
                <w:rFonts w:ascii="Arial" w:hAnsi="Arial" w:cs="Arial"/>
                <w:sz w:val="20"/>
                <w:szCs w:val="20"/>
              </w:rPr>
              <w:t xml:space="preserve"> days (minimum study dose for maintenance); subsequent titration in 50 mg </w:t>
            </w:r>
            <w:r w:rsidR="00903FBD">
              <w:rPr>
                <w:rFonts w:ascii="Arial" w:hAnsi="Arial" w:cs="Arial"/>
                <w:sz w:val="20"/>
                <w:szCs w:val="20"/>
              </w:rPr>
              <w:lastRenderedPageBreak/>
              <w:t>increments every three</w:t>
            </w:r>
            <w:r w:rsidRPr="00047706">
              <w:rPr>
                <w:rFonts w:ascii="Arial" w:hAnsi="Arial" w:cs="Arial"/>
                <w:sz w:val="20"/>
                <w:szCs w:val="20"/>
              </w:rPr>
              <w:t xml:space="preserve"> days (within dose range of 100 to 250 mg BID). </w:t>
            </w:r>
          </w:p>
          <w:p w14:paraId="4DA4B6D8" w14:textId="77777777" w:rsidR="00047706" w:rsidRPr="00047706" w:rsidRDefault="00047706" w:rsidP="00DC2527">
            <w:pPr>
              <w:pStyle w:val="NoSpacing"/>
              <w:rPr>
                <w:rFonts w:ascii="Arial" w:hAnsi="Arial" w:cs="Arial"/>
                <w:sz w:val="20"/>
                <w:szCs w:val="20"/>
              </w:rPr>
            </w:pPr>
          </w:p>
          <w:p w14:paraId="66B07DD6" w14:textId="44FA7BD3" w:rsidR="00047706" w:rsidRPr="00047706" w:rsidRDefault="00047706" w:rsidP="00903FBD">
            <w:pPr>
              <w:spacing w:after="0" w:line="240" w:lineRule="auto"/>
              <w:rPr>
                <w:rFonts w:ascii="Arial" w:hAnsi="Arial" w:cs="Arial"/>
                <w:sz w:val="20"/>
                <w:szCs w:val="20"/>
              </w:rPr>
            </w:pPr>
            <w:r w:rsidRPr="00047706">
              <w:rPr>
                <w:rFonts w:ascii="Arial" w:hAnsi="Arial" w:cs="Arial"/>
                <w:sz w:val="20"/>
                <w:szCs w:val="20"/>
              </w:rPr>
              <w:t xml:space="preserve">APAP ≤2,000 mg/day was permitted during the OL phase, except during the last </w:t>
            </w:r>
            <w:r w:rsidR="00903FBD">
              <w:rPr>
                <w:rFonts w:ascii="Arial" w:hAnsi="Arial" w:cs="Arial"/>
                <w:sz w:val="20"/>
                <w:szCs w:val="20"/>
              </w:rPr>
              <w:t>four</w:t>
            </w:r>
            <w:r w:rsidRPr="00047706">
              <w:rPr>
                <w:rFonts w:ascii="Arial" w:hAnsi="Arial" w:cs="Arial"/>
                <w:sz w:val="20"/>
                <w:szCs w:val="20"/>
              </w:rPr>
              <w:t xml:space="preserve"> days. </w:t>
            </w:r>
          </w:p>
        </w:tc>
        <w:tc>
          <w:tcPr>
            <w:tcW w:w="1760" w:type="dxa"/>
          </w:tcPr>
          <w:p w14:paraId="0CF9B5B1"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lastRenderedPageBreak/>
              <w:t>DB, PC, PG, RCT</w:t>
            </w:r>
          </w:p>
          <w:p w14:paraId="62BBFFCC" w14:textId="77777777" w:rsidR="00047706" w:rsidRPr="00047706" w:rsidRDefault="00047706" w:rsidP="00DC2527">
            <w:pPr>
              <w:pStyle w:val="NoSpacing"/>
              <w:rPr>
                <w:rFonts w:ascii="Arial" w:hAnsi="Arial" w:cs="Arial"/>
                <w:sz w:val="20"/>
                <w:szCs w:val="20"/>
              </w:rPr>
            </w:pPr>
          </w:p>
          <w:p w14:paraId="1BD8782D" w14:textId="40F32CCA" w:rsidR="00047706" w:rsidRPr="00047706" w:rsidRDefault="00047706" w:rsidP="0084378F">
            <w:pPr>
              <w:spacing w:after="0" w:line="240" w:lineRule="auto"/>
              <w:rPr>
                <w:rFonts w:ascii="Arial" w:hAnsi="Arial" w:cs="Arial"/>
                <w:sz w:val="20"/>
                <w:szCs w:val="20"/>
              </w:rPr>
            </w:pPr>
            <w:r w:rsidRPr="00047706">
              <w:rPr>
                <w:rFonts w:ascii="Arial" w:hAnsi="Arial" w:cs="Arial"/>
                <w:sz w:val="20"/>
                <w:szCs w:val="20"/>
              </w:rPr>
              <w:t xml:space="preserve">Adults ≥18 years with Type 1 or 2 </w:t>
            </w:r>
            <w:r w:rsidR="0084378F">
              <w:rPr>
                <w:rFonts w:ascii="Arial" w:hAnsi="Arial" w:cs="Arial"/>
                <w:sz w:val="20"/>
                <w:szCs w:val="20"/>
              </w:rPr>
              <w:t>DM</w:t>
            </w:r>
            <w:r w:rsidRPr="00047706">
              <w:rPr>
                <w:rFonts w:ascii="Arial" w:hAnsi="Arial" w:cs="Arial"/>
                <w:sz w:val="20"/>
                <w:szCs w:val="20"/>
              </w:rPr>
              <w:t xml:space="preserve"> and painful diabetic peripheral neuropathy for ≥6 months with a  history of analgesic use for diabetic peripheral neuropathy and dissatisfaction with current treatment (opioid daily doses </w:t>
            </w:r>
            <w:r w:rsidRPr="00047706">
              <w:rPr>
                <w:rFonts w:ascii="Arial" w:hAnsi="Arial" w:cs="Arial"/>
                <w:sz w:val="20"/>
                <w:szCs w:val="20"/>
              </w:rPr>
              <w:lastRenderedPageBreak/>
              <w:t xml:space="preserve">equivalent to &lt; 160 mg of oral morphine), an average pain intensity score ≥5 on an 11-point rating scale, and effective method of birth control (if applicable) </w:t>
            </w:r>
          </w:p>
        </w:tc>
        <w:tc>
          <w:tcPr>
            <w:tcW w:w="1540" w:type="dxa"/>
          </w:tcPr>
          <w:p w14:paraId="7D7814CA" w14:textId="77777777" w:rsidR="00047706" w:rsidRPr="00047706" w:rsidRDefault="00047706" w:rsidP="00DC2527">
            <w:pPr>
              <w:pStyle w:val="NoSpacing"/>
              <w:jc w:val="center"/>
              <w:rPr>
                <w:rFonts w:ascii="Arial" w:hAnsi="Arial" w:cs="Arial"/>
                <w:sz w:val="20"/>
                <w:szCs w:val="20"/>
              </w:rPr>
            </w:pPr>
            <w:r w:rsidRPr="00047706">
              <w:rPr>
                <w:rFonts w:ascii="Arial" w:hAnsi="Arial" w:cs="Arial"/>
                <w:sz w:val="20"/>
                <w:szCs w:val="20"/>
              </w:rPr>
              <w:lastRenderedPageBreak/>
              <w:t>N=395</w:t>
            </w:r>
          </w:p>
          <w:p w14:paraId="02C29714" w14:textId="77777777" w:rsidR="00047706" w:rsidRPr="00047706" w:rsidRDefault="00047706" w:rsidP="00DC2527">
            <w:pPr>
              <w:pStyle w:val="NoSpacing"/>
              <w:jc w:val="center"/>
              <w:rPr>
                <w:rFonts w:ascii="Arial" w:hAnsi="Arial" w:cs="Arial"/>
                <w:sz w:val="20"/>
                <w:szCs w:val="20"/>
              </w:rPr>
            </w:pPr>
            <w:r w:rsidRPr="00047706">
              <w:rPr>
                <w:rFonts w:ascii="Arial" w:hAnsi="Arial" w:cs="Arial"/>
                <w:sz w:val="20"/>
                <w:szCs w:val="20"/>
              </w:rPr>
              <w:t>(A total of 588 received study drug through OL titration phase; a total of 395 were randomized to DB phase of the study)</w:t>
            </w:r>
          </w:p>
          <w:p w14:paraId="7E2A79F5" w14:textId="77777777" w:rsidR="00047706" w:rsidRPr="00047706" w:rsidRDefault="00047706" w:rsidP="00DC2527">
            <w:pPr>
              <w:pStyle w:val="NoSpacing"/>
              <w:jc w:val="center"/>
              <w:rPr>
                <w:rFonts w:ascii="Arial" w:hAnsi="Arial" w:cs="Arial"/>
                <w:sz w:val="20"/>
                <w:szCs w:val="20"/>
              </w:rPr>
            </w:pPr>
          </w:p>
          <w:p w14:paraId="3E95A5D7" w14:textId="77777777" w:rsidR="00047706" w:rsidRPr="00047706" w:rsidRDefault="00047706" w:rsidP="00DC2527">
            <w:pPr>
              <w:pStyle w:val="NoSpacing"/>
              <w:jc w:val="center"/>
              <w:rPr>
                <w:rFonts w:ascii="Arial" w:hAnsi="Arial" w:cs="Arial"/>
                <w:sz w:val="20"/>
                <w:szCs w:val="20"/>
              </w:rPr>
            </w:pPr>
            <w:r w:rsidRPr="00047706">
              <w:rPr>
                <w:rFonts w:ascii="Arial" w:hAnsi="Arial" w:cs="Arial"/>
                <w:sz w:val="20"/>
                <w:szCs w:val="20"/>
              </w:rPr>
              <w:t xml:space="preserve">12 weeks (maintenance </w:t>
            </w:r>
            <w:r w:rsidRPr="00047706">
              <w:rPr>
                <w:rFonts w:ascii="Arial" w:hAnsi="Arial" w:cs="Arial"/>
                <w:sz w:val="20"/>
                <w:szCs w:val="20"/>
              </w:rPr>
              <w:br/>
              <w:t xml:space="preserve"> phase after a 3-week </w:t>
            </w:r>
            <w:r w:rsidRPr="00047706">
              <w:rPr>
                <w:rFonts w:ascii="Arial" w:hAnsi="Arial" w:cs="Arial"/>
                <w:sz w:val="20"/>
                <w:szCs w:val="20"/>
              </w:rPr>
              <w:br/>
              <w:t xml:space="preserve"> titration phase)</w:t>
            </w:r>
          </w:p>
          <w:p w14:paraId="5A870C5F" w14:textId="77777777" w:rsidR="00047706" w:rsidRPr="00047706" w:rsidRDefault="00047706" w:rsidP="000B3401">
            <w:pPr>
              <w:spacing w:after="0" w:line="240" w:lineRule="auto"/>
              <w:jc w:val="center"/>
              <w:rPr>
                <w:rFonts w:ascii="Arial" w:hAnsi="Arial" w:cs="Arial"/>
                <w:sz w:val="20"/>
                <w:szCs w:val="20"/>
              </w:rPr>
            </w:pPr>
          </w:p>
        </w:tc>
        <w:tc>
          <w:tcPr>
            <w:tcW w:w="1760" w:type="dxa"/>
          </w:tcPr>
          <w:p w14:paraId="0E0800DA"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Primary: </w:t>
            </w:r>
          </w:p>
          <w:p w14:paraId="64155335"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The change from baseline in average pain intensity over the last week (week-12) of the maintenance phase</w:t>
            </w:r>
          </w:p>
          <w:p w14:paraId="2125F1F2" w14:textId="77777777" w:rsidR="00047706" w:rsidRPr="00047706" w:rsidRDefault="00047706" w:rsidP="00DC2527">
            <w:pPr>
              <w:pStyle w:val="NoSpacing"/>
              <w:rPr>
                <w:rFonts w:ascii="Arial" w:hAnsi="Arial" w:cs="Arial"/>
                <w:sz w:val="20"/>
                <w:szCs w:val="20"/>
              </w:rPr>
            </w:pPr>
          </w:p>
          <w:p w14:paraId="47BF94A6"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Secondary: </w:t>
            </w:r>
          </w:p>
          <w:p w14:paraId="09F270EE" w14:textId="1BB685F0" w:rsidR="00047706" w:rsidRPr="00047706" w:rsidRDefault="00047706" w:rsidP="000B3401">
            <w:pPr>
              <w:spacing w:after="0" w:line="240" w:lineRule="auto"/>
              <w:rPr>
                <w:rFonts w:ascii="Arial" w:hAnsi="Arial" w:cs="Arial"/>
                <w:sz w:val="20"/>
                <w:szCs w:val="20"/>
              </w:rPr>
            </w:pPr>
            <w:r w:rsidRPr="00047706">
              <w:rPr>
                <w:rFonts w:ascii="Arial" w:hAnsi="Arial" w:cs="Arial"/>
                <w:sz w:val="20"/>
                <w:szCs w:val="20"/>
              </w:rPr>
              <w:t xml:space="preserve">Proportion of patients with improvements in pain intensity of at least 30 and 50% at week 12 (i.e., responder rate), PGIC at </w:t>
            </w:r>
            <w:r w:rsidRPr="00047706">
              <w:rPr>
                <w:rFonts w:ascii="Arial" w:hAnsi="Arial" w:cs="Arial"/>
                <w:sz w:val="20"/>
                <w:szCs w:val="20"/>
              </w:rPr>
              <w:lastRenderedPageBreak/>
              <w:t>weeks two, six, and 12, and safety measures</w:t>
            </w:r>
          </w:p>
        </w:tc>
        <w:tc>
          <w:tcPr>
            <w:tcW w:w="6030" w:type="dxa"/>
          </w:tcPr>
          <w:p w14:paraId="443D15AA"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lastRenderedPageBreak/>
              <w:t xml:space="preserve">Primary: </w:t>
            </w:r>
          </w:p>
          <w:p w14:paraId="7674ED8D"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The least square mean change in average pain intensity from the start of DB treatment to week 12 was 1.4 in the placebo group, indicating a worsening in pain intensity, and 0.0 in the tapentadol ER group, indicating no change in pain intensity. The least square mean difference between tapentadol ER and placebo was -1.3 (95% CI, -1.70 to -0.92; P&lt;0.001).</w:t>
            </w:r>
          </w:p>
          <w:p w14:paraId="7ECA2F68" w14:textId="77777777" w:rsidR="00047706" w:rsidRPr="00047706" w:rsidRDefault="00047706" w:rsidP="00DC2527">
            <w:pPr>
              <w:pStyle w:val="NoSpacing"/>
              <w:rPr>
                <w:rFonts w:ascii="Arial" w:hAnsi="Arial" w:cs="Arial"/>
                <w:sz w:val="20"/>
                <w:szCs w:val="20"/>
              </w:rPr>
            </w:pPr>
          </w:p>
          <w:p w14:paraId="2D89AC48"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Secondary: </w:t>
            </w:r>
          </w:p>
          <w:p w14:paraId="15A3179B"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The mean changes in average pain intensity scores (on 11-point rating scale) from baseline to week-12 were similar between males and females who received tapentadol ER, for those &lt;65 years of age and those &gt;65 years who received tapentadol ER, as well as those who were opioid-naïve and opioid-experienced. </w:t>
            </w:r>
          </w:p>
          <w:p w14:paraId="2CCD59CB" w14:textId="77777777" w:rsidR="00047706" w:rsidRPr="00047706" w:rsidRDefault="00047706" w:rsidP="00DC2527">
            <w:pPr>
              <w:pStyle w:val="NoSpacing"/>
              <w:rPr>
                <w:rFonts w:ascii="Arial" w:hAnsi="Arial" w:cs="Arial"/>
                <w:sz w:val="20"/>
                <w:szCs w:val="20"/>
              </w:rPr>
            </w:pPr>
          </w:p>
          <w:p w14:paraId="5CFA9B55"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From pre-titration to week 12 of maintenance treatment, at least a 30% improvement in pain intensity was observed in 53.6% of tapentadol ER-treated patients and 42.2% of placebo-treated patients (P=0.017). </w:t>
            </w:r>
          </w:p>
          <w:p w14:paraId="1525FCE0" w14:textId="77777777" w:rsidR="00047706" w:rsidRPr="00047706" w:rsidRDefault="00047706" w:rsidP="00DC2527">
            <w:pPr>
              <w:pStyle w:val="NoSpacing"/>
              <w:rPr>
                <w:rFonts w:ascii="Arial" w:hAnsi="Arial" w:cs="Arial"/>
                <w:sz w:val="20"/>
                <w:szCs w:val="20"/>
              </w:rPr>
            </w:pPr>
          </w:p>
          <w:p w14:paraId="6D62CD8D"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At least a 50% improvement in pain intensity from pre-titration to week-12 was observed in 37.8% of tapentadol ER-treated patients and 27.6% of placebo-treated patients. </w:t>
            </w:r>
          </w:p>
          <w:p w14:paraId="02749290" w14:textId="77777777" w:rsidR="00047706" w:rsidRPr="00047706" w:rsidRDefault="00047706" w:rsidP="00DC2527">
            <w:pPr>
              <w:pStyle w:val="NoSpacing"/>
              <w:rPr>
                <w:rFonts w:ascii="Arial" w:hAnsi="Arial" w:cs="Arial"/>
                <w:sz w:val="20"/>
                <w:szCs w:val="20"/>
              </w:rPr>
            </w:pPr>
          </w:p>
          <w:p w14:paraId="4D2746D9"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There was a statistically significant difference in the distribution of responder rates for patients with any degree of improvement (pre-titration to week-12) between the tapentadol ER and placebo groups (P=0.032).</w:t>
            </w:r>
          </w:p>
          <w:p w14:paraId="76D5D6F0" w14:textId="77777777" w:rsidR="00047706" w:rsidRPr="00047706" w:rsidRDefault="00047706" w:rsidP="00DC2527">
            <w:pPr>
              <w:pStyle w:val="NoSpacing"/>
              <w:rPr>
                <w:rFonts w:ascii="Arial" w:hAnsi="Arial" w:cs="Arial"/>
                <w:sz w:val="20"/>
                <w:szCs w:val="20"/>
              </w:rPr>
            </w:pPr>
          </w:p>
          <w:p w14:paraId="04A39972"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Of the patients who achieved ≥ 30% improvement in pain intensity (titration phase) and were randomized to tapentadol ER treatment, 60.8% maintained ≥30% improvement through week 12 (maintenance phase); whereas 34.0% of patients who had not achieved at least a 30% improvement in pain intensity (titration phase) and were randomized to tapentadol ER reached ≥30% improvement from pre-titration by week 12 of the maintenance period.</w:t>
            </w:r>
          </w:p>
          <w:p w14:paraId="13425F3E" w14:textId="77777777" w:rsidR="00047706" w:rsidRPr="00047706" w:rsidRDefault="00047706" w:rsidP="00DC2527">
            <w:pPr>
              <w:pStyle w:val="NoSpacing"/>
              <w:rPr>
                <w:rFonts w:ascii="Arial" w:hAnsi="Arial" w:cs="Arial"/>
                <w:sz w:val="20"/>
                <w:szCs w:val="20"/>
              </w:rPr>
            </w:pPr>
          </w:p>
          <w:p w14:paraId="744C832B"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Of those patients who were randomized to placebo after achieving ≥30%improvement in pain intensity (titration phase), 48.7% of patients maintained ≥30% improvement through the maintenance phase, while only 17.5% of patients who were randomized to placebo and had not reached ≥30% improvement (titration phase) achieved ≥30% improvement in pain intensity during the maintenance phase.</w:t>
            </w:r>
          </w:p>
          <w:p w14:paraId="36510AEC" w14:textId="77777777" w:rsidR="00047706" w:rsidRPr="00047706" w:rsidRDefault="00047706" w:rsidP="00DC2527">
            <w:pPr>
              <w:pStyle w:val="NoSpacing"/>
              <w:rPr>
                <w:rFonts w:ascii="Arial" w:hAnsi="Arial" w:cs="Arial"/>
                <w:sz w:val="20"/>
                <w:szCs w:val="20"/>
              </w:rPr>
            </w:pPr>
          </w:p>
          <w:p w14:paraId="5E1CD4C7"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Among patients who achieved ≥50% improvement in pain intensity (titration phase) and were randomized to treatment with tapentadol ER, 59.1% of patients maintained ≥50% improvement through week 12 (maintenance phase); whereas 18.0% of patients who had not achieved ≥50% improvement (titration phase) and were randomized to tapentadol ER reached ≥50% improvement from pre-titration by week 12 of the maintenance period. </w:t>
            </w:r>
          </w:p>
          <w:p w14:paraId="131BB65B" w14:textId="77777777" w:rsidR="00047706" w:rsidRPr="00047706" w:rsidRDefault="00047706" w:rsidP="00DC2527">
            <w:pPr>
              <w:pStyle w:val="NoSpacing"/>
              <w:rPr>
                <w:rFonts w:ascii="Arial" w:hAnsi="Arial" w:cs="Arial"/>
                <w:sz w:val="20"/>
                <w:szCs w:val="20"/>
              </w:rPr>
            </w:pPr>
          </w:p>
          <w:p w14:paraId="292F6F4B"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Among patients who were randomized to placebo after achieving ≥50% improvement in pain intensity (titration phase), 36.4% of patients maintained ≥50% improvement through the maintenance phase, while only 16.5% of those randomized to placebo and had not reached ≥50% improvement during titration reached ≥50% improvement during the maintenance phase.</w:t>
            </w:r>
          </w:p>
          <w:p w14:paraId="1BCD467F" w14:textId="77777777" w:rsidR="00047706" w:rsidRPr="00047706" w:rsidRDefault="00047706" w:rsidP="00DC2527">
            <w:pPr>
              <w:pStyle w:val="NoSpacing"/>
              <w:rPr>
                <w:rFonts w:ascii="Arial" w:hAnsi="Arial" w:cs="Arial"/>
                <w:sz w:val="20"/>
                <w:szCs w:val="20"/>
              </w:rPr>
            </w:pPr>
          </w:p>
          <w:p w14:paraId="2D163D18"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A total of 64.4% of tapentadol ER-treated patients and 38.4% of placebo-treated patients reported on the PGIC scale that their overall status was “very much improved” or “much improved” (P&lt;0.001).</w:t>
            </w:r>
          </w:p>
          <w:p w14:paraId="49329C15" w14:textId="77777777" w:rsidR="00047706" w:rsidRPr="00047706" w:rsidRDefault="00047706" w:rsidP="00DC2527">
            <w:pPr>
              <w:pStyle w:val="NoSpacing"/>
              <w:rPr>
                <w:rFonts w:ascii="Arial" w:hAnsi="Arial" w:cs="Arial"/>
                <w:sz w:val="20"/>
                <w:szCs w:val="20"/>
              </w:rPr>
            </w:pPr>
          </w:p>
          <w:p w14:paraId="359AADB7"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The overall incidence of adverse events (maintenance phase) was 70.9% among the tapentadol ER group and 51.8% among the placebo group. The most commonly reported events among the active treatment group were nausea, anxiety, diarrhea, and dizziness.</w:t>
            </w:r>
          </w:p>
          <w:p w14:paraId="0A072864" w14:textId="77777777" w:rsidR="00047706" w:rsidRPr="00047706" w:rsidRDefault="00047706" w:rsidP="00DC2527">
            <w:pPr>
              <w:pStyle w:val="NoSpacing"/>
              <w:rPr>
                <w:rFonts w:ascii="Arial" w:hAnsi="Arial" w:cs="Arial"/>
                <w:sz w:val="20"/>
                <w:szCs w:val="20"/>
              </w:rPr>
            </w:pPr>
          </w:p>
          <w:p w14:paraId="4FA52ED0" w14:textId="77777777" w:rsidR="00047706" w:rsidRPr="00047706" w:rsidRDefault="00047706" w:rsidP="00DC2527">
            <w:pPr>
              <w:pStyle w:val="NoSpacing"/>
              <w:rPr>
                <w:rFonts w:ascii="Arial" w:hAnsi="Arial" w:cs="Arial"/>
                <w:sz w:val="20"/>
                <w:szCs w:val="20"/>
              </w:rPr>
            </w:pPr>
            <w:r w:rsidRPr="00047706">
              <w:rPr>
                <w:rFonts w:ascii="Arial" w:hAnsi="Arial" w:cs="Arial"/>
                <w:sz w:val="20"/>
                <w:szCs w:val="20"/>
              </w:rPr>
              <w:t xml:space="preserve">During the maintenance phase, the overall incidence of adverse events was similar between males and females, those ages &lt;65 years and &gt;65 years, and among opioid-naïve and opioid-experienced individuals who received tapentadol ER. </w:t>
            </w:r>
          </w:p>
          <w:p w14:paraId="0F01BB08" w14:textId="77777777" w:rsidR="00047706" w:rsidRPr="00047706" w:rsidRDefault="00047706" w:rsidP="00DC2527">
            <w:pPr>
              <w:pStyle w:val="NoSpacing"/>
              <w:rPr>
                <w:rFonts w:ascii="Arial" w:hAnsi="Arial" w:cs="Arial"/>
                <w:sz w:val="20"/>
                <w:szCs w:val="20"/>
              </w:rPr>
            </w:pPr>
          </w:p>
          <w:p w14:paraId="34E31AD3" w14:textId="5070D0BC" w:rsidR="00047706" w:rsidRPr="00047706" w:rsidRDefault="00047706" w:rsidP="000B3401">
            <w:pPr>
              <w:spacing w:after="0" w:line="240" w:lineRule="auto"/>
              <w:rPr>
                <w:rFonts w:ascii="Arial" w:hAnsi="Arial" w:cs="Arial"/>
                <w:sz w:val="20"/>
                <w:szCs w:val="20"/>
              </w:rPr>
            </w:pPr>
            <w:r w:rsidRPr="00047706">
              <w:rPr>
                <w:rFonts w:ascii="Arial" w:hAnsi="Arial" w:cs="Arial"/>
                <w:sz w:val="20"/>
                <w:szCs w:val="20"/>
              </w:rPr>
              <w:t>Treatment-emergent serious adverse events occurred in 1.4% of tapentadol ER-treated patients in the titration phase; and among 5.1% of the tapentadol ER-treated patients and 1.6% of placebo-treated patients in the maintenance phase.</w:t>
            </w:r>
          </w:p>
        </w:tc>
      </w:tr>
      <w:tr w:rsidR="0015395A" w:rsidRPr="0044122B" w14:paraId="186590DF" w14:textId="77777777" w:rsidTr="001723DB">
        <w:tc>
          <w:tcPr>
            <w:tcW w:w="2640" w:type="dxa"/>
          </w:tcPr>
          <w:p w14:paraId="3F2DD657" w14:textId="6D9C896F" w:rsidR="0015395A" w:rsidRPr="00A75FA4" w:rsidRDefault="00903FBD" w:rsidP="00DC2527">
            <w:pPr>
              <w:spacing w:after="0" w:line="240" w:lineRule="auto"/>
              <w:rPr>
                <w:rFonts w:ascii="Arial" w:hAnsi="Arial" w:cs="Arial"/>
                <w:sz w:val="20"/>
                <w:szCs w:val="20"/>
                <w:vertAlign w:val="superscript"/>
              </w:rPr>
            </w:pPr>
            <w:proofErr w:type="spellStart"/>
            <w:r>
              <w:rPr>
                <w:rFonts w:ascii="Arial" w:hAnsi="Arial" w:cs="Arial"/>
                <w:sz w:val="20"/>
                <w:szCs w:val="20"/>
              </w:rPr>
              <w:lastRenderedPageBreak/>
              <w:t>Vinik</w:t>
            </w:r>
            <w:proofErr w:type="spellEnd"/>
            <w:r>
              <w:rPr>
                <w:rFonts w:ascii="Arial" w:hAnsi="Arial" w:cs="Arial"/>
                <w:sz w:val="20"/>
                <w:szCs w:val="20"/>
              </w:rPr>
              <w:t xml:space="preserve"> et al</w:t>
            </w:r>
            <w:r w:rsidR="000A6CF6">
              <w:rPr>
                <w:rFonts w:ascii="Arial" w:hAnsi="Arial" w:cs="Arial"/>
                <w:sz w:val="20"/>
                <w:szCs w:val="20"/>
                <w:vertAlign w:val="superscript"/>
              </w:rPr>
              <w:t>8</w:t>
            </w:r>
          </w:p>
          <w:p w14:paraId="5C84A5DD" w14:textId="77777777" w:rsidR="0015395A" w:rsidRPr="00A75FA4" w:rsidRDefault="0015395A" w:rsidP="00DC2527">
            <w:pPr>
              <w:spacing w:after="0" w:line="240" w:lineRule="auto"/>
              <w:rPr>
                <w:rFonts w:ascii="Arial" w:hAnsi="Arial" w:cs="Arial"/>
                <w:sz w:val="20"/>
                <w:szCs w:val="20"/>
              </w:rPr>
            </w:pPr>
          </w:p>
          <w:p w14:paraId="67DBFC74" w14:textId="77777777" w:rsidR="0015395A" w:rsidRPr="00A75FA4" w:rsidRDefault="0015395A" w:rsidP="00DC2527">
            <w:pPr>
              <w:spacing w:after="0" w:line="240" w:lineRule="auto"/>
              <w:rPr>
                <w:rFonts w:ascii="Arial" w:hAnsi="Arial" w:cs="Arial"/>
                <w:sz w:val="20"/>
                <w:szCs w:val="20"/>
              </w:rPr>
            </w:pPr>
            <w:r w:rsidRPr="00A75FA4">
              <w:rPr>
                <w:rFonts w:ascii="Arial" w:hAnsi="Arial" w:cs="Arial"/>
                <w:sz w:val="20"/>
                <w:szCs w:val="20"/>
              </w:rPr>
              <w:t>Tapentadol ER 100 to 250 mg BID</w:t>
            </w:r>
          </w:p>
          <w:p w14:paraId="7D70E0ED" w14:textId="77777777" w:rsidR="0015395A" w:rsidRPr="00A75FA4" w:rsidRDefault="0015395A" w:rsidP="00DC2527">
            <w:pPr>
              <w:spacing w:after="0" w:line="240" w:lineRule="auto"/>
              <w:rPr>
                <w:rFonts w:ascii="Arial" w:hAnsi="Arial" w:cs="Arial"/>
                <w:sz w:val="20"/>
                <w:szCs w:val="20"/>
              </w:rPr>
            </w:pPr>
          </w:p>
          <w:p w14:paraId="6E71EECA" w14:textId="33ACCFD4" w:rsidR="0015395A" w:rsidRPr="00A75FA4" w:rsidRDefault="0015395A" w:rsidP="00DC2527">
            <w:pPr>
              <w:spacing w:after="0" w:line="240" w:lineRule="auto"/>
              <w:rPr>
                <w:rFonts w:ascii="Arial" w:hAnsi="Arial" w:cs="Arial"/>
                <w:sz w:val="20"/>
                <w:szCs w:val="20"/>
              </w:rPr>
            </w:pPr>
            <w:r>
              <w:rPr>
                <w:rFonts w:ascii="Arial" w:hAnsi="Arial" w:cs="Arial"/>
                <w:sz w:val="20"/>
                <w:szCs w:val="20"/>
              </w:rPr>
              <w:t>v</w:t>
            </w:r>
            <w:r w:rsidR="00903FBD">
              <w:rPr>
                <w:rFonts w:ascii="Arial" w:hAnsi="Arial" w:cs="Arial"/>
                <w:sz w:val="20"/>
                <w:szCs w:val="20"/>
              </w:rPr>
              <w:t>s</w:t>
            </w:r>
          </w:p>
          <w:p w14:paraId="23E29D9E" w14:textId="77777777" w:rsidR="0015395A" w:rsidRPr="00A75FA4" w:rsidRDefault="0015395A" w:rsidP="00DC2527">
            <w:pPr>
              <w:spacing w:after="0" w:line="240" w:lineRule="auto"/>
              <w:rPr>
                <w:rFonts w:ascii="Arial" w:hAnsi="Arial" w:cs="Arial"/>
                <w:sz w:val="20"/>
                <w:szCs w:val="20"/>
              </w:rPr>
            </w:pPr>
          </w:p>
          <w:p w14:paraId="47C56EF8" w14:textId="77777777" w:rsidR="0015395A" w:rsidRPr="00A75FA4" w:rsidRDefault="0015395A" w:rsidP="00DC2527">
            <w:pPr>
              <w:spacing w:after="0" w:line="240" w:lineRule="auto"/>
              <w:rPr>
                <w:rFonts w:ascii="Arial" w:hAnsi="Arial" w:cs="Arial"/>
                <w:sz w:val="20"/>
                <w:szCs w:val="20"/>
              </w:rPr>
            </w:pPr>
            <w:r w:rsidRPr="00A75FA4">
              <w:rPr>
                <w:rFonts w:ascii="Arial" w:hAnsi="Arial" w:cs="Arial"/>
                <w:sz w:val="20"/>
                <w:szCs w:val="20"/>
              </w:rPr>
              <w:lastRenderedPageBreak/>
              <w:t>placebo</w:t>
            </w:r>
          </w:p>
          <w:p w14:paraId="17D32E51" w14:textId="77777777" w:rsidR="0015395A" w:rsidRPr="00A75FA4" w:rsidRDefault="0015395A" w:rsidP="00DC2527">
            <w:pPr>
              <w:spacing w:after="0" w:line="240" w:lineRule="auto"/>
              <w:rPr>
                <w:rFonts w:ascii="Arial" w:hAnsi="Arial" w:cs="Arial"/>
                <w:sz w:val="20"/>
                <w:szCs w:val="20"/>
              </w:rPr>
            </w:pPr>
          </w:p>
          <w:p w14:paraId="1BA49AD7" w14:textId="77777777" w:rsidR="0015395A" w:rsidRPr="00A75FA4" w:rsidRDefault="0015395A" w:rsidP="00DC2527">
            <w:pPr>
              <w:spacing w:after="0" w:line="240" w:lineRule="auto"/>
              <w:rPr>
                <w:rFonts w:ascii="Arial" w:hAnsi="Arial" w:cs="Arial"/>
                <w:sz w:val="20"/>
                <w:szCs w:val="20"/>
              </w:rPr>
            </w:pPr>
            <w:r w:rsidRPr="00A75FA4">
              <w:rPr>
                <w:rFonts w:ascii="Arial" w:hAnsi="Arial" w:cs="Arial"/>
                <w:sz w:val="20"/>
                <w:szCs w:val="20"/>
              </w:rPr>
              <w:t>Patients were titrated up to a dose of tapentadol ER 100 to 250 mg BID during a three-week OL period. Those with ≥1 point reduction in pain intensity (on 11 point scale) entered the randomized phase.</w:t>
            </w:r>
          </w:p>
          <w:p w14:paraId="14D4F38A" w14:textId="77777777" w:rsidR="0015395A" w:rsidRPr="00A75FA4" w:rsidRDefault="0015395A" w:rsidP="00DC2527">
            <w:pPr>
              <w:spacing w:after="0" w:line="240" w:lineRule="auto"/>
              <w:rPr>
                <w:rFonts w:ascii="Arial" w:hAnsi="Arial" w:cs="Arial"/>
                <w:sz w:val="20"/>
                <w:szCs w:val="20"/>
              </w:rPr>
            </w:pPr>
          </w:p>
          <w:p w14:paraId="2AC3D382" w14:textId="488FA8E8" w:rsidR="0015395A" w:rsidRDefault="0015395A" w:rsidP="000B3401">
            <w:pPr>
              <w:spacing w:after="0" w:line="240" w:lineRule="auto"/>
              <w:rPr>
                <w:rFonts w:ascii="Arial" w:hAnsi="Arial" w:cs="Arial"/>
                <w:sz w:val="20"/>
                <w:szCs w:val="20"/>
              </w:rPr>
            </w:pPr>
            <w:r w:rsidRPr="00A75FA4">
              <w:rPr>
                <w:rFonts w:ascii="Arial" w:eastAsiaTheme="minorHAnsi" w:hAnsi="Arial" w:cs="Arial"/>
                <w:sz w:val="20"/>
                <w:szCs w:val="20"/>
              </w:rPr>
              <w:t>The use of any analgesic except study drug or permitted rescue medication was prohibited throughout the study. Neuroleptics, SNRI, anticonvulsants, and antiparkinsonian drugs were prohibited during the study and within 14 days before screening because their use could confound the primary assessment of analgesic efficacy. Use of SSRI was allowed if patients were on a stable dose for ≥3 months before screening.</w:t>
            </w:r>
          </w:p>
        </w:tc>
        <w:tc>
          <w:tcPr>
            <w:tcW w:w="1760" w:type="dxa"/>
          </w:tcPr>
          <w:p w14:paraId="4A4FB9D3" w14:textId="77777777" w:rsidR="0015395A" w:rsidRPr="00A75FA4" w:rsidRDefault="0015395A" w:rsidP="00DC2527">
            <w:pPr>
              <w:spacing w:after="0" w:line="240" w:lineRule="auto"/>
              <w:rPr>
                <w:rFonts w:ascii="Arial" w:hAnsi="Arial" w:cs="Arial"/>
                <w:sz w:val="20"/>
                <w:szCs w:val="20"/>
              </w:rPr>
            </w:pPr>
            <w:r w:rsidRPr="00A75FA4">
              <w:rPr>
                <w:rFonts w:ascii="Arial" w:hAnsi="Arial" w:cs="Arial"/>
                <w:sz w:val="20"/>
                <w:szCs w:val="20"/>
              </w:rPr>
              <w:lastRenderedPageBreak/>
              <w:t>DB, PG, RCT</w:t>
            </w:r>
          </w:p>
          <w:p w14:paraId="6F98C2EB" w14:textId="77777777" w:rsidR="0015395A" w:rsidRPr="00A75FA4" w:rsidRDefault="0015395A" w:rsidP="00DC2527">
            <w:pPr>
              <w:spacing w:after="0" w:line="240" w:lineRule="auto"/>
              <w:rPr>
                <w:rFonts w:ascii="Arial" w:hAnsi="Arial" w:cs="Arial"/>
                <w:sz w:val="20"/>
                <w:szCs w:val="20"/>
              </w:rPr>
            </w:pPr>
          </w:p>
          <w:p w14:paraId="3595E42A" w14:textId="527AA775" w:rsidR="0015395A" w:rsidRDefault="0015395A" w:rsidP="00F61D29">
            <w:pPr>
              <w:spacing w:after="0" w:line="240" w:lineRule="auto"/>
              <w:rPr>
                <w:rFonts w:ascii="Arial" w:hAnsi="Arial" w:cs="Arial"/>
                <w:sz w:val="20"/>
                <w:szCs w:val="20"/>
              </w:rPr>
            </w:pPr>
            <w:r w:rsidRPr="00A75FA4">
              <w:rPr>
                <w:rFonts w:ascii="Arial" w:hAnsi="Arial" w:cs="Arial"/>
                <w:sz w:val="20"/>
                <w:szCs w:val="20"/>
              </w:rPr>
              <w:t xml:space="preserve">Patients ≥18 years of age with type 1 or 2 DM and chronic (≥6 months) </w:t>
            </w:r>
            <w:r w:rsidRPr="00A75FA4">
              <w:rPr>
                <w:rFonts w:ascii="Arial" w:hAnsi="Arial" w:cs="Arial"/>
                <w:sz w:val="20"/>
                <w:szCs w:val="20"/>
              </w:rPr>
              <w:lastRenderedPageBreak/>
              <w:t>moderate to severe DPN pain despite optimized diabetic regimen for ≥3 months and analgesic use for  ≥3 months</w:t>
            </w:r>
          </w:p>
        </w:tc>
        <w:tc>
          <w:tcPr>
            <w:tcW w:w="1540" w:type="dxa"/>
          </w:tcPr>
          <w:p w14:paraId="46771788" w14:textId="77777777" w:rsidR="0015395A" w:rsidRPr="00A75FA4" w:rsidRDefault="0015395A" w:rsidP="00DC2527">
            <w:pPr>
              <w:spacing w:after="0" w:line="240" w:lineRule="auto"/>
              <w:jc w:val="center"/>
              <w:rPr>
                <w:rFonts w:ascii="Arial" w:hAnsi="Arial" w:cs="Arial"/>
                <w:sz w:val="20"/>
                <w:szCs w:val="20"/>
              </w:rPr>
            </w:pPr>
            <w:r w:rsidRPr="00A75FA4">
              <w:rPr>
                <w:rFonts w:ascii="Arial" w:hAnsi="Arial" w:cs="Arial"/>
                <w:sz w:val="20"/>
                <w:szCs w:val="20"/>
              </w:rPr>
              <w:lastRenderedPageBreak/>
              <w:t>N=358</w:t>
            </w:r>
          </w:p>
          <w:p w14:paraId="61CEA90D" w14:textId="77777777" w:rsidR="0015395A" w:rsidRPr="00A75FA4" w:rsidRDefault="0015395A" w:rsidP="00DC2527">
            <w:pPr>
              <w:spacing w:after="0" w:line="240" w:lineRule="auto"/>
              <w:jc w:val="center"/>
              <w:rPr>
                <w:rFonts w:ascii="Arial" w:hAnsi="Arial" w:cs="Arial"/>
                <w:sz w:val="20"/>
                <w:szCs w:val="20"/>
              </w:rPr>
            </w:pPr>
          </w:p>
          <w:p w14:paraId="525EF31A" w14:textId="50384019" w:rsidR="0015395A" w:rsidRDefault="0015395A" w:rsidP="000B3401">
            <w:pPr>
              <w:spacing w:after="0" w:line="240" w:lineRule="auto"/>
              <w:jc w:val="center"/>
              <w:rPr>
                <w:rFonts w:ascii="Arial" w:hAnsi="Arial" w:cs="Arial"/>
                <w:sz w:val="20"/>
                <w:szCs w:val="20"/>
              </w:rPr>
            </w:pPr>
            <w:r w:rsidRPr="00A75FA4">
              <w:rPr>
                <w:rFonts w:ascii="Arial" w:hAnsi="Arial" w:cs="Arial"/>
                <w:sz w:val="20"/>
                <w:szCs w:val="20"/>
              </w:rPr>
              <w:t>12 weeks</w:t>
            </w:r>
          </w:p>
        </w:tc>
        <w:tc>
          <w:tcPr>
            <w:tcW w:w="1760" w:type="dxa"/>
          </w:tcPr>
          <w:p w14:paraId="18FFD9E6" w14:textId="77777777" w:rsidR="0015395A" w:rsidRPr="00A75FA4" w:rsidRDefault="0015395A" w:rsidP="00DC2527">
            <w:pPr>
              <w:spacing w:after="0" w:line="240" w:lineRule="auto"/>
              <w:rPr>
                <w:rFonts w:ascii="Arial" w:hAnsi="Arial" w:cs="Arial"/>
                <w:sz w:val="20"/>
                <w:szCs w:val="20"/>
              </w:rPr>
            </w:pPr>
            <w:r w:rsidRPr="00A75FA4">
              <w:rPr>
                <w:rFonts w:ascii="Arial" w:hAnsi="Arial" w:cs="Arial"/>
                <w:sz w:val="20"/>
                <w:szCs w:val="20"/>
              </w:rPr>
              <w:t>Primary:</w:t>
            </w:r>
          </w:p>
          <w:p w14:paraId="2A5705BA" w14:textId="77777777" w:rsidR="0015395A" w:rsidRPr="00A75FA4" w:rsidRDefault="0015395A" w:rsidP="00DC2527">
            <w:pPr>
              <w:spacing w:after="0" w:line="240" w:lineRule="auto"/>
              <w:rPr>
                <w:rFonts w:ascii="Arial" w:eastAsiaTheme="minorHAnsi" w:hAnsi="Arial" w:cs="Arial"/>
                <w:sz w:val="20"/>
                <w:szCs w:val="20"/>
              </w:rPr>
            </w:pPr>
            <w:r w:rsidRPr="00A75FA4">
              <w:rPr>
                <w:rFonts w:ascii="Arial" w:eastAsiaTheme="minorHAnsi" w:hAnsi="Arial" w:cs="Arial"/>
                <w:sz w:val="20"/>
                <w:szCs w:val="20"/>
              </w:rPr>
              <w:t>Mean change in average pain intensity from the start to week 12</w:t>
            </w:r>
          </w:p>
          <w:p w14:paraId="67837ABF" w14:textId="77777777" w:rsidR="0015395A" w:rsidRPr="00A75FA4" w:rsidRDefault="0015395A" w:rsidP="00DC2527">
            <w:pPr>
              <w:spacing w:after="0" w:line="240" w:lineRule="auto"/>
              <w:rPr>
                <w:rFonts w:ascii="Arial" w:eastAsiaTheme="minorHAnsi" w:hAnsi="Arial" w:cs="Arial"/>
                <w:sz w:val="20"/>
                <w:szCs w:val="20"/>
              </w:rPr>
            </w:pPr>
          </w:p>
          <w:p w14:paraId="3A08EAD9" w14:textId="77777777" w:rsidR="0015395A" w:rsidRPr="00A75FA4" w:rsidRDefault="0015395A" w:rsidP="00DC2527">
            <w:pPr>
              <w:spacing w:after="0" w:line="240" w:lineRule="auto"/>
              <w:rPr>
                <w:rFonts w:ascii="Arial" w:eastAsiaTheme="minorHAnsi" w:hAnsi="Arial" w:cs="Arial"/>
                <w:sz w:val="20"/>
                <w:szCs w:val="20"/>
              </w:rPr>
            </w:pPr>
            <w:r w:rsidRPr="00A75FA4">
              <w:rPr>
                <w:rFonts w:ascii="Arial" w:eastAsiaTheme="minorHAnsi" w:hAnsi="Arial" w:cs="Arial"/>
                <w:sz w:val="20"/>
                <w:szCs w:val="20"/>
              </w:rPr>
              <w:t>Secondary:</w:t>
            </w:r>
          </w:p>
          <w:p w14:paraId="03264B2C"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lastRenderedPageBreak/>
              <w:t>Proportions of patients with ≥30 and ≥50% improvement in pain intensity,  PGIC and changes in BPI and BPI-SF, pain interference and pain intensity subscale scores, subscales of</w:t>
            </w:r>
          </w:p>
          <w:p w14:paraId="6F1E7D45"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the NPSI, SF-36</w:t>
            </w:r>
          </w:p>
          <w:p w14:paraId="7FB8B94D"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Health Survey subscales and summary</w:t>
            </w:r>
          </w:p>
          <w:p w14:paraId="6CA9ABB1"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Scale, EuroQol 5-Dimension</w:t>
            </w:r>
          </w:p>
          <w:p w14:paraId="1FA1101A" w14:textId="442C94B8" w:rsidR="0015395A" w:rsidRDefault="0015395A" w:rsidP="000B3401">
            <w:pPr>
              <w:spacing w:after="0" w:line="240" w:lineRule="auto"/>
              <w:rPr>
                <w:rFonts w:ascii="Arial" w:hAnsi="Arial" w:cs="Arial"/>
                <w:sz w:val="20"/>
                <w:szCs w:val="20"/>
              </w:rPr>
            </w:pPr>
            <w:r w:rsidRPr="00A75FA4">
              <w:rPr>
                <w:rFonts w:ascii="Arial" w:eastAsiaTheme="minorHAnsi" w:hAnsi="Arial" w:cs="Arial"/>
                <w:sz w:val="20"/>
                <w:szCs w:val="20"/>
              </w:rPr>
              <w:t>health status index and safety</w:t>
            </w:r>
          </w:p>
        </w:tc>
        <w:tc>
          <w:tcPr>
            <w:tcW w:w="6030" w:type="dxa"/>
          </w:tcPr>
          <w:p w14:paraId="7D523493" w14:textId="77777777" w:rsidR="0015395A" w:rsidRPr="00A75FA4" w:rsidRDefault="0015395A" w:rsidP="00DC2527">
            <w:pPr>
              <w:spacing w:after="0" w:line="240" w:lineRule="auto"/>
              <w:rPr>
                <w:rFonts w:ascii="Arial" w:hAnsi="Arial" w:cs="Arial"/>
                <w:sz w:val="20"/>
                <w:szCs w:val="20"/>
              </w:rPr>
            </w:pPr>
            <w:r w:rsidRPr="00A75FA4">
              <w:rPr>
                <w:rFonts w:ascii="Arial" w:hAnsi="Arial" w:cs="Arial"/>
                <w:sz w:val="20"/>
                <w:szCs w:val="20"/>
              </w:rPr>
              <w:lastRenderedPageBreak/>
              <w:t>Primary:</w:t>
            </w:r>
          </w:p>
          <w:p w14:paraId="55B7F485" w14:textId="4C13D69D"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The mean change in pain intensity (LOCF) from start of double-blind treatment to week 12 was as follows: placebo, 1.30; tapentadol ER, 0.28 (2.04; least squares mean difference, –0.95</w:t>
            </w:r>
            <w:r w:rsidR="00161D26">
              <w:rPr>
                <w:rFonts w:ascii="Arial" w:eastAsiaTheme="minorHAnsi" w:hAnsi="Arial" w:cs="Arial"/>
                <w:sz w:val="20"/>
                <w:szCs w:val="20"/>
              </w:rPr>
              <w:t xml:space="preserve">; </w:t>
            </w:r>
            <w:r w:rsidRPr="00A75FA4">
              <w:rPr>
                <w:rFonts w:ascii="Arial" w:eastAsiaTheme="minorHAnsi" w:hAnsi="Arial" w:cs="Arial"/>
                <w:sz w:val="20"/>
                <w:szCs w:val="20"/>
              </w:rPr>
              <w:t>95% CI, –1.42 to –0.49; P&lt;0.001).</w:t>
            </w:r>
          </w:p>
          <w:p w14:paraId="0D2C7B98"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p>
          <w:p w14:paraId="7E8E318F" w14:textId="07ADBC34"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From pre</w:t>
            </w:r>
            <w:r w:rsidR="00903FBD">
              <w:rPr>
                <w:rFonts w:ascii="Arial" w:eastAsiaTheme="minorHAnsi" w:hAnsi="Arial" w:cs="Arial"/>
                <w:sz w:val="20"/>
                <w:szCs w:val="20"/>
              </w:rPr>
              <w:t>-</w:t>
            </w:r>
            <w:r w:rsidRPr="00A75FA4">
              <w:rPr>
                <w:rFonts w:ascii="Arial" w:eastAsiaTheme="minorHAnsi" w:hAnsi="Arial" w:cs="Arial"/>
                <w:sz w:val="20"/>
                <w:szCs w:val="20"/>
              </w:rPr>
              <w:t>titration</w:t>
            </w:r>
            <w:r>
              <w:rPr>
                <w:rFonts w:ascii="Arial" w:eastAsiaTheme="minorHAnsi" w:hAnsi="Arial" w:cs="Arial"/>
                <w:sz w:val="20"/>
                <w:szCs w:val="20"/>
              </w:rPr>
              <w:t xml:space="preserve"> </w:t>
            </w:r>
            <w:r w:rsidRPr="00A75FA4">
              <w:rPr>
                <w:rFonts w:ascii="Arial" w:eastAsiaTheme="minorHAnsi" w:hAnsi="Arial" w:cs="Arial"/>
                <w:sz w:val="20"/>
                <w:szCs w:val="20"/>
              </w:rPr>
              <w:t xml:space="preserve">to the last week of treatment , ≥30% </w:t>
            </w:r>
            <w:r w:rsidRPr="00A75FA4">
              <w:rPr>
                <w:rFonts w:ascii="Arial" w:eastAsiaTheme="minorHAnsi" w:hAnsi="Arial" w:cs="Arial"/>
                <w:sz w:val="20"/>
                <w:szCs w:val="20"/>
              </w:rPr>
              <w:lastRenderedPageBreak/>
              <w:t xml:space="preserve">improvement in pain intensity was observed in 45.4% (69/152) of patients in the placebo group and 55.4% (92/166) of patients in the tapentadol ER group (P=0.032). </w:t>
            </w:r>
          </w:p>
          <w:p w14:paraId="301035C2"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p>
          <w:p w14:paraId="78EB2239"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At least a 50% improvement was observed in 28.9% (44/152) of patients in the placebo group and 40.4% (67/166) of patients in the tapentadol ER group (P=0.015).</w:t>
            </w:r>
          </w:p>
          <w:p w14:paraId="6F8CE13C"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p>
          <w:p w14:paraId="0AA9B6A8"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The distribution of PGIC scores was significantly different at the end point between treatment groups (P&lt;0.001); 45.3% (63/139) of patients in the placebo group reported their PGIC status as “very much improved” or “much improved” compared with 66.0% (99/150) of patients in the tapentadol ER group.</w:t>
            </w:r>
          </w:p>
          <w:p w14:paraId="2BD10840"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p>
          <w:p w14:paraId="0D364217"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Mean (SD) BPI-SF pain interference scores worsened)in the placebo group and improved in the tapentadol ER group (P=0.003 favoring tapentadol ER); mean (SD) BPI-SF pain intensity subscale scores increased in the placebo group and to a lesser extent in the tapentadol ER group (P&lt;0.001 favoring tapentadol ER).</w:t>
            </w:r>
          </w:p>
          <w:p w14:paraId="759220BA"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p>
          <w:p w14:paraId="01FE7E81"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Statistically significant differences in changes from the start of double-blind maintenance were observed between tapentadol ER and placebo for all NPSI subscales and the total score (P≤0.015 for all scores, favoring tapentadol ER).</w:t>
            </w:r>
          </w:p>
          <w:p w14:paraId="1B47C2CD"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p>
          <w:p w14:paraId="2B090533"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Significant differences in mean changes from start of the double-blind phase to end point of the double-blind maintenance phase were observed between the tapentadol ER and placebo groups in favor of tapentadol ER in the SF-36 role-physical and bodily pain subscale scores and the physical component summary score (P ≤0.004 for all).</w:t>
            </w:r>
          </w:p>
          <w:p w14:paraId="14192E07"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p>
          <w:p w14:paraId="2507745F" w14:textId="589B0F89"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 xml:space="preserve">A significant difference was observed between the tapentadol ER and placebo groups in favor of tapentadol ER in the mean (SD) </w:t>
            </w:r>
            <w:r w:rsidRPr="00A75FA4">
              <w:rPr>
                <w:rFonts w:ascii="Arial" w:eastAsiaTheme="minorHAnsi" w:hAnsi="Arial" w:cs="Arial"/>
                <w:sz w:val="20"/>
                <w:szCs w:val="20"/>
              </w:rPr>
              <w:lastRenderedPageBreak/>
              <w:t>change from the start of double-blind treatment (mean [SD] score at start: placebo, 0.71 [0.16]; tapentadol ER, 0.70 [0.14]) to double-blind end point in the EQ-5D health status index (mean [SD] change: placebo, 20.10 [0.26]; tapentadol ER, 0.00 [0.20; least squares mean difference for tapentadol ER m</w:t>
            </w:r>
            <w:r w:rsidR="004F148F">
              <w:rPr>
                <w:rFonts w:ascii="Arial" w:eastAsiaTheme="minorHAnsi" w:hAnsi="Arial" w:cs="Arial"/>
                <w:sz w:val="20"/>
                <w:szCs w:val="20"/>
              </w:rPr>
              <w:t xml:space="preserve">inus placebo, 0.10 (95% CI 0.05 to </w:t>
            </w:r>
            <w:r w:rsidRPr="00A75FA4">
              <w:rPr>
                <w:rFonts w:ascii="Arial" w:eastAsiaTheme="minorHAnsi" w:hAnsi="Arial" w:cs="Arial"/>
                <w:sz w:val="20"/>
                <w:szCs w:val="20"/>
              </w:rPr>
              <w:t>0.15); P&lt;0.001]).</w:t>
            </w:r>
          </w:p>
          <w:p w14:paraId="2A083256"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p>
          <w:p w14:paraId="177FCE35" w14:textId="77777777" w:rsidR="0015395A" w:rsidRPr="00A75FA4" w:rsidRDefault="0015395A" w:rsidP="00DC2527">
            <w:pPr>
              <w:autoSpaceDE w:val="0"/>
              <w:autoSpaceDN w:val="0"/>
              <w:adjustRightInd w:val="0"/>
              <w:spacing w:after="0" w:line="240" w:lineRule="auto"/>
              <w:rPr>
                <w:rFonts w:ascii="Arial" w:eastAsiaTheme="minorHAnsi" w:hAnsi="Arial" w:cs="Arial"/>
                <w:sz w:val="20"/>
                <w:szCs w:val="20"/>
              </w:rPr>
            </w:pPr>
            <w:r w:rsidRPr="00A75FA4">
              <w:rPr>
                <w:rFonts w:ascii="Arial" w:eastAsiaTheme="minorHAnsi" w:hAnsi="Arial" w:cs="Arial"/>
                <w:sz w:val="20"/>
                <w:szCs w:val="20"/>
              </w:rPr>
              <w:t>Secondary:</w:t>
            </w:r>
          </w:p>
          <w:p w14:paraId="00F37F41" w14:textId="1D168D3D" w:rsidR="0015395A" w:rsidRDefault="0015395A" w:rsidP="000B3401">
            <w:pPr>
              <w:spacing w:after="0" w:line="240" w:lineRule="auto"/>
              <w:rPr>
                <w:rFonts w:ascii="Arial" w:hAnsi="Arial" w:cs="Arial"/>
                <w:sz w:val="20"/>
                <w:szCs w:val="20"/>
              </w:rPr>
            </w:pPr>
            <w:r w:rsidRPr="00A75FA4">
              <w:rPr>
                <w:rFonts w:ascii="Arial" w:eastAsiaTheme="minorHAnsi" w:hAnsi="Arial" w:cs="Arial"/>
                <w:sz w:val="20"/>
                <w:szCs w:val="20"/>
              </w:rPr>
              <w:t>Treatment-emergent adverse events (≥10%) in the tapentadol ER group during the double-blind maintenance phase were nausea (21.1%) and vomiting (12.7%).</w:t>
            </w:r>
          </w:p>
        </w:tc>
      </w:tr>
      <w:tr w:rsidR="00AE7C5C" w:rsidRPr="0044122B" w14:paraId="6BD165DE" w14:textId="77777777" w:rsidTr="001723DB">
        <w:tc>
          <w:tcPr>
            <w:tcW w:w="2640" w:type="dxa"/>
          </w:tcPr>
          <w:p w14:paraId="60C26961" w14:textId="4ECA6916" w:rsidR="00AE7C5C" w:rsidRPr="00FB0BE0" w:rsidRDefault="0015395A" w:rsidP="000B3401">
            <w:pPr>
              <w:spacing w:after="0" w:line="240" w:lineRule="auto"/>
              <w:rPr>
                <w:rFonts w:ascii="Arial" w:hAnsi="Arial" w:cs="Arial"/>
                <w:sz w:val="20"/>
                <w:szCs w:val="20"/>
              </w:rPr>
            </w:pPr>
            <w:proofErr w:type="spellStart"/>
            <w:r w:rsidRPr="00FB0BE0">
              <w:rPr>
                <w:rFonts w:ascii="Arial" w:hAnsi="Arial" w:cs="Arial"/>
                <w:sz w:val="20"/>
                <w:szCs w:val="20"/>
              </w:rPr>
              <w:lastRenderedPageBreak/>
              <w:t>Imanaka</w:t>
            </w:r>
            <w:proofErr w:type="spellEnd"/>
            <w:r w:rsidRPr="00FB0BE0">
              <w:rPr>
                <w:rFonts w:ascii="Arial" w:hAnsi="Arial" w:cs="Arial"/>
                <w:sz w:val="20"/>
                <w:szCs w:val="20"/>
              </w:rPr>
              <w:t xml:space="preserve"> et al</w:t>
            </w:r>
            <w:r w:rsidR="000A6CF6">
              <w:rPr>
                <w:rFonts w:ascii="Arial" w:hAnsi="Arial" w:cs="Arial"/>
                <w:sz w:val="20"/>
                <w:szCs w:val="20"/>
                <w:vertAlign w:val="superscript"/>
              </w:rPr>
              <w:t>11</w:t>
            </w:r>
            <w:r w:rsidRPr="00FB0BE0">
              <w:rPr>
                <w:rFonts w:ascii="Arial" w:hAnsi="Arial" w:cs="Arial"/>
                <w:sz w:val="20"/>
                <w:szCs w:val="20"/>
              </w:rPr>
              <w:t xml:space="preserve"> </w:t>
            </w:r>
          </w:p>
          <w:p w14:paraId="5CFDAC01" w14:textId="77777777" w:rsidR="0015395A" w:rsidRPr="00FB0BE0" w:rsidRDefault="0015395A" w:rsidP="000B3401">
            <w:pPr>
              <w:spacing w:after="0" w:line="240" w:lineRule="auto"/>
              <w:rPr>
                <w:rFonts w:ascii="Arial" w:hAnsi="Arial" w:cs="Arial"/>
                <w:sz w:val="20"/>
                <w:szCs w:val="20"/>
              </w:rPr>
            </w:pPr>
          </w:p>
          <w:p w14:paraId="30108BEC" w14:textId="055E9598" w:rsidR="0015395A" w:rsidRPr="00FB0BE0" w:rsidRDefault="0015395A" w:rsidP="0015395A">
            <w:pPr>
              <w:spacing w:after="0" w:line="240" w:lineRule="auto"/>
              <w:rPr>
                <w:rFonts w:ascii="Arial" w:hAnsi="Arial" w:cs="Arial"/>
                <w:sz w:val="20"/>
                <w:szCs w:val="20"/>
              </w:rPr>
            </w:pPr>
            <w:r w:rsidRPr="00FB0BE0">
              <w:rPr>
                <w:rFonts w:ascii="Arial" w:hAnsi="Arial" w:cs="Arial"/>
                <w:sz w:val="20"/>
                <w:szCs w:val="20"/>
              </w:rPr>
              <w:t>Tapentadol ER 100 to 500 mg daily</w:t>
            </w:r>
          </w:p>
          <w:p w14:paraId="189D8BAA" w14:textId="77777777" w:rsidR="0015395A" w:rsidRPr="00FB0BE0" w:rsidRDefault="0015395A" w:rsidP="0015395A">
            <w:pPr>
              <w:spacing w:after="0" w:line="240" w:lineRule="auto"/>
              <w:rPr>
                <w:rFonts w:ascii="Arial" w:hAnsi="Arial" w:cs="Arial"/>
                <w:sz w:val="20"/>
                <w:szCs w:val="20"/>
              </w:rPr>
            </w:pPr>
          </w:p>
          <w:p w14:paraId="1605AA6D" w14:textId="050BC478" w:rsidR="0015395A" w:rsidRPr="00FB0BE0" w:rsidRDefault="0015395A" w:rsidP="0015395A">
            <w:pPr>
              <w:spacing w:after="0" w:line="240" w:lineRule="auto"/>
              <w:rPr>
                <w:rFonts w:ascii="Arial" w:hAnsi="Arial" w:cs="Arial"/>
                <w:sz w:val="20"/>
                <w:szCs w:val="20"/>
              </w:rPr>
            </w:pPr>
            <w:r w:rsidRPr="00FB0BE0">
              <w:rPr>
                <w:rFonts w:ascii="Arial" w:hAnsi="Arial" w:cs="Arial"/>
                <w:sz w:val="20"/>
                <w:szCs w:val="20"/>
              </w:rPr>
              <w:t>vs</w:t>
            </w:r>
          </w:p>
          <w:p w14:paraId="1773E000" w14:textId="7267DA82" w:rsidR="0015395A" w:rsidRPr="00FB0BE0" w:rsidRDefault="0015395A" w:rsidP="0015395A">
            <w:pPr>
              <w:spacing w:after="0" w:line="240" w:lineRule="auto"/>
              <w:rPr>
                <w:rFonts w:ascii="Arial" w:hAnsi="Arial" w:cs="Arial"/>
                <w:sz w:val="20"/>
                <w:szCs w:val="20"/>
              </w:rPr>
            </w:pPr>
            <w:r w:rsidRPr="00FB0BE0">
              <w:rPr>
                <w:rFonts w:ascii="Arial" w:hAnsi="Arial" w:cs="Arial"/>
                <w:sz w:val="20"/>
                <w:szCs w:val="20"/>
              </w:rPr>
              <w:t xml:space="preserve"> </w:t>
            </w:r>
          </w:p>
          <w:p w14:paraId="7A77B107" w14:textId="474536C3" w:rsidR="0015395A" w:rsidRPr="00FB0BE0" w:rsidRDefault="0015395A" w:rsidP="0015395A">
            <w:pPr>
              <w:spacing w:after="0" w:line="240" w:lineRule="auto"/>
              <w:rPr>
                <w:rFonts w:ascii="Arial" w:hAnsi="Arial" w:cs="Arial"/>
                <w:sz w:val="20"/>
                <w:szCs w:val="20"/>
              </w:rPr>
            </w:pPr>
            <w:r w:rsidRPr="00FB0BE0">
              <w:rPr>
                <w:rFonts w:ascii="Arial" w:hAnsi="Arial" w:cs="Arial"/>
                <w:sz w:val="20"/>
                <w:szCs w:val="20"/>
              </w:rPr>
              <w:t xml:space="preserve">morphine </w:t>
            </w:r>
            <w:r w:rsidR="00FB0BE0" w:rsidRPr="00FB0BE0">
              <w:rPr>
                <w:rFonts w:ascii="Arial" w:hAnsi="Arial" w:cs="Arial"/>
                <w:sz w:val="20"/>
                <w:szCs w:val="20"/>
              </w:rPr>
              <w:t xml:space="preserve">SR </w:t>
            </w:r>
            <w:r w:rsidRPr="00FB0BE0">
              <w:rPr>
                <w:rFonts w:ascii="Arial" w:hAnsi="Arial" w:cs="Arial"/>
                <w:sz w:val="20"/>
                <w:szCs w:val="20"/>
              </w:rPr>
              <w:t>20 to 140 mg daily</w:t>
            </w:r>
          </w:p>
          <w:p w14:paraId="4B2BE82B" w14:textId="77777777" w:rsidR="00FB0BE0" w:rsidRPr="00FB0BE0" w:rsidRDefault="00FB0BE0" w:rsidP="0015395A">
            <w:pPr>
              <w:spacing w:after="0" w:line="240" w:lineRule="auto"/>
              <w:rPr>
                <w:rFonts w:ascii="Arial" w:hAnsi="Arial" w:cs="Arial"/>
                <w:sz w:val="20"/>
                <w:szCs w:val="20"/>
              </w:rPr>
            </w:pPr>
          </w:p>
          <w:p w14:paraId="3CC26DF4" w14:textId="7C1BBA5B" w:rsidR="00FB0BE0" w:rsidRDefault="00FB0BE0" w:rsidP="00FB0BE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Starting doses were calculated based upon conversion from previous opioid therapy. Doses could be titrated based upon response to therapy throughout the </w:t>
            </w:r>
            <w:r w:rsidR="00CF7EAC">
              <w:rPr>
                <w:rFonts w:ascii="Arial" w:hAnsi="Arial" w:cs="Arial"/>
                <w:sz w:val="20"/>
                <w:szCs w:val="20"/>
              </w:rPr>
              <w:t>OL</w:t>
            </w:r>
            <w:r>
              <w:rPr>
                <w:rFonts w:ascii="Arial" w:hAnsi="Arial" w:cs="Arial"/>
                <w:sz w:val="20"/>
                <w:szCs w:val="20"/>
              </w:rPr>
              <w:t xml:space="preserve"> period.</w:t>
            </w:r>
          </w:p>
          <w:p w14:paraId="604C0141" w14:textId="77777777" w:rsidR="00FB0BE0" w:rsidRDefault="00FB0BE0" w:rsidP="00FB0BE0">
            <w:pPr>
              <w:autoSpaceDE w:val="0"/>
              <w:autoSpaceDN w:val="0"/>
              <w:adjustRightInd w:val="0"/>
              <w:spacing w:after="0" w:line="240" w:lineRule="auto"/>
              <w:rPr>
                <w:rFonts w:ascii="Arial" w:hAnsi="Arial" w:cs="Arial"/>
                <w:sz w:val="20"/>
                <w:szCs w:val="20"/>
              </w:rPr>
            </w:pPr>
          </w:p>
          <w:p w14:paraId="4FF302CC" w14:textId="6CBD7F1D" w:rsidR="00FB0BE0" w:rsidRPr="00FB0BE0" w:rsidRDefault="00FB0BE0" w:rsidP="00FB0BE0">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Patients were allowed to use oral morphine IR or oxycodone IR as rescue</w:t>
            </w:r>
          </w:p>
          <w:p w14:paraId="11BE4B3E" w14:textId="6C2481D8" w:rsidR="00FB0BE0" w:rsidRPr="00FB0BE0" w:rsidRDefault="00FB0BE0" w:rsidP="00FB0BE0">
            <w:pPr>
              <w:autoSpaceDE w:val="0"/>
              <w:autoSpaceDN w:val="0"/>
              <w:adjustRightInd w:val="0"/>
              <w:spacing w:after="0" w:line="240" w:lineRule="auto"/>
              <w:rPr>
                <w:rFonts w:ascii="Arial" w:hAnsi="Arial" w:cs="Arial"/>
                <w:sz w:val="20"/>
                <w:szCs w:val="20"/>
              </w:rPr>
            </w:pPr>
            <w:proofErr w:type="gramStart"/>
            <w:r w:rsidRPr="00FB0BE0">
              <w:rPr>
                <w:rFonts w:ascii="Arial" w:hAnsi="Arial" w:cs="Arial"/>
                <w:sz w:val="20"/>
                <w:szCs w:val="20"/>
              </w:rPr>
              <w:t>medication</w:t>
            </w:r>
            <w:proofErr w:type="gramEnd"/>
            <w:r w:rsidRPr="00FB0BE0">
              <w:rPr>
                <w:rFonts w:ascii="Arial" w:hAnsi="Arial" w:cs="Arial"/>
                <w:sz w:val="20"/>
                <w:szCs w:val="20"/>
              </w:rPr>
              <w:t xml:space="preserve"> for breakthrough pain. The dose per intake of rescue </w:t>
            </w:r>
            <w:r w:rsidRPr="00FB0BE0">
              <w:rPr>
                <w:rFonts w:ascii="Arial" w:hAnsi="Arial" w:cs="Arial"/>
                <w:sz w:val="20"/>
                <w:szCs w:val="20"/>
              </w:rPr>
              <w:lastRenderedPageBreak/>
              <w:t>medication must have been no more than one sixth of the total daily dose of the around-the-clock</w:t>
            </w:r>
          </w:p>
          <w:p w14:paraId="6C61A353" w14:textId="75778586" w:rsidR="00FB0BE0" w:rsidRPr="00FB0BE0" w:rsidRDefault="00FB0BE0" w:rsidP="00FB0BE0">
            <w:pPr>
              <w:autoSpaceDE w:val="0"/>
              <w:autoSpaceDN w:val="0"/>
              <w:adjustRightInd w:val="0"/>
              <w:spacing w:after="0" w:line="240" w:lineRule="auto"/>
              <w:rPr>
                <w:rFonts w:ascii="Arial" w:hAnsi="Arial" w:cs="Arial"/>
                <w:sz w:val="20"/>
                <w:szCs w:val="20"/>
              </w:rPr>
            </w:pPr>
            <w:proofErr w:type="gramStart"/>
            <w:r w:rsidRPr="00FB0BE0">
              <w:rPr>
                <w:rFonts w:ascii="Arial" w:hAnsi="Arial" w:cs="Arial"/>
                <w:sz w:val="20"/>
                <w:szCs w:val="20"/>
              </w:rPr>
              <w:t>opioid</w:t>
            </w:r>
            <w:proofErr w:type="gramEnd"/>
            <w:r w:rsidRPr="00FB0BE0">
              <w:rPr>
                <w:rFonts w:ascii="Arial" w:hAnsi="Arial" w:cs="Arial"/>
                <w:sz w:val="20"/>
                <w:szCs w:val="20"/>
              </w:rPr>
              <w:t xml:space="preserve"> analgesic.</w:t>
            </w:r>
          </w:p>
        </w:tc>
        <w:tc>
          <w:tcPr>
            <w:tcW w:w="1760" w:type="dxa"/>
          </w:tcPr>
          <w:p w14:paraId="771AFBF9" w14:textId="1D844854" w:rsidR="00AE7C5C" w:rsidRPr="00FB0BE0" w:rsidRDefault="00FB0BE0" w:rsidP="000B3401">
            <w:pPr>
              <w:spacing w:after="0" w:line="240" w:lineRule="auto"/>
              <w:rPr>
                <w:rFonts w:ascii="Arial" w:hAnsi="Arial" w:cs="Arial"/>
                <w:sz w:val="20"/>
                <w:szCs w:val="20"/>
              </w:rPr>
            </w:pPr>
            <w:r>
              <w:rPr>
                <w:rFonts w:ascii="Arial" w:hAnsi="Arial" w:cs="Arial"/>
                <w:sz w:val="20"/>
                <w:szCs w:val="20"/>
              </w:rPr>
              <w:lastRenderedPageBreak/>
              <w:t xml:space="preserve">MC, OL, PG, </w:t>
            </w:r>
            <w:r w:rsidR="0015395A" w:rsidRPr="00FB0BE0">
              <w:rPr>
                <w:rFonts w:ascii="Arial" w:hAnsi="Arial" w:cs="Arial"/>
                <w:sz w:val="20"/>
                <w:szCs w:val="20"/>
              </w:rPr>
              <w:t>RCT</w:t>
            </w:r>
          </w:p>
          <w:p w14:paraId="0BB18E54" w14:textId="77777777" w:rsidR="00AE7C5C" w:rsidRPr="00FB0BE0" w:rsidRDefault="00AE7C5C" w:rsidP="00483F31">
            <w:pPr>
              <w:spacing w:after="0" w:line="240" w:lineRule="auto"/>
              <w:rPr>
                <w:rFonts w:ascii="Arial" w:hAnsi="Arial" w:cs="Arial"/>
                <w:sz w:val="20"/>
                <w:szCs w:val="20"/>
              </w:rPr>
            </w:pPr>
          </w:p>
          <w:p w14:paraId="2EA20A0D" w14:textId="43AF6F34" w:rsidR="00FB0BE0" w:rsidRPr="00FB0BE0" w:rsidRDefault="0015395A" w:rsidP="00FB0BE0">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Patients</w:t>
            </w:r>
            <w:r w:rsidR="00FB0BE0" w:rsidRPr="00FB0BE0">
              <w:rPr>
                <w:rFonts w:ascii="Arial" w:hAnsi="Arial" w:cs="Arial"/>
                <w:sz w:val="20"/>
                <w:szCs w:val="20"/>
              </w:rPr>
              <w:t xml:space="preserve"> ≥20 years of age</w:t>
            </w:r>
            <w:r w:rsidRPr="00FB0BE0">
              <w:rPr>
                <w:rFonts w:ascii="Arial" w:hAnsi="Arial" w:cs="Arial"/>
                <w:sz w:val="20"/>
                <w:szCs w:val="20"/>
              </w:rPr>
              <w:t xml:space="preserve"> </w:t>
            </w:r>
          </w:p>
          <w:p w14:paraId="6D7848F0" w14:textId="66EFBB79" w:rsidR="00FB0BE0" w:rsidRPr="00FB0BE0" w:rsidRDefault="00FB0BE0" w:rsidP="00FB0BE0">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receiving around-the-clock strong opioid therapy for moderate to</w:t>
            </w:r>
          </w:p>
          <w:p w14:paraId="1968704A" w14:textId="3C49F8C7" w:rsidR="0015395A" w:rsidRPr="00FB0BE0" w:rsidRDefault="00FB0BE0" w:rsidP="00FB0BE0">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 xml:space="preserve">severe, chronic malignant tumor–related cancer pain </w:t>
            </w:r>
            <w:r w:rsidR="0015395A" w:rsidRPr="00FB0BE0">
              <w:rPr>
                <w:rFonts w:ascii="Arial" w:hAnsi="Arial" w:cs="Arial"/>
                <w:sz w:val="20"/>
                <w:szCs w:val="20"/>
              </w:rPr>
              <w:t>and had a mean pain intensity score</w:t>
            </w:r>
          </w:p>
          <w:p w14:paraId="78C3A0E8" w14:textId="166A7257" w:rsidR="0015395A" w:rsidRPr="00FB0BE0" w:rsidRDefault="0015395A" w:rsidP="0015395A">
            <w:pPr>
              <w:spacing w:after="0" w:line="240" w:lineRule="auto"/>
              <w:rPr>
                <w:rFonts w:ascii="Arial" w:hAnsi="Arial" w:cs="Arial"/>
                <w:sz w:val="20"/>
                <w:szCs w:val="20"/>
              </w:rPr>
            </w:pPr>
            <w:r w:rsidRPr="00FB0BE0">
              <w:rPr>
                <w:rFonts w:ascii="Arial" w:hAnsi="Arial" w:cs="Arial"/>
                <w:sz w:val="20"/>
                <w:szCs w:val="20"/>
              </w:rPr>
              <w:t>&lt;4 during the three days prior to randomization</w:t>
            </w:r>
          </w:p>
        </w:tc>
        <w:tc>
          <w:tcPr>
            <w:tcW w:w="1540" w:type="dxa"/>
          </w:tcPr>
          <w:p w14:paraId="45D1D861" w14:textId="1C2385FE" w:rsidR="00AE7C5C" w:rsidRDefault="004E7335" w:rsidP="00F61D29">
            <w:pPr>
              <w:spacing w:after="0" w:line="240" w:lineRule="auto"/>
              <w:jc w:val="center"/>
              <w:rPr>
                <w:rFonts w:ascii="Arial" w:hAnsi="Arial" w:cs="Arial"/>
                <w:sz w:val="20"/>
                <w:szCs w:val="20"/>
              </w:rPr>
            </w:pPr>
            <w:r>
              <w:rPr>
                <w:rFonts w:ascii="Arial" w:hAnsi="Arial" w:cs="Arial"/>
                <w:sz w:val="20"/>
                <w:szCs w:val="20"/>
              </w:rPr>
              <w:t>N=100</w:t>
            </w:r>
          </w:p>
          <w:p w14:paraId="1E66D34A" w14:textId="77777777" w:rsidR="00FB0BE0" w:rsidRDefault="00FB0BE0" w:rsidP="00F61D29">
            <w:pPr>
              <w:spacing w:after="0" w:line="240" w:lineRule="auto"/>
              <w:jc w:val="center"/>
              <w:rPr>
                <w:rFonts w:ascii="Arial" w:hAnsi="Arial" w:cs="Arial"/>
                <w:sz w:val="20"/>
                <w:szCs w:val="20"/>
              </w:rPr>
            </w:pPr>
          </w:p>
          <w:p w14:paraId="0400EAEE" w14:textId="69C46D63" w:rsidR="00FB0BE0" w:rsidRPr="00FB0BE0" w:rsidRDefault="00FB0BE0" w:rsidP="00F61D29">
            <w:pPr>
              <w:spacing w:after="0" w:line="240" w:lineRule="auto"/>
              <w:jc w:val="center"/>
              <w:rPr>
                <w:rFonts w:ascii="Arial" w:hAnsi="Arial" w:cs="Arial"/>
                <w:sz w:val="20"/>
                <w:szCs w:val="20"/>
              </w:rPr>
            </w:pPr>
            <w:r>
              <w:rPr>
                <w:rFonts w:ascii="Arial" w:hAnsi="Arial" w:cs="Arial"/>
                <w:sz w:val="20"/>
                <w:szCs w:val="20"/>
              </w:rPr>
              <w:t>8 weeks</w:t>
            </w:r>
          </w:p>
        </w:tc>
        <w:tc>
          <w:tcPr>
            <w:tcW w:w="1760" w:type="dxa"/>
          </w:tcPr>
          <w:p w14:paraId="5C86ECEB" w14:textId="77777777" w:rsidR="00AE7C5C" w:rsidRPr="00FB0BE0" w:rsidRDefault="0015395A" w:rsidP="00F61D29">
            <w:pPr>
              <w:spacing w:after="0" w:line="240" w:lineRule="auto"/>
              <w:rPr>
                <w:rFonts w:ascii="Arial" w:hAnsi="Arial" w:cs="Arial"/>
                <w:sz w:val="20"/>
                <w:szCs w:val="20"/>
              </w:rPr>
            </w:pPr>
            <w:r w:rsidRPr="00FB0BE0">
              <w:rPr>
                <w:rFonts w:ascii="Arial" w:hAnsi="Arial" w:cs="Arial"/>
                <w:sz w:val="20"/>
                <w:szCs w:val="20"/>
              </w:rPr>
              <w:t>Primary:</w:t>
            </w:r>
          </w:p>
          <w:p w14:paraId="06576216" w14:textId="1B1E692A" w:rsidR="0015395A" w:rsidRPr="00FB0BE0" w:rsidRDefault="0015395A" w:rsidP="0015395A">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Proportion of</w:t>
            </w:r>
          </w:p>
          <w:p w14:paraId="7C75D3F8" w14:textId="2F7CD762" w:rsidR="0015395A" w:rsidRPr="00FB0BE0" w:rsidRDefault="0015395A" w:rsidP="0015395A">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patients who maintained pain control during the first week of open-label treatment*</w:t>
            </w:r>
          </w:p>
          <w:p w14:paraId="4F51D4D1" w14:textId="77777777" w:rsidR="00915854" w:rsidRPr="00FB0BE0" w:rsidRDefault="00915854" w:rsidP="0015395A">
            <w:pPr>
              <w:autoSpaceDE w:val="0"/>
              <w:autoSpaceDN w:val="0"/>
              <w:adjustRightInd w:val="0"/>
              <w:spacing w:after="0" w:line="240" w:lineRule="auto"/>
              <w:rPr>
                <w:rFonts w:ascii="Arial" w:hAnsi="Arial" w:cs="Arial"/>
                <w:sz w:val="20"/>
                <w:szCs w:val="20"/>
              </w:rPr>
            </w:pPr>
          </w:p>
          <w:p w14:paraId="115E3C35" w14:textId="77777777" w:rsidR="00915854" w:rsidRPr="00FB0BE0" w:rsidRDefault="00915854" w:rsidP="0015395A">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Secondary:</w:t>
            </w:r>
          </w:p>
          <w:p w14:paraId="32416FAC" w14:textId="04DE0F91" w:rsidR="00915854" w:rsidRPr="00FB0BE0" w:rsidRDefault="00FB0BE0" w:rsidP="001539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Average weekly pain intensity scores, </w:t>
            </w:r>
            <w:r w:rsidR="00915854" w:rsidRPr="00FB0BE0">
              <w:rPr>
                <w:rFonts w:ascii="Arial" w:hAnsi="Arial" w:cs="Arial"/>
                <w:sz w:val="20"/>
                <w:szCs w:val="20"/>
              </w:rPr>
              <w:t>PGIC</w:t>
            </w:r>
            <w:r>
              <w:rPr>
                <w:rFonts w:ascii="Arial" w:hAnsi="Arial" w:cs="Arial"/>
                <w:sz w:val="20"/>
                <w:szCs w:val="20"/>
              </w:rPr>
              <w:t xml:space="preserve"> and safety evaluations</w:t>
            </w:r>
          </w:p>
        </w:tc>
        <w:tc>
          <w:tcPr>
            <w:tcW w:w="6030" w:type="dxa"/>
          </w:tcPr>
          <w:p w14:paraId="7FD1B35B" w14:textId="77777777" w:rsidR="00AE7C5C" w:rsidRPr="00FB0BE0" w:rsidRDefault="00915854" w:rsidP="00483F31">
            <w:pPr>
              <w:spacing w:after="0" w:line="240" w:lineRule="auto"/>
              <w:rPr>
                <w:rFonts w:ascii="Arial" w:hAnsi="Arial" w:cs="Arial"/>
                <w:sz w:val="20"/>
                <w:szCs w:val="20"/>
              </w:rPr>
            </w:pPr>
            <w:r w:rsidRPr="00FB0BE0">
              <w:rPr>
                <w:rFonts w:ascii="Arial" w:hAnsi="Arial" w:cs="Arial"/>
                <w:sz w:val="20"/>
                <w:szCs w:val="20"/>
              </w:rPr>
              <w:t>Primary:</w:t>
            </w:r>
          </w:p>
          <w:p w14:paraId="36D4AA8D" w14:textId="775CCB1E" w:rsidR="00915854" w:rsidRPr="00FB0BE0" w:rsidRDefault="00915854" w:rsidP="00915854">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 xml:space="preserve">In the tapentadol ER group (n = 50), 84.0 % of patients (42/50; 95 % CI, 70.89 to 92.83) maintained pain </w:t>
            </w:r>
            <w:r w:rsidR="00FB0BE0">
              <w:rPr>
                <w:rFonts w:ascii="Arial" w:hAnsi="Arial" w:cs="Arial"/>
                <w:sz w:val="20"/>
                <w:szCs w:val="20"/>
              </w:rPr>
              <w:t>control during w</w:t>
            </w:r>
            <w:r w:rsidRPr="00FB0BE0">
              <w:rPr>
                <w:rFonts w:ascii="Arial" w:hAnsi="Arial" w:cs="Arial"/>
                <w:sz w:val="20"/>
                <w:szCs w:val="20"/>
              </w:rPr>
              <w:t>eek one.</w:t>
            </w:r>
          </w:p>
          <w:p w14:paraId="179FA490" w14:textId="77777777" w:rsidR="00915854" w:rsidRPr="00FB0BE0" w:rsidRDefault="00915854" w:rsidP="00915854">
            <w:pPr>
              <w:autoSpaceDE w:val="0"/>
              <w:autoSpaceDN w:val="0"/>
              <w:adjustRightInd w:val="0"/>
              <w:spacing w:after="0" w:line="240" w:lineRule="auto"/>
              <w:rPr>
                <w:rFonts w:ascii="Arial" w:hAnsi="Arial" w:cs="Arial"/>
                <w:sz w:val="20"/>
                <w:szCs w:val="20"/>
              </w:rPr>
            </w:pPr>
          </w:p>
          <w:p w14:paraId="6278EAC6" w14:textId="77777777" w:rsidR="00915854" w:rsidRPr="004E7335" w:rsidRDefault="00915854" w:rsidP="00915854">
            <w:pPr>
              <w:autoSpaceDE w:val="0"/>
              <w:autoSpaceDN w:val="0"/>
              <w:adjustRightInd w:val="0"/>
              <w:spacing w:after="0" w:line="240" w:lineRule="auto"/>
              <w:rPr>
                <w:rFonts w:ascii="Arial" w:hAnsi="Arial" w:cs="Arial"/>
                <w:sz w:val="20"/>
                <w:szCs w:val="20"/>
              </w:rPr>
            </w:pPr>
            <w:r w:rsidRPr="004E7335">
              <w:rPr>
                <w:rFonts w:ascii="Arial" w:hAnsi="Arial" w:cs="Arial"/>
                <w:sz w:val="20"/>
                <w:szCs w:val="20"/>
              </w:rPr>
              <w:t>Secondary:</w:t>
            </w:r>
          </w:p>
          <w:p w14:paraId="14587C21" w14:textId="640C9910" w:rsidR="004E7335" w:rsidRPr="004E7335" w:rsidRDefault="004E7335" w:rsidP="004E7335">
            <w:pPr>
              <w:autoSpaceDE w:val="0"/>
              <w:autoSpaceDN w:val="0"/>
              <w:adjustRightInd w:val="0"/>
              <w:spacing w:after="0" w:line="240" w:lineRule="auto"/>
              <w:rPr>
                <w:rFonts w:ascii="Arial" w:hAnsi="Arial" w:cs="Arial"/>
                <w:sz w:val="20"/>
                <w:szCs w:val="20"/>
              </w:rPr>
            </w:pPr>
            <w:r w:rsidRPr="004E7335">
              <w:rPr>
                <w:rFonts w:ascii="Arial" w:hAnsi="Arial" w:cs="Arial"/>
                <w:sz w:val="20"/>
                <w:szCs w:val="20"/>
              </w:rPr>
              <w:t xml:space="preserve">After switching from previous opioid analgesics to tapentadol ER, mean average weekly pain intensity scores were </w:t>
            </w:r>
            <w:r w:rsidR="004A236F">
              <w:rPr>
                <w:rFonts w:ascii="Arial" w:hAnsi="Arial" w:cs="Arial"/>
                <w:sz w:val="20"/>
                <w:szCs w:val="20"/>
              </w:rPr>
              <w:t>≤</w:t>
            </w:r>
            <w:r w:rsidRPr="004E7335">
              <w:rPr>
                <w:rFonts w:ascii="Arial" w:hAnsi="Arial" w:cs="Arial"/>
                <w:sz w:val="20"/>
                <w:szCs w:val="20"/>
              </w:rPr>
              <w:t>2 during the entire eight-week treatment period. Mean changes from baseline in average pain intensity were ≤0.4 throughout the treatment period.</w:t>
            </w:r>
          </w:p>
          <w:p w14:paraId="32F9C17A" w14:textId="77777777" w:rsidR="004E7335" w:rsidRDefault="004E7335" w:rsidP="00915854">
            <w:pPr>
              <w:autoSpaceDE w:val="0"/>
              <w:autoSpaceDN w:val="0"/>
              <w:adjustRightInd w:val="0"/>
              <w:spacing w:after="0" w:line="240" w:lineRule="auto"/>
              <w:rPr>
                <w:rFonts w:ascii="Arial" w:hAnsi="Arial" w:cs="Arial"/>
                <w:sz w:val="20"/>
                <w:szCs w:val="20"/>
              </w:rPr>
            </w:pPr>
          </w:p>
          <w:p w14:paraId="3EC187C2" w14:textId="54A69F43" w:rsidR="00915854" w:rsidRPr="00FB0BE0" w:rsidRDefault="00915854" w:rsidP="00915854">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On the PGIC, 2.1 % (1/48), 2.1 % (1/48), 22.9 % (11/48), and 50.0 % (24/48) of patients in the tapentadol ER group reported that their overall condition was ‘‘very much improved,’’ ‘‘much improved,’’ ‘‘minimally improved,’’ and ‘‘n</w:t>
            </w:r>
            <w:r w:rsidR="004A236F">
              <w:rPr>
                <w:rFonts w:ascii="Arial" w:hAnsi="Arial" w:cs="Arial"/>
                <w:sz w:val="20"/>
                <w:szCs w:val="20"/>
              </w:rPr>
              <w:t>ot changed,’’ respectively, at w</w:t>
            </w:r>
            <w:r w:rsidRPr="00FB0BE0">
              <w:rPr>
                <w:rFonts w:ascii="Arial" w:hAnsi="Arial" w:cs="Arial"/>
                <w:sz w:val="20"/>
                <w:szCs w:val="20"/>
              </w:rPr>
              <w:t>eek one compared with 0 %, 10.7 % (3/28), 28.6 % (8/28), and 53.6 % (15/28) reportin</w:t>
            </w:r>
            <w:r w:rsidR="00FB0BE0">
              <w:rPr>
                <w:rFonts w:ascii="Arial" w:hAnsi="Arial" w:cs="Arial"/>
                <w:sz w:val="20"/>
                <w:szCs w:val="20"/>
              </w:rPr>
              <w:t>g these ratings at w</w:t>
            </w:r>
            <w:r w:rsidRPr="00FB0BE0">
              <w:rPr>
                <w:rFonts w:ascii="Arial" w:hAnsi="Arial" w:cs="Arial"/>
                <w:sz w:val="20"/>
                <w:szCs w:val="20"/>
              </w:rPr>
              <w:t>eek eight.</w:t>
            </w:r>
          </w:p>
          <w:p w14:paraId="2181EF27" w14:textId="77777777" w:rsidR="00FB0BE0" w:rsidRPr="00FB0BE0" w:rsidRDefault="00FB0BE0" w:rsidP="00915854">
            <w:pPr>
              <w:autoSpaceDE w:val="0"/>
              <w:autoSpaceDN w:val="0"/>
              <w:adjustRightInd w:val="0"/>
              <w:spacing w:after="0" w:line="240" w:lineRule="auto"/>
              <w:rPr>
                <w:rFonts w:ascii="Arial" w:hAnsi="Arial" w:cs="Arial"/>
                <w:sz w:val="20"/>
                <w:szCs w:val="20"/>
              </w:rPr>
            </w:pPr>
          </w:p>
          <w:p w14:paraId="1365F0B4" w14:textId="443AE37A" w:rsidR="00FB0BE0" w:rsidRPr="00FB0BE0" w:rsidRDefault="00FB0BE0" w:rsidP="00FB0BE0">
            <w:pPr>
              <w:autoSpaceDE w:val="0"/>
              <w:autoSpaceDN w:val="0"/>
              <w:adjustRightInd w:val="0"/>
              <w:spacing w:after="0" w:line="240" w:lineRule="auto"/>
              <w:rPr>
                <w:rFonts w:ascii="Arial" w:hAnsi="Arial" w:cs="Arial"/>
                <w:sz w:val="20"/>
                <w:szCs w:val="20"/>
              </w:rPr>
            </w:pPr>
            <w:r w:rsidRPr="00FB0BE0">
              <w:rPr>
                <w:rFonts w:ascii="Arial" w:hAnsi="Arial" w:cs="Arial"/>
                <w:sz w:val="20"/>
                <w:szCs w:val="20"/>
              </w:rPr>
              <w:t>Tapentadol ER was associated with a lowe</w:t>
            </w:r>
            <w:r>
              <w:rPr>
                <w:rFonts w:ascii="Arial" w:hAnsi="Arial" w:cs="Arial"/>
                <w:sz w:val="20"/>
                <w:szCs w:val="20"/>
              </w:rPr>
              <w:t xml:space="preserve">r incidence of gastrointestinal </w:t>
            </w:r>
            <w:r w:rsidRPr="00FB0BE0">
              <w:rPr>
                <w:rFonts w:ascii="Arial" w:hAnsi="Arial" w:cs="Arial"/>
                <w:sz w:val="20"/>
                <w:szCs w:val="20"/>
              </w:rPr>
              <w:t xml:space="preserve">treatment-emergent adverse events than morphine SR [38.0 % (19/50) vs. 54.0 % (27/50)], including constipation [12.0 % (6/50) vs. 20.0 % (10/50)] and vomiting [6.0 </w:t>
            </w:r>
            <w:r w:rsidRPr="00FB0BE0">
              <w:rPr>
                <w:rFonts w:ascii="Arial" w:hAnsi="Arial" w:cs="Arial"/>
                <w:sz w:val="20"/>
                <w:szCs w:val="20"/>
              </w:rPr>
              <w:lastRenderedPageBreak/>
              <w:t>% (3/50) vs. 26.0 % (13/50)].</w:t>
            </w:r>
          </w:p>
        </w:tc>
      </w:tr>
      <w:tr w:rsidR="0015395A" w:rsidRPr="0044122B" w14:paraId="0F34342D" w14:textId="77777777" w:rsidTr="001723DB">
        <w:tc>
          <w:tcPr>
            <w:tcW w:w="2640" w:type="dxa"/>
          </w:tcPr>
          <w:p w14:paraId="5414853E" w14:textId="38F99738" w:rsidR="0015395A" w:rsidRPr="00BB52BA" w:rsidRDefault="004A236F" w:rsidP="000B3401">
            <w:pPr>
              <w:spacing w:after="0" w:line="240" w:lineRule="auto"/>
              <w:rPr>
                <w:rFonts w:ascii="Arial" w:hAnsi="Arial" w:cs="Arial"/>
                <w:sz w:val="20"/>
                <w:szCs w:val="20"/>
                <w:vertAlign w:val="superscript"/>
              </w:rPr>
            </w:pPr>
            <w:proofErr w:type="spellStart"/>
            <w:r>
              <w:rPr>
                <w:rFonts w:ascii="Arial" w:hAnsi="Arial" w:cs="Arial"/>
                <w:sz w:val="20"/>
                <w:szCs w:val="20"/>
              </w:rPr>
              <w:lastRenderedPageBreak/>
              <w:t>Vosburg</w:t>
            </w:r>
            <w:proofErr w:type="spellEnd"/>
            <w:r>
              <w:rPr>
                <w:rFonts w:ascii="Arial" w:hAnsi="Arial" w:cs="Arial"/>
                <w:sz w:val="20"/>
                <w:szCs w:val="20"/>
              </w:rPr>
              <w:t xml:space="preserve"> et al</w:t>
            </w:r>
            <w:r w:rsidR="000F1569" w:rsidRPr="00BB52BA">
              <w:rPr>
                <w:rFonts w:ascii="Arial" w:hAnsi="Arial" w:cs="Arial"/>
                <w:sz w:val="20"/>
                <w:szCs w:val="20"/>
                <w:vertAlign w:val="superscript"/>
              </w:rPr>
              <w:t>14</w:t>
            </w:r>
          </w:p>
          <w:p w14:paraId="2232924B" w14:textId="77777777" w:rsidR="000F1569" w:rsidRPr="00BB52BA" w:rsidRDefault="000F1569" w:rsidP="000B3401">
            <w:pPr>
              <w:spacing w:after="0" w:line="240" w:lineRule="auto"/>
              <w:rPr>
                <w:rFonts w:ascii="Arial" w:hAnsi="Arial" w:cs="Arial"/>
                <w:sz w:val="20"/>
                <w:szCs w:val="20"/>
                <w:vertAlign w:val="superscript"/>
              </w:rPr>
            </w:pPr>
          </w:p>
          <w:p w14:paraId="7699EA85" w14:textId="6A499600" w:rsidR="000F1569" w:rsidRPr="00BB52BA" w:rsidRDefault="000F1569" w:rsidP="000F1569">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Tapentadol ER 50 mg tablets</w:t>
            </w:r>
          </w:p>
          <w:p w14:paraId="78F29C26" w14:textId="77777777" w:rsidR="000F1569" w:rsidRPr="00BB52BA" w:rsidRDefault="000F1569" w:rsidP="000F1569">
            <w:pPr>
              <w:autoSpaceDE w:val="0"/>
              <w:autoSpaceDN w:val="0"/>
              <w:adjustRightInd w:val="0"/>
              <w:spacing w:after="0" w:line="240" w:lineRule="auto"/>
              <w:rPr>
                <w:rFonts w:ascii="Arial" w:hAnsi="Arial" w:cs="Arial"/>
                <w:sz w:val="20"/>
                <w:szCs w:val="20"/>
              </w:rPr>
            </w:pPr>
          </w:p>
          <w:p w14:paraId="0E5D68CD" w14:textId="76B3FBE0" w:rsidR="000F1569" w:rsidRPr="00BB52BA" w:rsidRDefault="004A236F" w:rsidP="000F1569">
            <w:pPr>
              <w:autoSpaceDE w:val="0"/>
              <w:autoSpaceDN w:val="0"/>
              <w:adjustRightInd w:val="0"/>
              <w:spacing w:after="0" w:line="240" w:lineRule="auto"/>
              <w:rPr>
                <w:rFonts w:ascii="Arial" w:hAnsi="Arial" w:cs="Arial"/>
                <w:sz w:val="20"/>
                <w:szCs w:val="20"/>
              </w:rPr>
            </w:pPr>
            <w:r>
              <w:rPr>
                <w:rFonts w:ascii="Arial" w:hAnsi="Arial" w:cs="Arial"/>
                <w:sz w:val="20"/>
                <w:szCs w:val="20"/>
              </w:rPr>
              <w:t>vs</w:t>
            </w:r>
          </w:p>
          <w:p w14:paraId="51189D04" w14:textId="77777777" w:rsidR="000F1569" w:rsidRPr="00BB52BA" w:rsidRDefault="000F1569" w:rsidP="000F1569">
            <w:pPr>
              <w:autoSpaceDE w:val="0"/>
              <w:autoSpaceDN w:val="0"/>
              <w:adjustRightInd w:val="0"/>
              <w:spacing w:after="0" w:line="240" w:lineRule="auto"/>
              <w:rPr>
                <w:rFonts w:ascii="Arial" w:hAnsi="Arial" w:cs="Arial"/>
                <w:sz w:val="20"/>
                <w:szCs w:val="20"/>
              </w:rPr>
            </w:pPr>
          </w:p>
          <w:p w14:paraId="384C8655" w14:textId="79048035" w:rsidR="000F1569" w:rsidRPr="00BB52BA" w:rsidRDefault="00844736" w:rsidP="000F1569">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t</w:t>
            </w:r>
            <w:r w:rsidR="000F1569" w:rsidRPr="00BB52BA">
              <w:rPr>
                <w:rFonts w:ascii="Arial" w:hAnsi="Arial" w:cs="Arial"/>
                <w:sz w:val="20"/>
                <w:szCs w:val="20"/>
              </w:rPr>
              <w:t>apentadol ER 250 mg tablets</w:t>
            </w:r>
          </w:p>
          <w:p w14:paraId="5A5128DF" w14:textId="77777777" w:rsidR="000F1569" w:rsidRPr="00BB52BA" w:rsidRDefault="000F1569" w:rsidP="000F1569">
            <w:pPr>
              <w:autoSpaceDE w:val="0"/>
              <w:autoSpaceDN w:val="0"/>
              <w:adjustRightInd w:val="0"/>
              <w:spacing w:after="0" w:line="240" w:lineRule="auto"/>
              <w:rPr>
                <w:rFonts w:ascii="Arial" w:hAnsi="Arial" w:cs="Arial"/>
                <w:sz w:val="20"/>
                <w:szCs w:val="20"/>
              </w:rPr>
            </w:pPr>
          </w:p>
          <w:p w14:paraId="013C69AB" w14:textId="3C414A60" w:rsidR="000F1569" w:rsidRPr="00BB52BA" w:rsidRDefault="004A236F" w:rsidP="000F1569">
            <w:pPr>
              <w:autoSpaceDE w:val="0"/>
              <w:autoSpaceDN w:val="0"/>
              <w:adjustRightInd w:val="0"/>
              <w:spacing w:after="0" w:line="240" w:lineRule="auto"/>
              <w:rPr>
                <w:rFonts w:ascii="Arial" w:hAnsi="Arial" w:cs="Arial"/>
                <w:sz w:val="20"/>
                <w:szCs w:val="20"/>
              </w:rPr>
            </w:pPr>
            <w:r>
              <w:rPr>
                <w:rFonts w:ascii="Arial" w:hAnsi="Arial" w:cs="Arial"/>
                <w:sz w:val="20"/>
                <w:szCs w:val="20"/>
              </w:rPr>
              <w:t>vs</w:t>
            </w:r>
          </w:p>
          <w:p w14:paraId="0BDB9053" w14:textId="77777777" w:rsidR="000F1569" w:rsidRPr="00BB52BA" w:rsidRDefault="000F1569" w:rsidP="000F1569">
            <w:pPr>
              <w:autoSpaceDE w:val="0"/>
              <w:autoSpaceDN w:val="0"/>
              <w:adjustRightInd w:val="0"/>
              <w:spacing w:after="0" w:line="240" w:lineRule="auto"/>
              <w:rPr>
                <w:rFonts w:ascii="Arial" w:hAnsi="Arial" w:cs="Arial"/>
                <w:sz w:val="20"/>
                <w:szCs w:val="20"/>
              </w:rPr>
            </w:pPr>
          </w:p>
          <w:p w14:paraId="64255430" w14:textId="6354D503" w:rsidR="000F1569" w:rsidRPr="00BB52BA" w:rsidRDefault="00844736" w:rsidP="000F1569">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o</w:t>
            </w:r>
            <w:r w:rsidR="000F1569" w:rsidRPr="00BB52BA">
              <w:rPr>
                <w:rFonts w:ascii="Arial" w:hAnsi="Arial" w:cs="Arial"/>
                <w:sz w:val="20"/>
                <w:szCs w:val="20"/>
              </w:rPr>
              <w:t>xycodone ER 40 mg tablets</w:t>
            </w:r>
          </w:p>
          <w:p w14:paraId="071BA1AD" w14:textId="77777777" w:rsidR="000F1569" w:rsidRPr="00BB52BA" w:rsidRDefault="000F1569" w:rsidP="000F1569">
            <w:pPr>
              <w:autoSpaceDE w:val="0"/>
              <w:autoSpaceDN w:val="0"/>
              <w:adjustRightInd w:val="0"/>
              <w:spacing w:after="0" w:line="240" w:lineRule="auto"/>
              <w:rPr>
                <w:rFonts w:ascii="Arial" w:hAnsi="Arial" w:cs="Arial"/>
                <w:sz w:val="20"/>
                <w:szCs w:val="20"/>
              </w:rPr>
            </w:pPr>
          </w:p>
          <w:p w14:paraId="6947CBC0" w14:textId="23E6AEA5" w:rsidR="000F1569" w:rsidRPr="00BB52BA" w:rsidRDefault="000F1569" w:rsidP="000F1569">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Tools that had been specifically requested by the participant for preparing the tablets for abuse were provided. Participants were able to tamper with the tablets for up to an hour to turn them into a form suitable for snorting (Study 1) or shooting (Study 2).</w:t>
            </w:r>
          </w:p>
        </w:tc>
        <w:tc>
          <w:tcPr>
            <w:tcW w:w="1760" w:type="dxa"/>
          </w:tcPr>
          <w:p w14:paraId="77EBDDDF" w14:textId="3DA41EA6" w:rsidR="0015395A" w:rsidRPr="00BB52BA" w:rsidRDefault="000F1569" w:rsidP="000B3401">
            <w:pPr>
              <w:spacing w:after="0" w:line="240" w:lineRule="auto"/>
              <w:rPr>
                <w:rFonts w:ascii="Arial" w:hAnsi="Arial" w:cs="Arial"/>
                <w:sz w:val="20"/>
                <w:szCs w:val="20"/>
              </w:rPr>
            </w:pPr>
            <w:r w:rsidRPr="00BB52BA">
              <w:rPr>
                <w:rFonts w:ascii="Arial" w:hAnsi="Arial" w:cs="Arial"/>
                <w:sz w:val="20"/>
                <w:szCs w:val="20"/>
              </w:rPr>
              <w:t>SB, Randomized, repeat measures study</w:t>
            </w:r>
          </w:p>
          <w:p w14:paraId="2EAB9917" w14:textId="77777777" w:rsidR="000F1569" w:rsidRPr="00BB52BA" w:rsidRDefault="000F1569" w:rsidP="000B3401">
            <w:pPr>
              <w:spacing w:after="0" w:line="240" w:lineRule="auto"/>
              <w:rPr>
                <w:rFonts w:ascii="Arial" w:hAnsi="Arial" w:cs="Arial"/>
                <w:sz w:val="20"/>
                <w:szCs w:val="20"/>
              </w:rPr>
            </w:pPr>
          </w:p>
          <w:p w14:paraId="02607419" w14:textId="75239D2C" w:rsidR="000F1569" w:rsidRPr="00BB52BA" w:rsidRDefault="000F1569" w:rsidP="000B3401">
            <w:pPr>
              <w:spacing w:after="0" w:line="240" w:lineRule="auto"/>
              <w:rPr>
                <w:rFonts w:ascii="Arial" w:hAnsi="Arial" w:cs="Arial"/>
                <w:sz w:val="20"/>
                <w:szCs w:val="20"/>
              </w:rPr>
            </w:pPr>
            <w:r w:rsidRPr="00BB52BA">
              <w:rPr>
                <w:rFonts w:ascii="Arial" w:hAnsi="Arial" w:cs="Arial"/>
                <w:sz w:val="20"/>
                <w:szCs w:val="20"/>
              </w:rPr>
              <w:t>Patients between 21 and 60 years of age  currently abusing oxycodone IR or ER intranasally (Study 1) or intravenously (Study 2)</w:t>
            </w:r>
          </w:p>
        </w:tc>
        <w:tc>
          <w:tcPr>
            <w:tcW w:w="1540" w:type="dxa"/>
          </w:tcPr>
          <w:p w14:paraId="5A2B229F" w14:textId="6EFC23FF" w:rsidR="004A236F" w:rsidRDefault="00BB52BA" w:rsidP="00F61D29">
            <w:pPr>
              <w:spacing w:after="0" w:line="240" w:lineRule="auto"/>
              <w:jc w:val="center"/>
              <w:rPr>
                <w:rFonts w:ascii="Arial" w:hAnsi="Arial" w:cs="Arial"/>
                <w:sz w:val="20"/>
                <w:szCs w:val="20"/>
              </w:rPr>
            </w:pPr>
            <w:r>
              <w:rPr>
                <w:rFonts w:ascii="Arial" w:hAnsi="Arial" w:cs="Arial"/>
                <w:sz w:val="20"/>
                <w:szCs w:val="20"/>
              </w:rPr>
              <w:t xml:space="preserve">N=25 (Study 1) </w:t>
            </w:r>
          </w:p>
          <w:p w14:paraId="78A9F77C" w14:textId="43DC2173" w:rsidR="0015395A" w:rsidRDefault="00BB52BA" w:rsidP="00F61D29">
            <w:pPr>
              <w:spacing w:after="0" w:line="240" w:lineRule="auto"/>
              <w:jc w:val="center"/>
              <w:rPr>
                <w:rFonts w:ascii="Arial" w:hAnsi="Arial" w:cs="Arial"/>
                <w:sz w:val="20"/>
                <w:szCs w:val="20"/>
              </w:rPr>
            </w:pPr>
            <w:r>
              <w:rPr>
                <w:rFonts w:ascii="Arial" w:hAnsi="Arial" w:cs="Arial"/>
                <w:sz w:val="20"/>
                <w:szCs w:val="20"/>
              </w:rPr>
              <w:t>N=25 (Study 2)</w:t>
            </w:r>
          </w:p>
          <w:p w14:paraId="2B885246" w14:textId="77777777" w:rsidR="00BB52BA" w:rsidRDefault="00BB52BA" w:rsidP="00F61D29">
            <w:pPr>
              <w:spacing w:after="0" w:line="240" w:lineRule="auto"/>
              <w:jc w:val="center"/>
              <w:rPr>
                <w:rFonts w:ascii="Arial" w:hAnsi="Arial" w:cs="Arial"/>
                <w:sz w:val="20"/>
                <w:szCs w:val="20"/>
              </w:rPr>
            </w:pPr>
          </w:p>
          <w:p w14:paraId="49529369" w14:textId="27C9156F" w:rsidR="00BB52BA" w:rsidRPr="00BB52BA" w:rsidRDefault="00BB52BA" w:rsidP="00F61D29">
            <w:pPr>
              <w:spacing w:after="0" w:line="240" w:lineRule="auto"/>
              <w:jc w:val="center"/>
              <w:rPr>
                <w:rFonts w:ascii="Arial" w:hAnsi="Arial" w:cs="Arial"/>
                <w:sz w:val="20"/>
                <w:szCs w:val="20"/>
              </w:rPr>
            </w:pPr>
            <w:r>
              <w:rPr>
                <w:rFonts w:ascii="Arial" w:hAnsi="Arial" w:cs="Arial"/>
                <w:sz w:val="20"/>
                <w:szCs w:val="20"/>
              </w:rPr>
              <w:t>Single encounter</w:t>
            </w:r>
          </w:p>
        </w:tc>
        <w:tc>
          <w:tcPr>
            <w:tcW w:w="1760" w:type="dxa"/>
          </w:tcPr>
          <w:p w14:paraId="0923103B" w14:textId="77777777" w:rsidR="0015395A" w:rsidRPr="00BB52BA" w:rsidRDefault="000F1569" w:rsidP="00F61D29">
            <w:pPr>
              <w:spacing w:after="0" w:line="240" w:lineRule="auto"/>
              <w:rPr>
                <w:rFonts w:ascii="Arial" w:hAnsi="Arial" w:cs="Arial"/>
                <w:sz w:val="20"/>
                <w:szCs w:val="20"/>
              </w:rPr>
            </w:pPr>
            <w:r w:rsidRPr="00BB52BA">
              <w:rPr>
                <w:rFonts w:ascii="Arial" w:hAnsi="Arial" w:cs="Arial"/>
                <w:sz w:val="20"/>
                <w:szCs w:val="20"/>
              </w:rPr>
              <w:t>Primary:</w:t>
            </w:r>
          </w:p>
          <w:p w14:paraId="1040F06D" w14:textId="1E2DD574" w:rsidR="000F1569" w:rsidRPr="00BB52BA" w:rsidRDefault="000F1569" w:rsidP="000F1569">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Percentage of participants who</w:t>
            </w:r>
          </w:p>
          <w:p w14:paraId="265440A5" w14:textId="645130AD" w:rsidR="000F1569" w:rsidRPr="00BB52BA" w:rsidRDefault="000F1569" w:rsidP="000F1569">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 xml:space="preserve">indicated they would snort the tampered tablets (Study 1); </w:t>
            </w:r>
          </w:p>
          <w:p w14:paraId="33D964B2" w14:textId="77777777" w:rsidR="000F1569" w:rsidRPr="00BB52BA" w:rsidRDefault="000F1569" w:rsidP="000F1569">
            <w:pPr>
              <w:spacing w:after="0" w:line="240" w:lineRule="auto"/>
              <w:rPr>
                <w:rFonts w:ascii="Arial" w:hAnsi="Arial" w:cs="Arial"/>
                <w:sz w:val="20"/>
                <w:szCs w:val="20"/>
              </w:rPr>
            </w:pPr>
            <w:r w:rsidRPr="00BB52BA">
              <w:rPr>
                <w:rFonts w:ascii="Arial" w:hAnsi="Arial" w:cs="Arial"/>
                <w:sz w:val="20"/>
                <w:szCs w:val="20"/>
              </w:rPr>
              <w:t>Percent yield of active drug in solution (Study 2)</w:t>
            </w:r>
          </w:p>
          <w:p w14:paraId="35F8E106" w14:textId="77777777" w:rsidR="00844736" w:rsidRPr="00BB52BA" w:rsidRDefault="00844736" w:rsidP="000F1569">
            <w:pPr>
              <w:spacing w:after="0" w:line="240" w:lineRule="auto"/>
              <w:rPr>
                <w:rFonts w:ascii="Arial" w:hAnsi="Arial" w:cs="Arial"/>
                <w:sz w:val="20"/>
                <w:szCs w:val="20"/>
              </w:rPr>
            </w:pPr>
          </w:p>
          <w:p w14:paraId="27DD6D49" w14:textId="77777777" w:rsidR="00844736" w:rsidRPr="00BB52BA" w:rsidRDefault="00844736" w:rsidP="000F1569">
            <w:pPr>
              <w:spacing w:after="0" w:line="240" w:lineRule="auto"/>
              <w:rPr>
                <w:rFonts w:ascii="Arial" w:hAnsi="Arial" w:cs="Arial"/>
                <w:sz w:val="20"/>
                <w:szCs w:val="20"/>
              </w:rPr>
            </w:pPr>
            <w:r w:rsidRPr="00BB52BA">
              <w:rPr>
                <w:rFonts w:ascii="Arial" w:hAnsi="Arial" w:cs="Arial"/>
                <w:sz w:val="20"/>
                <w:szCs w:val="20"/>
              </w:rPr>
              <w:t>Secondary:</w:t>
            </w:r>
          </w:p>
          <w:p w14:paraId="01E7FD94" w14:textId="7D2FC78F" w:rsidR="00844736" w:rsidRPr="00BB52BA" w:rsidRDefault="00844736" w:rsidP="00844736">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 xml:space="preserve">Time spent tampering with the tablets (Study 1 and 2); </w:t>
            </w:r>
            <w:r w:rsidR="004A236F">
              <w:rPr>
                <w:rFonts w:ascii="Arial" w:hAnsi="Arial" w:cs="Arial"/>
                <w:sz w:val="20"/>
                <w:szCs w:val="20"/>
              </w:rPr>
              <w:t>p</w:t>
            </w:r>
            <w:r w:rsidRPr="00BB52BA">
              <w:rPr>
                <w:rFonts w:ascii="Arial" w:hAnsi="Arial" w:cs="Arial"/>
                <w:sz w:val="20"/>
                <w:szCs w:val="20"/>
              </w:rPr>
              <w:t>article size distribution</w:t>
            </w:r>
          </w:p>
          <w:p w14:paraId="3BF7D734" w14:textId="12B2588C" w:rsidR="00844736" w:rsidRPr="00BB52BA" w:rsidRDefault="00844736" w:rsidP="00844736">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of the tampered tablets and the self-reported</w:t>
            </w:r>
          </w:p>
          <w:p w14:paraId="7FEE030D" w14:textId="1A1EAE34" w:rsidR="00844736" w:rsidRPr="00BB52BA" w:rsidRDefault="00844736" w:rsidP="00BB52BA">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 xml:space="preserve">maximum time participants willing to spend on a routine basis preparing the tablets for intranasal abuse (Study 1); </w:t>
            </w:r>
            <w:r w:rsidR="00BB52BA" w:rsidRPr="00BB52BA">
              <w:rPr>
                <w:rFonts w:ascii="Arial" w:hAnsi="Arial" w:cs="Arial"/>
                <w:sz w:val="20"/>
                <w:szCs w:val="20"/>
              </w:rPr>
              <w:t>self-</w:t>
            </w:r>
            <w:r w:rsidR="00BB52BA" w:rsidRPr="00BB52BA">
              <w:rPr>
                <w:rFonts w:ascii="Arial" w:hAnsi="Arial" w:cs="Arial"/>
                <w:sz w:val="20"/>
                <w:szCs w:val="20"/>
              </w:rPr>
              <w:lastRenderedPageBreak/>
              <w:t xml:space="preserve">reported willingness to inject the tampered product and self-reported maximum time participants would be willing to spend on a routine basis </w:t>
            </w:r>
            <w:r w:rsidR="004F148F">
              <w:rPr>
                <w:rFonts w:ascii="Arial" w:hAnsi="Arial" w:cs="Arial"/>
                <w:sz w:val="20"/>
                <w:szCs w:val="20"/>
              </w:rPr>
              <w:t>preparing the tablets for abuse</w:t>
            </w:r>
          </w:p>
        </w:tc>
        <w:tc>
          <w:tcPr>
            <w:tcW w:w="6030" w:type="dxa"/>
          </w:tcPr>
          <w:p w14:paraId="55DA8561" w14:textId="77777777" w:rsidR="0015395A" w:rsidRPr="00BB52BA" w:rsidRDefault="00844736" w:rsidP="00483F31">
            <w:pPr>
              <w:spacing w:after="0" w:line="240" w:lineRule="auto"/>
              <w:rPr>
                <w:rFonts w:ascii="Arial" w:hAnsi="Arial" w:cs="Arial"/>
                <w:sz w:val="20"/>
                <w:szCs w:val="20"/>
              </w:rPr>
            </w:pPr>
            <w:r w:rsidRPr="00BB52BA">
              <w:rPr>
                <w:rFonts w:ascii="Arial" w:hAnsi="Arial" w:cs="Arial"/>
                <w:sz w:val="20"/>
                <w:szCs w:val="20"/>
              </w:rPr>
              <w:lastRenderedPageBreak/>
              <w:t>Primary:</w:t>
            </w:r>
          </w:p>
          <w:p w14:paraId="1D10DB51" w14:textId="6EF699DC" w:rsidR="00844736" w:rsidRPr="00BB52BA" w:rsidRDefault="00844736" w:rsidP="00844736">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 xml:space="preserve">Tampered tapentadol tablets were less desirable than the tampered oxycodone tablets. Few individuals were willing to snort the tapentadol particles (tapentadol ER 50 mg: 24%, tapentadol ER 250 mg: 16%; oxycodone ER 40 mg: 100% P&lt;.001) There were no statistically significant differences between the percentages of participants who were willing to snort the two tapentadol groups. (Study 1). </w:t>
            </w:r>
          </w:p>
          <w:p w14:paraId="2D04F88C" w14:textId="77777777" w:rsidR="00844736" w:rsidRPr="00BB52BA" w:rsidRDefault="00844736" w:rsidP="00844736">
            <w:pPr>
              <w:autoSpaceDE w:val="0"/>
              <w:autoSpaceDN w:val="0"/>
              <w:adjustRightInd w:val="0"/>
              <w:spacing w:after="0" w:line="240" w:lineRule="auto"/>
              <w:rPr>
                <w:rFonts w:ascii="Arial" w:hAnsi="Arial" w:cs="Arial"/>
                <w:sz w:val="20"/>
                <w:szCs w:val="20"/>
              </w:rPr>
            </w:pPr>
          </w:p>
          <w:p w14:paraId="24E9FA53" w14:textId="37AF81C9" w:rsidR="00844736" w:rsidRPr="00BB52BA" w:rsidRDefault="00844736" w:rsidP="00844736">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 xml:space="preserve">There was less drug extracted from the tapentadol ER 50 mg tablet than from the oxycodone ER 40 mg tablet (3.5% vs. 37.0%, P=0.008), and no samples from the tapentadol ER 250 mg tablets contained analyzable solutions of the drug (Study 2). </w:t>
            </w:r>
          </w:p>
          <w:p w14:paraId="0F2F6A7B" w14:textId="77777777" w:rsidR="00844736" w:rsidRPr="00BB52BA" w:rsidRDefault="00844736" w:rsidP="00844736">
            <w:pPr>
              <w:autoSpaceDE w:val="0"/>
              <w:autoSpaceDN w:val="0"/>
              <w:adjustRightInd w:val="0"/>
              <w:spacing w:after="0" w:line="240" w:lineRule="auto"/>
              <w:rPr>
                <w:rFonts w:ascii="Arial" w:hAnsi="Arial" w:cs="Arial"/>
                <w:sz w:val="20"/>
                <w:szCs w:val="20"/>
              </w:rPr>
            </w:pPr>
          </w:p>
          <w:p w14:paraId="21A0E7F6" w14:textId="34EF99BE" w:rsidR="00844736" w:rsidRPr="00BB52BA" w:rsidRDefault="00844736" w:rsidP="00844736">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Secondary:</w:t>
            </w:r>
          </w:p>
          <w:p w14:paraId="59832A0F" w14:textId="70755D82" w:rsidR="00844736" w:rsidRPr="00BB52BA" w:rsidRDefault="00844736" w:rsidP="00844736">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It took participants longer to tamper with the tapentadol formulations (Study 1: tapentadol ER 50 mg</w:t>
            </w:r>
            <w:r w:rsidR="00584C15">
              <w:rPr>
                <w:rFonts w:ascii="Arial" w:hAnsi="Arial" w:cs="Arial"/>
                <w:sz w:val="20"/>
                <w:szCs w:val="20"/>
              </w:rPr>
              <w:t>: 5.9 minutes</w:t>
            </w:r>
            <w:r w:rsidR="004A236F">
              <w:rPr>
                <w:rFonts w:ascii="Arial" w:hAnsi="Arial" w:cs="Arial"/>
                <w:sz w:val="20"/>
                <w:szCs w:val="20"/>
              </w:rPr>
              <w:t xml:space="preserve"> vs</w:t>
            </w:r>
            <w:r w:rsidRPr="00BB52BA">
              <w:rPr>
                <w:rFonts w:ascii="Arial" w:hAnsi="Arial" w:cs="Arial"/>
                <w:sz w:val="20"/>
                <w:szCs w:val="20"/>
              </w:rPr>
              <w:t xml:space="preserve"> </w:t>
            </w:r>
            <w:r w:rsidR="00BB52BA" w:rsidRPr="00BB52BA">
              <w:rPr>
                <w:rFonts w:ascii="Arial" w:hAnsi="Arial" w:cs="Arial"/>
                <w:sz w:val="20"/>
                <w:szCs w:val="20"/>
              </w:rPr>
              <w:t>oxycodone ER 40 mg</w:t>
            </w:r>
            <w:r w:rsidR="00584C15">
              <w:rPr>
                <w:rFonts w:ascii="Arial" w:hAnsi="Arial" w:cs="Arial"/>
                <w:sz w:val="20"/>
                <w:szCs w:val="20"/>
              </w:rPr>
              <w:t>: 2.9 minutes</w:t>
            </w:r>
            <w:r w:rsidRPr="00BB52BA">
              <w:rPr>
                <w:rFonts w:ascii="Arial" w:hAnsi="Arial" w:cs="Arial"/>
                <w:sz w:val="20"/>
                <w:szCs w:val="20"/>
              </w:rPr>
              <w:t>, P&lt;0.01; tapentadol ER 250</w:t>
            </w:r>
            <w:r w:rsidR="00584C15">
              <w:rPr>
                <w:rFonts w:ascii="Arial" w:hAnsi="Arial" w:cs="Arial"/>
                <w:sz w:val="20"/>
                <w:szCs w:val="20"/>
              </w:rPr>
              <w:t xml:space="preserve"> mg: 7.1 minutes</w:t>
            </w:r>
            <w:r w:rsidRPr="00BB52BA">
              <w:rPr>
                <w:rFonts w:ascii="Arial" w:hAnsi="Arial" w:cs="Arial"/>
                <w:sz w:val="20"/>
                <w:szCs w:val="20"/>
              </w:rPr>
              <w:t xml:space="preserve"> vs oxycodone ER 40 mg</w:t>
            </w:r>
            <w:r w:rsidR="00584C15">
              <w:rPr>
                <w:rFonts w:ascii="Arial" w:hAnsi="Arial" w:cs="Arial"/>
                <w:sz w:val="20"/>
                <w:szCs w:val="20"/>
              </w:rPr>
              <w:t>: 2.9 minutes</w:t>
            </w:r>
            <w:r w:rsidRPr="00BB52BA">
              <w:rPr>
                <w:rFonts w:ascii="Arial" w:hAnsi="Arial" w:cs="Arial"/>
                <w:sz w:val="20"/>
                <w:szCs w:val="20"/>
              </w:rPr>
              <w:t>, P&lt;0.01; Study 2: tapentadol ER 250 mg</w:t>
            </w:r>
            <w:r w:rsidR="00584C15">
              <w:rPr>
                <w:rFonts w:ascii="Arial" w:hAnsi="Arial" w:cs="Arial"/>
                <w:sz w:val="20"/>
                <w:szCs w:val="20"/>
              </w:rPr>
              <w:t>: 10.58 minutes</w:t>
            </w:r>
            <w:r w:rsidRPr="00BB52BA">
              <w:rPr>
                <w:rFonts w:ascii="Arial" w:hAnsi="Arial" w:cs="Arial"/>
                <w:sz w:val="20"/>
                <w:szCs w:val="20"/>
              </w:rPr>
              <w:t xml:space="preserve"> vs oxycodone ER 40 mg</w:t>
            </w:r>
            <w:r w:rsidR="00584C15">
              <w:rPr>
                <w:rFonts w:ascii="Arial" w:hAnsi="Arial" w:cs="Arial"/>
                <w:sz w:val="20"/>
                <w:szCs w:val="20"/>
              </w:rPr>
              <w:t>: 6.57 minutes</w:t>
            </w:r>
            <w:r w:rsidRPr="00BB52BA">
              <w:rPr>
                <w:rFonts w:ascii="Arial" w:hAnsi="Arial" w:cs="Arial"/>
                <w:sz w:val="20"/>
                <w:szCs w:val="20"/>
              </w:rPr>
              <w:t>, P&lt;0.05).</w:t>
            </w:r>
          </w:p>
          <w:p w14:paraId="25A06582" w14:textId="77777777" w:rsidR="00844736" w:rsidRPr="00BB52BA" w:rsidRDefault="00844736" w:rsidP="00844736">
            <w:pPr>
              <w:autoSpaceDE w:val="0"/>
              <w:autoSpaceDN w:val="0"/>
              <w:adjustRightInd w:val="0"/>
              <w:spacing w:after="0" w:line="240" w:lineRule="auto"/>
              <w:rPr>
                <w:rFonts w:ascii="Arial" w:hAnsi="Arial" w:cs="Arial"/>
                <w:sz w:val="20"/>
                <w:szCs w:val="20"/>
              </w:rPr>
            </w:pPr>
          </w:p>
          <w:p w14:paraId="69EF319A" w14:textId="77777777" w:rsidR="00584C15" w:rsidRPr="00BB52BA" w:rsidRDefault="00844736" w:rsidP="00584C15">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 xml:space="preserve">Lower percentages of the initial, intact tablet by weight were recovered as tampering products from the </w:t>
            </w:r>
            <w:r w:rsidR="00BB52BA" w:rsidRPr="00BB52BA">
              <w:rPr>
                <w:rFonts w:ascii="Arial" w:hAnsi="Arial" w:cs="Arial"/>
                <w:sz w:val="20"/>
                <w:szCs w:val="20"/>
              </w:rPr>
              <w:t xml:space="preserve">oxycodone ER 40 mg </w:t>
            </w:r>
            <w:r w:rsidRPr="00BB52BA">
              <w:rPr>
                <w:rFonts w:ascii="Arial" w:hAnsi="Arial" w:cs="Arial"/>
                <w:sz w:val="20"/>
                <w:szCs w:val="20"/>
              </w:rPr>
              <w:t>tablets than from</w:t>
            </w:r>
            <w:r w:rsidR="00BB52BA" w:rsidRPr="00BB52BA">
              <w:rPr>
                <w:rFonts w:ascii="Arial" w:hAnsi="Arial" w:cs="Arial"/>
                <w:sz w:val="20"/>
                <w:szCs w:val="20"/>
              </w:rPr>
              <w:t xml:space="preserve"> the</w:t>
            </w:r>
            <w:r w:rsidRPr="00BB52BA">
              <w:rPr>
                <w:rFonts w:ascii="Arial" w:hAnsi="Arial" w:cs="Arial"/>
                <w:sz w:val="20"/>
                <w:szCs w:val="20"/>
              </w:rPr>
              <w:t xml:space="preserve"> </w:t>
            </w:r>
            <w:r w:rsidR="00BB52BA" w:rsidRPr="00BB52BA">
              <w:rPr>
                <w:rFonts w:ascii="Arial" w:hAnsi="Arial" w:cs="Arial"/>
                <w:sz w:val="20"/>
                <w:szCs w:val="20"/>
              </w:rPr>
              <w:t>tapentadol groups</w:t>
            </w:r>
            <w:r w:rsidRPr="00BB52BA">
              <w:rPr>
                <w:rFonts w:ascii="Arial" w:hAnsi="Arial" w:cs="Arial"/>
                <w:sz w:val="20"/>
                <w:szCs w:val="20"/>
              </w:rPr>
              <w:t xml:space="preserve">. This was likely due to the fine powder produced from the </w:t>
            </w:r>
            <w:r w:rsidR="00BB52BA" w:rsidRPr="00BB52BA">
              <w:rPr>
                <w:rFonts w:ascii="Arial" w:hAnsi="Arial" w:cs="Arial"/>
                <w:sz w:val="20"/>
                <w:szCs w:val="20"/>
              </w:rPr>
              <w:t xml:space="preserve">oxycodone ER 40 mg </w:t>
            </w:r>
            <w:r w:rsidRPr="00BB52BA">
              <w:rPr>
                <w:rFonts w:ascii="Arial" w:hAnsi="Arial" w:cs="Arial"/>
                <w:sz w:val="20"/>
                <w:szCs w:val="20"/>
              </w:rPr>
              <w:t>during the crushing process whi</w:t>
            </w:r>
            <w:r w:rsidR="00BB52BA" w:rsidRPr="00BB52BA">
              <w:rPr>
                <w:rFonts w:ascii="Arial" w:hAnsi="Arial" w:cs="Arial"/>
                <w:sz w:val="20"/>
                <w:szCs w:val="20"/>
              </w:rPr>
              <w:t>ch stuck to the work surface or potentially blew away during the product transfer</w:t>
            </w:r>
            <w:r w:rsidR="00584C15">
              <w:rPr>
                <w:rFonts w:ascii="Arial" w:hAnsi="Arial" w:cs="Arial"/>
                <w:sz w:val="20"/>
                <w:szCs w:val="20"/>
              </w:rPr>
              <w:t xml:space="preserve"> </w:t>
            </w:r>
            <w:r w:rsidR="00584C15" w:rsidRPr="00BB52BA">
              <w:rPr>
                <w:rFonts w:ascii="Arial" w:hAnsi="Arial" w:cs="Arial"/>
                <w:sz w:val="20"/>
                <w:szCs w:val="20"/>
              </w:rPr>
              <w:t>(Study 1).</w:t>
            </w:r>
          </w:p>
          <w:p w14:paraId="785CE20F" w14:textId="184EC786" w:rsidR="00584C15" w:rsidRDefault="00BB52BA" w:rsidP="00844736">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 xml:space="preserve"> </w:t>
            </w:r>
          </w:p>
          <w:p w14:paraId="66E9CB8A" w14:textId="19660AE4" w:rsidR="00844736" w:rsidRPr="00BB52BA" w:rsidRDefault="00BB52BA" w:rsidP="00844736">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 xml:space="preserve">Participants also reported that they were willing to spend more </w:t>
            </w:r>
            <w:r w:rsidRPr="00BB52BA">
              <w:rPr>
                <w:rFonts w:ascii="Arial" w:hAnsi="Arial" w:cs="Arial"/>
                <w:sz w:val="20"/>
                <w:szCs w:val="20"/>
              </w:rPr>
              <w:lastRenderedPageBreak/>
              <w:t>time preparing tapentadol</w:t>
            </w:r>
            <w:r w:rsidR="00584C15">
              <w:rPr>
                <w:rFonts w:ascii="Arial" w:hAnsi="Arial" w:cs="Arial"/>
                <w:sz w:val="20"/>
                <w:szCs w:val="20"/>
              </w:rPr>
              <w:t xml:space="preserve"> 50 mg and 250 mg</w:t>
            </w:r>
            <w:r w:rsidRPr="00BB52BA">
              <w:rPr>
                <w:rFonts w:ascii="Arial" w:hAnsi="Arial" w:cs="Arial"/>
                <w:sz w:val="20"/>
                <w:szCs w:val="20"/>
              </w:rPr>
              <w:t xml:space="preserve"> tablets than oxycodone ER 40 mg tablets.</w:t>
            </w:r>
            <w:r w:rsidR="00584C15">
              <w:rPr>
                <w:rFonts w:ascii="Arial" w:hAnsi="Arial" w:cs="Arial"/>
                <w:sz w:val="20"/>
                <w:szCs w:val="20"/>
              </w:rPr>
              <w:t xml:space="preserve"> (11.6 minutes vs 4.8 minutes, P&lt;0.01; 10.8 minutes vs 4.8 minutes, P&lt;0.05, respectively)</w:t>
            </w:r>
            <w:r w:rsidRPr="00BB52BA">
              <w:rPr>
                <w:rFonts w:ascii="Arial" w:hAnsi="Arial" w:cs="Arial"/>
                <w:sz w:val="20"/>
                <w:szCs w:val="20"/>
              </w:rPr>
              <w:t xml:space="preserve"> (Study 1).</w:t>
            </w:r>
          </w:p>
          <w:p w14:paraId="0A4214C4" w14:textId="77777777" w:rsidR="00BB52BA" w:rsidRPr="00BB52BA" w:rsidRDefault="00BB52BA" w:rsidP="00844736">
            <w:pPr>
              <w:autoSpaceDE w:val="0"/>
              <w:autoSpaceDN w:val="0"/>
              <w:adjustRightInd w:val="0"/>
              <w:spacing w:after="0" w:line="240" w:lineRule="auto"/>
              <w:rPr>
                <w:rFonts w:ascii="Arial" w:hAnsi="Arial" w:cs="Arial"/>
                <w:sz w:val="20"/>
                <w:szCs w:val="20"/>
              </w:rPr>
            </w:pPr>
          </w:p>
          <w:p w14:paraId="76D386EA" w14:textId="2E0B9111" w:rsidR="00584C15" w:rsidRDefault="00BB52BA" w:rsidP="00BB52BA">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There were no differences</w:t>
            </w:r>
            <w:r w:rsidR="00584C15">
              <w:rPr>
                <w:rFonts w:ascii="Arial" w:hAnsi="Arial" w:cs="Arial"/>
                <w:sz w:val="20"/>
                <w:szCs w:val="20"/>
              </w:rPr>
              <w:t xml:space="preserve"> between the tapentadol 50 mg and 250 mg compared to the oxycodone ER 40 mg</w:t>
            </w:r>
            <w:r w:rsidRPr="00BB52BA">
              <w:rPr>
                <w:rFonts w:ascii="Arial" w:hAnsi="Arial" w:cs="Arial"/>
                <w:sz w:val="20"/>
                <w:szCs w:val="20"/>
              </w:rPr>
              <w:t xml:space="preserve"> among the maximum amounts of time that participants would be willing to spend preparing tablets for intravenous use</w:t>
            </w:r>
            <w:r w:rsidR="00584C15">
              <w:rPr>
                <w:rFonts w:ascii="Arial" w:hAnsi="Arial" w:cs="Arial"/>
                <w:sz w:val="20"/>
                <w:szCs w:val="20"/>
              </w:rPr>
              <w:t xml:space="preserve"> (17.</w:t>
            </w:r>
            <w:r w:rsidR="004A236F">
              <w:rPr>
                <w:rFonts w:ascii="Arial" w:hAnsi="Arial" w:cs="Arial"/>
                <w:sz w:val="20"/>
                <w:szCs w:val="20"/>
              </w:rPr>
              <w:t>67 minutes and 22.52 minutes vs</w:t>
            </w:r>
            <w:r w:rsidR="00584C15">
              <w:rPr>
                <w:rFonts w:ascii="Arial" w:hAnsi="Arial" w:cs="Arial"/>
                <w:sz w:val="20"/>
                <w:szCs w:val="20"/>
              </w:rPr>
              <w:t xml:space="preserve"> 15.22 minutes; P value not reported)</w:t>
            </w:r>
            <w:r w:rsidRPr="00BB52BA">
              <w:rPr>
                <w:rFonts w:ascii="Arial" w:hAnsi="Arial" w:cs="Arial"/>
                <w:sz w:val="20"/>
                <w:szCs w:val="20"/>
              </w:rPr>
              <w:t xml:space="preserve">. </w:t>
            </w:r>
            <w:r w:rsidR="00584C15" w:rsidRPr="00BB52BA">
              <w:rPr>
                <w:rFonts w:ascii="Arial" w:hAnsi="Arial" w:cs="Arial"/>
                <w:sz w:val="20"/>
                <w:szCs w:val="20"/>
              </w:rPr>
              <w:t>(Study 2)</w:t>
            </w:r>
          </w:p>
          <w:p w14:paraId="0BDFE5B7" w14:textId="77777777" w:rsidR="00584C15" w:rsidRDefault="00584C15" w:rsidP="00BB52BA">
            <w:pPr>
              <w:autoSpaceDE w:val="0"/>
              <w:autoSpaceDN w:val="0"/>
              <w:adjustRightInd w:val="0"/>
              <w:spacing w:after="0" w:line="240" w:lineRule="auto"/>
              <w:rPr>
                <w:rFonts w:ascii="Arial" w:hAnsi="Arial" w:cs="Arial"/>
                <w:sz w:val="20"/>
                <w:szCs w:val="20"/>
              </w:rPr>
            </w:pPr>
          </w:p>
          <w:p w14:paraId="68F80DBE" w14:textId="2BEBB087" w:rsidR="00844736" w:rsidRPr="00BB52BA" w:rsidRDefault="00BB52BA" w:rsidP="00BB52BA">
            <w:pPr>
              <w:autoSpaceDE w:val="0"/>
              <w:autoSpaceDN w:val="0"/>
              <w:adjustRightInd w:val="0"/>
              <w:spacing w:after="0" w:line="240" w:lineRule="auto"/>
              <w:rPr>
                <w:rFonts w:ascii="Arial" w:hAnsi="Arial" w:cs="Arial"/>
                <w:sz w:val="20"/>
                <w:szCs w:val="20"/>
              </w:rPr>
            </w:pPr>
            <w:r w:rsidRPr="00BB52BA">
              <w:rPr>
                <w:rFonts w:ascii="Arial" w:hAnsi="Arial" w:cs="Arial"/>
                <w:sz w:val="20"/>
                <w:szCs w:val="20"/>
              </w:rPr>
              <w:t>All participants were willing to inject the oxycodone ER 40 mg</w:t>
            </w:r>
            <w:r w:rsidR="00584C15">
              <w:rPr>
                <w:rFonts w:ascii="Arial" w:hAnsi="Arial" w:cs="Arial"/>
                <w:sz w:val="20"/>
                <w:szCs w:val="20"/>
              </w:rPr>
              <w:t xml:space="preserve"> (100%)</w:t>
            </w:r>
            <w:r w:rsidRPr="00BB52BA">
              <w:rPr>
                <w:rFonts w:ascii="Arial" w:hAnsi="Arial" w:cs="Arial"/>
                <w:sz w:val="20"/>
                <w:szCs w:val="20"/>
              </w:rPr>
              <w:t>, yet few were willing to inject the tapentadol ER 50 solution</w:t>
            </w:r>
            <w:r w:rsidR="00584C15">
              <w:rPr>
                <w:rFonts w:ascii="Arial" w:hAnsi="Arial" w:cs="Arial"/>
                <w:sz w:val="20"/>
                <w:szCs w:val="20"/>
              </w:rPr>
              <w:t xml:space="preserve"> (16%)</w:t>
            </w:r>
            <w:r w:rsidRPr="00BB52BA">
              <w:rPr>
                <w:rFonts w:ascii="Arial" w:hAnsi="Arial" w:cs="Arial"/>
                <w:sz w:val="20"/>
                <w:szCs w:val="20"/>
              </w:rPr>
              <w:t>, and none were willing to inject the tapentadol ER 250 solution</w:t>
            </w:r>
            <w:r w:rsidR="00584C15">
              <w:rPr>
                <w:rFonts w:ascii="Arial" w:hAnsi="Arial" w:cs="Arial"/>
                <w:sz w:val="20"/>
                <w:szCs w:val="20"/>
              </w:rPr>
              <w:t xml:space="preserve"> (0%)</w:t>
            </w:r>
            <w:r w:rsidRPr="00BB52BA">
              <w:rPr>
                <w:rFonts w:ascii="Arial" w:hAnsi="Arial" w:cs="Arial"/>
                <w:sz w:val="20"/>
                <w:szCs w:val="20"/>
              </w:rPr>
              <w:t>. (Study 2)</w:t>
            </w:r>
          </w:p>
        </w:tc>
      </w:tr>
    </w:tbl>
    <w:p w14:paraId="4B94C3E9" w14:textId="74B655A5" w:rsidR="0015395A" w:rsidRPr="0015395A" w:rsidRDefault="0015395A" w:rsidP="00B26475">
      <w:pPr>
        <w:pStyle w:val="BodyTextIndent"/>
        <w:ind w:left="-810"/>
        <w:rPr>
          <w:rFonts w:ascii="Arial" w:hAnsi="Arial" w:cs="Arial"/>
          <w:sz w:val="16"/>
          <w:szCs w:val="16"/>
        </w:rPr>
      </w:pPr>
      <w:r w:rsidRPr="0015395A">
        <w:rPr>
          <w:rFonts w:ascii="Arial" w:hAnsi="Arial" w:cs="Arial"/>
          <w:sz w:val="16"/>
          <w:szCs w:val="16"/>
        </w:rPr>
        <w:lastRenderedPageBreak/>
        <w:t>*In this study, maintenance of pain control was defined as those patients who change from baseline on an 11 point numerical scale was &lt;1.5 points for three consecutive days and who had no more than two doses of rescue medication per day for three consecutive days</w:t>
      </w:r>
    </w:p>
    <w:p w14:paraId="1679BD4D" w14:textId="4AAFA0C0" w:rsidR="00150F67" w:rsidRPr="006A1DB0" w:rsidRDefault="00150F67" w:rsidP="00E97DD8">
      <w:pPr>
        <w:pStyle w:val="BodyTextIndent"/>
        <w:ind w:left="-770"/>
        <w:rPr>
          <w:rFonts w:ascii="Arial" w:hAnsi="Arial" w:cs="Arial"/>
          <w:color w:val="0000FF"/>
          <w:sz w:val="16"/>
          <w:szCs w:val="16"/>
          <w:highlight w:val="yellow"/>
        </w:rPr>
      </w:pPr>
      <w:r w:rsidRPr="006A1DB0">
        <w:rPr>
          <w:rFonts w:ascii="Arial" w:hAnsi="Arial" w:cs="Arial"/>
          <w:color w:val="000000"/>
          <w:sz w:val="16"/>
          <w:szCs w:val="16"/>
        </w:rPr>
        <w:t>Drug regimen abbreviations:</w:t>
      </w:r>
      <w:r w:rsidR="006A1DB0" w:rsidRPr="006A1DB0">
        <w:rPr>
          <w:rFonts w:ascii="Arial" w:hAnsi="Arial" w:cs="Arial"/>
          <w:color w:val="000000"/>
          <w:sz w:val="16"/>
          <w:szCs w:val="16"/>
        </w:rPr>
        <w:t xml:space="preserve"> BID=twice daily</w:t>
      </w:r>
    </w:p>
    <w:p w14:paraId="1414CC22" w14:textId="757B3021" w:rsidR="006A1DB0" w:rsidRDefault="00356F51" w:rsidP="006A1DB0">
      <w:pPr>
        <w:spacing w:after="0" w:line="240" w:lineRule="auto"/>
        <w:ind w:left="-770"/>
        <w:rPr>
          <w:rFonts w:ascii="Arial" w:hAnsi="Arial" w:cs="Arial"/>
          <w:color w:val="000000"/>
          <w:sz w:val="16"/>
          <w:szCs w:val="16"/>
        </w:rPr>
      </w:pPr>
      <w:r w:rsidRPr="006A1DB0">
        <w:rPr>
          <w:rFonts w:ascii="Arial" w:hAnsi="Arial" w:cs="Arial"/>
          <w:color w:val="000000"/>
          <w:sz w:val="16"/>
          <w:szCs w:val="16"/>
        </w:rPr>
        <w:t>Study abbreviations:</w:t>
      </w:r>
      <w:r w:rsidR="00150F67" w:rsidRPr="006A1DB0">
        <w:rPr>
          <w:rFonts w:ascii="Arial" w:hAnsi="Arial" w:cs="Arial"/>
          <w:color w:val="000000"/>
          <w:sz w:val="16"/>
          <w:szCs w:val="16"/>
        </w:rPr>
        <w:t xml:space="preserve"> </w:t>
      </w:r>
      <w:r w:rsidR="006A1DB0" w:rsidRPr="006A1DB0">
        <w:rPr>
          <w:rFonts w:ascii="Arial" w:hAnsi="Arial" w:cs="Arial"/>
          <w:color w:val="000000"/>
          <w:sz w:val="16"/>
          <w:szCs w:val="16"/>
        </w:rPr>
        <w:t xml:space="preserve">AC=Active Control, </w:t>
      </w:r>
      <w:r w:rsidR="00150F67" w:rsidRPr="006A1DB0">
        <w:rPr>
          <w:rFonts w:ascii="Arial" w:hAnsi="Arial" w:cs="Arial"/>
          <w:color w:val="000000"/>
          <w:sz w:val="16"/>
          <w:szCs w:val="16"/>
        </w:rPr>
        <w:t>CI=confidence interval, DB</w:t>
      </w:r>
      <w:r w:rsidR="00150F67" w:rsidRPr="006A1DB0">
        <w:rPr>
          <w:rFonts w:ascii="Arial" w:hAnsi="Arial" w:cs="Arial"/>
          <w:i/>
          <w:color w:val="000000"/>
          <w:sz w:val="16"/>
          <w:szCs w:val="16"/>
        </w:rPr>
        <w:t>=</w:t>
      </w:r>
      <w:r w:rsidR="00150F67" w:rsidRPr="006A1DB0">
        <w:rPr>
          <w:rFonts w:ascii="Arial" w:hAnsi="Arial" w:cs="Arial"/>
          <w:color w:val="000000"/>
          <w:sz w:val="16"/>
          <w:szCs w:val="16"/>
        </w:rPr>
        <w:t>double-blind,</w:t>
      </w:r>
      <w:r w:rsidR="00324FD1" w:rsidRPr="006A1DB0">
        <w:rPr>
          <w:rFonts w:ascii="Arial" w:hAnsi="Arial" w:cs="Arial"/>
          <w:color w:val="000000"/>
          <w:sz w:val="16"/>
          <w:szCs w:val="16"/>
        </w:rPr>
        <w:t xml:space="preserve"> </w:t>
      </w:r>
      <w:r w:rsidR="00150F67" w:rsidRPr="006A1DB0">
        <w:rPr>
          <w:rFonts w:ascii="Arial" w:hAnsi="Arial" w:cs="Arial"/>
          <w:color w:val="000000"/>
          <w:sz w:val="16"/>
          <w:szCs w:val="16"/>
        </w:rPr>
        <w:t>MC=multicenter</w:t>
      </w:r>
      <w:proofErr w:type="gramStart"/>
      <w:r w:rsidR="00150F67" w:rsidRPr="006A1DB0">
        <w:rPr>
          <w:rFonts w:ascii="Arial" w:hAnsi="Arial" w:cs="Arial"/>
          <w:color w:val="000000"/>
          <w:sz w:val="16"/>
          <w:szCs w:val="16"/>
        </w:rPr>
        <w:t xml:space="preserve">, </w:t>
      </w:r>
      <w:r w:rsidRPr="006A1DB0">
        <w:rPr>
          <w:rFonts w:ascii="Arial" w:hAnsi="Arial" w:cs="Arial"/>
          <w:color w:val="000000"/>
          <w:sz w:val="16"/>
          <w:szCs w:val="16"/>
        </w:rPr>
        <w:t>,</w:t>
      </w:r>
      <w:proofErr w:type="gramEnd"/>
      <w:r w:rsidRPr="006A1DB0">
        <w:rPr>
          <w:rFonts w:ascii="Arial" w:hAnsi="Arial" w:cs="Arial"/>
          <w:color w:val="000000"/>
          <w:sz w:val="16"/>
          <w:szCs w:val="16"/>
        </w:rPr>
        <w:t xml:space="preserve"> </w:t>
      </w:r>
      <w:r w:rsidR="00150F67" w:rsidRPr="006A1DB0">
        <w:rPr>
          <w:rFonts w:ascii="Arial" w:hAnsi="Arial" w:cs="Arial"/>
          <w:color w:val="000000"/>
          <w:sz w:val="16"/>
          <w:szCs w:val="16"/>
        </w:rPr>
        <w:t>PC</w:t>
      </w:r>
      <w:r w:rsidR="00150F67" w:rsidRPr="006A1DB0">
        <w:rPr>
          <w:rFonts w:ascii="Arial" w:hAnsi="Arial" w:cs="Arial"/>
          <w:i/>
          <w:color w:val="000000"/>
          <w:sz w:val="16"/>
          <w:szCs w:val="16"/>
        </w:rPr>
        <w:t>=</w:t>
      </w:r>
      <w:r w:rsidR="00150F67" w:rsidRPr="006A1DB0">
        <w:rPr>
          <w:rFonts w:ascii="Arial" w:hAnsi="Arial" w:cs="Arial"/>
          <w:color w:val="000000"/>
          <w:sz w:val="16"/>
          <w:szCs w:val="16"/>
        </w:rPr>
        <w:t xml:space="preserve">placebo-controlled, </w:t>
      </w:r>
      <w:r w:rsidR="006A1DB0" w:rsidRPr="006A1DB0">
        <w:rPr>
          <w:rFonts w:ascii="Arial" w:hAnsi="Arial" w:cs="Arial"/>
          <w:color w:val="000000"/>
          <w:sz w:val="16"/>
          <w:szCs w:val="16"/>
        </w:rPr>
        <w:t xml:space="preserve">PRO=prospective, </w:t>
      </w:r>
      <w:r w:rsidR="00150F67" w:rsidRPr="006A1DB0">
        <w:rPr>
          <w:rFonts w:ascii="Arial" w:hAnsi="Arial" w:cs="Arial"/>
          <w:color w:val="000000"/>
          <w:sz w:val="16"/>
          <w:szCs w:val="16"/>
        </w:rPr>
        <w:t>RCT</w:t>
      </w:r>
      <w:r w:rsidR="00150F67" w:rsidRPr="006A1DB0">
        <w:rPr>
          <w:rFonts w:ascii="Arial" w:hAnsi="Arial" w:cs="Arial"/>
          <w:i/>
          <w:color w:val="000000"/>
          <w:sz w:val="16"/>
          <w:szCs w:val="16"/>
        </w:rPr>
        <w:t>=</w:t>
      </w:r>
      <w:r w:rsidR="00150F67" w:rsidRPr="006A1DB0">
        <w:rPr>
          <w:rFonts w:ascii="Arial" w:hAnsi="Arial" w:cs="Arial"/>
          <w:color w:val="000000"/>
          <w:sz w:val="16"/>
          <w:szCs w:val="16"/>
        </w:rPr>
        <w:t xml:space="preserve">randomized controlled trial, </w:t>
      </w:r>
      <w:r w:rsidR="000F1569">
        <w:rPr>
          <w:rFonts w:ascii="Arial" w:hAnsi="Arial" w:cs="Arial"/>
          <w:color w:val="000000"/>
          <w:sz w:val="16"/>
          <w:szCs w:val="16"/>
        </w:rPr>
        <w:t xml:space="preserve">SB=single-blind, </w:t>
      </w:r>
      <w:r w:rsidR="00B26475" w:rsidRPr="006A1DB0">
        <w:rPr>
          <w:rFonts w:ascii="Arial" w:hAnsi="Arial" w:cs="Arial"/>
          <w:color w:val="000000"/>
          <w:sz w:val="16"/>
          <w:szCs w:val="16"/>
        </w:rPr>
        <w:t>SD=standard deviation</w:t>
      </w:r>
      <w:r w:rsidR="00324FD1" w:rsidRPr="006A1DB0">
        <w:rPr>
          <w:rFonts w:ascii="Arial" w:hAnsi="Arial" w:cs="Arial"/>
          <w:color w:val="000000"/>
          <w:sz w:val="16"/>
          <w:szCs w:val="16"/>
        </w:rPr>
        <w:t xml:space="preserve">, </w:t>
      </w:r>
      <w:r w:rsidR="00FB0BE0">
        <w:rPr>
          <w:rFonts w:ascii="Arial" w:hAnsi="Arial" w:cs="Arial"/>
          <w:color w:val="000000"/>
          <w:sz w:val="16"/>
          <w:szCs w:val="16"/>
        </w:rPr>
        <w:t xml:space="preserve">SR=sustained-release, </w:t>
      </w:r>
    </w:p>
    <w:p w14:paraId="43E6A4D1" w14:textId="2CD7A0AD" w:rsidR="006A1DB0" w:rsidRPr="00047706" w:rsidRDefault="00B26475" w:rsidP="006A1DB0">
      <w:pPr>
        <w:spacing w:after="0" w:line="240" w:lineRule="auto"/>
        <w:ind w:left="-770"/>
        <w:rPr>
          <w:rFonts w:ascii="Arial" w:hAnsi="Arial" w:cs="Arial"/>
          <w:color w:val="000000"/>
          <w:sz w:val="16"/>
          <w:szCs w:val="16"/>
          <w:highlight w:val="yellow"/>
        </w:rPr>
      </w:pPr>
      <w:r w:rsidRPr="00047706">
        <w:rPr>
          <w:rFonts w:ascii="Arial" w:hAnsi="Arial" w:cs="Arial"/>
          <w:color w:val="000000"/>
          <w:sz w:val="16"/>
          <w:szCs w:val="16"/>
        </w:rPr>
        <w:t>Other abbreviations:</w:t>
      </w:r>
      <w:r w:rsidR="006A1DB0" w:rsidRPr="00047706">
        <w:rPr>
          <w:rFonts w:ascii="Arial" w:hAnsi="Arial" w:cs="Arial"/>
          <w:sz w:val="16"/>
          <w:szCs w:val="16"/>
        </w:rPr>
        <w:t xml:space="preserve"> </w:t>
      </w:r>
      <w:r w:rsidR="00047706" w:rsidRPr="00047706">
        <w:rPr>
          <w:rFonts w:ascii="Arial" w:hAnsi="Arial" w:cs="Arial"/>
          <w:sz w:val="16"/>
          <w:szCs w:val="16"/>
        </w:rPr>
        <w:t xml:space="preserve">ACR=American </w:t>
      </w:r>
      <w:r w:rsidR="00047706" w:rsidRPr="00FB0BE0">
        <w:rPr>
          <w:rFonts w:ascii="Arial" w:hAnsi="Arial" w:cs="Arial"/>
          <w:sz w:val="16"/>
          <w:szCs w:val="16"/>
        </w:rPr>
        <w:t xml:space="preserve">College of Rheumatology, APAP=acetaminophen, </w:t>
      </w:r>
      <w:r w:rsidR="006A1DB0" w:rsidRPr="00FB0BE0">
        <w:rPr>
          <w:rFonts w:ascii="Arial" w:hAnsi="Arial" w:cs="Arial"/>
          <w:sz w:val="16"/>
          <w:szCs w:val="16"/>
        </w:rPr>
        <w:t>BPI=</w:t>
      </w:r>
      <w:r w:rsidR="006A1DB0" w:rsidRPr="00FB0BE0">
        <w:rPr>
          <w:rFonts w:ascii="Arial" w:eastAsiaTheme="minorHAnsi" w:hAnsi="Arial" w:cs="Arial"/>
          <w:sz w:val="16"/>
          <w:szCs w:val="16"/>
        </w:rPr>
        <w:t xml:space="preserve"> Brief Pain Inventory</w:t>
      </w:r>
      <w:r w:rsidR="006A1DB0" w:rsidRPr="00FB0BE0">
        <w:rPr>
          <w:rFonts w:ascii="Arial" w:hAnsi="Arial" w:cs="Arial"/>
          <w:sz w:val="16"/>
          <w:szCs w:val="16"/>
        </w:rPr>
        <w:t>, BPI-SF=</w:t>
      </w:r>
      <w:r w:rsidR="006A1DB0" w:rsidRPr="00FB0BE0">
        <w:rPr>
          <w:rFonts w:ascii="Arial" w:eastAsiaTheme="minorHAnsi" w:hAnsi="Arial" w:cs="Arial"/>
          <w:sz w:val="16"/>
          <w:szCs w:val="16"/>
        </w:rPr>
        <w:t xml:space="preserve"> Brief Pain Inventory-Short Form</w:t>
      </w:r>
      <w:r w:rsidR="006A1DB0" w:rsidRPr="00FB0BE0">
        <w:rPr>
          <w:rFonts w:ascii="Arial" w:hAnsi="Arial" w:cs="Arial"/>
          <w:sz w:val="16"/>
          <w:szCs w:val="16"/>
        </w:rPr>
        <w:t xml:space="preserve">, </w:t>
      </w:r>
      <w:r w:rsidR="006A1DB0" w:rsidRPr="00FB0BE0">
        <w:rPr>
          <w:rFonts w:ascii="Arial" w:hAnsi="Arial" w:cs="Arial"/>
          <w:color w:val="000000"/>
          <w:sz w:val="16"/>
          <w:szCs w:val="16"/>
        </w:rPr>
        <w:t xml:space="preserve">CR=controlled-release, </w:t>
      </w:r>
      <w:r w:rsidR="0084378F" w:rsidRPr="00FB0BE0">
        <w:rPr>
          <w:rFonts w:ascii="Arial" w:hAnsi="Arial" w:cs="Arial"/>
          <w:color w:val="000000"/>
          <w:sz w:val="16"/>
          <w:szCs w:val="16"/>
        </w:rPr>
        <w:t xml:space="preserve">DM=diabetes mellitus, </w:t>
      </w:r>
      <w:r w:rsidRPr="00FB0BE0">
        <w:rPr>
          <w:rFonts w:ascii="Arial" w:hAnsi="Arial" w:cs="Arial"/>
          <w:color w:val="000000"/>
          <w:sz w:val="16"/>
          <w:szCs w:val="16"/>
        </w:rPr>
        <w:t>ER=extended-release, IR=immediate-release</w:t>
      </w:r>
      <w:r w:rsidR="006A1DB0" w:rsidRPr="00FB0BE0">
        <w:rPr>
          <w:rFonts w:ascii="Arial" w:hAnsi="Arial" w:cs="Arial"/>
          <w:color w:val="000000"/>
          <w:sz w:val="16"/>
          <w:szCs w:val="16"/>
        </w:rPr>
        <w:t>,</w:t>
      </w:r>
      <w:r w:rsidR="00804C2B" w:rsidRPr="00FB0BE0">
        <w:rPr>
          <w:rFonts w:ascii="Arial" w:hAnsi="Arial" w:cs="Arial"/>
          <w:color w:val="000000"/>
          <w:sz w:val="16"/>
          <w:szCs w:val="16"/>
        </w:rPr>
        <w:t xml:space="preserve"> </w:t>
      </w:r>
      <w:r w:rsidR="004A236F">
        <w:rPr>
          <w:rFonts w:ascii="Arial" w:hAnsi="Arial" w:cs="Arial"/>
          <w:color w:val="000000"/>
          <w:sz w:val="16"/>
          <w:szCs w:val="16"/>
        </w:rPr>
        <w:t xml:space="preserve">LOCF=last observation carried forward, </w:t>
      </w:r>
      <w:r w:rsidR="00804C2B" w:rsidRPr="00FB0BE0">
        <w:rPr>
          <w:rFonts w:ascii="Arial" w:hAnsi="Arial" w:cs="Arial"/>
          <w:color w:val="000000"/>
          <w:sz w:val="16"/>
          <w:szCs w:val="16"/>
        </w:rPr>
        <w:t>NPSI=</w:t>
      </w:r>
      <w:r w:rsidR="00804C2B">
        <w:rPr>
          <w:rFonts w:ascii="Arial" w:hAnsi="Arial" w:cs="Arial"/>
          <w:color w:val="000000"/>
          <w:sz w:val="16"/>
          <w:szCs w:val="16"/>
        </w:rPr>
        <w:t>neuropathic pain symptom inventory,</w:t>
      </w:r>
      <w:r w:rsidR="00047706" w:rsidRPr="00047706">
        <w:rPr>
          <w:rFonts w:ascii="Arial" w:hAnsi="Arial" w:cs="Arial"/>
          <w:color w:val="000000"/>
          <w:sz w:val="16"/>
          <w:szCs w:val="16"/>
        </w:rPr>
        <w:t xml:space="preserve"> OA=osteoarthritis,</w:t>
      </w:r>
      <w:r w:rsidR="006A1DB0" w:rsidRPr="00047706">
        <w:rPr>
          <w:rFonts w:ascii="Arial" w:hAnsi="Arial" w:cs="Arial"/>
          <w:color w:val="000000"/>
          <w:sz w:val="16"/>
          <w:szCs w:val="16"/>
        </w:rPr>
        <w:t xml:space="preserve"> </w:t>
      </w:r>
      <w:r w:rsidR="006A1DB0" w:rsidRPr="00047706">
        <w:rPr>
          <w:rFonts w:ascii="Arial" w:hAnsi="Arial" w:cs="Arial"/>
          <w:sz w:val="16"/>
          <w:szCs w:val="16"/>
        </w:rPr>
        <w:t>PGIC=</w:t>
      </w:r>
      <w:r w:rsidR="006A1DB0" w:rsidRPr="00047706">
        <w:rPr>
          <w:rFonts w:ascii="Arial" w:eastAsiaTheme="minorHAnsi" w:hAnsi="Arial" w:cs="Arial"/>
          <w:sz w:val="16"/>
          <w:szCs w:val="16"/>
        </w:rPr>
        <w:t>patient global impression of change, SF-36=Short Form-36</w:t>
      </w:r>
      <w:r w:rsidR="00047706" w:rsidRPr="00047706">
        <w:rPr>
          <w:rFonts w:ascii="Arial" w:eastAsiaTheme="minorHAnsi" w:hAnsi="Arial" w:cs="Arial"/>
          <w:sz w:val="16"/>
          <w:szCs w:val="16"/>
        </w:rPr>
        <w:t xml:space="preserve">, </w:t>
      </w:r>
      <w:r w:rsidR="004A236F">
        <w:rPr>
          <w:rFonts w:ascii="Arial" w:eastAsiaTheme="minorHAnsi" w:hAnsi="Arial" w:cs="Arial"/>
          <w:sz w:val="16"/>
          <w:szCs w:val="16"/>
        </w:rPr>
        <w:t xml:space="preserve">SNRI=serotonin norepinephrine reuptake inhibitor, SSRI=selective serotonin reuptake inhibitor, </w:t>
      </w:r>
      <w:r w:rsidR="00047706" w:rsidRPr="00047706">
        <w:rPr>
          <w:rFonts w:ascii="Arial" w:hAnsi="Arial" w:cs="Arial"/>
          <w:sz w:val="16"/>
          <w:szCs w:val="16"/>
        </w:rPr>
        <w:t>WOMAC index=Western Ontario and McMaster Universities Index</w:t>
      </w:r>
    </w:p>
    <w:p w14:paraId="643699B2" w14:textId="32320495" w:rsidR="00632C79" w:rsidRPr="006A1DB0" w:rsidRDefault="00632C79" w:rsidP="006A1DB0">
      <w:pPr>
        <w:spacing w:after="0" w:line="240" w:lineRule="auto"/>
        <w:ind w:left="-770"/>
        <w:rPr>
          <w:rFonts w:ascii="Arial" w:hAnsi="Arial" w:cs="Arial"/>
          <w:color w:val="0000FF"/>
          <w:sz w:val="16"/>
          <w:szCs w:val="16"/>
        </w:rPr>
        <w:sectPr w:rsidR="00632C79" w:rsidRPr="006A1DB0" w:rsidSect="00162B15">
          <w:footerReference w:type="default" r:id="rId13"/>
          <w:pgSz w:w="15840" w:h="12240" w:orient="landscape" w:code="1"/>
          <w:pgMar w:top="1440" w:right="1440" w:bottom="1440" w:left="1440" w:header="720" w:footer="720" w:gutter="0"/>
          <w:cols w:space="720"/>
          <w:docGrid w:linePitch="360"/>
        </w:sectPr>
      </w:pPr>
    </w:p>
    <w:p w14:paraId="378E81FA" w14:textId="77F52BCA" w:rsidR="00AE32D7" w:rsidRPr="00A636EF" w:rsidRDefault="00AE32D7" w:rsidP="00AE32D7">
      <w:pPr>
        <w:pStyle w:val="NoSpacing"/>
        <w:rPr>
          <w:rFonts w:ascii="Arial" w:hAnsi="Arial" w:cs="Arial"/>
          <w:b/>
          <w:sz w:val="20"/>
          <w:szCs w:val="20"/>
          <w:vertAlign w:val="superscript"/>
        </w:rPr>
      </w:pPr>
      <w:bookmarkStart w:id="1" w:name="SpecialPopulations"/>
      <w:r w:rsidRPr="0044122B">
        <w:rPr>
          <w:rFonts w:ascii="Arial" w:hAnsi="Arial" w:cs="Arial"/>
          <w:b/>
          <w:sz w:val="20"/>
          <w:szCs w:val="20"/>
          <w:u w:val="single"/>
        </w:rPr>
        <w:lastRenderedPageBreak/>
        <w:t>Pharmacokinetics</w:t>
      </w:r>
      <w:r w:rsidR="00A1361E">
        <w:rPr>
          <w:rFonts w:ascii="Arial" w:hAnsi="Arial" w:cs="Arial"/>
          <w:b/>
          <w:sz w:val="20"/>
          <w:szCs w:val="20"/>
          <w:u w:val="single"/>
        </w:rPr>
        <w:t>/Pharmacogenomics</w:t>
      </w:r>
      <w:r w:rsidR="00A636EF">
        <w:rPr>
          <w:rFonts w:ascii="Arial" w:hAnsi="Arial" w:cs="Arial"/>
          <w:b/>
          <w:sz w:val="20"/>
          <w:szCs w:val="20"/>
          <w:vertAlign w:val="superscript"/>
        </w:rPr>
        <w:t>1</w:t>
      </w:r>
    </w:p>
    <w:p w14:paraId="07D486C4" w14:textId="77777777" w:rsidR="007009D6" w:rsidRDefault="007009D6" w:rsidP="00AE32D7">
      <w:pPr>
        <w:pStyle w:val="NoSpacing"/>
        <w:rPr>
          <w:rFonts w:ascii="Arial" w:hAnsi="Arial" w:cs="Arial"/>
          <w:b/>
          <w:i/>
          <w:sz w:val="20"/>
          <w:szCs w:val="20"/>
        </w:rPr>
      </w:pPr>
    </w:p>
    <w:p w14:paraId="711D3812" w14:textId="20C8F523" w:rsidR="00AE32D7" w:rsidRPr="001723DB" w:rsidRDefault="007009D6" w:rsidP="00AE32D7">
      <w:pPr>
        <w:pStyle w:val="NoSpacing"/>
        <w:rPr>
          <w:rFonts w:ascii="Arial" w:hAnsi="Arial" w:cs="Arial"/>
          <w:i/>
          <w:sz w:val="20"/>
          <w:szCs w:val="20"/>
        </w:rPr>
      </w:pPr>
      <w:r w:rsidRPr="001723DB">
        <w:rPr>
          <w:rFonts w:ascii="Arial" w:hAnsi="Arial" w:cs="Arial"/>
          <w:i/>
          <w:sz w:val="20"/>
          <w:szCs w:val="20"/>
        </w:rPr>
        <w:t>Absorption</w:t>
      </w:r>
    </w:p>
    <w:p w14:paraId="31F014EC" w14:textId="28496535" w:rsidR="00C574FF" w:rsidRPr="00A636EF" w:rsidRDefault="00345FBC" w:rsidP="00AE32D7">
      <w:pPr>
        <w:pStyle w:val="NoSpacing"/>
        <w:rPr>
          <w:rFonts w:ascii="Arial" w:hAnsi="Arial" w:cs="Arial"/>
          <w:sz w:val="20"/>
          <w:szCs w:val="20"/>
        </w:rPr>
      </w:pPr>
      <w:r>
        <w:rPr>
          <w:rFonts w:ascii="Arial" w:hAnsi="Arial" w:cs="Arial"/>
          <w:sz w:val="20"/>
          <w:szCs w:val="20"/>
        </w:rPr>
        <w:t xml:space="preserve">The mean oral bioavailability of </w:t>
      </w: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is approximately 32% due to extensive first pass metabolism. The time to peak </w:t>
      </w:r>
      <w:r w:rsidR="00AD7783">
        <w:rPr>
          <w:rFonts w:ascii="Arial" w:hAnsi="Arial" w:cs="Arial"/>
          <w:sz w:val="20"/>
          <w:szCs w:val="20"/>
        </w:rPr>
        <w:t>serum</w:t>
      </w:r>
      <w:r>
        <w:rPr>
          <w:rFonts w:ascii="Arial" w:hAnsi="Arial" w:cs="Arial"/>
          <w:sz w:val="20"/>
          <w:szCs w:val="20"/>
        </w:rPr>
        <w:t xml:space="preserve"> concentration</w:t>
      </w:r>
      <w:r w:rsidR="003E68CA">
        <w:rPr>
          <w:rFonts w:ascii="Arial" w:hAnsi="Arial" w:cs="Arial"/>
          <w:sz w:val="20"/>
          <w:szCs w:val="20"/>
        </w:rPr>
        <w:t xml:space="preserve"> (T</w:t>
      </w:r>
      <w:r w:rsidR="003E68CA">
        <w:rPr>
          <w:rFonts w:ascii="Arial" w:hAnsi="Arial" w:cs="Arial"/>
          <w:sz w:val="20"/>
          <w:szCs w:val="20"/>
          <w:vertAlign w:val="subscript"/>
        </w:rPr>
        <w:t>max</w:t>
      </w:r>
      <w:r w:rsidR="003E68CA">
        <w:rPr>
          <w:rFonts w:ascii="Arial" w:hAnsi="Arial" w:cs="Arial"/>
          <w:sz w:val="20"/>
          <w:szCs w:val="20"/>
        </w:rPr>
        <w:t>)</w:t>
      </w:r>
      <w:r>
        <w:rPr>
          <w:rFonts w:ascii="Arial" w:hAnsi="Arial" w:cs="Arial"/>
          <w:sz w:val="20"/>
          <w:szCs w:val="20"/>
        </w:rPr>
        <w:t xml:space="preserve"> of </w:t>
      </w: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is between three to six hours after administration. Increases in mean exposure (AUC) are proportional to increases in doses of </w:t>
      </w: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over the therapeutic dose range, and steady-state </w:t>
      </w:r>
      <w:r w:rsidR="003E68CA">
        <w:rPr>
          <w:rFonts w:ascii="Arial" w:hAnsi="Arial" w:cs="Arial"/>
          <w:sz w:val="20"/>
          <w:szCs w:val="20"/>
        </w:rPr>
        <w:t xml:space="preserve">is reached after the third dose. When </w:t>
      </w:r>
      <w:r w:rsidR="003E68CA" w:rsidRPr="003E68CA">
        <w:rPr>
          <w:rFonts w:ascii="Arial" w:hAnsi="Arial" w:cs="Arial"/>
          <w:sz w:val="20"/>
          <w:szCs w:val="20"/>
        </w:rPr>
        <w:t>Nucynta ER</w:t>
      </w:r>
      <w:r w:rsidR="003E68CA" w:rsidRPr="003E68CA">
        <w:rPr>
          <w:rFonts w:ascii="Arial" w:hAnsi="Arial" w:cs="Arial"/>
          <w:sz w:val="20"/>
          <w:szCs w:val="20"/>
          <w:vertAlign w:val="superscript"/>
        </w:rPr>
        <w:t>®</w:t>
      </w:r>
      <w:r w:rsidR="003E68CA" w:rsidRPr="003E68CA">
        <w:rPr>
          <w:rFonts w:ascii="Arial" w:hAnsi="Arial" w:cs="Arial"/>
          <w:sz w:val="20"/>
          <w:szCs w:val="20"/>
        </w:rPr>
        <w:t xml:space="preserve"> (tapentadol extended-release)</w:t>
      </w:r>
      <w:r w:rsidR="003E68CA">
        <w:rPr>
          <w:rFonts w:ascii="Arial" w:hAnsi="Arial" w:cs="Arial"/>
          <w:sz w:val="20"/>
          <w:szCs w:val="20"/>
        </w:rPr>
        <w:t xml:space="preserve"> was adm</w:t>
      </w:r>
      <w:r w:rsidR="00776B17">
        <w:rPr>
          <w:rFonts w:ascii="Arial" w:hAnsi="Arial" w:cs="Arial"/>
          <w:sz w:val="20"/>
          <w:szCs w:val="20"/>
        </w:rPr>
        <w:t>inistered after a high-fat meal,</w:t>
      </w:r>
      <w:r w:rsidR="00A636EF">
        <w:rPr>
          <w:rFonts w:ascii="Arial" w:hAnsi="Arial" w:cs="Arial"/>
          <w:sz w:val="20"/>
          <w:szCs w:val="20"/>
        </w:rPr>
        <w:t xml:space="preserve"> the AUC and peak serum</w:t>
      </w:r>
      <w:r w:rsidR="003E68CA">
        <w:rPr>
          <w:rFonts w:ascii="Arial" w:hAnsi="Arial" w:cs="Arial"/>
          <w:sz w:val="20"/>
          <w:szCs w:val="20"/>
        </w:rPr>
        <w:t xml:space="preserve"> concentration (C</w:t>
      </w:r>
      <w:r w:rsidR="003E68CA">
        <w:rPr>
          <w:rFonts w:ascii="Arial" w:hAnsi="Arial" w:cs="Arial"/>
          <w:sz w:val="20"/>
          <w:szCs w:val="20"/>
          <w:vertAlign w:val="subscript"/>
        </w:rPr>
        <w:t>max</w:t>
      </w:r>
      <w:r w:rsidR="003E68CA">
        <w:rPr>
          <w:rFonts w:ascii="Arial" w:hAnsi="Arial" w:cs="Arial"/>
          <w:sz w:val="20"/>
          <w:szCs w:val="20"/>
        </w:rPr>
        <w:t>)</w:t>
      </w:r>
      <w:r w:rsidR="00776B17">
        <w:rPr>
          <w:rFonts w:ascii="Arial" w:hAnsi="Arial" w:cs="Arial"/>
          <w:sz w:val="20"/>
          <w:szCs w:val="20"/>
        </w:rPr>
        <w:t xml:space="preserve"> increased by 6% and 17%, respectively. </w:t>
      </w:r>
      <w:r w:rsidR="00776B17" w:rsidRPr="00345FBC">
        <w:rPr>
          <w:rFonts w:ascii="Arial" w:hAnsi="Arial" w:cs="Arial"/>
          <w:sz w:val="20"/>
          <w:szCs w:val="20"/>
        </w:rPr>
        <w:t>Nucynta ER</w:t>
      </w:r>
      <w:r w:rsidR="00776B17" w:rsidRPr="00345FBC">
        <w:rPr>
          <w:rFonts w:ascii="Arial" w:hAnsi="Arial" w:cs="Arial"/>
          <w:sz w:val="20"/>
          <w:szCs w:val="20"/>
          <w:vertAlign w:val="superscript"/>
        </w:rPr>
        <w:t>®</w:t>
      </w:r>
      <w:r w:rsidR="00776B17" w:rsidRPr="00345FBC">
        <w:rPr>
          <w:rFonts w:ascii="Arial" w:hAnsi="Arial" w:cs="Arial"/>
          <w:sz w:val="20"/>
          <w:szCs w:val="20"/>
        </w:rPr>
        <w:t xml:space="preserve"> (tapentadol extended-release)</w:t>
      </w:r>
      <w:r w:rsidR="00776B17">
        <w:rPr>
          <w:rFonts w:ascii="Arial" w:hAnsi="Arial" w:cs="Arial"/>
          <w:sz w:val="20"/>
          <w:szCs w:val="20"/>
        </w:rPr>
        <w:t xml:space="preserve"> may be administered with or without food.</w:t>
      </w:r>
      <w:r w:rsidR="00A636EF">
        <w:rPr>
          <w:rFonts w:ascii="Arial" w:hAnsi="Arial" w:cs="Arial"/>
          <w:sz w:val="20"/>
          <w:szCs w:val="20"/>
        </w:rPr>
        <w:t xml:space="preserve"> Administration of </w:t>
      </w:r>
      <w:r w:rsidR="00A636EF" w:rsidRPr="00345FBC">
        <w:rPr>
          <w:rFonts w:ascii="Arial" w:hAnsi="Arial" w:cs="Arial"/>
          <w:sz w:val="20"/>
          <w:szCs w:val="20"/>
        </w:rPr>
        <w:t>Nucynta ER</w:t>
      </w:r>
      <w:r w:rsidR="00A636EF" w:rsidRPr="00345FBC">
        <w:rPr>
          <w:rFonts w:ascii="Arial" w:hAnsi="Arial" w:cs="Arial"/>
          <w:sz w:val="20"/>
          <w:szCs w:val="20"/>
          <w:vertAlign w:val="superscript"/>
        </w:rPr>
        <w:t>®</w:t>
      </w:r>
      <w:r w:rsidR="00A636EF" w:rsidRPr="00345FBC">
        <w:rPr>
          <w:rFonts w:ascii="Arial" w:hAnsi="Arial" w:cs="Arial"/>
          <w:sz w:val="20"/>
          <w:szCs w:val="20"/>
        </w:rPr>
        <w:t xml:space="preserve"> (tapentadol extended-release)</w:t>
      </w:r>
      <w:r w:rsidR="00A636EF">
        <w:rPr>
          <w:rFonts w:ascii="Arial" w:hAnsi="Arial" w:cs="Arial"/>
          <w:sz w:val="20"/>
          <w:szCs w:val="20"/>
        </w:rPr>
        <w:t xml:space="preserve"> with alcohol has been shown to increase mean C</w:t>
      </w:r>
      <w:r w:rsidR="00A636EF">
        <w:rPr>
          <w:rFonts w:ascii="Arial" w:hAnsi="Arial" w:cs="Arial"/>
          <w:sz w:val="20"/>
          <w:szCs w:val="20"/>
          <w:vertAlign w:val="subscript"/>
        </w:rPr>
        <w:t>max</w:t>
      </w:r>
      <w:r w:rsidR="00A636EF">
        <w:rPr>
          <w:rFonts w:ascii="Arial" w:hAnsi="Arial" w:cs="Arial"/>
          <w:sz w:val="20"/>
          <w:szCs w:val="20"/>
        </w:rPr>
        <w:t xml:space="preserve"> by 28% to 48% in healthy, fasted volunteers compared to controls.</w:t>
      </w:r>
    </w:p>
    <w:p w14:paraId="5C0458A2" w14:textId="77777777" w:rsidR="00345FBC" w:rsidRDefault="00345FBC" w:rsidP="00AE32D7">
      <w:pPr>
        <w:pStyle w:val="NoSpacing"/>
        <w:rPr>
          <w:rFonts w:ascii="Arial" w:hAnsi="Arial" w:cs="Arial"/>
          <w:sz w:val="20"/>
          <w:szCs w:val="20"/>
        </w:rPr>
      </w:pPr>
    </w:p>
    <w:p w14:paraId="625F8131" w14:textId="58710446" w:rsidR="00C574FF" w:rsidRPr="001723DB" w:rsidRDefault="00C574FF" w:rsidP="00AE32D7">
      <w:pPr>
        <w:pStyle w:val="NoSpacing"/>
        <w:rPr>
          <w:rFonts w:ascii="Arial" w:hAnsi="Arial" w:cs="Arial"/>
          <w:sz w:val="20"/>
          <w:szCs w:val="20"/>
        </w:rPr>
      </w:pPr>
      <w:r w:rsidRPr="001723DB">
        <w:rPr>
          <w:rFonts w:ascii="Arial" w:hAnsi="Arial" w:cs="Arial"/>
          <w:i/>
          <w:sz w:val="20"/>
          <w:szCs w:val="20"/>
        </w:rPr>
        <w:t>Distribution</w:t>
      </w:r>
    </w:p>
    <w:p w14:paraId="33F5B551" w14:textId="37BBCBD4" w:rsidR="00FA25C3" w:rsidRDefault="00776B17" w:rsidP="00AE32D7">
      <w:pPr>
        <w:pStyle w:val="NoSpacing"/>
        <w:rPr>
          <w:rFonts w:ascii="Arial" w:hAnsi="Arial" w:cs="Arial"/>
          <w:sz w:val="20"/>
          <w:szCs w:val="20"/>
        </w:rPr>
      </w:pP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is readily distributed throughout the body. The volume of distribution (VD) for tapentadol was 540 L ± 98 L following intravenous administration. Approximately 20% of tapentadol is bound to plasma protein.</w:t>
      </w:r>
      <w:r w:rsidR="00E326D4">
        <w:rPr>
          <w:rFonts w:ascii="Arial" w:hAnsi="Arial" w:cs="Arial"/>
          <w:sz w:val="20"/>
          <w:szCs w:val="20"/>
        </w:rPr>
        <w:t xml:space="preserve"> Due to the low level of plasma protein binding, clinically relevant drug interactions with </w:t>
      </w:r>
      <w:r w:rsidR="00E326D4" w:rsidRPr="00345FBC">
        <w:rPr>
          <w:rFonts w:ascii="Arial" w:hAnsi="Arial" w:cs="Arial"/>
          <w:sz w:val="20"/>
          <w:szCs w:val="20"/>
        </w:rPr>
        <w:t>Nucynta ER</w:t>
      </w:r>
      <w:r w:rsidR="00E326D4" w:rsidRPr="00345FBC">
        <w:rPr>
          <w:rFonts w:ascii="Arial" w:hAnsi="Arial" w:cs="Arial"/>
          <w:sz w:val="20"/>
          <w:szCs w:val="20"/>
          <w:vertAlign w:val="superscript"/>
        </w:rPr>
        <w:t>®</w:t>
      </w:r>
      <w:r w:rsidR="00E326D4" w:rsidRPr="00345FBC">
        <w:rPr>
          <w:rFonts w:ascii="Arial" w:hAnsi="Arial" w:cs="Arial"/>
          <w:sz w:val="20"/>
          <w:szCs w:val="20"/>
        </w:rPr>
        <w:t xml:space="preserve"> (tapentadol extended-release)</w:t>
      </w:r>
      <w:r w:rsidR="00E326D4">
        <w:rPr>
          <w:rFonts w:ascii="Arial" w:hAnsi="Arial" w:cs="Arial"/>
          <w:sz w:val="20"/>
          <w:szCs w:val="20"/>
        </w:rPr>
        <w:t xml:space="preserve"> related to displ</w:t>
      </w:r>
      <w:r w:rsidR="00091D01">
        <w:rPr>
          <w:rFonts w:ascii="Arial" w:hAnsi="Arial" w:cs="Arial"/>
          <w:sz w:val="20"/>
          <w:szCs w:val="20"/>
        </w:rPr>
        <w:t>acement from the plasma protein is unlikely.</w:t>
      </w:r>
    </w:p>
    <w:p w14:paraId="22ECD921" w14:textId="77777777" w:rsidR="00776B17" w:rsidRDefault="00776B17" w:rsidP="00AE32D7">
      <w:pPr>
        <w:pStyle w:val="NoSpacing"/>
        <w:rPr>
          <w:rFonts w:ascii="Arial" w:hAnsi="Arial" w:cs="Arial"/>
          <w:sz w:val="20"/>
          <w:szCs w:val="20"/>
        </w:rPr>
      </w:pPr>
    </w:p>
    <w:p w14:paraId="7439B066" w14:textId="02BDD2FE"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Metabolism</w:t>
      </w:r>
    </w:p>
    <w:p w14:paraId="7B97FD42" w14:textId="52813ECF" w:rsidR="00E326D4" w:rsidRDefault="00871411" w:rsidP="00AE32D7">
      <w:pPr>
        <w:pStyle w:val="NoSpacing"/>
        <w:rPr>
          <w:rFonts w:ascii="Arial" w:hAnsi="Arial" w:cs="Arial"/>
          <w:sz w:val="20"/>
          <w:szCs w:val="20"/>
        </w:rPr>
      </w:pPr>
      <w:r>
        <w:rPr>
          <w:rFonts w:ascii="Arial" w:hAnsi="Arial" w:cs="Arial"/>
          <w:sz w:val="20"/>
          <w:szCs w:val="20"/>
        </w:rPr>
        <w:t xml:space="preserve">The main metabolic pathways for the metabolism of </w:t>
      </w: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are Phase II conjugation pathways. Glucuronidation is the major Phase II metabolic pathway. Approximately 70% of the </w:t>
      </w: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dose is excreted into the urine in conjugated forms, with 55% as the O-glucuronide and 15% as sulfate of tapentadol. </w:t>
      </w:r>
      <w:r w:rsidR="00E326D4">
        <w:rPr>
          <w:rFonts w:ascii="Arial" w:hAnsi="Arial" w:cs="Arial"/>
          <w:sz w:val="20"/>
          <w:szCs w:val="20"/>
        </w:rPr>
        <w:t>Phase II glucuronidation is considered a high capacity/low affinity system. As such, clinically relevant drug interactions via Phase II metabolism are not likely.</w:t>
      </w:r>
    </w:p>
    <w:p w14:paraId="5BE24974" w14:textId="77777777" w:rsidR="00E326D4" w:rsidRDefault="00E326D4" w:rsidP="00AE32D7">
      <w:pPr>
        <w:pStyle w:val="NoSpacing"/>
        <w:rPr>
          <w:rFonts w:ascii="Arial" w:hAnsi="Arial" w:cs="Arial"/>
          <w:sz w:val="20"/>
          <w:szCs w:val="20"/>
        </w:rPr>
      </w:pPr>
    </w:p>
    <w:p w14:paraId="77F0F081" w14:textId="1A020D05" w:rsidR="00FA25C3" w:rsidRDefault="00014EA9" w:rsidP="00AE32D7">
      <w:pPr>
        <w:pStyle w:val="NoSpacing"/>
        <w:rPr>
          <w:rFonts w:ascii="Arial" w:hAnsi="Arial" w:cs="Arial"/>
          <w:sz w:val="20"/>
          <w:szCs w:val="20"/>
        </w:rPr>
      </w:pP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is also metabolized to N-</w:t>
      </w:r>
      <w:proofErr w:type="spellStart"/>
      <w:r>
        <w:rPr>
          <w:rFonts w:ascii="Arial" w:hAnsi="Arial" w:cs="Arial"/>
          <w:sz w:val="20"/>
          <w:szCs w:val="20"/>
        </w:rPr>
        <w:t>desmethyltapentadol</w:t>
      </w:r>
      <w:proofErr w:type="spellEnd"/>
      <w:r>
        <w:rPr>
          <w:rFonts w:ascii="Arial" w:hAnsi="Arial" w:cs="Arial"/>
          <w:sz w:val="20"/>
          <w:szCs w:val="20"/>
        </w:rPr>
        <w:t xml:space="preserve"> by CYP2C9 and CYP2C19 and </w:t>
      </w:r>
      <w:proofErr w:type="spellStart"/>
      <w:r>
        <w:rPr>
          <w:rFonts w:ascii="Arial" w:hAnsi="Arial" w:cs="Arial"/>
          <w:sz w:val="20"/>
          <w:szCs w:val="20"/>
        </w:rPr>
        <w:t>hydroxytapentadol</w:t>
      </w:r>
      <w:proofErr w:type="spellEnd"/>
      <w:r>
        <w:rPr>
          <w:rFonts w:ascii="Arial" w:hAnsi="Arial" w:cs="Arial"/>
          <w:sz w:val="20"/>
          <w:szCs w:val="20"/>
        </w:rPr>
        <w:t xml:space="preserve"> by CYP2D6 for 13% and 2% of the dose, respectively.</w:t>
      </w:r>
      <w:r w:rsidR="00E326D4">
        <w:rPr>
          <w:rFonts w:ascii="Arial" w:hAnsi="Arial" w:cs="Arial"/>
          <w:sz w:val="20"/>
          <w:szCs w:val="20"/>
        </w:rPr>
        <w:t xml:space="preserve"> Considering the relatively low amount of </w:t>
      </w:r>
      <w:r w:rsidR="00E326D4" w:rsidRPr="00345FBC">
        <w:rPr>
          <w:rFonts w:ascii="Arial" w:hAnsi="Arial" w:cs="Arial"/>
          <w:sz w:val="20"/>
          <w:szCs w:val="20"/>
        </w:rPr>
        <w:t>Nucynta ER</w:t>
      </w:r>
      <w:r w:rsidR="00E326D4" w:rsidRPr="00345FBC">
        <w:rPr>
          <w:rFonts w:ascii="Arial" w:hAnsi="Arial" w:cs="Arial"/>
          <w:sz w:val="20"/>
          <w:szCs w:val="20"/>
          <w:vertAlign w:val="superscript"/>
        </w:rPr>
        <w:t>®</w:t>
      </w:r>
      <w:r w:rsidR="00E326D4" w:rsidRPr="00345FBC">
        <w:rPr>
          <w:rFonts w:ascii="Arial" w:hAnsi="Arial" w:cs="Arial"/>
          <w:sz w:val="20"/>
          <w:szCs w:val="20"/>
        </w:rPr>
        <w:t xml:space="preserve"> (tapentadol extended-release)</w:t>
      </w:r>
      <w:r w:rsidR="00E326D4">
        <w:rPr>
          <w:rFonts w:ascii="Arial" w:hAnsi="Arial" w:cs="Arial"/>
          <w:sz w:val="20"/>
          <w:szCs w:val="20"/>
        </w:rPr>
        <w:t xml:space="preserve"> metabolized by CYP450, it is unlikely that clinically relevant drug interactions mediated by CYP450 enzymes occur. Overall, approximately 97% of a </w:t>
      </w:r>
      <w:r w:rsidR="00E326D4" w:rsidRPr="00E326D4">
        <w:rPr>
          <w:rFonts w:ascii="Arial" w:hAnsi="Arial" w:cs="Arial"/>
          <w:sz w:val="20"/>
          <w:szCs w:val="20"/>
        </w:rPr>
        <w:t>Nucynta ER</w:t>
      </w:r>
      <w:r w:rsidR="00E326D4" w:rsidRPr="00E326D4">
        <w:rPr>
          <w:rFonts w:ascii="Arial" w:hAnsi="Arial" w:cs="Arial"/>
          <w:sz w:val="20"/>
          <w:szCs w:val="20"/>
          <w:vertAlign w:val="superscript"/>
        </w:rPr>
        <w:t>®</w:t>
      </w:r>
      <w:r w:rsidR="00E326D4" w:rsidRPr="00E326D4">
        <w:rPr>
          <w:rFonts w:ascii="Arial" w:hAnsi="Arial" w:cs="Arial"/>
          <w:sz w:val="20"/>
          <w:szCs w:val="20"/>
        </w:rPr>
        <w:t xml:space="preserve"> (tapentadol extended-release)</w:t>
      </w:r>
      <w:r w:rsidR="00E326D4">
        <w:rPr>
          <w:rFonts w:ascii="Arial" w:hAnsi="Arial" w:cs="Arial"/>
          <w:sz w:val="20"/>
          <w:szCs w:val="20"/>
        </w:rPr>
        <w:t xml:space="preserve"> dose is metabolized, and 3% is excreted unchanged in the urine.</w:t>
      </w:r>
    </w:p>
    <w:p w14:paraId="782F6493" w14:textId="77777777" w:rsidR="00776B17" w:rsidRDefault="00776B17" w:rsidP="00AE32D7">
      <w:pPr>
        <w:pStyle w:val="NoSpacing"/>
        <w:rPr>
          <w:rFonts w:ascii="Arial" w:hAnsi="Arial" w:cs="Arial"/>
          <w:sz w:val="20"/>
          <w:szCs w:val="20"/>
        </w:rPr>
      </w:pPr>
    </w:p>
    <w:p w14:paraId="7147781A" w14:textId="4753FA6B" w:rsidR="00FA25C3" w:rsidRPr="001723DB" w:rsidRDefault="00FA25C3" w:rsidP="00AE32D7">
      <w:pPr>
        <w:pStyle w:val="NoSpacing"/>
        <w:rPr>
          <w:rFonts w:ascii="Arial" w:hAnsi="Arial" w:cs="Arial"/>
          <w:i/>
          <w:sz w:val="20"/>
          <w:szCs w:val="20"/>
        </w:rPr>
      </w:pPr>
      <w:r w:rsidRPr="001723DB">
        <w:rPr>
          <w:rFonts w:ascii="Arial" w:hAnsi="Arial" w:cs="Arial"/>
          <w:i/>
          <w:sz w:val="20"/>
          <w:szCs w:val="20"/>
        </w:rPr>
        <w:t>Excretion</w:t>
      </w:r>
    </w:p>
    <w:p w14:paraId="31188B54" w14:textId="2B5221F0" w:rsidR="004037B6" w:rsidRDefault="00091D01" w:rsidP="00AE32D7">
      <w:pPr>
        <w:pStyle w:val="NoSpacing"/>
        <w:rPr>
          <w:rFonts w:ascii="Arial" w:hAnsi="Arial" w:cs="Arial"/>
          <w:sz w:val="20"/>
          <w:szCs w:val="20"/>
        </w:rPr>
      </w:pP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is excreted via the kidneys as 99% of the dose. The total clearance of </w:t>
      </w: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 xml:space="preserve"> is 1,603 ± 227 mL/min. The mean terminal half-life is five hours after oral administration of </w:t>
      </w:r>
      <w:r w:rsidRPr="00345FBC">
        <w:rPr>
          <w:rFonts w:ascii="Arial" w:hAnsi="Arial" w:cs="Arial"/>
          <w:sz w:val="20"/>
          <w:szCs w:val="20"/>
        </w:rPr>
        <w:t>Nucynta ER</w:t>
      </w:r>
      <w:r w:rsidRPr="00345FBC">
        <w:rPr>
          <w:rFonts w:ascii="Arial" w:hAnsi="Arial" w:cs="Arial"/>
          <w:sz w:val="20"/>
          <w:szCs w:val="20"/>
          <w:vertAlign w:val="superscript"/>
        </w:rPr>
        <w:t>®</w:t>
      </w:r>
      <w:r w:rsidRPr="00345FBC">
        <w:rPr>
          <w:rFonts w:ascii="Arial" w:hAnsi="Arial" w:cs="Arial"/>
          <w:sz w:val="20"/>
          <w:szCs w:val="20"/>
        </w:rPr>
        <w:t xml:space="preserve"> (tapentadol extended-release)</w:t>
      </w:r>
      <w:r>
        <w:rPr>
          <w:rFonts w:ascii="Arial" w:hAnsi="Arial" w:cs="Arial"/>
          <w:sz w:val="20"/>
          <w:szCs w:val="20"/>
        </w:rPr>
        <w:t>.</w:t>
      </w:r>
    </w:p>
    <w:p w14:paraId="0DB52969" w14:textId="77777777" w:rsidR="007009D6" w:rsidRPr="0044122B" w:rsidRDefault="007009D6" w:rsidP="00AE32D7">
      <w:pPr>
        <w:pStyle w:val="NoSpacing"/>
        <w:rPr>
          <w:rFonts w:ascii="Arial" w:hAnsi="Arial" w:cs="Arial"/>
          <w:color w:val="0000FF"/>
          <w:sz w:val="20"/>
          <w:szCs w:val="20"/>
        </w:rPr>
      </w:pPr>
    </w:p>
    <w:p w14:paraId="08FD0C18" w14:textId="32A9E3BC" w:rsidR="00AE32D7" w:rsidRPr="001522E0" w:rsidRDefault="00AE32D7" w:rsidP="00AE32D7">
      <w:pPr>
        <w:pStyle w:val="NoSpacing"/>
        <w:rPr>
          <w:rFonts w:ascii="Arial" w:hAnsi="Arial" w:cs="Arial"/>
          <w:sz w:val="20"/>
          <w:szCs w:val="20"/>
        </w:rPr>
      </w:pPr>
      <w:r w:rsidRPr="0044122B">
        <w:rPr>
          <w:rFonts w:ascii="Arial" w:hAnsi="Arial" w:cs="Arial"/>
          <w:b/>
          <w:sz w:val="20"/>
          <w:szCs w:val="20"/>
        </w:rPr>
        <w:t>Table</w:t>
      </w:r>
      <w:r w:rsidRPr="001522E0">
        <w:rPr>
          <w:rFonts w:ascii="Arial" w:hAnsi="Arial" w:cs="Arial"/>
          <w:b/>
          <w:sz w:val="20"/>
          <w:szCs w:val="20"/>
        </w:rPr>
        <w:t xml:space="preserve"> </w:t>
      </w:r>
      <w:r w:rsidR="004F27CC">
        <w:rPr>
          <w:rFonts w:ascii="Arial" w:hAnsi="Arial" w:cs="Arial"/>
          <w:b/>
          <w:sz w:val="20"/>
          <w:szCs w:val="20"/>
        </w:rPr>
        <w:t>3</w:t>
      </w:r>
      <w:r w:rsidRPr="0044122B">
        <w:rPr>
          <w:rFonts w:ascii="Arial" w:hAnsi="Arial" w:cs="Arial"/>
          <w:b/>
          <w:sz w:val="20"/>
          <w:szCs w:val="20"/>
        </w:rPr>
        <w:t>. Pharmacokinetics</w:t>
      </w:r>
      <w:r w:rsidR="00A5204C">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985"/>
        <w:gridCol w:w="1069"/>
        <w:gridCol w:w="1811"/>
        <w:gridCol w:w="2070"/>
        <w:gridCol w:w="1908"/>
      </w:tblGrid>
      <w:tr w:rsidR="00AE32D7" w:rsidRPr="00993018" w14:paraId="1E112B88" w14:textId="77777777" w:rsidTr="006E62AB">
        <w:trPr>
          <w:tblHeader/>
        </w:trPr>
        <w:tc>
          <w:tcPr>
            <w:tcW w:w="1625" w:type="dxa"/>
            <w:shd w:val="clear" w:color="auto" w:fill="C0C0C0"/>
            <w:vAlign w:val="center"/>
          </w:tcPr>
          <w:p w14:paraId="6EC5AA71"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Generic Name</w:t>
            </w:r>
          </w:p>
        </w:tc>
        <w:tc>
          <w:tcPr>
            <w:tcW w:w="985" w:type="dxa"/>
            <w:shd w:val="clear" w:color="auto" w:fill="C0C0C0"/>
            <w:vAlign w:val="center"/>
          </w:tcPr>
          <w:p w14:paraId="302893F5" w14:textId="77777777" w:rsidR="00AE32D7" w:rsidRPr="001522E0"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T</w:t>
            </w:r>
            <w:r>
              <w:rPr>
                <w:rFonts w:ascii="Arial" w:hAnsi="Arial" w:cs="Arial"/>
                <w:b/>
                <w:sz w:val="20"/>
                <w:szCs w:val="20"/>
              </w:rPr>
              <w:softHyphen/>
            </w:r>
            <w:r>
              <w:rPr>
                <w:rFonts w:ascii="Arial" w:hAnsi="Arial" w:cs="Arial"/>
                <w:b/>
                <w:sz w:val="20"/>
                <w:szCs w:val="20"/>
                <w:vertAlign w:val="subscript"/>
              </w:rPr>
              <w:t>max</w:t>
            </w:r>
          </w:p>
          <w:p w14:paraId="1FC0EEDB"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c>
          <w:tcPr>
            <w:tcW w:w="1069" w:type="dxa"/>
            <w:shd w:val="clear" w:color="auto" w:fill="C0C0C0"/>
            <w:vAlign w:val="center"/>
          </w:tcPr>
          <w:p w14:paraId="4797FAA9"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Duration</w:t>
            </w:r>
          </w:p>
          <w:p w14:paraId="2C77FA97"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c>
          <w:tcPr>
            <w:tcW w:w="1811" w:type="dxa"/>
            <w:shd w:val="clear" w:color="auto" w:fill="C0C0C0"/>
            <w:vAlign w:val="center"/>
          </w:tcPr>
          <w:p w14:paraId="11D53A7D" w14:textId="10648C86"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 xml:space="preserve">Renal </w:t>
            </w:r>
            <w:r w:rsidR="00871411">
              <w:rPr>
                <w:rFonts w:ascii="Arial" w:hAnsi="Arial" w:cs="Arial"/>
                <w:b/>
                <w:sz w:val="20"/>
                <w:szCs w:val="20"/>
              </w:rPr>
              <w:t>Excretion</w:t>
            </w:r>
          </w:p>
          <w:p w14:paraId="3C3199C3" w14:textId="626C5F07" w:rsidR="00AE32D7" w:rsidRPr="00993018" w:rsidRDefault="00AE32D7" w:rsidP="00F9017C">
            <w:pPr>
              <w:spacing w:after="0" w:line="240" w:lineRule="auto"/>
              <w:jc w:val="center"/>
              <w:outlineLvl w:val="0"/>
              <w:rPr>
                <w:rFonts w:ascii="Arial" w:hAnsi="Arial" w:cs="Arial"/>
                <w:b/>
                <w:sz w:val="20"/>
                <w:szCs w:val="20"/>
              </w:rPr>
            </w:pPr>
            <w:r>
              <w:rPr>
                <w:rFonts w:ascii="Arial" w:hAnsi="Arial" w:cs="Arial"/>
                <w:b/>
                <w:sz w:val="20"/>
                <w:szCs w:val="20"/>
              </w:rPr>
              <w:t>(</w:t>
            </w:r>
            <w:r w:rsidR="00871411">
              <w:rPr>
                <w:rFonts w:ascii="Arial" w:hAnsi="Arial" w:cs="Arial"/>
                <w:b/>
                <w:sz w:val="20"/>
                <w:szCs w:val="20"/>
              </w:rPr>
              <w:t>%</w:t>
            </w:r>
            <w:r>
              <w:rPr>
                <w:rFonts w:ascii="Arial" w:hAnsi="Arial" w:cs="Arial"/>
                <w:b/>
                <w:sz w:val="20"/>
                <w:szCs w:val="20"/>
              </w:rPr>
              <w:t>)</w:t>
            </w:r>
          </w:p>
        </w:tc>
        <w:tc>
          <w:tcPr>
            <w:tcW w:w="2070" w:type="dxa"/>
            <w:shd w:val="clear" w:color="auto" w:fill="C0C0C0"/>
            <w:vAlign w:val="center"/>
          </w:tcPr>
          <w:p w14:paraId="55E4AB33"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Active Metabolites</w:t>
            </w:r>
          </w:p>
        </w:tc>
        <w:tc>
          <w:tcPr>
            <w:tcW w:w="1908" w:type="dxa"/>
            <w:shd w:val="clear" w:color="auto" w:fill="C0C0C0"/>
            <w:vAlign w:val="center"/>
          </w:tcPr>
          <w:p w14:paraId="4088A9CE" w14:textId="4D3AC101"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Half-Life</w:t>
            </w:r>
          </w:p>
          <w:p w14:paraId="55E71B5A" w14:textId="77777777" w:rsidR="00AE32D7" w:rsidRPr="00993018" w:rsidRDefault="00AE32D7" w:rsidP="00F9017C">
            <w:pPr>
              <w:spacing w:after="0" w:line="240" w:lineRule="auto"/>
              <w:jc w:val="center"/>
              <w:outlineLvl w:val="0"/>
              <w:rPr>
                <w:rFonts w:ascii="Arial" w:hAnsi="Arial" w:cs="Arial"/>
                <w:b/>
                <w:sz w:val="20"/>
                <w:szCs w:val="20"/>
              </w:rPr>
            </w:pPr>
            <w:r w:rsidRPr="00993018">
              <w:rPr>
                <w:rFonts w:ascii="Arial" w:hAnsi="Arial" w:cs="Arial"/>
                <w:b/>
                <w:sz w:val="20"/>
                <w:szCs w:val="20"/>
              </w:rPr>
              <w:t>(hours)</w:t>
            </w:r>
          </w:p>
        </w:tc>
      </w:tr>
      <w:tr w:rsidR="00AE32D7" w:rsidRPr="00993018" w14:paraId="4659523C" w14:textId="77777777" w:rsidTr="006E62AB">
        <w:tc>
          <w:tcPr>
            <w:tcW w:w="1625" w:type="dxa"/>
            <w:vAlign w:val="center"/>
          </w:tcPr>
          <w:p w14:paraId="13BFC019" w14:textId="35535284" w:rsidR="00AE32D7" w:rsidRPr="00993018" w:rsidRDefault="00871411" w:rsidP="00F9017C">
            <w:pPr>
              <w:spacing w:after="0" w:line="240" w:lineRule="auto"/>
              <w:rPr>
                <w:rFonts w:ascii="Arial" w:hAnsi="Arial" w:cs="Arial"/>
                <w:sz w:val="20"/>
                <w:szCs w:val="20"/>
              </w:rPr>
            </w:pPr>
            <w:r>
              <w:rPr>
                <w:rFonts w:ascii="Arial" w:hAnsi="Arial" w:cs="Arial"/>
                <w:sz w:val="20"/>
                <w:szCs w:val="20"/>
              </w:rPr>
              <w:t>Tapentadol</w:t>
            </w:r>
          </w:p>
        </w:tc>
        <w:tc>
          <w:tcPr>
            <w:tcW w:w="985" w:type="dxa"/>
            <w:vAlign w:val="center"/>
          </w:tcPr>
          <w:p w14:paraId="3E3941B2" w14:textId="5A85A316" w:rsidR="00AE32D7" w:rsidRPr="00993018" w:rsidRDefault="00871411" w:rsidP="00F9017C">
            <w:pPr>
              <w:spacing w:after="0" w:line="240" w:lineRule="auto"/>
              <w:jc w:val="center"/>
              <w:rPr>
                <w:rFonts w:ascii="Arial" w:hAnsi="Arial" w:cs="Arial"/>
                <w:sz w:val="20"/>
                <w:szCs w:val="20"/>
              </w:rPr>
            </w:pPr>
            <w:r>
              <w:rPr>
                <w:rFonts w:ascii="Arial" w:hAnsi="Arial" w:cs="Arial"/>
                <w:sz w:val="20"/>
                <w:szCs w:val="20"/>
              </w:rPr>
              <w:t>3 to 6</w:t>
            </w:r>
          </w:p>
        </w:tc>
        <w:tc>
          <w:tcPr>
            <w:tcW w:w="1069" w:type="dxa"/>
            <w:vAlign w:val="center"/>
          </w:tcPr>
          <w:p w14:paraId="359A0F80" w14:textId="2F6A41F0" w:rsidR="00AE32D7" w:rsidRPr="00993018" w:rsidRDefault="00871411" w:rsidP="00F9017C">
            <w:pPr>
              <w:spacing w:after="0" w:line="240" w:lineRule="auto"/>
              <w:jc w:val="center"/>
              <w:rPr>
                <w:rFonts w:ascii="Arial" w:hAnsi="Arial" w:cs="Arial"/>
                <w:sz w:val="20"/>
                <w:szCs w:val="20"/>
              </w:rPr>
            </w:pPr>
            <w:r>
              <w:rPr>
                <w:rFonts w:ascii="Arial" w:hAnsi="Arial" w:cs="Arial"/>
                <w:sz w:val="20"/>
                <w:szCs w:val="20"/>
              </w:rPr>
              <w:t>12</w:t>
            </w:r>
          </w:p>
        </w:tc>
        <w:tc>
          <w:tcPr>
            <w:tcW w:w="1811" w:type="dxa"/>
            <w:vAlign w:val="center"/>
          </w:tcPr>
          <w:p w14:paraId="72516010" w14:textId="2D84F83C" w:rsidR="00AE32D7" w:rsidRPr="00993018" w:rsidRDefault="00871411" w:rsidP="00F9017C">
            <w:pPr>
              <w:spacing w:after="0" w:line="240" w:lineRule="auto"/>
              <w:jc w:val="center"/>
              <w:rPr>
                <w:rFonts w:ascii="Arial" w:hAnsi="Arial" w:cs="Arial"/>
                <w:sz w:val="20"/>
                <w:szCs w:val="20"/>
              </w:rPr>
            </w:pPr>
            <w:r>
              <w:rPr>
                <w:rFonts w:ascii="Arial" w:hAnsi="Arial" w:cs="Arial"/>
                <w:sz w:val="20"/>
                <w:szCs w:val="20"/>
              </w:rPr>
              <w:t>99</w:t>
            </w:r>
          </w:p>
        </w:tc>
        <w:tc>
          <w:tcPr>
            <w:tcW w:w="2070" w:type="dxa"/>
            <w:vAlign w:val="center"/>
          </w:tcPr>
          <w:p w14:paraId="36DF395A" w14:textId="66AFAEE9" w:rsidR="00AE32D7" w:rsidRPr="00993018" w:rsidRDefault="00871411" w:rsidP="00C574FF">
            <w:pPr>
              <w:spacing w:after="0" w:line="240" w:lineRule="auto"/>
              <w:jc w:val="center"/>
              <w:rPr>
                <w:rFonts w:ascii="Arial" w:hAnsi="Arial" w:cs="Arial"/>
                <w:sz w:val="20"/>
                <w:szCs w:val="20"/>
              </w:rPr>
            </w:pPr>
            <w:r>
              <w:rPr>
                <w:rFonts w:ascii="Arial" w:hAnsi="Arial" w:cs="Arial"/>
                <w:sz w:val="20"/>
                <w:szCs w:val="20"/>
              </w:rPr>
              <w:t>None</w:t>
            </w:r>
          </w:p>
        </w:tc>
        <w:tc>
          <w:tcPr>
            <w:tcW w:w="1908" w:type="dxa"/>
            <w:vAlign w:val="center"/>
          </w:tcPr>
          <w:p w14:paraId="2CA80F22" w14:textId="3B52B20D" w:rsidR="00AE32D7" w:rsidRPr="00993018" w:rsidRDefault="00871411" w:rsidP="00F9017C">
            <w:pPr>
              <w:spacing w:after="0" w:line="240" w:lineRule="auto"/>
              <w:jc w:val="center"/>
              <w:rPr>
                <w:rFonts w:ascii="Arial" w:hAnsi="Arial" w:cs="Arial"/>
                <w:sz w:val="20"/>
                <w:szCs w:val="20"/>
              </w:rPr>
            </w:pPr>
            <w:r>
              <w:rPr>
                <w:rFonts w:ascii="Arial" w:hAnsi="Arial" w:cs="Arial"/>
                <w:sz w:val="20"/>
                <w:szCs w:val="20"/>
              </w:rPr>
              <w:t>5</w:t>
            </w:r>
          </w:p>
        </w:tc>
      </w:tr>
    </w:tbl>
    <w:p w14:paraId="6BB49B31" w14:textId="77777777" w:rsidR="00AE32D7" w:rsidRDefault="00AE32D7" w:rsidP="00AE32D7">
      <w:pPr>
        <w:pStyle w:val="CommentText"/>
        <w:spacing w:after="0" w:line="240" w:lineRule="auto"/>
        <w:rPr>
          <w:rFonts w:ascii="Arial" w:hAnsi="Arial" w:cs="Arial"/>
          <w:color w:val="008000"/>
        </w:rPr>
      </w:pPr>
    </w:p>
    <w:p w14:paraId="538F0DA5" w14:textId="798B8D79" w:rsidR="00AA5B5A" w:rsidRPr="001723DB" w:rsidRDefault="00AA5B5A" w:rsidP="00AE32D7">
      <w:pPr>
        <w:pStyle w:val="CommentText"/>
        <w:spacing w:after="0" w:line="240" w:lineRule="auto"/>
        <w:rPr>
          <w:rFonts w:ascii="Arial" w:hAnsi="Arial" w:cs="Arial"/>
          <w:b/>
          <w:u w:val="single"/>
        </w:rPr>
      </w:pPr>
      <w:r w:rsidRPr="001723DB">
        <w:rPr>
          <w:rFonts w:ascii="Arial" w:hAnsi="Arial" w:cs="Arial"/>
          <w:b/>
          <w:u w:val="single"/>
        </w:rPr>
        <w:t>Special Populations</w:t>
      </w:r>
    </w:p>
    <w:p w14:paraId="54A58A7F" w14:textId="77777777" w:rsidR="00AA5B5A" w:rsidRDefault="00AA5B5A" w:rsidP="00AE32D7">
      <w:pPr>
        <w:pStyle w:val="CommentText"/>
        <w:spacing w:after="0" w:line="240" w:lineRule="auto"/>
        <w:rPr>
          <w:rFonts w:ascii="Arial" w:hAnsi="Arial" w:cs="Arial"/>
          <w:color w:val="008000"/>
        </w:rPr>
      </w:pPr>
    </w:p>
    <w:p w14:paraId="2211C9BA" w14:textId="265118EA" w:rsidR="00AA5B5A" w:rsidRPr="001723DB" w:rsidRDefault="00AA5B5A" w:rsidP="001723DB">
      <w:pPr>
        <w:pStyle w:val="CommentText"/>
        <w:spacing w:after="0"/>
        <w:rPr>
          <w:rFonts w:ascii="Arial" w:hAnsi="Arial" w:cs="Arial"/>
          <w:b/>
        </w:rPr>
      </w:pPr>
      <w:r w:rsidRPr="001723DB">
        <w:rPr>
          <w:rFonts w:ascii="Arial" w:hAnsi="Arial" w:cs="Arial"/>
          <w:b/>
        </w:rPr>
        <w:t>Table 4. Special Populations</w:t>
      </w:r>
      <w:r w:rsidRPr="001723DB">
        <w:rPr>
          <w:rFonts w:ascii="Arial" w:hAnsi="Arial" w:cs="Arial"/>
          <w:vertAlign w:val="superscript"/>
        </w:rPr>
        <w:t>1</w:t>
      </w:r>
      <w:r w:rsidRPr="001723DB">
        <w:rPr>
          <w:rFonts w:ascii="Arial" w:hAnsi="Arial" w:cs="Arial"/>
          <w:b/>
        </w:rPr>
        <w:t xml:space="preserve"> </w:t>
      </w:r>
    </w:p>
    <w:tbl>
      <w:tblPr>
        <w:tblW w:w="9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0"/>
        <w:gridCol w:w="7030"/>
      </w:tblGrid>
      <w:tr w:rsidR="00621DDD" w:rsidRPr="00621DDD" w14:paraId="33D33F91" w14:textId="77777777" w:rsidTr="00A77F90">
        <w:tc>
          <w:tcPr>
            <w:tcW w:w="2430" w:type="dxa"/>
            <w:shd w:val="clear" w:color="auto" w:fill="C0C0C0"/>
          </w:tcPr>
          <w:p w14:paraId="38B49D10" w14:textId="77777777" w:rsidR="00621DDD" w:rsidRPr="00621DDD" w:rsidRDefault="00621DDD" w:rsidP="00621DDD">
            <w:pPr>
              <w:spacing w:after="0" w:line="240" w:lineRule="auto"/>
              <w:jc w:val="center"/>
              <w:rPr>
                <w:rFonts w:ascii="Arial" w:hAnsi="Arial" w:cs="Arial"/>
                <w:b/>
                <w:sz w:val="20"/>
                <w:szCs w:val="20"/>
              </w:rPr>
            </w:pPr>
            <w:r w:rsidRPr="00621DDD">
              <w:rPr>
                <w:rFonts w:ascii="Arial" w:hAnsi="Arial" w:cs="Arial"/>
                <w:b/>
                <w:sz w:val="20"/>
                <w:szCs w:val="20"/>
              </w:rPr>
              <w:t>Population</w:t>
            </w:r>
          </w:p>
        </w:tc>
        <w:tc>
          <w:tcPr>
            <w:tcW w:w="7030" w:type="dxa"/>
            <w:shd w:val="clear" w:color="auto" w:fill="C0C0C0"/>
          </w:tcPr>
          <w:p w14:paraId="03FA491B" w14:textId="77777777" w:rsidR="00621DDD" w:rsidRPr="00621DDD" w:rsidRDefault="00621DDD" w:rsidP="00621DDD">
            <w:pPr>
              <w:spacing w:after="0" w:line="240" w:lineRule="auto"/>
              <w:jc w:val="center"/>
              <w:rPr>
                <w:rFonts w:ascii="Arial" w:hAnsi="Arial" w:cs="Arial"/>
                <w:b/>
                <w:sz w:val="20"/>
                <w:szCs w:val="20"/>
              </w:rPr>
            </w:pPr>
            <w:r w:rsidRPr="00621DDD">
              <w:rPr>
                <w:rFonts w:ascii="Arial" w:hAnsi="Arial" w:cs="Arial"/>
                <w:b/>
                <w:sz w:val="20"/>
                <w:szCs w:val="20"/>
              </w:rPr>
              <w:t>Precaution</w:t>
            </w:r>
          </w:p>
        </w:tc>
      </w:tr>
      <w:tr w:rsidR="00621DDD" w:rsidRPr="00621DDD" w14:paraId="1F8B517C" w14:textId="77777777" w:rsidTr="00A77F90">
        <w:tc>
          <w:tcPr>
            <w:tcW w:w="2430" w:type="dxa"/>
          </w:tcPr>
          <w:p w14:paraId="4A3A5E57"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Elderly</w:t>
            </w:r>
          </w:p>
        </w:tc>
        <w:tc>
          <w:tcPr>
            <w:tcW w:w="7030" w:type="dxa"/>
          </w:tcPr>
          <w:p w14:paraId="3C420014"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 xml:space="preserve">Among the total number of individuals in clinical trials, only a small number were elderly, including 28% over the age of 65 years and 7% over the age of 75. No overall differences in effectiveness were observed between the elderly and younger individuals. The mean exposure (AUC) to tapentadol was similar in elderly subjects compared to young adults, with a 16% lower </w:t>
            </w:r>
            <w:r w:rsidRPr="00621DDD">
              <w:rPr>
                <w:rFonts w:ascii="Arial" w:hAnsi="Arial" w:cs="Arial"/>
                <w:sz w:val="20"/>
                <w:szCs w:val="20"/>
              </w:rPr>
              <w:lastRenderedPageBreak/>
              <w:t xml:space="preserve">mean Cmax observed in the elderly subject group compared to young adult subjects. </w:t>
            </w:r>
          </w:p>
          <w:p w14:paraId="4B09DC40" w14:textId="77777777" w:rsidR="00621DDD" w:rsidRPr="00621DDD" w:rsidRDefault="00621DDD" w:rsidP="00621DDD">
            <w:pPr>
              <w:spacing w:after="0" w:line="240" w:lineRule="auto"/>
              <w:rPr>
                <w:rFonts w:ascii="Arial" w:hAnsi="Arial" w:cs="Arial"/>
                <w:sz w:val="20"/>
                <w:szCs w:val="20"/>
              </w:rPr>
            </w:pPr>
          </w:p>
          <w:p w14:paraId="54536D0C"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Recommended dosing for elderly patients with normal renal and hepatic function is the same as for younger adult patients with normal renal and hepatic function; however, given the elderly are more likely to have decreased renal and hepatic function, consideration should be given to starting elderly patients with the lower range of recommended doses.</w:t>
            </w:r>
          </w:p>
        </w:tc>
      </w:tr>
      <w:tr w:rsidR="00621DDD" w:rsidRPr="00621DDD" w14:paraId="3CD0B064" w14:textId="77777777" w:rsidTr="00A77F90">
        <w:trPr>
          <w:trHeight w:val="962"/>
        </w:trPr>
        <w:tc>
          <w:tcPr>
            <w:tcW w:w="2430" w:type="dxa"/>
          </w:tcPr>
          <w:p w14:paraId="3EC1B9A5"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lastRenderedPageBreak/>
              <w:t>Renal dysfunction</w:t>
            </w:r>
          </w:p>
        </w:tc>
        <w:tc>
          <w:tcPr>
            <w:tcW w:w="7030" w:type="dxa"/>
          </w:tcPr>
          <w:p w14:paraId="28FBC03E" w14:textId="0FD52712"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Among individuals with mild (</w:t>
            </w:r>
            <w:r w:rsidR="00C052CE">
              <w:rPr>
                <w:rFonts w:ascii="Arial" w:hAnsi="Arial" w:cs="Arial"/>
                <w:sz w:val="20"/>
                <w:szCs w:val="20"/>
              </w:rPr>
              <w:t>creatinine clearance [</w:t>
            </w:r>
            <w:proofErr w:type="spellStart"/>
            <w:r w:rsidRPr="00621DDD">
              <w:rPr>
                <w:rFonts w:ascii="Arial" w:hAnsi="Arial" w:cs="Arial"/>
                <w:sz w:val="20"/>
                <w:szCs w:val="20"/>
              </w:rPr>
              <w:t>CrCl</w:t>
            </w:r>
            <w:proofErr w:type="spellEnd"/>
            <w:r w:rsidR="00C052CE">
              <w:rPr>
                <w:rFonts w:ascii="Arial" w:hAnsi="Arial" w:cs="Arial"/>
                <w:sz w:val="20"/>
                <w:szCs w:val="20"/>
              </w:rPr>
              <w:t>]</w:t>
            </w:r>
            <w:r w:rsidRPr="00621DDD">
              <w:rPr>
                <w:rFonts w:ascii="Arial" w:hAnsi="Arial" w:cs="Arial"/>
                <w:sz w:val="20"/>
                <w:szCs w:val="20"/>
              </w:rPr>
              <w:t>: 50 to &lt; 80 mL/minute), moderate (</w:t>
            </w:r>
            <w:proofErr w:type="spellStart"/>
            <w:r w:rsidRPr="00621DDD">
              <w:rPr>
                <w:rFonts w:ascii="Arial" w:hAnsi="Arial" w:cs="Arial"/>
                <w:sz w:val="20"/>
                <w:szCs w:val="20"/>
              </w:rPr>
              <w:t>CrCl</w:t>
            </w:r>
            <w:proofErr w:type="spellEnd"/>
            <w:r w:rsidRPr="00621DDD">
              <w:rPr>
                <w:rFonts w:ascii="Arial" w:hAnsi="Arial" w:cs="Arial"/>
                <w:sz w:val="20"/>
                <w:szCs w:val="20"/>
              </w:rPr>
              <w:t>: 30 to &lt;50 mL/minute), and severe (</w:t>
            </w:r>
            <w:proofErr w:type="spellStart"/>
            <w:r w:rsidRPr="00621DDD">
              <w:rPr>
                <w:rFonts w:ascii="Arial" w:hAnsi="Arial" w:cs="Arial"/>
                <w:sz w:val="20"/>
                <w:szCs w:val="20"/>
              </w:rPr>
              <w:t>CrCl</w:t>
            </w:r>
            <w:proofErr w:type="spellEnd"/>
            <w:r w:rsidRPr="00621DDD">
              <w:rPr>
                <w:rFonts w:ascii="Arial" w:hAnsi="Arial" w:cs="Arial"/>
                <w:sz w:val="20"/>
                <w:szCs w:val="20"/>
              </w:rPr>
              <w:t xml:space="preserve">: &lt; 30mL/minute) renal impairment, the AUC of tapentadol-O-glucuronide was 1.5-, 2.5-, and 5.5-fold higher compared to those with normal renal function, respectively. </w:t>
            </w:r>
          </w:p>
          <w:p w14:paraId="5D0AC112" w14:textId="77777777" w:rsidR="00621DDD" w:rsidRPr="00621DDD" w:rsidRDefault="00621DDD" w:rsidP="00621DDD">
            <w:pPr>
              <w:spacing w:after="0" w:line="240" w:lineRule="auto"/>
              <w:rPr>
                <w:rFonts w:ascii="Arial" w:hAnsi="Arial" w:cs="Arial"/>
                <w:sz w:val="20"/>
                <w:szCs w:val="20"/>
              </w:rPr>
            </w:pPr>
          </w:p>
          <w:p w14:paraId="009DB260"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The safety and effectiveness have not been established in patients with severe renal impairment (</w:t>
            </w:r>
            <w:proofErr w:type="spellStart"/>
            <w:r w:rsidRPr="00621DDD">
              <w:rPr>
                <w:rFonts w:ascii="Arial" w:hAnsi="Arial" w:cs="Arial"/>
                <w:sz w:val="20"/>
                <w:szCs w:val="20"/>
              </w:rPr>
              <w:t>CrCl</w:t>
            </w:r>
            <w:proofErr w:type="spellEnd"/>
            <w:r w:rsidRPr="00621DDD">
              <w:rPr>
                <w:rFonts w:ascii="Arial" w:hAnsi="Arial" w:cs="Arial"/>
                <w:sz w:val="20"/>
                <w:szCs w:val="20"/>
              </w:rPr>
              <w:t xml:space="preserve"> &lt;30mL/minute); therefore, the use of Nucynta</w:t>
            </w:r>
            <w:r w:rsidRPr="00621DDD">
              <w:rPr>
                <w:rFonts w:ascii="Arial" w:hAnsi="Arial" w:cs="Arial"/>
                <w:sz w:val="20"/>
                <w:szCs w:val="20"/>
                <w:vertAlign w:val="superscript"/>
              </w:rPr>
              <w:t>®</w:t>
            </w:r>
            <w:r w:rsidRPr="00621DDD">
              <w:rPr>
                <w:rFonts w:ascii="Arial" w:hAnsi="Arial" w:cs="Arial"/>
                <w:sz w:val="20"/>
                <w:szCs w:val="20"/>
              </w:rPr>
              <w:t xml:space="preserve"> ER (tapentadol) in patients with severe renal impairment is not recommended due to accumulation of metabolite formed by glucuronidation of tapentadol.</w:t>
            </w:r>
          </w:p>
        </w:tc>
      </w:tr>
      <w:tr w:rsidR="00621DDD" w:rsidRPr="00621DDD" w14:paraId="2A7ED6DB" w14:textId="77777777" w:rsidTr="00A77F90">
        <w:tc>
          <w:tcPr>
            <w:tcW w:w="2430" w:type="dxa"/>
          </w:tcPr>
          <w:p w14:paraId="2D0BC9EB"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Hepatic dysfunction</w:t>
            </w:r>
          </w:p>
        </w:tc>
        <w:tc>
          <w:tcPr>
            <w:tcW w:w="7030" w:type="dxa"/>
          </w:tcPr>
          <w:p w14:paraId="384DF64B"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 xml:space="preserve">Tapentadol administration results in higher exposures and serum levels of tapentadol in individuals with impaired hepatic function compared to individuals with normal hepatic function. </w:t>
            </w:r>
          </w:p>
          <w:p w14:paraId="21EE5E62" w14:textId="77777777" w:rsidR="00621DDD" w:rsidRPr="00621DDD" w:rsidRDefault="00621DDD" w:rsidP="00621DDD">
            <w:pPr>
              <w:spacing w:after="0" w:line="240" w:lineRule="auto"/>
              <w:rPr>
                <w:rFonts w:ascii="Arial" w:hAnsi="Arial" w:cs="Arial"/>
                <w:sz w:val="20"/>
                <w:szCs w:val="20"/>
              </w:rPr>
            </w:pPr>
          </w:p>
          <w:p w14:paraId="50A7A5D9" w14:textId="77777777" w:rsidR="00621DDD" w:rsidRPr="00621DDD" w:rsidRDefault="00621DDD" w:rsidP="00621DDD">
            <w:pPr>
              <w:spacing w:after="0"/>
              <w:rPr>
                <w:rFonts w:ascii="Arial" w:hAnsi="Arial" w:cs="Arial"/>
                <w:b/>
                <w:sz w:val="20"/>
                <w:szCs w:val="20"/>
              </w:rPr>
            </w:pPr>
            <w:r w:rsidRPr="00621DDD">
              <w:rPr>
                <w:rFonts w:ascii="Arial" w:hAnsi="Arial" w:cs="Arial"/>
                <w:sz w:val="20"/>
                <w:szCs w:val="20"/>
              </w:rPr>
              <w:t>The ratio of tapentadol pharmacokinetic parameters for the mild hepatic impairment group (Child-Pugh Score 5 to 6) and moderate hepatic impairment group (Child-Pugh Score 7 to 9) compared to normal hepatic function group were 1.7 and 4.2, respectively, for AUC; 1.4 and 2.5, respectively, for C</w:t>
            </w:r>
            <w:r w:rsidRPr="00621DDD">
              <w:rPr>
                <w:rFonts w:ascii="Arial" w:hAnsi="Arial" w:cs="Arial"/>
                <w:sz w:val="20"/>
                <w:szCs w:val="20"/>
                <w:vertAlign w:val="subscript"/>
              </w:rPr>
              <w:t>max</w:t>
            </w:r>
            <w:r w:rsidRPr="00621DDD">
              <w:rPr>
                <w:rFonts w:ascii="Arial" w:hAnsi="Arial" w:cs="Arial"/>
                <w:sz w:val="20"/>
                <w:szCs w:val="20"/>
              </w:rPr>
              <w:t>; and 1.2 and 1.4, respectively, for the T</w:t>
            </w:r>
            <w:r w:rsidRPr="00621DDD">
              <w:rPr>
                <w:rFonts w:ascii="Arial" w:hAnsi="Arial" w:cs="Arial"/>
                <w:sz w:val="20"/>
                <w:szCs w:val="20"/>
                <w:vertAlign w:val="subscript"/>
              </w:rPr>
              <w:t>1/2</w:t>
            </w:r>
            <w:r w:rsidRPr="00621DDD">
              <w:rPr>
                <w:rFonts w:ascii="Arial" w:hAnsi="Arial" w:cs="Arial"/>
                <w:sz w:val="20"/>
                <w:szCs w:val="20"/>
              </w:rPr>
              <w:t>. The rate of formation of tapentadol-O-glucuronide was also lower in subjects with increased hepatic impairment.</w:t>
            </w:r>
          </w:p>
          <w:p w14:paraId="4A926447" w14:textId="77777777" w:rsidR="00621DDD" w:rsidRPr="00621DDD" w:rsidRDefault="00621DDD" w:rsidP="00621DDD">
            <w:pPr>
              <w:spacing w:after="0" w:line="240" w:lineRule="auto"/>
              <w:rPr>
                <w:rFonts w:ascii="Arial" w:hAnsi="Arial" w:cs="Arial"/>
                <w:sz w:val="20"/>
                <w:szCs w:val="20"/>
              </w:rPr>
            </w:pPr>
          </w:p>
          <w:p w14:paraId="6D1DC797"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Administered doses should be reduced in patients with moderate hepatic impairment (Child-Pugh Score 7 to 9), and its use is not recommended in severe hepatic impairment (Child-Pugh Score 10 to 15).</w:t>
            </w:r>
          </w:p>
        </w:tc>
      </w:tr>
      <w:tr w:rsidR="00621DDD" w:rsidRPr="00621DDD" w14:paraId="225D8C5F" w14:textId="77777777" w:rsidTr="00A77F90">
        <w:tc>
          <w:tcPr>
            <w:tcW w:w="2430" w:type="dxa"/>
          </w:tcPr>
          <w:p w14:paraId="5F0551B8"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Pregnancy / nursing</w:t>
            </w:r>
          </w:p>
        </w:tc>
        <w:tc>
          <w:tcPr>
            <w:tcW w:w="7030" w:type="dxa"/>
          </w:tcPr>
          <w:p w14:paraId="6A1CE897"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Pregnancy Category C. There are no adequate and well-controlled studies in pregnant women. Use during pregnancy only if the potential benefit outweighs the potential risk to the fetus. Opioids cross the placenta and may produce respiratory depression in neonates; therefore, it is not for use in women during and immediately prior to labor.</w:t>
            </w:r>
          </w:p>
          <w:p w14:paraId="7213E682" w14:textId="77777777" w:rsidR="00621DDD" w:rsidRPr="00621DDD" w:rsidRDefault="00621DDD" w:rsidP="00621DDD">
            <w:pPr>
              <w:spacing w:after="0" w:line="240" w:lineRule="auto"/>
              <w:rPr>
                <w:rFonts w:ascii="Arial" w:hAnsi="Arial" w:cs="Arial"/>
                <w:sz w:val="20"/>
                <w:szCs w:val="20"/>
              </w:rPr>
            </w:pPr>
          </w:p>
          <w:p w14:paraId="007EFA86"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It is not known if tapentadol is excreted in breast milk. Physicochemical and available pharmacodynamic and toxicological data on tapentadol point to excretion in breast milk, and risk to the breastfeeding child cannot be excluded. A decision should be made whether to discontinue nursing or discontinue the drug.</w:t>
            </w:r>
          </w:p>
        </w:tc>
      </w:tr>
      <w:tr w:rsidR="00621DDD" w:rsidRPr="00621DDD" w14:paraId="3448152F" w14:textId="77777777" w:rsidTr="00A77F90">
        <w:tc>
          <w:tcPr>
            <w:tcW w:w="2430" w:type="dxa"/>
          </w:tcPr>
          <w:p w14:paraId="79DED9FF"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Children</w:t>
            </w:r>
          </w:p>
        </w:tc>
        <w:tc>
          <w:tcPr>
            <w:tcW w:w="7030" w:type="dxa"/>
          </w:tcPr>
          <w:p w14:paraId="755E0DE6"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The safety and efficacy in individuals less than 18 years of age have not been established.</w:t>
            </w:r>
          </w:p>
        </w:tc>
      </w:tr>
      <w:tr w:rsidR="00621DDD" w:rsidRPr="00621DDD" w14:paraId="3A26DEAA" w14:textId="77777777" w:rsidTr="00A77F90">
        <w:tc>
          <w:tcPr>
            <w:tcW w:w="2430" w:type="dxa"/>
          </w:tcPr>
          <w:p w14:paraId="4C6183D1"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Gender / Race</w:t>
            </w:r>
          </w:p>
        </w:tc>
        <w:tc>
          <w:tcPr>
            <w:tcW w:w="7030" w:type="dxa"/>
          </w:tcPr>
          <w:p w14:paraId="540AB74D"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No gender- or race-specific differences in pharmacokinetic data have been identified.</w:t>
            </w:r>
            <w:r w:rsidRPr="00621DDD">
              <w:rPr>
                <w:rFonts w:ascii="Arial" w:hAnsi="Arial" w:cs="Arial"/>
              </w:rPr>
              <w:t xml:space="preserve">  </w:t>
            </w:r>
          </w:p>
        </w:tc>
      </w:tr>
    </w:tbl>
    <w:p w14:paraId="091D219E" w14:textId="77777777" w:rsidR="00AA5B5A" w:rsidRPr="001723DB" w:rsidRDefault="00AA5B5A" w:rsidP="00AE32D7">
      <w:pPr>
        <w:pStyle w:val="CommentText"/>
        <w:spacing w:after="0" w:line="240" w:lineRule="auto"/>
        <w:rPr>
          <w:rFonts w:ascii="Arial" w:hAnsi="Arial" w:cs="Arial"/>
          <w:color w:val="008000"/>
        </w:rPr>
      </w:pPr>
    </w:p>
    <w:p w14:paraId="00BF41B4" w14:textId="1910C0BC" w:rsidR="00793E3B" w:rsidRPr="0044122B" w:rsidRDefault="00793E3B" w:rsidP="00793E3B">
      <w:pPr>
        <w:pStyle w:val="NoSpacing"/>
        <w:rPr>
          <w:rFonts w:ascii="Arial" w:hAnsi="Arial" w:cs="Arial"/>
          <w:b/>
          <w:sz w:val="20"/>
          <w:szCs w:val="20"/>
          <w:u w:val="single"/>
        </w:rPr>
      </w:pPr>
      <w:bookmarkStart w:id="2" w:name="DosageAdministration"/>
      <w:r w:rsidRPr="0044122B">
        <w:rPr>
          <w:rFonts w:ascii="Arial" w:hAnsi="Arial" w:cs="Arial"/>
          <w:b/>
          <w:sz w:val="20"/>
          <w:szCs w:val="20"/>
          <w:u w:val="single"/>
        </w:rPr>
        <w:t xml:space="preserve">Dosage </w:t>
      </w:r>
      <w:r w:rsidR="005732F0">
        <w:rPr>
          <w:rFonts w:ascii="Arial" w:hAnsi="Arial" w:cs="Arial"/>
          <w:b/>
          <w:sz w:val="20"/>
          <w:szCs w:val="20"/>
          <w:u w:val="single"/>
        </w:rPr>
        <w:t>Forms</w:t>
      </w:r>
    </w:p>
    <w:bookmarkEnd w:id="2"/>
    <w:p w14:paraId="5A42E570" w14:textId="77777777" w:rsidR="00373B99" w:rsidRPr="0044122B" w:rsidRDefault="00373B99" w:rsidP="00793E3B">
      <w:pPr>
        <w:pStyle w:val="NoSpacing"/>
        <w:rPr>
          <w:rFonts w:ascii="Arial" w:hAnsi="Arial" w:cs="Arial"/>
          <w:color w:val="0000FF"/>
          <w:sz w:val="20"/>
          <w:szCs w:val="20"/>
        </w:rPr>
      </w:pPr>
    </w:p>
    <w:p w14:paraId="234F6672" w14:textId="10358B53" w:rsidR="00793E3B" w:rsidRPr="00AC29F5" w:rsidRDefault="00793E3B" w:rsidP="00793E3B">
      <w:pPr>
        <w:spacing w:after="0" w:line="240" w:lineRule="auto"/>
        <w:rPr>
          <w:rFonts w:ascii="Arial" w:hAnsi="Arial" w:cs="Arial"/>
          <w:bCs/>
          <w:sz w:val="20"/>
          <w:szCs w:val="20"/>
          <w:vertAlign w:val="superscript"/>
        </w:rPr>
      </w:pPr>
      <w:r w:rsidRPr="0044122B">
        <w:rPr>
          <w:rFonts w:ascii="Arial" w:hAnsi="Arial" w:cs="Arial"/>
          <w:b/>
          <w:sz w:val="20"/>
          <w:szCs w:val="20"/>
        </w:rPr>
        <w:t xml:space="preserve">Table </w:t>
      </w:r>
      <w:r w:rsidR="00364EDE">
        <w:rPr>
          <w:rFonts w:ascii="Arial" w:hAnsi="Arial" w:cs="Arial"/>
          <w:b/>
          <w:sz w:val="20"/>
          <w:szCs w:val="20"/>
        </w:rPr>
        <w:t>5</w:t>
      </w:r>
      <w:r w:rsidR="005732F0">
        <w:rPr>
          <w:rFonts w:ascii="Arial" w:hAnsi="Arial" w:cs="Arial"/>
          <w:b/>
          <w:sz w:val="20"/>
          <w:szCs w:val="20"/>
        </w:rPr>
        <w:t>. Availability, Storage and Handling</w:t>
      </w:r>
      <w:r w:rsidR="00AC29F5">
        <w:rPr>
          <w:rFonts w:ascii="Arial" w:hAnsi="Arial" w:cs="Arial"/>
          <w:b/>
          <w:sz w:val="20"/>
          <w:szCs w:val="20"/>
          <w:vertAlign w:val="superscript"/>
        </w:rPr>
        <w:t>1</w:t>
      </w:r>
    </w:p>
    <w:tbl>
      <w:tblPr>
        <w:tblW w:w="9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2520"/>
        <w:gridCol w:w="4240"/>
      </w:tblGrid>
      <w:tr w:rsidR="00621DDD" w:rsidRPr="00621DDD" w14:paraId="12DEA4E8" w14:textId="77777777" w:rsidTr="00A77F90">
        <w:trPr>
          <w:trHeight w:val="188"/>
          <w:tblHeader/>
        </w:trPr>
        <w:tc>
          <w:tcPr>
            <w:tcW w:w="2700" w:type="dxa"/>
            <w:tcBorders>
              <w:bottom w:val="single" w:sz="4" w:space="0" w:color="000000"/>
            </w:tcBorders>
            <w:shd w:val="clear" w:color="auto" w:fill="C0C0C0"/>
          </w:tcPr>
          <w:p w14:paraId="0299807B" w14:textId="77777777" w:rsidR="00621DDD" w:rsidRPr="00621DDD" w:rsidRDefault="00621DDD" w:rsidP="00621DDD">
            <w:pPr>
              <w:spacing w:after="0" w:line="240" w:lineRule="auto"/>
              <w:jc w:val="center"/>
              <w:rPr>
                <w:rFonts w:ascii="Arial" w:hAnsi="Arial" w:cs="Arial"/>
                <w:b/>
                <w:sz w:val="20"/>
                <w:szCs w:val="20"/>
              </w:rPr>
            </w:pPr>
            <w:r w:rsidRPr="00621DDD">
              <w:rPr>
                <w:rFonts w:ascii="Arial" w:hAnsi="Arial" w:cs="Arial"/>
                <w:b/>
                <w:sz w:val="20"/>
                <w:szCs w:val="20"/>
              </w:rPr>
              <w:lastRenderedPageBreak/>
              <w:t>Dosage form</w:t>
            </w:r>
          </w:p>
        </w:tc>
        <w:tc>
          <w:tcPr>
            <w:tcW w:w="2520" w:type="dxa"/>
            <w:tcBorders>
              <w:bottom w:val="single" w:sz="4" w:space="0" w:color="000000"/>
            </w:tcBorders>
            <w:shd w:val="clear" w:color="auto" w:fill="C0C0C0"/>
          </w:tcPr>
          <w:p w14:paraId="55E2B2B8" w14:textId="77777777" w:rsidR="00621DDD" w:rsidRPr="00621DDD" w:rsidRDefault="00621DDD" w:rsidP="00621DDD">
            <w:pPr>
              <w:spacing w:after="0" w:line="240" w:lineRule="auto"/>
              <w:jc w:val="center"/>
              <w:rPr>
                <w:rFonts w:ascii="Arial" w:hAnsi="Arial" w:cs="Arial"/>
                <w:b/>
                <w:sz w:val="20"/>
                <w:szCs w:val="20"/>
              </w:rPr>
            </w:pPr>
            <w:r w:rsidRPr="00621DDD">
              <w:rPr>
                <w:rFonts w:ascii="Arial" w:hAnsi="Arial" w:cs="Arial"/>
                <w:b/>
                <w:sz w:val="20"/>
                <w:szCs w:val="20"/>
              </w:rPr>
              <w:t>Strengths</w:t>
            </w:r>
          </w:p>
        </w:tc>
        <w:tc>
          <w:tcPr>
            <w:tcW w:w="4240" w:type="dxa"/>
            <w:tcBorders>
              <w:bottom w:val="single" w:sz="4" w:space="0" w:color="000000"/>
            </w:tcBorders>
            <w:shd w:val="clear" w:color="auto" w:fill="C0C0C0"/>
          </w:tcPr>
          <w:p w14:paraId="74EF13FC" w14:textId="77777777" w:rsidR="00621DDD" w:rsidRPr="00621DDD" w:rsidRDefault="00621DDD" w:rsidP="00621DDD">
            <w:pPr>
              <w:spacing w:after="0" w:line="240" w:lineRule="auto"/>
              <w:jc w:val="center"/>
              <w:rPr>
                <w:rFonts w:ascii="Arial" w:hAnsi="Arial" w:cs="Arial"/>
                <w:b/>
                <w:sz w:val="20"/>
                <w:szCs w:val="20"/>
              </w:rPr>
            </w:pPr>
            <w:r w:rsidRPr="00621DDD">
              <w:rPr>
                <w:rFonts w:ascii="Arial" w:hAnsi="Arial" w:cs="Arial"/>
                <w:b/>
                <w:sz w:val="20"/>
                <w:szCs w:val="20"/>
              </w:rPr>
              <w:t xml:space="preserve">Special handling or storage </w:t>
            </w:r>
          </w:p>
        </w:tc>
      </w:tr>
      <w:tr w:rsidR="00621DDD" w:rsidRPr="00621DDD" w14:paraId="1F52E338" w14:textId="77777777" w:rsidTr="00A77F90">
        <w:tc>
          <w:tcPr>
            <w:tcW w:w="2700" w:type="dxa"/>
          </w:tcPr>
          <w:p w14:paraId="02692397"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Tablet</w:t>
            </w:r>
          </w:p>
        </w:tc>
        <w:tc>
          <w:tcPr>
            <w:tcW w:w="2520" w:type="dxa"/>
          </w:tcPr>
          <w:p w14:paraId="1686FA07" w14:textId="77777777" w:rsidR="00621DDD" w:rsidRPr="00621DDD" w:rsidRDefault="00621DDD" w:rsidP="00621DDD">
            <w:pPr>
              <w:spacing w:after="0" w:line="240" w:lineRule="auto"/>
              <w:jc w:val="center"/>
              <w:rPr>
                <w:rFonts w:ascii="Arial" w:hAnsi="Arial" w:cs="Arial"/>
                <w:sz w:val="20"/>
                <w:szCs w:val="20"/>
              </w:rPr>
            </w:pPr>
            <w:r w:rsidRPr="00621DDD">
              <w:rPr>
                <w:rFonts w:ascii="Arial" w:hAnsi="Arial" w:cs="Arial"/>
                <w:sz w:val="20"/>
                <w:szCs w:val="20"/>
              </w:rPr>
              <w:t>50 mg</w:t>
            </w:r>
          </w:p>
          <w:p w14:paraId="53328B6D" w14:textId="77777777" w:rsidR="00621DDD" w:rsidRPr="00621DDD" w:rsidRDefault="00621DDD" w:rsidP="00621DDD">
            <w:pPr>
              <w:spacing w:after="0" w:line="240" w:lineRule="auto"/>
              <w:jc w:val="center"/>
              <w:rPr>
                <w:rFonts w:ascii="Arial" w:hAnsi="Arial" w:cs="Arial"/>
                <w:sz w:val="20"/>
                <w:szCs w:val="20"/>
              </w:rPr>
            </w:pPr>
            <w:r w:rsidRPr="00621DDD">
              <w:rPr>
                <w:rFonts w:ascii="Arial" w:hAnsi="Arial" w:cs="Arial"/>
                <w:sz w:val="20"/>
                <w:szCs w:val="20"/>
              </w:rPr>
              <w:t>100 mg</w:t>
            </w:r>
          </w:p>
          <w:p w14:paraId="551BBDDF" w14:textId="77777777" w:rsidR="00621DDD" w:rsidRPr="00621DDD" w:rsidRDefault="00621DDD" w:rsidP="00621DDD">
            <w:pPr>
              <w:spacing w:after="0" w:line="240" w:lineRule="auto"/>
              <w:jc w:val="center"/>
              <w:rPr>
                <w:rFonts w:ascii="Arial" w:hAnsi="Arial" w:cs="Arial"/>
                <w:sz w:val="20"/>
                <w:szCs w:val="20"/>
              </w:rPr>
            </w:pPr>
            <w:r w:rsidRPr="00621DDD">
              <w:rPr>
                <w:rFonts w:ascii="Arial" w:hAnsi="Arial" w:cs="Arial"/>
                <w:sz w:val="20"/>
                <w:szCs w:val="20"/>
              </w:rPr>
              <w:t>150 mg</w:t>
            </w:r>
          </w:p>
          <w:p w14:paraId="244FF5B8" w14:textId="77777777" w:rsidR="00621DDD" w:rsidRPr="00621DDD" w:rsidRDefault="00621DDD" w:rsidP="00621DDD">
            <w:pPr>
              <w:spacing w:after="0" w:line="240" w:lineRule="auto"/>
              <w:jc w:val="center"/>
              <w:rPr>
                <w:rFonts w:ascii="Arial" w:hAnsi="Arial" w:cs="Arial"/>
                <w:sz w:val="20"/>
                <w:szCs w:val="20"/>
              </w:rPr>
            </w:pPr>
            <w:r w:rsidRPr="00621DDD">
              <w:rPr>
                <w:rFonts w:ascii="Arial" w:hAnsi="Arial" w:cs="Arial"/>
                <w:sz w:val="20"/>
                <w:szCs w:val="20"/>
              </w:rPr>
              <w:t>200 mg</w:t>
            </w:r>
          </w:p>
          <w:p w14:paraId="2A92684A" w14:textId="77777777" w:rsidR="00621DDD" w:rsidRPr="00621DDD" w:rsidRDefault="00621DDD" w:rsidP="00621DDD">
            <w:pPr>
              <w:spacing w:after="0" w:line="240" w:lineRule="auto"/>
              <w:jc w:val="center"/>
              <w:rPr>
                <w:rFonts w:ascii="Arial" w:hAnsi="Arial" w:cs="Arial"/>
                <w:sz w:val="20"/>
                <w:szCs w:val="20"/>
              </w:rPr>
            </w:pPr>
            <w:r w:rsidRPr="00621DDD">
              <w:rPr>
                <w:rFonts w:ascii="Arial" w:hAnsi="Arial" w:cs="Arial"/>
                <w:sz w:val="20"/>
                <w:szCs w:val="20"/>
              </w:rPr>
              <w:t>250 mg</w:t>
            </w:r>
          </w:p>
        </w:tc>
        <w:tc>
          <w:tcPr>
            <w:tcW w:w="4240" w:type="dxa"/>
          </w:tcPr>
          <w:p w14:paraId="4DB7AD8F"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 xml:space="preserve">Store up to 25°C (77°F); excursions permitted to 15° to 30°C (59° to 86°F). </w:t>
            </w:r>
          </w:p>
          <w:p w14:paraId="1A8A1627" w14:textId="77777777" w:rsidR="00621DDD" w:rsidRPr="00621DDD" w:rsidRDefault="00621DDD" w:rsidP="00621DDD">
            <w:pPr>
              <w:spacing w:after="0" w:line="240" w:lineRule="auto"/>
              <w:rPr>
                <w:rFonts w:ascii="Arial" w:hAnsi="Arial" w:cs="Arial"/>
                <w:sz w:val="20"/>
                <w:szCs w:val="20"/>
              </w:rPr>
            </w:pPr>
          </w:p>
          <w:p w14:paraId="3E80896B"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 xml:space="preserve">Protect from moisture. </w:t>
            </w:r>
          </w:p>
          <w:p w14:paraId="6424B100" w14:textId="77777777" w:rsidR="00621DDD" w:rsidRPr="00621DDD" w:rsidRDefault="00621DDD" w:rsidP="00621DDD">
            <w:pPr>
              <w:spacing w:after="0" w:line="240" w:lineRule="auto"/>
              <w:rPr>
                <w:rFonts w:ascii="Arial" w:hAnsi="Arial" w:cs="Arial"/>
                <w:sz w:val="20"/>
                <w:szCs w:val="20"/>
              </w:rPr>
            </w:pPr>
          </w:p>
          <w:p w14:paraId="6EA732C0" w14:textId="77777777" w:rsidR="00621DDD" w:rsidRPr="00621DDD" w:rsidRDefault="00621DDD" w:rsidP="00621DDD">
            <w:pPr>
              <w:spacing w:after="0" w:line="240" w:lineRule="auto"/>
              <w:rPr>
                <w:rFonts w:ascii="Arial" w:hAnsi="Arial" w:cs="Arial"/>
                <w:sz w:val="20"/>
                <w:szCs w:val="20"/>
              </w:rPr>
            </w:pPr>
            <w:r w:rsidRPr="00621DDD">
              <w:rPr>
                <w:rFonts w:ascii="Arial" w:hAnsi="Arial" w:cs="Arial"/>
                <w:sz w:val="20"/>
                <w:szCs w:val="20"/>
              </w:rPr>
              <w:t>Keep in a secure place out of reach of children. Tablets that are no longer needed should be destroyed by flushing down the toilet.</w:t>
            </w:r>
          </w:p>
        </w:tc>
      </w:tr>
    </w:tbl>
    <w:p w14:paraId="347509E6" w14:textId="625D3129" w:rsidR="00793E3B" w:rsidRDefault="00793E3B" w:rsidP="004920E8">
      <w:pPr>
        <w:pStyle w:val="BodyTextIndent"/>
        <w:ind w:left="0"/>
        <w:rPr>
          <w:rFonts w:ascii="Arial" w:hAnsi="Arial" w:cs="Arial"/>
          <w:b/>
          <w:u w:val="single"/>
        </w:rPr>
      </w:pPr>
    </w:p>
    <w:p w14:paraId="32BEAED6" w14:textId="4FD60339" w:rsidR="005732F0" w:rsidRDefault="005732F0" w:rsidP="004920E8">
      <w:pPr>
        <w:pStyle w:val="BodyTextIndent"/>
        <w:ind w:left="0"/>
        <w:rPr>
          <w:rFonts w:ascii="Arial" w:hAnsi="Arial" w:cs="Arial"/>
          <w:b/>
          <w:u w:val="single"/>
        </w:rPr>
      </w:pPr>
      <w:r>
        <w:rPr>
          <w:rFonts w:ascii="Arial" w:hAnsi="Arial" w:cs="Arial"/>
          <w:b/>
          <w:u w:val="single"/>
        </w:rPr>
        <w:t>Dosage Range</w:t>
      </w:r>
    </w:p>
    <w:p w14:paraId="1178515C" w14:textId="77777777" w:rsidR="005732F0" w:rsidRDefault="005732F0" w:rsidP="004920E8">
      <w:pPr>
        <w:pStyle w:val="BodyTextIndent"/>
        <w:ind w:left="0"/>
        <w:rPr>
          <w:rFonts w:ascii="Arial" w:hAnsi="Arial" w:cs="Arial"/>
          <w:b/>
          <w:u w:val="single"/>
        </w:rPr>
      </w:pPr>
    </w:p>
    <w:p w14:paraId="60468283" w14:textId="336D672A" w:rsidR="005732F0" w:rsidRPr="00AC29F5" w:rsidRDefault="004F27CC" w:rsidP="004920E8">
      <w:pPr>
        <w:pStyle w:val="BodyTextIndent"/>
        <w:ind w:left="0"/>
        <w:rPr>
          <w:rFonts w:ascii="Arial" w:hAnsi="Arial" w:cs="Arial"/>
          <w:b/>
        </w:rPr>
      </w:pPr>
      <w:r>
        <w:rPr>
          <w:rFonts w:ascii="Arial" w:hAnsi="Arial" w:cs="Arial"/>
          <w:b/>
        </w:rPr>
        <w:t xml:space="preserve">Table </w:t>
      </w:r>
      <w:r w:rsidR="00364EDE">
        <w:rPr>
          <w:rFonts w:ascii="Arial" w:hAnsi="Arial" w:cs="Arial"/>
          <w:b/>
        </w:rPr>
        <w:t>6</w:t>
      </w:r>
      <w:r w:rsidR="005732F0">
        <w:rPr>
          <w:rFonts w:ascii="Arial" w:hAnsi="Arial" w:cs="Arial"/>
          <w:b/>
        </w:rPr>
        <w:t>. Dosing and Administration</w:t>
      </w:r>
      <w:r w:rsidR="00AC29F5">
        <w:rPr>
          <w:rFonts w:ascii="Arial" w:hAnsi="Arial" w:cs="Arial"/>
          <w:b/>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1760"/>
        <w:gridCol w:w="2250"/>
        <w:gridCol w:w="2250"/>
      </w:tblGrid>
      <w:tr w:rsidR="00E223B5" w:rsidRPr="0044122B" w14:paraId="0D48D95C" w14:textId="7684F8FE" w:rsidTr="0083476D">
        <w:trPr>
          <w:tblHeader/>
        </w:trPr>
        <w:tc>
          <w:tcPr>
            <w:tcW w:w="3190" w:type="dxa"/>
            <w:tcBorders>
              <w:bottom w:val="single" w:sz="4" w:space="0" w:color="000000"/>
            </w:tcBorders>
            <w:shd w:val="clear" w:color="auto" w:fill="C0C0C0"/>
            <w:vAlign w:val="center"/>
          </w:tcPr>
          <w:p w14:paraId="7D9CDA80" w14:textId="77777777"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Adult Dose</w:t>
            </w:r>
          </w:p>
        </w:tc>
        <w:tc>
          <w:tcPr>
            <w:tcW w:w="1760" w:type="dxa"/>
            <w:tcBorders>
              <w:bottom w:val="single" w:sz="4" w:space="0" w:color="000000"/>
            </w:tcBorders>
            <w:shd w:val="clear" w:color="auto" w:fill="C0C0C0"/>
            <w:vAlign w:val="center"/>
          </w:tcPr>
          <w:p w14:paraId="05774C8D" w14:textId="77777777" w:rsidR="00E223B5" w:rsidRPr="0044122B" w:rsidRDefault="00E223B5" w:rsidP="00F9017C">
            <w:pPr>
              <w:pStyle w:val="NoSpacing"/>
              <w:jc w:val="center"/>
              <w:rPr>
                <w:rFonts w:ascii="Arial" w:hAnsi="Arial" w:cs="Arial"/>
                <w:b/>
                <w:sz w:val="20"/>
                <w:szCs w:val="20"/>
              </w:rPr>
            </w:pPr>
            <w:r w:rsidRPr="0044122B">
              <w:rPr>
                <w:rFonts w:ascii="Arial" w:hAnsi="Arial" w:cs="Arial"/>
                <w:b/>
                <w:sz w:val="20"/>
                <w:szCs w:val="20"/>
              </w:rPr>
              <w:t>Pediatric Dose</w:t>
            </w:r>
          </w:p>
        </w:tc>
        <w:tc>
          <w:tcPr>
            <w:tcW w:w="2250" w:type="dxa"/>
            <w:tcBorders>
              <w:bottom w:val="single" w:sz="4" w:space="0" w:color="000000"/>
            </w:tcBorders>
            <w:shd w:val="clear" w:color="auto" w:fill="C0C0C0"/>
            <w:vAlign w:val="center"/>
          </w:tcPr>
          <w:p w14:paraId="4CC06E00" w14:textId="0E67C37D" w:rsidR="00E223B5" w:rsidRPr="0044122B" w:rsidRDefault="00E223B5" w:rsidP="00F9017C">
            <w:pPr>
              <w:pStyle w:val="NoSpacing"/>
              <w:jc w:val="center"/>
              <w:rPr>
                <w:rFonts w:ascii="Arial" w:hAnsi="Arial" w:cs="Arial"/>
                <w:b/>
                <w:sz w:val="20"/>
                <w:szCs w:val="20"/>
              </w:rPr>
            </w:pPr>
            <w:r>
              <w:rPr>
                <w:rFonts w:ascii="Arial" w:hAnsi="Arial" w:cs="Arial"/>
                <w:b/>
                <w:sz w:val="20"/>
                <w:szCs w:val="20"/>
              </w:rPr>
              <w:t>Renal Dose</w:t>
            </w:r>
          </w:p>
        </w:tc>
        <w:tc>
          <w:tcPr>
            <w:tcW w:w="2250" w:type="dxa"/>
            <w:tcBorders>
              <w:bottom w:val="single" w:sz="4" w:space="0" w:color="000000"/>
            </w:tcBorders>
            <w:shd w:val="clear" w:color="auto" w:fill="C0C0C0"/>
            <w:vAlign w:val="center"/>
          </w:tcPr>
          <w:p w14:paraId="31262177" w14:textId="3DC33B06" w:rsidR="00E223B5" w:rsidRPr="0044122B" w:rsidRDefault="00E223B5" w:rsidP="00E223B5">
            <w:pPr>
              <w:pStyle w:val="NoSpacing"/>
              <w:jc w:val="center"/>
              <w:rPr>
                <w:rFonts w:ascii="Arial" w:hAnsi="Arial" w:cs="Arial"/>
                <w:b/>
                <w:sz w:val="20"/>
                <w:szCs w:val="20"/>
              </w:rPr>
            </w:pPr>
            <w:r>
              <w:rPr>
                <w:rFonts w:ascii="Arial" w:hAnsi="Arial" w:cs="Arial"/>
                <w:b/>
                <w:sz w:val="20"/>
                <w:szCs w:val="20"/>
              </w:rPr>
              <w:t>Hepatic Dose</w:t>
            </w:r>
          </w:p>
        </w:tc>
      </w:tr>
      <w:tr w:rsidR="00E223B5" w:rsidRPr="0044122B" w14:paraId="2D14340B" w14:textId="52E0DE30" w:rsidTr="0083476D">
        <w:tc>
          <w:tcPr>
            <w:tcW w:w="3190" w:type="dxa"/>
          </w:tcPr>
          <w:p w14:paraId="3EC74C5A" w14:textId="67ED83BB" w:rsidR="00E223B5" w:rsidRPr="004D5C46" w:rsidRDefault="00E223B5" w:rsidP="00F9017C">
            <w:pPr>
              <w:spacing w:after="0" w:line="240" w:lineRule="auto"/>
              <w:rPr>
                <w:rFonts w:ascii="Arial" w:hAnsi="Arial" w:cs="Arial"/>
                <w:sz w:val="20"/>
                <w:szCs w:val="20"/>
                <w:u w:val="single"/>
              </w:rPr>
            </w:pPr>
            <w:r w:rsidRPr="004D5C46">
              <w:rPr>
                <w:rFonts w:ascii="Arial" w:hAnsi="Arial" w:cs="Arial"/>
                <w:sz w:val="20"/>
                <w:szCs w:val="20"/>
                <w:u w:val="single"/>
              </w:rPr>
              <w:t>Pain severe enough to require daily, around-the-clock, long-term opioid treatment for which alternative treatment options are inadequate:</w:t>
            </w:r>
          </w:p>
          <w:p w14:paraId="2A843877" w14:textId="77777777" w:rsidR="00F9017C" w:rsidRDefault="00F9017C" w:rsidP="00F9017C">
            <w:pPr>
              <w:spacing w:after="0" w:line="240" w:lineRule="auto"/>
              <w:rPr>
                <w:rFonts w:ascii="Arial" w:hAnsi="Arial" w:cs="Arial"/>
                <w:sz w:val="20"/>
                <w:szCs w:val="20"/>
              </w:rPr>
            </w:pPr>
          </w:p>
          <w:p w14:paraId="3D4B962A" w14:textId="7A38E646" w:rsidR="00F9017C" w:rsidRDefault="00F9017C" w:rsidP="00F9017C">
            <w:pPr>
              <w:spacing w:after="0" w:line="240" w:lineRule="auto"/>
              <w:rPr>
                <w:rFonts w:ascii="Arial" w:hAnsi="Arial" w:cs="Arial"/>
                <w:sz w:val="20"/>
                <w:szCs w:val="20"/>
              </w:rPr>
            </w:pPr>
            <w:r>
              <w:rPr>
                <w:rFonts w:ascii="Arial" w:hAnsi="Arial" w:cs="Arial"/>
                <w:sz w:val="20"/>
                <w:szCs w:val="20"/>
              </w:rPr>
              <w:t>I</w:t>
            </w:r>
            <w:r w:rsidR="00E223B5" w:rsidRPr="004D5C46">
              <w:rPr>
                <w:rFonts w:ascii="Arial" w:hAnsi="Arial" w:cs="Arial"/>
                <w:sz w:val="20"/>
                <w:szCs w:val="20"/>
              </w:rPr>
              <w:t>nitial (opioid naïve or pat</w:t>
            </w:r>
            <w:r>
              <w:rPr>
                <w:rFonts w:ascii="Arial" w:hAnsi="Arial" w:cs="Arial"/>
                <w:sz w:val="20"/>
                <w:szCs w:val="20"/>
              </w:rPr>
              <w:t>ients without opioid tolerance):</w:t>
            </w:r>
            <w:r w:rsidR="00E223B5" w:rsidRPr="004D5C46">
              <w:rPr>
                <w:rFonts w:ascii="Arial" w:hAnsi="Arial" w:cs="Arial"/>
                <w:sz w:val="20"/>
                <w:szCs w:val="20"/>
              </w:rPr>
              <w:t xml:space="preserve"> </w:t>
            </w:r>
            <w:r w:rsidR="003C4010">
              <w:rPr>
                <w:rFonts w:ascii="Arial" w:hAnsi="Arial" w:cs="Arial"/>
                <w:sz w:val="20"/>
                <w:szCs w:val="20"/>
              </w:rPr>
              <w:t>50 mg twice daily</w:t>
            </w:r>
          </w:p>
          <w:p w14:paraId="1EDF1BAC" w14:textId="77777777" w:rsidR="00F9017C" w:rsidRDefault="00F9017C" w:rsidP="00F9017C">
            <w:pPr>
              <w:spacing w:after="0" w:line="240" w:lineRule="auto"/>
              <w:rPr>
                <w:rFonts w:ascii="Arial" w:hAnsi="Arial" w:cs="Arial"/>
                <w:sz w:val="20"/>
                <w:szCs w:val="20"/>
              </w:rPr>
            </w:pPr>
          </w:p>
          <w:p w14:paraId="5610461B" w14:textId="2324F805" w:rsidR="00F9017C" w:rsidRDefault="00F9017C" w:rsidP="00F9017C">
            <w:pPr>
              <w:spacing w:after="0" w:line="240" w:lineRule="auto"/>
              <w:rPr>
                <w:rFonts w:ascii="Arial" w:hAnsi="Arial" w:cs="Arial"/>
                <w:sz w:val="20"/>
                <w:szCs w:val="20"/>
              </w:rPr>
            </w:pPr>
            <w:r>
              <w:rPr>
                <w:rFonts w:ascii="Arial" w:hAnsi="Arial" w:cs="Arial"/>
                <w:sz w:val="20"/>
                <w:szCs w:val="20"/>
              </w:rPr>
              <w:t>I</w:t>
            </w:r>
            <w:r w:rsidR="00E223B5">
              <w:rPr>
                <w:rFonts w:ascii="Arial" w:hAnsi="Arial" w:cs="Arial"/>
                <w:sz w:val="20"/>
                <w:szCs w:val="20"/>
              </w:rPr>
              <w:t xml:space="preserve">nitial </w:t>
            </w:r>
            <w:r>
              <w:rPr>
                <w:rFonts w:ascii="Arial" w:hAnsi="Arial" w:cs="Arial"/>
                <w:sz w:val="20"/>
                <w:szCs w:val="20"/>
              </w:rPr>
              <w:t>(conversion from other opioids):</w:t>
            </w:r>
            <w:r w:rsidR="00E223B5">
              <w:rPr>
                <w:rFonts w:ascii="Arial" w:hAnsi="Arial" w:cs="Arial"/>
                <w:sz w:val="20"/>
                <w:szCs w:val="20"/>
              </w:rPr>
              <w:t xml:space="preserve"> </w:t>
            </w:r>
            <w:r w:rsidR="003C4010">
              <w:rPr>
                <w:rFonts w:ascii="Arial" w:hAnsi="Arial" w:cs="Arial"/>
                <w:sz w:val="20"/>
                <w:szCs w:val="20"/>
              </w:rPr>
              <w:t>no established conversion ratios defined by clinical trials</w:t>
            </w:r>
          </w:p>
          <w:p w14:paraId="417FA734" w14:textId="77777777" w:rsidR="00F9017C" w:rsidRDefault="00F9017C" w:rsidP="00F9017C">
            <w:pPr>
              <w:spacing w:after="0" w:line="240" w:lineRule="auto"/>
              <w:rPr>
                <w:rFonts w:ascii="Arial" w:hAnsi="Arial" w:cs="Arial"/>
                <w:sz w:val="20"/>
                <w:szCs w:val="20"/>
              </w:rPr>
            </w:pPr>
          </w:p>
          <w:p w14:paraId="534E4A53" w14:textId="4B78BD89" w:rsidR="00F9017C" w:rsidRDefault="00F9017C" w:rsidP="00F9017C">
            <w:pPr>
              <w:spacing w:after="0" w:line="240" w:lineRule="auto"/>
              <w:rPr>
                <w:rFonts w:ascii="Arial" w:hAnsi="Arial" w:cs="Arial"/>
                <w:sz w:val="20"/>
                <w:szCs w:val="20"/>
              </w:rPr>
            </w:pPr>
            <w:r>
              <w:rPr>
                <w:rFonts w:ascii="Arial" w:hAnsi="Arial" w:cs="Arial"/>
                <w:sz w:val="20"/>
                <w:szCs w:val="20"/>
              </w:rPr>
              <w:t>Maintenance:</w:t>
            </w:r>
            <w:r w:rsidR="00E223B5" w:rsidRPr="004D5C46">
              <w:rPr>
                <w:rFonts w:ascii="Arial" w:hAnsi="Arial" w:cs="Arial"/>
                <w:sz w:val="20"/>
                <w:szCs w:val="20"/>
              </w:rPr>
              <w:t xml:space="preserve"> titrate dose to</w:t>
            </w:r>
            <w:r w:rsidR="003C4010">
              <w:rPr>
                <w:rFonts w:ascii="Arial" w:hAnsi="Arial" w:cs="Arial"/>
                <w:sz w:val="20"/>
                <w:szCs w:val="20"/>
              </w:rPr>
              <w:t xml:space="preserve"> efficacy in increments of 50 mg no more than twice daily every three </w:t>
            </w:r>
            <w:r>
              <w:rPr>
                <w:rFonts w:ascii="Arial" w:hAnsi="Arial" w:cs="Arial"/>
                <w:sz w:val="20"/>
                <w:szCs w:val="20"/>
              </w:rPr>
              <w:t>days as necessary.</w:t>
            </w:r>
          </w:p>
          <w:p w14:paraId="193FFDE8" w14:textId="77777777" w:rsidR="00F9017C" w:rsidRDefault="00F9017C" w:rsidP="00F9017C">
            <w:pPr>
              <w:spacing w:after="0" w:line="240" w:lineRule="auto"/>
              <w:rPr>
                <w:rFonts w:ascii="Arial" w:hAnsi="Arial" w:cs="Arial"/>
                <w:sz w:val="20"/>
                <w:szCs w:val="20"/>
              </w:rPr>
            </w:pPr>
          </w:p>
          <w:p w14:paraId="5C3640D1" w14:textId="77777777" w:rsidR="00E223B5" w:rsidRDefault="00F9017C" w:rsidP="00F9017C">
            <w:pPr>
              <w:spacing w:after="0" w:line="240" w:lineRule="auto"/>
              <w:rPr>
                <w:rFonts w:ascii="Arial" w:hAnsi="Arial" w:cs="Arial"/>
                <w:sz w:val="20"/>
                <w:szCs w:val="20"/>
              </w:rPr>
            </w:pPr>
            <w:r>
              <w:rPr>
                <w:rFonts w:ascii="Arial" w:hAnsi="Arial" w:cs="Arial"/>
                <w:sz w:val="20"/>
                <w:szCs w:val="20"/>
              </w:rPr>
              <w:t>Maximum:</w:t>
            </w:r>
            <w:r w:rsidR="003C4010">
              <w:rPr>
                <w:rFonts w:ascii="Arial" w:hAnsi="Arial" w:cs="Arial"/>
                <w:sz w:val="20"/>
                <w:szCs w:val="20"/>
              </w:rPr>
              <w:t xml:space="preserve"> 250 mg twice daily</w:t>
            </w:r>
          </w:p>
          <w:p w14:paraId="28616925" w14:textId="77777777" w:rsidR="00DA10C5" w:rsidRDefault="00DA10C5" w:rsidP="00F9017C">
            <w:pPr>
              <w:spacing w:after="0" w:line="240" w:lineRule="auto"/>
              <w:rPr>
                <w:rFonts w:ascii="Arial" w:hAnsi="Arial" w:cs="Arial"/>
                <w:sz w:val="20"/>
                <w:szCs w:val="20"/>
              </w:rPr>
            </w:pPr>
          </w:p>
          <w:p w14:paraId="1CBBB3CD" w14:textId="77777777" w:rsidR="00DA10C5" w:rsidRDefault="00DA10C5" w:rsidP="00F9017C">
            <w:pPr>
              <w:spacing w:after="0" w:line="240" w:lineRule="auto"/>
              <w:rPr>
                <w:rFonts w:ascii="Arial" w:hAnsi="Arial" w:cs="Arial"/>
                <w:sz w:val="20"/>
                <w:szCs w:val="20"/>
                <w:u w:val="single"/>
              </w:rPr>
            </w:pPr>
            <w:r>
              <w:rPr>
                <w:rFonts w:ascii="Arial" w:hAnsi="Arial" w:cs="Arial"/>
                <w:sz w:val="20"/>
                <w:szCs w:val="20"/>
                <w:u w:val="single"/>
              </w:rPr>
              <w:t>Neuropathic pain associated with diabetic peripheral neuropathy in adults severe enough to require daily, around-the-clock, long-term opioid treatment and for which alternative treatment options are inadequate:</w:t>
            </w:r>
          </w:p>
          <w:p w14:paraId="1DE388FC" w14:textId="77777777" w:rsidR="00DA10C5" w:rsidRDefault="00DA10C5" w:rsidP="00F9017C">
            <w:pPr>
              <w:spacing w:after="0" w:line="240" w:lineRule="auto"/>
              <w:rPr>
                <w:rFonts w:ascii="Arial" w:hAnsi="Arial" w:cs="Arial"/>
                <w:sz w:val="20"/>
                <w:szCs w:val="20"/>
                <w:u w:val="single"/>
              </w:rPr>
            </w:pPr>
          </w:p>
          <w:p w14:paraId="7EC8FFCB" w14:textId="3D0ADC2D" w:rsidR="00DA10C5" w:rsidRPr="00DA10C5" w:rsidRDefault="00DA10C5" w:rsidP="00F9017C">
            <w:pPr>
              <w:spacing w:after="0" w:line="240" w:lineRule="auto"/>
              <w:rPr>
                <w:rFonts w:ascii="Arial" w:hAnsi="Arial" w:cs="Arial"/>
                <w:sz w:val="20"/>
                <w:szCs w:val="20"/>
              </w:rPr>
            </w:pPr>
            <w:r>
              <w:rPr>
                <w:rFonts w:ascii="Arial" w:hAnsi="Arial" w:cs="Arial"/>
                <w:sz w:val="20"/>
                <w:szCs w:val="20"/>
              </w:rPr>
              <w:t>Same dose recommendations</w:t>
            </w:r>
          </w:p>
        </w:tc>
        <w:tc>
          <w:tcPr>
            <w:tcW w:w="1760" w:type="dxa"/>
          </w:tcPr>
          <w:p w14:paraId="000A0C8E" w14:textId="1D53A007" w:rsidR="00E223B5" w:rsidRPr="0039388F" w:rsidRDefault="00E223B5" w:rsidP="00F9017C">
            <w:pPr>
              <w:pStyle w:val="NoSpacing"/>
              <w:rPr>
                <w:rFonts w:ascii="Arial" w:hAnsi="Arial" w:cs="Arial"/>
                <w:sz w:val="20"/>
                <w:szCs w:val="20"/>
              </w:rPr>
            </w:pPr>
            <w:r w:rsidRPr="0039388F">
              <w:rPr>
                <w:rFonts w:ascii="Arial" w:hAnsi="Arial" w:cs="Arial"/>
                <w:sz w:val="20"/>
                <w:szCs w:val="20"/>
              </w:rPr>
              <w:t>Safety and efficacy in pediatric patients</w:t>
            </w:r>
            <w:r w:rsidR="003C4010">
              <w:rPr>
                <w:rFonts w:ascii="Arial" w:hAnsi="Arial" w:cs="Arial"/>
                <w:sz w:val="20"/>
                <w:szCs w:val="20"/>
              </w:rPr>
              <w:t xml:space="preserve"> less than 18 years of age</w:t>
            </w:r>
            <w:r w:rsidRPr="0039388F">
              <w:rPr>
                <w:rFonts w:ascii="Arial" w:hAnsi="Arial" w:cs="Arial"/>
                <w:sz w:val="20"/>
                <w:szCs w:val="20"/>
              </w:rPr>
              <w:t xml:space="preserve"> have not been established.</w:t>
            </w:r>
          </w:p>
          <w:p w14:paraId="1C90562A" w14:textId="77777777" w:rsidR="00E223B5" w:rsidRPr="0044122B" w:rsidRDefault="00E223B5" w:rsidP="00F9017C">
            <w:pPr>
              <w:pStyle w:val="NoSpacing"/>
              <w:rPr>
                <w:rFonts w:ascii="Arial" w:hAnsi="Arial" w:cs="Arial"/>
                <w:color w:val="0000FF"/>
                <w:sz w:val="20"/>
                <w:szCs w:val="20"/>
              </w:rPr>
            </w:pPr>
          </w:p>
          <w:p w14:paraId="68465409" w14:textId="77777777" w:rsidR="00E223B5" w:rsidRPr="0044122B" w:rsidRDefault="00E223B5" w:rsidP="00F9017C">
            <w:pPr>
              <w:pStyle w:val="NoSpacing"/>
              <w:rPr>
                <w:rFonts w:ascii="Arial" w:hAnsi="Arial" w:cs="Arial"/>
                <w:i/>
                <w:sz w:val="20"/>
                <w:szCs w:val="20"/>
              </w:rPr>
            </w:pPr>
          </w:p>
        </w:tc>
        <w:tc>
          <w:tcPr>
            <w:tcW w:w="2250" w:type="dxa"/>
          </w:tcPr>
          <w:p w14:paraId="0E3868F4" w14:textId="77777777" w:rsidR="00DA10C5" w:rsidRDefault="003C4010" w:rsidP="00F9017C">
            <w:pPr>
              <w:spacing w:after="0" w:line="240" w:lineRule="auto"/>
              <w:rPr>
                <w:rFonts w:ascii="Arial" w:hAnsi="Arial" w:cs="Arial"/>
                <w:sz w:val="20"/>
                <w:szCs w:val="20"/>
              </w:rPr>
            </w:pPr>
            <w:r>
              <w:rPr>
                <w:rFonts w:ascii="Arial" w:hAnsi="Arial" w:cs="Arial"/>
                <w:sz w:val="20"/>
                <w:szCs w:val="20"/>
              </w:rPr>
              <w:t xml:space="preserve">No dose adjustment is recommended in mild or moderate renal impairment. </w:t>
            </w:r>
          </w:p>
          <w:p w14:paraId="34F5377E" w14:textId="77777777" w:rsidR="00DA10C5" w:rsidRDefault="00DA10C5" w:rsidP="00F9017C">
            <w:pPr>
              <w:spacing w:after="0" w:line="240" w:lineRule="auto"/>
              <w:rPr>
                <w:rFonts w:ascii="Arial" w:hAnsi="Arial" w:cs="Arial"/>
                <w:sz w:val="20"/>
                <w:szCs w:val="20"/>
              </w:rPr>
            </w:pPr>
          </w:p>
          <w:p w14:paraId="1BE4A17F" w14:textId="251F1855" w:rsidR="00E223B5" w:rsidRPr="0039388F" w:rsidRDefault="00DA10C5" w:rsidP="00F9017C">
            <w:pPr>
              <w:spacing w:after="0" w:line="240" w:lineRule="auto"/>
              <w:rPr>
                <w:rFonts w:ascii="Arial" w:hAnsi="Arial" w:cs="Arial"/>
                <w:sz w:val="20"/>
                <w:szCs w:val="20"/>
              </w:rPr>
            </w:pPr>
            <w:r>
              <w:rPr>
                <w:rFonts w:ascii="Arial" w:hAnsi="Arial" w:cs="Arial"/>
                <w:sz w:val="20"/>
                <w:szCs w:val="20"/>
              </w:rPr>
              <w:t>Use is not recommended in patients with severe renal impairment.</w:t>
            </w:r>
          </w:p>
        </w:tc>
        <w:tc>
          <w:tcPr>
            <w:tcW w:w="2250" w:type="dxa"/>
          </w:tcPr>
          <w:p w14:paraId="3E5EA29B" w14:textId="77777777" w:rsidR="00E223B5" w:rsidRDefault="00DA10C5" w:rsidP="00DA10C5">
            <w:pPr>
              <w:spacing w:after="0" w:line="240" w:lineRule="auto"/>
              <w:rPr>
                <w:rFonts w:ascii="Arial" w:hAnsi="Arial" w:cs="Arial"/>
                <w:sz w:val="20"/>
                <w:szCs w:val="20"/>
              </w:rPr>
            </w:pPr>
            <w:r>
              <w:rPr>
                <w:rFonts w:ascii="Arial" w:hAnsi="Arial" w:cs="Arial"/>
                <w:sz w:val="20"/>
                <w:szCs w:val="20"/>
              </w:rPr>
              <w:t>No dose adjustment is recommended in mild hepatic impairment.</w:t>
            </w:r>
          </w:p>
          <w:p w14:paraId="07B66657" w14:textId="77777777" w:rsidR="00DA10C5" w:rsidRDefault="00DA10C5" w:rsidP="00DA10C5">
            <w:pPr>
              <w:spacing w:after="0" w:line="240" w:lineRule="auto"/>
              <w:rPr>
                <w:rFonts w:ascii="Arial" w:hAnsi="Arial" w:cs="Arial"/>
                <w:sz w:val="20"/>
                <w:szCs w:val="20"/>
              </w:rPr>
            </w:pPr>
          </w:p>
          <w:p w14:paraId="7B80CE86" w14:textId="77777777" w:rsidR="00DA10C5" w:rsidRDefault="00DA10C5" w:rsidP="00DA10C5">
            <w:pPr>
              <w:spacing w:after="0" w:line="240" w:lineRule="auto"/>
              <w:rPr>
                <w:rFonts w:ascii="Arial" w:hAnsi="Arial" w:cs="Arial"/>
                <w:sz w:val="20"/>
                <w:szCs w:val="20"/>
              </w:rPr>
            </w:pPr>
            <w:r>
              <w:rPr>
                <w:rFonts w:ascii="Arial" w:hAnsi="Arial" w:cs="Arial"/>
                <w:sz w:val="20"/>
                <w:szCs w:val="20"/>
              </w:rPr>
              <w:t>Initiate treatment at 50 mg once daily with a maximum recommended dose of 100 mg per day in moderate hepatic impairment.</w:t>
            </w:r>
          </w:p>
          <w:p w14:paraId="22348856" w14:textId="77777777" w:rsidR="00DA10C5" w:rsidRDefault="00DA10C5" w:rsidP="00DA10C5">
            <w:pPr>
              <w:spacing w:after="0" w:line="240" w:lineRule="auto"/>
              <w:rPr>
                <w:rFonts w:ascii="Arial" w:hAnsi="Arial" w:cs="Arial"/>
                <w:sz w:val="20"/>
                <w:szCs w:val="20"/>
              </w:rPr>
            </w:pPr>
          </w:p>
          <w:p w14:paraId="5CA1E10F" w14:textId="545F0456" w:rsidR="00DA10C5" w:rsidRPr="0039388F" w:rsidRDefault="00DA10C5" w:rsidP="00DA10C5">
            <w:pPr>
              <w:spacing w:after="0" w:line="240" w:lineRule="auto"/>
              <w:rPr>
                <w:rFonts w:ascii="Arial" w:hAnsi="Arial" w:cs="Arial"/>
                <w:sz w:val="20"/>
                <w:szCs w:val="20"/>
              </w:rPr>
            </w:pPr>
            <w:r>
              <w:rPr>
                <w:rFonts w:ascii="Arial" w:hAnsi="Arial" w:cs="Arial"/>
                <w:sz w:val="20"/>
                <w:szCs w:val="20"/>
              </w:rPr>
              <w:t>Use is not recommended in patients with severe hepatic impairment.</w:t>
            </w:r>
          </w:p>
        </w:tc>
      </w:tr>
    </w:tbl>
    <w:p w14:paraId="67F833A7" w14:textId="77777777" w:rsidR="00F865DF" w:rsidRDefault="00F865DF" w:rsidP="004920E8">
      <w:pPr>
        <w:pStyle w:val="BodyTextIndent"/>
        <w:ind w:left="0"/>
        <w:rPr>
          <w:rFonts w:ascii="Arial" w:hAnsi="Arial" w:cs="Arial"/>
          <w:b/>
          <w:i/>
        </w:rPr>
      </w:pPr>
    </w:p>
    <w:p w14:paraId="0F79D73F" w14:textId="3C2C6654" w:rsidR="00020DBE" w:rsidRDefault="00F9017C" w:rsidP="004920E8">
      <w:pPr>
        <w:pStyle w:val="BodyTextIndent"/>
        <w:ind w:left="0"/>
        <w:rPr>
          <w:rFonts w:ascii="Arial" w:hAnsi="Arial" w:cs="Arial"/>
          <w:b/>
          <w:i/>
        </w:rPr>
      </w:pPr>
      <w:r>
        <w:rPr>
          <w:rFonts w:ascii="Arial" w:hAnsi="Arial" w:cs="Arial"/>
          <w:b/>
          <w:i/>
        </w:rPr>
        <w:t>Dosing Considerations</w:t>
      </w:r>
      <w:r w:rsidR="008E4C01">
        <w:rPr>
          <w:rFonts w:ascii="Arial" w:hAnsi="Arial" w:cs="Arial"/>
          <w:b/>
          <w:i/>
          <w:vertAlign w:val="superscript"/>
        </w:rPr>
        <w:t>1</w:t>
      </w:r>
      <w:r>
        <w:rPr>
          <w:rFonts w:ascii="Arial" w:hAnsi="Arial" w:cs="Arial"/>
          <w:b/>
          <w:i/>
        </w:rPr>
        <w:t>:</w:t>
      </w:r>
    </w:p>
    <w:p w14:paraId="45C0D40A" w14:textId="0DB4F6F7" w:rsidR="00F9017C" w:rsidRDefault="003E4DCF" w:rsidP="00F9017C">
      <w:pPr>
        <w:pStyle w:val="BodyTextIndent"/>
        <w:numPr>
          <w:ilvl w:val="0"/>
          <w:numId w:val="22"/>
        </w:numPr>
        <w:rPr>
          <w:rFonts w:ascii="Arial" w:hAnsi="Arial" w:cs="Arial"/>
        </w:rPr>
      </w:pPr>
      <w:r>
        <w:rPr>
          <w:rFonts w:ascii="Arial" w:hAnsi="Arial" w:cs="Arial"/>
        </w:rPr>
        <w:t>Discontinue all other tapentadol and tramadol products when initiating treatment and during treatment with Nucynta ER</w:t>
      </w:r>
      <w:r>
        <w:rPr>
          <w:rFonts w:ascii="Arial" w:hAnsi="Arial" w:cs="Arial"/>
          <w:vertAlign w:val="superscript"/>
        </w:rPr>
        <w:t>®</w:t>
      </w:r>
      <w:r>
        <w:rPr>
          <w:rFonts w:ascii="Arial" w:hAnsi="Arial" w:cs="Arial"/>
        </w:rPr>
        <w:t xml:space="preserve"> (tapentadol extended-release).</w:t>
      </w:r>
    </w:p>
    <w:p w14:paraId="0683EA02" w14:textId="5C3B1CA8" w:rsidR="003E4DCF" w:rsidRDefault="003E4DCF" w:rsidP="00F9017C">
      <w:pPr>
        <w:pStyle w:val="BodyTextIndent"/>
        <w:numPr>
          <w:ilvl w:val="0"/>
          <w:numId w:val="22"/>
        </w:numPr>
        <w:rPr>
          <w:rFonts w:ascii="Arial" w:hAnsi="Arial" w:cs="Arial"/>
        </w:rPr>
      </w:pPr>
      <w:r>
        <w:rPr>
          <w:rFonts w:ascii="Arial" w:hAnsi="Arial" w:cs="Arial"/>
        </w:rPr>
        <w:t>The maximum recommended dose of Nucynta ER</w:t>
      </w:r>
      <w:r>
        <w:rPr>
          <w:rFonts w:ascii="Arial" w:hAnsi="Arial" w:cs="Arial"/>
          <w:vertAlign w:val="superscript"/>
        </w:rPr>
        <w:t>®</w:t>
      </w:r>
      <w:r>
        <w:rPr>
          <w:rFonts w:ascii="Arial" w:hAnsi="Arial" w:cs="Arial"/>
        </w:rPr>
        <w:t xml:space="preserve"> (tapentadol extended-release) is 500 mg per day, which is different from the maximum recommended dose of Nucynta</w:t>
      </w:r>
      <w:r>
        <w:rPr>
          <w:rFonts w:ascii="Arial" w:hAnsi="Arial" w:cs="Arial"/>
          <w:vertAlign w:val="superscript"/>
        </w:rPr>
        <w:t>®</w:t>
      </w:r>
      <w:r>
        <w:rPr>
          <w:rFonts w:ascii="Arial" w:hAnsi="Arial" w:cs="Arial"/>
        </w:rPr>
        <w:t xml:space="preserve"> (tapentadol immediate-release) of 600 mg per day.</w:t>
      </w:r>
    </w:p>
    <w:p w14:paraId="4973D4C1" w14:textId="016AC04C" w:rsidR="00440E4E" w:rsidRDefault="00440E4E" w:rsidP="00F9017C">
      <w:pPr>
        <w:pStyle w:val="BodyTextIndent"/>
        <w:numPr>
          <w:ilvl w:val="0"/>
          <w:numId w:val="22"/>
        </w:numPr>
        <w:rPr>
          <w:rFonts w:ascii="Arial" w:hAnsi="Arial" w:cs="Arial"/>
        </w:rPr>
      </w:pPr>
      <w:r>
        <w:rPr>
          <w:rFonts w:ascii="Arial" w:hAnsi="Arial" w:cs="Arial"/>
        </w:rPr>
        <w:lastRenderedPageBreak/>
        <w:t>Close monitoring is recommended when converting to Nucynta ER</w:t>
      </w:r>
      <w:r>
        <w:rPr>
          <w:rFonts w:ascii="Arial" w:hAnsi="Arial" w:cs="Arial"/>
          <w:vertAlign w:val="superscript"/>
        </w:rPr>
        <w:t>®</w:t>
      </w:r>
      <w:r>
        <w:rPr>
          <w:rFonts w:ascii="Arial" w:hAnsi="Arial" w:cs="Arial"/>
        </w:rPr>
        <w:t xml:space="preserve"> (tapentadol extended-release) from methadone, as methadone has a long half-life and can accumulate in the plasma. </w:t>
      </w:r>
      <w:r w:rsidR="00394296">
        <w:rPr>
          <w:rFonts w:ascii="Arial" w:hAnsi="Arial" w:cs="Arial"/>
        </w:rPr>
        <w:t>The equianalgesic ratio</w:t>
      </w:r>
      <w:r>
        <w:rPr>
          <w:rFonts w:ascii="Arial" w:hAnsi="Arial" w:cs="Arial"/>
        </w:rPr>
        <w:t xml:space="preserve"> between methadone and other opioids may vary widely as a function of previous dose exposure.</w:t>
      </w:r>
    </w:p>
    <w:p w14:paraId="608CE7A0" w14:textId="28416F5C" w:rsidR="00440E4E" w:rsidRDefault="00440E4E" w:rsidP="00F9017C">
      <w:pPr>
        <w:pStyle w:val="BodyTextIndent"/>
        <w:numPr>
          <w:ilvl w:val="0"/>
          <w:numId w:val="22"/>
        </w:numPr>
        <w:rPr>
          <w:rFonts w:ascii="Arial" w:hAnsi="Arial" w:cs="Arial"/>
        </w:rPr>
      </w:pPr>
      <w:r>
        <w:rPr>
          <w:rFonts w:ascii="Arial" w:hAnsi="Arial" w:cs="Arial"/>
        </w:rPr>
        <w:t>Consideration should be given to initiating treatment in elderly patients toward the lower range of recommended doses, as they are more likely to have decreased renal and hepatic function.</w:t>
      </w:r>
    </w:p>
    <w:p w14:paraId="6B89428A" w14:textId="1DAC2366" w:rsidR="00606577" w:rsidRDefault="00606577" w:rsidP="00F9017C">
      <w:pPr>
        <w:pStyle w:val="BodyTextIndent"/>
        <w:numPr>
          <w:ilvl w:val="0"/>
          <w:numId w:val="22"/>
        </w:numPr>
        <w:rPr>
          <w:rFonts w:ascii="Arial" w:hAnsi="Arial" w:cs="Arial"/>
        </w:rPr>
      </w:pPr>
      <w:r>
        <w:rPr>
          <w:rFonts w:ascii="Arial" w:hAnsi="Arial" w:cs="Arial"/>
        </w:rPr>
        <w:t xml:space="preserve">A ratio of 5:1 for </w:t>
      </w:r>
      <w:r w:rsidRPr="00606577">
        <w:rPr>
          <w:rFonts w:ascii="Arial" w:hAnsi="Arial" w:cs="Arial"/>
        </w:rPr>
        <w:t>Nucynta ER</w:t>
      </w:r>
      <w:r w:rsidRPr="00606577">
        <w:rPr>
          <w:rFonts w:ascii="Arial" w:hAnsi="Arial" w:cs="Arial"/>
          <w:vertAlign w:val="superscript"/>
        </w:rPr>
        <w:t>®</w:t>
      </w:r>
      <w:r w:rsidRPr="00606577">
        <w:rPr>
          <w:rFonts w:ascii="Arial" w:hAnsi="Arial" w:cs="Arial"/>
        </w:rPr>
        <w:t xml:space="preserve"> (tapentadol extended-release)</w:t>
      </w:r>
      <w:r w:rsidR="0074360F">
        <w:rPr>
          <w:rFonts w:ascii="Arial" w:hAnsi="Arial" w:cs="Arial"/>
        </w:rPr>
        <w:t>:oxycodone ER has been used in clinical trials as relative equipotent dosing.</w:t>
      </w:r>
      <w:r w:rsidR="0074360F">
        <w:rPr>
          <w:rFonts w:ascii="Arial" w:hAnsi="Arial" w:cs="Arial"/>
          <w:vertAlign w:val="superscript"/>
        </w:rPr>
        <w:t>6,7,10,12,13</w:t>
      </w:r>
    </w:p>
    <w:p w14:paraId="6FD6AFEE" w14:textId="07B03705" w:rsidR="0074360F" w:rsidRDefault="0074360F" w:rsidP="00F9017C">
      <w:pPr>
        <w:pStyle w:val="BodyTextIndent"/>
        <w:numPr>
          <w:ilvl w:val="0"/>
          <w:numId w:val="22"/>
        </w:numPr>
        <w:rPr>
          <w:rFonts w:ascii="Arial" w:hAnsi="Arial" w:cs="Arial"/>
        </w:rPr>
      </w:pPr>
      <w:r>
        <w:rPr>
          <w:rFonts w:ascii="Arial" w:hAnsi="Arial" w:cs="Arial"/>
        </w:rPr>
        <w:t>A ratio of 10:3 for Nucynta ER</w:t>
      </w:r>
      <w:r>
        <w:rPr>
          <w:rFonts w:ascii="Arial" w:hAnsi="Arial" w:cs="Arial"/>
          <w:vertAlign w:val="superscript"/>
        </w:rPr>
        <w:t>®</w:t>
      </w:r>
      <w:r>
        <w:rPr>
          <w:rFonts w:ascii="Arial" w:hAnsi="Arial" w:cs="Arial"/>
        </w:rPr>
        <w:t xml:space="preserve"> (tapentadol extended-release):morphine ER has been used in a clinical trial as relative equipotent dosing.</w:t>
      </w:r>
      <w:r>
        <w:rPr>
          <w:rFonts w:ascii="Arial" w:hAnsi="Arial" w:cs="Arial"/>
          <w:vertAlign w:val="superscript"/>
        </w:rPr>
        <w:t>13</w:t>
      </w:r>
    </w:p>
    <w:p w14:paraId="0E3B7E7B" w14:textId="43B6DEEF" w:rsidR="0074360F" w:rsidRDefault="0074360F" w:rsidP="00F9017C">
      <w:pPr>
        <w:pStyle w:val="BodyTextIndent"/>
        <w:numPr>
          <w:ilvl w:val="0"/>
          <w:numId w:val="22"/>
        </w:numPr>
        <w:rPr>
          <w:rFonts w:ascii="Arial" w:hAnsi="Arial" w:cs="Arial"/>
        </w:rPr>
      </w:pPr>
      <w:r>
        <w:rPr>
          <w:rFonts w:ascii="Arial" w:hAnsi="Arial" w:cs="Arial"/>
        </w:rPr>
        <w:t>A ratio of 10:0.03 for Nucynta ER</w:t>
      </w:r>
      <w:r>
        <w:rPr>
          <w:rFonts w:ascii="Arial" w:hAnsi="Arial" w:cs="Arial"/>
          <w:vertAlign w:val="superscript"/>
        </w:rPr>
        <w:t>®</w:t>
      </w:r>
      <w:r>
        <w:rPr>
          <w:rFonts w:ascii="Arial" w:hAnsi="Arial" w:cs="Arial"/>
        </w:rPr>
        <w:t xml:space="preserve"> (tapentadol extended-release):fentanyl has been used in a clinical trial as relative equipotent dosing; however, this trial was conducted in Japan where a different formulation of fentanyl transdermal patch is available compared to the United States.</w:t>
      </w:r>
      <w:r>
        <w:rPr>
          <w:rFonts w:ascii="Arial" w:hAnsi="Arial" w:cs="Arial"/>
          <w:vertAlign w:val="superscript"/>
        </w:rPr>
        <w:t>13</w:t>
      </w:r>
    </w:p>
    <w:p w14:paraId="73E7166B" w14:textId="77777777" w:rsidR="003C4010" w:rsidRPr="00F9017C" w:rsidRDefault="003C4010" w:rsidP="003C4010">
      <w:pPr>
        <w:pStyle w:val="BodyTextIndent"/>
        <w:ind w:left="0"/>
        <w:rPr>
          <w:rFonts w:ascii="Arial" w:hAnsi="Arial" w:cs="Arial"/>
        </w:rPr>
      </w:pPr>
    </w:p>
    <w:bookmarkEnd w:id="1"/>
    <w:p w14:paraId="1DB33103" w14:textId="16140CE0" w:rsidR="001C2825" w:rsidRPr="0044122B" w:rsidRDefault="00AE5B18" w:rsidP="004920E8">
      <w:pPr>
        <w:pStyle w:val="BodyTextIndent"/>
        <w:ind w:left="0"/>
        <w:rPr>
          <w:rFonts w:ascii="Arial" w:hAnsi="Arial" w:cs="Arial"/>
          <w:b/>
          <w:u w:val="single"/>
        </w:rPr>
      </w:pPr>
      <w:r>
        <w:rPr>
          <w:rFonts w:ascii="Arial" w:hAnsi="Arial" w:cs="Arial"/>
          <w:b/>
          <w:u w:val="single"/>
        </w:rPr>
        <w:t>Precautions</w:t>
      </w:r>
    </w:p>
    <w:p w14:paraId="426E04C8" w14:textId="77777777" w:rsidR="005D585F" w:rsidRDefault="005D585F" w:rsidP="005D585F">
      <w:pPr>
        <w:pStyle w:val="NoSpacing"/>
        <w:rPr>
          <w:rFonts w:ascii="Arial" w:hAnsi="Arial" w:cs="Arial"/>
          <w:b/>
          <w:sz w:val="20"/>
          <w:szCs w:val="20"/>
        </w:rPr>
      </w:pPr>
    </w:p>
    <w:p w14:paraId="26BA586B" w14:textId="186378EC" w:rsidR="005D585F" w:rsidRPr="00385781" w:rsidRDefault="00621DDD" w:rsidP="005D585F">
      <w:pPr>
        <w:pStyle w:val="NoSpacing"/>
        <w:rPr>
          <w:rFonts w:ascii="Arial" w:hAnsi="Arial" w:cs="Arial"/>
          <w:b/>
          <w:sz w:val="20"/>
          <w:szCs w:val="20"/>
          <w:vertAlign w:val="superscript"/>
        </w:rPr>
      </w:pPr>
      <w:r>
        <w:rPr>
          <w:rFonts w:ascii="Arial" w:hAnsi="Arial" w:cs="Arial"/>
          <w:b/>
          <w:sz w:val="20"/>
          <w:szCs w:val="20"/>
        </w:rPr>
        <w:t>Boxed Warning for Nucynta</w:t>
      </w:r>
      <w:r w:rsidR="005D585F">
        <w:rPr>
          <w:rFonts w:ascii="Arial" w:hAnsi="Arial" w:cs="Arial"/>
          <w:b/>
          <w:sz w:val="20"/>
          <w:szCs w:val="20"/>
        </w:rPr>
        <w:t xml:space="preserve"> ER</w:t>
      </w:r>
      <w:r w:rsidR="005D585F">
        <w:rPr>
          <w:rFonts w:ascii="Arial" w:hAnsi="Arial" w:cs="Arial"/>
          <w:b/>
          <w:sz w:val="20"/>
          <w:szCs w:val="20"/>
          <w:vertAlign w:val="superscript"/>
        </w:rPr>
        <w:t>®</w:t>
      </w:r>
      <w:r>
        <w:rPr>
          <w:rFonts w:ascii="Arial" w:hAnsi="Arial" w:cs="Arial"/>
          <w:b/>
          <w:sz w:val="20"/>
          <w:szCs w:val="20"/>
        </w:rPr>
        <w:t xml:space="preserve"> (tapentadol</w:t>
      </w:r>
      <w:r w:rsidR="005D585F">
        <w:rPr>
          <w:rFonts w:ascii="Arial" w:hAnsi="Arial" w:cs="Arial"/>
          <w:b/>
          <w:sz w:val="20"/>
          <w:szCs w:val="20"/>
        </w:rPr>
        <w:t xml:space="preserve"> extended-release</w:t>
      </w:r>
      <w:proofErr w:type="gramStart"/>
      <w:r w:rsidR="005D585F" w:rsidRPr="00B5437C">
        <w:rPr>
          <w:rFonts w:ascii="Arial" w:hAnsi="Arial" w:cs="Arial"/>
          <w:b/>
          <w:sz w:val="20"/>
          <w:szCs w:val="20"/>
        </w:rPr>
        <w:t>)</w:t>
      </w:r>
      <w:r w:rsidR="005D585F">
        <w:rPr>
          <w:rFonts w:ascii="Arial" w:hAnsi="Arial" w:cs="Arial"/>
          <w:b/>
          <w:sz w:val="20"/>
          <w:szCs w:val="20"/>
          <w:vertAlign w:val="superscript"/>
        </w:rPr>
        <w:t>1</w:t>
      </w:r>
      <w:proofErr w:type="gramEnd"/>
    </w:p>
    <w:tbl>
      <w:tblPr>
        <w:tblW w:w="9460" w:type="dxa"/>
        <w:tblInd w:w="115" w:type="dxa"/>
        <w:tblLayout w:type="fixed"/>
        <w:tblCellMar>
          <w:left w:w="115" w:type="dxa"/>
          <w:right w:w="115" w:type="dxa"/>
        </w:tblCellMar>
        <w:tblLook w:val="0000" w:firstRow="0" w:lastRow="0" w:firstColumn="0" w:lastColumn="0" w:noHBand="0" w:noVBand="0"/>
      </w:tblPr>
      <w:tblGrid>
        <w:gridCol w:w="9460"/>
      </w:tblGrid>
      <w:tr w:rsidR="00621DDD" w:rsidRPr="00621DDD" w14:paraId="4D2A8F02" w14:textId="77777777" w:rsidTr="00A77F90">
        <w:trPr>
          <w:tblHeader/>
        </w:trPr>
        <w:tc>
          <w:tcPr>
            <w:tcW w:w="9460" w:type="dxa"/>
            <w:tcBorders>
              <w:top w:val="single" w:sz="18" w:space="0" w:color="auto"/>
              <w:left w:val="single" w:sz="18" w:space="0" w:color="auto"/>
              <w:bottom w:val="single" w:sz="18" w:space="0" w:color="auto"/>
              <w:right w:val="single" w:sz="18" w:space="0" w:color="auto"/>
            </w:tcBorders>
          </w:tcPr>
          <w:p w14:paraId="3AE0625E" w14:textId="77777777" w:rsidR="00621DDD" w:rsidRPr="00621DDD" w:rsidRDefault="00621DDD" w:rsidP="00621DDD">
            <w:pPr>
              <w:spacing w:after="0" w:line="240" w:lineRule="auto"/>
              <w:jc w:val="center"/>
              <w:rPr>
                <w:rFonts w:ascii="Arial" w:hAnsi="Arial" w:cs="Arial"/>
                <w:b/>
                <w:sz w:val="20"/>
                <w:szCs w:val="20"/>
              </w:rPr>
            </w:pPr>
            <w:r w:rsidRPr="00621DDD">
              <w:rPr>
                <w:rFonts w:ascii="Arial" w:hAnsi="Arial" w:cs="Arial"/>
                <w:b/>
                <w:sz w:val="20"/>
                <w:szCs w:val="20"/>
              </w:rPr>
              <w:t>WARNING</w:t>
            </w:r>
          </w:p>
        </w:tc>
      </w:tr>
      <w:tr w:rsidR="00621DDD" w:rsidRPr="00621DDD" w14:paraId="29312D7D" w14:textId="77777777" w:rsidTr="00A77F90">
        <w:tc>
          <w:tcPr>
            <w:tcW w:w="9460" w:type="dxa"/>
            <w:tcBorders>
              <w:top w:val="nil"/>
              <w:left w:val="single" w:sz="18" w:space="0" w:color="auto"/>
              <w:bottom w:val="single" w:sz="18" w:space="0" w:color="auto"/>
              <w:right w:val="single" w:sz="18" w:space="0" w:color="auto"/>
            </w:tcBorders>
          </w:tcPr>
          <w:p w14:paraId="74BD2EEB"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r w:rsidRPr="00621DDD">
              <w:rPr>
                <w:rFonts w:ascii="Arial" w:eastAsia="MyriadPro-BoldCond" w:hAnsi="Arial" w:cs="Arial"/>
                <w:bCs/>
                <w:sz w:val="20"/>
                <w:szCs w:val="20"/>
                <w:u w:val="single"/>
              </w:rPr>
              <w:t>Addiction, Abuse, and Misuse</w:t>
            </w:r>
          </w:p>
          <w:p w14:paraId="18BDDC7E" w14:textId="60576728" w:rsidR="00621DDD" w:rsidRPr="00621DDD" w:rsidRDefault="001733BF" w:rsidP="00621DDD">
            <w:pPr>
              <w:autoSpaceDE w:val="0"/>
              <w:autoSpaceDN w:val="0"/>
              <w:adjustRightInd w:val="0"/>
              <w:spacing w:after="0" w:line="240" w:lineRule="auto"/>
              <w:rPr>
                <w:rFonts w:ascii="Arial" w:eastAsia="MyriadPro-BoldCond" w:hAnsi="Arial" w:cs="Arial"/>
                <w:bCs/>
                <w:sz w:val="20"/>
                <w:szCs w:val="20"/>
              </w:rPr>
            </w:pP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00621DDD" w:rsidRPr="00621DDD">
              <w:rPr>
                <w:rFonts w:ascii="Arial" w:hAnsi="Arial" w:cs="Arial"/>
                <w:sz w:val="20"/>
                <w:szCs w:val="20"/>
              </w:rPr>
              <w:t xml:space="preserve">) </w:t>
            </w:r>
            <w:r w:rsidR="00621DDD" w:rsidRPr="00621DDD">
              <w:rPr>
                <w:rFonts w:ascii="Arial" w:eastAsia="MyriadPro-BoldCond" w:hAnsi="Arial" w:cs="Arial"/>
                <w:bCs/>
                <w:sz w:val="20"/>
                <w:szCs w:val="20"/>
              </w:rPr>
              <w:t xml:space="preserve">exposes patients and other users to the risks of opioid addiction, abuse, and misuse, which can lead to overdose and death. Assess each patient's risk prior to prescribing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00621DDD" w:rsidRPr="00621DDD">
              <w:rPr>
                <w:rFonts w:ascii="Arial" w:hAnsi="Arial" w:cs="Arial"/>
                <w:sz w:val="20"/>
                <w:szCs w:val="20"/>
              </w:rPr>
              <w:t xml:space="preserve">), </w:t>
            </w:r>
            <w:r w:rsidR="00621DDD" w:rsidRPr="00621DDD">
              <w:rPr>
                <w:rFonts w:ascii="Arial" w:eastAsia="MyriadPro-BoldCond" w:hAnsi="Arial" w:cs="Arial"/>
                <w:bCs/>
                <w:sz w:val="20"/>
                <w:szCs w:val="20"/>
              </w:rPr>
              <w:t xml:space="preserve">and monitor all patients regularly for the development of these behaviors or conditions. </w:t>
            </w:r>
          </w:p>
          <w:p w14:paraId="46C08FA3"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p>
          <w:p w14:paraId="64532D17"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r w:rsidRPr="00621DDD">
              <w:rPr>
                <w:rFonts w:ascii="Arial" w:eastAsia="MyriadPro-BoldCond" w:hAnsi="Arial" w:cs="Arial"/>
                <w:bCs/>
                <w:sz w:val="20"/>
                <w:szCs w:val="20"/>
                <w:u w:val="single"/>
              </w:rPr>
              <w:t>Life-threatening Respiratory Depression</w:t>
            </w:r>
          </w:p>
          <w:p w14:paraId="65F5B321" w14:textId="72B98539" w:rsidR="00621DDD" w:rsidRPr="00621DDD" w:rsidRDefault="00621DDD" w:rsidP="00621DDD">
            <w:pPr>
              <w:autoSpaceDE w:val="0"/>
              <w:autoSpaceDN w:val="0"/>
              <w:adjustRightInd w:val="0"/>
              <w:spacing w:after="0" w:line="240" w:lineRule="auto"/>
              <w:ind w:right="-15"/>
              <w:rPr>
                <w:rFonts w:ascii="Arial" w:eastAsia="MyriadPro-BoldCond" w:hAnsi="Arial" w:cs="Arial"/>
                <w:bCs/>
                <w:sz w:val="20"/>
                <w:szCs w:val="20"/>
              </w:rPr>
            </w:pPr>
            <w:r w:rsidRPr="00621DDD">
              <w:rPr>
                <w:rFonts w:ascii="Arial" w:eastAsia="MyriadPro-BoldCond" w:hAnsi="Arial" w:cs="Arial"/>
                <w:bCs/>
                <w:sz w:val="20"/>
                <w:szCs w:val="20"/>
              </w:rPr>
              <w:t xml:space="preserve">Serious, life-threatening, or fatal respiratory depression may occur with use of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621DDD">
              <w:rPr>
                <w:rFonts w:ascii="Arial" w:hAnsi="Arial" w:cs="Arial"/>
                <w:sz w:val="20"/>
                <w:szCs w:val="20"/>
              </w:rPr>
              <w:t>).</w:t>
            </w:r>
            <w:r w:rsidRPr="00621DDD">
              <w:rPr>
                <w:rFonts w:ascii="Arial" w:eastAsia="MyriadPro-BoldCond" w:hAnsi="Arial" w:cs="Arial"/>
                <w:bCs/>
                <w:sz w:val="20"/>
                <w:szCs w:val="20"/>
              </w:rPr>
              <w:t xml:space="preserve"> Monitor for respiratory depression, especially during initiation of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621DDD">
              <w:rPr>
                <w:rFonts w:ascii="Arial" w:hAnsi="Arial" w:cs="Arial"/>
                <w:sz w:val="20"/>
                <w:szCs w:val="20"/>
              </w:rPr>
              <w:t xml:space="preserve">) </w:t>
            </w:r>
            <w:r w:rsidRPr="00621DDD">
              <w:rPr>
                <w:rFonts w:ascii="Arial" w:eastAsia="MyriadPro-BoldCond" w:hAnsi="Arial" w:cs="Arial"/>
                <w:bCs/>
                <w:sz w:val="20"/>
                <w:szCs w:val="20"/>
              </w:rPr>
              <w:t xml:space="preserve">or following a dose increase. Instruct patients to swallow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621DDD">
              <w:rPr>
                <w:rFonts w:ascii="Arial" w:hAnsi="Arial" w:cs="Arial"/>
                <w:sz w:val="20"/>
                <w:szCs w:val="20"/>
              </w:rPr>
              <w:t>) tablets</w:t>
            </w:r>
            <w:r w:rsidRPr="00621DDD">
              <w:rPr>
                <w:rFonts w:ascii="Arial" w:eastAsia="MyriadPro-BoldCond" w:hAnsi="Arial" w:cs="Arial"/>
                <w:bCs/>
                <w:sz w:val="20"/>
                <w:szCs w:val="20"/>
              </w:rPr>
              <w:t xml:space="preserve"> whole; crushing, chewing, or dissolving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621DDD">
              <w:rPr>
                <w:rFonts w:ascii="Arial" w:hAnsi="Arial" w:cs="Arial"/>
                <w:sz w:val="20"/>
                <w:szCs w:val="20"/>
              </w:rPr>
              <w:t xml:space="preserve">) </w:t>
            </w:r>
            <w:r w:rsidRPr="00621DDD">
              <w:rPr>
                <w:rFonts w:ascii="Arial" w:eastAsia="MyriadPro-BoldCond" w:hAnsi="Arial" w:cs="Arial"/>
                <w:bCs/>
                <w:sz w:val="20"/>
                <w:szCs w:val="20"/>
              </w:rPr>
              <w:t xml:space="preserve">can cause rapid release and absorption of a potentially fatal dose of tapentadol. </w:t>
            </w:r>
          </w:p>
          <w:p w14:paraId="1DE5E8C9"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p>
          <w:p w14:paraId="18201ACC"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r w:rsidRPr="00621DDD">
              <w:rPr>
                <w:rFonts w:ascii="Arial" w:eastAsia="MyriadPro-BoldCond" w:hAnsi="Arial" w:cs="Arial"/>
                <w:bCs/>
                <w:sz w:val="20"/>
                <w:szCs w:val="20"/>
                <w:u w:val="single"/>
              </w:rPr>
              <w:t>Accidental Ingestion</w:t>
            </w:r>
          </w:p>
          <w:p w14:paraId="22B0CB4B" w14:textId="213D2B4B" w:rsidR="00621DDD" w:rsidRPr="00621DDD" w:rsidRDefault="00621DDD" w:rsidP="00621DDD">
            <w:pPr>
              <w:autoSpaceDE w:val="0"/>
              <w:autoSpaceDN w:val="0"/>
              <w:adjustRightInd w:val="0"/>
              <w:spacing w:after="0" w:line="240" w:lineRule="auto"/>
              <w:rPr>
                <w:rFonts w:ascii="Arial" w:eastAsia="MyriadPro-BoldCond" w:hAnsi="Arial" w:cs="Arial"/>
                <w:bCs/>
                <w:sz w:val="20"/>
                <w:szCs w:val="20"/>
              </w:rPr>
            </w:pPr>
            <w:r w:rsidRPr="00621DDD">
              <w:rPr>
                <w:rFonts w:ascii="Arial" w:eastAsia="MyriadPro-BoldCond" w:hAnsi="Arial" w:cs="Arial"/>
                <w:bCs/>
                <w:sz w:val="20"/>
                <w:szCs w:val="20"/>
              </w:rPr>
              <w:t xml:space="preserve">Accidental ingestion of even one dose of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621DDD">
              <w:rPr>
                <w:rFonts w:ascii="Arial" w:hAnsi="Arial" w:cs="Arial"/>
                <w:sz w:val="20"/>
                <w:szCs w:val="20"/>
              </w:rPr>
              <w:t>)</w:t>
            </w:r>
            <w:r w:rsidRPr="00621DDD">
              <w:rPr>
                <w:rFonts w:ascii="Arial" w:eastAsia="MyriadPro-BoldCond" w:hAnsi="Arial" w:cs="Arial"/>
                <w:bCs/>
                <w:sz w:val="20"/>
                <w:szCs w:val="20"/>
              </w:rPr>
              <w:t xml:space="preserve">, especially by children, can result in a fatal overdose of tapentadol. </w:t>
            </w:r>
          </w:p>
          <w:p w14:paraId="7373C526"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p>
          <w:p w14:paraId="3B5F38E4"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r w:rsidRPr="00621DDD">
              <w:rPr>
                <w:rFonts w:ascii="Arial" w:eastAsia="MyriadPro-BoldCond" w:hAnsi="Arial" w:cs="Arial"/>
                <w:bCs/>
                <w:sz w:val="20"/>
                <w:szCs w:val="20"/>
                <w:u w:val="single"/>
              </w:rPr>
              <w:t>Neonatal Opioid Withdrawal Syndrome</w:t>
            </w:r>
          </w:p>
          <w:p w14:paraId="4F1666DB" w14:textId="488EA9C1" w:rsidR="00621DDD" w:rsidRPr="00621DDD" w:rsidRDefault="00621DDD" w:rsidP="00621DDD">
            <w:pPr>
              <w:autoSpaceDE w:val="0"/>
              <w:autoSpaceDN w:val="0"/>
              <w:adjustRightInd w:val="0"/>
              <w:spacing w:after="0" w:line="240" w:lineRule="auto"/>
              <w:rPr>
                <w:rFonts w:ascii="Arial" w:eastAsia="MyriadPro-BoldCond" w:hAnsi="Arial" w:cs="Arial"/>
                <w:bCs/>
                <w:sz w:val="20"/>
                <w:szCs w:val="20"/>
              </w:rPr>
            </w:pPr>
            <w:r w:rsidRPr="00621DDD">
              <w:rPr>
                <w:rFonts w:ascii="Arial" w:eastAsia="MyriadPro-BoldCond" w:hAnsi="Arial" w:cs="Arial"/>
                <w:bCs/>
                <w:sz w:val="20"/>
                <w:szCs w:val="20"/>
              </w:rPr>
              <w:t xml:space="preserve">Prolonged use of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621DDD">
              <w:rPr>
                <w:rFonts w:ascii="Arial" w:hAnsi="Arial" w:cs="Arial"/>
                <w:sz w:val="20"/>
                <w:szCs w:val="20"/>
              </w:rPr>
              <w:t xml:space="preserve">) </w:t>
            </w:r>
            <w:r w:rsidRPr="00621DDD">
              <w:rPr>
                <w:rFonts w:ascii="Arial" w:eastAsia="MyriadPro-BoldCond" w:hAnsi="Arial" w:cs="Arial"/>
                <w:bCs/>
                <w:sz w:val="20"/>
                <w:szCs w:val="20"/>
              </w:rPr>
              <w:t>during pregnancy can result in neonatal opioid withdrawal syndrome, which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p w14:paraId="2974CC35"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p>
          <w:p w14:paraId="00CACF45" w14:textId="77777777" w:rsidR="00621DDD" w:rsidRPr="00621DDD" w:rsidRDefault="00621DDD" w:rsidP="00621DDD">
            <w:pPr>
              <w:autoSpaceDE w:val="0"/>
              <w:autoSpaceDN w:val="0"/>
              <w:adjustRightInd w:val="0"/>
              <w:spacing w:after="0" w:line="240" w:lineRule="auto"/>
              <w:rPr>
                <w:rFonts w:ascii="Arial" w:eastAsia="MyriadPro-BoldCond" w:hAnsi="Arial" w:cs="Arial"/>
                <w:bCs/>
                <w:sz w:val="20"/>
                <w:szCs w:val="20"/>
                <w:u w:val="single"/>
              </w:rPr>
            </w:pPr>
            <w:r w:rsidRPr="00621DDD">
              <w:rPr>
                <w:rFonts w:ascii="Arial" w:eastAsia="MyriadPro-BoldCond" w:hAnsi="Arial" w:cs="Arial"/>
                <w:bCs/>
                <w:sz w:val="20"/>
                <w:szCs w:val="20"/>
                <w:u w:val="single"/>
              </w:rPr>
              <w:t>Interaction with Alcohol</w:t>
            </w:r>
          </w:p>
          <w:p w14:paraId="7F7E3E83" w14:textId="56494E4E" w:rsidR="00621DDD" w:rsidRPr="00621DDD" w:rsidRDefault="00621DDD" w:rsidP="00621DDD">
            <w:pPr>
              <w:spacing w:after="0" w:line="240" w:lineRule="auto"/>
              <w:rPr>
                <w:rFonts w:ascii="Arial" w:hAnsi="Arial" w:cs="Arial"/>
                <w:sz w:val="20"/>
                <w:szCs w:val="20"/>
              </w:rPr>
            </w:pPr>
            <w:r w:rsidRPr="00621DDD">
              <w:rPr>
                <w:rFonts w:ascii="Arial" w:eastAsia="MyriadPro-BoldCond" w:hAnsi="Arial" w:cs="Arial"/>
                <w:bCs/>
                <w:sz w:val="20"/>
                <w:szCs w:val="20"/>
              </w:rPr>
              <w:t xml:space="preserve">Instruct patients not to consume alcoholic beverages or use prescription or non-prescription products that contain alcohol while taking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621DDD">
              <w:rPr>
                <w:rFonts w:ascii="Arial" w:hAnsi="Arial" w:cs="Arial"/>
                <w:sz w:val="20"/>
                <w:szCs w:val="20"/>
              </w:rPr>
              <w:t>).</w:t>
            </w:r>
            <w:r w:rsidRPr="00621DDD">
              <w:rPr>
                <w:rFonts w:ascii="Arial" w:eastAsia="MyriadPro-BoldCond" w:hAnsi="Arial" w:cs="Arial"/>
                <w:bCs/>
                <w:sz w:val="20"/>
                <w:szCs w:val="20"/>
              </w:rPr>
              <w:t xml:space="preserve"> The co-ingestion of alcohol with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621DDD">
              <w:rPr>
                <w:rFonts w:ascii="Arial" w:hAnsi="Arial" w:cs="Arial"/>
                <w:sz w:val="20"/>
                <w:szCs w:val="20"/>
              </w:rPr>
              <w:t xml:space="preserve">) </w:t>
            </w:r>
            <w:r w:rsidRPr="00621DDD">
              <w:rPr>
                <w:rFonts w:ascii="Arial" w:eastAsia="MyriadPro-BoldCond" w:hAnsi="Arial" w:cs="Arial"/>
                <w:bCs/>
                <w:sz w:val="20"/>
                <w:szCs w:val="20"/>
              </w:rPr>
              <w:t xml:space="preserve">may result in increased plasma tapentadol levels and a potentially fatal overdose of tapentadol. </w:t>
            </w:r>
          </w:p>
        </w:tc>
      </w:tr>
    </w:tbl>
    <w:p w14:paraId="7E6BF06A" w14:textId="77777777" w:rsidR="0096691E" w:rsidRPr="0044122B" w:rsidRDefault="0096691E" w:rsidP="005960E0">
      <w:pPr>
        <w:pStyle w:val="NoSpacing"/>
        <w:rPr>
          <w:rFonts w:ascii="Arial" w:hAnsi="Arial" w:cs="Arial"/>
          <w:b/>
          <w:sz w:val="20"/>
          <w:szCs w:val="20"/>
        </w:rPr>
      </w:pPr>
    </w:p>
    <w:p w14:paraId="2E88D4BE" w14:textId="032E278F" w:rsidR="005D585F" w:rsidRPr="00790792" w:rsidRDefault="00396C34" w:rsidP="005D585F">
      <w:pPr>
        <w:pStyle w:val="NoSpacing"/>
        <w:rPr>
          <w:rFonts w:ascii="Arial" w:hAnsi="Arial" w:cs="Arial"/>
          <w:b/>
          <w:sz w:val="20"/>
          <w:szCs w:val="20"/>
          <w:vertAlign w:val="superscript"/>
        </w:rPr>
      </w:pPr>
      <w:r>
        <w:rPr>
          <w:rFonts w:ascii="Arial" w:hAnsi="Arial" w:cs="Arial"/>
          <w:b/>
          <w:sz w:val="20"/>
          <w:szCs w:val="20"/>
        </w:rPr>
        <w:t xml:space="preserve">Table </w:t>
      </w:r>
      <w:r w:rsidR="00364EDE">
        <w:rPr>
          <w:rFonts w:ascii="Arial" w:hAnsi="Arial" w:cs="Arial"/>
          <w:b/>
          <w:sz w:val="20"/>
          <w:szCs w:val="20"/>
        </w:rPr>
        <w:t>8</w:t>
      </w:r>
      <w:r w:rsidR="005D585F">
        <w:rPr>
          <w:rFonts w:ascii="Arial" w:hAnsi="Arial" w:cs="Arial"/>
          <w:b/>
          <w:sz w:val="20"/>
          <w:szCs w:val="20"/>
        </w:rPr>
        <w:t>. Warnings/Precautions</w:t>
      </w:r>
      <w:r w:rsidR="001F1A7E">
        <w:rPr>
          <w:rFonts w:ascii="Arial" w:hAnsi="Arial" w:cs="Arial"/>
          <w:b/>
          <w:sz w:val="20"/>
          <w:szCs w:val="20"/>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7578"/>
      </w:tblGrid>
      <w:tr w:rsidR="001733BF" w:rsidRPr="00621DDD" w14:paraId="78E031ED" w14:textId="77777777" w:rsidTr="00A77F90">
        <w:tc>
          <w:tcPr>
            <w:tcW w:w="1890" w:type="dxa"/>
            <w:vMerge w:val="restart"/>
            <w:shd w:val="clear" w:color="auto" w:fill="BFBFBF" w:themeFill="background1" w:themeFillShade="BF"/>
          </w:tcPr>
          <w:p w14:paraId="26C313F2" w14:textId="77777777" w:rsidR="001733BF" w:rsidRPr="001733BF" w:rsidRDefault="001733BF" w:rsidP="001733BF">
            <w:pPr>
              <w:spacing w:after="0" w:line="240" w:lineRule="auto"/>
              <w:rPr>
                <w:rFonts w:ascii="Arial" w:hAnsi="Arial" w:cs="Arial"/>
                <w:b/>
                <w:sz w:val="20"/>
                <w:szCs w:val="20"/>
              </w:rPr>
            </w:pPr>
            <w:r w:rsidRPr="001733BF">
              <w:rPr>
                <w:rFonts w:ascii="Arial" w:hAnsi="Arial" w:cs="Arial"/>
                <w:b/>
                <w:sz w:val="20"/>
                <w:szCs w:val="20"/>
              </w:rPr>
              <w:t>Warnings/</w:t>
            </w:r>
          </w:p>
          <w:p w14:paraId="24E0F146" w14:textId="77777777" w:rsidR="001733BF" w:rsidRPr="001733BF" w:rsidRDefault="001733BF" w:rsidP="001733BF">
            <w:pPr>
              <w:spacing w:after="0" w:line="240" w:lineRule="auto"/>
              <w:rPr>
                <w:rFonts w:ascii="Arial" w:hAnsi="Arial" w:cs="Arial"/>
                <w:b/>
                <w:sz w:val="20"/>
                <w:szCs w:val="20"/>
              </w:rPr>
            </w:pPr>
            <w:r w:rsidRPr="001733BF">
              <w:rPr>
                <w:rFonts w:ascii="Arial" w:hAnsi="Arial" w:cs="Arial"/>
                <w:b/>
                <w:sz w:val="20"/>
                <w:szCs w:val="20"/>
              </w:rPr>
              <w:t>Precautions</w:t>
            </w:r>
          </w:p>
          <w:p w14:paraId="6E318A03" w14:textId="08A61EBF" w:rsidR="001733BF" w:rsidRPr="00621DDD" w:rsidRDefault="001733BF" w:rsidP="00621DDD">
            <w:pPr>
              <w:spacing w:after="0" w:line="240" w:lineRule="auto"/>
              <w:rPr>
                <w:rFonts w:ascii="Arial" w:hAnsi="Arial" w:cs="Arial"/>
                <w:sz w:val="20"/>
                <w:szCs w:val="20"/>
              </w:rPr>
            </w:pPr>
          </w:p>
        </w:tc>
        <w:tc>
          <w:tcPr>
            <w:tcW w:w="7578" w:type="dxa"/>
          </w:tcPr>
          <w:p w14:paraId="7D888195" w14:textId="10FBFCF3" w:rsidR="001733BF" w:rsidRPr="00621DDD" w:rsidRDefault="001733BF" w:rsidP="00621DDD">
            <w:pPr>
              <w:spacing w:after="0" w:line="240" w:lineRule="auto"/>
              <w:rPr>
                <w:rFonts w:ascii="Arial" w:hAnsi="Arial" w:cs="Arial"/>
                <w:sz w:val="20"/>
                <w:szCs w:val="20"/>
              </w:rPr>
            </w:pPr>
            <w:r w:rsidRPr="00621DDD">
              <w:rPr>
                <w:rFonts w:ascii="Arial" w:hAnsi="Arial" w:cs="Arial"/>
                <w:sz w:val="20"/>
                <w:szCs w:val="20"/>
              </w:rPr>
              <w:t>Addiction, abuse and misuse</w:t>
            </w:r>
            <w:r>
              <w:rPr>
                <w:rFonts w:ascii="Arial" w:hAnsi="Arial" w:cs="Arial"/>
                <w:sz w:val="20"/>
                <w:szCs w:val="20"/>
              </w:rPr>
              <w:t xml:space="preserve">; </w:t>
            </w:r>
            <w:r w:rsidRPr="00621DDD">
              <w:rPr>
                <w:rFonts w:ascii="Arial" w:hAnsi="Arial" w:cs="Arial"/>
                <w:sz w:val="20"/>
                <w:szCs w:val="20"/>
              </w:rPr>
              <w:t xml:space="preserve">Although the risk of addiction in any individual is unknown, it can occur in patients appropriately prescribed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xml:space="preserve">). Addiction can occur at recommended doses in addition to if the drug is purposefully misused or abused. Assess each patient’s risk </w:t>
            </w:r>
            <w:r w:rsidRPr="00621DDD">
              <w:rPr>
                <w:rFonts w:ascii="Arial" w:hAnsi="Arial" w:cs="Arial"/>
                <w:sz w:val="20"/>
                <w:szCs w:val="20"/>
              </w:rPr>
              <w:lastRenderedPageBreak/>
              <w:t>for opioid addiction, abuse or misuse prior to prescribing this agent, and monitor all patients receiving this agent for the development of these behaviors or conditions. Risks are increased in patients with a personal or family history of substance abuse or mental illness. The potential for these risks should not, however, prevent the proper management of pain in any given patient. Abuse, or misuse of this agent by crushing, chewing, snorting, or injecting the dissolved product will result in the uncontrolled delivery of tapentadol and can result in overdose and death. Strategies to reduce these risks include prescribing the drug in the smallest appropriate quantity and advising the patient on the proper disposal of unused drug.</w:t>
            </w:r>
          </w:p>
        </w:tc>
      </w:tr>
      <w:tr w:rsidR="001733BF" w:rsidRPr="00621DDD" w14:paraId="06D365A6" w14:textId="77777777" w:rsidTr="00A77F90">
        <w:tc>
          <w:tcPr>
            <w:tcW w:w="1890" w:type="dxa"/>
            <w:vMerge/>
            <w:shd w:val="clear" w:color="auto" w:fill="BFBFBF" w:themeFill="background1" w:themeFillShade="BF"/>
          </w:tcPr>
          <w:p w14:paraId="4BE85A97" w14:textId="44F1B500" w:rsidR="001733BF" w:rsidRPr="00621DDD" w:rsidRDefault="001733BF" w:rsidP="00621DDD">
            <w:pPr>
              <w:spacing w:after="0" w:line="240" w:lineRule="auto"/>
              <w:rPr>
                <w:rFonts w:ascii="Arial" w:hAnsi="Arial" w:cs="Arial"/>
                <w:sz w:val="20"/>
                <w:szCs w:val="20"/>
              </w:rPr>
            </w:pPr>
          </w:p>
        </w:tc>
        <w:tc>
          <w:tcPr>
            <w:tcW w:w="7578" w:type="dxa"/>
          </w:tcPr>
          <w:p w14:paraId="2BE838AF" w14:textId="2A3660CF" w:rsidR="001733BF" w:rsidRPr="00621DDD" w:rsidRDefault="001733BF" w:rsidP="00621DDD">
            <w:pPr>
              <w:spacing w:after="0" w:line="240" w:lineRule="auto"/>
              <w:rPr>
                <w:rFonts w:ascii="Arial" w:hAnsi="Arial" w:cs="Arial"/>
                <w:sz w:val="20"/>
                <w:szCs w:val="20"/>
              </w:rPr>
            </w:pPr>
            <w:r w:rsidRPr="00621DDD">
              <w:rPr>
                <w:rFonts w:ascii="Arial" w:hAnsi="Arial" w:cs="Arial"/>
                <w:sz w:val="20"/>
                <w:szCs w:val="20"/>
              </w:rPr>
              <w:t>Life threatening respiratory depression</w:t>
            </w:r>
            <w:r>
              <w:rPr>
                <w:rFonts w:ascii="Arial" w:hAnsi="Arial" w:cs="Arial"/>
                <w:sz w:val="20"/>
                <w:szCs w:val="20"/>
              </w:rPr>
              <w:t xml:space="preserve">; </w:t>
            </w:r>
            <w:r w:rsidRPr="00621DDD">
              <w:rPr>
                <w:rFonts w:ascii="Arial" w:hAnsi="Arial" w:cs="Arial"/>
                <w:sz w:val="20"/>
                <w:szCs w:val="20"/>
              </w:rPr>
              <w:t>Serious, life-threatening, or fatal respiratory depression has been reported with the use of modified-release opioids, even when used as recommended. Respiratory depression, if not immediately recognized and treated, may lead to respiratory arrest and death. Management of respiratory depression may include close observation, supportive measures, and use of opioid antagonists, depending on the patient’s clinical status. Life-threatening or fatal respiratory depression can occur at any time during the use of this medication. However, the risk is generally greatest during the initiation of therapy or following a dose increase.  Individuals should be closely monitored for respiratory depression when initiating therapy and following dose increases.</w:t>
            </w:r>
          </w:p>
        </w:tc>
      </w:tr>
      <w:tr w:rsidR="001733BF" w:rsidRPr="00621DDD" w14:paraId="26A3050F" w14:textId="77777777" w:rsidTr="00A77F90">
        <w:tc>
          <w:tcPr>
            <w:tcW w:w="1890" w:type="dxa"/>
            <w:vMerge/>
            <w:shd w:val="clear" w:color="auto" w:fill="BFBFBF" w:themeFill="background1" w:themeFillShade="BF"/>
          </w:tcPr>
          <w:p w14:paraId="76EF3D22" w14:textId="5351451A" w:rsidR="001733BF" w:rsidRPr="00621DDD" w:rsidRDefault="001733BF" w:rsidP="00621DDD">
            <w:pPr>
              <w:spacing w:after="0" w:line="240" w:lineRule="auto"/>
              <w:rPr>
                <w:rFonts w:ascii="Arial" w:hAnsi="Arial" w:cs="Arial"/>
                <w:b/>
                <w:sz w:val="20"/>
                <w:szCs w:val="20"/>
              </w:rPr>
            </w:pPr>
          </w:p>
        </w:tc>
        <w:tc>
          <w:tcPr>
            <w:tcW w:w="7578" w:type="dxa"/>
          </w:tcPr>
          <w:p w14:paraId="53094B85" w14:textId="7C7F5E3D" w:rsidR="001733BF" w:rsidRPr="00621DDD" w:rsidRDefault="001733BF" w:rsidP="00621DDD">
            <w:pPr>
              <w:spacing w:after="0" w:line="240" w:lineRule="auto"/>
              <w:rPr>
                <w:rFonts w:ascii="Arial" w:hAnsi="Arial" w:cs="Arial"/>
                <w:sz w:val="20"/>
                <w:szCs w:val="20"/>
              </w:rPr>
            </w:pPr>
            <w:r w:rsidRPr="00621DDD">
              <w:rPr>
                <w:rFonts w:ascii="Arial" w:hAnsi="Arial" w:cs="Arial"/>
                <w:sz w:val="20"/>
                <w:szCs w:val="20"/>
              </w:rPr>
              <w:t>Neon</w:t>
            </w:r>
            <w:r>
              <w:rPr>
                <w:rFonts w:ascii="Arial" w:hAnsi="Arial" w:cs="Arial"/>
                <w:sz w:val="20"/>
                <w:szCs w:val="20"/>
              </w:rPr>
              <w:t xml:space="preserve">atal opioid withdrawal syndrome; </w:t>
            </w:r>
            <w:r w:rsidRPr="00621DDD">
              <w:rPr>
                <w:rFonts w:ascii="Arial" w:hAnsi="Arial" w:cs="Arial"/>
                <w:sz w:val="20"/>
                <w:szCs w:val="20"/>
              </w:rPr>
              <w:t>Prolonged use during pregnancy can result in withdrawal signs in the neonate. Neonatal opioid withdrawal syndrome may be life-threatening if not recognized and treated, and requires management according to protocols developed by neonatology experts. If opioid use is required for a prolonged period in a pregnant woman, advise the patient of the risk of neonatal opioid withdrawal syndrome and ensure that appropriate treatment will be available.</w:t>
            </w:r>
          </w:p>
        </w:tc>
      </w:tr>
      <w:tr w:rsidR="001733BF" w:rsidRPr="00621DDD" w14:paraId="5E92D9B4" w14:textId="77777777" w:rsidTr="00A77F90">
        <w:tc>
          <w:tcPr>
            <w:tcW w:w="1890" w:type="dxa"/>
            <w:vMerge/>
            <w:shd w:val="clear" w:color="auto" w:fill="BFBFBF" w:themeFill="background1" w:themeFillShade="BF"/>
          </w:tcPr>
          <w:p w14:paraId="5705DED3" w14:textId="028939ED" w:rsidR="001733BF" w:rsidRPr="00621DDD" w:rsidRDefault="001733BF" w:rsidP="00621DDD">
            <w:pPr>
              <w:spacing w:after="0" w:line="240" w:lineRule="auto"/>
              <w:rPr>
                <w:rFonts w:ascii="Arial" w:hAnsi="Arial" w:cs="Arial"/>
                <w:b/>
                <w:sz w:val="20"/>
                <w:szCs w:val="20"/>
              </w:rPr>
            </w:pPr>
          </w:p>
        </w:tc>
        <w:tc>
          <w:tcPr>
            <w:tcW w:w="7578" w:type="dxa"/>
          </w:tcPr>
          <w:p w14:paraId="17421E58" w14:textId="337CB5A3" w:rsidR="001733BF" w:rsidRPr="00621DDD" w:rsidRDefault="001733BF" w:rsidP="00621DDD">
            <w:pPr>
              <w:spacing w:after="0" w:line="240" w:lineRule="auto"/>
              <w:rPr>
                <w:rFonts w:ascii="Arial" w:hAnsi="Arial" w:cs="Arial"/>
                <w:sz w:val="20"/>
                <w:szCs w:val="20"/>
              </w:rPr>
            </w:pPr>
            <w:r w:rsidRPr="00621DDD">
              <w:rPr>
                <w:rFonts w:ascii="Arial" w:hAnsi="Arial" w:cs="Arial"/>
                <w:iCs/>
                <w:sz w:val="20"/>
                <w:szCs w:val="20"/>
              </w:rPr>
              <w:t>Interactions with central n</w:t>
            </w:r>
            <w:r>
              <w:rPr>
                <w:rFonts w:ascii="Arial" w:hAnsi="Arial" w:cs="Arial"/>
                <w:iCs/>
                <w:sz w:val="20"/>
                <w:szCs w:val="20"/>
              </w:rPr>
              <w:t xml:space="preserve">ervous system (CNS) depressants; </w:t>
            </w:r>
            <w:r w:rsidRPr="00621DDD">
              <w:rPr>
                <w:rFonts w:ascii="Arial" w:hAnsi="Arial" w:cs="Arial"/>
                <w:sz w:val="20"/>
                <w:szCs w:val="20"/>
              </w:rPr>
              <w:t xml:space="preserve">Hypotension, profound sedation, coma, respiratory depression, or death may result if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is used concomitantly with other CNS depressants (e.g., sedatives, anxiolytics, hypnotics, neuroleptics, other opioids, etc.).</w:t>
            </w:r>
            <w:r w:rsidRPr="00621DDD">
              <w:t xml:space="preserve"> </w:t>
            </w:r>
            <w:r w:rsidRPr="00621DDD">
              <w:rPr>
                <w:rFonts w:ascii="Arial" w:hAnsi="Arial" w:cs="Arial"/>
                <w:sz w:val="20"/>
                <w:szCs w:val="20"/>
              </w:rPr>
              <w:t>In addition, the patient’s use of alcohol or illicit drugs that can cause CNS depression should be evaluated. If the decision to begin therapy with this agent, the starting dose should be 50 mg every 12 hours with frequent monitoring. Consideration should also be given to using a lower dose of the concomitant CNS depressant.</w:t>
            </w:r>
          </w:p>
        </w:tc>
      </w:tr>
      <w:tr w:rsidR="001733BF" w:rsidRPr="00621DDD" w14:paraId="091236D5" w14:textId="77777777" w:rsidTr="00A77F90">
        <w:tc>
          <w:tcPr>
            <w:tcW w:w="1890" w:type="dxa"/>
            <w:vMerge/>
            <w:shd w:val="clear" w:color="auto" w:fill="BFBFBF" w:themeFill="background1" w:themeFillShade="BF"/>
          </w:tcPr>
          <w:p w14:paraId="42B6B006" w14:textId="0E4DCC88" w:rsidR="001733BF" w:rsidRPr="00621DDD" w:rsidRDefault="001733BF" w:rsidP="00621DDD">
            <w:pPr>
              <w:spacing w:after="0" w:line="240" w:lineRule="auto"/>
              <w:rPr>
                <w:rFonts w:ascii="Arial" w:hAnsi="Arial" w:cs="Arial"/>
                <w:b/>
                <w:sz w:val="20"/>
                <w:szCs w:val="20"/>
              </w:rPr>
            </w:pPr>
          </w:p>
        </w:tc>
        <w:tc>
          <w:tcPr>
            <w:tcW w:w="7578" w:type="dxa"/>
          </w:tcPr>
          <w:p w14:paraId="758BA3A7" w14:textId="7B8910AB" w:rsidR="001733BF" w:rsidRPr="00621DDD" w:rsidRDefault="001733BF" w:rsidP="00621DDD">
            <w:pPr>
              <w:spacing w:after="0" w:line="240" w:lineRule="auto"/>
              <w:rPr>
                <w:rFonts w:ascii="Arial" w:hAnsi="Arial" w:cs="Arial"/>
                <w:sz w:val="20"/>
                <w:szCs w:val="20"/>
              </w:rPr>
            </w:pPr>
            <w:r w:rsidRPr="00621DDD">
              <w:rPr>
                <w:rFonts w:ascii="Arial" w:hAnsi="Arial" w:cs="Arial"/>
                <w:sz w:val="20"/>
                <w:szCs w:val="20"/>
              </w:rPr>
              <w:t>Elderly, ca</w:t>
            </w:r>
            <w:r>
              <w:rPr>
                <w:rFonts w:ascii="Arial" w:hAnsi="Arial" w:cs="Arial"/>
                <w:sz w:val="20"/>
                <w:szCs w:val="20"/>
              </w:rPr>
              <w:t xml:space="preserve">chetic and debilitated patients; </w:t>
            </w:r>
            <w:r w:rsidRPr="00621DDD">
              <w:rPr>
                <w:rFonts w:ascii="Arial" w:hAnsi="Arial" w:cs="Arial"/>
                <w:sz w:val="20"/>
                <w:szCs w:val="20"/>
              </w:rPr>
              <w:t xml:space="preserve">Life-threatening respiratory depression is more likely to occur in elderly, cachectic, or debilitated patients as they may have altered pharmacokinetics or altered clearance compared to younger, healthier patients. Patients should be monitored closely when initiating or titrating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xml:space="preserve">) as well as when this agent is given concomitantly with CNS depressants.   </w:t>
            </w:r>
          </w:p>
        </w:tc>
      </w:tr>
      <w:tr w:rsidR="001733BF" w:rsidRPr="00621DDD" w14:paraId="6EEC9FC9" w14:textId="77777777" w:rsidTr="00A77F90">
        <w:tc>
          <w:tcPr>
            <w:tcW w:w="1890" w:type="dxa"/>
            <w:vMerge/>
            <w:shd w:val="clear" w:color="auto" w:fill="BFBFBF" w:themeFill="background1" w:themeFillShade="BF"/>
          </w:tcPr>
          <w:p w14:paraId="1ACE31EB" w14:textId="65D03579" w:rsidR="001733BF" w:rsidRPr="00621DDD" w:rsidRDefault="001733BF" w:rsidP="00621DDD">
            <w:pPr>
              <w:spacing w:after="0" w:line="240" w:lineRule="auto"/>
              <w:rPr>
                <w:rFonts w:ascii="Arial" w:hAnsi="Arial" w:cs="Arial"/>
                <w:b/>
                <w:sz w:val="20"/>
                <w:szCs w:val="20"/>
              </w:rPr>
            </w:pPr>
          </w:p>
        </w:tc>
        <w:tc>
          <w:tcPr>
            <w:tcW w:w="7578" w:type="dxa"/>
          </w:tcPr>
          <w:p w14:paraId="735DC21C" w14:textId="73287F74" w:rsidR="001733BF" w:rsidRPr="00621DDD" w:rsidRDefault="001733BF" w:rsidP="00621DDD">
            <w:pPr>
              <w:spacing w:after="0" w:line="240" w:lineRule="auto"/>
              <w:rPr>
                <w:rFonts w:ascii="Arial" w:hAnsi="Arial" w:cs="Arial"/>
                <w:sz w:val="20"/>
                <w:szCs w:val="20"/>
              </w:rPr>
            </w:pPr>
            <w:r>
              <w:rPr>
                <w:rFonts w:ascii="Arial" w:hAnsi="Arial" w:cs="Arial"/>
                <w:sz w:val="20"/>
                <w:szCs w:val="20"/>
              </w:rPr>
              <w:t xml:space="preserve">Chronic pulmonary disease; </w:t>
            </w:r>
            <w:r w:rsidRPr="00621DDD">
              <w:rPr>
                <w:rFonts w:ascii="Arial" w:hAnsi="Arial" w:cs="Arial"/>
                <w:sz w:val="20"/>
                <w:szCs w:val="20"/>
              </w:rPr>
              <w:t>Monitor patients with significant chronic obstructive pulmonary disease or cor pulmonale, and patients having a substantially decreased respiratory reserve, hypoxia, hypercapnia, or pre-existing respiratory depression for respiratory depression. Even at usual therapeutic doses, these agents may decrease respiratory drive to the point of apnea. Consideration should be given to the use of alternative non-opioid analgesics in these patients if possible.</w:t>
            </w:r>
          </w:p>
        </w:tc>
      </w:tr>
      <w:tr w:rsidR="001733BF" w:rsidRPr="00621DDD" w14:paraId="3ECC412C" w14:textId="77777777" w:rsidTr="00A77F90">
        <w:tc>
          <w:tcPr>
            <w:tcW w:w="1890" w:type="dxa"/>
            <w:vMerge/>
            <w:shd w:val="clear" w:color="auto" w:fill="BFBFBF" w:themeFill="background1" w:themeFillShade="BF"/>
          </w:tcPr>
          <w:p w14:paraId="06BAC65A" w14:textId="17CF2741" w:rsidR="001733BF" w:rsidRPr="00621DDD" w:rsidRDefault="001733BF" w:rsidP="00621DDD">
            <w:pPr>
              <w:spacing w:after="0" w:line="240" w:lineRule="auto"/>
              <w:rPr>
                <w:rFonts w:ascii="Arial" w:hAnsi="Arial" w:cs="Arial"/>
                <w:b/>
                <w:sz w:val="20"/>
                <w:szCs w:val="20"/>
              </w:rPr>
            </w:pPr>
          </w:p>
        </w:tc>
        <w:tc>
          <w:tcPr>
            <w:tcW w:w="7578" w:type="dxa"/>
          </w:tcPr>
          <w:p w14:paraId="46582690" w14:textId="319D170C" w:rsidR="001733BF" w:rsidRPr="00621DDD" w:rsidRDefault="001733BF" w:rsidP="00621DDD">
            <w:pPr>
              <w:spacing w:after="0" w:line="240" w:lineRule="auto"/>
              <w:rPr>
                <w:rFonts w:ascii="Arial" w:hAnsi="Arial" w:cs="Arial"/>
                <w:sz w:val="20"/>
                <w:szCs w:val="20"/>
              </w:rPr>
            </w:pPr>
            <w:r>
              <w:rPr>
                <w:rFonts w:ascii="Arial" w:hAnsi="Arial" w:cs="Arial"/>
                <w:sz w:val="20"/>
                <w:szCs w:val="20"/>
              </w:rPr>
              <w:t xml:space="preserve">Hypotensive effects;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xml:space="preserve">) may cause severe hypotension. There is an increased risk in patients whose ability to maintain blood pressure has already been compromised by a reduced blood volume or concurrent administration of certain CNS depressant drugs (e.g., phenothiazines or general anesthetics). Avoid use in patients with circulatory shock as it may cause </w:t>
            </w:r>
            <w:r w:rsidRPr="00621DDD">
              <w:rPr>
                <w:rFonts w:ascii="Arial" w:hAnsi="Arial" w:cs="Arial"/>
                <w:sz w:val="20"/>
                <w:szCs w:val="20"/>
              </w:rPr>
              <w:lastRenderedPageBreak/>
              <w:t>vasodilation that can further reduce cardiac output and blood pressure.</w:t>
            </w:r>
          </w:p>
        </w:tc>
      </w:tr>
      <w:tr w:rsidR="001733BF" w:rsidRPr="00621DDD" w14:paraId="6446DDF2" w14:textId="77777777" w:rsidTr="00A77F90">
        <w:tc>
          <w:tcPr>
            <w:tcW w:w="1890" w:type="dxa"/>
            <w:vMerge/>
            <w:shd w:val="clear" w:color="auto" w:fill="BFBFBF" w:themeFill="background1" w:themeFillShade="BF"/>
          </w:tcPr>
          <w:p w14:paraId="3CED0D2D" w14:textId="7D9D9ADB" w:rsidR="001733BF" w:rsidRPr="00621DDD" w:rsidRDefault="001733BF" w:rsidP="00621DDD">
            <w:pPr>
              <w:spacing w:after="0" w:line="240" w:lineRule="auto"/>
              <w:rPr>
                <w:rFonts w:ascii="Arial" w:hAnsi="Arial" w:cs="Arial"/>
                <w:b/>
                <w:sz w:val="20"/>
                <w:szCs w:val="20"/>
              </w:rPr>
            </w:pPr>
          </w:p>
        </w:tc>
        <w:tc>
          <w:tcPr>
            <w:tcW w:w="7578" w:type="dxa"/>
          </w:tcPr>
          <w:p w14:paraId="6D1F492B" w14:textId="3EBA6F64" w:rsidR="001733BF" w:rsidRPr="00621DDD" w:rsidRDefault="001733BF" w:rsidP="00621DDD">
            <w:pPr>
              <w:spacing w:before="100" w:beforeAutospacing="1" w:after="100" w:afterAutospacing="1" w:line="240" w:lineRule="auto"/>
              <w:rPr>
                <w:rFonts w:ascii="Arial" w:eastAsia="Times New Roman" w:hAnsi="Arial" w:cs="Arial"/>
                <w:sz w:val="20"/>
                <w:szCs w:val="20"/>
              </w:rPr>
            </w:pPr>
            <w:r w:rsidRPr="00621DDD">
              <w:rPr>
                <w:rFonts w:ascii="Arial" w:hAnsi="Arial" w:cs="Arial"/>
                <w:sz w:val="20"/>
                <w:szCs w:val="20"/>
              </w:rPr>
              <w:t>Head injury or increased intracranial pressure</w:t>
            </w:r>
            <w:r>
              <w:rPr>
                <w:rFonts w:ascii="Arial" w:eastAsia="Times New Roman" w:hAnsi="Arial" w:cs="Arial"/>
                <w:sz w:val="20"/>
                <w:szCs w:val="20"/>
              </w:rPr>
              <w:t xml:space="preserve">; </w:t>
            </w:r>
            <w:r w:rsidRPr="00621DDD">
              <w:rPr>
                <w:rFonts w:ascii="Arial" w:eastAsia="Times New Roman" w:hAnsi="Arial" w:cs="Arial"/>
                <w:sz w:val="20"/>
                <w:szCs w:val="20"/>
              </w:rPr>
              <w:t xml:space="preserve">Monitor patients taking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xml:space="preserve">) </w:t>
            </w:r>
            <w:r w:rsidRPr="00621DDD">
              <w:rPr>
                <w:rFonts w:ascii="Arial" w:eastAsia="Times New Roman" w:hAnsi="Arial" w:cs="Arial"/>
                <w:sz w:val="20"/>
                <w:szCs w:val="20"/>
              </w:rPr>
              <w:t>who may be susceptible to the intracranial effects of carbon dioxide (CO</w:t>
            </w:r>
            <w:r w:rsidRPr="00621DDD">
              <w:rPr>
                <w:rFonts w:ascii="Arial" w:eastAsia="Times New Roman" w:hAnsi="Arial" w:cs="Arial"/>
                <w:sz w:val="20"/>
                <w:szCs w:val="20"/>
                <w:vertAlign w:val="subscript"/>
              </w:rPr>
              <w:t>2</w:t>
            </w:r>
            <w:proofErr w:type="gramStart"/>
            <w:r w:rsidRPr="00621DDD">
              <w:rPr>
                <w:rFonts w:ascii="Arial" w:eastAsia="Times New Roman" w:hAnsi="Arial" w:cs="Arial"/>
                <w:sz w:val="20"/>
                <w:szCs w:val="20"/>
              </w:rPr>
              <w:t>)  retention</w:t>
            </w:r>
            <w:proofErr w:type="gramEnd"/>
            <w:r w:rsidRPr="00621DDD">
              <w:rPr>
                <w:rFonts w:ascii="Arial" w:eastAsia="Times New Roman" w:hAnsi="Arial" w:cs="Arial"/>
                <w:sz w:val="20"/>
                <w:szCs w:val="20"/>
              </w:rPr>
              <w:t xml:space="preserve"> (e.g., those with evidence of increased intracranial pressure or brain tumors) for signs of sedation and respiratory depression, particularly when initiating therapy.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xml:space="preserve">) </w:t>
            </w:r>
            <w:r w:rsidRPr="00621DDD">
              <w:rPr>
                <w:rFonts w:ascii="Arial" w:eastAsia="Times New Roman" w:hAnsi="Arial" w:cs="Arial"/>
                <w:sz w:val="20"/>
                <w:szCs w:val="20"/>
              </w:rPr>
              <w:t>may reduce respiratory drive, and the resultant CO</w:t>
            </w:r>
            <w:r w:rsidRPr="00621DDD">
              <w:rPr>
                <w:rFonts w:ascii="Arial" w:eastAsia="Times New Roman" w:hAnsi="Arial" w:cs="Arial"/>
                <w:sz w:val="20"/>
                <w:szCs w:val="20"/>
                <w:vertAlign w:val="subscript"/>
              </w:rPr>
              <w:t>2</w:t>
            </w:r>
            <w:r w:rsidRPr="00621DDD">
              <w:rPr>
                <w:rFonts w:ascii="Arial" w:eastAsia="Times New Roman" w:hAnsi="Arial" w:cs="Arial"/>
                <w:sz w:val="20"/>
                <w:szCs w:val="20"/>
              </w:rPr>
              <w:t xml:space="preserve"> retention can further increase intracranial pressure. Avoid the use of </w:t>
            </w:r>
            <w:r w:rsidRPr="00621DDD">
              <w:rPr>
                <w:rFonts w:ascii="Arial" w:hAnsi="Arial" w:cs="Arial"/>
                <w:sz w:val="20"/>
                <w:szCs w:val="20"/>
              </w:rPr>
              <w:t>this agent</w:t>
            </w:r>
            <w:r w:rsidRPr="00621DDD">
              <w:rPr>
                <w:rFonts w:ascii="Arial" w:eastAsia="Times New Roman" w:hAnsi="Arial" w:cs="Arial"/>
                <w:sz w:val="20"/>
                <w:szCs w:val="20"/>
              </w:rPr>
              <w:t xml:space="preserve"> in patients with impaired consciousness or coma.</w:t>
            </w:r>
          </w:p>
        </w:tc>
      </w:tr>
      <w:tr w:rsidR="001733BF" w:rsidRPr="00621DDD" w14:paraId="379C4C4B" w14:textId="77777777" w:rsidTr="00A77F90">
        <w:tc>
          <w:tcPr>
            <w:tcW w:w="1890" w:type="dxa"/>
            <w:vMerge/>
            <w:shd w:val="clear" w:color="auto" w:fill="BFBFBF" w:themeFill="background1" w:themeFillShade="BF"/>
          </w:tcPr>
          <w:p w14:paraId="0DBD7957" w14:textId="0D3E67F8" w:rsidR="001733BF" w:rsidRPr="00621DDD" w:rsidRDefault="001733BF" w:rsidP="00621DDD">
            <w:pPr>
              <w:spacing w:after="0" w:line="240" w:lineRule="auto"/>
              <w:rPr>
                <w:rFonts w:ascii="Arial" w:hAnsi="Arial" w:cs="Arial"/>
                <w:b/>
                <w:sz w:val="20"/>
                <w:szCs w:val="20"/>
              </w:rPr>
            </w:pPr>
          </w:p>
        </w:tc>
        <w:tc>
          <w:tcPr>
            <w:tcW w:w="7578" w:type="dxa"/>
          </w:tcPr>
          <w:p w14:paraId="38E4ABB7" w14:textId="4F57DE90" w:rsidR="001733BF" w:rsidRPr="00621DDD" w:rsidRDefault="001733BF" w:rsidP="00621DDD">
            <w:pPr>
              <w:spacing w:before="100" w:beforeAutospacing="1" w:after="100" w:afterAutospacing="1" w:line="240" w:lineRule="auto"/>
              <w:rPr>
                <w:rFonts w:ascii="Arial" w:hAnsi="Arial" w:cs="Arial"/>
                <w:sz w:val="20"/>
                <w:szCs w:val="20"/>
              </w:rPr>
            </w:pPr>
            <w:r w:rsidRPr="00621DDD">
              <w:rPr>
                <w:rFonts w:ascii="Arial" w:hAnsi="Arial" w:cs="Arial"/>
                <w:sz w:val="20"/>
                <w:szCs w:val="20"/>
              </w:rPr>
              <w:t>Seizures</w:t>
            </w:r>
            <w:r>
              <w:rPr>
                <w:rFonts w:ascii="Arial" w:hAnsi="Arial" w:cs="Arial"/>
                <w:sz w:val="20"/>
                <w:szCs w:val="20"/>
              </w:rPr>
              <w:t xml:space="preserve">;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has not been evaluated in patients with a predisposition to a seizure disorder. Tapentadol may exacerbate seizures in patients with seizure disorders, and may induce or aggravate seizures. Monitor patients with a history of seizure disorders for worsened seizure control during treatment with this agent.</w:t>
            </w:r>
          </w:p>
        </w:tc>
      </w:tr>
      <w:tr w:rsidR="001733BF" w:rsidRPr="00621DDD" w14:paraId="2868A27B" w14:textId="77777777" w:rsidTr="00A77F90">
        <w:tc>
          <w:tcPr>
            <w:tcW w:w="1890" w:type="dxa"/>
            <w:vMerge/>
            <w:shd w:val="clear" w:color="auto" w:fill="BFBFBF" w:themeFill="background1" w:themeFillShade="BF"/>
          </w:tcPr>
          <w:p w14:paraId="0227B7A9" w14:textId="739BCC18" w:rsidR="001733BF" w:rsidRPr="00621DDD" w:rsidRDefault="001733BF" w:rsidP="00621DDD">
            <w:pPr>
              <w:spacing w:after="0" w:line="240" w:lineRule="auto"/>
              <w:rPr>
                <w:rFonts w:ascii="Arial" w:hAnsi="Arial" w:cs="Arial"/>
                <w:sz w:val="20"/>
                <w:szCs w:val="20"/>
              </w:rPr>
            </w:pPr>
          </w:p>
        </w:tc>
        <w:tc>
          <w:tcPr>
            <w:tcW w:w="7578" w:type="dxa"/>
          </w:tcPr>
          <w:p w14:paraId="48BD7CC6" w14:textId="02F93D44" w:rsidR="001733BF" w:rsidRPr="00621DDD" w:rsidRDefault="001733BF" w:rsidP="00621DDD">
            <w:pPr>
              <w:spacing w:after="0" w:line="240" w:lineRule="auto"/>
              <w:rPr>
                <w:rFonts w:ascii="Arial" w:hAnsi="Arial" w:cs="Arial"/>
                <w:sz w:val="20"/>
                <w:szCs w:val="20"/>
              </w:rPr>
            </w:pPr>
            <w:r w:rsidRPr="00621DDD">
              <w:rPr>
                <w:rFonts w:ascii="Arial" w:hAnsi="Arial" w:cs="Arial"/>
                <w:sz w:val="20"/>
                <w:szCs w:val="20"/>
              </w:rPr>
              <w:t>Serotonin syndrome</w:t>
            </w:r>
            <w:r>
              <w:rPr>
                <w:rFonts w:ascii="Arial" w:hAnsi="Arial" w:cs="Arial"/>
                <w:sz w:val="20"/>
                <w:szCs w:val="20"/>
              </w:rPr>
              <w:t xml:space="preserve">; </w:t>
            </w:r>
            <w:r w:rsidRPr="00621DDD">
              <w:rPr>
                <w:rFonts w:ascii="Arial" w:hAnsi="Arial" w:cs="Arial"/>
                <w:sz w:val="20"/>
                <w:szCs w:val="20"/>
              </w:rPr>
              <w:t>Cases of life-threatening serotonin syndrome have been reported with the concurrent use of tapentadol and serotonergic drugs. Serotonergic drugs comprise selective serotonin reuptake inhibitors (SSRIs), serotonin and norepinephrine reuptake inhibitors (SNRIs), tricyclic antidepressants (TCAs), triptans, drugs that affect the serotonergic neurotransmitter system (e.g. mirtazapine, trazodone, tramadol, etc.), and drugs that impair metabolism of serotonin including monoamine oxidase inhibitors (MAOIs). Serotonin syndrome may occur within the recommended dose and can be fatal.</w:t>
            </w:r>
          </w:p>
        </w:tc>
      </w:tr>
      <w:tr w:rsidR="001733BF" w:rsidRPr="00621DDD" w14:paraId="5163D619" w14:textId="77777777" w:rsidTr="00A77F90">
        <w:tc>
          <w:tcPr>
            <w:tcW w:w="1890" w:type="dxa"/>
            <w:vMerge/>
            <w:shd w:val="clear" w:color="auto" w:fill="BFBFBF" w:themeFill="background1" w:themeFillShade="BF"/>
          </w:tcPr>
          <w:p w14:paraId="512E1E67" w14:textId="02588A55" w:rsidR="001733BF" w:rsidRPr="00621DDD" w:rsidRDefault="001733BF" w:rsidP="00621DDD">
            <w:pPr>
              <w:spacing w:after="0" w:line="240" w:lineRule="auto"/>
              <w:rPr>
                <w:rFonts w:ascii="Arial" w:hAnsi="Arial" w:cs="Arial"/>
                <w:sz w:val="20"/>
                <w:szCs w:val="20"/>
              </w:rPr>
            </w:pPr>
          </w:p>
        </w:tc>
        <w:tc>
          <w:tcPr>
            <w:tcW w:w="7578" w:type="dxa"/>
          </w:tcPr>
          <w:p w14:paraId="71512776" w14:textId="352AD7EF" w:rsidR="001733BF" w:rsidRPr="00621DDD" w:rsidRDefault="001733BF" w:rsidP="00621DDD">
            <w:pPr>
              <w:spacing w:before="100" w:beforeAutospacing="1" w:after="100" w:afterAutospacing="1" w:line="240" w:lineRule="auto"/>
              <w:rPr>
                <w:rFonts w:ascii="Arial" w:hAnsi="Arial" w:cs="Arial"/>
                <w:sz w:val="20"/>
                <w:szCs w:val="20"/>
              </w:rPr>
            </w:pPr>
            <w:r w:rsidRPr="00621DDD">
              <w:rPr>
                <w:rFonts w:ascii="Arial" w:hAnsi="Arial" w:cs="Arial"/>
                <w:sz w:val="20"/>
                <w:szCs w:val="20"/>
              </w:rPr>
              <w:t>Gastrointestinal (GI) Conditions</w:t>
            </w:r>
            <w:r>
              <w:rPr>
                <w:rFonts w:ascii="Arial" w:hAnsi="Arial" w:cs="Arial"/>
                <w:sz w:val="20"/>
                <w:szCs w:val="20"/>
              </w:rPr>
              <w:t xml:space="preserve">;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xml:space="preserve">) is contraindicated in patients with other GI obstruction, including paralytic ileus. Tapentadol may cause spasm of the sphincter of Oddi. Monitor patients with biliary tract disease, including acute pancreatitis, for worsening symptoms. </w:t>
            </w:r>
          </w:p>
        </w:tc>
      </w:tr>
      <w:tr w:rsidR="001733BF" w:rsidRPr="00621DDD" w14:paraId="5587F334" w14:textId="77777777" w:rsidTr="00A77F90">
        <w:tc>
          <w:tcPr>
            <w:tcW w:w="1890" w:type="dxa"/>
            <w:vMerge/>
            <w:shd w:val="clear" w:color="auto" w:fill="BFBFBF" w:themeFill="background1" w:themeFillShade="BF"/>
          </w:tcPr>
          <w:p w14:paraId="7E195D10" w14:textId="256B0AF6" w:rsidR="001733BF" w:rsidRPr="00621DDD" w:rsidRDefault="001733BF" w:rsidP="00621DDD">
            <w:pPr>
              <w:spacing w:after="0" w:line="240" w:lineRule="auto"/>
              <w:rPr>
                <w:rFonts w:ascii="Arial" w:hAnsi="Arial" w:cs="Arial"/>
                <w:b/>
                <w:sz w:val="20"/>
                <w:szCs w:val="20"/>
              </w:rPr>
            </w:pPr>
          </w:p>
        </w:tc>
        <w:tc>
          <w:tcPr>
            <w:tcW w:w="7578" w:type="dxa"/>
          </w:tcPr>
          <w:p w14:paraId="2E1422CE" w14:textId="3BB1D3A0" w:rsidR="001733BF" w:rsidRPr="00621DDD" w:rsidRDefault="001733BF" w:rsidP="00621DDD">
            <w:pPr>
              <w:spacing w:before="100" w:beforeAutospacing="1" w:after="100" w:afterAutospacing="1" w:line="240" w:lineRule="auto"/>
              <w:rPr>
                <w:rFonts w:ascii="Arial" w:eastAsia="Times New Roman" w:hAnsi="Arial" w:cs="Arial"/>
                <w:sz w:val="20"/>
                <w:szCs w:val="20"/>
              </w:rPr>
            </w:pPr>
            <w:r w:rsidRPr="00621DDD">
              <w:rPr>
                <w:rFonts w:ascii="Arial" w:hAnsi="Arial" w:cs="Arial"/>
                <w:sz w:val="20"/>
                <w:szCs w:val="20"/>
              </w:rPr>
              <w:t>Avoidance of withdrawal</w:t>
            </w:r>
            <w:r>
              <w:rPr>
                <w:rFonts w:ascii="Arial" w:eastAsia="Times New Roman" w:hAnsi="Arial" w:cs="Arial"/>
                <w:sz w:val="20"/>
                <w:szCs w:val="20"/>
              </w:rPr>
              <w:t xml:space="preserve">; </w:t>
            </w:r>
            <w:r w:rsidRPr="00621DDD">
              <w:rPr>
                <w:rFonts w:ascii="Arial" w:eastAsia="Times New Roman" w:hAnsi="Arial" w:cs="Arial"/>
                <w:sz w:val="20"/>
                <w:szCs w:val="20"/>
              </w:rPr>
              <w:t xml:space="preserve">Avoid the use of mixed agonist/antagonist (i.e., pentazocine, nalbuphine, and butorphanol) or partial agonist (buprenorphine) analgesics in patients who have received or are receiving a course of therapy with a full opioid agonist analgesic, such as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xml:space="preserve">) </w:t>
            </w:r>
            <w:r w:rsidRPr="00621DDD">
              <w:rPr>
                <w:rFonts w:ascii="Arial" w:eastAsia="Times New Roman" w:hAnsi="Arial" w:cs="Arial"/>
                <w:sz w:val="20"/>
                <w:szCs w:val="20"/>
              </w:rPr>
              <w:t xml:space="preserve">as these agents can reduce the analgesic effect and/or may precipitate withdrawal symptoms. When discontinuing </w:t>
            </w:r>
            <w:r w:rsidRPr="00621DDD">
              <w:rPr>
                <w:rFonts w:ascii="Arial" w:hAnsi="Arial" w:cs="Arial"/>
                <w:sz w:val="20"/>
                <w:szCs w:val="20"/>
              </w:rPr>
              <w:t>therapy</w:t>
            </w:r>
            <w:r w:rsidRPr="00621DDD">
              <w:rPr>
                <w:rFonts w:ascii="Arial" w:eastAsia="Times New Roman" w:hAnsi="Arial" w:cs="Arial"/>
                <w:sz w:val="20"/>
                <w:szCs w:val="20"/>
              </w:rPr>
              <w:t>, gradually taper the dose. Do not abruptly discontinue medication.</w:t>
            </w:r>
          </w:p>
        </w:tc>
      </w:tr>
      <w:tr w:rsidR="001733BF" w:rsidRPr="00621DDD" w14:paraId="67D02BD1" w14:textId="77777777" w:rsidTr="00A77F90">
        <w:tc>
          <w:tcPr>
            <w:tcW w:w="1890" w:type="dxa"/>
            <w:vMerge/>
            <w:shd w:val="clear" w:color="auto" w:fill="BFBFBF" w:themeFill="background1" w:themeFillShade="BF"/>
          </w:tcPr>
          <w:p w14:paraId="5B89FED6" w14:textId="079C761A" w:rsidR="001733BF" w:rsidRPr="00621DDD" w:rsidRDefault="001733BF" w:rsidP="00621DDD">
            <w:pPr>
              <w:spacing w:after="0" w:line="240" w:lineRule="auto"/>
              <w:rPr>
                <w:rFonts w:ascii="Arial" w:hAnsi="Arial" w:cs="Arial"/>
                <w:b/>
                <w:sz w:val="20"/>
                <w:szCs w:val="20"/>
              </w:rPr>
            </w:pPr>
          </w:p>
        </w:tc>
        <w:tc>
          <w:tcPr>
            <w:tcW w:w="7578" w:type="dxa"/>
          </w:tcPr>
          <w:p w14:paraId="580235A0" w14:textId="38179446" w:rsidR="001733BF" w:rsidRPr="00621DDD" w:rsidRDefault="001733BF" w:rsidP="00621DDD">
            <w:pPr>
              <w:spacing w:before="100" w:beforeAutospacing="1" w:after="100" w:afterAutospacing="1" w:line="240" w:lineRule="auto"/>
              <w:rPr>
                <w:rFonts w:ascii="Arial" w:hAnsi="Arial" w:cs="Arial"/>
                <w:sz w:val="20"/>
                <w:szCs w:val="20"/>
              </w:rPr>
            </w:pPr>
            <w:r>
              <w:rPr>
                <w:rFonts w:ascii="Arial" w:hAnsi="Arial" w:cs="Arial"/>
                <w:sz w:val="20"/>
                <w:szCs w:val="20"/>
              </w:rPr>
              <w:t xml:space="preserve">Driving and operating machinery; </w:t>
            </w:r>
            <w:r w:rsidRPr="00621DDD">
              <w:rPr>
                <w:rFonts w:ascii="Arial" w:hAnsi="Arial" w:cs="Arial"/>
                <w:sz w:val="20"/>
                <w:szCs w:val="20"/>
              </w:rPr>
              <w:t>May impair the mental or physical abilities needed to perform potentially hazardous activities such as driving a car or operating machinery. Counsel patients not to drive or operate dangerous machinery unless they are tolerant to the effects and know how they will react to the medication.</w:t>
            </w:r>
          </w:p>
        </w:tc>
      </w:tr>
      <w:tr w:rsidR="001733BF" w:rsidRPr="00621DDD" w14:paraId="371F2A45" w14:textId="77777777" w:rsidTr="00A77F90">
        <w:tc>
          <w:tcPr>
            <w:tcW w:w="1890" w:type="dxa"/>
            <w:vMerge/>
            <w:shd w:val="clear" w:color="auto" w:fill="BFBFBF" w:themeFill="background1" w:themeFillShade="BF"/>
          </w:tcPr>
          <w:p w14:paraId="382DD1F5" w14:textId="28949DCD" w:rsidR="001733BF" w:rsidRPr="00621DDD" w:rsidRDefault="001733BF" w:rsidP="00621DDD">
            <w:pPr>
              <w:spacing w:after="0" w:line="240" w:lineRule="auto"/>
              <w:rPr>
                <w:rFonts w:ascii="Arial" w:hAnsi="Arial" w:cs="Arial"/>
                <w:sz w:val="20"/>
                <w:szCs w:val="20"/>
              </w:rPr>
            </w:pPr>
          </w:p>
        </w:tc>
        <w:tc>
          <w:tcPr>
            <w:tcW w:w="7578" w:type="dxa"/>
          </w:tcPr>
          <w:p w14:paraId="50DC8675" w14:textId="00FBF11F" w:rsidR="001733BF" w:rsidRPr="00621DDD" w:rsidRDefault="001733BF" w:rsidP="00621DDD">
            <w:pPr>
              <w:spacing w:after="0" w:line="240" w:lineRule="auto"/>
              <w:rPr>
                <w:rFonts w:ascii="Arial" w:hAnsi="Arial" w:cs="Arial"/>
                <w:sz w:val="20"/>
                <w:szCs w:val="20"/>
              </w:rPr>
            </w:pPr>
            <w:r w:rsidRPr="00621DDD">
              <w:rPr>
                <w:rFonts w:ascii="Arial" w:hAnsi="Arial" w:cs="Arial"/>
                <w:sz w:val="20"/>
                <w:szCs w:val="20"/>
              </w:rPr>
              <w:t>Hepatic impairment</w:t>
            </w:r>
            <w:r>
              <w:rPr>
                <w:rFonts w:ascii="Arial" w:hAnsi="Arial" w:cs="Arial"/>
                <w:sz w:val="20"/>
                <w:szCs w:val="20"/>
              </w:rPr>
              <w:t xml:space="preserve">; </w:t>
            </w:r>
            <w:r w:rsidRPr="00621DDD">
              <w:rPr>
                <w:rFonts w:ascii="Arial" w:hAnsi="Arial" w:cs="Arial"/>
                <w:sz w:val="20"/>
                <w:szCs w:val="20"/>
              </w:rPr>
              <w:t xml:space="preserve">A study with an immediate-release formulation of tapentadol in patients with hepatic impairment showed higher serum concentrations of tapentadol than in those with normal hepatic function. Avoid use of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Pr="00621DDD">
              <w:rPr>
                <w:rFonts w:ascii="Arial" w:hAnsi="Arial" w:cs="Arial"/>
                <w:sz w:val="20"/>
                <w:szCs w:val="20"/>
              </w:rPr>
              <w:t>) in patients with severe hepatic impairment and reduce the dose in patients with moderate hepatic impairment, particularly when initiating and titrating the dose.</w:t>
            </w:r>
          </w:p>
        </w:tc>
      </w:tr>
      <w:tr w:rsidR="001733BF" w:rsidRPr="00621DDD" w14:paraId="3C39B37A" w14:textId="77777777" w:rsidTr="00A77F90">
        <w:tc>
          <w:tcPr>
            <w:tcW w:w="1890" w:type="dxa"/>
            <w:vMerge/>
            <w:shd w:val="clear" w:color="auto" w:fill="BFBFBF" w:themeFill="background1" w:themeFillShade="BF"/>
          </w:tcPr>
          <w:p w14:paraId="41A564E5" w14:textId="45C9CE25" w:rsidR="001733BF" w:rsidRPr="00621DDD" w:rsidRDefault="001733BF" w:rsidP="00621DDD">
            <w:pPr>
              <w:spacing w:after="0" w:line="240" w:lineRule="auto"/>
              <w:rPr>
                <w:rFonts w:ascii="Arial" w:hAnsi="Arial" w:cs="Arial"/>
                <w:sz w:val="20"/>
                <w:szCs w:val="20"/>
              </w:rPr>
            </w:pPr>
          </w:p>
        </w:tc>
        <w:tc>
          <w:tcPr>
            <w:tcW w:w="7578" w:type="dxa"/>
          </w:tcPr>
          <w:p w14:paraId="011C7824" w14:textId="3C5CA0DE" w:rsidR="001733BF" w:rsidRPr="00621DDD" w:rsidRDefault="001733BF" w:rsidP="00621DDD">
            <w:pPr>
              <w:spacing w:after="0" w:line="240" w:lineRule="auto"/>
              <w:rPr>
                <w:rFonts w:ascii="Arial" w:hAnsi="Arial" w:cs="Arial"/>
                <w:sz w:val="20"/>
                <w:szCs w:val="20"/>
              </w:rPr>
            </w:pPr>
            <w:r w:rsidRPr="00621DDD">
              <w:rPr>
                <w:rFonts w:ascii="Arial" w:hAnsi="Arial" w:cs="Arial"/>
                <w:sz w:val="20"/>
                <w:szCs w:val="20"/>
              </w:rPr>
              <w:t>Renal impairment</w:t>
            </w:r>
            <w:r>
              <w:rPr>
                <w:rFonts w:ascii="Arial" w:hAnsi="Arial" w:cs="Arial"/>
                <w:sz w:val="20"/>
                <w:szCs w:val="20"/>
              </w:rPr>
              <w:t xml:space="preserve">; </w:t>
            </w:r>
            <w:r w:rsidRPr="00621DDD">
              <w:rPr>
                <w:rFonts w:ascii="Arial" w:hAnsi="Arial" w:cs="Arial"/>
                <w:sz w:val="20"/>
                <w:szCs w:val="20"/>
              </w:rPr>
              <w:t xml:space="preserve">Use of </w:t>
            </w: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 </w:t>
            </w:r>
            <w:r w:rsidRPr="00621DDD">
              <w:rPr>
                <w:rFonts w:ascii="Arial" w:hAnsi="Arial" w:cs="Arial"/>
                <w:sz w:val="20"/>
                <w:szCs w:val="20"/>
              </w:rPr>
              <w:t>in patients with severe renal impairment is not recommended due to accumulation of a metabolite formed by glucuronidation of tapentadol.</w:t>
            </w:r>
          </w:p>
        </w:tc>
      </w:tr>
    </w:tbl>
    <w:p w14:paraId="225EBEAA" w14:textId="77777777" w:rsidR="005D585F" w:rsidRDefault="005D585F" w:rsidP="004920E8">
      <w:pPr>
        <w:pStyle w:val="NoSpacing"/>
        <w:ind w:left="-550" w:firstLine="550"/>
        <w:rPr>
          <w:rFonts w:ascii="Arial" w:hAnsi="Arial" w:cs="Arial"/>
          <w:b/>
          <w:sz w:val="20"/>
          <w:szCs w:val="20"/>
        </w:rPr>
      </w:pPr>
    </w:p>
    <w:p w14:paraId="6E724770" w14:textId="77777777" w:rsidR="00AE5B18" w:rsidRPr="0044122B" w:rsidRDefault="00AE5B18" w:rsidP="00AE5B18">
      <w:pPr>
        <w:pStyle w:val="NoSpacing"/>
        <w:rPr>
          <w:rFonts w:ascii="Arial" w:hAnsi="Arial" w:cs="Arial"/>
          <w:b/>
          <w:sz w:val="20"/>
          <w:szCs w:val="20"/>
          <w:u w:val="single"/>
        </w:rPr>
      </w:pPr>
      <w:r>
        <w:rPr>
          <w:rFonts w:ascii="Arial" w:hAnsi="Arial" w:cs="Arial"/>
          <w:b/>
          <w:sz w:val="20"/>
          <w:szCs w:val="20"/>
          <w:u w:val="single"/>
        </w:rPr>
        <w:t>Contraindications</w:t>
      </w:r>
    </w:p>
    <w:p w14:paraId="18E8E00F" w14:textId="4380E172" w:rsidR="00C0200A" w:rsidRPr="00C0200A" w:rsidRDefault="001733BF" w:rsidP="00C0200A">
      <w:pPr>
        <w:spacing w:after="0" w:line="240" w:lineRule="auto"/>
        <w:outlineLvl w:val="0"/>
        <w:rPr>
          <w:rFonts w:ascii="Arial" w:hAnsi="Arial" w:cs="Arial"/>
          <w:sz w:val="20"/>
          <w:szCs w:val="20"/>
        </w:rPr>
      </w:pPr>
      <w:r w:rsidRPr="001733BF">
        <w:rPr>
          <w:rFonts w:ascii="Arial" w:hAnsi="Arial" w:cs="Arial"/>
          <w:sz w:val="20"/>
          <w:szCs w:val="20"/>
        </w:rPr>
        <w:t>Nucynta ER</w:t>
      </w:r>
      <w:r w:rsidRPr="001733BF">
        <w:rPr>
          <w:rFonts w:ascii="Arial" w:hAnsi="Arial" w:cs="Arial"/>
          <w:sz w:val="20"/>
          <w:szCs w:val="20"/>
          <w:vertAlign w:val="superscript"/>
        </w:rPr>
        <w:t>®</w:t>
      </w:r>
      <w:r w:rsidRPr="001733BF">
        <w:rPr>
          <w:rFonts w:ascii="Arial" w:hAnsi="Arial" w:cs="Arial"/>
          <w:sz w:val="20"/>
          <w:szCs w:val="20"/>
        </w:rPr>
        <w:t xml:space="preserve"> (tapentadol extended-release</w:t>
      </w:r>
      <w:r w:rsidR="00C0200A" w:rsidRPr="00C0200A">
        <w:rPr>
          <w:rFonts w:ascii="Arial" w:hAnsi="Arial" w:cs="Arial"/>
          <w:sz w:val="20"/>
          <w:szCs w:val="20"/>
        </w:rPr>
        <w:t xml:space="preserve">) is contraindicated in patients with significant respiratory depression, acute or severe bronchial asthma or hypercarbia in an unmonitored setting or in the absence of resuscitative equipment, known or suspected paralytic ileus, hypersensitivity (e.g., anaphylaxis, angioedema) to tapentadol or any other ingredients in the product, as well as among patients who are </w:t>
      </w:r>
      <w:r w:rsidR="00C0200A" w:rsidRPr="00C0200A">
        <w:rPr>
          <w:rFonts w:ascii="Arial" w:hAnsi="Arial" w:cs="Arial"/>
          <w:sz w:val="20"/>
          <w:szCs w:val="20"/>
        </w:rPr>
        <w:lastRenderedPageBreak/>
        <w:t xml:space="preserve">receiving MAOIs or who have received them within the previous 14 days due to the additive effects of norepinephrine levels that may result in adverse cardiovascular (CV) events. </w:t>
      </w:r>
    </w:p>
    <w:p w14:paraId="125C1A12" w14:textId="77777777" w:rsidR="00AE5B18" w:rsidRPr="0044122B" w:rsidRDefault="00AE5B18" w:rsidP="004920E8">
      <w:pPr>
        <w:pStyle w:val="NoSpacing"/>
        <w:rPr>
          <w:rFonts w:ascii="Arial" w:hAnsi="Arial" w:cs="Arial"/>
          <w:color w:val="0000FF"/>
          <w:sz w:val="20"/>
          <w:szCs w:val="20"/>
        </w:rPr>
      </w:pPr>
    </w:p>
    <w:p w14:paraId="5CE2BFAF" w14:textId="734B400A" w:rsidR="007F4DF8" w:rsidRPr="0044122B" w:rsidRDefault="00AE5B18" w:rsidP="004920E8">
      <w:pPr>
        <w:pStyle w:val="NoSpacing"/>
        <w:rPr>
          <w:rFonts w:ascii="Arial" w:hAnsi="Arial" w:cs="Arial"/>
          <w:b/>
          <w:sz w:val="20"/>
          <w:szCs w:val="20"/>
          <w:u w:val="single"/>
        </w:rPr>
      </w:pPr>
      <w:bookmarkStart w:id="3" w:name="AdverseDrugEvents"/>
      <w:r>
        <w:rPr>
          <w:rFonts w:ascii="Arial" w:hAnsi="Arial" w:cs="Arial"/>
          <w:b/>
          <w:sz w:val="20"/>
          <w:szCs w:val="20"/>
          <w:u w:val="single"/>
        </w:rPr>
        <w:t xml:space="preserve">Adverse </w:t>
      </w:r>
      <w:r w:rsidR="00DD0F1A" w:rsidRPr="0044122B">
        <w:rPr>
          <w:rFonts w:ascii="Arial" w:hAnsi="Arial" w:cs="Arial"/>
          <w:b/>
          <w:sz w:val="20"/>
          <w:szCs w:val="20"/>
          <w:u w:val="single"/>
        </w:rPr>
        <w:t>E</w:t>
      </w:r>
      <w:bookmarkEnd w:id="3"/>
      <w:r>
        <w:rPr>
          <w:rFonts w:ascii="Arial" w:hAnsi="Arial" w:cs="Arial"/>
          <w:b/>
          <w:sz w:val="20"/>
          <w:szCs w:val="20"/>
          <w:u w:val="single"/>
        </w:rPr>
        <w:t>ffects</w:t>
      </w:r>
    </w:p>
    <w:p w14:paraId="01E087BA" w14:textId="050CD09D" w:rsidR="003B5B3E" w:rsidRPr="005B32F5" w:rsidRDefault="00AE5B18" w:rsidP="003B5B3E">
      <w:pPr>
        <w:pStyle w:val="NoSpacing"/>
        <w:rPr>
          <w:rFonts w:ascii="Arial" w:hAnsi="Arial" w:cs="Arial"/>
          <w:sz w:val="20"/>
          <w:szCs w:val="20"/>
        </w:rPr>
      </w:pPr>
      <w:r>
        <w:rPr>
          <w:rFonts w:ascii="Arial" w:hAnsi="Arial" w:cs="Arial"/>
          <w:sz w:val="20"/>
          <w:szCs w:val="20"/>
        </w:rPr>
        <w:t>Table 10</w:t>
      </w:r>
      <w:r w:rsidR="005B32F5">
        <w:rPr>
          <w:rFonts w:ascii="Arial" w:hAnsi="Arial" w:cs="Arial"/>
          <w:sz w:val="20"/>
          <w:szCs w:val="20"/>
        </w:rPr>
        <w:t xml:space="preserve"> represents adverse reactions reported in ≥ 2% of subjects from both the open-label titration period and double-blind treatment period of a clinical trial for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005B32F5">
        <w:rPr>
          <w:rFonts w:ascii="Arial" w:hAnsi="Arial" w:cs="Arial"/>
          <w:sz w:val="20"/>
          <w:szCs w:val="20"/>
        </w:rPr>
        <w:t>). Figures reported during the open-label titration phase are reported in the active drug column.</w:t>
      </w:r>
    </w:p>
    <w:p w14:paraId="1DC3944F" w14:textId="77777777" w:rsidR="004920E8" w:rsidRPr="0044122B" w:rsidRDefault="004920E8" w:rsidP="004920E8">
      <w:pPr>
        <w:pStyle w:val="NoSpacing"/>
        <w:ind w:left="-550" w:firstLine="550"/>
        <w:rPr>
          <w:rFonts w:ascii="Arial" w:hAnsi="Arial" w:cs="Arial"/>
          <w:b/>
          <w:sz w:val="20"/>
          <w:szCs w:val="20"/>
        </w:rPr>
      </w:pPr>
    </w:p>
    <w:p w14:paraId="731D54D8" w14:textId="79253B47" w:rsidR="007F4DF8" w:rsidRPr="0044122B" w:rsidRDefault="004920E8" w:rsidP="001733BF">
      <w:pPr>
        <w:pStyle w:val="NoSpacing"/>
        <w:rPr>
          <w:rFonts w:ascii="Arial" w:hAnsi="Arial" w:cs="Arial"/>
          <w:b/>
          <w:sz w:val="20"/>
          <w:szCs w:val="20"/>
        </w:rPr>
      </w:pPr>
      <w:r w:rsidRPr="0044122B">
        <w:rPr>
          <w:rFonts w:ascii="Arial" w:hAnsi="Arial" w:cs="Arial"/>
          <w:b/>
          <w:sz w:val="20"/>
          <w:szCs w:val="20"/>
        </w:rPr>
        <w:t xml:space="preserve">Table </w:t>
      </w:r>
      <w:r w:rsidR="00AE5B18">
        <w:rPr>
          <w:rFonts w:ascii="Arial" w:hAnsi="Arial" w:cs="Arial"/>
          <w:b/>
          <w:sz w:val="20"/>
          <w:szCs w:val="20"/>
        </w:rPr>
        <w:t>10</w:t>
      </w:r>
      <w:r w:rsidRPr="0044122B">
        <w:rPr>
          <w:rFonts w:ascii="Arial" w:hAnsi="Arial" w:cs="Arial"/>
          <w:b/>
          <w:sz w:val="20"/>
          <w:szCs w:val="20"/>
        </w:rPr>
        <w:t xml:space="preserve">. Adverse </w:t>
      </w:r>
      <w:r w:rsidR="00C0200A" w:rsidRPr="00BF6527">
        <w:rPr>
          <w:rFonts w:ascii="Arial" w:hAnsi="Arial" w:cs="Arial"/>
          <w:b/>
          <w:sz w:val="20"/>
          <w:szCs w:val="20"/>
        </w:rPr>
        <w:t>reactions reported by ≥1% of patients treated with tapentadol ER in t</w:t>
      </w:r>
      <w:r w:rsidR="00C0200A">
        <w:rPr>
          <w:rFonts w:ascii="Arial" w:hAnsi="Arial" w:cs="Arial"/>
          <w:b/>
          <w:sz w:val="20"/>
          <w:szCs w:val="20"/>
        </w:rPr>
        <w:t xml:space="preserve">hree </w:t>
      </w:r>
      <w:r w:rsidR="00C0200A" w:rsidRPr="00BF6527">
        <w:rPr>
          <w:rFonts w:ascii="Arial" w:hAnsi="Arial" w:cs="Arial"/>
          <w:b/>
          <w:sz w:val="20"/>
          <w:szCs w:val="20"/>
        </w:rPr>
        <w:t>pooled, placebo-controlled trials of chronic low back pain and osteoarthritis</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0"/>
        <w:gridCol w:w="3330"/>
        <w:gridCol w:w="2970"/>
      </w:tblGrid>
      <w:tr w:rsidR="00C0200A" w:rsidRPr="00BF6527" w14:paraId="3AFFA83C" w14:textId="77777777" w:rsidTr="00A77F90">
        <w:trPr>
          <w:tblHeader/>
        </w:trPr>
        <w:tc>
          <w:tcPr>
            <w:tcW w:w="3150" w:type="dxa"/>
            <w:shd w:val="clear" w:color="auto" w:fill="C0C0C0"/>
          </w:tcPr>
          <w:p w14:paraId="43B2F0EB" w14:textId="77777777" w:rsidR="00C0200A" w:rsidRPr="00BF6527" w:rsidRDefault="00C0200A" w:rsidP="00A77F90">
            <w:pPr>
              <w:pStyle w:val="NoSpacing"/>
              <w:rPr>
                <w:rFonts w:ascii="Arial" w:hAnsi="Arial" w:cs="Arial"/>
                <w:b/>
                <w:sz w:val="20"/>
                <w:szCs w:val="20"/>
              </w:rPr>
            </w:pPr>
            <w:bookmarkStart w:id="4" w:name="ContraindicationsandWarningsPrecautions"/>
            <w:bookmarkEnd w:id="4"/>
            <w:r w:rsidRPr="00BF6527">
              <w:rPr>
                <w:rFonts w:ascii="Arial" w:hAnsi="Arial" w:cs="Arial"/>
                <w:b/>
                <w:sz w:val="20"/>
                <w:szCs w:val="20"/>
              </w:rPr>
              <w:t>Adverse Event</w:t>
            </w:r>
          </w:p>
        </w:tc>
        <w:tc>
          <w:tcPr>
            <w:tcW w:w="3330" w:type="dxa"/>
            <w:shd w:val="clear" w:color="auto" w:fill="C0C0C0"/>
          </w:tcPr>
          <w:p w14:paraId="42D13034" w14:textId="7C0C9A1C" w:rsidR="00C0200A" w:rsidRPr="00BF6527" w:rsidRDefault="001733BF" w:rsidP="00A77F90">
            <w:pPr>
              <w:pStyle w:val="NoSpacing"/>
              <w:jc w:val="center"/>
              <w:rPr>
                <w:rFonts w:ascii="Arial" w:hAnsi="Arial" w:cs="Arial"/>
                <w:b/>
                <w:sz w:val="20"/>
                <w:szCs w:val="20"/>
              </w:rPr>
            </w:pPr>
            <w:r w:rsidRPr="001733BF">
              <w:rPr>
                <w:rFonts w:ascii="Arial" w:hAnsi="Arial" w:cs="Arial"/>
                <w:b/>
                <w:sz w:val="20"/>
                <w:szCs w:val="20"/>
              </w:rPr>
              <w:t>Nucynta ER</w:t>
            </w:r>
            <w:r w:rsidRPr="001733BF">
              <w:rPr>
                <w:rFonts w:ascii="Arial" w:hAnsi="Arial" w:cs="Arial"/>
                <w:b/>
                <w:sz w:val="20"/>
                <w:szCs w:val="20"/>
                <w:vertAlign w:val="superscript"/>
              </w:rPr>
              <w:t>®</w:t>
            </w:r>
            <w:r w:rsidRPr="001733BF">
              <w:rPr>
                <w:rFonts w:ascii="Arial" w:hAnsi="Arial" w:cs="Arial"/>
                <w:b/>
                <w:sz w:val="20"/>
                <w:szCs w:val="20"/>
              </w:rPr>
              <w:t xml:space="preserve"> (tapentadol extended-release</w:t>
            </w:r>
            <w:r w:rsidR="00C0200A" w:rsidRPr="00BF6527">
              <w:rPr>
                <w:rFonts w:ascii="Arial" w:hAnsi="Arial" w:cs="Arial"/>
                <w:b/>
                <w:sz w:val="20"/>
                <w:szCs w:val="20"/>
              </w:rPr>
              <w:t xml:space="preserve">) </w:t>
            </w:r>
          </w:p>
          <w:p w14:paraId="6E3303A5" w14:textId="77777777" w:rsidR="00C0200A" w:rsidRPr="00BF6527" w:rsidRDefault="00C0200A" w:rsidP="00A77F90">
            <w:pPr>
              <w:pStyle w:val="NoSpacing"/>
              <w:jc w:val="center"/>
              <w:rPr>
                <w:rFonts w:ascii="Arial" w:hAnsi="Arial" w:cs="Arial"/>
                <w:b/>
                <w:sz w:val="20"/>
                <w:szCs w:val="20"/>
              </w:rPr>
            </w:pPr>
            <w:r w:rsidRPr="00BF6527">
              <w:rPr>
                <w:rFonts w:ascii="Arial" w:hAnsi="Arial" w:cs="Arial"/>
                <w:b/>
                <w:sz w:val="20"/>
                <w:szCs w:val="20"/>
              </w:rPr>
              <w:t>50 to 250 mg BID</w:t>
            </w:r>
          </w:p>
          <w:p w14:paraId="361FB918" w14:textId="77777777" w:rsidR="00C0200A" w:rsidRPr="00BF6527" w:rsidRDefault="00C0200A" w:rsidP="00A77F90">
            <w:pPr>
              <w:pStyle w:val="NoSpacing"/>
              <w:jc w:val="center"/>
              <w:rPr>
                <w:rFonts w:ascii="Arial" w:hAnsi="Arial" w:cs="Arial"/>
                <w:b/>
                <w:sz w:val="20"/>
                <w:szCs w:val="20"/>
              </w:rPr>
            </w:pPr>
            <w:r w:rsidRPr="00BF6527">
              <w:rPr>
                <w:rFonts w:ascii="Arial" w:hAnsi="Arial" w:cs="Arial"/>
                <w:b/>
                <w:sz w:val="20"/>
                <w:szCs w:val="20"/>
              </w:rPr>
              <w:t>%; (N=980)</w:t>
            </w:r>
          </w:p>
        </w:tc>
        <w:tc>
          <w:tcPr>
            <w:tcW w:w="2970" w:type="dxa"/>
            <w:shd w:val="clear" w:color="auto" w:fill="C0C0C0"/>
          </w:tcPr>
          <w:p w14:paraId="7A0C93A0" w14:textId="77777777" w:rsidR="00C0200A" w:rsidRPr="00BF6527" w:rsidRDefault="00C0200A" w:rsidP="00A77F90">
            <w:pPr>
              <w:pStyle w:val="NoSpacing"/>
              <w:jc w:val="center"/>
              <w:rPr>
                <w:rFonts w:ascii="Arial" w:hAnsi="Arial" w:cs="Arial"/>
                <w:b/>
                <w:sz w:val="20"/>
                <w:szCs w:val="20"/>
              </w:rPr>
            </w:pPr>
            <w:r w:rsidRPr="00BF6527">
              <w:rPr>
                <w:rFonts w:ascii="Arial" w:hAnsi="Arial" w:cs="Arial"/>
                <w:b/>
                <w:sz w:val="20"/>
                <w:szCs w:val="20"/>
              </w:rPr>
              <w:t>Placebo</w:t>
            </w:r>
          </w:p>
          <w:p w14:paraId="4F884D05" w14:textId="77777777" w:rsidR="00C0200A" w:rsidRPr="00BF6527" w:rsidRDefault="00C0200A" w:rsidP="00A77F90">
            <w:pPr>
              <w:pStyle w:val="NoSpacing"/>
              <w:jc w:val="center"/>
              <w:rPr>
                <w:rFonts w:ascii="Arial" w:hAnsi="Arial" w:cs="Arial"/>
                <w:b/>
                <w:sz w:val="20"/>
                <w:szCs w:val="20"/>
              </w:rPr>
            </w:pPr>
            <w:r w:rsidRPr="00BF6527">
              <w:rPr>
                <w:rFonts w:ascii="Arial" w:hAnsi="Arial" w:cs="Arial"/>
                <w:b/>
                <w:sz w:val="20"/>
                <w:szCs w:val="20"/>
              </w:rPr>
              <w:t>%; (N=993)</w:t>
            </w:r>
          </w:p>
        </w:tc>
      </w:tr>
      <w:tr w:rsidR="00C0200A" w:rsidRPr="00BF6527" w14:paraId="7CF1CBFE" w14:textId="77777777" w:rsidTr="00A77F90">
        <w:tc>
          <w:tcPr>
            <w:tcW w:w="3150" w:type="dxa"/>
          </w:tcPr>
          <w:p w14:paraId="7CE5E374"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Nausea</w:t>
            </w:r>
          </w:p>
        </w:tc>
        <w:tc>
          <w:tcPr>
            <w:tcW w:w="3330" w:type="dxa"/>
          </w:tcPr>
          <w:p w14:paraId="1A53DB4B"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12</w:t>
            </w:r>
          </w:p>
        </w:tc>
        <w:tc>
          <w:tcPr>
            <w:tcW w:w="2970" w:type="dxa"/>
          </w:tcPr>
          <w:p w14:paraId="1E10935B"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7</w:t>
            </w:r>
          </w:p>
        </w:tc>
      </w:tr>
      <w:tr w:rsidR="00C0200A" w:rsidRPr="00BF6527" w14:paraId="201AF2A8" w14:textId="77777777" w:rsidTr="00A77F90">
        <w:tc>
          <w:tcPr>
            <w:tcW w:w="3150" w:type="dxa"/>
          </w:tcPr>
          <w:p w14:paraId="632BC97B"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Constipation</w:t>
            </w:r>
          </w:p>
        </w:tc>
        <w:tc>
          <w:tcPr>
            <w:tcW w:w="3330" w:type="dxa"/>
          </w:tcPr>
          <w:p w14:paraId="21DD576A"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17</w:t>
            </w:r>
          </w:p>
        </w:tc>
        <w:tc>
          <w:tcPr>
            <w:tcW w:w="2970" w:type="dxa"/>
          </w:tcPr>
          <w:p w14:paraId="436F4E48"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7</w:t>
            </w:r>
          </w:p>
        </w:tc>
      </w:tr>
      <w:tr w:rsidR="00C0200A" w:rsidRPr="00BF6527" w14:paraId="4EBD8EB8" w14:textId="77777777" w:rsidTr="00A77F90">
        <w:tc>
          <w:tcPr>
            <w:tcW w:w="3150" w:type="dxa"/>
          </w:tcPr>
          <w:p w14:paraId="44DBC9FC"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Dizziness</w:t>
            </w:r>
          </w:p>
        </w:tc>
        <w:tc>
          <w:tcPr>
            <w:tcW w:w="3330" w:type="dxa"/>
          </w:tcPr>
          <w:p w14:paraId="3EE08FCE"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17</w:t>
            </w:r>
          </w:p>
        </w:tc>
        <w:tc>
          <w:tcPr>
            <w:tcW w:w="2970" w:type="dxa"/>
          </w:tcPr>
          <w:p w14:paraId="47F9A1B6"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6</w:t>
            </w:r>
          </w:p>
        </w:tc>
      </w:tr>
      <w:tr w:rsidR="00C0200A" w:rsidRPr="00BF6527" w14:paraId="59082D9B" w14:textId="77777777" w:rsidTr="00A77F90">
        <w:tc>
          <w:tcPr>
            <w:tcW w:w="3150" w:type="dxa"/>
          </w:tcPr>
          <w:p w14:paraId="59190D3F"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Headache</w:t>
            </w:r>
          </w:p>
        </w:tc>
        <w:tc>
          <w:tcPr>
            <w:tcW w:w="3330" w:type="dxa"/>
          </w:tcPr>
          <w:p w14:paraId="311E1303"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15</w:t>
            </w:r>
          </w:p>
        </w:tc>
        <w:tc>
          <w:tcPr>
            <w:tcW w:w="2970" w:type="dxa"/>
          </w:tcPr>
          <w:p w14:paraId="69CC2DDC"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13</w:t>
            </w:r>
          </w:p>
        </w:tc>
      </w:tr>
      <w:tr w:rsidR="00C0200A" w:rsidRPr="00BF6527" w14:paraId="16F3A4EC" w14:textId="77777777" w:rsidTr="00A77F90">
        <w:tc>
          <w:tcPr>
            <w:tcW w:w="3150" w:type="dxa"/>
          </w:tcPr>
          <w:p w14:paraId="29CA8799"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Somnolence</w:t>
            </w:r>
          </w:p>
        </w:tc>
        <w:tc>
          <w:tcPr>
            <w:tcW w:w="3330" w:type="dxa"/>
          </w:tcPr>
          <w:p w14:paraId="59C0CED3"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12</w:t>
            </w:r>
          </w:p>
        </w:tc>
        <w:tc>
          <w:tcPr>
            <w:tcW w:w="2970" w:type="dxa"/>
          </w:tcPr>
          <w:p w14:paraId="54CB511D"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4</w:t>
            </w:r>
          </w:p>
        </w:tc>
      </w:tr>
      <w:tr w:rsidR="00C0200A" w:rsidRPr="00BF6527" w14:paraId="68D74D60" w14:textId="77777777" w:rsidTr="00A77F90">
        <w:tc>
          <w:tcPr>
            <w:tcW w:w="3150" w:type="dxa"/>
          </w:tcPr>
          <w:p w14:paraId="1C0AADFB"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Fatigue</w:t>
            </w:r>
          </w:p>
        </w:tc>
        <w:tc>
          <w:tcPr>
            <w:tcW w:w="3330" w:type="dxa"/>
          </w:tcPr>
          <w:p w14:paraId="60C12B28"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9</w:t>
            </w:r>
          </w:p>
        </w:tc>
        <w:tc>
          <w:tcPr>
            <w:tcW w:w="2970" w:type="dxa"/>
          </w:tcPr>
          <w:p w14:paraId="6DA1877A"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4</w:t>
            </w:r>
          </w:p>
        </w:tc>
      </w:tr>
      <w:tr w:rsidR="00C0200A" w:rsidRPr="00BF6527" w14:paraId="0241BD0C" w14:textId="77777777" w:rsidTr="00A77F90">
        <w:tc>
          <w:tcPr>
            <w:tcW w:w="3150" w:type="dxa"/>
          </w:tcPr>
          <w:p w14:paraId="26C05808"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Vomiting</w:t>
            </w:r>
          </w:p>
        </w:tc>
        <w:tc>
          <w:tcPr>
            <w:tcW w:w="3330" w:type="dxa"/>
          </w:tcPr>
          <w:p w14:paraId="3BFE03EC"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8</w:t>
            </w:r>
          </w:p>
        </w:tc>
        <w:tc>
          <w:tcPr>
            <w:tcW w:w="2970" w:type="dxa"/>
          </w:tcPr>
          <w:p w14:paraId="1AE9467C"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3</w:t>
            </w:r>
          </w:p>
        </w:tc>
      </w:tr>
      <w:tr w:rsidR="00C0200A" w:rsidRPr="00BF6527" w14:paraId="5045E57F" w14:textId="77777777" w:rsidTr="00A77F90">
        <w:tc>
          <w:tcPr>
            <w:tcW w:w="3150" w:type="dxa"/>
          </w:tcPr>
          <w:p w14:paraId="2EFE191A"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Dry mouth</w:t>
            </w:r>
          </w:p>
        </w:tc>
        <w:tc>
          <w:tcPr>
            <w:tcW w:w="3330" w:type="dxa"/>
          </w:tcPr>
          <w:p w14:paraId="6515C693"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7</w:t>
            </w:r>
          </w:p>
        </w:tc>
        <w:tc>
          <w:tcPr>
            <w:tcW w:w="2970" w:type="dxa"/>
          </w:tcPr>
          <w:p w14:paraId="0F6FD4DD"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r>
      <w:tr w:rsidR="00C0200A" w:rsidRPr="00BF6527" w14:paraId="1429F364" w14:textId="77777777" w:rsidTr="00A77F90">
        <w:tc>
          <w:tcPr>
            <w:tcW w:w="3150" w:type="dxa"/>
          </w:tcPr>
          <w:p w14:paraId="2482105B"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Hyperhidrosis</w:t>
            </w:r>
          </w:p>
        </w:tc>
        <w:tc>
          <w:tcPr>
            <w:tcW w:w="3330" w:type="dxa"/>
          </w:tcPr>
          <w:p w14:paraId="2CBA3705"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5</w:t>
            </w:r>
          </w:p>
        </w:tc>
        <w:tc>
          <w:tcPr>
            <w:tcW w:w="2970" w:type="dxa"/>
          </w:tcPr>
          <w:p w14:paraId="7EDD8AFC"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439E8DCF" w14:textId="77777777" w:rsidTr="00A77F90">
        <w:tc>
          <w:tcPr>
            <w:tcW w:w="3150" w:type="dxa"/>
          </w:tcPr>
          <w:p w14:paraId="286AF0F6"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Pruritus</w:t>
            </w:r>
          </w:p>
        </w:tc>
        <w:tc>
          <w:tcPr>
            <w:tcW w:w="3330" w:type="dxa"/>
          </w:tcPr>
          <w:p w14:paraId="29AAD899"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5</w:t>
            </w:r>
          </w:p>
        </w:tc>
        <w:tc>
          <w:tcPr>
            <w:tcW w:w="2970" w:type="dxa"/>
          </w:tcPr>
          <w:p w14:paraId="1A442726"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r>
      <w:tr w:rsidR="00C0200A" w:rsidRPr="00BF6527" w14:paraId="33194E4E" w14:textId="77777777" w:rsidTr="00A77F90">
        <w:tc>
          <w:tcPr>
            <w:tcW w:w="3150" w:type="dxa"/>
          </w:tcPr>
          <w:p w14:paraId="34B31019"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Insomnia</w:t>
            </w:r>
          </w:p>
        </w:tc>
        <w:tc>
          <w:tcPr>
            <w:tcW w:w="3330" w:type="dxa"/>
          </w:tcPr>
          <w:p w14:paraId="547D5703"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4</w:t>
            </w:r>
          </w:p>
        </w:tc>
        <w:tc>
          <w:tcPr>
            <w:tcW w:w="2970" w:type="dxa"/>
          </w:tcPr>
          <w:p w14:paraId="677FF650"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r>
      <w:tr w:rsidR="00C0200A" w:rsidRPr="00BF6527" w14:paraId="7B8EA260" w14:textId="77777777" w:rsidTr="00A77F90">
        <w:tc>
          <w:tcPr>
            <w:tcW w:w="3150" w:type="dxa"/>
          </w:tcPr>
          <w:p w14:paraId="6CDDC7BF"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Dyspepsia</w:t>
            </w:r>
          </w:p>
        </w:tc>
        <w:tc>
          <w:tcPr>
            <w:tcW w:w="3330" w:type="dxa"/>
          </w:tcPr>
          <w:p w14:paraId="1344DA2F"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3</w:t>
            </w:r>
          </w:p>
        </w:tc>
        <w:tc>
          <w:tcPr>
            <w:tcW w:w="2970" w:type="dxa"/>
          </w:tcPr>
          <w:p w14:paraId="5372F0D9"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r>
      <w:tr w:rsidR="00C0200A" w:rsidRPr="00BF6527" w14:paraId="6421A90E" w14:textId="77777777" w:rsidTr="00A77F90">
        <w:tc>
          <w:tcPr>
            <w:tcW w:w="3150" w:type="dxa"/>
          </w:tcPr>
          <w:p w14:paraId="29F82C25"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Lethargy</w:t>
            </w:r>
          </w:p>
        </w:tc>
        <w:tc>
          <w:tcPr>
            <w:tcW w:w="3330" w:type="dxa"/>
          </w:tcPr>
          <w:p w14:paraId="30C2573E"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c>
          <w:tcPr>
            <w:tcW w:w="2970" w:type="dxa"/>
          </w:tcPr>
          <w:p w14:paraId="2A99AA29"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5B675373" w14:textId="77777777" w:rsidTr="00A77F90">
        <w:tc>
          <w:tcPr>
            <w:tcW w:w="3150" w:type="dxa"/>
          </w:tcPr>
          <w:p w14:paraId="7A5F66D5"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Asthenia</w:t>
            </w:r>
          </w:p>
        </w:tc>
        <w:tc>
          <w:tcPr>
            <w:tcW w:w="3330" w:type="dxa"/>
          </w:tcPr>
          <w:p w14:paraId="38F8F709"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c>
          <w:tcPr>
            <w:tcW w:w="2970" w:type="dxa"/>
          </w:tcPr>
          <w:p w14:paraId="4229DF46"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5CFA3573" w14:textId="77777777" w:rsidTr="00A77F90">
        <w:tc>
          <w:tcPr>
            <w:tcW w:w="3150" w:type="dxa"/>
          </w:tcPr>
          <w:p w14:paraId="25F94682"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Anxiety</w:t>
            </w:r>
          </w:p>
        </w:tc>
        <w:tc>
          <w:tcPr>
            <w:tcW w:w="3330" w:type="dxa"/>
          </w:tcPr>
          <w:p w14:paraId="6712B9FF"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c>
          <w:tcPr>
            <w:tcW w:w="2970" w:type="dxa"/>
          </w:tcPr>
          <w:p w14:paraId="5476647F"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w:t>
            </w:r>
          </w:p>
        </w:tc>
      </w:tr>
      <w:tr w:rsidR="00C0200A" w:rsidRPr="00BF6527" w14:paraId="322C1238" w14:textId="77777777" w:rsidTr="00A77F90">
        <w:tc>
          <w:tcPr>
            <w:tcW w:w="3150" w:type="dxa"/>
          </w:tcPr>
          <w:p w14:paraId="05E16A67"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Appetite, decreased</w:t>
            </w:r>
          </w:p>
        </w:tc>
        <w:tc>
          <w:tcPr>
            <w:tcW w:w="3330" w:type="dxa"/>
          </w:tcPr>
          <w:p w14:paraId="33BB9AEE"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c>
          <w:tcPr>
            <w:tcW w:w="2970" w:type="dxa"/>
          </w:tcPr>
          <w:p w14:paraId="3F336810"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64515E24" w14:textId="77777777" w:rsidTr="00A77F90">
        <w:tc>
          <w:tcPr>
            <w:tcW w:w="3150" w:type="dxa"/>
          </w:tcPr>
          <w:p w14:paraId="5FC3B11A"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Vertigo</w:t>
            </w:r>
          </w:p>
        </w:tc>
        <w:tc>
          <w:tcPr>
            <w:tcW w:w="3330" w:type="dxa"/>
          </w:tcPr>
          <w:p w14:paraId="716E2C93"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c>
          <w:tcPr>
            <w:tcW w:w="2970" w:type="dxa"/>
          </w:tcPr>
          <w:p w14:paraId="2AB10674"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760AE550" w14:textId="77777777" w:rsidTr="00A77F90">
        <w:tc>
          <w:tcPr>
            <w:tcW w:w="3150" w:type="dxa"/>
          </w:tcPr>
          <w:p w14:paraId="2095684B"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Hot flush</w:t>
            </w:r>
          </w:p>
        </w:tc>
        <w:tc>
          <w:tcPr>
            <w:tcW w:w="3330" w:type="dxa"/>
          </w:tcPr>
          <w:p w14:paraId="1ECEB73A"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2</w:t>
            </w:r>
          </w:p>
        </w:tc>
        <w:tc>
          <w:tcPr>
            <w:tcW w:w="2970" w:type="dxa"/>
          </w:tcPr>
          <w:p w14:paraId="7B57E576"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5C2A1951" w14:textId="77777777" w:rsidTr="00A77F90">
        <w:tc>
          <w:tcPr>
            <w:tcW w:w="3150" w:type="dxa"/>
          </w:tcPr>
          <w:p w14:paraId="1B0C1B3C"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Disturbance in attention</w:t>
            </w:r>
          </w:p>
        </w:tc>
        <w:tc>
          <w:tcPr>
            <w:tcW w:w="3330" w:type="dxa"/>
          </w:tcPr>
          <w:p w14:paraId="3A7D994D"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w:t>
            </w:r>
          </w:p>
        </w:tc>
        <w:tc>
          <w:tcPr>
            <w:tcW w:w="2970" w:type="dxa"/>
          </w:tcPr>
          <w:p w14:paraId="7F6EE3E7"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5F0A72DF" w14:textId="77777777" w:rsidTr="00A77F90">
        <w:tc>
          <w:tcPr>
            <w:tcW w:w="3150" w:type="dxa"/>
          </w:tcPr>
          <w:p w14:paraId="561A10C4"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Tremor</w:t>
            </w:r>
          </w:p>
        </w:tc>
        <w:tc>
          <w:tcPr>
            <w:tcW w:w="3330" w:type="dxa"/>
          </w:tcPr>
          <w:p w14:paraId="41020EF6"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w:t>
            </w:r>
          </w:p>
        </w:tc>
        <w:tc>
          <w:tcPr>
            <w:tcW w:w="2970" w:type="dxa"/>
          </w:tcPr>
          <w:p w14:paraId="0704D274"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1E7D2686" w14:textId="77777777" w:rsidTr="00A77F90">
        <w:trPr>
          <w:trHeight w:val="70"/>
        </w:trPr>
        <w:tc>
          <w:tcPr>
            <w:tcW w:w="3150" w:type="dxa"/>
          </w:tcPr>
          <w:p w14:paraId="2EE5C0D6"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Chills</w:t>
            </w:r>
          </w:p>
        </w:tc>
        <w:tc>
          <w:tcPr>
            <w:tcW w:w="3330" w:type="dxa"/>
          </w:tcPr>
          <w:p w14:paraId="3F2393D4"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w:t>
            </w:r>
          </w:p>
        </w:tc>
        <w:tc>
          <w:tcPr>
            <w:tcW w:w="2970" w:type="dxa"/>
          </w:tcPr>
          <w:p w14:paraId="52EB0DCC"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0</w:t>
            </w:r>
          </w:p>
        </w:tc>
      </w:tr>
      <w:tr w:rsidR="00C0200A" w:rsidRPr="00BF6527" w14:paraId="496EE8D5" w14:textId="77777777" w:rsidTr="00A77F90">
        <w:trPr>
          <w:trHeight w:val="70"/>
        </w:trPr>
        <w:tc>
          <w:tcPr>
            <w:tcW w:w="3150" w:type="dxa"/>
          </w:tcPr>
          <w:p w14:paraId="423BAD3C"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Abnormal dreams</w:t>
            </w:r>
          </w:p>
        </w:tc>
        <w:tc>
          <w:tcPr>
            <w:tcW w:w="3330" w:type="dxa"/>
          </w:tcPr>
          <w:p w14:paraId="0671A660"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w:t>
            </w:r>
          </w:p>
        </w:tc>
        <w:tc>
          <w:tcPr>
            <w:tcW w:w="2970" w:type="dxa"/>
          </w:tcPr>
          <w:p w14:paraId="5108609B"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7705E300" w14:textId="77777777" w:rsidTr="00A77F90">
        <w:trPr>
          <w:trHeight w:val="70"/>
        </w:trPr>
        <w:tc>
          <w:tcPr>
            <w:tcW w:w="3150" w:type="dxa"/>
          </w:tcPr>
          <w:p w14:paraId="3EE71B01"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Depression</w:t>
            </w:r>
          </w:p>
        </w:tc>
        <w:tc>
          <w:tcPr>
            <w:tcW w:w="3330" w:type="dxa"/>
          </w:tcPr>
          <w:p w14:paraId="4303D738"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w:t>
            </w:r>
          </w:p>
        </w:tc>
        <w:tc>
          <w:tcPr>
            <w:tcW w:w="2970" w:type="dxa"/>
          </w:tcPr>
          <w:p w14:paraId="056461BA"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45833EBE" w14:textId="77777777" w:rsidTr="00A77F90">
        <w:trPr>
          <w:trHeight w:val="70"/>
        </w:trPr>
        <w:tc>
          <w:tcPr>
            <w:tcW w:w="3150" w:type="dxa"/>
          </w:tcPr>
          <w:p w14:paraId="37E26D50"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Vision blurred</w:t>
            </w:r>
          </w:p>
        </w:tc>
        <w:tc>
          <w:tcPr>
            <w:tcW w:w="3330" w:type="dxa"/>
          </w:tcPr>
          <w:p w14:paraId="048868B6"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w:t>
            </w:r>
          </w:p>
        </w:tc>
        <w:tc>
          <w:tcPr>
            <w:tcW w:w="2970" w:type="dxa"/>
          </w:tcPr>
          <w:p w14:paraId="0025CF02"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&lt;1</w:t>
            </w:r>
          </w:p>
        </w:tc>
      </w:tr>
      <w:tr w:rsidR="00C0200A" w:rsidRPr="00BF6527" w14:paraId="3C1C01FC" w14:textId="77777777" w:rsidTr="00A77F90">
        <w:trPr>
          <w:trHeight w:val="70"/>
        </w:trPr>
        <w:tc>
          <w:tcPr>
            <w:tcW w:w="3150" w:type="dxa"/>
          </w:tcPr>
          <w:p w14:paraId="570ACFA6" w14:textId="77777777" w:rsidR="00C0200A" w:rsidRPr="00BF6527" w:rsidRDefault="00C0200A" w:rsidP="00A77F90">
            <w:pPr>
              <w:pStyle w:val="NoSpacing"/>
              <w:rPr>
                <w:rFonts w:ascii="Arial" w:hAnsi="Arial" w:cs="Arial"/>
                <w:sz w:val="20"/>
                <w:szCs w:val="20"/>
              </w:rPr>
            </w:pPr>
            <w:r w:rsidRPr="00BF6527">
              <w:rPr>
                <w:rFonts w:ascii="Arial" w:hAnsi="Arial" w:cs="Arial"/>
                <w:sz w:val="20"/>
                <w:szCs w:val="20"/>
              </w:rPr>
              <w:t>Erectile dysfunction</w:t>
            </w:r>
          </w:p>
        </w:tc>
        <w:tc>
          <w:tcPr>
            <w:tcW w:w="3330" w:type="dxa"/>
          </w:tcPr>
          <w:p w14:paraId="54CCE640"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1</w:t>
            </w:r>
          </w:p>
        </w:tc>
        <w:tc>
          <w:tcPr>
            <w:tcW w:w="2970" w:type="dxa"/>
          </w:tcPr>
          <w:p w14:paraId="53AA0203" w14:textId="77777777" w:rsidR="00C0200A" w:rsidRPr="00BF6527" w:rsidRDefault="00C0200A" w:rsidP="00A77F90">
            <w:pPr>
              <w:pStyle w:val="NoSpacing"/>
              <w:jc w:val="center"/>
              <w:rPr>
                <w:rFonts w:ascii="Arial" w:hAnsi="Arial" w:cs="Arial"/>
                <w:sz w:val="20"/>
                <w:szCs w:val="20"/>
              </w:rPr>
            </w:pPr>
            <w:r w:rsidRPr="00BF6527">
              <w:rPr>
                <w:rFonts w:ascii="Arial" w:hAnsi="Arial" w:cs="Arial"/>
                <w:sz w:val="20"/>
                <w:szCs w:val="20"/>
              </w:rPr>
              <w:t xml:space="preserve">&lt;1 </w:t>
            </w:r>
          </w:p>
        </w:tc>
      </w:tr>
    </w:tbl>
    <w:p w14:paraId="3EDD33C1" w14:textId="77777777" w:rsidR="0083476D" w:rsidRDefault="0083476D" w:rsidP="004920E8">
      <w:pPr>
        <w:pStyle w:val="NoSpacing"/>
        <w:rPr>
          <w:rFonts w:ascii="Arial" w:hAnsi="Arial" w:cs="Arial"/>
          <w:b/>
          <w:sz w:val="20"/>
          <w:szCs w:val="20"/>
          <w:u w:val="single"/>
        </w:rPr>
      </w:pPr>
    </w:p>
    <w:p w14:paraId="3B29B12D" w14:textId="77777777" w:rsidR="00C0200A" w:rsidRPr="00C0200A" w:rsidRDefault="00C0200A" w:rsidP="001733BF">
      <w:pPr>
        <w:spacing w:after="0" w:line="240" w:lineRule="auto"/>
        <w:ind w:right="-270"/>
        <w:rPr>
          <w:rFonts w:ascii="Arial" w:hAnsi="Arial" w:cs="Arial"/>
          <w:b/>
          <w:sz w:val="20"/>
          <w:szCs w:val="20"/>
        </w:rPr>
      </w:pPr>
      <w:r w:rsidRPr="00C0200A">
        <w:rPr>
          <w:rFonts w:ascii="Arial" w:hAnsi="Arial" w:cs="Arial"/>
          <w:b/>
          <w:sz w:val="20"/>
          <w:szCs w:val="20"/>
        </w:rPr>
        <w:t>Table 12. Adverse reactions reported by ≥1% of patients treated with tapentadol ER in two pooled, placebo-controlled trials of neuropathic pain associated with diabetic peripheral neuropathy</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0"/>
        <w:gridCol w:w="3330"/>
        <w:gridCol w:w="2970"/>
      </w:tblGrid>
      <w:tr w:rsidR="00C0200A" w:rsidRPr="00C0200A" w14:paraId="57C418FF" w14:textId="77777777" w:rsidTr="00A77F90">
        <w:trPr>
          <w:tblHeader/>
        </w:trPr>
        <w:tc>
          <w:tcPr>
            <w:tcW w:w="3150" w:type="dxa"/>
            <w:shd w:val="clear" w:color="auto" w:fill="C0C0C0"/>
          </w:tcPr>
          <w:p w14:paraId="497ECD82" w14:textId="77777777" w:rsidR="00C0200A" w:rsidRPr="00C0200A" w:rsidRDefault="00C0200A" w:rsidP="00C0200A">
            <w:pPr>
              <w:spacing w:after="0" w:line="240" w:lineRule="auto"/>
              <w:rPr>
                <w:rFonts w:ascii="Arial" w:hAnsi="Arial" w:cs="Arial"/>
                <w:b/>
                <w:sz w:val="20"/>
                <w:szCs w:val="20"/>
              </w:rPr>
            </w:pPr>
            <w:r w:rsidRPr="00C0200A">
              <w:rPr>
                <w:rFonts w:ascii="Arial" w:hAnsi="Arial" w:cs="Arial"/>
                <w:b/>
                <w:sz w:val="20"/>
                <w:szCs w:val="20"/>
              </w:rPr>
              <w:t>Adverse Event</w:t>
            </w:r>
          </w:p>
        </w:tc>
        <w:tc>
          <w:tcPr>
            <w:tcW w:w="3330" w:type="dxa"/>
            <w:shd w:val="clear" w:color="auto" w:fill="C0C0C0"/>
          </w:tcPr>
          <w:p w14:paraId="209EDCFB" w14:textId="77777777" w:rsidR="00C0200A" w:rsidRPr="00C0200A" w:rsidRDefault="00C0200A" w:rsidP="00C0200A">
            <w:pPr>
              <w:spacing w:after="0" w:line="240" w:lineRule="auto"/>
              <w:jc w:val="center"/>
              <w:rPr>
                <w:rFonts w:ascii="Arial" w:hAnsi="Arial" w:cs="Arial"/>
                <w:b/>
                <w:sz w:val="20"/>
                <w:szCs w:val="20"/>
              </w:rPr>
            </w:pPr>
            <w:r w:rsidRPr="00C0200A">
              <w:rPr>
                <w:rFonts w:ascii="Arial" w:hAnsi="Arial" w:cs="Arial"/>
                <w:b/>
                <w:sz w:val="20"/>
                <w:szCs w:val="20"/>
              </w:rPr>
              <w:t>Nucynta</w:t>
            </w:r>
            <w:r w:rsidRPr="00C0200A">
              <w:rPr>
                <w:rFonts w:ascii="Arial" w:hAnsi="Arial" w:cs="Arial"/>
                <w:b/>
                <w:sz w:val="20"/>
                <w:szCs w:val="20"/>
                <w:vertAlign w:val="superscript"/>
              </w:rPr>
              <w:t>®</w:t>
            </w:r>
            <w:r w:rsidRPr="00C0200A">
              <w:rPr>
                <w:rFonts w:ascii="Arial" w:hAnsi="Arial" w:cs="Arial"/>
                <w:b/>
                <w:sz w:val="20"/>
                <w:szCs w:val="20"/>
              </w:rPr>
              <w:t xml:space="preserve"> ER (tapentadol) </w:t>
            </w:r>
          </w:p>
          <w:p w14:paraId="09903A1E" w14:textId="77777777" w:rsidR="00C0200A" w:rsidRPr="00C0200A" w:rsidRDefault="00C0200A" w:rsidP="00C0200A">
            <w:pPr>
              <w:spacing w:after="0" w:line="240" w:lineRule="auto"/>
              <w:jc w:val="center"/>
              <w:rPr>
                <w:rFonts w:ascii="Arial" w:hAnsi="Arial" w:cs="Arial"/>
                <w:b/>
                <w:sz w:val="20"/>
                <w:szCs w:val="20"/>
              </w:rPr>
            </w:pPr>
            <w:r w:rsidRPr="00C0200A">
              <w:rPr>
                <w:rFonts w:ascii="Arial" w:hAnsi="Arial" w:cs="Arial"/>
                <w:b/>
                <w:sz w:val="20"/>
                <w:szCs w:val="20"/>
              </w:rPr>
              <w:t>50 to 250 mg BID</w:t>
            </w:r>
          </w:p>
          <w:p w14:paraId="7D123576" w14:textId="77777777" w:rsidR="00C0200A" w:rsidRPr="00C0200A" w:rsidRDefault="00C0200A" w:rsidP="00C0200A">
            <w:pPr>
              <w:spacing w:after="0" w:line="240" w:lineRule="auto"/>
              <w:jc w:val="center"/>
              <w:rPr>
                <w:rFonts w:ascii="Arial" w:hAnsi="Arial" w:cs="Arial"/>
                <w:b/>
                <w:sz w:val="20"/>
                <w:szCs w:val="20"/>
              </w:rPr>
            </w:pPr>
            <w:r w:rsidRPr="00C0200A">
              <w:rPr>
                <w:rFonts w:ascii="Arial" w:hAnsi="Arial" w:cs="Arial"/>
                <w:b/>
                <w:sz w:val="20"/>
                <w:szCs w:val="20"/>
              </w:rPr>
              <w:t>%; (N=1,040)</w:t>
            </w:r>
          </w:p>
        </w:tc>
        <w:tc>
          <w:tcPr>
            <w:tcW w:w="2970" w:type="dxa"/>
            <w:shd w:val="clear" w:color="auto" w:fill="C0C0C0"/>
          </w:tcPr>
          <w:p w14:paraId="3E99E248" w14:textId="77777777" w:rsidR="00C0200A" w:rsidRPr="00C0200A" w:rsidRDefault="00C0200A" w:rsidP="00C0200A">
            <w:pPr>
              <w:spacing w:after="0" w:line="240" w:lineRule="auto"/>
              <w:jc w:val="center"/>
              <w:rPr>
                <w:rFonts w:ascii="Arial" w:hAnsi="Arial" w:cs="Arial"/>
                <w:b/>
                <w:sz w:val="20"/>
                <w:szCs w:val="20"/>
              </w:rPr>
            </w:pPr>
            <w:r w:rsidRPr="00C0200A">
              <w:rPr>
                <w:rFonts w:ascii="Arial" w:hAnsi="Arial" w:cs="Arial"/>
                <w:b/>
                <w:sz w:val="20"/>
                <w:szCs w:val="20"/>
              </w:rPr>
              <w:t>Placebo</w:t>
            </w:r>
          </w:p>
          <w:p w14:paraId="308ACC15" w14:textId="77777777" w:rsidR="00C0200A" w:rsidRPr="00C0200A" w:rsidRDefault="00C0200A" w:rsidP="00C0200A">
            <w:pPr>
              <w:spacing w:after="0" w:line="240" w:lineRule="auto"/>
              <w:jc w:val="center"/>
              <w:rPr>
                <w:rFonts w:ascii="Arial" w:hAnsi="Arial" w:cs="Arial"/>
                <w:b/>
                <w:sz w:val="20"/>
                <w:szCs w:val="20"/>
              </w:rPr>
            </w:pPr>
            <w:r w:rsidRPr="00C0200A">
              <w:rPr>
                <w:rFonts w:ascii="Arial" w:hAnsi="Arial" w:cs="Arial"/>
                <w:b/>
                <w:sz w:val="20"/>
                <w:szCs w:val="20"/>
              </w:rPr>
              <w:t>%; (N=343)</w:t>
            </w:r>
          </w:p>
        </w:tc>
      </w:tr>
      <w:tr w:rsidR="00C0200A" w:rsidRPr="00C0200A" w14:paraId="3EC0407D" w14:textId="77777777" w:rsidTr="00A77F90">
        <w:tc>
          <w:tcPr>
            <w:tcW w:w="3150" w:type="dxa"/>
          </w:tcPr>
          <w:p w14:paraId="18FFC089"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Nausea</w:t>
            </w:r>
          </w:p>
        </w:tc>
        <w:tc>
          <w:tcPr>
            <w:tcW w:w="3330" w:type="dxa"/>
          </w:tcPr>
          <w:p w14:paraId="268A0FB4"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27</w:t>
            </w:r>
          </w:p>
        </w:tc>
        <w:tc>
          <w:tcPr>
            <w:tcW w:w="2970" w:type="dxa"/>
          </w:tcPr>
          <w:p w14:paraId="19892E41"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8</w:t>
            </w:r>
          </w:p>
        </w:tc>
      </w:tr>
      <w:tr w:rsidR="00C0200A" w:rsidRPr="00C0200A" w14:paraId="084BAB92" w14:textId="77777777" w:rsidTr="00A77F90">
        <w:tc>
          <w:tcPr>
            <w:tcW w:w="3150" w:type="dxa"/>
          </w:tcPr>
          <w:p w14:paraId="7076E32F"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 xml:space="preserve">Dizziness </w:t>
            </w:r>
          </w:p>
        </w:tc>
        <w:tc>
          <w:tcPr>
            <w:tcW w:w="3330" w:type="dxa"/>
          </w:tcPr>
          <w:p w14:paraId="1BF671DF"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18</w:t>
            </w:r>
          </w:p>
        </w:tc>
        <w:tc>
          <w:tcPr>
            <w:tcW w:w="2970" w:type="dxa"/>
          </w:tcPr>
          <w:p w14:paraId="587B2BC9"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2</w:t>
            </w:r>
          </w:p>
        </w:tc>
      </w:tr>
      <w:tr w:rsidR="00C0200A" w:rsidRPr="00C0200A" w14:paraId="28E20F5B" w14:textId="77777777" w:rsidTr="00A77F90">
        <w:tc>
          <w:tcPr>
            <w:tcW w:w="3150" w:type="dxa"/>
          </w:tcPr>
          <w:p w14:paraId="5A01A294"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Somnolence</w:t>
            </w:r>
          </w:p>
        </w:tc>
        <w:tc>
          <w:tcPr>
            <w:tcW w:w="3330" w:type="dxa"/>
          </w:tcPr>
          <w:p w14:paraId="0BC6FDDB"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14</w:t>
            </w:r>
          </w:p>
        </w:tc>
        <w:tc>
          <w:tcPr>
            <w:tcW w:w="2970" w:type="dxa"/>
          </w:tcPr>
          <w:p w14:paraId="6C057839"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&lt;1</w:t>
            </w:r>
          </w:p>
        </w:tc>
      </w:tr>
      <w:tr w:rsidR="00C0200A" w:rsidRPr="00C0200A" w14:paraId="64A2FA9C" w14:textId="77777777" w:rsidTr="00A77F90">
        <w:tc>
          <w:tcPr>
            <w:tcW w:w="3150" w:type="dxa"/>
          </w:tcPr>
          <w:p w14:paraId="0373D813"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Constipation</w:t>
            </w:r>
          </w:p>
        </w:tc>
        <w:tc>
          <w:tcPr>
            <w:tcW w:w="3330" w:type="dxa"/>
          </w:tcPr>
          <w:p w14:paraId="0E35055B"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13</w:t>
            </w:r>
          </w:p>
        </w:tc>
        <w:tc>
          <w:tcPr>
            <w:tcW w:w="2970" w:type="dxa"/>
          </w:tcPr>
          <w:p w14:paraId="231B2D3B"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&lt;1</w:t>
            </w:r>
          </w:p>
        </w:tc>
      </w:tr>
      <w:tr w:rsidR="00C0200A" w:rsidRPr="00C0200A" w14:paraId="750207B9" w14:textId="77777777" w:rsidTr="00A77F90">
        <w:tc>
          <w:tcPr>
            <w:tcW w:w="3150" w:type="dxa"/>
          </w:tcPr>
          <w:p w14:paraId="5B752C21"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Vomiting</w:t>
            </w:r>
          </w:p>
        </w:tc>
        <w:tc>
          <w:tcPr>
            <w:tcW w:w="3330" w:type="dxa"/>
          </w:tcPr>
          <w:p w14:paraId="392AD8B0"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12</w:t>
            </w:r>
          </w:p>
        </w:tc>
        <w:tc>
          <w:tcPr>
            <w:tcW w:w="2970" w:type="dxa"/>
          </w:tcPr>
          <w:p w14:paraId="3BC7A497"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3</w:t>
            </w:r>
          </w:p>
        </w:tc>
      </w:tr>
      <w:tr w:rsidR="00C0200A" w:rsidRPr="00C0200A" w14:paraId="60041897" w14:textId="77777777" w:rsidTr="00A77F90">
        <w:tc>
          <w:tcPr>
            <w:tcW w:w="3150" w:type="dxa"/>
          </w:tcPr>
          <w:p w14:paraId="69EF405C"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Headache</w:t>
            </w:r>
          </w:p>
        </w:tc>
        <w:tc>
          <w:tcPr>
            <w:tcW w:w="3330" w:type="dxa"/>
          </w:tcPr>
          <w:p w14:paraId="1A8508E1"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10</w:t>
            </w:r>
          </w:p>
        </w:tc>
        <w:tc>
          <w:tcPr>
            <w:tcW w:w="2970" w:type="dxa"/>
          </w:tcPr>
          <w:p w14:paraId="7CB25216"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5</w:t>
            </w:r>
          </w:p>
        </w:tc>
      </w:tr>
      <w:tr w:rsidR="00C0200A" w:rsidRPr="00C0200A" w14:paraId="0F3FC788" w14:textId="77777777" w:rsidTr="00A77F90">
        <w:tc>
          <w:tcPr>
            <w:tcW w:w="3150" w:type="dxa"/>
          </w:tcPr>
          <w:p w14:paraId="183049C6"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Fatigue</w:t>
            </w:r>
          </w:p>
        </w:tc>
        <w:tc>
          <w:tcPr>
            <w:tcW w:w="3330" w:type="dxa"/>
          </w:tcPr>
          <w:p w14:paraId="0F8B0082"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9</w:t>
            </w:r>
          </w:p>
        </w:tc>
        <w:tc>
          <w:tcPr>
            <w:tcW w:w="2970" w:type="dxa"/>
          </w:tcPr>
          <w:p w14:paraId="629F2AF4"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&lt;1</w:t>
            </w:r>
          </w:p>
        </w:tc>
      </w:tr>
      <w:tr w:rsidR="00C0200A" w:rsidRPr="00C0200A" w14:paraId="5F655052" w14:textId="77777777" w:rsidTr="00A77F90">
        <w:tc>
          <w:tcPr>
            <w:tcW w:w="3150" w:type="dxa"/>
          </w:tcPr>
          <w:p w14:paraId="1CD66DAC"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Pruritus</w:t>
            </w:r>
          </w:p>
        </w:tc>
        <w:tc>
          <w:tcPr>
            <w:tcW w:w="3330" w:type="dxa"/>
          </w:tcPr>
          <w:p w14:paraId="693A1AFA"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8</w:t>
            </w:r>
          </w:p>
        </w:tc>
        <w:tc>
          <w:tcPr>
            <w:tcW w:w="2970" w:type="dxa"/>
          </w:tcPr>
          <w:p w14:paraId="7529CB33"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0</w:t>
            </w:r>
          </w:p>
        </w:tc>
      </w:tr>
      <w:tr w:rsidR="00C0200A" w:rsidRPr="00C0200A" w14:paraId="756112CB" w14:textId="77777777" w:rsidTr="00A77F90">
        <w:tc>
          <w:tcPr>
            <w:tcW w:w="3150" w:type="dxa"/>
          </w:tcPr>
          <w:p w14:paraId="4CC7501A"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lastRenderedPageBreak/>
              <w:t>Dry mouth</w:t>
            </w:r>
          </w:p>
        </w:tc>
        <w:tc>
          <w:tcPr>
            <w:tcW w:w="3330" w:type="dxa"/>
          </w:tcPr>
          <w:p w14:paraId="1558C805"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7</w:t>
            </w:r>
          </w:p>
        </w:tc>
        <w:tc>
          <w:tcPr>
            <w:tcW w:w="2970" w:type="dxa"/>
          </w:tcPr>
          <w:p w14:paraId="09FE21BD"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&lt;1</w:t>
            </w:r>
          </w:p>
        </w:tc>
      </w:tr>
      <w:tr w:rsidR="00C0200A" w:rsidRPr="00C0200A" w14:paraId="12413149" w14:textId="77777777" w:rsidTr="00A77F90">
        <w:tc>
          <w:tcPr>
            <w:tcW w:w="3150" w:type="dxa"/>
          </w:tcPr>
          <w:p w14:paraId="281AEC5C"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Diarrhea</w:t>
            </w:r>
          </w:p>
        </w:tc>
        <w:tc>
          <w:tcPr>
            <w:tcW w:w="3330" w:type="dxa"/>
          </w:tcPr>
          <w:p w14:paraId="2BEA4D94"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7</w:t>
            </w:r>
          </w:p>
        </w:tc>
        <w:tc>
          <w:tcPr>
            <w:tcW w:w="2970" w:type="dxa"/>
          </w:tcPr>
          <w:p w14:paraId="56AEFD88"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5</w:t>
            </w:r>
          </w:p>
        </w:tc>
      </w:tr>
      <w:tr w:rsidR="00C0200A" w:rsidRPr="00C0200A" w14:paraId="4DCAA156" w14:textId="77777777" w:rsidTr="00A77F90">
        <w:tc>
          <w:tcPr>
            <w:tcW w:w="3150" w:type="dxa"/>
          </w:tcPr>
          <w:p w14:paraId="6A0C800E"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Appetite, decreased</w:t>
            </w:r>
          </w:p>
        </w:tc>
        <w:tc>
          <w:tcPr>
            <w:tcW w:w="3330" w:type="dxa"/>
          </w:tcPr>
          <w:p w14:paraId="7C997E50"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6</w:t>
            </w:r>
          </w:p>
        </w:tc>
        <w:tc>
          <w:tcPr>
            <w:tcW w:w="2970" w:type="dxa"/>
          </w:tcPr>
          <w:p w14:paraId="278FAC1D"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&lt;1</w:t>
            </w:r>
          </w:p>
        </w:tc>
      </w:tr>
      <w:tr w:rsidR="00C0200A" w:rsidRPr="00C0200A" w14:paraId="29A5C8BD" w14:textId="77777777" w:rsidTr="00A77F90">
        <w:tc>
          <w:tcPr>
            <w:tcW w:w="3150" w:type="dxa"/>
          </w:tcPr>
          <w:p w14:paraId="719C410C"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Anxiety</w:t>
            </w:r>
          </w:p>
        </w:tc>
        <w:tc>
          <w:tcPr>
            <w:tcW w:w="3330" w:type="dxa"/>
          </w:tcPr>
          <w:p w14:paraId="12785D47"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5</w:t>
            </w:r>
          </w:p>
        </w:tc>
        <w:tc>
          <w:tcPr>
            <w:tcW w:w="2970" w:type="dxa"/>
          </w:tcPr>
          <w:p w14:paraId="2E9F2045"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4</w:t>
            </w:r>
          </w:p>
        </w:tc>
      </w:tr>
      <w:tr w:rsidR="00C0200A" w:rsidRPr="00C0200A" w14:paraId="564580E2" w14:textId="77777777" w:rsidTr="00A77F90">
        <w:tc>
          <w:tcPr>
            <w:tcW w:w="3150" w:type="dxa"/>
          </w:tcPr>
          <w:p w14:paraId="5812D40C"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Insomnia</w:t>
            </w:r>
          </w:p>
        </w:tc>
        <w:tc>
          <w:tcPr>
            <w:tcW w:w="3330" w:type="dxa"/>
          </w:tcPr>
          <w:p w14:paraId="655DC4F2"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4</w:t>
            </w:r>
          </w:p>
        </w:tc>
        <w:tc>
          <w:tcPr>
            <w:tcW w:w="2970" w:type="dxa"/>
          </w:tcPr>
          <w:p w14:paraId="59596A07"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3</w:t>
            </w:r>
          </w:p>
        </w:tc>
      </w:tr>
      <w:tr w:rsidR="00C0200A" w:rsidRPr="00C0200A" w14:paraId="60B10E71" w14:textId="77777777" w:rsidTr="00A77F90">
        <w:tc>
          <w:tcPr>
            <w:tcW w:w="3150" w:type="dxa"/>
          </w:tcPr>
          <w:p w14:paraId="436E3EFC"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Hyperhidrosis</w:t>
            </w:r>
          </w:p>
        </w:tc>
        <w:tc>
          <w:tcPr>
            <w:tcW w:w="3330" w:type="dxa"/>
          </w:tcPr>
          <w:p w14:paraId="77731E10"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3</w:t>
            </w:r>
          </w:p>
        </w:tc>
        <w:tc>
          <w:tcPr>
            <w:tcW w:w="2970" w:type="dxa"/>
          </w:tcPr>
          <w:p w14:paraId="165547D2"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2</w:t>
            </w:r>
          </w:p>
        </w:tc>
      </w:tr>
      <w:tr w:rsidR="00C0200A" w:rsidRPr="00C0200A" w14:paraId="0D207952" w14:textId="77777777" w:rsidTr="00A77F90">
        <w:tc>
          <w:tcPr>
            <w:tcW w:w="3150" w:type="dxa"/>
          </w:tcPr>
          <w:p w14:paraId="0383E603"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 xml:space="preserve">Hot flush </w:t>
            </w:r>
          </w:p>
        </w:tc>
        <w:tc>
          <w:tcPr>
            <w:tcW w:w="3330" w:type="dxa"/>
          </w:tcPr>
          <w:p w14:paraId="761BB636"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3</w:t>
            </w:r>
          </w:p>
        </w:tc>
        <w:tc>
          <w:tcPr>
            <w:tcW w:w="2970" w:type="dxa"/>
          </w:tcPr>
          <w:p w14:paraId="202A2D81"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2</w:t>
            </w:r>
          </w:p>
        </w:tc>
      </w:tr>
      <w:tr w:rsidR="00C0200A" w:rsidRPr="00C0200A" w14:paraId="265AFDCE" w14:textId="77777777" w:rsidTr="00A77F90">
        <w:tc>
          <w:tcPr>
            <w:tcW w:w="3150" w:type="dxa"/>
          </w:tcPr>
          <w:p w14:paraId="31DAEEE5"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Tremor*</w:t>
            </w:r>
          </w:p>
        </w:tc>
        <w:tc>
          <w:tcPr>
            <w:tcW w:w="3330" w:type="dxa"/>
          </w:tcPr>
          <w:p w14:paraId="370B9232"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3</w:t>
            </w:r>
          </w:p>
        </w:tc>
        <w:tc>
          <w:tcPr>
            <w:tcW w:w="2970" w:type="dxa"/>
          </w:tcPr>
          <w:p w14:paraId="51F45B2F"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3</w:t>
            </w:r>
          </w:p>
        </w:tc>
      </w:tr>
      <w:tr w:rsidR="00C0200A" w:rsidRPr="00C0200A" w14:paraId="55E7A372" w14:textId="77777777" w:rsidTr="00A77F90">
        <w:tc>
          <w:tcPr>
            <w:tcW w:w="3150" w:type="dxa"/>
          </w:tcPr>
          <w:p w14:paraId="0BC7989D"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Abnormal dreams</w:t>
            </w:r>
          </w:p>
        </w:tc>
        <w:tc>
          <w:tcPr>
            <w:tcW w:w="3330" w:type="dxa"/>
          </w:tcPr>
          <w:p w14:paraId="03366B2C"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2</w:t>
            </w:r>
          </w:p>
        </w:tc>
        <w:tc>
          <w:tcPr>
            <w:tcW w:w="2970" w:type="dxa"/>
          </w:tcPr>
          <w:p w14:paraId="59BA29EF"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0</w:t>
            </w:r>
          </w:p>
        </w:tc>
      </w:tr>
      <w:tr w:rsidR="00C0200A" w:rsidRPr="00C0200A" w14:paraId="71D04639" w14:textId="77777777" w:rsidTr="00A77F90">
        <w:tc>
          <w:tcPr>
            <w:tcW w:w="3150" w:type="dxa"/>
          </w:tcPr>
          <w:p w14:paraId="3276334B"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Lethargy</w:t>
            </w:r>
          </w:p>
        </w:tc>
        <w:tc>
          <w:tcPr>
            <w:tcW w:w="3330" w:type="dxa"/>
          </w:tcPr>
          <w:p w14:paraId="7B9A86C7"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2</w:t>
            </w:r>
          </w:p>
        </w:tc>
        <w:tc>
          <w:tcPr>
            <w:tcW w:w="2970" w:type="dxa"/>
          </w:tcPr>
          <w:p w14:paraId="72318BE2"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0</w:t>
            </w:r>
          </w:p>
        </w:tc>
      </w:tr>
      <w:tr w:rsidR="00C0200A" w:rsidRPr="00C0200A" w14:paraId="79CA79D1" w14:textId="77777777" w:rsidTr="00A77F90">
        <w:tc>
          <w:tcPr>
            <w:tcW w:w="3150" w:type="dxa"/>
          </w:tcPr>
          <w:p w14:paraId="5E22F2EA"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Asthenia</w:t>
            </w:r>
          </w:p>
        </w:tc>
        <w:tc>
          <w:tcPr>
            <w:tcW w:w="3330" w:type="dxa"/>
          </w:tcPr>
          <w:p w14:paraId="7DCDDEBC"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2</w:t>
            </w:r>
          </w:p>
        </w:tc>
        <w:tc>
          <w:tcPr>
            <w:tcW w:w="2970" w:type="dxa"/>
          </w:tcPr>
          <w:p w14:paraId="5DE6C96E"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&lt;1</w:t>
            </w:r>
          </w:p>
        </w:tc>
      </w:tr>
      <w:tr w:rsidR="00C0200A" w:rsidRPr="00C0200A" w14:paraId="294D35D4" w14:textId="77777777" w:rsidTr="00A77F90">
        <w:tc>
          <w:tcPr>
            <w:tcW w:w="3150" w:type="dxa"/>
          </w:tcPr>
          <w:p w14:paraId="67B0469A"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Irritability</w:t>
            </w:r>
          </w:p>
        </w:tc>
        <w:tc>
          <w:tcPr>
            <w:tcW w:w="3330" w:type="dxa"/>
          </w:tcPr>
          <w:p w14:paraId="70916F90"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2</w:t>
            </w:r>
          </w:p>
        </w:tc>
        <w:tc>
          <w:tcPr>
            <w:tcW w:w="2970" w:type="dxa"/>
          </w:tcPr>
          <w:p w14:paraId="1671DD8D"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w:t>
            </w:r>
          </w:p>
        </w:tc>
      </w:tr>
      <w:tr w:rsidR="00C0200A" w:rsidRPr="00C0200A" w14:paraId="0D6B77A8" w14:textId="77777777" w:rsidTr="00A77F90">
        <w:tc>
          <w:tcPr>
            <w:tcW w:w="3150" w:type="dxa"/>
          </w:tcPr>
          <w:p w14:paraId="1216C40F"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Dyspepsia</w:t>
            </w:r>
          </w:p>
        </w:tc>
        <w:tc>
          <w:tcPr>
            <w:tcW w:w="3330" w:type="dxa"/>
          </w:tcPr>
          <w:p w14:paraId="0E6C3637"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w:t>
            </w:r>
          </w:p>
        </w:tc>
        <w:tc>
          <w:tcPr>
            <w:tcW w:w="2970" w:type="dxa"/>
          </w:tcPr>
          <w:p w14:paraId="68688963"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0</w:t>
            </w:r>
          </w:p>
        </w:tc>
      </w:tr>
      <w:tr w:rsidR="00C0200A" w:rsidRPr="00C0200A" w14:paraId="1DB064C6" w14:textId="77777777" w:rsidTr="00A77F90">
        <w:tc>
          <w:tcPr>
            <w:tcW w:w="3150" w:type="dxa"/>
          </w:tcPr>
          <w:p w14:paraId="6EDA0F97"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 xml:space="preserve">Nervousness </w:t>
            </w:r>
          </w:p>
        </w:tc>
        <w:tc>
          <w:tcPr>
            <w:tcW w:w="3330" w:type="dxa"/>
          </w:tcPr>
          <w:p w14:paraId="3E951076"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w:t>
            </w:r>
          </w:p>
        </w:tc>
        <w:tc>
          <w:tcPr>
            <w:tcW w:w="2970" w:type="dxa"/>
          </w:tcPr>
          <w:p w14:paraId="77A55B67"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0</w:t>
            </w:r>
          </w:p>
        </w:tc>
      </w:tr>
      <w:tr w:rsidR="00C0200A" w:rsidRPr="00C0200A" w14:paraId="7CFB6933" w14:textId="77777777" w:rsidTr="00A77F90">
        <w:tc>
          <w:tcPr>
            <w:tcW w:w="3150" w:type="dxa"/>
          </w:tcPr>
          <w:p w14:paraId="1316B80E"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 xml:space="preserve">Sedation </w:t>
            </w:r>
          </w:p>
        </w:tc>
        <w:tc>
          <w:tcPr>
            <w:tcW w:w="3330" w:type="dxa"/>
          </w:tcPr>
          <w:p w14:paraId="699FA66F"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w:t>
            </w:r>
          </w:p>
        </w:tc>
        <w:tc>
          <w:tcPr>
            <w:tcW w:w="2970" w:type="dxa"/>
          </w:tcPr>
          <w:p w14:paraId="2CC0D6C1"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0</w:t>
            </w:r>
          </w:p>
        </w:tc>
      </w:tr>
      <w:tr w:rsidR="00C0200A" w:rsidRPr="00C0200A" w14:paraId="643C480F" w14:textId="77777777" w:rsidTr="00A77F90">
        <w:tc>
          <w:tcPr>
            <w:tcW w:w="3150" w:type="dxa"/>
          </w:tcPr>
          <w:p w14:paraId="53FFC77B"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Vision blurred</w:t>
            </w:r>
          </w:p>
        </w:tc>
        <w:tc>
          <w:tcPr>
            <w:tcW w:w="3330" w:type="dxa"/>
          </w:tcPr>
          <w:p w14:paraId="1694A090"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w:t>
            </w:r>
          </w:p>
        </w:tc>
        <w:tc>
          <w:tcPr>
            <w:tcW w:w="2970" w:type="dxa"/>
          </w:tcPr>
          <w:p w14:paraId="5EE076D9"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0</w:t>
            </w:r>
          </w:p>
        </w:tc>
      </w:tr>
      <w:tr w:rsidR="00C0200A" w:rsidRPr="00C0200A" w14:paraId="2CEDCB14" w14:textId="77777777" w:rsidTr="00A77F90">
        <w:tc>
          <w:tcPr>
            <w:tcW w:w="3150" w:type="dxa"/>
          </w:tcPr>
          <w:p w14:paraId="77A5507F" w14:textId="77777777" w:rsidR="00C0200A" w:rsidRPr="00C0200A" w:rsidRDefault="00C0200A" w:rsidP="00C0200A">
            <w:pPr>
              <w:spacing w:after="0" w:line="240" w:lineRule="auto"/>
              <w:rPr>
                <w:rFonts w:ascii="Arial" w:hAnsi="Arial" w:cs="Arial"/>
                <w:sz w:val="20"/>
                <w:szCs w:val="20"/>
              </w:rPr>
            </w:pPr>
            <w:proofErr w:type="spellStart"/>
            <w:r w:rsidRPr="00C0200A">
              <w:rPr>
                <w:rFonts w:ascii="Arial" w:hAnsi="Arial" w:cs="Arial"/>
                <w:sz w:val="20"/>
                <w:szCs w:val="20"/>
              </w:rPr>
              <w:t>Pruritis</w:t>
            </w:r>
            <w:proofErr w:type="spellEnd"/>
            <w:r w:rsidRPr="00C0200A">
              <w:rPr>
                <w:rFonts w:ascii="Arial" w:hAnsi="Arial" w:cs="Arial"/>
                <w:sz w:val="20"/>
                <w:szCs w:val="20"/>
              </w:rPr>
              <w:t>, generalized</w:t>
            </w:r>
          </w:p>
        </w:tc>
        <w:tc>
          <w:tcPr>
            <w:tcW w:w="3330" w:type="dxa"/>
          </w:tcPr>
          <w:p w14:paraId="1C0E0B4E"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1</w:t>
            </w:r>
          </w:p>
        </w:tc>
        <w:tc>
          <w:tcPr>
            <w:tcW w:w="2970" w:type="dxa"/>
          </w:tcPr>
          <w:p w14:paraId="61D469DA"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0</w:t>
            </w:r>
          </w:p>
        </w:tc>
      </w:tr>
    </w:tbl>
    <w:p w14:paraId="246010D3" w14:textId="77777777" w:rsidR="00C0200A" w:rsidRDefault="00C0200A" w:rsidP="004920E8">
      <w:pPr>
        <w:pStyle w:val="NoSpacing"/>
        <w:rPr>
          <w:rFonts w:ascii="Arial" w:hAnsi="Arial" w:cs="Arial"/>
          <w:b/>
          <w:sz w:val="20"/>
          <w:szCs w:val="20"/>
          <w:u w:val="single"/>
        </w:rPr>
      </w:pPr>
    </w:p>
    <w:p w14:paraId="3F4DBFC8" w14:textId="77777777" w:rsidR="00070D57" w:rsidRPr="0044122B" w:rsidRDefault="00DD0F1A" w:rsidP="004920E8">
      <w:pPr>
        <w:pStyle w:val="NoSpacing"/>
        <w:rPr>
          <w:rFonts w:ascii="Arial" w:hAnsi="Arial" w:cs="Arial"/>
          <w:b/>
          <w:sz w:val="20"/>
          <w:szCs w:val="20"/>
          <w:u w:val="single"/>
        </w:rPr>
      </w:pPr>
      <w:bookmarkStart w:id="5" w:name="DrugInteractions"/>
      <w:r w:rsidRPr="0044122B">
        <w:rPr>
          <w:rFonts w:ascii="Arial" w:hAnsi="Arial" w:cs="Arial"/>
          <w:b/>
          <w:sz w:val="20"/>
          <w:szCs w:val="20"/>
          <w:u w:val="single"/>
        </w:rPr>
        <w:t>Drug Interactions</w:t>
      </w:r>
      <w:bookmarkEnd w:id="5"/>
    </w:p>
    <w:p w14:paraId="24C320AB" w14:textId="77777777" w:rsidR="005C66A8" w:rsidRPr="0044122B" w:rsidRDefault="005C66A8" w:rsidP="004920E8">
      <w:pPr>
        <w:pStyle w:val="NoSpacing"/>
        <w:rPr>
          <w:rFonts w:ascii="Arial" w:hAnsi="Arial" w:cs="Arial"/>
          <w:sz w:val="20"/>
          <w:szCs w:val="20"/>
        </w:rPr>
      </w:pPr>
    </w:p>
    <w:p w14:paraId="6CC8FEC2" w14:textId="3A6A680D" w:rsidR="004920E8" w:rsidRPr="00041FC8" w:rsidRDefault="004920E8" w:rsidP="004920E8">
      <w:pPr>
        <w:pStyle w:val="NoSpacing"/>
        <w:rPr>
          <w:rFonts w:ascii="Arial" w:hAnsi="Arial" w:cs="Arial"/>
          <w:sz w:val="20"/>
          <w:szCs w:val="20"/>
        </w:rPr>
      </w:pPr>
      <w:r w:rsidRPr="0044122B">
        <w:rPr>
          <w:rFonts w:ascii="Arial" w:hAnsi="Arial" w:cs="Arial"/>
          <w:b/>
          <w:sz w:val="20"/>
          <w:szCs w:val="20"/>
        </w:rPr>
        <w:t xml:space="preserve">Table </w:t>
      </w:r>
      <w:r w:rsidR="00C0200A">
        <w:rPr>
          <w:rFonts w:ascii="Arial" w:hAnsi="Arial" w:cs="Arial"/>
          <w:b/>
          <w:sz w:val="20"/>
          <w:szCs w:val="20"/>
        </w:rPr>
        <w:t>12</w:t>
      </w:r>
      <w:r w:rsidRPr="0044122B">
        <w:rPr>
          <w:rFonts w:ascii="Arial" w:hAnsi="Arial" w:cs="Arial"/>
          <w:b/>
          <w:sz w:val="20"/>
          <w:szCs w:val="20"/>
        </w:rPr>
        <w:t>. Drug Interactions</w:t>
      </w:r>
      <w:r w:rsidR="00041FC8" w:rsidRPr="00041FC8">
        <w:rPr>
          <w:rFonts w:ascii="Arial" w:hAnsi="Arial" w:cs="Arial"/>
          <w:sz w:val="20"/>
          <w:szCs w:val="20"/>
          <w:vertAlign w:val="superscript"/>
        </w:rPr>
        <w:t>1</w:t>
      </w:r>
      <w:proofErr w:type="gramStart"/>
      <w:r w:rsidR="00041FC8" w:rsidRPr="00041FC8">
        <w:rPr>
          <w:rFonts w:ascii="Arial" w:hAnsi="Arial" w:cs="Arial"/>
          <w:sz w:val="20"/>
          <w:szCs w:val="20"/>
          <w:vertAlign w:val="superscript"/>
        </w:rPr>
        <w:t>,</w:t>
      </w:r>
      <w:r w:rsidR="009D214B">
        <w:rPr>
          <w:rFonts w:ascii="Arial" w:hAnsi="Arial" w:cs="Arial"/>
          <w:sz w:val="20"/>
          <w:szCs w:val="20"/>
          <w:vertAlign w:val="superscript"/>
        </w:rPr>
        <w:t>1</w:t>
      </w:r>
      <w:r w:rsidR="00E214EB">
        <w:rPr>
          <w:rFonts w:ascii="Arial" w:hAnsi="Arial" w:cs="Arial"/>
          <w:sz w:val="20"/>
          <w:szCs w:val="20"/>
          <w:vertAlign w:val="superscript"/>
        </w:rPr>
        <w:t>8</w:t>
      </w:r>
      <w:proofErr w:type="gramEnd"/>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800"/>
        <w:gridCol w:w="5598"/>
      </w:tblGrid>
      <w:tr w:rsidR="00C0200A" w:rsidRPr="00C0200A" w14:paraId="5F8A1ECD" w14:textId="77777777" w:rsidTr="00A77F90">
        <w:tc>
          <w:tcPr>
            <w:tcW w:w="2070" w:type="dxa"/>
            <w:shd w:val="clear" w:color="auto" w:fill="C0C0C0"/>
          </w:tcPr>
          <w:p w14:paraId="60E39630" w14:textId="77777777" w:rsidR="00C0200A" w:rsidRPr="00C0200A" w:rsidRDefault="00C0200A" w:rsidP="00C0200A">
            <w:pPr>
              <w:spacing w:after="0" w:line="240" w:lineRule="auto"/>
              <w:jc w:val="center"/>
              <w:rPr>
                <w:rFonts w:ascii="Arial" w:hAnsi="Arial" w:cs="Arial"/>
                <w:b/>
                <w:sz w:val="20"/>
                <w:szCs w:val="20"/>
              </w:rPr>
            </w:pPr>
            <w:r w:rsidRPr="00C0200A">
              <w:rPr>
                <w:rFonts w:ascii="Arial" w:hAnsi="Arial" w:cs="Arial"/>
                <w:b/>
                <w:sz w:val="20"/>
                <w:szCs w:val="20"/>
              </w:rPr>
              <w:t>Interacting Medication or Disease</w:t>
            </w:r>
          </w:p>
        </w:tc>
        <w:tc>
          <w:tcPr>
            <w:tcW w:w="1800" w:type="dxa"/>
            <w:shd w:val="clear" w:color="auto" w:fill="C0C0C0"/>
          </w:tcPr>
          <w:p w14:paraId="16059F15" w14:textId="77777777" w:rsidR="00C0200A" w:rsidRPr="00C0200A" w:rsidRDefault="00C0200A" w:rsidP="00C0200A">
            <w:pPr>
              <w:spacing w:after="0" w:line="240" w:lineRule="auto"/>
              <w:jc w:val="center"/>
              <w:rPr>
                <w:rFonts w:ascii="Arial" w:hAnsi="Arial" w:cs="Arial"/>
                <w:b/>
                <w:sz w:val="20"/>
                <w:szCs w:val="20"/>
                <w:vertAlign w:val="superscript"/>
              </w:rPr>
            </w:pPr>
            <w:r w:rsidRPr="00C0200A">
              <w:rPr>
                <w:rFonts w:ascii="Arial" w:hAnsi="Arial" w:cs="Arial"/>
                <w:b/>
                <w:sz w:val="20"/>
                <w:szCs w:val="20"/>
              </w:rPr>
              <w:t>Interaction Severity Rating</w:t>
            </w:r>
            <w:r w:rsidRPr="00C0200A">
              <w:rPr>
                <w:rFonts w:ascii="Arial" w:hAnsi="Arial" w:cs="Arial"/>
                <w:b/>
                <w:sz w:val="20"/>
                <w:szCs w:val="20"/>
                <w:vertAlign w:val="superscript"/>
              </w:rPr>
              <w:t>*</w:t>
            </w:r>
          </w:p>
        </w:tc>
        <w:tc>
          <w:tcPr>
            <w:tcW w:w="5598" w:type="dxa"/>
            <w:shd w:val="clear" w:color="auto" w:fill="C0C0C0"/>
          </w:tcPr>
          <w:p w14:paraId="70B4B4D4" w14:textId="77777777" w:rsidR="00C0200A" w:rsidRPr="00C0200A" w:rsidRDefault="00C0200A" w:rsidP="00C0200A">
            <w:pPr>
              <w:spacing w:after="0" w:line="240" w:lineRule="auto"/>
              <w:jc w:val="center"/>
              <w:rPr>
                <w:rFonts w:ascii="Arial" w:hAnsi="Arial" w:cs="Arial"/>
                <w:b/>
                <w:sz w:val="20"/>
                <w:szCs w:val="20"/>
              </w:rPr>
            </w:pPr>
            <w:r w:rsidRPr="00C0200A">
              <w:rPr>
                <w:rFonts w:ascii="Arial" w:hAnsi="Arial" w:cs="Arial"/>
                <w:b/>
                <w:sz w:val="20"/>
                <w:szCs w:val="20"/>
              </w:rPr>
              <w:t>Potential Result</w:t>
            </w:r>
          </w:p>
        </w:tc>
      </w:tr>
      <w:tr w:rsidR="00C0200A" w:rsidRPr="00C0200A" w14:paraId="20608D21" w14:textId="77777777" w:rsidTr="00A77F90">
        <w:tc>
          <w:tcPr>
            <w:tcW w:w="2070" w:type="dxa"/>
          </w:tcPr>
          <w:p w14:paraId="50CC8CFE"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Naltrexone</w:t>
            </w:r>
          </w:p>
        </w:tc>
        <w:tc>
          <w:tcPr>
            <w:tcW w:w="1800" w:type="dxa"/>
          </w:tcPr>
          <w:p w14:paraId="5249C30A"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Contraindicated</w:t>
            </w:r>
          </w:p>
        </w:tc>
        <w:tc>
          <w:tcPr>
            <w:tcW w:w="5598" w:type="dxa"/>
          </w:tcPr>
          <w:p w14:paraId="72CC3D82"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shd w:val="clear" w:color="auto" w:fill="FFFFFF"/>
              </w:rPr>
              <w:t>Concomitant use will result in precipitation of opioid withdrawal symptoms and decreased opioid effectiveness.</w:t>
            </w:r>
          </w:p>
        </w:tc>
      </w:tr>
      <w:tr w:rsidR="00C0200A" w:rsidRPr="00C0200A" w14:paraId="78BD2AD1" w14:textId="77777777" w:rsidTr="00A77F90">
        <w:tc>
          <w:tcPr>
            <w:tcW w:w="2070" w:type="dxa"/>
          </w:tcPr>
          <w:p w14:paraId="3312E9DB" w14:textId="01BFF54F" w:rsidR="00C0200A" w:rsidRPr="00C0200A" w:rsidRDefault="001733BF" w:rsidP="001733BF">
            <w:pPr>
              <w:spacing w:after="0" w:line="240" w:lineRule="auto"/>
              <w:rPr>
                <w:rFonts w:ascii="Arial" w:hAnsi="Arial" w:cs="Arial"/>
                <w:sz w:val="20"/>
                <w:szCs w:val="20"/>
              </w:rPr>
            </w:pPr>
            <w:r>
              <w:rPr>
                <w:rFonts w:ascii="Arial" w:hAnsi="Arial" w:cs="Arial"/>
                <w:sz w:val="20"/>
                <w:szCs w:val="20"/>
              </w:rPr>
              <w:t>Monoamine oxidase inhibitors (MAOIs)</w:t>
            </w:r>
          </w:p>
        </w:tc>
        <w:tc>
          <w:tcPr>
            <w:tcW w:w="1800" w:type="dxa"/>
          </w:tcPr>
          <w:p w14:paraId="77A2393E"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Contraindicated</w:t>
            </w:r>
          </w:p>
        </w:tc>
        <w:tc>
          <w:tcPr>
            <w:tcW w:w="5598" w:type="dxa"/>
          </w:tcPr>
          <w:p w14:paraId="257AF2B1"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 xml:space="preserve">May potentiate the effects of norepinephrine levels, which may result in adverse cardiovascular events.  Concurrent use with MAOIs or use within 14 days of discontinuing MAOI treatment should be avoided.   </w:t>
            </w:r>
          </w:p>
        </w:tc>
      </w:tr>
      <w:tr w:rsidR="00C0200A" w:rsidRPr="00C0200A" w14:paraId="3F92A9D9" w14:textId="77777777" w:rsidTr="00A77F90">
        <w:tc>
          <w:tcPr>
            <w:tcW w:w="2070" w:type="dxa"/>
          </w:tcPr>
          <w:p w14:paraId="0C208ED0"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Alcohol (ethanol)</w:t>
            </w:r>
          </w:p>
        </w:tc>
        <w:tc>
          <w:tcPr>
            <w:tcW w:w="1800" w:type="dxa"/>
          </w:tcPr>
          <w:p w14:paraId="581370D7"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Major</w:t>
            </w:r>
          </w:p>
        </w:tc>
        <w:tc>
          <w:tcPr>
            <w:tcW w:w="5598" w:type="dxa"/>
          </w:tcPr>
          <w:p w14:paraId="7CDCD98B" w14:textId="77777777" w:rsidR="00C0200A" w:rsidRPr="00C0200A" w:rsidRDefault="00C0200A" w:rsidP="00C0200A">
            <w:pPr>
              <w:spacing w:after="0" w:line="240" w:lineRule="auto"/>
              <w:rPr>
                <w:rFonts w:ascii="Arial" w:hAnsi="Arial" w:cs="Arial"/>
                <w:sz w:val="20"/>
                <w:szCs w:val="20"/>
                <w:shd w:val="clear" w:color="auto" w:fill="FFFFFF"/>
              </w:rPr>
            </w:pPr>
            <w:r w:rsidRPr="00C0200A">
              <w:rPr>
                <w:rFonts w:ascii="Arial" w:hAnsi="Arial" w:cs="Arial"/>
                <w:sz w:val="20"/>
                <w:szCs w:val="20"/>
              </w:rPr>
              <w:t>Concomitant use of alcohol may result in increased tapentadol plasma levels and potentially fatal overdose of tapentadol. Counsel patients not to consume alcoholic beverages or use prescription or non-prescription products containing alcohol.</w:t>
            </w:r>
            <w:r w:rsidRPr="00C0200A">
              <w:rPr>
                <w:rFonts w:ascii="Arial" w:hAnsi="Arial" w:cs="Arial"/>
                <w:sz w:val="20"/>
                <w:szCs w:val="20"/>
                <w:shd w:val="clear" w:color="auto" w:fill="FFFFFF"/>
              </w:rPr>
              <w:t xml:space="preserve"> </w:t>
            </w:r>
          </w:p>
        </w:tc>
      </w:tr>
      <w:tr w:rsidR="00C0200A" w:rsidRPr="00C0200A" w14:paraId="71C5DDD9" w14:textId="77777777" w:rsidTr="00A77F90">
        <w:tc>
          <w:tcPr>
            <w:tcW w:w="2070" w:type="dxa"/>
          </w:tcPr>
          <w:p w14:paraId="788AC983"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CNS Depressants (e.g., sedatives, hypnotics, tranquilizers, general anesthetics, phenothiazines, other opioids, alcohol, etc.)</w:t>
            </w:r>
          </w:p>
        </w:tc>
        <w:tc>
          <w:tcPr>
            <w:tcW w:w="1800" w:type="dxa"/>
          </w:tcPr>
          <w:p w14:paraId="7F61A511"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Major</w:t>
            </w:r>
          </w:p>
        </w:tc>
        <w:tc>
          <w:tcPr>
            <w:tcW w:w="5598" w:type="dxa"/>
          </w:tcPr>
          <w:p w14:paraId="60066E64" w14:textId="7ACCE69D"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 xml:space="preserve">Concomitant use may increase the risk of respiratory depression, profound sedation, coma, and death. When used together, the dose of one or both agents should be reduced. Assess the duration of use of the CNS depressant and individual response, including the degree of tolerance that has developed to CNS depression. Start with </w:t>
            </w:r>
            <w:r w:rsidR="001733BF" w:rsidRPr="001733BF">
              <w:rPr>
                <w:rFonts w:ascii="Arial" w:hAnsi="Arial" w:cs="Arial"/>
                <w:sz w:val="20"/>
                <w:szCs w:val="20"/>
              </w:rPr>
              <w:t>Nucynta ER</w:t>
            </w:r>
            <w:r w:rsidR="001733BF" w:rsidRPr="001733BF">
              <w:rPr>
                <w:rFonts w:ascii="Arial" w:hAnsi="Arial" w:cs="Arial"/>
                <w:sz w:val="20"/>
                <w:szCs w:val="20"/>
                <w:vertAlign w:val="superscript"/>
              </w:rPr>
              <w:t>®</w:t>
            </w:r>
            <w:r w:rsidR="001733BF" w:rsidRPr="001733BF">
              <w:rPr>
                <w:rFonts w:ascii="Arial" w:hAnsi="Arial" w:cs="Arial"/>
                <w:sz w:val="20"/>
                <w:szCs w:val="20"/>
              </w:rPr>
              <w:t xml:space="preserve"> (tapentadol extended-release</w:t>
            </w:r>
            <w:r w:rsidRPr="00C0200A">
              <w:rPr>
                <w:rFonts w:ascii="Arial" w:hAnsi="Arial" w:cs="Arial"/>
                <w:sz w:val="20"/>
                <w:szCs w:val="20"/>
              </w:rPr>
              <w:t xml:space="preserve">) 50 mg every 12 hours, monitor closely, and consider using a lower dose of the concomitant CNS depressant. </w:t>
            </w:r>
          </w:p>
        </w:tc>
      </w:tr>
      <w:tr w:rsidR="00C0200A" w:rsidRPr="00C0200A" w14:paraId="571BD5E3" w14:textId="77777777" w:rsidTr="00A77F90">
        <w:tc>
          <w:tcPr>
            <w:tcW w:w="2070" w:type="dxa"/>
          </w:tcPr>
          <w:p w14:paraId="4EDCC0C5" w14:textId="77777777" w:rsidR="00C0200A" w:rsidRPr="00C0200A" w:rsidRDefault="00C0200A" w:rsidP="00C0200A">
            <w:pPr>
              <w:spacing w:after="0" w:line="240" w:lineRule="auto"/>
              <w:rPr>
                <w:rFonts w:ascii="Arial" w:hAnsi="Arial" w:cs="Arial"/>
                <w:color w:val="FF0000"/>
                <w:sz w:val="20"/>
                <w:szCs w:val="20"/>
              </w:rPr>
            </w:pPr>
            <w:r w:rsidRPr="00C0200A">
              <w:rPr>
                <w:rFonts w:ascii="Arial" w:hAnsi="Arial" w:cs="Arial"/>
                <w:sz w:val="20"/>
                <w:szCs w:val="20"/>
              </w:rPr>
              <w:t>Serotonergic agents (e.g., SSRIs, SNRIs, triptans, etc.)</w:t>
            </w:r>
          </w:p>
        </w:tc>
        <w:tc>
          <w:tcPr>
            <w:tcW w:w="1800" w:type="dxa"/>
          </w:tcPr>
          <w:p w14:paraId="05DC37D6" w14:textId="339CA4F8" w:rsidR="00C0200A" w:rsidRPr="00C0200A" w:rsidRDefault="00575C71" w:rsidP="00C0200A">
            <w:pPr>
              <w:spacing w:after="0" w:line="240" w:lineRule="auto"/>
              <w:jc w:val="center"/>
              <w:rPr>
                <w:rFonts w:ascii="Arial" w:hAnsi="Arial" w:cs="Arial"/>
                <w:color w:val="FF0000"/>
                <w:sz w:val="20"/>
                <w:szCs w:val="20"/>
              </w:rPr>
            </w:pPr>
            <w:r w:rsidRPr="00575C71">
              <w:rPr>
                <w:rFonts w:ascii="Arial" w:hAnsi="Arial" w:cs="Arial"/>
                <w:sz w:val="20"/>
                <w:szCs w:val="20"/>
              </w:rPr>
              <w:t>Major</w:t>
            </w:r>
          </w:p>
        </w:tc>
        <w:tc>
          <w:tcPr>
            <w:tcW w:w="5598" w:type="dxa"/>
          </w:tcPr>
          <w:p w14:paraId="6C56C04A" w14:textId="77777777" w:rsidR="00C0200A" w:rsidRPr="00C0200A" w:rsidRDefault="00C0200A" w:rsidP="00C0200A">
            <w:pPr>
              <w:spacing w:after="0" w:line="240" w:lineRule="auto"/>
              <w:rPr>
                <w:rFonts w:ascii="Arial" w:hAnsi="Arial" w:cs="Arial"/>
                <w:color w:val="FF0000"/>
                <w:sz w:val="20"/>
                <w:szCs w:val="20"/>
              </w:rPr>
            </w:pPr>
            <w:r w:rsidRPr="00C0200A">
              <w:rPr>
                <w:rFonts w:ascii="Arial" w:hAnsi="Arial" w:cs="Arial"/>
                <w:sz w:val="20"/>
                <w:szCs w:val="20"/>
              </w:rPr>
              <w:t xml:space="preserve">Concomitant use has resulted in serotonin syndrome according to post-marketing reports. If clinically warranted to use together, monitor closely, particularly with treatment initiation and dose adjustments.  </w:t>
            </w:r>
          </w:p>
        </w:tc>
      </w:tr>
      <w:tr w:rsidR="00C0200A" w:rsidRPr="00C0200A" w14:paraId="3B46E53D" w14:textId="77777777" w:rsidTr="00A77F90">
        <w:tc>
          <w:tcPr>
            <w:tcW w:w="2070" w:type="dxa"/>
          </w:tcPr>
          <w:p w14:paraId="61E93ACE"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 xml:space="preserve">Mixed Agonist/Antagonist </w:t>
            </w:r>
            <w:r w:rsidRPr="00C0200A">
              <w:rPr>
                <w:rFonts w:ascii="Arial" w:hAnsi="Arial" w:cs="Arial"/>
                <w:sz w:val="20"/>
                <w:szCs w:val="20"/>
              </w:rPr>
              <w:lastRenderedPageBreak/>
              <w:t>(pentazocine, nalbuphine, &amp; butorphanol) and</w:t>
            </w:r>
          </w:p>
          <w:p w14:paraId="4B81ECC4"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Partial Agonist (e.g., buprenorphine) Opioid Analgesics</w:t>
            </w:r>
          </w:p>
        </w:tc>
        <w:tc>
          <w:tcPr>
            <w:tcW w:w="1800" w:type="dxa"/>
          </w:tcPr>
          <w:p w14:paraId="526505AD"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lastRenderedPageBreak/>
              <w:t>Major</w:t>
            </w:r>
          </w:p>
        </w:tc>
        <w:tc>
          <w:tcPr>
            <w:tcW w:w="5598" w:type="dxa"/>
          </w:tcPr>
          <w:p w14:paraId="08979BF6"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 xml:space="preserve">Concomitant use may reduce the analgesic effect and/or precipitate withdrawal symptoms. Avoid concomitant </w:t>
            </w:r>
            <w:r w:rsidRPr="00C0200A">
              <w:rPr>
                <w:rFonts w:ascii="Arial" w:hAnsi="Arial" w:cs="Arial"/>
                <w:sz w:val="20"/>
                <w:szCs w:val="20"/>
              </w:rPr>
              <w:lastRenderedPageBreak/>
              <w:t xml:space="preserve">administration. </w:t>
            </w:r>
          </w:p>
        </w:tc>
      </w:tr>
      <w:tr w:rsidR="00C0200A" w:rsidRPr="00C0200A" w14:paraId="0D7D889D" w14:textId="77777777" w:rsidTr="00A77F90">
        <w:tc>
          <w:tcPr>
            <w:tcW w:w="2070" w:type="dxa"/>
          </w:tcPr>
          <w:p w14:paraId="29D529D5" w14:textId="77777777" w:rsidR="00C0200A" w:rsidRPr="00C0200A" w:rsidRDefault="00C0200A" w:rsidP="00C0200A">
            <w:pPr>
              <w:spacing w:after="0" w:line="240" w:lineRule="auto"/>
              <w:rPr>
                <w:rFonts w:ascii="Arial" w:hAnsi="Arial" w:cs="Arial"/>
                <w:color w:val="FF0000"/>
                <w:sz w:val="20"/>
                <w:szCs w:val="20"/>
              </w:rPr>
            </w:pPr>
            <w:r w:rsidRPr="00C0200A">
              <w:rPr>
                <w:rFonts w:ascii="Arial" w:hAnsi="Arial" w:cs="Arial"/>
                <w:sz w:val="20"/>
                <w:szCs w:val="20"/>
              </w:rPr>
              <w:lastRenderedPageBreak/>
              <w:t>Muscle Relaxants</w:t>
            </w:r>
          </w:p>
        </w:tc>
        <w:tc>
          <w:tcPr>
            <w:tcW w:w="1800" w:type="dxa"/>
          </w:tcPr>
          <w:p w14:paraId="71B28D98"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Major</w:t>
            </w:r>
          </w:p>
        </w:tc>
        <w:tc>
          <w:tcPr>
            <w:tcW w:w="5598" w:type="dxa"/>
          </w:tcPr>
          <w:p w14:paraId="69EEE96A"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Tapentadol may result in enhanced neuromuscular blocking action of skeletal muscle relaxants and produce an increased degree of respiratory depression.</w:t>
            </w:r>
          </w:p>
        </w:tc>
      </w:tr>
      <w:tr w:rsidR="00C0200A" w:rsidRPr="00C0200A" w14:paraId="56B46CB6" w14:textId="77777777" w:rsidTr="00A77F90">
        <w:tc>
          <w:tcPr>
            <w:tcW w:w="2070" w:type="dxa"/>
          </w:tcPr>
          <w:p w14:paraId="23EEA13D"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Anticholinergics</w:t>
            </w:r>
          </w:p>
        </w:tc>
        <w:tc>
          <w:tcPr>
            <w:tcW w:w="1800" w:type="dxa"/>
          </w:tcPr>
          <w:p w14:paraId="14AC6F77"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Major</w:t>
            </w:r>
          </w:p>
        </w:tc>
        <w:tc>
          <w:tcPr>
            <w:tcW w:w="5598" w:type="dxa"/>
          </w:tcPr>
          <w:p w14:paraId="363CD497" w14:textId="77777777" w:rsidR="00C0200A" w:rsidRPr="00C0200A" w:rsidRDefault="00C0200A" w:rsidP="00C0200A">
            <w:pPr>
              <w:spacing w:after="0" w:line="240" w:lineRule="auto"/>
              <w:rPr>
                <w:rFonts w:ascii="Arial" w:hAnsi="Arial" w:cs="Arial"/>
                <w:sz w:val="20"/>
                <w:szCs w:val="20"/>
              </w:rPr>
            </w:pPr>
            <w:r w:rsidRPr="00C0200A">
              <w:rPr>
                <w:rFonts w:ascii="Arial" w:hAnsi="Arial" w:cs="Arial"/>
                <w:sz w:val="20"/>
                <w:szCs w:val="20"/>
              </w:rPr>
              <w:t>An increased risk of urinary retention and/or severe constipation, which may lead to paralytic ileus, may result from concurrent use with anticholinergic products.</w:t>
            </w:r>
          </w:p>
        </w:tc>
      </w:tr>
      <w:tr w:rsidR="00C0200A" w:rsidRPr="00C0200A" w14:paraId="311F7376" w14:textId="77777777" w:rsidTr="00A77F90">
        <w:tc>
          <w:tcPr>
            <w:tcW w:w="2070" w:type="dxa"/>
          </w:tcPr>
          <w:p w14:paraId="62BB635F" w14:textId="77777777" w:rsidR="00C0200A" w:rsidRPr="00C0200A" w:rsidRDefault="00C0200A" w:rsidP="00C0200A">
            <w:pPr>
              <w:spacing w:after="0" w:line="240" w:lineRule="auto"/>
              <w:ind w:right="-108"/>
              <w:rPr>
                <w:rFonts w:ascii="Arial" w:hAnsi="Arial" w:cs="Arial"/>
                <w:sz w:val="20"/>
                <w:szCs w:val="20"/>
              </w:rPr>
            </w:pPr>
            <w:r w:rsidRPr="00C0200A">
              <w:rPr>
                <w:rFonts w:ascii="Arial" w:hAnsi="Arial" w:cs="Arial"/>
                <w:sz w:val="20"/>
                <w:szCs w:val="20"/>
              </w:rPr>
              <w:t xml:space="preserve">Phenothiazines (e.g., </w:t>
            </w:r>
            <w:r w:rsidRPr="00C0200A">
              <w:rPr>
                <w:rFonts w:ascii="Arial" w:hAnsi="Arial" w:cs="Arial"/>
                <w:sz w:val="20"/>
                <w:szCs w:val="20"/>
                <w:shd w:val="clear" w:color="auto" w:fill="FFFFFF"/>
              </w:rPr>
              <w:t>chlorpromazine, promethazine, thioridazine, etc.)</w:t>
            </w:r>
          </w:p>
        </w:tc>
        <w:tc>
          <w:tcPr>
            <w:tcW w:w="1800" w:type="dxa"/>
          </w:tcPr>
          <w:p w14:paraId="49E02ADF" w14:textId="77777777" w:rsidR="00C0200A" w:rsidRPr="00C0200A" w:rsidRDefault="00C0200A" w:rsidP="00C0200A">
            <w:pPr>
              <w:spacing w:after="0" w:line="240" w:lineRule="auto"/>
              <w:jc w:val="center"/>
              <w:rPr>
                <w:rFonts w:ascii="Arial" w:hAnsi="Arial" w:cs="Arial"/>
                <w:sz w:val="20"/>
                <w:szCs w:val="20"/>
              </w:rPr>
            </w:pPr>
            <w:r w:rsidRPr="00C0200A">
              <w:rPr>
                <w:rFonts w:ascii="Arial" w:hAnsi="Arial" w:cs="Arial"/>
                <w:sz w:val="20"/>
                <w:szCs w:val="20"/>
              </w:rPr>
              <w:t>Major</w:t>
            </w:r>
          </w:p>
        </w:tc>
        <w:tc>
          <w:tcPr>
            <w:tcW w:w="5598" w:type="dxa"/>
          </w:tcPr>
          <w:p w14:paraId="37D9946A" w14:textId="77777777" w:rsidR="00C0200A" w:rsidRPr="00C0200A" w:rsidRDefault="00C0200A" w:rsidP="00C0200A">
            <w:pPr>
              <w:spacing w:after="0" w:line="240" w:lineRule="auto"/>
              <w:rPr>
                <w:rFonts w:ascii="Arial" w:hAnsi="Arial" w:cs="Arial"/>
                <w:sz w:val="20"/>
                <w:szCs w:val="20"/>
                <w:shd w:val="clear" w:color="auto" w:fill="FFFFFF"/>
              </w:rPr>
            </w:pPr>
            <w:r w:rsidRPr="00C0200A">
              <w:rPr>
                <w:rFonts w:ascii="Arial" w:hAnsi="Arial" w:cs="Arial"/>
                <w:sz w:val="20"/>
                <w:szCs w:val="20"/>
                <w:shd w:val="clear" w:color="auto" w:fill="FFFFFF"/>
              </w:rPr>
              <w:t>Concomitant use may result in increased CNS and respiratory depression.</w:t>
            </w:r>
          </w:p>
        </w:tc>
      </w:tr>
    </w:tbl>
    <w:p w14:paraId="03EC2B76" w14:textId="0DD34D2E" w:rsidR="00D4190C" w:rsidRPr="0044122B" w:rsidRDefault="00D4190C" w:rsidP="00D4190C">
      <w:pPr>
        <w:pStyle w:val="NoSpacing"/>
        <w:rPr>
          <w:rFonts w:ascii="Arial" w:hAnsi="Arial" w:cs="Arial"/>
          <w:sz w:val="16"/>
          <w:szCs w:val="16"/>
        </w:rPr>
      </w:pPr>
      <w:r w:rsidRPr="0044122B">
        <w:rPr>
          <w:rFonts w:ascii="Arial" w:hAnsi="Arial" w:cs="Arial"/>
          <w:sz w:val="18"/>
          <w:szCs w:val="18"/>
        </w:rPr>
        <w:t>*</w:t>
      </w:r>
      <w:r w:rsidRPr="0044122B">
        <w:rPr>
          <w:rFonts w:ascii="Arial" w:hAnsi="Arial" w:cs="Arial"/>
          <w:sz w:val="16"/>
          <w:szCs w:val="16"/>
        </w:rPr>
        <w:t>Severity rating per</w:t>
      </w:r>
      <w:r w:rsidR="00041FC8">
        <w:rPr>
          <w:rFonts w:ascii="Arial" w:hAnsi="Arial" w:cs="Arial"/>
          <w:sz w:val="16"/>
          <w:szCs w:val="16"/>
        </w:rPr>
        <w:t xml:space="preserve"> Micromedex</w:t>
      </w:r>
    </w:p>
    <w:p w14:paraId="164C022C" w14:textId="77777777" w:rsidR="00D4190C" w:rsidRPr="0044122B" w:rsidRDefault="00D4190C" w:rsidP="004920E8">
      <w:pPr>
        <w:pStyle w:val="NoSpacing"/>
        <w:rPr>
          <w:rFonts w:ascii="Arial" w:hAnsi="Arial" w:cs="Arial"/>
          <w:sz w:val="20"/>
          <w:szCs w:val="20"/>
        </w:rPr>
      </w:pPr>
    </w:p>
    <w:p w14:paraId="45F3D982" w14:textId="18C01759" w:rsidR="007328D9" w:rsidRPr="00FD7AED" w:rsidRDefault="00AE5B18" w:rsidP="00E212A9">
      <w:pPr>
        <w:pStyle w:val="NoSpacing"/>
        <w:rPr>
          <w:rFonts w:ascii="Arial" w:hAnsi="Arial" w:cs="Arial"/>
          <w:sz w:val="20"/>
          <w:szCs w:val="20"/>
        </w:rPr>
      </w:pPr>
      <w:r>
        <w:rPr>
          <w:rFonts w:ascii="Arial" w:hAnsi="Arial" w:cs="Arial"/>
          <w:b/>
          <w:sz w:val="20"/>
          <w:szCs w:val="20"/>
          <w:u w:val="single"/>
        </w:rPr>
        <w:t>Patient Monitoring Guidelines</w:t>
      </w:r>
      <w:r w:rsidR="00FD7AED">
        <w:rPr>
          <w:rFonts w:ascii="Arial" w:hAnsi="Arial" w:cs="Arial"/>
          <w:sz w:val="20"/>
          <w:szCs w:val="20"/>
          <w:vertAlign w:val="superscript"/>
        </w:rPr>
        <w:t>1</w:t>
      </w:r>
    </w:p>
    <w:p w14:paraId="787AC65F" w14:textId="77777777" w:rsidR="00C0200A" w:rsidRPr="00D80D41" w:rsidRDefault="00C0200A" w:rsidP="00C0200A">
      <w:pPr>
        <w:pStyle w:val="NoSpacing"/>
        <w:rPr>
          <w:rFonts w:ascii="Arial" w:hAnsi="Arial" w:cs="Arial"/>
          <w:sz w:val="20"/>
          <w:szCs w:val="20"/>
        </w:rPr>
      </w:pPr>
      <w:r w:rsidRPr="00D80D41">
        <w:rPr>
          <w:rFonts w:ascii="Arial" w:hAnsi="Arial" w:cs="Arial"/>
          <w:sz w:val="20"/>
          <w:szCs w:val="20"/>
        </w:rPr>
        <w:t xml:space="preserve">Assess each patient's risk for opioid addiction, abuse, or misuse prior to initiating therapy and monitor all patients for the development of these behaviors or conditions. “Drug seeking” behaviors should also be monitored to help identify these potential concerns. </w:t>
      </w:r>
    </w:p>
    <w:p w14:paraId="191913F0" w14:textId="77777777" w:rsidR="00C0200A" w:rsidRPr="00D80D41" w:rsidRDefault="00C0200A" w:rsidP="00C0200A">
      <w:pPr>
        <w:pStyle w:val="NoSpacing"/>
        <w:rPr>
          <w:rFonts w:ascii="Arial" w:hAnsi="Arial" w:cs="Arial"/>
          <w:sz w:val="20"/>
          <w:szCs w:val="20"/>
        </w:rPr>
      </w:pPr>
    </w:p>
    <w:p w14:paraId="721EA78A" w14:textId="32C84369" w:rsidR="00C0200A" w:rsidRPr="00E70F67" w:rsidRDefault="00C0200A" w:rsidP="00C0200A">
      <w:pPr>
        <w:pStyle w:val="NoSpacing"/>
        <w:rPr>
          <w:rFonts w:ascii="Arial" w:hAnsi="Arial" w:cs="Arial"/>
          <w:sz w:val="20"/>
          <w:szCs w:val="20"/>
        </w:rPr>
      </w:pPr>
      <w:r w:rsidRPr="00D80D41">
        <w:rPr>
          <w:rFonts w:ascii="Arial" w:hAnsi="Arial" w:cs="Arial"/>
          <w:sz w:val="20"/>
          <w:szCs w:val="20"/>
        </w:rPr>
        <w:t xml:space="preserve">Continually re-evaluate patients to assess the maintenance of pain control and the development of </w:t>
      </w:r>
      <w:r w:rsidRPr="00E70F67">
        <w:rPr>
          <w:rFonts w:ascii="Arial" w:hAnsi="Arial" w:cs="Arial"/>
          <w:sz w:val="20"/>
          <w:szCs w:val="20"/>
        </w:rPr>
        <w:t xml:space="preserve">adverse reactions. Frequent communication is important among the prescriber, other members of the healthcare team, the patient, and the caregiver/family during periods of changing analgesic requirements, including initial titration. During chronic therapy, periodically reassess the continued need for opioid analgesics. Patients should be closely monitoring when transitioning to </w:t>
      </w:r>
      <w:r w:rsidR="00AA16C6" w:rsidRPr="00AA16C6">
        <w:rPr>
          <w:rFonts w:ascii="Arial" w:hAnsi="Arial" w:cs="Arial"/>
          <w:sz w:val="20"/>
          <w:szCs w:val="20"/>
        </w:rPr>
        <w:t>Nucynta ER</w:t>
      </w:r>
      <w:r w:rsidR="00AA16C6" w:rsidRPr="00AA16C6">
        <w:rPr>
          <w:rFonts w:ascii="Arial" w:hAnsi="Arial" w:cs="Arial"/>
          <w:sz w:val="20"/>
          <w:szCs w:val="20"/>
          <w:vertAlign w:val="superscript"/>
        </w:rPr>
        <w:t>®</w:t>
      </w:r>
      <w:r w:rsidR="00AA16C6" w:rsidRPr="00AA16C6">
        <w:rPr>
          <w:rFonts w:ascii="Arial" w:hAnsi="Arial" w:cs="Arial"/>
          <w:sz w:val="20"/>
          <w:szCs w:val="20"/>
        </w:rPr>
        <w:t xml:space="preserve"> (tapentadol extended-release</w:t>
      </w:r>
      <w:r w:rsidRPr="00E70F67">
        <w:rPr>
          <w:rFonts w:ascii="Arial" w:hAnsi="Arial" w:cs="Arial"/>
          <w:sz w:val="20"/>
          <w:szCs w:val="20"/>
        </w:rPr>
        <w:t xml:space="preserve">) from another opioid analgesic or from </w:t>
      </w:r>
      <w:r w:rsidR="00AA16C6" w:rsidRPr="00AA16C6">
        <w:rPr>
          <w:rFonts w:ascii="Arial" w:hAnsi="Arial" w:cs="Arial"/>
          <w:sz w:val="20"/>
          <w:szCs w:val="20"/>
        </w:rPr>
        <w:t>Nucynta ER</w:t>
      </w:r>
      <w:r w:rsidR="00AA16C6" w:rsidRPr="00AA16C6">
        <w:rPr>
          <w:rFonts w:ascii="Arial" w:hAnsi="Arial" w:cs="Arial"/>
          <w:sz w:val="20"/>
          <w:szCs w:val="20"/>
          <w:vertAlign w:val="superscript"/>
        </w:rPr>
        <w:t>®</w:t>
      </w:r>
      <w:r w:rsidR="00AA16C6" w:rsidRPr="00AA16C6">
        <w:rPr>
          <w:rFonts w:ascii="Arial" w:hAnsi="Arial" w:cs="Arial"/>
          <w:sz w:val="20"/>
          <w:szCs w:val="20"/>
        </w:rPr>
        <w:t xml:space="preserve"> (tapentadol extended-release</w:t>
      </w:r>
      <w:r w:rsidRPr="00E70F67">
        <w:rPr>
          <w:rFonts w:ascii="Arial" w:hAnsi="Arial" w:cs="Arial"/>
          <w:sz w:val="20"/>
          <w:szCs w:val="20"/>
        </w:rPr>
        <w:t xml:space="preserve">) to another opioid analgesic as there may be significant inter-patient variability in the relative potency of opioid therapies. </w:t>
      </w:r>
    </w:p>
    <w:p w14:paraId="1D0E52AB" w14:textId="77777777" w:rsidR="00C0200A" w:rsidRPr="00E70F67" w:rsidRDefault="00C0200A" w:rsidP="00C0200A">
      <w:pPr>
        <w:pStyle w:val="NoSpacing"/>
        <w:rPr>
          <w:rFonts w:ascii="Arial" w:hAnsi="Arial" w:cs="Arial"/>
          <w:sz w:val="20"/>
          <w:szCs w:val="20"/>
        </w:rPr>
      </w:pPr>
    </w:p>
    <w:p w14:paraId="4986356C" w14:textId="77777777" w:rsidR="00C0200A" w:rsidRPr="00D80D41" w:rsidRDefault="00C0200A" w:rsidP="00C0200A">
      <w:pPr>
        <w:pStyle w:val="NoSpacing"/>
        <w:rPr>
          <w:rFonts w:ascii="Arial" w:hAnsi="Arial" w:cs="Arial"/>
          <w:sz w:val="20"/>
          <w:szCs w:val="20"/>
        </w:rPr>
      </w:pPr>
      <w:r w:rsidRPr="00E70F67">
        <w:rPr>
          <w:rFonts w:ascii="Arial" w:hAnsi="Arial" w:cs="Arial"/>
          <w:sz w:val="20"/>
          <w:szCs w:val="20"/>
        </w:rPr>
        <w:t>Continuously monitor patients for new or worsening adverse events or changes in medication efficacy, particularly with changes in drug doses and/or frequency. Closely monitor patients when there is the addition or elimination of other agents that may alter the efficacy or adverse event profile of the interacting agent(s). Individuals with renal and/or hepatic impairment as well as the elderly should have initial doses adjusted to account for impaired ability to metabolize and eliminate tapentadol and its metabolites. These individuals should</w:t>
      </w:r>
      <w:r w:rsidRPr="00D80D41">
        <w:rPr>
          <w:rFonts w:ascii="Arial" w:hAnsi="Arial" w:cs="Arial"/>
          <w:sz w:val="20"/>
          <w:szCs w:val="20"/>
        </w:rPr>
        <w:t xml:space="preserve"> be closely monitored as there is the increased risk of adverse events, particularly with changes in the underlying disease impairment and/or dose adjustments.  </w:t>
      </w:r>
    </w:p>
    <w:p w14:paraId="45AFAD6A" w14:textId="77777777" w:rsidR="00785F78" w:rsidRPr="0044122B" w:rsidRDefault="00785F78" w:rsidP="004920E8">
      <w:pPr>
        <w:pStyle w:val="NoSpacing"/>
        <w:rPr>
          <w:rFonts w:ascii="Arial" w:hAnsi="Arial" w:cs="Arial"/>
          <w:b/>
          <w:sz w:val="20"/>
          <w:szCs w:val="20"/>
        </w:rPr>
      </w:pPr>
    </w:p>
    <w:p w14:paraId="3F9B19BA" w14:textId="77777777" w:rsidR="00FA4396" w:rsidRPr="00370F7F" w:rsidRDefault="00FA4396" w:rsidP="00FA4396">
      <w:pPr>
        <w:pStyle w:val="NoSpacing"/>
        <w:rPr>
          <w:rFonts w:ascii="Arial" w:hAnsi="Arial" w:cs="Arial"/>
          <w:sz w:val="20"/>
          <w:szCs w:val="20"/>
        </w:rPr>
      </w:pPr>
      <w:r w:rsidRPr="0044122B">
        <w:rPr>
          <w:rFonts w:ascii="Arial" w:hAnsi="Arial" w:cs="Arial"/>
          <w:b/>
          <w:sz w:val="20"/>
          <w:szCs w:val="20"/>
          <w:u w:val="single"/>
        </w:rPr>
        <w:t>References</w:t>
      </w:r>
    </w:p>
    <w:p w14:paraId="3C36BEAD" w14:textId="2555CB83" w:rsidR="005B5DB1" w:rsidRPr="00C0200A" w:rsidRDefault="00C0200A" w:rsidP="00C0200A">
      <w:pPr>
        <w:pStyle w:val="ListParagraph"/>
        <w:numPr>
          <w:ilvl w:val="0"/>
          <w:numId w:val="9"/>
        </w:numPr>
        <w:outlineLvl w:val="0"/>
        <w:rPr>
          <w:rFonts w:ascii="Arial" w:hAnsi="Arial" w:cs="Arial"/>
          <w:sz w:val="20"/>
          <w:szCs w:val="20"/>
        </w:rPr>
      </w:pPr>
      <w:r w:rsidRPr="00C0200A">
        <w:rPr>
          <w:rFonts w:ascii="Arial" w:hAnsi="Arial" w:cs="Arial"/>
          <w:sz w:val="20"/>
          <w:szCs w:val="20"/>
        </w:rPr>
        <w:t>Nucynta</w:t>
      </w:r>
      <w:r w:rsidR="002D0CE3">
        <w:rPr>
          <w:rFonts w:ascii="Arial" w:hAnsi="Arial" w:cs="Arial"/>
          <w:sz w:val="20"/>
          <w:szCs w:val="20"/>
          <w:vertAlign w:val="superscript"/>
        </w:rPr>
        <w:t xml:space="preserve"> </w:t>
      </w:r>
      <w:r w:rsidRPr="00C0200A">
        <w:rPr>
          <w:rFonts w:ascii="Arial" w:hAnsi="Arial" w:cs="Arial"/>
          <w:sz w:val="20"/>
          <w:szCs w:val="20"/>
        </w:rPr>
        <w:t>ER</w:t>
      </w:r>
      <w:r w:rsidR="002D0CE3" w:rsidRPr="00C0200A">
        <w:rPr>
          <w:rFonts w:ascii="Arial" w:hAnsi="Arial" w:cs="Arial"/>
          <w:sz w:val="20"/>
          <w:szCs w:val="20"/>
          <w:vertAlign w:val="superscript"/>
        </w:rPr>
        <w:t>®</w:t>
      </w:r>
      <w:r w:rsidRPr="00C0200A">
        <w:rPr>
          <w:rFonts w:ascii="Arial" w:hAnsi="Arial" w:cs="Arial"/>
          <w:sz w:val="20"/>
          <w:szCs w:val="20"/>
        </w:rPr>
        <w:t xml:space="preserve"> [package insert]. Titusville (NJ): Janssen Pharmaceuticals</w:t>
      </w:r>
      <w:r w:rsidR="002D0CE3">
        <w:rPr>
          <w:rFonts w:ascii="Arial" w:hAnsi="Arial" w:cs="Arial"/>
          <w:sz w:val="20"/>
          <w:szCs w:val="20"/>
        </w:rPr>
        <w:t>,</w:t>
      </w:r>
      <w:r w:rsidRPr="00C0200A">
        <w:rPr>
          <w:rFonts w:ascii="Arial" w:hAnsi="Arial" w:cs="Arial"/>
          <w:sz w:val="20"/>
          <w:szCs w:val="20"/>
        </w:rPr>
        <w:t xml:space="preserve"> Inc.; 2014 Apr.</w:t>
      </w:r>
    </w:p>
    <w:p w14:paraId="1B3DBEFA" w14:textId="6FE2E3CC" w:rsidR="005B5DB1" w:rsidRDefault="00BB15E9" w:rsidP="005B5DB1">
      <w:pPr>
        <w:numPr>
          <w:ilvl w:val="0"/>
          <w:numId w:val="9"/>
        </w:numPr>
        <w:spacing w:after="0" w:line="240" w:lineRule="auto"/>
        <w:rPr>
          <w:rFonts w:ascii="Arial" w:hAnsi="Arial" w:cs="Arial"/>
          <w:sz w:val="20"/>
          <w:szCs w:val="20"/>
        </w:rPr>
      </w:pPr>
      <w:r>
        <w:rPr>
          <w:rFonts w:ascii="Arial" w:hAnsi="Arial" w:cs="Arial"/>
          <w:sz w:val="20"/>
          <w:szCs w:val="20"/>
        </w:rPr>
        <w:t>Nucynta</w:t>
      </w:r>
      <w:r w:rsidR="005B5DB1">
        <w:rPr>
          <w:rFonts w:ascii="Arial" w:hAnsi="Arial" w:cs="Arial"/>
          <w:sz w:val="20"/>
          <w:szCs w:val="20"/>
        </w:rPr>
        <w:t xml:space="preserve"> ER</w:t>
      </w:r>
      <w:r w:rsidR="005B5DB1" w:rsidRPr="009F12DB">
        <w:rPr>
          <w:rFonts w:ascii="Arial" w:hAnsi="Arial" w:cs="Arial"/>
          <w:sz w:val="20"/>
          <w:szCs w:val="20"/>
          <w:vertAlign w:val="superscript"/>
        </w:rPr>
        <w:t>®</w:t>
      </w:r>
      <w:r w:rsidR="005B5DB1">
        <w:rPr>
          <w:rFonts w:ascii="Arial" w:hAnsi="Arial" w:cs="Arial"/>
          <w:sz w:val="20"/>
          <w:szCs w:val="20"/>
        </w:rPr>
        <w:t xml:space="preserve"> (</w:t>
      </w:r>
      <w:r>
        <w:rPr>
          <w:rFonts w:ascii="Arial" w:hAnsi="Arial" w:cs="Arial"/>
          <w:sz w:val="20"/>
          <w:szCs w:val="20"/>
        </w:rPr>
        <w:t>tapentadol extended</w:t>
      </w:r>
      <w:r w:rsidR="005B5DB1">
        <w:rPr>
          <w:rFonts w:ascii="Arial" w:hAnsi="Arial" w:cs="Arial"/>
          <w:sz w:val="20"/>
          <w:szCs w:val="20"/>
        </w:rPr>
        <w:t>-release tablets) product dossier.</w:t>
      </w:r>
      <w:r w:rsidR="002D0CE3">
        <w:rPr>
          <w:rFonts w:ascii="Arial" w:hAnsi="Arial" w:cs="Arial"/>
          <w:sz w:val="20"/>
          <w:szCs w:val="20"/>
        </w:rPr>
        <w:t xml:space="preserve"> April 1, 2015. </w:t>
      </w:r>
      <w:proofErr w:type="spellStart"/>
      <w:r w:rsidR="00DE4583">
        <w:rPr>
          <w:rFonts w:ascii="Arial" w:hAnsi="Arial" w:cs="Arial"/>
          <w:sz w:val="20"/>
          <w:szCs w:val="20"/>
        </w:rPr>
        <w:t>Depomed</w:t>
      </w:r>
      <w:proofErr w:type="spellEnd"/>
      <w:r w:rsidR="002D0CE3">
        <w:rPr>
          <w:rFonts w:ascii="Arial" w:hAnsi="Arial" w:cs="Arial"/>
          <w:sz w:val="20"/>
          <w:szCs w:val="20"/>
        </w:rPr>
        <w:t>,</w:t>
      </w:r>
      <w:r w:rsidR="002D0CE3" w:rsidRPr="00C0200A">
        <w:rPr>
          <w:rFonts w:ascii="Arial" w:hAnsi="Arial" w:cs="Arial"/>
          <w:sz w:val="20"/>
          <w:szCs w:val="20"/>
        </w:rPr>
        <w:t xml:space="preserve"> Inc</w:t>
      </w:r>
      <w:r w:rsidR="002D0CE3">
        <w:rPr>
          <w:rFonts w:ascii="Arial" w:hAnsi="Arial" w:cs="Arial"/>
          <w:sz w:val="20"/>
          <w:szCs w:val="20"/>
        </w:rPr>
        <w:t>.</w:t>
      </w:r>
      <w:r w:rsidR="005B5DB1">
        <w:rPr>
          <w:rFonts w:ascii="Arial" w:hAnsi="Arial" w:cs="Arial"/>
          <w:sz w:val="20"/>
          <w:szCs w:val="20"/>
        </w:rPr>
        <w:t xml:space="preserve"> </w:t>
      </w:r>
    </w:p>
    <w:p w14:paraId="665BC85E" w14:textId="3FE861B2" w:rsidR="00591A24" w:rsidRDefault="005D0435" w:rsidP="00591A24">
      <w:pPr>
        <w:numPr>
          <w:ilvl w:val="0"/>
          <w:numId w:val="9"/>
        </w:numPr>
        <w:spacing w:after="0" w:line="240" w:lineRule="auto"/>
        <w:rPr>
          <w:rFonts w:ascii="Arial" w:hAnsi="Arial" w:cs="Arial"/>
          <w:sz w:val="20"/>
          <w:szCs w:val="20"/>
        </w:rPr>
      </w:pPr>
      <w:proofErr w:type="spellStart"/>
      <w:r>
        <w:rPr>
          <w:rFonts w:ascii="Arial" w:hAnsi="Arial" w:cs="Arial"/>
          <w:sz w:val="20"/>
          <w:szCs w:val="20"/>
        </w:rPr>
        <w:t>Trescot</w:t>
      </w:r>
      <w:proofErr w:type="spellEnd"/>
      <w:r>
        <w:rPr>
          <w:rFonts w:ascii="Arial" w:hAnsi="Arial" w:cs="Arial"/>
          <w:sz w:val="20"/>
          <w:szCs w:val="20"/>
        </w:rPr>
        <w:t xml:space="preserve"> AM, </w:t>
      </w:r>
      <w:proofErr w:type="spellStart"/>
      <w:r>
        <w:rPr>
          <w:rFonts w:ascii="Arial" w:hAnsi="Arial" w:cs="Arial"/>
          <w:sz w:val="20"/>
          <w:szCs w:val="20"/>
        </w:rPr>
        <w:t>Datta</w:t>
      </w:r>
      <w:proofErr w:type="spellEnd"/>
      <w:r>
        <w:rPr>
          <w:rFonts w:ascii="Arial" w:hAnsi="Arial" w:cs="Arial"/>
          <w:sz w:val="20"/>
          <w:szCs w:val="20"/>
        </w:rPr>
        <w:t xml:space="preserve"> S, Lee M, </w:t>
      </w:r>
      <w:proofErr w:type="gramStart"/>
      <w:r>
        <w:rPr>
          <w:rFonts w:ascii="Arial" w:hAnsi="Arial" w:cs="Arial"/>
          <w:sz w:val="20"/>
          <w:szCs w:val="20"/>
        </w:rPr>
        <w:t>Hansen</w:t>
      </w:r>
      <w:proofErr w:type="gramEnd"/>
      <w:r>
        <w:rPr>
          <w:rFonts w:ascii="Arial" w:hAnsi="Arial" w:cs="Arial"/>
          <w:sz w:val="20"/>
          <w:szCs w:val="20"/>
        </w:rPr>
        <w:t xml:space="preserve"> H. Opioid Pharmacology. Pain Physician. 2008 Mar</w:t>
      </w:r>
      <w:proofErr w:type="gramStart"/>
      <w:r>
        <w:rPr>
          <w:rFonts w:ascii="Arial" w:hAnsi="Arial" w:cs="Arial"/>
          <w:sz w:val="20"/>
          <w:szCs w:val="20"/>
        </w:rPr>
        <w:t>;11</w:t>
      </w:r>
      <w:proofErr w:type="gramEnd"/>
      <w:r>
        <w:rPr>
          <w:rFonts w:ascii="Arial" w:hAnsi="Arial" w:cs="Arial"/>
          <w:sz w:val="20"/>
          <w:szCs w:val="20"/>
        </w:rPr>
        <w:t xml:space="preserve">(2 </w:t>
      </w:r>
      <w:proofErr w:type="spellStart"/>
      <w:r>
        <w:rPr>
          <w:rFonts w:ascii="Arial" w:hAnsi="Arial" w:cs="Arial"/>
          <w:sz w:val="20"/>
          <w:szCs w:val="20"/>
        </w:rPr>
        <w:t>Suppl</w:t>
      </w:r>
      <w:proofErr w:type="spellEnd"/>
      <w:r>
        <w:rPr>
          <w:rFonts w:ascii="Arial" w:hAnsi="Arial" w:cs="Arial"/>
          <w:sz w:val="20"/>
          <w:szCs w:val="20"/>
        </w:rPr>
        <w:t>):S133-153.</w:t>
      </w:r>
      <w:r w:rsidR="00591A24">
        <w:rPr>
          <w:rFonts w:ascii="Arial" w:hAnsi="Arial" w:cs="Arial"/>
          <w:sz w:val="20"/>
          <w:szCs w:val="20"/>
        </w:rPr>
        <w:t xml:space="preserve"> </w:t>
      </w:r>
    </w:p>
    <w:p w14:paraId="4A091251" w14:textId="0B43550D" w:rsidR="00A5204C" w:rsidRDefault="006C6258" w:rsidP="006C6258">
      <w:pPr>
        <w:numPr>
          <w:ilvl w:val="0"/>
          <w:numId w:val="9"/>
        </w:numPr>
        <w:spacing w:after="0" w:line="240" w:lineRule="auto"/>
        <w:rPr>
          <w:rFonts w:ascii="Arial" w:hAnsi="Arial" w:cs="Arial"/>
          <w:sz w:val="20"/>
          <w:szCs w:val="20"/>
        </w:rPr>
      </w:pPr>
      <w:proofErr w:type="spellStart"/>
      <w:r w:rsidRPr="006C6258">
        <w:rPr>
          <w:rFonts w:ascii="Arial" w:hAnsi="Arial" w:cs="Arial"/>
          <w:sz w:val="20"/>
          <w:szCs w:val="20"/>
        </w:rPr>
        <w:t>Ossipov</w:t>
      </w:r>
      <w:proofErr w:type="spellEnd"/>
      <w:r w:rsidRPr="006C6258">
        <w:rPr>
          <w:rFonts w:ascii="Arial" w:hAnsi="Arial" w:cs="Arial"/>
          <w:sz w:val="20"/>
          <w:szCs w:val="20"/>
        </w:rPr>
        <w:t xml:space="preserve"> MH, </w:t>
      </w:r>
      <w:proofErr w:type="spellStart"/>
      <w:r w:rsidRPr="006C6258">
        <w:rPr>
          <w:rFonts w:ascii="Arial" w:hAnsi="Arial" w:cs="Arial"/>
          <w:sz w:val="20"/>
          <w:szCs w:val="20"/>
        </w:rPr>
        <w:t>Morimura</w:t>
      </w:r>
      <w:proofErr w:type="spellEnd"/>
      <w:r w:rsidRPr="006C6258">
        <w:rPr>
          <w:rFonts w:ascii="Arial" w:hAnsi="Arial" w:cs="Arial"/>
          <w:sz w:val="20"/>
          <w:szCs w:val="20"/>
        </w:rPr>
        <w:t xml:space="preserve"> K, </w:t>
      </w:r>
      <w:proofErr w:type="spellStart"/>
      <w:r w:rsidRPr="006C6258">
        <w:rPr>
          <w:rFonts w:ascii="Arial" w:hAnsi="Arial" w:cs="Arial"/>
          <w:sz w:val="20"/>
          <w:szCs w:val="20"/>
        </w:rPr>
        <w:t>Porreca</w:t>
      </w:r>
      <w:proofErr w:type="spellEnd"/>
      <w:r w:rsidRPr="006C6258">
        <w:rPr>
          <w:rFonts w:ascii="Arial" w:hAnsi="Arial" w:cs="Arial"/>
          <w:sz w:val="20"/>
          <w:szCs w:val="20"/>
        </w:rPr>
        <w:t xml:space="preserve"> F. Descending pain modulation and chronification of pain. </w:t>
      </w:r>
      <w:proofErr w:type="spellStart"/>
      <w:r w:rsidRPr="006C6258">
        <w:rPr>
          <w:rFonts w:ascii="Arial" w:hAnsi="Arial" w:cs="Arial"/>
          <w:sz w:val="20"/>
          <w:szCs w:val="20"/>
        </w:rPr>
        <w:t>Curr</w:t>
      </w:r>
      <w:proofErr w:type="spellEnd"/>
      <w:r w:rsidRPr="006C6258">
        <w:rPr>
          <w:rFonts w:ascii="Arial" w:hAnsi="Arial" w:cs="Arial"/>
          <w:sz w:val="20"/>
          <w:szCs w:val="20"/>
        </w:rPr>
        <w:t xml:space="preserve"> </w:t>
      </w:r>
      <w:proofErr w:type="spellStart"/>
      <w:r w:rsidRPr="006C6258">
        <w:rPr>
          <w:rFonts w:ascii="Arial" w:hAnsi="Arial" w:cs="Arial"/>
          <w:sz w:val="20"/>
          <w:szCs w:val="20"/>
        </w:rPr>
        <w:t>Opin</w:t>
      </w:r>
      <w:proofErr w:type="spellEnd"/>
      <w:r w:rsidRPr="006C6258">
        <w:rPr>
          <w:rFonts w:ascii="Arial" w:hAnsi="Arial" w:cs="Arial"/>
          <w:sz w:val="20"/>
          <w:szCs w:val="20"/>
        </w:rPr>
        <w:t xml:space="preserve"> Support </w:t>
      </w:r>
      <w:proofErr w:type="spellStart"/>
      <w:r w:rsidRPr="006C6258">
        <w:rPr>
          <w:rFonts w:ascii="Arial" w:hAnsi="Arial" w:cs="Arial"/>
          <w:sz w:val="20"/>
          <w:szCs w:val="20"/>
        </w:rPr>
        <w:t>Palliat</w:t>
      </w:r>
      <w:proofErr w:type="spellEnd"/>
      <w:r w:rsidRPr="006C6258">
        <w:rPr>
          <w:rFonts w:ascii="Arial" w:hAnsi="Arial" w:cs="Arial"/>
          <w:sz w:val="20"/>
          <w:szCs w:val="20"/>
        </w:rPr>
        <w:t xml:space="preserve"> Care. 2014 Jun</w:t>
      </w:r>
      <w:proofErr w:type="gramStart"/>
      <w:r w:rsidRPr="006C6258">
        <w:rPr>
          <w:rFonts w:ascii="Arial" w:hAnsi="Arial" w:cs="Arial"/>
          <w:sz w:val="20"/>
          <w:szCs w:val="20"/>
        </w:rPr>
        <w:t>;8</w:t>
      </w:r>
      <w:proofErr w:type="gramEnd"/>
      <w:r w:rsidRPr="006C6258">
        <w:rPr>
          <w:rFonts w:ascii="Arial" w:hAnsi="Arial" w:cs="Arial"/>
          <w:sz w:val="20"/>
          <w:szCs w:val="20"/>
        </w:rPr>
        <w:t>(2):143-51.</w:t>
      </w:r>
    </w:p>
    <w:p w14:paraId="35392DA7" w14:textId="329205A8" w:rsidR="00A5204C" w:rsidRDefault="006C6258" w:rsidP="006C6258">
      <w:pPr>
        <w:numPr>
          <w:ilvl w:val="0"/>
          <w:numId w:val="9"/>
        </w:numPr>
        <w:spacing w:after="0" w:line="240" w:lineRule="auto"/>
        <w:rPr>
          <w:rFonts w:ascii="Arial" w:hAnsi="Arial" w:cs="Arial"/>
          <w:sz w:val="20"/>
          <w:szCs w:val="20"/>
        </w:rPr>
      </w:pPr>
      <w:proofErr w:type="spellStart"/>
      <w:r w:rsidRPr="006C6258">
        <w:rPr>
          <w:rFonts w:ascii="Arial" w:hAnsi="Arial" w:cs="Arial"/>
          <w:sz w:val="20"/>
          <w:szCs w:val="20"/>
        </w:rPr>
        <w:t>Buynak</w:t>
      </w:r>
      <w:proofErr w:type="spellEnd"/>
      <w:r w:rsidRPr="006C6258">
        <w:rPr>
          <w:rFonts w:ascii="Arial" w:hAnsi="Arial" w:cs="Arial"/>
          <w:sz w:val="20"/>
          <w:szCs w:val="20"/>
        </w:rPr>
        <w:t xml:space="preserve"> R, Shapiro DY, Okamoto A, Van Hove I, </w:t>
      </w:r>
      <w:proofErr w:type="spellStart"/>
      <w:r w:rsidRPr="006C6258">
        <w:rPr>
          <w:rFonts w:ascii="Arial" w:hAnsi="Arial" w:cs="Arial"/>
          <w:sz w:val="20"/>
          <w:szCs w:val="20"/>
        </w:rPr>
        <w:t>Rauschkolb</w:t>
      </w:r>
      <w:proofErr w:type="spellEnd"/>
      <w:r w:rsidRPr="006C6258">
        <w:rPr>
          <w:rFonts w:ascii="Arial" w:hAnsi="Arial" w:cs="Arial"/>
          <w:sz w:val="20"/>
          <w:szCs w:val="20"/>
        </w:rPr>
        <w:t xml:space="preserve"> C, </w:t>
      </w:r>
      <w:proofErr w:type="spellStart"/>
      <w:r w:rsidRPr="006C6258">
        <w:rPr>
          <w:rFonts w:ascii="Arial" w:hAnsi="Arial" w:cs="Arial"/>
          <w:sz w:val="20"/>
          <w:szCs w:val="20"/>
        </w:rPr>
        <w:t>Steup</w:t>
      </w:r>
      <w:proofErr w:type="spellEnd"/>
      <w:r w:rsidRPr="006C6258">
        <w:rPr>
          <w:rFonts w:ascii="Arial" w:hAnsi="Arial" w:cs="Arial"/>
          <w:sz w:val="20"/>
          <w:szCs w:val="20"/>
        </w:rPr>
        <w:t xml:space="preserve"> A, et al. Efficacy and safety of tapentadol extended release for the management of chronic low back pain: results of a prospective, randomized, double-blind, placebo- and active-controlled Phase III study. Expert </w:t>
      </w:r>
      <w:proofErr w:type="spellStart"/>
      <w:r w:rsidRPr="006C6258">
        <w:rPr>
          <w:rFonts w:ascii="Arial" w:hAnsi="Arial" w:cs="Arial"/>
          <w:sz w:val="20"/>
          <w:szCs w:val="20"/>
        </w:rPr>
        <w:t>Opin</w:t>
      </w:r>
      <w:proofErr w:type="spellEnd"/>
      <w:r w:rsidRPr="006C6258">
        <w:rPr>
          <w:rFonts w:ascii="Arial" w:hAnsi="Arial" w:cs="Arial"/>
          <w:sz w:val="20"/>
          <w:szCs w:val="20"/>
        </w:rPr>
        <w:t xml:space="preserve"> </w:t>
      </w:r>
      <w:proofErr w:type="spellStart"/>
      <w:r w:rsidRPr="006C6258">
        <w:rPr>
          <w:rFonts w:ascii="Arial" w:hAnsi="Arial" w:cs="Arial"/>
          <w:sz w:val="20"/>
          <w:szCs w:val="20"/>
        </w:rPr>
        <w:t>Pharmacother</w:t>
      </w:r>
      <w:proofErr w:type="spellEnd"/>
      <w:r w:rsidRPr="006C6258">
        <w:rPr>
          <w:rFonts w:ascii="Arial" w:hAnsi="Arial" w:cs="Arial"/>
          <w:sz w:val="20"/>
          <w:szCs w:val="20"/>
        </w:rPr>
        <w:t>. 2010 Aug</w:t>
      </w:r>
      <w:proofErr w:type="gramStart"/>
      <w:r w:rsidRPr="006C6258">
        <w:rPr>
          <w:rFonts w:ascii="Arial" w:hAnsi="Arial" w:cs="Arial"/>
          <w:sz w:val="20"/>
          <w:szCs w:val="20"/>
        </w:rPr>
        <w:t>;11</w:t>
      </w:r>
      <w:proofErr w:type="gramEnd"/>
      <w:r w:rsidRPr="006C6258">
        <w:rPr>
          <w:rFonts w:ascii="Arial" w:hAnsi="Arial" w:cs="Arial"/>
          <w:sz w:val="20"/>
          <w:szCs w:val="20"/>
        </w:rPr>
        <w:t>(11):1787-804.</w:t>
      </w:r>
    </w:p>
    <w:p w14:paraId="2A2EC2AD" w14:textId="496EDBAA" w:rsidR="00A5204C" w:rsidRDefault="006C6258" w:rsidP="006C6258">
      <w:pPr>
        <w:numPr>
          <w:ilvl w:val="0"/>
          <w:numId w:val="9"/>
        </w:numPr>
        <w:spacing w:after="0" w:line="240" w:lineRule="auto"/>
        <w:rPr>
          <w:rFonts w:ascii="Arial" w:hAnsi="Arial" w:cs="Arial"/>
          <w:sz w:val="20"/>
          <w:szCs w:val="20"/>
        </w:rPr>
      </w:pPr>
      <w:proofErr w:type="spellStart"/>
      <w:r w:rsidRPr="006C6258">
        <w:rPr>
          <w:rFonts w:ascii="Arial" w:hAnsi="Arial" w:cs="Arial"/>
          <w:sz w:val="20"/>
          <w:szCs w:val="20"/>
        </w:rPr>
        <w:t>Afilalo</w:t>
      </w:r>
      <w:proofErr w:type="spellEnd"/>
      <w:r w:rsidRPr="006C6258">
        <w:rPr>
          <w:rFonts w:ascii="Arial" w:hAnsi="Arial" w:cs="Arial"/>
          <w:sz w:val="20"/>
          <w:szCs w:val="20"/>
        </w:rPr>
        <w:t xml:space="preserve"> M, </w:t>
      </w:r>
      <w:proofErr w:type="spellStart"/>
      <w:r w:rsidRPr="006C6258">
        <w:rPr>
          <w:rFonts w:ascii="Arial" w:hAnsi="Arial" w:cs="Arial"/>
          <w:sz w:val="20"/>
          <w:szCs w:val="20"/>
        </w:rPr>
        <w:t>Etropolski</w:t>
      </w:r>
      <w:proofErr w:type="spellEnd"/>
      <w:r w:rsidRPr="006C6258">
        <w:rPr>
          <w:rFonts w:ascii="Arial" w:hAnsi="Arial" w:cs="Arial"/>
          <w:sz w:val="20"/>
          <w:szCs w:val="20"/>
        </w:rPr>
        <w:t xml:space="preserve"> MS, </w:t>
      </w:r>
      <w:proofErr w:type="spellStart"/>
      <w:r w:rsidRPr="006C6258">
        <w:rPr>
          <w:rFonts w:ascii="Arial" w:hAnsi="Arial" w:cs="Arial"/>
          <w:sz w:val="20"/>
          <w:szCs w:val="20"/>
        </w:rPr>
        <w:t>Kuperwasser</w:t>
      </w:r>
      <w:proofErr w:type="spellEnd"/>
      <w:r w:rsidRPr="006C6258">
        <w:rPr>
          <w:rFonts w:ascii="Arial" w:hAnsi="Arial" w:cs="Arial"/>
          <w:sz w:val="20"/>
          <w:szCs w:val="20"/>
        </w:rPr>
        <w:t xml:space="preserve"> B, Kelly K, Okamoto A, Van Hove I, </w:t>
      </w:r>
      <w:r>
        <w:rPr>
          <w:rFonts w:ascii="Arial" w:hAnsi="Arial" w:cs="Arial"/>
          <w:sz w:val="20"/>
          <w:szCs w:val="20"/>
        </w:rPr>
        <w:t>et al</w:t>
      </w:r>
      <w:r w:rsidRPr="006C6258">
        <w:rPr>
          <w:rFonts w:ascii="Arial" w:hAnsi="Arial" w:cs="Arial"/>
          <w:sz w:val="20"/>
          <w:szCs w:val="20"/>
        </w:rPr>
        <w:t>.</w:t>
      </w:r>
      <w:r>
        <w:rPr>
          <w:rFonts w:ascii="Arial" w:hAnsi="Arial" w:cs="Arial"/>
          <w:sz w:val="20"/>
          <w:szCs w:val="20"/>
        </w:rPr>
        <w:t xml:space="preserve"> </w:t>
      </w:r>
      <w:r w:rsidRPr="006C6258">
        <w:rPr>
          <w:rFonts w:ascii="Arial" w:hAnsi="Arial" w:cs="Arial"/>
          <w:sz w:val="20"/>
          <w:szCs w:val="20"/>
        </w:rPr>
        <w:t xml:space="preserve">Efficacy and safety of Tapentadol extended release compared with oxycodone controlled release for the management of </w:t>
      </w:r>
      <w:r w:rsidRPr="006C6258">
        <w:rPr>
          <w:rFonts w:ascii="Arial" w:hAnsi="Arial" w:cs="Arial"/>
          <w:sz w:val="20"/>
          <w:szCs w:val="20"/>
        </w:rPr>
        <w:lastRenderedPageBreak/>
        <w:t>moderate to severe chronic pain related to osteoarthritis of the knee: a randomized, double-blind, placebo- and active-controlled phase III study.</w:t>
      </w:r>
      <w:r>
        <w:rPr>
          <w:rFonts w:ascii="Arial" w:hAnsi="Arial" w:cs="Arial"/>
          <w:sz w:val="20"/>
          <w:szCs w:val="20"/>
        </w:rPr>
        <w:t xml:space="preserve"> </w:t>
      </w:r>
      <w:proofErr w:type="spellStart"/>
      <w:r w:rsidRPr="006C6258">
        <w:rPr>
          <w:rFonts w:ascii="Arial" w:hAnsi="Arial" w:cs="Arial"/>
          <w:sz w:val="20"/>
          <w:szCs w:val="20"/>
        </w:rPr>
        <w:t>Clin</w:t>
      </w:r>
      <w:proofErr w:type="spellEnd"/>
      <w:r w:rsidRPr="006C6258">
        <w:rPr>
          <w:rFonts w:ascii="Arial" w:hAnsi="Arial" w:cs="Arial"/>
          <w:sz w:val="20"/>
          <w:szCs w:val="20"/>
        </w:rPr>
        <w:t xml:space="preserve"> Drug </w:t>
      </w:r>
      <w:proofErr w:type="spellStart"/>
      <w:r w:rsidRPr="006C6258">
        <w:rPr>
          <w:rFonts w:ascii="Arial" w:hAnsi="Arial" w:cs="Arial"/>
          <w:sz w:val="20"/>
          <w:szCs w:val="20"/>
        </w:rPr>
        <w:t>Investig</w:t>
      </w:r>
      <w:proofErr w:type="spellEnd"/>
      <w:r w:rsidRPr="006C6258">
        <w:rPr>
          <w:rFonts w:ascii="Arial" w:hAnsi="Arial" w:cs="Arial"/>
          <w:sz w:val="20"/>
          <w:szCs w:val="20"/>
        </w:rPr>
        <w:t>. 2010</w:t>
      </w:r>
      <w:proofErr w:type="gramStart"/>
      <w:r w:rsidRPr="006C6258">
        <w:rPr>
          <w:rFonts w:ascii="Arial" w:hAnsi="Arial" w:cs="Arial"/>
          <w:sz w:val="20"/>
          <w:szCs w:val="20"/>
        </w:rPr>
        <w:t>;30</w:t>
      </w:r>
      <w:proofErr w:type="gramEnd"/>
      <w:r w:rsidRPr="006C6258">
        <w:rPr>
          <w:rFonts w:ascii="Arial" w:hAnsi="Arial" w:cs="Arial"/>
          <w:sz w:val="20"/>
          <w:szCs w:val="20"/>
        </w:rPr>
        <w:t>(8):489-505</w:t>
      </w:r>
      <w:r>
        <w:rPr>
          <w:rFonts w:ascii="Arial" w:hAnsi="Arial" w:cs="Arial"/>
          <w:sz w:val="20"/>
          <w:szCs w:val="20"/>
        </w:rPr>
        <w:t>.</w:t>
      </w:r>
    </w:p>
    <w:p w14:paraId="197509ED" w14:textId="04C02978" w:rsidR="00A5204C" w:rsidRDefault="006C6258" w:rsidP="006C6258">
      <w:pPr>
        <w:numPr>
          <w:ilvl w:val="0"/>
          <w:numId w:val="9"/>
        </w:numPr>
        <w:spacing w:after="0" w:line="240" w:lineRule="auto"/>
        <w:rPr>
          <w:rFonts w:ascii="Arial" w:hAnsi="Arial" w:cs="Arial"/>
          <w:sz w:val="20"/>
          <w:szCs w:val="20"/>
        </w:rPr>
      </w:pPr>
      <w:r w:rsidRPr="006C6258">
        <w:rPr>
          <w:rFonts w:ascii="Arial" w:hAnsi="Arial" w:cs="Arial"/>
          <w:sz w:val="20"/>
          <w:szCs w:val="20"/>
        </w:rPr>
        <w:t xml:space="preserve">Schwartz S1, </w:t>
      </w:r>
      <w:proofErr w:type="spellStart"/>
      <w:r w:rsidRPr="006C6258">
        <w:rPr>
          <w:rFonts w:ascii="Arial" w:hAnsi="Arial" w:cs="Arial"/>
          <w:sz w:val="20"/>
          <w:szCs w:val="20"/>
        </w:rPr>
        <w:t>Etropolski</w:t>
      </w:r>
      <w:proofErr w:type="spellEnd"/>
      <w:r w:rsidRPr="006C6258">
        <w:rPr>
          <w:rFonts w:ascii="Arial" w:hAnsi="Arial" w:cs="Arial"/>
          <w:sz w:val="20"/>
          <w:szCs w:val="20"/>
        </w:rPr>
        <w:t xml:space="preserve"> M, Shapiro DY, Okamoto A, Lange R, </w:t>
      </w:r>
      <w:proofErr w:type="spellStart"/>
      <w:r w:rsidRPr="006C6258">
        <w:rPr>
          <w:rFonts w:ascii="Arial" w:hAnsi="Arial" w:cs="Arial"/>
          <w:sz w:val="20"/>
          <w:szCs w:val="20"/>
        </w:rPr>
        <w:t>Haeussler</w:t>
      </w:r>
      <w:proofErr w:type="spellEnd"/>
      <w:r w:rsidRPr="006C6258">
        <w:rPr>
          <w:rFonts w:ascii="Arial" w:hAnsi="Arial" w:cs="Arial"/>
          <w:sz w:val="20"/>
          <w:szCs w:val="20"/>
        </w:rPr>
        <w:t xml:space="preserve"> J, </w:t>
      </w:r>
      <w:proofErr w:type="spellStart"/>
      <w:r w:rsidRPr="006C6258">
        <w:rPr>
          <w:rFonts w:ascii="Arial" w:hAnsi="Arial" w:cs="Arial"/>
          <w:sz w:val="20"/>
          <w:szCs w:val="20"/>
        </w:rPr>
        <w:t>Rauschkolb</w:t>
      </w:r>
      <w:proofErr w:type="spellEnd"/>
      <w:r w:rsidRPr="006C6258">
        <w:rPr>
          <w:rFonts w:ascii="Arial" w:hAnsi="Arial" w:cs="Arial"/>
          <w:sz w:val="20"/>
          <w:szCs w:val="20"/>
        </w:rPr>
        <w:t xml:space="preserve"> C.</w:t>
      </w:r>
      <w:r>
        <w:rPr>
          <w:rFonts w:ascii="Arial" w:hAnsi="Arial" w:cs="Arial"/>
          <w:sz w:val="20"/>
          <w:szCs w:val="20"/>
        </w:rPr>
        <w:t xml:space="preserve"> </w:t>
      </w:r>
      <w:r w:rsidRPr="006C6258">
        <w:rPr>
          <w:rFonts w:ascii="Arial" w:hAnsi="Arial" w:cs="Arial"/>
          <w:sz w:val="20"/>
          <w:szCs w:val="20"/>
        </w:rPr>
        <w:t>Safety and efficacy of tapentadol ER in patients with painful diabetic peripheral neuropathy: results of a randomized-withdrawal, placebo-controlled trial.</w:t>
      </w:r>
      <w:r>
        <w:rPr>
          <w:rFonts w:ascii="Arial" w:hAnsi="Arial" w:cs="Arial"/>
          <w:sz w:val="20"/>
          <w:szCs w:val="20"/>
        </w:rPr>
        <w:t xml:space="preserve"> </w:t>
      </w:r>
      <w:proofErr w:type="spellStart"/>
      <w:r w:rsidRPr="006C6258">
        <w:rPr>
          <w:rFonts w:ascii="Arial" w:hAnsi="Arial" w:cs="Arial"/>
          <w:sz w:val="20"/>
          <w:szCs w:val="20"/>
        </w:rPr>
        <w:t>Curr</w:t>
      </w:r>
      <w:proofErr w:type="spellEnd"/>
      <w:r w:rsidRPr="006C6258">
        <w:rPr>
          <w:rFonts w:ascii="Arial" w:hAnsi="Arial" w:cs="Arial"/>
          <w:sz w:val="20"/>
          <w:szCs w:val="20"/>
        </w:rPr>
        <w:t xml:space="preserve"> Med </w:t>
      </w:r>
      <w:r>
        <w:rPr>
          <w:rFonts w:ascii="Arial" w:hAnsi="Arial" w:cs="Arial"/>
          <w:sz w:val="20"/>
          <w:szCs w:val="20"/>
        </w:rPr>
        <w:t xml:space="preserve">Res </w:t>
      </w:r>
      <w:proofErr w:type="spellStart"/>
      <w:r>
        <w:rPr>
          <w:rFonts w:ascii="Arial" w:hAnsi="Arial" w:cs="Arial"/>
          <w:sz w:val="20"/>
          <w:szCs w:val="20"/>
        </w:rPr>
        <w:t>Opin</w:t>
      </w:r>
      <w:proofErr w:type="spellEnd"/>
      <w:r>
        <w:rPr>
          <w:rFonts w:ascii="Arial" w:hAnsi="Arial" w:cs="Arial"/>
          <w:sz w:val="20"/>
          <w:szCs w:val="20"/>
        </w:rPr>
        <w:t>. 2011 Jan</w:t>
      </w:r>
      <w:proofErr w:type="gramStart"/>
      <w:r>
        <w:rPr>
          <w:rFonts w:ascii="Arial" w:hAnsi="Arial" w:cs="Arial"/>
          <w:sz w:val="20"/>
          <w:szCs w:val="20"/>
        </w:rPr>
        <w:t>;27</w:t>
      </w:r>
      <w:proofErr w:type="gramEnd"/>
      <w:r>
        <w:rPr>
          <w:rFonts w:ascii="Arial" w:hAnsi="Arial" w:cs="Arial"/>
          <w:sz w:val="20"/>
          <w:szCs w:val="20"/>
        </w:rPr>
        <w:t>(1):151-62</w:t>
      </w:r>
      <w:r w:rsidRPr="006C6258">
        <w:rPr>
          <w:rFonts w:ascii="Arial" w:hAnsi="Arial" w:cs="Arial"/>
          <w:sz w:val="20"/>
          <w:szCs w:val="20"/>
        </w:rPr>
        <w:t>.</w:t>
      </w:r>
    </w:p>
    <w:p w14:paraId="406818EB" w14:textId="7EB4FD86" w:rsidR="00A5204C" w:rsidRDefault="004F5EEC" w:rsidP="003501E5">
      <w:pPr>
        <w:numPr>
          <w:ilvl w:val="0"/>
          <w:numId w:val="9"/>
        </w:numPr>
        <w:spacing w:after="0" w:line="240" w:lineRule="auto"/>
        <w:rPr>
          <w:rFonts w:ascii="Arial" w:hAnsi="Arial" w:cs="Arial"/>
          <w:sz w:val="20"/>
          <w:szCs w:val="20"/>
        </w:rPr>
      </w:pPr>
      <w:proofErr w:type="spellStart"/>
      <w:r w:rsidRPr="004F5EEC">
        <w:rPr>
          <w:rFonts w:ascii="Arial" w:hAnsi="Arial" w:cs="Arial"/>
          <w:sz w:val="20"/>
          <w:szCs w:val="20"/>
        </w:rPr>
        <w:t>Vinik</w:t>
      </w:r>
      <w:proofErr w:type="spellEnd"/>
      <w:r w:rsidRPr="004F5EEC">
        <w:rPr>
          <w:rFonts w:ascii="Arial" w:hAnsi="Arial" w:cs="Arial"/>
          <w:sz w:val="20"/>
          <w:szCs w:val="20"/>
        </w:rPr>
        <w:t xml:space="preserve"> AI, Shapiro DY, Rauschkolb C, Lange B, </w:t>
      </w:r>
      <w:proofErr w:type="spellStart"/>
      <w:r w:rsidRPr="004F5EEC">
        <w:rPr>
          <w:rFonts w:ascii="Arial" w:hAnsi="Arial" w:cs="Arial"/>
          <w:sz w:val="20"/>
          <w:szCs w:val="20"/>
        </w:rPr>
        <w:t>Karcher</w:t>
      </w:r>
      <w:proofErr w:type="spellEnd"/>
      <w:r w:rsidRPr="004F5EEC">
        <w:rPr>
          <w:rFonts w:ascii="Arial" w:hAnsi="Arial" w:cs="Arial"/>
          <w:sz w:val="20"/>
          <w:szCs w:val="20"/>
        </w:rPr>
        <w:t xml:space="preserve"> K, </w:t>
      </w:r>
      <w:proofErr w:type="spellStart"/>
      <w:r w:rsidRPr="004F5EEC">
        <w:rPr>
          <w:rFonts w:ascii="Arial" w:hAnsi="Arial" w:cs="Arial"/>
          <w:sz w:val="20"/>
          <w:szCs w:val="20"/>
        </w:rPr>
        <w:t>Pennett</w:t>
      </w:r>
      <w:proofErr w:type="spellEnd"/>
      <w:r w:rsidRPr="004F5EEC">
        <w:rPr>
          <w:rFonts w:ascii="Arial" w:hAnsi="Arial" w:cs="Arial"/>
          <w:sz w:val="20"/>
          <w:szCs w:val="20"/>
        </w:rPr>
        <w:t xml:space="preserve"> D, </w:t>
      </w:r>
      <w:r w:rsidR="003501E5">
        <w:rPr>
          <w:rFonts w:ascii="Arial" w:hAnsi="Arial" w:cs="Arial"/>
          <w:sz w:val="20"/>
          <w:szCs w:val="20"/>
        </w:rPr>
        <w:t xml:space="preserve">et al. </w:t>
      </w:r>
      <w:r w:rsidR="003501E5" w:rsidRPr="003501E5">
        <w:rPr>
          <w:rFonts w:ascii="Arial" w:hAnsi="Arial" w:cs="Arial"/>
          <w:sz w:val="20"/>
          <w:szCs w:val="20"/>
        </w:rPr>
        <w:t>A randomized withdrawal, placebo-controlled study evaluating the efficacy and tolerability of tapentadol extended release in patients with chronic painful diabetic peripheral neuropathy.</w:t>
      </w:r>
      <w:r w:rsidR="003501E5">
        <w:rPr>
          <w:rFonts w:ascii="Arial" w:hAnsi="Arial" w:cs="Arial"/>
          <w:sz w:val="20"/>
          <w:szCs w:val="20"/>
        </w:rPr>
        <w:t xml:space="preserve"> </w:t>
      </w:r>
      <w:r w:rsidR="003501E5" w:rsidRPr="003501E5">
        <w:rPr>
          <w:rFonts w:ascii="Arial" w:hAnsi="Arial" w:cs="Arial"/>
          <w:sz w:val="20"/>
          <w:szCs w:val="20"/>
        </w:rPr>
        <w:t>Diabetes Care. 2014 Aug</w:t>
      </w:r>
      <w:proofErr w:type="gramStart"/>
      <w:r w:rsidR="003501E5" w:rsidRPr="003501E5">
        <w:rPr>
          <w:rFonts w:ascii="Arial" w:hAnsi="Arial" w:cs="Arial"/>
          <w:sz w:val="20"/>
          <w:szCs w:val="20"/>
        </w:rPr>
        <w:t>;37</w:t>
      </w:r>
      <w:proofErr w:type="gramEnd"/>
      <w:r w:rsidR="003501E5" w:rsidRPr="003501E5">
        <w:rPr>
          <w:rFonts w:ascii="Arial" w:hAnsi="Arial" w:cs="Arial"/>
          <w:sz w:val="20"/>
          <w:szCs w:val="20"/>
        </w:rPr>
        <w:t>(8):2302-9.</w:t>
      </w:r>
    </w:p>
    <w:p w14:paraId="70E2F587" w14:textId="26E35F8D" w:rsidR="00A5204C" w:rsidRDefault="003501E5" w:rsidP="003501E5">
      <w:pPr>
        <w:numPr>
          <w:ilvl w:val="0"/>
          <w:numId w:val="9"/>
        </w:numPr>
        <w:spacing w:after="0" w:line="240" w:lineRule="auto"/>
        <w:rPr>
          <w:rFonts w:ascii="Arial" w:hAnsi="Arial" w:cs="Arial"/>
          <w:sz w:val="20"/>
          <w:szCs w:val="20"/>
        </w:rPr>
      </w:pPr>
      <w:r w:rsidRPr="003501E5">
        <w:rPr>
          <w:rFonts w:ascii="Arial" w:hAnsi="Arial" w:cs="Arial"/>
          <w:sz w:val="20"/>
          <w:szCs w:val="20"/>
        </w:rPr>
        <w:t xml:space="preserve">Wild JE, </w:t>
      </w:r>
      <w:proofErr w:type="spellStart"/>
      <w:r w:rsidRPr="003501E5">
        <w:rPr>
          <w:rFonts w:ascii="Arial" w:hAnsi="Arial" w:cs="Arial"/>
          <w:sz w:val="20"/>
          <w:szCs w:val="20"/>
        </w:rPr>
        <w:t>Grond</w:t>
      </w:r>
      <w:proofErr w:type="spellEnd"/>
      <w:r w:rsidRPr="003501E5">
        <w:rPr>
          <w:rFonts w:ascii="Arial" w:hAnsi="Arial" w:cs="Arial"/>
          <w:sz w:val="20"/>
          <w:szCs w:val="20"/>
        </w:rPr>
        <w:t xml:space="preserve"> S, </w:t>
      </w:r>
      <w:proofErr w:type="spellStart"/>
      <w:r w:rsidRPr="003501E5">
        <w:rPr>
          <w:rFonts w:ascii="Arial" w:hAnsi="Arial" w:cs="Arial"/>
          <w:sz w:val="20"/>
          <w:szCs w:val="20"/>
        </w:rPr>
        <w:t>Kuperwasser</w:t>
      </w:r>
      <w:proofErr w:type="spellEnd"/>
      <w:r w:rsidRPr="003501E5">
        <w:rPr>
          <w:rFonts w:ascii="Arial" w:hAnsi="Arial" w:cs="Arial"/>
          <w:sz w:val="20"/>
          <w:szCs w:val="20"/>
        </w:rPr>
        <w:t xml:space="preserve"> B, Gilbert J, McCann B, Lange B, </w:t>
      </w:r>
      <w:r>
        <w:rPr>
          <w:rFonts w:ascii="Arial" w:hAnsi="Arial" w:cs="Arial"/>
          <w:sz w:val="20"/>
          <w:szCs w:val="20"/>
        </w:rPr>
        <w:t>et al</w:t>
      </w:r>
      <w:r w:rsidRPr="003501E5">
        <w:rPr>
          <w:rFonts w:ascii="Arial" w:hAnsi="Arial" w:cs="Arial"/>
          <w:sz w:val="20"/>
          <w:szCs w:val="20"/>
        </w:rPr>
        <w:t>.</w:t>
      </w:r>
      <w:r>
        <w:rPr>
          <w:rFonts w:ascii="Arial" w:hAnsi="Arial" w:cs="Arial"/>
          <w:sz w:val="20"/>
          <w:szCs w:val="20"/>
        </w:rPr>
        <w:t xml:space="preserve"> </w:t>
      </w:r>
      <w:r w:rsidRPr="003501E5">
        <w:rPr>
          <w:rFonts w:ascii="Arial" w:hAnsi="Arial" w:cs="Arial"/>
          <w:sz w:val="20"/>
          <w:szCs w:val="20"/>
        </w:rPr>
        <w:t>Long-term safety and tolerability of tapentadol extended release for the management of chronic low back pain or osteoarthritis pain.</w:t>
      </w:r>
      <w:r>
        <w:rPr>
          <w:rFonts w:ascii="Arial" w:hAnsi="Arial" w:cs="Arial"/>
          <w:sz w:val="20"/>
          <w:szCs w:val="20"/>
        </w:rPr>
        <w:t xml:space="preserve"> </w:t>
      </w:r>
      <w:r w:rsidRPr="003501E5">
        <w:rPr>
          <w:rFonts w:ascii="Arial" w:hAnsi="Arial" w:cs="Arial"/>
          <w:sz w:val="20"/>
          <w:szCs w:val="20"/>
        </w:rPr>
        <w:t xml:space="preserve">Pain </w:t>
      </w:r>
      <w:proofErr w:type="spellStart"/>
      <w:r w:rsidRPr="003501E5">
        <w:rPr>
          <w:rFonts w:ascii="Arial" w:hAnsi="Arial" w:cs="Arial"/>
          <w:sz w:val="20"/>
          <w:szCs w:val="20"/>
        </w:rPr>
        <w:t>Pract</w:t>
      </w:r>
      <w:proofErr w:type="spellEnd"/>
      <w:r w:rsidRPr="003501E5">
        <w:rPr>
          <w:rFonts w:ascii="Arial" w:hAnsi="Arial" w:cs="Arial"/>
          <w:sz w:val="20"/>
          <w:szCs w:val="20"/>
        </w:rPr>
        <w:t>. 2010 Sep-Oct</w:t>
      </w:r>
      <w:proofErr w:type="gramStart"/>
      <w:r w:rsidRPr="003501E5">
        <w:rPr>
          <w:rFonts w:ascii="Arial" w:hAnsi="Arial" w:cs="Arial"/>
          <w:sz w:val="20"/>
          <w:szCs w:val="20"/>
        </w:rPr>
        <w:t>;10</w:t>
      </w:r>
      <w:proofErr w:type="gramEnd"/>
      <w:r w:rsidRPr="003501E5">
        <w:rPr>
          <w:rFonts w:ascii="Arial" w:hAnsi="Arial" w:cs="Arial"/>
          <w:sz w:val="20"/>
          <w:szCs w:val="20"/>
        </w:rPr>
        <w:t>(5):416-27.</w:t>
      </w:r>
    </w:p>
    <w:p w14:paraId="61098E1D" w14:textId="482B7049" w:rsidR="00A5204C" w:rsidRDefault="003501E5" w:rsidP="003501E5">
      <w:pPr>
        <w:numPr>
          <w:ilvl w:val="0"/>
          <w:numId w:val="9"/>
        </w:numPr>
        <w:spacing w:after="0" w:line="240" w:lineRule="auto"/>
        <w:rPr>
          <w:rFonts w:ascii="Arial" w:hAnsi="Arial" w:cs="Arial"/>
          <w:sz w:val="20"/>
          <w:szCs w:val="20"/>
        </w:rPr>
      </w:pPr>
      <w:proofErr w:type="spellStart"/>
      <w:r w:rsidRPr="003501E5">
        <w:rPr>
          <w:rFonts w:ascii="Arial" w:hAnsi="Arial" w:cs="Arial"/>
          <w:sz w:val="20"/>
          <w:szCs w:val="20"/>
        </w:rPr>
        <w:t>Imanaka</w:t>
      </w:r>
      <w:proofErr w:type="spellEnd"/>
      <w:r w:rsidRPr="003501E5">
        <w:rPr>
          <w:rFonts w:ascii="Arial" w:hAnsi="Arial" w:cs="Arial"/>
          <w:sz w:val="20"/>
          <w:szCs w:val="20"/>
        </w:rPr>
        <w:t xml:space="preserve"> K, </w:t>
      </w:r>
      <w:proofErr w:type="spellStart"/>
      <w:r w:rsidRPr="003501E5">
        <w:rPr>
          <w:rFonts w:ascii="Arial" w:hAnsi="Arial" w:cs="Arial"/>
          <w:sz w:val="20"/>
          <w:szCs w:val="20"/>
        </w:rPr>
        <w:t>Tominaga</w:t>
      </w:r>
      <w:proofErr w:type="spellEnd"/>
      <w:r w:rsidRPr="003501E5">
        <w:rPr>
          <w:rFonts w:ascii="Arial" w:hAnsi="Arial" w:cs="Arial"/>
          <w:sz w:val="20"/>
          <w:szCs w:val="20"/>
        </w:rPr>
        <w:t xml:space="preserve"> Y, </w:t>
      </w:r>
      <w:proofErr w:type="spellStart"/>
      <w:r w:rsidRPr="003501E5">
        <w:rPr>
          <w:rFonts w:ascii="Arial" w:hAnsi="Arial" w:cs="Arial"/>
          <w:sz w:val="20"/>
          <w:szCs w:val="20"/>
        </w:rPr>
        <w:t>Etropolski</w:t>
      </w:r>
      <w:proofErr w:type="spellEnd"/>
      <w:r w:rsidRPr="003501E5">
        <w:rPr>
          <w:rFonts w:ascii="Arial" w:hAnsi="Arial" w:cs="Arial"/>
          <w:sz w:val="20"/>
          <w:szCs w:val="20"/>
        </w:rPr>
        <w:t xml:space="preserve"> M, van Hove I, </w:t>
      </w:r>
      <w:proofErr w:type="spellStart"/>
      <w:r w:rsidRPr="003501E5">
        <w:rPr>
          <w:rFonts w:ascii="Arial" w:hAnsi="Arial" w:cs="Arial"/>
          <w:sz w:val="20"/>
          <w:szCs w:val="20"/>
        </w:rPr>
        <w:t>Ohsaka</w:t>
      </w:r>
      <w:proofErr w:type="spellEnd"/>
      <w:r w:rsidRPr="003501E5">
        <w:rPr>
          <w:rFonts w:ascii="Arial" w:hAnsi="Arial" w:cs="Arial"/>
          <w:sz w:val="20"/>
          <w:szCs w:val="20"/>
        </w:rPr>
        <w:t xml:space="preserve"> M, </w:t>
      </w:r>
      <w:proofErr w:type="spellStart"/>
      <w:r w:rsidRPr="003501E5">
        <w:rPr>
          <w:rFonts w:ascii="Arial" w:hAnsi="Arial" w:cs="Arial"/>
          <w:sz w:val="20"/>
          <w:szCs w:val="20"/>
        </w:rPr>
        <w:t>Wanibe</w:t>
      </w:r>
      <w:proofErr w:type="spellEnd"/>
      <w:r w:rsidRPr="003501E5">
        <w:rPr>
          <w:rFonts w:ascii="Arial" w:hAnsi="Arial" w:cs="Arial"/>
          <w:sz w:val="20"/>
          <w:szCs w:val="20"/>
        </w:rPr>
        <w:t xml:space="preserve"> M, </w:t>
      </w:r>
      <w:r>
        <w:rPr>
          <w:rFonts w:ascii="Arial" w:hAnsi="Arial" w:cs="Arial"/>
          <w:sz w:val="20"/>
          <w:szCs w:val="20"/>
        </w:rPr>
        <w:t>et al</w:t>
      </w:r>
      <w:r w:rsidRPr="003501E5">
        <w:rPr>
          <w:rFonts w:ascii="Arial" w:hAnsi="Arial" w:cs="Arial"/>
          <w:sz w:val="20"/>
          <w:szCs w:val="20"/>
        </w:rPr>
        <w:t>.</w:t>
      </w:r>
      <w:r>
        <w:rPr>
          <w:rFonts w:ascii="Arial" w:hAnsi="Arial" w:cs="Arial"/>
          <w:sz w:val="20"/>
          <w:szCs w:val="20"/>
        </w:rPr>
        <w:t xml:space="preserve"> </w:t>
      </w:r>
      <w:r w:rsidRPr="003501E5">
        <w:rPr>
          <w:rFonts w:ascii="Arial" w:hAnsi="Arial" w:cs="Arial"/>
          <w:sz w:val="20"/>
          <w:szCs w:val="20"/>
        </w:rPr>
        <w:t>Efficacy and safety of oral tapentadol extended release in Japanese and Korean patients with moderate to severe, chronic malignant tumor-related pain.</w:t>
      </w:r>
      <w:r>
        <w:rPr>
          <w:rFonts w:ascii="Arial" w:hAnsi="Arial" w:cs="Arial"/>
          <w:sz w:val="20"/>
          <w:szCs w:val="20"/>
        </w:rPr>
        <w:t xml:space="preserve"> </w:t>
      </w:r>
      <w:proofErr w:type="spellStart"/>
      <w:r w:rsidRPr="003501E5">
        <w:rPr>
          <w:rFonts w:ascii="Arial" w:hAnsi="Arial" w:cs="Arial"/>
          <w:sz w:val="20"/>
          <w:szCs w:val="20"/>
        </w:rPr>
        <w:t>Curr</w:t>
      </w:r>
      <w:proofErr w:type="spellEnd"/>
      <w:r w:rsidRPr="003501E5">
        <w:rPr>
          <w:rFonts w:ascii="Arial" w:hAnsi="Arial" w:cs="Arial"/>
          <w:sz w:val="20"/>
          <w:szCs w:val="20"/>
        </w:rPr>
        <w:t xml:space="preserve"> Med Res </w:t>
      </w:r>
      <w:proofErr w:type="spellStart"/>
      <w:r w:rsidRPr="003501E5">
        <w:rPr>
          <w:rFonts w:ascii="Arial" w:hAnsi="Arial" w:cs="Arial"/>
          <w:sz w:val="20"/>
          <w:szCs w:val="20"/>
        </w:rPr>
        <w:t>Opin</w:t>
      </w:r>
      <w:proofErr w:type="spellEnd"/>
      <w:r w:rsidRPr="003501E5">
        <w:rPr>
          <w:rFonts w:ascii="Arial" w:hAnsi="Arial" w:cs="Arial"/>
          <w:sz w:val="20"/>
          <w:szCs w:val="20"/>
        </w:rPr>
        <w:t>. 2013 Oct</w:t>
      </w:r>
      <w:proofErr w:type="gramStart"/>
      <w:r w:rsidRPr="003501E5">
        <w:rPr>
          <w:rFonts w:ascii="Arial" w:hAnsi="Arial" w:cs="Arial"/>
          <w:sz w:val="20"/>
          <w:szCs w:val="20"/>
        </w:rPr>
        <w:t>;29</w:t>
      </w:r>
      <w:proofErr w:type="gramEnd"/>
      <w:r w:rsidRPr="003501E5">
        <w:rPr>
          <w:rFonts w:ascii="Arial" w:hAnsi="Arial" w:cs="Arial"/>
          <w:sz w:val="20"/>
          <w:szCs w:val="20"/>
        </w:rPr>
        <w:t>(10):1399-409.</w:t>
      </w:r>
    </w:p>
    <w:p w14:paraId="325E4B89" w14:textId="0CAAC504" w:rsidR="00A5204C" w:rsidRDefault="003501E5" w:rsidP="003501E5">
      <w:pPr>
        <w:numPr>
          <w:ilvl w:val="0"/>
          <w:numId w:val="9"/>
        </w:numPr>
        <w:spacing w:after="0" w:line="240" w:lineRule="auto"/>
        <w:rPr>
          <w:rFonts w:ascii="Arial" w:hAnsi="Arial" w:cs="Arial"/>
          <w:sz w:val="20"/>
          <w:szCs w:val="20"/>
        </w:rPr>
      </w:pPr>
      <w:proofErr w:type="spellStart"/>
      <w:r w:rsidRPr="003501E5">
        <w:rPr>
          <w:rFonts w:ascii="Arial" w:hAnsi="Arial" w:cs="Arial"/>
          <w:sz w:val="20"/>
          <w:szCs w:val="20"/>
        </w:rPr>
        <w:t>Imanaka</w:t>
      </w:r>
      <w:proofErr w:type="spellEnd"/>
      <w:r w:rsidRPr="003501E5">
        <w:rPr>
          <w:rFonts w:ascii="Arial" w:hAnsi="Arial" w:cs="Arial"/>
          <w:sz w:val="20"/>
          <w:szCs w:val="20"/>
        </w:rPr>
        <w:t xml:space="preserve"> K, </w:t>
      </w:r>
      <w:proofErr w:type="spellStart"/>
      <w:r w:rsidRPr="003501E5">
        <w:rPr>
          <w:rFonts w:ascii="Arial" w:hAnsi="Arial" w:cs="Arial"/>
          <w:sz w:val="20"/>
          <w:szCs w:val="20"/>
        </w:rPr>
        <w:t>Tominaga</w:t>
      </w:r>
      <w:proofErr w:type="spellEnd"/>
      <w:r w:rsidRPr="003501E5">
        <w:rPr>
          <w:rFonts w:ascii="Arial" w:hAnsi="Arial" w:cs="Arial"/>
          <w:sz w:val="20"/>
          <w:szCs w:val="20"/>
        </w:rPr>
        <w:t xml:space="preserve"> Y, </w:t>
      </w:r>
      <w:proofErr w:type="spellStart"/>
      <w:r w:rsidRPr="003501E5">
        <w:rPr>
          <w:rFonts w:ascii="Arial" w:hAnsi="Arial" w:cs="Arial"/>
          <w:sz w:val="20"/>
          <w:szCs w:val="20"/>
        </w:rPr>
        <w:t>Etropolski</w:t>
      </w:r>
      <w:proofErr w:type="spellEnd"/>
      <w:r w:rsidRPr="003501E5">
        <w:rPr>
          <w:rFonts w:ascii="Arial" w:hAnsi="Arial" w:cs="Arial"/>
          <w:sz w:val="20"/>
          <w:szCs w:val="20"/>
        </w:rPr>
        <w:t xml:space="preserve"> M, </w:t>
      </w:r>
      <w:proofErr w:type="spellStart"/>
      <w:r w:rsidRPr="003501E5">
        <w:rPr>
          <w:rFonts w:ascii="Arial" w:hAnsi="Arial" w:cs="Arial"/>
          <w:sz w:val="20"/>
          <w:szCs w:val="20"/>
        </w:rPr>
        <w:t>Ohashi</w:t>
      </w:r>
      <w:proofErr w:type="spellEnd"/>
      <w:r w:rsidRPr="003501E5">
        <w:rPr>
          <w:rFonts w:ascii="Arial" w:hAnsi="Arial" w:cs="Arial"/>
          <w:sz w:val="20"/>
          <w:szCs w:val="20"/>
        </w:rPr>
        <w:t xml:space="preserve"> H, Hirose K, Matsumura T.</w:t>
      </w:r>
      <w:r>
        <w:rPr>
          <w:rFonts w:ascii="Arial" w:hAnsi="Arial" w:cs="Arial"/>
          <w:sz w:val="20"/>
          <w:szCs w:val="20"/>
        </w:rPr>
        <w:t xml:space="preserve"> </w:t>
      </w:r>
      <w:r w:rsidRPr="003501E5">
        <w:rPr>
          <w:rFonts w:ascii="Arial" w:hAnsi="Arial" w:cs="Arial"/>
          <w:sz w:val="20"/>
          <w:szCs w:val="20"/>
        </w:rPr>
        <w:t>Ready conversion of patients with well-controlled, moderate to severe, chronic malignant tumor-related pain on other opioids to tapentadol extended release.</w:t>
      </w:r>
      <w:r>
        <w:rPr>
          <w:rFonts w:ascii="Arial" w:hAnsi="Arial" w:cs="Arial"/>
          <w:sz w:val="20"/>
          <w:szCs w:val="20"/>
        </w:rPr>
        <w:t xml:space="preserve"> </w:t>
      </w:r>
      <w:proofErr w:type="spellStart"/>
      <w:r w:rsidRPr="003501E5">
        <w:rPr>
          <w:rFonts w:ascii="Arial" w:hAnsi="Arial" w:cs="Arial"/>
          <w:sz w:val="20"/>
          <w:szCs w:val="20"/>
        </w:rPr>
        <w:t>Clin</w:t>
      </w:r>
      <w:proofErr w:type="spellEnd"/>
      <w:r w:rsidRPr="003501E5">
        <w:rPr>
          <w:rFonts w:ascii="Arial" w:hAnsi="Arial" w:cs="Arial"/>
          <w:sz w:val="20"/>
          <w:szCs w:val="20"/>
        </w:rPr>
        <w:t xml:space="preserve"> Drug </w:t>
      </w:r>
      <w:proofErr w:type="spellStart"/>
      <w:r w:rsidRPr="003501E5">
        <w:rPr>
          <w:rFonts w:ascii="Arial" w:hAnsi="Arial" w:cs="Arial"/>
          <w:sz w:val="20"/>
          <w:szCs w:val="20"/>
        </w:rPr>
        <w:t>Investig</w:t>
      </w:r>
      <w:proofErr w:type="spellEnd"/>
      <w:r w:rsidRPr="003501E5">
        <w:rPr>
          <w:rFonts w:ascii="Arial" w:hAnsi="Arial" w:cs="Arial"/>
          <w:sz w:val="20"/>
          <w:szCs w:val="20"/>
        </w:rPr>
        <w:t>. 2014 Jul</w:t>
      </w:r>
      <w:proofErr w:type="gramStart"/>
      <w:r w:rsidRPr="003501E5">
        <w:rPr>
          <w:rFonts w:ascii="Arial" w:hAnsi="Arial" w:cs="Arial"/>
          <w:sz w:val="20"/>
          <w:szCs w:val="20"/>
        </w:rPr>
        <w:t>;34</w:t>
      </w:r>
      <w:proofErr w:type="gramEnd"/>
      <w:r w:rsidRPr="003501E5">
        <w:rPr>
          <w:rFonts w:ascii="Arial" w:hAnsi="Arial" w:cs="Arial"/>
          <w:sz w:val="20"/>
          <w:szCs w:val="20"/>
        </w:rPr>
        <w:t>(7):501-11</w:t>
      </w:r>
      <w:r>
        <w:rPr>
          <w:rFonts w:ascii="Arial" w:hAnsi="Arial" w:cs="Arial"/>
          <w:sz w:val="20"/>
          <w:szCs w:val="20"/>
        </w:rPr>
        <w:t>.</w:t>
      </w:r>
    </w:p>
    <w:p w14:paraId="6724D041" w14:textId="2CAFD0A1" w:rsidR="006C5100" w:rsidRDefault="003501E5" w:rsidP="003501E5">
      <w:pPr>
        <w:numPr>
          <w:ilvl w:val="0"/>
          <w:numId w:val="9"/>
        </w:numPr>
        <w:spacing w:after="0" w:line="240" w:lineRule="auto"/>
        <w:rPr>
          <w:rFonts w:ascii="Arial" w:hAnsi="Arial" w:cs="Arial"/>
          <w:sz w:val="20"/>
          <w:szCs w:val="20"/>
        </w:rPr>
      </w:pPr>
      <w:proofErr w:type="spellStart"/>
      <w:r w:rsidRPr="003501E5">
        <w:rPr>
          <w:rFonts w:ascii="Arial" w:hAnsi="Arial" w:cs="Arial"/>
          <w:sz w:val="20"/>
          <w:szCs w:val="20"/>
        </w:rPr>
        <w:t>Buynak</w:t>
      </w:r>
      <w:proofErr w:type="spellEnd"/>
      <w:r w:rsidRPr="003501E5">
        <w:rPr>
          <w:rFonts w:ascii="Arial" w:hAnsi="Arial" w:cs="Arial"/>
          <w:sz w:val="20"/>
          <w:szCs w:val="20"/>
        </w:rPr>
        <w:t xml:space="preserve"> R, Rappaport SA, Rod K, Arsenault P, </w:t>
      </w:r>
      <w:proofErr w:type="spellStart"/>
      <w:r w:rsidRPr="003501E5">
        <w:rPr>
          <w:rFonts w:ascii="Arial" w:hAnsi="Arial" w:cs="Arial"/>
          <w:sz w:val="20"/>
          <w:szCs w:val="20"/>
        </w:rPr>
        <w:t>Heisig</w:t>
      </w:r>
      <w:proofErr w:type="spellEnd"/>
      <w:r w:rsidRPr="003501E5">
        <w:rPr>
          <w:rFonts w:ascii="Arial" w:hAnsi="Arial" w:cs="Arial"/>
          <w:sz w:val="20"/>
          <w:szCs w:val="20"/>
        </w:rPr>
        <w:t xml:space="preserve"> F, </w:t>
      </w:r>
      <w:proofErr w:type="spellStart"/>
      <w:r w:rsidRPr="003501E5">
        <w:rPr>
          <w:rFonts w:ascii="Arial" w:hAnsi="Arial" w:cs="Arial"/>
          <w:sz w:val="20"/>
          <w:szCs w:val="20"/>
        </w:rPr>
        <w:t>Rauschkolb</w:t>
      </w:r>
      <w:proofErr w:type="spellEnd"/>
      <w:r w:rsidRPr="003501E5">
        <w:rPr>
          <w:rFonts w:ascii="Arial" w:hAnsi="Arial" w:cs="Arial"/>
          <w:sz w:val="20"/>
          <w:szCs w:val="20"/>
        </w:rPr>
        <w:t xml:space="preserve"> C, </w:t>
      </w:r>
      <w:r>
        <w:rPr>
          <w:rFonts w:ascii="Arial" w:hAnsi="Arial" w:cs="Arial"/>
          <w:sz w:val="20"/>
          <w:szCs w:val="20"/>
        </w:rPr>
        <w:t>et al</w:t>
      </w:r>
      <w:r w:rsidRPr="003501E5">
        <w:rPr>
          <w:rFonts w:ascii="Arial" w:hAnsi="Arial" w:cs="Arial"/>
          <w:sz w:val="20"/>
          <w:szCs w:val="20"/>
        </w:rPr>
        <w:t>.</w:t>
      </w:r>
      <w:r>
        <w:rPr>
          <w:rFonts w:ascii="Arial" w:hAnsi="Arial" w:cs="Arial"/>
          <w:sz w:val="20"/>
          <w:szCs w:val="20"/>
        </w:rPr>
        <w:t xml:space="preserve"> </w:t>
      </w:r>
      <w:r w:rsidRPr="003501E5">
        <w:rPr>
          <w:rFonts w:ascii="Arial" w:hAnsi="Arial" w:cs="Arial"/>
          <w:sz w:val="20"/>
          <w:szCs w:val="20"/>
        </w:rPr>
        <w:t>Long-term Safety and Efficacy of Tapentadol Extended Release Following up to 2 Years of Treatment in Patients With Moderate to Severe, Chronic Pain: Results of an Open-label Extension Trial.</w:t>
      </w:r>
      <w:r>
        <w:rPr>
          <w:rFonts w:ascii="Arial" w:hAnsi="Arial" w:cs="Arial"/>
          <w:sz w:val="20"/>
          <w:szCs w:val="20"/>
        </w:rPr>
        <w:t xml:space="preserve"> </w:t>
      </w:r>
      <w:proofErr w:type="spellStart"/>
      <w:r w:rsidRPr="003501E5">
        <w:rPr>
          <w:rFonts w:ascii="Arial" w:hAnsi="Arial" w:cs="Arial"/>
          <w:sz w:val="20"/>
          <w:szCs w:val="20"/>
        </w:rPr>
        <w:t>Clin</w:t>
      </w:r>
      <w:proofErr w:type="spellEnd"/>
      <w:r w:rsidRPr="003501E5">
        <w:rPr>
          <w:rFonts w:ascii="Arial" w:hAnsi="Arial" w:cs="Arial"/>
          <w:sz w:val="20"/>
          <w:szCs w:val="20"/>
        </w:rPr>
        <w:t xml:space="preserve"> </w:t>
      </w:r>
      <w:proofErr w:type="spellStart"/>
      <w:r w:rsidRPr="003501E5">
        <w:rPr>
          <w:rFonts w:ascii="Arial" w:hAnsi="Arial" w:cs="Arial"/>
          <w:sz w:val="20"/>
          <w:szCs w:val="20"/>
        </w:rPr>
        <w:t>Ther</w:t>
      </w:r>
      <w:proofErr w:type="spellEnd"/>
      <w:r w:rsidRPr="003501E5">
        <w:rPr>
          <w:rFonts w:ascii="Arial" w:hAnsi="Arial" w:cs="Arial"/>
          <w:sz w:val="20"/>
          <w:szCs w:val="20"/>
        </w:rPr>
        <w:t>. 2015 Nov 1</w:t>
      </w:r>
      <w:proofErr w:type="gramStart"/>
      <w:r w:rsidRPr="003501E5">
        <w:rPr>
          <w:rFonts w:ascii="Arial" w:hAnsi="Arial" w:cs="Arial"/>
          <w:sz w:val="20"/>
          <w:szCs w:val="20"/>
        </w:rPr>
        <w:t>;37</w:t>
      </w:r>
      <w:proofErr w:type="gramEnd"/>
      <w:r w:rsidRPr="003501E5">
        <w:rPr>
          <w:rFonts w:ascii="Arial" w:hAnsi="Arial" w:cs="Arial"/>
          <w:sz w:val="20"/>
          <w:szCs w:val="20"/>
        </w:rPr>
        <w:t>(11):2420-38</w:t>
      </w:r>
      <w:r>
        <w:rPr>
          <w:rFonts w:ascii="Arial" w:hAnsi="Arial" w:cs="Arial"/>
          <w:sz w:val="20"/>
          <w:szCs w:val="20"/>
        </w:rPr>
        <w:t>.</w:t>
      </w:r>
    </w:p>
    <w:p w14:paraId="0A7F5094" w14:textId="1580DBF0" w:rsidR="000A4BC0" w:rsidRDefault="003501E5" w:rsidP="003501E5">
      <w:pPr>
        <w:numPr>
          <w:ilvl w:val="0"/>
          <w:numId w:val="9"/>
        </w:numPr>
        <w:spacing w:after="0" w:line="240" w:lineRule="auto"/>
        <w:rPr>
          <w:rFonts w:ascii="Arial" w:hAnsi="Arial" w:cs="Arial"/>
          <w:sz w:val="20"/>
          <w:szCs w:val="20"/>
        </w:rPr>
      </w:pPr>
      <w:proofErr w:type="spellStart"/>
      <w:r w:rsidRPr="003501E5">
        <w:rPr>
          <w:rFonts w:ascii="Arial" w:hAnsi="Arial" w:cs="Arial"/>
          <w:sz w:val="20"/>
          <w:szCs w:val="20"/>
        </w:rPr>
        <w:t>Galia</w:t>
      </w:r>
      <w:proofErr w:type="spellEnd"/>
      <w:r w:rsidRPr="003501E5">
        <w:rPr>
          <w:rFonts w:ascii="Arial" w:hAnsi="Arial" w:cs="Arial"/>
          <w:sz w:val="20"/>
          <w:szCs w:val="20"/>
        </w:rPr>
        <w:t xml:space="preserve"> E, Williams Y, Van Hove B, </w:t>
      </w:r>
      <w:proofErr w:type="spellStart"/>
      <w:r w:rsidRPr="003501E5">
        <w:rPr>
          <w:rFonts w:ascii="Arial" w:hAnsi="Arial" w:cs="Arial"/>
          <w:sz w:val="20"/>
          <w:szCs w:val="20"/>
        </w:rPr>
        <w:t>Pergolizzi</w:t>
      </w:r>
      <w:proofErr w:type="spellEnd"/>
      <w:r w:rsidRPr="003501E5">
        <w:rPr>
          <w:rFonts w:ascii="Arial" w:hAnsi="Arial" w:cs="Arial"/>
          <w:sz w:val="20"/>
          <w:szCs w:val="20"/>
        </w:rPr>
        <w:t xml:space="preserve"> J, </w:t>
      </w:r>
      <w:proofErr w:type="spellStart"/>
      <w:r w:rsidRPr="003501E5">
        <w:rPr>
          <w:rFonts w:ascii="Arial" w:hAnsi="Arial" w:cs="Arial"/>
          <w:sz w:val="20"/>
          <w:szCs w:val="20"/>
        </w:rPr>
        <w:t>Etropolski</w:t>
      </w:r>
      <w:proofErr w:type="spellEnd"/>
      <w:r w:rsidRPr="003501E5">
        <w:rPr>
          <w:rFonts w:ascii="Arial" w:hAnsi="Arial" w:cs="Arial"/>
          <w:sz w:val="20"/>
          <w:szCs w:val="20"/>
        </w:rPr>
        <w:t xml:space="preserve"> M, </w:t>
      </w:r>
      <w:proofErr w:type="spellStart"/>
      <w:r w:rsidRPr="003501E5">
        <w:rPr>
          <w:rFonts w:ascii="Arial" w:hAnsi="Arial" w:cs="Arial"/>
          <w:sz w:val="20"/>
          <w:szCs w:val="20"/>
        </w:rPr>
        <w:t>Vorsanger</w:t>
      </w:r>
      <w:proofErr w:type="spellEnd"/>
      <w:r w:rsidRPr="003501E5">
        <w:rPr>
          <w:rFonts w:ascii="Arial" w:hAnsi="Arial" w:cs="Arial"/>
          <w:sz w:val="20"/>
          <w:szCs w:val="20"/>
        </w:rPr>
        <w:t xml:space="preserve"> G.</w:t>
      </w:r>
      <w:r>
        <w:rPr>
          <w:rFonts w:ascii="Arial" w:hAnsi="Arial" w:cs="Arial"/>
          <w:sz w:val="20"/>
          <w:szCs w:val="20"/>
        </w:rPr>
        <w:t xml:space="preserve"> </w:t>
      </w:r>
      <w:r w:rsidRPr="003501E5">
        <w:rPr>
          <w:rFonts w:ascii="Arial" w:hAnsi="Arial" w:cs="Arial"/>
          <w:sz w:val="20"/>
          <w:szCs w:val="20"/>
        </w:rPr>
        <w:t>Evaluation of the tamper-resistant properties of tapentadol extended-release tablets: results of in vitro laboratory analyses.</w:t>
      </w:r>
      <w:r>
        <w:rPr>
          <w:rFonts w:ascii="Arial" w:hAnsi="Arial" w:cs="Arial"/>
          <w:sz w:val="20"/>
          <w:szCs w:val="20"/>
        </w:rPr>
        <w:t xml:space="preserve"> </w:t>
      </w:r>
      <w:r w:rsidRPr="003501E5">
        <w:rPr>
          <w:rFonts w:ascii="Arial" w:hAnsi="Arial" w:cs="Arial"/>
          <w:sz w:val="20"/>
          <w:szCs w:val="20"/>
        </w:rPr>
        <w:t xml:space="preserve">J Opioid </w:t>
      </w:r>
      <w:proofErr w:type="spellStart"/>
      <w:r w:rsidRPr="003501E5">
        <w:rPr>
          <w:rFonts w:ascii="Arial" w:hAnsi="Arial" w:cs="Arial"/>
          <w:sz w:val="20"/>
          <w:szCs w:val="20"/>
        </w:rPr>
        <w:t>Manag</w:t>
      </w:r>
      <w:proofErr w:type="spellEnd"/>
      <w:r w:rsidRPr="003501E5">
        <w:rPr>
          <w:rFonts w:ascii="Arial" w:hAnsi="Arial" w:cs="Arial"/>
          <w:sz w:val="20"/>
          <w:szCs w:val="20"/>
        </w:rPr>
        <w:t>. 2014 May-Jun</w:t>
      </w:r>
      <w:proofErr w:type="gramStart"/>
      <w:r w:rsidRPr="003501E5">
        <w:rPr>
          <w:rFonts w:ascii="Arial" w:hAnsi="Arial" w:cs="Arial"/>
          <w:sz w:val="20"/>
          <w:szCs w:val="20"/>
        </w:rPr>
        <w:t>;10</w:t>
      </w:r>
      <w:proofErr w:type="gramEnd"/>
      <w:r w:rsidRPr="003501E5">
        <w:rPr>
          <w:rFonts w:ascii="Arial" w:hAnsi="Arial" w:cs="Arial"/>
          <w:sz w:val="20"/>
          <w:szCs w:val="20"/>
        </w:rPr>
        <w:t>(3):149-58</w:t>
      </w:r>
      <w:r>
        <w:rPr>
          <w:rFonts w:ascii="Arial" w:hAnsi="Arial" w:cs="Arial"/>
          <w:sz w:val="20"/>
          <w:szCs w:val="20"/>
        </w:rPr>
        <w:t>.</w:t>
      </w:r>
    </w:p>
    <w:p w14:paraId="462794A8" w14:textId="1D173D4E" w:rsidR="009A4BD0" w:rsidRDefault="001D4B58" w:rsidP="001D4B58">
      <w:pPr>
        <w:numPr>
          <w:ilvl w:val="0"/>
          <w:numId w:val="9"/>
        </w:numPr>
        <w:spacing w:after="0" w:line="240" w:lineRule="auto"/>
        <w:rPr>
          <w:rFonts w:ascii="Arial" w:hAnsi="Arial" w:cs="Arial"/>
          <w:sz w:val="20"/>
          <w:szCs w:val="20"/>
        </w:rPr>
      </w:pPr>
      <w:proofErr w:type="spellStart"/>
      <w:r>
        <w:rPr>
          <w:rFonts w:ascii="Arial" w:hAnsi="Arial" w:cs="Arial"/>
          <w:sz w:val="20"/>
          <w:szCs w:val="20"/>
        </w:rPr>
        <w:t>V</w:t>
      </w:r>
      <w:r w:rsidRPr="001D4B58">
        <w:rPr>
          <w:rFonts w:ascii="Arial" w:hAnsi="Arial" w:cs="Arial"/>
          <w:sz w:val="20"/>
          <w:szCs w:val="20"/>
        </w:rPr>
        <w:t>osburg</w:t>
      </w:r>
      <w:proofErr w:type="spellEnd"/>
      <w:r w:rsidRPr="001D4B58">
        <w:rPr>
          <w:rFonts w:ascii="Arial" w:hAnsi="Arial" w:cs="Arial"/>
          <w:sz w:val="20"/>
          <w:szCs w:val="20"/>
        </w:rPr>
        <w:t xml:space="preserve"> SK, Jones JD, </w:t>
      </w:r>
      <w:proofErr w:type="spellStart"/>
      <w:r w:rsidRPr="001D4B58">
        <w:rPr>
          <w:rFonts w:ascii="Arial" w:hAnsi="Arial" w:cs="Arial"/>
          <w:sz w:val="20"/>
          <w:szCs w:val="20"/>
        </w:rPr>
        <w:t>Manubay</w:t>
      </w:r>
      <w:proofErr w:type="spellEnd"/>
      <w:r w:rsidRPr="001D4B58">
        <w:rPr>
          <w:rFonts w:ascii="Arial" w:hAnsi="Arial" w:cs="Arial"/>
          <w:sz w:val="20"/>
          <w:szCs w:val="20"/>
        </w:rPr>
        <w:t xml:space="preserve"> JM, Ashworth JB, Shapiro DY, Comer SD.</w:t>
      </w:r>
      <w:r>
        <w:rPr>
          <w:rFonts w:ascii="Arial" w:hAnsi="Arial" w:cs="Arial"/>
          <w:sz w:val="20"/>
          <w:szCs w:val="20"/>
        </w:rPr>
        <w:t xml:space="preserve"> </w:t>
      </w:r>
      <w:r w:rsidRPr="001D4B58">
        <w:rPr>
          <w:rFonts w:ascii="Arial" w:hAnsi="Arial" w:cs="Arial"/>
          <w:sz w:val="20"/>
          <w:szCs w:val="20"/>
        </w:rPr>
        <w:t>A comparison among tapentadol tamper-resistant formulations (TRF) and OxyContin</w:t>
      </w:r>
      <w:r w:rsidRPr="001D4B58">
        <w:rPr>
          <w:rFonts w:ascii="Arial" w:hAnsi="Arial" w:cs="Arial"/>
          <w:sz w:val="20"/>
          <w:szCs w:val="20"/>
          <w:vertAlign w:val="superscript"/>
        </w:rPr>
        <w:t>®</w:t>
      </w:r>
      <w:r w:rsidRPr="001D4B58">
        <w:rPr>
          <w:rFonts w:ascii="Arial" w:hAnsi="Arial" w:cs="Arial"/>
          <w:sz w:val="20"/>
          <w:szCs w:val="20"/>
        </w:rPr>
        <w:t xml:space="preserve"> (non-TRF) in prescription opioid abusers.</w:t>
      </w:r>
      <w:r>
        <w:rPr>
          <w:rFonts w:ascii="Arial" w:hAnsi="Arial" w:cs="Arial"/>
          <w:sz w:val="20"/>
          <w:szCs w:val="20"/>
        </w:rPr>
        <w:t xml:space="preserve"> </w:t>
      </w:r>
      <w:r w:rsidRPr="001D4B58">
        <w:rPr>
          <w:rFonts w:ascii="Arial" w:hAnsi="Arial" w:cs="Arial"/>
          <w:sz w:val="20"/>
          <w:szCs w:val="20"/>
        </w:rPr>
        <w:t>Addiction. 2013 Jun</w:t>
      </w:r>
      <w:proofErr w:type="gramStart"/>
      <w:r w:rsidRPr="001D4B58">
        <w:rPr>
          <w:rFonts w:ascii="Arial" w:hAnsi="Arial" w:cs="Arial"/>
          <w:sz w:val="20"/>
          <w:szCs w:val="20"/>
        </w:rPr>
        <w:t>;108</w:t>
      </w:r>
      <w:proofErr w:type="gramEnd"/>
      <w:r w:rsidRPr="001D4B58">
        <w:rPr>
          <w:rFonts w:ascii="Arial" w:hAnsi="Arial" w:cs="Arial"/>
          <w:sz w:val="20"/>
          <w:szCs w:val="20"/>
        </w:rPr>
        <w:t>(6):1095-106</w:t>
      </w:r>
      <w:r>
        <w:rPr>
          <w:rFonts w:ascii="Arial" w:hAnsi="Arial" w:cs="Arial"/>
          <w:sz w:val="20"/>
          <w:szCs w:val="20"/>
        </w:rPr>
        <w:t>.</w:t>
      </w:r>
    </w:p>
    <w:p w14:paraId="61C5C856" w14:textId="369E5BC2" w:rsidR="00EB365C" w:rsidRPr="00EB365C" w:rsidRDefault="00EB365C" w:rsidP="001D4B58">
      <w:pPr>
        <w:numPr>
          <w:ilvl w:val="0"/>
          <w:numId w:val="9"/>
        </w:numPr>
        <w:spacing w:after="0" w:line="240" w:lineRule="auto"/>
        <w:rPr>
          <w:rFonts w:ascii="Arial" w:hAnsi="Arial" w:cs="Arial"/>
          <w:sz w:val="20"/>
          <w:szCs w:val="20"/>
          <w:highlight w:val="yellow"/>
        </w:rPr>
      </w:pPr>
      <w:r w:rsidRPr="00EB365C">
        <w:rPr>
          <w:rFonts w:ascii="Arial" w:hAnsi="Arial" w:cs="Arial"/>
          <w:sz w:val="20"/>
          <w:szCs w:val="20"/>
          <w:highlight w:val="yellow"/>
        </w:rPr>
        <w:t>Butler SF, McNaughton EC, Black RA. Tapentadol abuse potential: a postmarketing evaluation using a sample of individuals evaluated for substance abuse treatment. Pain Medicine. 2015 Jan</w:t>
      </w:r>
      <w:proofErr w:type="gramStart"/>
      <w:r w:rsidRPr="00EB365C">
        <w:rPr>
          <w:rFonts w:ascii="Arial" w:hAnsi="Arial" w:cs="Arial"/>
          <w:sz w:val="20"/>
          <w:szCs w:val="20"/>
          <w:highlight w:val="yellow"/>
        </w:rPr>
        <w:t>;16</w:t>
      </w:r>
      <w:proofErr w:type="gramEnd"/>
      <w:r w:rsidRPr="00EB365C">
        <w:rPr>
          <w:rFonts w:ascii="Arial" w:hAnsi="Arial" w:cs="Arial"/>
          <w:sz w:val="20"/>
          <w:szCs w:val="20"/>
          <w:highlight w:val="yellow"/>
        </w:rPr>
        <w:t>(1):119-130.</w:t>
      </w:r>
    </w:p>
    <w:p w14:paraId="6F6952E7" w14:textId="119B1891" w:rsidR="00EB365C" w:rsidRPr="00EB365C" w:rsidRDefault="00EB365C" w:rsidP="00EB365C">
      <w:pPr>
        <w:pStyle w:val="ListParagraph"/>
        <w:numPr>
          <w:ilvl w:val="0"/>
          <w:numId w:val="9"/>
        </w:numPr>
        <w:ind w:right="-90"/>
        <w:contextualSpacing/>
        <w:rPr>
          <w:rFonts w:ascii="Arial" w:hAnsi="Arial" w:cs="Arial"/>
          <w:sz w:val="20"/>
          <w:szCs w:val="20"/>
          <w:highlight w:val="yellow"/>
        </w:rPr>
      </w:pPr>
      <w:r w:rsidRPr="00FB678A">
        <w:rPr>
          <w:rFonts w:ascii="Arial" w:hAnsi="Arial" w:cs="Arial"/>
          <w:sz w:val="20"/>
          <w:szCs w:val="20"/>
          <w:highlight w:val="yellow"/>
        </w:rPr>
        <w:t>REMS</w:t>
      </w:r>
      <w:r>
        <w:rPr>
          <w:rFonts w:ascii="Arial" w:hAnsi="Arial" w:cs="Arial"/>
          <w:sz w:val="20"/>
          <w:szCs w:val="20"/>
          <w:highlight w:val="yellow"/>
        </w:rPr>
        <w:t xml:space="preserve">@FDA </w:t>
      </w:r>
      <w:r w:rsidRPr="00D23793">
        <w:rPr>
          <w:rFonts w:ascii="Arial" w:hAnsi="Arial" w:cs="Arial"/>
          <w:sz w:val="20"/>
          <w:szCs w:val="20"/>
          <w:highlight w:val="yellow"/>
        </w:rPr>
        <w:t>[database on the Internet]. Rockville (MD): Food and Drug Administration (US), Center for Dr</w:t>
      </w:r>
      <w:r>
        <w:rPr>
          <w:rFonts w:ascii="Arial" w:hAnsi="Arial" w:cs="Arial"/>
          <w:sz w:val="20"/>
          <w:szCs w:val="20"/>
          <w:highlight w:val="yellow"/>
        </w:rPr>
        <w:t>ug Evaluation and Research; 2015 [cited 2015 Dec 23</w:t>
      </w:r>
      <w:r w:rsidRPr="00D23793">
        <w:rPr>
          <w:rFonts w:ascii="Arial" w:hAnsi="Arial" w:cs="Arial"/>
          <w:sz w:val="20"/>
          <w:szCs w:val="20"/>
          <w:highlight w:val="yellow"/>
        </w:rPr>
        <w:t>]. Available from:</w:t>
      </w:r>
      <w:r>
        <w:rPr>
          <w:rFonts w:ascii="Arial" w:hAnsi="Arial" w:cs="Arial"/>
          <w:sz w:val="20"/>
          <w:szCs w:val="20"/>
          <w:highlight w:val="yellow"/>
        </w:rPr>
        <w:t xml:space="preserve"> </w:t>
      </w:r>
      <w:hyperlink r:id="rId14" w:history="1">
        <w:r w:rsidRPr="00D23793">
          <w:rPr>
            <w:rStyle w:val="Hyperlink"/>
            <w:rFonts w:ascii="Arial" w:hAnsi="Arial" w:cs="Arial"/>
            <w:sz w:val="20"/>
            <w:szCs w:val="20"/>
            <w:highlight w:val="yellow"/>
          </w:rPr>
          <w:t>http://www.accessdata.fda.gov/scripts/cder/rems/index.cfm</w:t>
        </w:r>
      </w:hyperlink>
    </w:p>
    <w:p w14:paraId="12F4EE69" w14:textId="77777777" w:rsidR="001A6ED9" w:rsidRPr="00C626E7" w:rsidRDefault="001A6ED9" w:rsidP="001A6ED9">
      <w:pPr>
        <w:pStyle w:val="ListParagraph"/>
        <w:numPr>
          <w:ilvl w:val="0"/>
          <w:numId w:val="9"/>
        </w:numPr>
        <w:ind w:right="-90"/>
        <w:contextualSpacing/>
        <w:rPr>
          <w:rFonts w:ascii="Arial" w:hAnsi="Arial" w:cs="Arial"/>
          <w:sz w:val="20"/>
          <w:szCs w:val="20"/>
        </w:rPr>
      </w:pPr>
      <w:r w:rsidRPr="00C626E7">
        <w:rPr>
          <w:rFonts w:ascii="Arial" w:hAnsi="Arial" w:cs="Arial"/>
          <w:sz w:val="20"/>
          <w:szCs w:val="20"/>
        </w:rPr>
        <w:t xml:space="preserve">U.S. Food and Drug Administration. Opioid Medications; Information on Opioid Medications </w:t>
      </w:r>
      <w:r w:rsidRPr="002F2772">
        <w:rPr>
          <w:rFonts w:ascii="Arial" w:hAnsi="Arial" w:cs="Arial"/>
          <w:sz w:val="20"/>
          <w:szCs w:val="20"/>
        </w:rPr>
        <w:t>[</w:t>
      </w:r>
      <w:r w:rsidRPr="00C626E7">
        <w:rPr>
          <w:rFonts w:ascii="Arial" w:hAnsi="Arial" w:cs="Arial"/>
          <w:sz w:val="20"/>
          <w:szCs w:val="20"/>
        </w:rPr>
        <w:t xml:space="preserve">webpage </w:t>
      </w:r>
      <w:r w:rsidRPr="002F2772">
        <w:rPr>
          <w:rFonts w:ascii="Arial" w:hAnsi="Arial" w:cs="Arial"/>
          <w:sz w:val="20"/>
          <w:szCs w:val="20"/>
        </w:rPr>
        <w:t xml:space="preserve">on the internet]. Silver Spring (MD): </w:t>
      </w:r>
      <w:r w:rsidRPr="00C626E7">
        <w:rPr>
          <w:rFonts w:ascii="Arial" w:hAnsi="Arial" w:cs="Arial"/>
          <w:sz w:val="20"/>
          <w:szCs w:val="20"/>
        </w:rPr>
        <w:t>U.S. Food and Drug Administration</w:t>
      </w:r>
      <w:r w:rsidRPr="002F2772">
        <w:rPr>
          <w:rFonts w:ascii="Arial" w:hAnsi="Arial" w:cs="Arial"/>
          <w:sz w:val="20"/>
          <w:szCs w:val="20"/>
        </w:rPr>
        <w:t xml:space="preserve">; </w:t>
      </w:r>
      <w:r w:rsidRPr="00C626E7">
        <w:rPr>
          <w:rFonts w:ascii="Arial" w:hAnsi="Arial" w:cs="Arial"/>
          <w:sz w:val="20"/>
          <w:szCs w:val="20"/>
        </w:rPr>
        <w:t>2015</w:t>
      </w:r>
      <w:r w:rsidRPr="002F2772">
        <w:rPr>
          <w:rFonts w:ascii="Arial" w:hAnsi="Arial" w:cs="Arial"/>
          <w:sz w:val="20"/>
          <w:szCs w:val="20"/>
        </w:rPr>
        <w:t xml:space="preserve"> </w:t>
      </w:r>
      <w:r w:rsidRPr="00C626E7">
        <w:rPr>
          <w:rFonts w:ascii="Arial" w:hAnsi="Arial" w:cs="Arial"/>
          <w:sz w:val="20"/>
          <w:szCs w:val="20"/>
        </w:rPr>
        <w:t>Nov 25</w:t>
      </w:r>
      <w:r w:rsidRPr="002F2772">
        <w:rPr>
          <w:rFonts w:ascii="Arial" w:hAnsi="Arial" w:cs="Arial"/>
          <w:sz w:val="20"/>
          <w:szCs w:val="20"/>
        </w:rPr>
        <w:t xml:space="preserve"> [cited 2015 </w:t>
      </w:r>
      <w:r w:rsidRPr="00C626E7">
        <w:rPr>
          <w:rFonts w:ascii="Arial" w:hAnsi="Arial" w:cs="Arial"/>
          <w:sz w:val="20"/>
          <w:szCs w:val="20"/>
        </w:rPr>
        <w:t>Dec</w:t>
      </w:r>
      <w:r w:rsidRPr="002F2772">
        <w:rPr>
          <w:rFonts w:ascii="Arial" w:hAnsi="Arial" w:cs="Arial"/>
          <w:sz w:val="20"/>
          <w:szCs w:val="20"/>
        </w:rPr>
        <w:t xml:space="preserve"> 3]. Available at: </w:t>
      </w:r>
      <w:r w:rsidRPr="00C626E7">
        <w:rPr>
          <w:rFonts w:ascii="Arial" w:hAnsi="Arial" w:cs="Arial"/>
          <w:sz w:val="20"/>
          <w:szCs w:val="20"/>
        </w:rPr>
        <w:t>http://www.fda.gov/Drugs/DrugSafety/InformationbyDrugClass/ucm337066.htm</w:t>
      </w:r>
    </w:p>
    <w:p w14:paraId="0669E011" w14:textId="36D1F812" w:rsidR="002F4413" w:rsidRDefault="002F4413" w:rsidP="002F4413">
      <w:pPr>
        <w:pStyle w:val="NoSpacing"/>
        <w:numPr>
          <w:ilvl w:val="0"/>
          <w:numId w:val="9"/>
        </w:numPr>
        <w:rPr>
          <w:rFonts w:ascii="Arial" w:hAnsi="Arial" w:cs="Arial"/>
          <w:sz w:val="20"/>
          <w:szCs w:val="20"/>
        </w:rPr>
      </w:pPr>
      <w:r>
        <w:rPr>
          <w:rFonts w:ascii="Arial" w:hAnsi="Arial" w:cs="Arial"/>
          <w:sz w:val="20"/>
          <w:szCs w:val="20"/>
        </w:rPr>
        <w:t>Micromedex</w:t>
      </w:r>
      <w:r>
        <w:rPr>
          <w:rFonts w:ascii="Arial" w:hAnsi="Arial" w:cs="Arial"/>
          <w:sz w:val="20"/>
          <w:szCs w:val="20"/>
          <w:vertAlign w:val="superscript"/>
        </w:rPr>
        <w:t>®</w:t>
      </w:r>
      <w:r>
        <w:rPr>
          <w:rFonts w:ascii="Arial" w:hAnsi="Arial" w:cs="Arial"/>
          <w:sz w:val="20"/>
          <w:szCs w:val="20"/>
        </w:rPr>
        <w:t xml:space="preserve"> Healthcare Series DRUGDEX</w:t>
      </w:r>
      <w:r>
        <w:rPr>
          <w:rFonts w:ascii="Arial" w:hAnsi="Arial" w:cs="Arial"/>
          <w:sz w:val="20"/>
          <w:szCs w:val="20"/>
          <w:vertAlign w:val="superscript"/>
        </w:rPr>
        <w:t>®</w:t>
      </w:r>
      <w:r>
        <w:rPr>
          <w:rFonts w:ascii="Arial" w:hAnsi="Arial" w:cs="Arial"/>
          <w:sz w:val="20"/>
          <w:szCs w:val="20"/>
        </w:rPr>
        <w:t xml:space="preserve"> [database on the internet]. Greenwood Village (CO): </w:t>
      </w:r>
      <w:proofErr w:type="spellStart"/>
      <w:r>
        <w:rPr>
          <w:rFonts w:ascii="Arial" w:hAnsi="Arial" w:cs="Arial"/>
          <w:sz w:val="20"/>
          <w:szCs w:val="20"/>
        </w:rPr>
        <w:t>Truven</w:t>
      </w:r>
      <w:proofErr w:type="spellEnd"/>
      <w:r>
        <w:rPr>
          <w:rFonts w:ascii="Arial" w:hAnsi="Arial" w:cs="Arial"/>
          <w:sz w:val="20"/>
          <w:szCs w:val="20"/>
        </w:rPr>
        <w:t xml:space="preserve"> Health Analytics; Upda</w:t>
      </w:r>
      <w:r w:rsidR="005D0435">
        <w:rPr>
          <w:rFonts w:ascii="Arial" w:hAnsi="Arial" w:cs="Arial"/>
          <w:sz w:val="20"/>
          <w:szCs w:val="20"/>
        </w:rPr>
        <w:t>te</w:t>
      </w:r>
      <w:r w:rsidR="00C0200A">
        <w:rPr>
          <w:rFonts w:ascii="Arial" w:hAnsi="Arial" w:cs="Arial"/>
          <w:sz w:val="20"/>
          <w:szCs w:val="20"/>
        </w:rPr>
        <w:t>d periodically [cited 2015 Dec 8</w:t>
      </w:r>
      <w:r>
        <w:rPr>
          <w:rFonts w:ascii="Arial" w:hAnsi="Arial" w:cs="Arial"/>
          <w:sz w:val="20"/>
          <w:szCs w:val="20"/>
        </w:rPr>
        <w:t xml:space="preserve">]. Available from: </w:t>
      </w:r>
      <w:hyperlink r:id="rId15" w:history="1">
        <w:r w:rsidRPr="00B4028A">
          <w:rPr>
            <w:rStyle w:val="Hyperlink"/>
            <w:rFonts w:ascii="Arial" w:hAnsi="Arial" w:cs="Arial"/>
            <w:sz w:val="20"/>
            <w:szCs w:val="20"/>
          </w:rPr>
          <w:t>http://www.micromedexsolutions.com/</w:t>
        </w:r>
      </w:hyperlink>
      <w:r>
        <w:rPr>
          <w:rFonts w:ascii="Arial" w:hAnsi="Arial" w:cs="Arial"/>
          <w:sz w:val="20"/>
          <w:szCs w:val="20"/>
        </w:rPr>
        <w:t>.</w:t>
      </w:r>
    </w:p>
    <w:p w14:paraId="0D90EBD2" w14:textId="77777777" w:rsidR="00C77660" w:rsidRPr="00FE4D39" w:rsidRDefault="00C77660" w:rsidP="004920E8">
      <w:pPr>
        <w:pStyle w:val="NoSpacing"/>
        <w:rPr>
          <w:rFonts w:ascii="Arial" w:hAnsi="Arial" w:cs="Arial"/>
          <w:sz w:val="20"/>
          <w:szCs w:val="20"/>
        </w:rPr>
      </w:pPr>
    </w:p>
    <w:sectPr w:rsidR="00C77660" w:rsidRPr="00FE4D39" w:rsidSect="00162B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1692" w14:textId="77777777" w:rsidR="00833E6D" w:rsidRDefault="00833E6D" w:rsidP="001E5F88">
      <w:pPr>
        <w:spacing w:after="0" w:line="240" w:lineRule="auto"/>
      </w:pPr>
      <w:r>
        <w:separator/>
      </w:r>
    </w:p>
  </w:endnote>
  <w:endnote w:type="continuationSeparator" w:id="0">
    <w:p w14:paraId="36F2E823" w14:textId="77777777" w:rsidR="00833E6D" w:rsidRDefault="00833E6D" w:rsidP="001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yriadPro-BoldCon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8C70C" w14:textId="77777777" w:rsidR="00F94E48" w:rsidRPr="00071184" w:rsidRDefault="00F94E48"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F94E48" w14:paraId="56BA9562" w14:textId="77777777" w:rsidTr="00C11BC4">
      <w:trPr>
        <w:jc w:val="center"/>
      </w:trPr>
      <w:tc>
        <w:tcPr>
          <w:tcW w:w="1420" w:type="pct"/>
        </w:tcPr>
        <w:p w14:paraId="3E48FF96" w14:textId="77777777" w:rsidR="00F94E48" w:rsidRPr="005C154A" w:rsidRDefault="00F94E48" w:rsidP="00C11BC4">
          <w:pPr>
            <w:pStyle w:val="Footer"/>
            <w:spacing w:after="0"/>
          </w:pPr>
          <w:r>
            <w:rPr>
              <w:noProof/>
            </w:rPr>
            <w:drawing>
              <wp:inline distT="0" distB="0" distL="0" distR="0" wp14:anchorId="1D59D61E" wp14:editId="1A780DC0">
                <wp:extent cx="1391285" cy="492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14:paraId="1181EA72" w14:textId="77777777" w:rsidR="00F94E48" w:rsidRPr="00C11BC4" w:rsidRDefault="00F94E48"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704C7C">
            <w:rPr>
              <w:rStyle w:val="PageNumber"/>
              <w:rFonts w:ascii="Arial" w:hAnsi="Arial" w:cs="Arial"/>
              <w:noProof/>
              <w:sz w:val="18"/>
              <w:szCs w:val="18"/>
            </w:rPr>
            <w:t>6</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704C7C">
            <w:rPr>
              <w:rStyle w:val="PageNumber"/>
              <w:rFonts w:ascii="Arial" w:hAnsi="Arial" w:cs="Arial"/>
              <w:noProof/>
              <w:sz w:val="18"/>
              <w:szCs w:val="18"/>
            </w:rPr>
            <w:t>9</w:t>
          </w:r>
          <w:r w:rsidRPr="00C11BC4">
            <w:rPr>
              <w:rStyle w:val="PageNumber"/>
              <w:rFonts w:ascii="Arial" w:hAnsi="Arial" w:cs="Arial"/>
              <w:sz w:val="18"/>
              <w:szCs w:val="18"/>
            </w:rPr>
            <w:fldChar w:fldCharType="end"/>
          </w:r>
        </w:p>
        <w:p w14:paraId="400BDFCC" w14:textId="00CFB466" w:rsidR="00F94E48" w:rsidRDefault="001544E1" w:rsidP="00DE4583">
          <w:pPr>
            <w:pStyle w:val="Footer"/>
            <w:spacing w:after="0"/>
            <w:jc w:val="center"/>
          </w:pPr>
          <w:r>
            <w:rPr>
              <w:rFonts w:ascii="Arial" w:hAnsi="Arial" w:cs="Arial"/>
              <w:sz w:val="18"/>
              <w:szCs w:val="18"/>
            </w:rPr>
            <w:t>Copyright</w:t>
          </w:r>
          <w:r w:rsidR="00F94E48">
            <w:rPr>
              <w:rFonts w:ascii="Arial" w:hAnsi="Arial" w:cs="Arial"/>
              <w:sz w:val="18"/>
              <w:szCs w:val="18"/>
            </w:rPr>
            <w:t xml:space="preserve"> </w:t>
          </w:r>
          <w:r w:rsidR="00F94E48" w:rsidRPr="008A4984">
            <w:rPr>
              <w:rFonts w:ascii="Arial" w:hAnsi="Arial" w:cs="Arial"/>
              <w:sz w:val="18"/>
              <w:szCs w:val="18"/>
            </w:rPr>
            <w:t xml:space="preserve">2015 • </w:t>
          </w:r>
          <w:r w:rsidR="00F94E48" w:rsidRPr="00C11BC4">
            <w:rPr>
              <w:rFonts w:ascii="Arial" w:hAnsi="Arial" w:cs="Arial"/>
              <w:sz w:val="18"/>
              <w:szCs w:val="18"/>
            </w:rPr>
            <w:t xml:space="preserve">Review Completed on </w:t>
          </w:r>
          <w:r w:rsidR="00F94E48">
            <w:rPr>
              <w:rFonts w:ascii="Arial" w:hAnsi="Arial" w:cs="Arial"/>
              <w:sz w:val="18"/>
              <w:szCs w:val="18"/>
            </w:rPr>
            <w:t>12/18/2015</w:t>
          </w:r>
        </w:p>
      </w:tc>
      <w:tc>
        <w:tcPr>
          <w:tcW w:w="1306" w:type="pct"/>
        </w:tcPr>
        <w:p w14:paraId="22955A6C" w14:textId="77777777" w:rsidR="00F94E48" w:rsidRDefault="00F94E48" w:rsidP="00C11BC4">
          <w:pPr>
            <w:pStyle w:val="Footer"/>
            <w:spacing w:after="0"/>
            <w:jc w:val="right"/>
          </w:pPr>
        </w:p>
      </w:tc>
    </w:tr>
  </w:tbl>
  <w:p w14:paraId="4F01BAA0" w14:textId="77777777" w:rsidR="00F94E48" w:rsidRPr="00071184" w:rsidRDefault="00F94E48" w:rsidP="00763120">
    <w:pPr>
      <w:pStyle w:val="NoSpacing"/>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A3A9" w14:textId="77777777" w:rsidR="00F94E48" w:rsidRPr="00071184" w:rsidRDefault="00F94E48" w:rsidP="009632B9">
    <w:pPr>
      <w:pStyle w:val="Footer"/>
      <w:pBdr>
        <w:bottom w:val="double" w:sz="12" w:space="1" w:color="auto"/>
      </w:pBdr>
      <w:spacing w:after="120"/>
      <w:rPr>
        <w:rFonts w:ascii="Arial" w:hAnsi="Arial" w:cs="Arial"/>
        <w:sz w:val="2"/>
        <w:szCs w:val="16"/>
      </w:rPr>
    </w:pPr>
  </w:p>
  <w:tbl>
    <w:tblPr>
      <w:tblW w:w="4895" w:type="pct"/>
      <w:jc w:val="center"/>
      <w:tblLayout w:type="fixed"/>
      <w:tblCellMar>
        <w:left w:w="115" w:type="dxa"/>
        <w:right w:w="115" w:type="dxa"/>
      </w:tblCellMar>
      <w:tblLook w:val="01E0" w:firstRow="1" w:lastRow="1" w:firstColumn="1" w:lastColumn="1" w:noHBand="0" w:noVBand="0"/>
    </w:tblPr>
    <w:tblGrid>
      <w:gridCol w:w="2674"/>
      <w:gridCol w:w="4283"/>
      <w:gridCol w:w="2432"/>
    </w:tblGrid>
    <w:tr w:rsidR="00F94E48" w14:paraId="0FA22921" w14:textId="77777777" w:rsidTr="004B173B">
      <w:trPr>
        <w:jc w:val="center"/>
      </w:trPr>
      <w:tc>
        <w:tcPr>
          <w:tcW w:w="1424" w:type="pct"/>
        </w:tcPr>
        <w:p w14:paraId="5B282F68" w14:textId="77777777" w:rsidR="00F94E48" w:rsidRPr="005C154A" w:rsidRDefault="00F94E48" w:rsidP="00C11BC4">
          <w:pPr>
            <w:pStyle w:val="Footer"/>
            <w:spacing w:after="0"/>
          </w:pPr>
          <w:r>
            <w:rPr>
              <w:noProof/>
            </w:rPr>
            <w:drawing>
              <wp:inline distT="0" distB="0" distL="0" distR="0" wp14:anchorId="0AB431DB" wp14:editId="3DE94D64">
                <wp:extent cx="1391285" cy="492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81" w:type="pct"/>
        </w:tcPr>
        <w:p w14:paraId="0BDF7D4B" w14:textId="77777777" w:rsidR="00F94E48" w:rsidRPr="00C11BC4" w:rsidRDefault="00F94E48" w:rsidP="008A498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704C7C">
            <w:rPr>
              <w:rStyle w:val="PageNumber"/>
              <w:rFonts w:ascii="Arial" w:hAnsi="Arial" w:cs="Arial"/>
              <w:noProof/>
              <w:sz w:val="18"/>
              <w:szCs w:val="18"/>
            </w:rPr>
            <w:t>1</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704C7C">
            <w:rPr>
              <w:rStyle w:val="PageNumber"/>
              <w:rFonts w:ascii="Arial" w:hAnsi="Arial" w:cs="Arial"/>
              <w:noProof/>
              <w:sz w:val="18"/>
              <w:szCs w:val="18"/>
            </w:rPr>
            <w:t>28</w:t>
          </w:r>
          <w:r w:rsidRPr="00C11BC4">
            <w:rPr>
              <w:rStyle w:val="PageNumber"/>
              <w:rFonts w:ascii="Arial" w:hAnsi="Arial" w:cs="Arial"/>
              <w:sz w:val="18"/>
              <w:szCs w:val="18"/>
            </w:rPr>
            <w:fldChar w:fldCharType="end"/>
          </w:r>
        </w:p>
        <w:p w14:paraId="7F660611" w14:textId="3E169A3C" w:rsidR="00F94E48" w:rsidRDefault="00F94E48" w:rsidP="008A4984">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sidR="002B73EE">
            <w:rPr>
              <w:rFonts w:ascii="Arial" w:hAnsi="Arial" w:cs="Arial"/>
              <w:sz w:val="18"/>
              <w:szCs w:val="18"/>
            </w:rPr>
            <w:t>12/2</w:t>
          </w:r>
          <w:r>
            <w:rPr>
              <w:rFonts w:ascii="Arial" w:hAnsi="Arial" w:cs="Arial"/>
              <w:sz w:val="18"/>
              <w:szCs w:val="18"/>
            </w:rPr>
            <w:t>8/2015</w:t>
          </w:r>
        </w:p>
      </w:tc>
      <w:tc>
        <w:tcPr>
          <w:tcW w:w="1295" w:type="pct"/>
        </w:tcPr>
        <w:p w14:paraId="0803AA1F" w14:textId="178FE51C" w:rsidR="00F94E48" w:rsidRDefault="00F94E48" w:rsidP="004B173B">
          <w:pPr>
            <w:pStyle w:val="Footer"/>
            <w:spacing w:after="0"/>
            <w:jc w:val="center"/>
          </w:pPr>
        </w:p>
      </w:tc>
    </w:tr>
  </w:tbl>
  <w:p w14:paraId="5B107D80" w14:textId="77777777" w:rsidR="00F94E48" w:rsidRDefault="00F94E48" w:rsidP="001F65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E9039" w14:textId="77777777" w:rsidR="00F94E48" w:rsidRPr="00071184" w:rsidRDefault="00F94E48" w:rsidP="007219C0">
    <w:pPr>
      <w:pStyle w:val="Footer"/>
      <w:pBdr>
        <w:bottom w:val="double" w:sz="12" w:space="1"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3679"/>
      <w:gridCol w:w="5891"/>
      <w:gridCol w:w="3383"/>
    </w:tblGrid>
    <w:tr w:rsidR="00F94E48" w14:paraId="0160DEC6" w14:textId="77777777" w:rsidTr="00C11BC4">
      <w:trPr>
        <w:jc w:val="center"/>
      </w:trPr>
      <w:tc>
        <w:tcPr>
          <w:tcW w:w="1420" w:type="pct"/>
        </w:tcPr>
        <w:p w14:paraId="032FB4DA" w14:textId="77777777" w:rsidR="00F94E48" w:rsidRPr="005C154A" w:rsidRDefault="00F94E48" w:rsidP="00C11BC4">
          <w:pPr>
            <w:pStyle w:val="Footer"/>
            <w:spacing w:after="0"/>
          </w:pPr>
          <w:r>
            <w:rPr>
              <w:noProof/>
            </w:rPr>
            <w:drawing>
              <wp:inline distT="0" distB="0" distL="0" distR="0" wp14:anchorId="10C27135" wp14:editId="0E7DBE2C">
                <wp:extent cx="1391285" cy="492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14:paraId="5839B003" w14:textId="77777777" w:rsidR="00F94E48" w:rsidRPr="00C11BC4" w:rsidRDefault="00F94E48"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704C7C">
            <w:rPr>
              <w:rStyle w:val="PageNumber"/>
              <w:rFonts w:ascii="Arial" w:hAnsi="Arial" w:cs="Arial"/>
              <w:noProof/>
              <w:sz w:val="18"/>
              <w:szCs w:val="18"/>
            </w:rPr>
            <w:t>18</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704C7C">
            <w:rPr>
              <w:rStyle w:val="PageNumber"/>
              <w:rFonts w:ascii="Arial" w:hAnsi="Arial" w:cs="Arial"/>
              <w:noProof/>
              <w:sz w:val="18"/>
              <w:szCs w:val="18"/>
            </w:rPr>
            <w:t>20</w:t>
          </w:r>
          <w:r w:rsidRPr="00C11BC4">
            <w:rPr>
              <w:rStyle w:val="PageNumber"/>
              <w:rFonts w:ascii="Arial" w:hAnsi="Arial" w:cs="Arial"/>
              <w:sz w:val="18"/>
              <w:szCs w:val="18"/>
            </w:rPr>
            <w:fldChar w:fldCharType="end"/>
          </w:r>
        </w:p>
        <w:p w14:paraId="3822525D" w14:textId="79A0D933" w:rsidR="00F94E48" w:rsidRDefault="00F94E48" w:rsidP="00DE4583">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12/18/2015</w:t>
          </w:r>
        </w:p>
      </w:tc>
      <w:tc>
        <w:tcPr>
          <w:tcW w:w="1306" w:type="pct"/>
        </w:tcPr>
        <w:p w14:paraId="17BE7A27" w14:textId="77777777" w:rsidR="00F94E48" w:rsidRDefault="00F94E48" w:rsidP="00C11BC4">
          <w:pPr>
            <w:pStyle w:val="Footer"/>
            <w:spacing w:after="0"/>
            <w:jc w:val="right"/>
          </w:pPr>
        </w:p>
      </w:tc>
    </w:tr>
  </w:tbl>
  <w:p w14:paraId="7C4EF2AC" w14:textId="77777777" w:rsidR="00F94E48" w:rsidRPr="00071184" w:rsidRDefault="00F94E48" w:rsidP="00071184">
    <w:pPr>
      <w:pStyle w:val="NoSpacing"/>
      <w:rPr>
        <w:rFonts w:ascii="Arial" w:hAnsi="Arial" w:cs="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87131" w14:textId="77777777" w:rsidR="00F94E48" w:rsidRPr="00071184" w:rsidRDefault="00F94E48" w:rsidP="007F22D1">
    <w:pPr>
      <w:pStyle w:val="Footer"/>
      <w:pBdr>
        <w:bottom w:val="double" w:sz="12" w:space="0" w:color="auto"/>
      </w:pBdr>
      <w:spacing w:after="120"/>
      <w:rPr>
        <w:rFonts w:ascii="Arial" w:hAnsi="Arial" w:cs="Arial"/>
        <w:sz w:val="2"/>
        <w:szCs w:val="16"/>
      </w:rPr>
    </w:pPr>
  </w:p>
  <w:tbl>
    <w:tblPr>
      <w:tblW w:w="4910" w:type="pct"/>
      <w:jc w:val="center"/>
      <w:tblLayout w:type="fixed"/>
      <w:tblCellMar>
        <w:left w:w="115" w:type="dxa"/>
        <w:right w:w="115" w:type="dxa"/>
      </w:tblCellMar>
      <w:tblLook w:val="01E0" w:firstRow="1" w:lastRow="1" w:firstColumn="1" w:lastColumn="1" w:noHBand="0" w:noVBand="0"/>
    </w:tblPr>
    <w:tblGrid>
      <w:gridCol w:w="2674"/>
      <w:gridCol w:w="4283"/>
      <w:gridCol w:w="2460"/>
    </w:tblGrid>
    <w:tr w:rsidR="00F94E48" w14:paraId="3BC9B24A" w14:textId="77777777" w:rsidTr="00C11BC4">
      <w:trPr>
        <w:jc w:val="center"/>
      </w:trPr>
      <w:tc>
        <w:tcPr>
          <w:tcW w:w="1420" w:type="pct"/>
        </w:tcPr>
        <w:p w14:paraId="02BB42FD" w14:textId="77777777" w:rsidR="00F94E48" w:rsidRPr="005C154A" w:rsidRDefault="00F94E48" w:rsidP="00C11BC4">
          <w:pPr>
            <w:pStyle w:val="Footer"/>
            <w:spacing w:after="0"/>
          </w:pPr>
          <w:r>
            <w:rPr>
              <w:noProof/>
            </w:rPr>
            <w:drawing>
              <wp:inline distT="0" distB="0" distL="0" distR="0" wp14:anchorId="50A83598" wp14:editId="601CED25">
                <wp:extent cx="1391285" cy="492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92760"/>
                        </a:xfrm>
                        <a:prstGeom prst="rect">
                          <a:avLst/>
                        </a:prstGeom>
                        <a:noFill/>
                        <a:ln>
                          <a:noFill/>
                        </a:ln>
                      </pic:spPr>
                    </pic:pic>
                  </a:graphicData>
                </a:graphic>
              </wp:inline>
            </w:drawing>
          </w:r>
        </w:p>
      </w:tc>
      <w:tc>
        <w:tcPr>
          <w:tcW w:w="2274" w:type="pct"/>
        </w:tcPr>
        <w:p w14:paraId="6505A3BF" w14:textId="77777777" w:rsidR="00F94E48" w:rsidRPr="00C11BC4" w:rsidRDefault="00F94E48" w:rsidP="00C11BC4">
          <w:pPr>
            <w:pStyle w:val="NoSpacing"/>
            <w:jc w:val="center"/>
            <w:rPr>
              <w:rStyle w:val="PageNumber"/>
              <w:rFonts w:ascii="Arial" w:hAnsi="Arial" w:cs="Arial"/>
              <w:sz w:val="18"/>
              <w:szCs w:val="18"/>
            </w:rPr>
          </w:pPr>
          <w:r w:rsidRPr="00C11BC4">
            <w:rPr>
              <w:rStyle w:val="PageNumber"/>
              <w:rFonts w:ascii="Arial" w:hAnsi="Arial" w:cs="Arial"/>
              <w:sz w:val="18"/>
              <w:szCs w:val="18"/>
            </w:rPr>
            <w:t xml:space="preserve">Page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PAGE </w:instrText>
          </w:r>
          <w:r w:rsidRPr="00C11BC4">
            <w:rPr>
              <w:rStyle w:val="PageNumber"/>
              <w:rFonts w:ascii="Arial" w:hAnsi="Arial" w:cs="Arial"/>
              <w:sz w:val="18"/>
              <w:szCs w:val="18"/>
            </w:rPr>
            <w:fldChar w:fldCharType="separate"/>
          </w:r>
          <w:r w:rsidR="00704C7C">
            <w:rPr>
              <w:rStyle w:val="PageNumber"/>
              <w:rFonts w:ascii="Arial" w:hAnsi="Arial" w:cs="Arial"/>
              <w:noProof/>
              <w:sz w:val="18"/>
              <w:szCs w:val="18"/>
            </w:rPr>
            <w:t>28</w:t>
          </w:r>
          <w:r w:rsidRPr="00C11BC4">
            <w:rPr>
              <w:rStyle w:val="PageNumber"/>
              <w:rFonts w:ascii="Arial" w:hAnsi="Arial" w:cs="Arial"/>
              <w:sz w:val="18"/>
              <w:szCs w:val="18"/>
            </w:rPr>
            <w:fldChar w:fldCharType="end"/>
          </w:r>
          <w:r w:rsidRPr="00C11BC4">
            <w:rPr>
              <w:rStyle w:val="PageNumber"/>
              <w:rFonts w:ascii="Arial" w:hAnsi="Arial" w:cs="Arial"/>
              <w:sz w:val="18"/>
              <w:szCs w:val="18"/>
            </w:rPr>
            <w:t xml:space="preserve"> of </w:t>
          </w:r>
          <w:r w:rsidRPr="00C11BC4">
            <w:rPr>
              <w:rStyle w:val="PageNumber"/>
              <w:rFonts w:ascii="Arial" w:hAnsi="Arial" w:cs="Arial"/>
              <w:sz w:val="18"/>
              <w:szCs w:val="18"/>
            </w:rPr>
            <w:fldChar w:fldCharType="begin"/>
          </w:r>
          <w:r w:rsidRPr="00C11BC4">
            <w:rPr>
              <w:rStyle w:val="PageNumber"/>
              <w:rFonts w:ascii="Arial" w:hAnsi="Arial" w:cs="Arial"/>
              <w:sz w:val="18"/>
              <w:szCs w:val="18"/>
            </w:rPr>
            <w:instrText xml:space="preserve"> NUMPAGES </w:instrText>
          </w:r>
          <w:r w:rsidRPr="00C11BC4">
            <w:rPr>
              <w:rStyle w:val="PageNumber"/>
              <w:rFonts w:ascii="Arial" w:hAnsi="Arial" w:cs="Arial"/>
              <w:sz w:val="18"/>
              <w:szCs w:val="18"/>
            </w:rPr>
            <w:fldChar w:fldCharType="separate"/>
          </w:r>
          <w:r w:rsidR="00704C7C">
            <w:rPr>
              <w:rStyle w:val="PageNumber"/>
              <w:rFonts w:ascii="Arial" w:hAnsi="Arial" w:cs="Arial"/>
              <w:noProof/>
              <w:sz w:val="18"/>
              <w:szCs w:val="18"/>
            </w:rPr>
            <w:t>28</w:t>
          </w:r>
          <w:r w:rsidRPr="00C11BC4">
            <w:rPr>
              <w:rStyle w:val="PageNumber"/>
              <w:rFonts w:ascii="Arial" w:hAnsi="Arial" w:cs="Arial"/>
              <w:sz w:val="18"/>
              <w:szCs w:val="18"/>
            </w:rPr>
            <w:fldChar w:fldCharType="end"/>
          </w:r>
        </w:p>
        <w:p w14:paraId="2467CD4D" w14:textId="27B3B5CA" w:rsidR="00F94E48" w:rsidRDefault="00F94E48" w:rsidP="00DE4583">
          <w:pPr>
            <w:pStyle w:val="Footer"/>
            <w:spacing w:after="0"/>
            <w:jc w:val="center"/>
          </w:pPr>
          <w:r w:rsidRPr="008A4984">
            <w:rPr>
              <w:rFonts w:ascii="Arial" w:hAnsi="Arial" w:cs="Arial"/>
              <w:sz w:val="18"/>
              <w:szCs w:val="18"/>
            </w:rPr>
            <w:t xml:space="preserve">Copyright 2015 • </w:t>
          </w:r>
          <w:r w:rsidRPr="00C11BC4">
            <w:rPr>
              <w:rFonts w:ascii="Arial" w:hAnsi="Arial" w:cs="Arial"/>
              <w:sz w:val="18"/>
              <w:szCs w:val="18"/>
            </w:rPr>
            <w:t xml:space="preserve">Review Completed on </w:t>
          </w:r>
          <w:r>
            <w:rPr>
              <w:rFonts w:ascii="Arial" w:hAnsi="Arial" w:cs="Arial"/>
              <w:sz w:val="18"/>
              <w:szCs w:val="18"/>
            </w:rPr>
            <w:t>12/18/2015</w:t>
          </w:r>
        </w:p>
      </w:tc>
      <w:tc>
        <w:tcPr>
          <w:tcW w:w="1306" w:type="pct"/>
        </w:tcPr>
        <w:p w14:paraId="3D3BD791" w14:textId="77777777" w:rsidR="00F94E48" w:rsidRDefault="00F94E48" w:rsidP="00C11BC4">
          <w:pPr>
            <w:pStyle w:val="Footer"/>
            <w:spacing w:after="0"/>
            <w:jc w:val="right"/>
          </w:pPr>
        </w:p>
      </w:tc>
    </w:tr>
  </w:tbl>
  <w:p w14:paraId="43C987D7" w14:textId="77777777" w:rsidR="00F94E48" w:rsidRPr="00071184" w:rsidRDefault="00F94E48" w:rsidP="00071184">
    <w:pPr>
      <w:pStyle w:val="NoSpacing"/>
      <w:rPr>
        <w:rFonts w:ascii="Arial" w:hAnsi="Arial" w:cs="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7AB9E" w14:textId="77777777" w:rsidR="00833E6D" w:rsidRDefault="00833E6D" w:rsidP="001E5F88">
      <w:pPr>
        <w:spacing w:after="0" w:line="240" w:lineRule="auto"/>
      </w:pPr>
      <w:r>
        <w:separator/>
      </w:r>
    </w:p>
  </w:footnote>
  <w:footnote w:type="continuationSeparator" w:id="0">
    <w:p w14:paraId="2A438A3E" w14:textId="77777777" w:rsidR="00833E6D" w:rsidRDefault="00833E6D" w:rsidP="001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5409A" w14:textId="19A26365" w:rsidR="00F94E48" w:rsidRPr="00D40A11" w:rsidRDefault="00F94E48" w:rsidP="00AC3D8B">
    <w:pPr>
      <w:pStyle w:val="Header"/>
      <w:pBdr>
        <w:bottom w:val="double" w:sz="12" w:space="1" w:color="auto"/>
      </w:pBdr>
      <w:rPr>
        <w:rFonts w:ascii="Arial" w:hAnsi="Arial" w:cs="Arial"/>
        <w:color w:val="FF0000"/>
        <w:sz w:val="18"/>
        <w:szCs w:val="18"/>
        <w:u w:val="single"/>
      </w:rPr>
    </w:pPr>
    <w:r>
      <w:rPr>
        <w:rFonts w:ascii="Arial" w:hAnsi="Arial" w:cs="Arial"/>
        <w:sz w:val="18"/>
        <w:szCs w:val="18"/>
        <w:u w:val="single"/>
      </w:rPr>
      <w:t>Drug Formulary Commission Monograph</w:t>
    </w:r>
    <w:r w:rsidRPr="000F4975">
      <w:rPr>
        <w:rFonts w:ascii="Arial" w:hAnsi="Arial" w:cs="Arial"/>
        <w:sz w:val="18"/>
        <w:szCs w:val="18"/>
        <w:u w:val="single"/>
      </w:rPr>
      <w:t>:</w:t>
    </w:r>
    <w:r>
      <w:rPr>
        <w:rFonts w:ascii="Arial" w:hAnsi="Arial" w:cs="Arial"/>
        <w:sz w:val="18"/>
        <w:szCs w:val="18"/>
        <w:u w:val="single"/>
      </w:rPr>
      <w:t xml:space="preserve"> tapentadol extended-release (Nucynta</w:t>
    </w:r>
    <w:r w:rsidRPr="004226F1">
      <w:rPr>
        <w:rFonts w:ascii="Arial" w:hAnsi="Arial" w:cs="Arial"/>
        <w:sz w:val="18"/>
        <w:szCs w:val="18"/>
        <w:u w:val="single"/>
      </w:rPr>
      <w:t xml:space="preserve"> ER</w:t>
    </w:r>
    <w:r w:rsidRPr="004226F1">
      <w:rPr>
        <w:rFonts w:ascii="Arial" w:hAnsi="Arial" w:cs="Arial"/>
        <w:sz w:val="18"/>
        <w:szCs w:val="18"/>
        <w:u w:val="single"/>
        <w:vertAlign w:val="superscript"/>
      </w:rPr>
      <w:t>®</w:t>
    </w:r>
    <w:r w:rsidRPr="004226F1">
      <w:rPr>
        <w:rFonts w:ascii="Arial" w:hAnsi="Arial" w:cs="Arial"/>
        <w:sz w:val="18"/>
        <w:szCs w:val="18"/>
        <w:u w:val="single"/>
      </w:rPr>
      <w:t>)</w:t>
    </w:r>
    <w:r w:rsidRPr="004226F1">
      <w:rPr>
        <w:rFonts w:ascii="Arial" w:hAnsi="Arial" w:cs="Arial"/>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124FC" w14:textId="77777777" w:rsidR="00F94E48" w:rsidRPr="00D40A11" w:rsidRDefault="00F94E48" w:rsidP="009632B9">
    <w:pPr>
      <w:pStyle w:val="Header"/>
      <w:pBdr>
        <w:bottom w:val="double" w:sz="12" w:space="1" w:color="auto"/>
      </w:pBdr>
      <w:rPr>
        <w:rFonts w:ascii="Arial" w:hAnsi="Arial" w:cs="Arial"/>
        <w:color w:val="FF000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FBF"/>
    <w:multiLevelType w:val="hybridMultilevel"/>
    <w:tmpl w:val="F440C104"/>
    <w:lvl w:ilvl="0" w:tplc="250CC4F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C827B8"/>
    <w:multiLevelType w:val="multilevel"/>
    <w:tmpl w:val="713470E8"/>
    <w:lvl w:ilvl="0">
      <w:start w:val="1"/>
      <w:numFmt w:val="bullet"/>
      <w:lvlText w:val=""/>
      <w:lvlJc w:val="left"/>
      <w:pPr>
        <w:tabs>
          <w:tab w:val="num" w:pos="-7710"/>
        </w:tabs>
        <w:ind w:left="-7710" w:hanging="360"/>
      </w:pPr>
      <w:rPr>
        <w:rFonts w:ascii="Symbol" w:hAnsi="Symbol" w:hint="default"/>
        <w:sz w:val="20"/>
      </w:rPr>
    </w:lvl>
    <w:lvl w:ilvl="1" w:tentative="1">
      <w:start w:val="1"/>
      <w:numFmt w:val="bullet"/>
      <w:lvlText w:val="o"/>
      <w:lvlJc w:val="left"/>
      <w:pPr>
        <w:tabs>
          <w:tab w:val="num" w:pos="-6990"/>
        </w:tabs>
        <w:ind w:left="-6990" w:hanging="360"/>
      </w:pPr>
      <w:rPr>
        <w:rFonts w:ascii="Courier New" w:hAnsi="Courier New" w:hint="default"/>
        <w:sz w:val="20"/>
      </w:rPr>
    </w:lvl>
    <w:lvl w:ilvl="2" w:tentative="1">
      <w:start w:val="1"/>
      <w:numFmt w:val="bullet"/>
      <w:lvlText w:val=""/>
      <w:lvlJc w:val="left"/>
      <w:pPr>
        <w:tabs>
          <w:tab w:val="num" w:pos="-6270"/>
        </w:tabs>
        <w:ind w:left="-6270" w:hanging="360"/>
      </w:pPr>
      <w:rPr>
        <w:rFonts w:ascii="Wingdings" w:hAnsi="Wingdings" w:hint="default"/>
        <w:sz w:val="20"/>
      </w:rPr>
    </w:lvl>
    <w:lvl w:ilvl="3" w:tentative="1">
      <w:start w:val="1"/>
      <w:numFmt w:val="bullet"/>
      <w:lvlText w:val=""/>
      <w:lvlJc w:val="left"/>
      <w:pPr>
        <w:tabs>
          <w:tab w:val="num" w:pos="-5550"/>
        </w:tabs>
        <w:ind w:left="-5550" w:hanging="360"/>
      </w:pPr>
      <w:rPr>
        <w:rFonts w:ascii="Wingdings" w:hAnsi="Wingdings" w:hint="default"/>
        <w:sz w:val="20"/>
      </w:rPr>
    </w:lvl>
    <w:lvl w:ilvl="4" w:tentative="1">
      <w:start w:val="1"/>
      <w:numFmt w:val="bullet"/>
      <w:lvlText w:val=""/>
      <w:lvlJc w:val="left"/>
      <w:pPr>
        <w:tabs>
          <w:tab w:val="num" w:pos="-4830"/>
        </w:tabs>
        <w:ind w:left="-483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3390"/>
        </w:tabs>
        <w:ind w:left="-3390" w:hanging="360"/>
      </w:pPr>
      <w:rPr>
        <w:rFonts w:ascii="Wingdings" w:hAnsi="Wingdings" w:hint="default"/>
        <w:sz w:val="20"/>
      </w:rPr>
    </w:lvl>
    <w:lvl w:ilvl="7" w:tentative="1">
      <w:start w:val="1"/>
      <w:numFmt w:val="bullet"/>
      <w:lvlText w:val=""/>
      <w:lvlJc w:val="left"/>
      <w:pPr>
        <w:tabs>
          <w:tab w:val="num" w:pos="-2670"/>
        </w:tabs>
        <w:ind w:left="-2670" w:hanging="360"/>
      </w:pPr>
      <w:rPr>
        <w:rFonts w:ascii="Wingdings" w:hAnsi="Wingdings" w:hint="default"/>
        <w:sz w:val="20"/>
      </w:rPr>
    </w:lvl>
    <w:lvl w:ilvl="8" w:tentative="1">
      <w:start w:val="1"/>
      <w:numFmt w:val="bullet"/>
      <w:lvlText w:val=""/>
      <w:lvlJc w:val="left"/>
      <w:pPr>
        <w:tabs>
          <w:tab w:val="num" w:pos="-1950"/>
        </w:tabs>
        <w:ind w:left="-1950" w:hanging="360"/>
      </w:pPr>
      <w:rPr>
        <w:rFonts w:ascii="Wingdings" w:hAnsi="Wingdings" w:hint="default"/>
        <w:sz w:val="20"/>
      </w:rPr>
    </w:lvl>
  </w:abstractNum>
  <w:abstractNum w:abstractNumId="2">
    <w:nsid w:val="0C054837"/>
    <w:multiLevelType w:val="multilevel"/>
    <w:tmpl w:val="32F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02AB"/>
    <w:multiLevelType w:val="hybridMultilevel"/>
    <w:tmpl w:val="232226AE"/>
    <w:lvl w:ilvl="0" w:tplc="04090001">
      <w:start w:val="1"/>
      <w:numFmt w:val="bullet"/>
      <w:lvlText w:val=""/>
      <w:lvlJc w:val="left"/>
      <w:pPr>
        <w:tabs>
          <w:tab w:val="num" w:pos="360"/>
        </w:tabs>
        <w:ind w:left="360" w:hanging="360"/>
      </w:pPr>
      <w:rPr>
        <w:rFonts w:ascii="Symbol" w:hAnsi="Symbol" w:hint="default"/>
      </w:rPr>
    </w:lvl>
    <w:lvl w:ilvl="1" w:tplc="21787306">
      <w:start w:val="1"/>
      <w:numFmt w:val="bullet"/>
      <w:lvlText w:val="o"/>
      <w:lvlJc w:val="left"/>
      <w:pPr>
        <w:tabs>
          <w:tab w:val="num" w:pos="1080"/>
        </w:tabs>
        <w:ind w:left="1080" w:hanging="360"/>
      </w:pPr>
      <w:rPr>
        <w:rFonts w:ascii="Courier New" w:hAnsi="Courier New" w:cs="Courier New" w:hint="default"/>
        <w:color w:val="0000FF"/>
      </w:rPr>
    </w:lvl>
    <w:lvl w:ilvl="2" w:tplc="69485A78">
      <w:start w:val="1"/>
      <w:numFmt w:val="bullet"/>
      <w:lvlText w:val=""/>
      <w:lvlJc w:val="left"/>
      <w:pPr>
        <w:tabs>
          <w:tab w:val="num" w:pos="1440"/>
        </w:tabs>
        <w:ind w:left="1728" w:hanging="288"/>
      </w:pPr>
      <w:rPr>
        <w:rFonts w:ascii="Symbol" w:hAnsi="Symbol" w:hint="default"/>
        <w:color w:val="auto"/>
        <w:sz w:val="20"/>
        <w:szCs w:val="22"/>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7901DC"/>
    <w:multiLevelType w:val="hybridMultilevel"/>
    <w:tmpl w:val="E74A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F02E8"/>
    <w:multiLevelType w:val="hybridMultilevel"/>
    <w:tmpl w:val="2A0ECDAE"/>
    <w:lvl w:ilvl="0" w:tplc="13CA6DDA">
      <w:start w:val="1"/>
      <w:numFmt w:val="bullet"/>
      <w:lvlText w:val=""/>
      <w:lvlJc w:val="left"/>
      <w:pPr>
        <w:ind w:left="360" w:hanging="360"/>
      </w:pPr>
      <w:rPr>
        <w:rFonts w:ascii="Symbol" w:hAnsi="Symbol" w:hint="default"/>
        <w:color w:val="0033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6B31BA"/>
    <w:multiLevelType w:val="hybridMultilevel"/>
    <w:tmpl w:val="4508B0DC"/>
    <w:lvl w:ilvl="0" w:tplc="6218D1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B1E0F"/>
    <w:multiLevelType w:val="hybridMultilevel"/>
    <w:tmpl w:val="F0F0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07995"/>
    <w:multiLevelType w:val="hybridMultilevel"/>
    <w:tmpl w:val="4EB0458C"/>
    <w:lvl w:ilvl="0" w:tplc="7FC40492">
      <w:start w:val="1"/>
      <w:numFmt w:val="decimal"/>
      <w:lvlText w:val="%1."/>
      <w:lvlJc w:val="left"/>
      <w:pPr>
        <w:ind w:left="360" w:hanging="360"/>
      </w:pPr>
      <w:rPr>
        <w:rFonts w:ascii="Arial" w:hAnsi="Arial" w:cs="Arial" w:hint="default"/>
        <w:b w:val="0"/>
        <w:color w:val="auto"/>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6C04BA"/>
    <w:multiLevelType w:val="hybridMultilevel"/>
    <w:tmpl w:val="E3362392"/>
    <w:lvl w:ilvl="0" w:tplc="7FC40492">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F7358"/>
    <w:multiLevelType w:val="hybridMultilevel"/>
    <w:tmpl w:val="A71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36D4F"/>
    <w:multiLevelType w:val="hybridMultilevel"/>
    <w:tmpl w:val="32AA2EAC"/>
    <w:lvl w:ilvl="0" w:tplc="04090001">
      <w:start w:val="1"/>
      <w:numFmt w:val="bullet"/>
      <w:lvlText w:val=""/>
      <w:lvlJc w:val="left"/>
      <w:pPr>
        <w:tabs>
          <w:tab w:val="num" w:pos="720"/>
        </w:tabs>
        <w:ind w:left="720" w:hanging="360"/>
      </w:pPr>
      <w:rPr>
        <w:rFonts w:ascii="Symbol" w:hAnsi="Symbol" w:hint="default"/>
      </w:rPr>
    </w:lvl>
    <w:lvl w:ilvl="1" w:tplc="F97A6F28">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5779C8"/>
    <w:multiLevelType w:val="hybridMultilevel"/>
    <w:tmpl w:val="E6F0196C"/>
    <w:lvl w:ilvl="0" w:tplc="A4806D56">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6780"/>
    <w:multiLevelType w:val="hybridMultilevel"/>
    <w:tmpl w:val="45448D0E"/>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D183EF0">
      <w:start w:val="1"/>
      <w:numFmt w:val="lowerLetter"/>
      <w:lvlText w:val="%3)"/>
      <w:lvlJc w:val="right"/>
      <w:pPr>
        <w:tabs>
          <w:tab w:val="num" w:pos="1800"/>
        </w:tabs>
        <w:ind w:left="1800" w:hanging="180"/>
      </w:pPr>
      <w:rPr>
        <w:rFonts w:ascii="Arial" w:eastAsia="Calibri" w:hAnsi="Arial" w:cs="Arial"/>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F72D6E"/>
    <w:multiLevelType w:val="hybridMultilevel"/>
    <w:tmpl w:val="5C78E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C60071"/>
    <w:multiLevelType w:val="hybridMultilevel"/>
    <w:tmpl w:val="F1F02E1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6">
    <w:nsid w:val="4D021C46"/>
    <w:multiLevelType w:val="multilevel"/>
    <w:tmpl w:val="A802C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201A80"/>
    <w:multiLevelType w:val="hybridMultilevel"/>
    <w:tmpl w:val="CE8ED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FA0D73"/>
    <w:multiLevelType w:val="hybridMultilevel"/>
    <w:tmpl w:val="74DC82CA"/>
    <w:lvl w:ilvl="0" w:tplc="0E04EB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9529F2"/>
    <w:multiLevelType w:val="hybridMultilevel"/>
    <w:tmpl w:val="DBD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1449D"/>
    <w:multiLevelType w:val="hybridMultilevel"/>
    <w:tmpl w:val="0E36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E53C36"/>
    <w:multiLevelType w:val="hybridMultilevel"/>
    <w:tmpl w:val="50CAE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13"/>
  </w:num>
  <w:num w:numId="4">
    <w:abstractNumId w:val="1"/>
  </w:num>
  <w:num w:numId="5">
    <w:abstractNumId w:val="2"/>
  </w:num>
  <w:num w:numId="6">
    <w:abstractNumId w:val="16"/>
  </w:num>
  <w:num w:numId="7">
    <w:abstractNumId w:val="20"/>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21"/>
  </w:num>
  <w:num w:numId="13">
    <w:abstractNumId w:val="0"/>
  </w:num>
  <w:num w:numId="14">
    <w:abstractNumId w:val="8"/>
  </w:num>
  <w:num w:numId="15">
    <w:abstractNumId w:val="4"/>
  </w:num>
  <w:num w:numId="16">
    <w:abstractNumId w:val="10"/>
  </w:num>
  <w:num w:numId="17">
    <w:abstractNumId w:val="18"/>
  </w:num>
  <w:num w:numId="18">
    <w:abstractNumId w:val="15"/>
  </w:num>
  <w:num w:numId="19">
    <w:abstractNumId w:val="12"/>
  </w:num>
  <w:num w:numId="20">
    <w:abstractNumId w:val="6"/>
  </w:num>
  <w:num w:numId="21">
    <w:abstractNumId w:val="7"/>
  </w:num>
  <w:num w:numId="22">
    <w:abstractNumId w:val="19"/>
  </w:num>
  <w:num w:numId="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71"/>
    <w:rsid w:val="00002A01"/>
    <w:rsid w:val="00002BE5"/>
    <w:rsid w:val="00002F2E"/>
    <w:rsid w:val="00003124"/>
    <w:rsid w:val="0001042C"/>
    <w:rsid w:val="00012DEA"/>
    <w:rsid w:val="000130B1"/>
    <w:rsid w:val="00014EA9"/>
    <w:rsid w:val="00017BEF"/>
    <w:rsid w:val="00017E9E"/>
    <w:rsid w:val="00020A18"/>
    <w:rsid w:val="00020DBE"/>
    <w:rsid w:val="00021D4C"/>
    <w:rsid w:val="00024206"/>
    <w:rsid w:val="00027B40"/>
    <w:rsid w:val="00032D3C"/>
    <w:rsid w:val="00035652"/>
    <w:rsid w:val="00035A44"/>
    <w:rsid w:val="00036519"/>
    <w:rsid w:val="000401E7"/>
    <w:rsid w:val="00041FC8"/>
    <w:rsid w:val="00043847"/>
    <w:rsid w:val="00044E37"/>
    <w:rsid w:val="00046987"/>
    <w:rsid w:val="00047706"/>
    <w:rsid w:val="000537EE"/>
    <w:rsid w:val="00066810"/>
    <w:rsid w:val="00070D57"/>
    <w:rsid w:val="00071184"/>
    <w:rsid w:val="00071643"/>
    <w:rsid w:val="000756CD"/>
    <w:rsid w:val="00076356"/>
    <w:rsid w:val="00076D07"/>
    <w:rsid w:val="000775E6"/>
    <w:rsid w:val="000776FD"/>
    <w:rsid w:val="00080C8B"/>
    <w:rsid w:val="00081BA6"/>
    <w:rsid w:val="000860CC"/>
    <w:rsid w:val="000871AB"/>
    <w:rsid w:val="000875C4"/>
    <w:rsid w:val="000878AD"/>
    <w:rsid w:val="00091D01"/>
    <w:rsid w:val="000958C3"/>
    <w:rsid w:val="0009633C"/>
    <w:rsid w:val="00096DB9"/>
    <w:rsid w:val="00097922"/>
    <w:rsid w:val="000A1B53"/>
    <w:rsid w:val="000A21B4"/>
    <w:rsid w:val="000A23C9"/>
    <w:rsid w:val="000A30B4"/>
    <w:rsid w:val="000A3FAA"/>
    <w:rsid w:val="000A41C7"/>
    <w:rsid w:val="000A4BC0"/>
    <w:rsid w:val="000A5F73"/>
    <w:rsid w:val="000A6BC9"/>
    <w:rsid w:val="000A6CF6"/>
    <w:rsid w:val="000B3401"/>
    <w:rsid w:val="000B40B7"/>
    <w:rsid w:val="000B6100"/>
    <w:rsid w:val="000B6AF9"/>
    <w:rsid w:val="000B7311"/>
    <w:rsid w:val="000C0564"/>
    <w:rsid w:val="000C0D2D"/>
    <w:rsid w:val="000C143E"/>
    <w:rsid w:val="000C2216"/>
    <w:rsid w:val="000C3556"/>
    <w:rsid w:val="000C4953"/>
    <w:rsid w:val="000D193B"/>
    <w:rsid w:val="000D2531"/>
    <w:rsid w:val="000D2B95"/>
    <w:rsid w:val="000D3669"/>
    <w:rsid w:val="000D4F05"/>
    <w:rsid w:val="000D5EE3"/>
    <w:rsid w:val="000D677D"/>
    <w:rsid w:val="000E049B"/>
    <w:rsid w:val="000E29CF"/>
    <w:rsid w:val="000E46FF"/>
    <w:rsid w:val="000E5038"/>
    <w:rsid w:val="000E6890"/>
    <w:rsid w:val="000E6E8D"/>
    <w:rsid w:val="000F132F"/>
    <w:rsid w:val="000F1569"/>
    <w:rsid w:val="000F1EE0"/>
    <w:rsid w:val="000F4975"/>
    <w:rsid w:val="000F6EF7"/>
    <w:rsid w:val="000F7B71"/>
    <w:rsid w:val="00100784"/>
    <w:rsid w:val="00103E40"/>
    <w:rsid w:val="00104FE4"/>
    <w:rsid w:val="00105685"/>
    <w:rsid w:val="001074E4"/>
    <w:rsid w:val="00107E0F"/>
    <w:rsid w:val="0011087A"/>
    <w:rsid w:val="001110F0"/>
    <w:rsid w:val="00111FF8"/>
    <w:rsid w:val="00114EC9"/>
    <w:rsid w:val="00123D19"/>
    <w:rsid w:val="00124A17"/>
    <w:rsid w:val="00125467"/>
    <w:rsid w:val="001272FA"/>
    <w:rsid w:val="001302AF"/>
    <w:rsid w:val="00131F3A"/>
    <w:rsid w:val="001331CA"/>
    <w:rsid w:val="00134B51"/>
    <w:rsid w:val="001350F9"/>
    <w:rsid w:val="00135AF1"/>
    <w:rsid w:val="001360E8"/>
    <w:rsid w:val="00137C1F"/>
    <w:rsid w:val="00140859"/>
    <w:rsid w:val="001421D0"/>
    <w:rsid w:val="00142914"/>
    <w:rsid w:val="00146708"/>
    <w:rsid w:val="00146956"/>
    <w:rsid w:val="00147A3E"/>
    <w:rsid w:val="00147B6E"/>
    <w:rsid w:val="00147C05"/>
    <w:rsid w:val="00150F67"/>
    <w:rsid w:val="001522E0"/>
    <w:rsid w:val="0015395A"/>
    <w:rsid w:val="001544E1"/>
    <w:rsid w:val="00161C5D"/>
    <w:rsid w:val="00161D26"/>
    <w:rsid w:val="00162B15"/>
    <w:rsid w:val="00164191"/>
    <w:rsid w:val="00165704"/>
    <w:rsid w:val="001723DB"/>
    <w:rsid w:val="001733BF"/>
    <w:rsid w:val="001740BE"/>
    <w:rsid w:val="001742BC"/>
    <w:rsid w:val="001744BA"/>
    <w:rsid w:val="0017683D"/>
    <w:rsid w:val="001811FE"/>
    <w:rsid w:val="00182F9B"/>
    <w:rsid w:val="001843C5"/>
    <w:rsid w:val="00184EC9"/>
    <w:rsid w:val="001861F2"/>
    <w:rsid w:val="00187660"/>
    <w:rsid w:val="0019074D"/>
    <w:rsid w:val="00190B26"/>
    <w:rsid w:val="00190D1E"/>
    <w:rsid w:val="00192A63"/>
    <w:rsid w:val="0019441C"/>
    <w:rsid w:val="001950F9"/>
    <w:rsid w:val="001A032B"/>
    <w:rsid w:val="001A3DE1"/>
    <w:rsid w:val="001A5109"/>
    <w:rsid w:val="001A54FB"/>
    <w:rsid w:val="001A5BB9"/>
    <w:rsid w:val="001A6ED9"/>
    <w:rsid w:val="001A70F1"/>
    <w:rsid w:val="001B0A26"/>
    <w:rsid w:val="001B2859"/>
    <w:rsid w:val="001B2AD0"/>
    <w:rsid w:val="001B35F6"/>
    <w:rsid w:val="001B7F23"/>
    <w:rsid w:val="001C18D9"/>
    <w:rsid w:val="001C2825"/>
    <w:rsid w:val="001C48A0"/>
    <w:rsid w:val="001C5893"/>
    <w:rsid w:val="001C76B9"/>
    <w:rsid w:val="001C7C3C"/>
    <w:rsid w:val="001C7F15"/>
    <w:rsid w:val="001D194F"/>
    <w:rsid w:val="001D198E"/>
    <w:rsid w:val="001D3C7A"/>
    <w:rsid w:val="001D4078"/>
    <w:rsid w:val="001D4B58"/>
    <w:rsid w:val="001E00DD"/>
    <w:rsid w:val="001E2A1A"/>
    <w:rsid w:val="001E2C80"/>
    <w:rsid w:val="001E3AF7"/>
    <w:rsid w:val="001E4E9A"/>
    <w:rsid w:val="001E5F88"/>
    <w:rsid w:val="001E694B"/>
    <w:rsid w:val="001E7ED1"/>
    <w:rsid w:val="001F1A7E"/>
    <w:rsid w:val="001F3F59"/>
    <w:rsid w:val="001F5E79"/>
    <w:rsid w:val="001F656A"/>
    <w:rsid w:val="001F7CFE"/>
    <w:rsid w:val="001F7E2B"/>
    <w:rsid w:val="00201C3C"/>
    <w:rsid w:val="002020FA"/>
    <w:rsid w:val="00202605"/>
    <w:rsid w:val="002028B0"/>
    <w:rsid w:val="0021183C"/>
    <w:rsid w:val="002127A5"/>
    <w:rsid w:val="00213008"/>
    <w:rsid w:val="0021417B"/>
    <w:rsid w:val="0021782F"/>
    <w:rsid w:val="00217FE2"/>
    <w:rsid w:val="00220254"/>
    <w:rsid w:val="00224D80"/>
    <w:rsid w:val="00226AFB"/>
    <w:rsid w:val="00227103"/>
    <w:rsid w:val="002279A4"/>
    <w:rsid w:val="00227F5E"/>
    <w:rsid w:val="00230949"/>
    <w:rsid w:val="0023102E"/>
    <w:rsid w:val="00233C28"/>
    <w:rsid w:val="002344B7"/>
    <w:rsid w:val="00234764"/>
    <w:rsid w:val="00234E13"/>
    <w:rsid w:val="0023638B"/>
    <w:rsid w:val="00237628"/>
    <w:rsid w:val="00237A44"/>
    <w:rsid w:val="00241B07"/>
    <w:rsid w:val="002456E8"/>
    <w:rsid w:val="00253354"/>
    <w:rsid w:val="002574C5"/>
    <w:rsid w:val="0026215C"/>
    <w:rsid w:val="00262CE1"/>
    <w:rsid w:val="002732BC"/>
    <w:rsid w:val="00274907"/>
    <w:rsid w:val="00274C4E"/>
    <w:rsid w:val="002764C8"/>
    <w:rsid w:val="00276B24"/>
    <w:rsid w:val="00280890"/>
    <w:rsid w:val="002830D0"/>
    <w:rsid w:val="00285174"/>
    <w:rsid w:val="00290082"/>
    <w:rsid w:val="0029098E"/>
    <w:rsid w:val="00290D6C"/>
    <w:rsid w:val="00291BAD"/>
    <w:rsid w:val="00291D40"/>
    <w:rsid w:val="002956A5"/>
    <w:rsid w:val="00297265"/>
    <w:rsid w:val="002A07F7"/>
    <w:rsid w:val="002A15C7"/>
    <w:rsid w:val="002A1A53"/>
    <w:rsid w:val="002A1FD5"/>
    <w:rsid w:val="002A2397"/>
    <w:rsid w:val="002A281B"/>
    <w:rsid w:val="002A467C"/>
    <w:rsid w:val="002A5676"/>
    <w:rsid w:val="002A5D34"/>
    <w:rsid w:val="002A63B0"/>
    <w:rsid w:val="002A6481"/>
    <w:rsid w:val="002A6FE8"/>
    <w:rsid w:val="002A7CBA"/>
    <w:rsid w:val="002A7D0D"/>
    <w:rsid w:val="002B0688"/>
    <w:rsid w:val="002B15F5"/>
    <w:rsid w:val="002B4328"/>
    <w:rsid w:val="002B73EE"/>
    <w:rsid w:val="002B7691"/>
    <w:rsid w:val="002B7E9B"/>
    <w:rsid w:val="002C1389"/>
    <w:rsid w:val="002C16A4"/>
    <w:rsid w:val="002C26EC"/>
    <w:rsid w:val="002C368C"/>
    <w:rsid w:val="002C641C"/>
    <w:rsid w:val="002D0CE3"/>
    <w:rsid w:val="002D4368"/>
    <w:rsid w:val="002D5E5B"/>
    <w:rsid w:val="002E23D1"/>
    <w:rsid w:val="002E312F"/>
    <w:rsid w:val="002E3DE5"/>
    <w:rsid w:val="002E489F"/>
    <w:rsid w:val="002E4DE6"/>
    <w:rsid w:val="002E50E2"/>
    <w:rsid w:val="002E5FA4"/>
    <w:rsid w:val="002E6744"/>
    <w:rsid w:val="002E6EED"/>
    <w:rsid w:val="002F0DA8"/>
    <w:rsid w:val="002F27A2"/>
    <w:rsid w:val="002F320A"/>
    <w:rsid w:val="002F40FA"/>
    <w:rsid w:val="002F4413"/>
    <w:rsid w:val="002F5305"/>
    <w:rsid w:val="002F788D"/>
    <w:rsid w:val="002F791F"/>
    <w:rsid w:val="003017A0"/>
    <w:rsid w:val="00303851"/>
    <w:rsid w:val="003058B9"/>
    <w:rsid w:val="00311F38"/>
    <w:rsid w:val="0031256C"/>
    <w:rsid w:val="00312586"/>
    <w:rsid w:val="00312EBF"/>
    <w:rsid w:val="00317076"/>
    <w:rsid w:val="00322CD1"/>
    <w:rsid w:val="00323796"/>
    <w:rsid w:val="00323C87"/>
    <w:rsid w:val="00324083"/>
    <w:rsid w:val="003240E1"/>
    <w:rsid w:val="00324FD1"/>
    <w:rsid w:val="0032549C"/>
    <w:rsid w:val="003268DE"/>
    <w:rsid w:val="003268F7"/>
    <w:rsid w:val="00326BD0"/>
    <w:rsid w:val="00327E4C"/>
    <w:rsid w:val="00331AD7"/>
    <w:rsid w:val="003344D9"/>
    <w:rsid w:val="0033496E"/>
    <w:rsid w:val="00336EF4"/>
    <w:rsid w:val="0033720B"/>
    <w:rsid w:val="00345FBC"/>
    <w:rsid w:val="00346672"/>
    <w:rsid w:val="003501E5"/>
    <w:rsid w:val="003518FB"/>
    <w:rsid w:val="0035250B"/>
    <w:rsid w:val="00352D7C"/>
    <w:rsid w:val="003554BE"/>
    <w:rsid w:val="00356F51"/>
    <w:rsid w:val="00361CC8"/>
    <w:rsid w:val="003628DE"/>
    <w:rsid w:val="003640E2"/>
    <w:rsid w:val="00364EDE"/>
    <w:rsid w:val="00366EED"/>
    <w:rsid w:val="00370F7F"/>
    <w:rsid w:val="003711D7"/>
    <w:rsid w:val="0037154D"/>
    <w:rsid w:val="00372B4E"/>
    <w:rsid w:val="00373B99"/>
    <w:rsid w:val="003745C7"/>
    <w:rsid w:val="00377AC8"/>
    <w:rsid w:val="0038147E"/>
    <w:rsid w:val="0038306A"/>
    <w:rsid w:val="00383488"/>
    <w:rsid w:val="00384366"/>
    <w:rsid w:val="00385781"/>
    <w:rsid w:val="00385A9F"/>
    <w:rsid w:val="00385ECC"/>
    <w:rsid w:val="003866D4"/>
    <w:rsid w:val="00386FE0"/>
    <w:rsid w:val="0038735C"/>
    <w:rsid w:val="00390BED"/>
    <w:rsid w:val="0039107C"/>
    <w:rsid w:val="00391837"/>
    <w:rsid w:val="003931D3"/>
    <w:rsid w:val="0039355A"/>
    <w:rsid w:val="0039388F"/>
    <w:rsid w:val="00394296"/>
    <w:rsid w:val="00395536"/>
    <w:rsid w:val="00396C34"/>
    <w:rsid w:val="00396DF2"/>
    <w:rsid w:val="003975A2"/>
    <w:rsid w:val="0039790E"/>
    <w:rsid w:val="003A120E"/>
    <w:rsid w:val="003A1D52"/>
    <w:rsid w:val="003A22B6"/>
    <w:rsid w:val="003A3F07"/>
    <w:rsid w:val="003A3FF0"/>
    <w:rsid w:val="003A6096"/>
    <w:rsid w:val="003A67F1"/>
    <w:rsid w:val="003B010A"/>
    <w:rsid w:val="003B04FA"/>
    <w:rsid w:val="003B125B"/>
    <w:rsid w:val="003B14B9"/>
    <w:rsid w:val="003B2312"/>
    <w:rsid w:val="003B5B3E"/>
    <w:rsid w:val="003B5D17"/>
    <w:rsid w:val="003B7237"/>
    <w:rsid w:val="003B7C44"/>
    <w:rsid w:val="003C2B14"/>
    <w:rsid w:val="003C3C2C"/>
    <w:rsid w:val="003C4010"/>
    <w:rsid w:val="003C68A8"/>
    <w:rsid w:val="003D0E04"/>
    <w:rsid w:val="003D499D"/>
    <w:rsid w:val="003D7BBC"/>
    <w:rsid w:val="003E1F82"/>
    <w:rsid w:val="003E241E"/>
    <w:rsid w:val="003E2D98"/>
    <w:rsid w:val="003E2E23"/>
    <w:rsid w:val="003E4DCF"/>
    <w:rsid w:val="003E68CA"/>
    <w:rsid w:val="003E7337"/>
    <w:rsid w:val="003E780B"/>
    <w:rsid w:val="003E7B65"/>
    <w:rsid w:val="003F046B"/>
    <w:rsid w:val="003F05FE"/>
    <w:rsid w:val="003F06DB"/>
    <w:rsid w:val="003F0835"/>
    <w:rsid w:val="003F104E"/>
    <w:rsid w:val="003F1AA3"/>
    <w:rsid w:val="003F3017"/>
    <w:rsid w:val="003F30E9"/>
    <w:rsid w:val="003F5074"/>
    <w:rsid w:val="003F77DA"/>
    <w:rsid w:val="0040037A"/>
    <w:rsid w:val="004009F2"/>
    <w:rsid w:val="004037B6"/>
    <w:rsid w:val="00406D3B"/>
    <w:rsid w:val="00407EE9"/>
    <w:rsid w:val="00410457"/>
    <w:rsid w:val="00410FDE"/>
    <w:rsid w:val="00411573"/>
    <w:rsid w:val="004128F5"/>
    <w:rsid w:val="00414944"/>
    <w:rsid w:val="00414C86"/>
    <w:rsid w:val="00414DC1"/>
    <w:rsid w:val="00416DDD"/>
    <w:rsid w:val="004178F0"/>
    <w:rsid w:val="00417AA4"/>
    <w:rsid w:val="00421EA1"/>
    <w:rsid w:val="004226F1"/>
    <w:rsid w:val="0042324A"/>
    <w:rsid w:val="004261F2"/>
    <w:rsid w:val="00426B73"/>
    <w:rsid w:val="004319A8"/>
    <w:rsid w:val="004325F9"/>
    <w:rsid w:val="00432868"/>
    <w:rsid w:val="004333DA"/>
    <w:rsid w:val="004362BD"/>
    <w:rsid w:val="00440E4E"/>
    <w:rsid w:val="0044122B"/>
    <w:rsid w:val="00446C14"/>
    <w:rsid w:val="00447DE3"/>
    <w:rsid w:val="004521A7"/>
    <w:rsid w:val="00452ED0"/>
    <w:rsid w:val="00453785"/>
    <w:rsid w:val="00453ED7"/>
    <w:rsid w:val="0045413A"/>
    <w:rsid w:val="00455878"/>
    <w:rsid w:val="00457029"/>
    <w:rsid w:val="00462485"/>
    <w:rsid w:val="00464B72"/>
    <w:rsid w:val="00465812"/>
    <w:rsid w:val="004660D1"/>
    <w:rsid w:val="00467516"/>
    <w:rsid w:val="004704C6"/>
    <w:rsid w:val="00470A3F"/>
    <w:rsid w:val="00471428"/>
    <w:rsid w:val="00474A1C"/>
    <w:rsid w:val="0047527D"/>
    <w:rsid w:val="00480AD3"/>
    <w:rsid w:val="004828E1"/>
    <w:rsid w:val="00483F31"/>
    <w:rsid w:val="00486022"/>
    <w:rsid w:val="00486CF1"/>
    <w:rsid w:val="00487A88"/>
    <w:rsid w:val="00491058"/>
    <w:rsid w:val="00491914"/>
    <w:rsid w:val="00491AFA"/>
    <w:rsid w:val="00491C14"/>
    <w:rsid w:val="004920E8"/>
    <w:rsid w:val="0049378B"/>
    <w:rsid w:val="00494196"/>
    <w:rsid w:val="00494EFD"/>
    <w:rsid w:val="004958D5"/>
    <w:rsid w:val="004A0A9C"/>
    <w:rsid w:val="004A15B3"/>
    <w:rsid w:val="004A2128"/>
    <w:rsid w:val="004A236F"/>
    <w:rsid w:val="004A4C6D"/>
    <w:rsid w:val="004A5149"/>
    <w:rsid w:val="004A7053"/>
    <w:rsid w:val="004B03F3"/>
    <w:rsid w:val="004B04AC"/>
    <w:rsid w:val="004B173B"/>
    <w:rsid w:val="004B2E6F"/>
    <w:rsid w:val="004B2E7B"/>
    <w:rsid w:val="004B64C1"/>
    <w:rsid w:val="004B7EB9"/>
    <w:rsid w:val="004C3FBA"/>
    <w:rsid w:val="004C4383"/>
    <w:rsid w:val="004C4386"/>
    <w:rsid w:val="004C7C2F"/>
    <w:rsid w:val="004D02D7"/>
    <w:rsid w:val="004D0385"/>
    <w:rsid w:val="004D2522"/>
    <w:rsid w:val="004D5C46"/>
    <w:rsid w:val="004D601A"/>
    <w:rsid w:val="004D6238"/>
    <w:rsid w:val="004E23A3"/>
    <w:rsid w:val="004E58BF"/>
    <w:rsid w:val="004E5C58"/>
    <w:rsid w:val="004E7335"/>
    <w:rsid w:val="004E7C56"/>
    <w:rsid w:val="004F148F"/>
    <w:rsid w:val="004F261E"/>
    <w:rsid w:val="004F27CC"/>
    <w:rsid w:val="004F2DE8"/>
    <w:rsid w:val="004F44E7"/>
    <w:rsid w:val="004F5A2D"/>
    <w:rsid w:val="004F5EEC"/>
    <w:rsid w:val="004F61C6"/>
    <w:rsid w:val="005014C0"/>
    <w:rsid w:val="00501AAA"/>
    <w:rsid w:val="00501B1B"/>
    <w:rsid w:val="00504E03"/>
    <w:rsid w:val="00504F6B"/>
    <w:rsid w:val="00504F97"/>
    <w:rsid w:val="005065E9"/>
    <w:rsid w:val="00506A2B"/>
    <w:rsid w:val="00507524"/>
    <w:rsid w:val="005103C2"/>
    <w:rsid w:val="00511203"/>
    <w:rsid w:val="005125EE"/>
    <w:rsid w:val="00513476"/>
    <w:rsid w:val="0051607F"/>
    <w:rsid w:val="005162E8"/>
    <w:rsid w:val="00516490"/>
    <w:rsid w:val="00522099"/>
    <w:rsid w:val="00524198"/>
    <w:rsid w:val="0052433B"/>
    <w:rsid w:val="00526C44"/>
    <w:rsid w:val="00530E11"/>
    <w:rsid w:val="005333FA"/>
    <w:rsid w:val="00534E5A"/>
    <w:rsid w:val="005356E5"/>
    <w:rsid w:val="00537D9B"/>
    <w:rsid w:val="00547FAB"/>
    <w:rsid w:val="00553AF3"/>
    <w:rsid w:val="00553D10"/>
    <w:rsid w:val="00555565"/>
    <w:rsid w:val="005560AB"/>
    <w:rsid w:val="0055637E"/>
    <w:rsid w:val="00556E25"/>
    <w:rsid w:val="00556EA8"/>
    <w:rsid w:val="00557E62"/>
    <w:rsid w:val="005606C3"/>
    <w:rsid w:val="00560B8F"/>
    <w:rsid w:val="00560CAF"/>
    <w:rsid w:val="00561D82"/>
    <w:rsid w:val="00562216"/>
    <w:rsid w:val="00562348"/>
    <w:rsid w:val="00564887"/>
    <w:rsid w:val="0056545F"/>
    <w:rsid w:val="005664A1"/>
    <w:rsid w:val="005714DD"/>
    <w:rsid w:val="00571F9F"/>
    <w:rsid w:val="00571FD9"/>
    <w:rsid w:val="005732F0"/>
    <w:rsid w:val="0057370B"/>
    <w:rsid w:val="005742B7"/>
    <w:rsid w:val="0057477C"/>
    <w:rsid w:val="00575873"/>
    <w:rsid w:val="00575C71"/>
    <w:rsid w:val="00584C15"/>
    <w:rsid w:val="00590046"/>
    <w:rsid w:val="00591A24"/>
    <w:rsid w:val="00591FA5"/>
    <w:rsid w:val="00594B8D"/>
    <w:rsid w:val="0059558B"/>
    <w:rsid w:val="005960E0"/>
    <w:rsid w:val="005973B2"/>
    <w:rsid w:val="00597C9B"/>
    <w:rsid w:val="005A03E1"/>
    <w:rsid w:val="005A0570"/>
    <w:rsid w:val="005A4619"/>
    <w:rsid w:val="005A5792"/>
    <w:rsid w:val="005A5B2C"/>
    <w:rsid w:val="005B18BD"/>
    <w:rsid w:val="005B32F5"/>
    <w:rsid w:val="005B337C"/>
    <w:rsid w:val="005B44CD"/>
    <w:rsid w:val="005B5DB1"/>
    <w:rsid w:val="005B6BC2"/>
    <w:rsid w:val="005C50DB"/>
    <w:rsid w:val="005C60D0"/>
    <w:rsid w:val="005C66A8"/>
    <w:rsid w:val="005C66DD"/>
    <w:rsid w:val="005C7923"/>
    <w:rsid w:val="005D0435"/>
    <w:rsid w:val="005D22D4"/>
    <w:rsid w:val="005D2663"/>
    <w:rsid w:val="005D3E30"/>
    <w:rsid w:val="005D548A"/>
    <w:rsid w:val="005D585F"/>
    <w:rsid w:val="005E419D"/>
    <w:rsid w:val="005E43AE"/>
    <w:rsid w:val="005E4AEE"/>
    <w:rsid w:val="005E5637"/>
    <w:rsid w:val="005E7A09"/>
    <w:rsid w:val="005F5F0E"/>
    <w:rsid w:val="005F78F7"/>
    <w:rsid w:val="00600064"/>
    <w:rsid w:val="006011AF"/>
    <w:rsid w:val="00602D14"/>
    <w:rsid w:val="00603258"/>
    <w:rsid w:val="00603A24"/>
    <w:rsid w:val="00606577"/>
    <w:rsid w:val="006068CC"/>
    <w:rsid w:val="00606A3E"/>
    <w:rsid w:val="00613973"/>
    <w:rsid w:val="006152BA"/>
    <w:rsid w:val="00615CD0"/>
    <w:rsid w:val="00621DDD"/>
    <w:rsid w:val="00622D12"/>
    <w:rsid w:val="00622DEE"/>
    <w:rsid w:val="006231B3"/>
    <w:rsid w:val="00624518"/>
    <w:rsid w:val="006263E4"/>
    <w:rsid w:val="00626427"/>
    <w:rsid w:val="00630987"/>
    <w:rsid w:val="00631CD6"/>
    <w:rsid w:val="0063259B"/>
    <w:rsid w:val="00632C79"/>
    <w:rsid w:val="00633D7D"/>
    <w:rsid w:val="00634C49"/>
    <w:rsid w:val="006358FB"/>
    <w:rsid w:val="00635C2A"/>
    <w:rsid w:val="00636F89"/>
    <w:rsid w:val="0064150B"/>
    <w:rsid w:val="00642830"/>
    <w:rsid w:val="00642FEA"/>
    <w:rsid w:val="00645E1A"/>
    <w:rsid w:val="006470EC"/>
    <w:rsid w:val="0064729F"/>
    <w:rsid w:val="006479A6"/>
    <w:rsid w:val="00650961"/>
    <w:rsid w:val="0065182B"/>
    <w:rsid w:val="00654921"/>
    <w:rsid w:val="00660070"/>
    <w:rsid w:val="00660875"/>
    <w:rsid w:val="0066161C"/>
    <w:rsid w:val="00661FB8"/>
    <w:rsid w:val="006626A1"/>
    <w:rsid w:val="006638D5"/>
    <w:rsid w:val="006652D0"/>
    <w:rsid w:val="00671B80"/>
    <w:rsid w:val="0067232D"/>
    <w:rsid w:val="006737B1"/>
    <w:rsid w:val="0067534B"/>
    <w:rsid w:val="006769AC"/>
    <w:rsid w:val="006770D2"/>
    <w:rsid w:val="0068024C"/>
    <w:rsid w:val="00680675"/>
    <w:rsid w:val="00681A9B"/>
    <w:rsid w:val="00683574"/>
    <w:rsid w:val="00684115"/>
    <w:rsid w:val="00685912"/>
    <w:rsid w:val="00685A61"/>
    <w:rsid w:val="0069273B"/>
    <w:rsid w:val="00695A7B"/>
    <w:rsid w:val="00696060"/>
    <w:rsid w:val="00697EAE"/>
    <w:rsid w:val="006A1DB0"/>
    <w:rsid w:val="006A24AC"/>
    <w:rsid w:val="006A29B6"/>
    <w:rsid w:val="006A3AA0"/>
    <w:rsid w:val="006A4F30"/>
    <w:rsid w:val="006B0A16"/>
    <w:rsid w:val="006B153F"/>
    <w:rsid w:val="006B18B5"/>
    <w:rsid w:val="006B1F86"/>
    <w:rsid w:val="006B2BB7"/>
    <w:rsid w:val="006B2C1B"/>
    <w:rsid w:val="006B6AD3"/>
    <w:rsid w:val="006B7813"/>
    <w:rsid w:val="006B7CA4"/>
    <w:rsid w:val="006B7EF5"/>
    <w:rsid w:val="006C09D6"/>
    <w:rsid w:val="006C26B2"/>
    <w:rsid w:val="006C3B25"/>
    <w:rsid w:val="006C4D6D"/>
    <w:rsid w:val="006C5100"/>
    <w:rsid w:val="006C61DC"/>
    <w:rsid w:val="006C6258"/>
    <w:rsid w:val="006C7016"/>
    <w:rsid w:val="006D0AF3"/>
    <w:rsid w:val="006D3F1C"/>
    <w:rsid w:val="006D420E"/>
    <w:rsid w:val="006D4974"/>
    <w:rsid w:val="006D5290"/>
    <w:rsid w:val="006D7873"/>
    <w:rsid w:val="006E0759"/>
    <w:rsid w:val="006E3EE2"/>
    <w:rsid w:val="006E5BCE"/>
    <w:rsid w:val="006E62AB"/>
    <w:rsid w:val="006E6E23"/>
    <w:rsid w:val="006E70C5"/>
    <w:rsid w:val="006E7EBC"/>
    <w:rsid w:val="006F18DA"/>
    <w:rsid w:val="006F205B"/>
    <w:rsid w:val="006F2D14"/>
    <w:rsid w:val="006F4FFF"/>
    <w:rsid w:val="007009D6"/>
    <w:rsid w:val="007022AE"/>
    <w:rsid w:val="007033A9"/>
    <w:rsid w:val="00704C7C"/>
    <w:rsid w:val="00707055"/>
    <w:rsid w:val="00711F4A"/>
    <w:rsid w:val="00712887"/>
    <w:rsid w:val="007159AA"/>
    <w:rsid w:val="007178A7"/>
    <w:rsid w:val="007179DE"/>
    <w:rsid w:val="00721569"/>
    <w:rsid w:val="007219C0"/>
    <w:rsid w:val="00723EE4"/>
    <w:rsid w:val="007255E9"/>
    <w:rsid w:val="00727AB5"/>
    <w:rsid w:val="00730BE7"/>
    <w:rsid w:val="00731BF3"/>
    <w:rsid w:val="007328D9"/>
    <w:rsid w:val="007340DD"/>
    <w:rsid w:val="007349F7"/>
    <w:rsid w:val="007375ED"/>
    <w:rsid w:val="00737B09"/>
    <w:rsid w:val="00742335"/>
    <w:rsid w:val="0074360F"/>
    <w:rsid w:val="0074436D"/>
    <w:rsid w:val="00745568"/>
    <w:rsid w:val="007503D1"/>
    <w:rsid w:val="00750E22"/>
    <w:rsid w:val="0075538D"/>
    <w:rsid w:val="007567EF"/>
    <w:rsid w:val="0075680D"/>
    <w:rsid w:val="00760BD3"/>
    <w:rsid w:val="00761627"/>
    <w:rsid w:val="007624C8"/>
    <w:rsid w:val="00762572"/>
    <w:rsid w:val="00763120"/>
    <w:rsid w:val="007672BA"/>
    <w:rsid w:val="00767C27"/>
    <w:rsid w:val="007708FC"/>
    <w:rsid w:val="00770B40"/>
    <w:rsid w:val="00770FA6"/>
    <w:rsid w:val="00772162"/>
    <w:rsid w:val="00773158"/>
    <w:rsid w:val="00776B17"/>
    <w:rsid w:val="00777EFC"/>
    <w:rsid w:val="0078208E"/>
    <w:rsid w:val="00783A18"/>
    <w:rsid w:val="00783CB8"/>
    <w:rsid w:val="00784730"/>
    <w:rsid w:val="00785F78"/>
    <w:rsid w:val="00790792"/>
    <w:rsid w:val="007907CD"/>
    <w:rsid w:val="00791BB0"/>
    <w:rsid w:val="0079210A"/>
    <w:rsid w:val="00793E2C"/>
    <w:rsid w:val="00793E3B"/>
    <w:rsid w:val="00794744"/>
    <w:rsid w:val="007966C1"/>
    <w:rsid w:val="007A00B9"/>
    <w:rsid w:val="007A0812"/>
    <w:rsid w:val="007A3665"/>
    <w:rsid w:val="007B04E9"/>
    <w:rsid w:val="007B04F7"/>
    <w:rsid w:val="007B54FB"/>
    <w:rsid w:val="007C12D7"/>
    <w:rsid w:val="007C3F92"/>
    <w:rsid w:val="007C7428"/>
    <w:rsid w:val="007D05D5"/>
    <w:rsid w:val="007D17D2"/>
    <w:rsid w:val="007D17F4"/>
    <w:rsid w:val="007D1F92"/>
    <w:rsid w:val="007D235D"/>
    <w:rsid w:val="007D4CC0"/>
    <w:rsid w:val="007D4F2F"/>
    <w:rsid w:val="007D504C"/>
    <w:rsid w:val="007D50DD"/>
    <w:rsid w:val="007D5F1F"/>
    <w:rsid w:val="007E1728"/>
    <w:rsid w:val="007E3077"/>
    <w:rsid w:val="007E500A"/>
    <w:rsid w:val="007E6201"/>
    <w:rsid w:val="007F1E0A"/>
    <w:rsid w:val="007F22D1"/>
    <w:rsid w:val="007F2BBD"/>
    <w:rsid w:val="007F423A"/>
    <w:rsid w:val="007F4DF8"/>
    <w:rsid w:val="007F7A3A"/>
    <w:rsid w:val="0080073D"/>
    <w:rsid w:val="0080135E"/>
    <w:rsid w:val="00801FC6"/>
    <w:rsid w:val="00804C2B"/>
    <w:rsid w:val="0080603F"/>
    <w:rsid w:val="008064DD"/>
    <w:rsid w:val="00806843"/>
    <w:rsid w:val="00806962"/>
    <w:rsid w:val="008069BE"/>
    <w:rsid w:val="008100EA"/>
    <w:rsid w:val="00810AF7"/>
    <w:rsid w:val="00813843"/>
    <w:rsid w:val="00815007"/>
    <w:rsid w:val="0081546F"/>
    <w:rsid w:val="00815C1B"/>
    <w:rsid w:val="008225F8"/>
    <w:rsid w:val="00823F9B"/>
    <w:rsid w:val="00825719"/>
    <w:rsid w:val="00830201"/>
    <w:rsid w:val="00831EDE"/>
    <w:rsid w:val="00832C0A"/>
    <w:rsid w:val="00832C8C"/>
    <w:rsid w:val="00833E6D"/>
    <w:rsid w:val="0083476D"/>
    <w:rsid w:val="00834EFB"/>
    <w:rsid w:val="008418E8"/>
    <w:rsid w:val="00841A07"/>
    <w:rsid w:val="0084378F"/>
    <w:rsid w:val="00843ED9"/>
    <w:rsid w:val="00844736"/>
    <w:rsid w:val="00844C58"/>
    <w:rsid w:val="008468B3"/>
    <w:rsid w:val="008476DC"/>
    <w:rsid w:val="00851D5F"/>
    <w:rsid w:val="00851ECF"/>
    <w:rsid w:val="008528A2"/>
    <w:rsid w:val="00855B3E"/>
    <w:rsid w:val="00856832"/>
    <w:rsid w:val="00857A34"/>
    <w:rsid w:val="00857F09"/>
    <w:rsid w:val="00862AE8"/>
    <w:rsid w:val="008641CA"/>
    <w:rsid w:val="00867BF9"/>
    <w:rsid w:val="00871411"/>
    <w:rsid w:val="00873683"/>
    <w:rsid w:val="00874A19"/>
    <w:rsid w:val="00882CF4"/>
    <w:rsid w:val="00882DB7"/>
    <w:rsid w:val="00885088"/>
    <w:rsid w:val="00885859"/>
    <w:rsid w:val="0088604C"/>
    <w:rsid w:val="00886C0A"/>
    <w:rsid w:val="0089051B"/>
    <w:rsid w:val="00890985"/>
    <w:rsid w:val="008918C9"/>
    <w:rsid w:val="0089391A"/>
    <w:rsid w:val="008945DA"/>
    <w:rsid w:val="00895409"/>
    <w:rsid w:val="00896B92"/>
    <w:rsid w:val="008A2F52"/>
    <w:rsid w:val="008A3CC9"/>
    <w:rsid w:val="008A4984"/>
    <w:rsid w:val="008A70B6"/>
    <w:rsid w:val="008B2586"/>
    <w:rsid w:val="008B2797"/>
    <w:rsid w:val="008B32A0"/>
    <w:rsid w:val="008B40A6"/>
    <w:rsid w:val="008B72C5"/>
    <w:rsid w:val="008C3CA5"/>
    <w:rsid w:val="008C498F"/>
    <w:rsid w:val="008D0978"/>
    <w:rsid w:val="008D1C0E"/>
    <w:rsid w:val="008D2420"/>
    <w:rsid w:val="008D7E1F"/>
    <w:rsid w:val="008D7FB1"/>
    <w:rsid w:val="008E020A"/>
    <w:rsid w:val="008E0D2E"/>
    <w:rsid w:val="008E18D0"/>
    <w:rsid w:val="008E4170"/>
    <w:rsid w:val="008E41E0"/>
    <w:rsid w:val="008E4C01"/>
    <w:rsid w:val="008E4DB5"/>
    <w:rsid w:val="008E5ABA"/>
    <w:rsid w:val="008E7C04"/>
    <w:rsid w:val="008F12A4"/>
    <w:rsid w:val="008F1EBB"/>
    <w:rsid w:val="008F24F3"/>
    <w:rsid w:val="008F26D6"/>
    <w:rsid w:val="008F3405"/>
    <w:rsid w:val="008F42FD"/>
    <w:rsid w:val="00900E28"/>
    <w:rsid w:val="00903FBD"/>
    <w:rsid w:val="0090535C"/>
    <w:rsid w:val="00906019"/>
    <w:rsid w:val="00906BD1"/>
    <w:rsid w:val="009070F0"/>
    <w:rsid w:val="009073B1"/>
    <w:rsid w:val="00910105"/>
    <w:rsid w:val="00913014"/>
    <w:rsid w:val="00913644"/>
    <w:rsid w:val="00915854"/>
    <w:rsid w:val="00917378"/>
    <w:rsid w:val="00917F2E"/>
    <w:rsid w:val="00920DA7"/>
    <w:rsid w:val="009210ED"/>
    <w:rsid w:val="00921A21"/>
    <w:rsid w:val="00921BCB"/>
    <w:rsid w:val="0092328E"/>
    <w:rsid w:val="00923851"/>
    <w:rsid w:val="00924F3E"/>
    <w:rsid w:val="0093521C"/>
    <w:rsid w:val="00935A66"/>
    <w:rsid w:val="00935CE3"/>
    <w:rsid w:val="009361B3"/>
    <w:rsid w:val="009361C2"/>
    <w:rsid w:val="00936531"/>
    <w:rsid w:val="00942119"/>
    <w:rsid w:val="00942AF6"/>
    <w:rsid w:val="0094351F"/>
    <w:rsid w:val="00945436"/>
    <w:rsid w:val="00947D4D"/>
    <w:rsid w:val="009504FE"/>
    <w:rsid w:val="0095079D"/>
    <w:rsid w:val="009515CD"/>
    <w:rsid w:val="00953D77"/>
    <w:rsid w:val="0095556A"/>
    <w:rsid w:val="00957BBA"/>
    <w:rsid w:val="00957BE5"/>
    <w:rsid w:val="009630BB"/>
    <w:rsid w:val="009632B9"/>
    <w:rsid w:val="009646DF"/>
    <w:rsid w:val="00965695"/>
    <w:rsid w:val="0096642F"/>
    <w:rsid w:val="0096691E"/>
    <w:rsid w:val="00967D88"/>
    <w:rsid w:val="00970A1F"/>
    <w:rsid w:val="009728FB"/>
    <w:rsid w:val="00972E5B"/>
    <w:rsid w:val="009738DE"/>
    <w:rsid w:val="00974BD8"/>
    <w:rsid w:val="00976BFE"/>
    <w:rsid w:val="0097717A"/>
    <w:rsid w:val="00977383"/>
    <w:rsid w:val="00980597"/>
    <w:rsid w:val="00981A22"/>
    <w:rsid w:val="00982600"/>
    <w:rsid w:val="00983964"/>
    <w:rsid w:val="00983D8D"/>
    <w:rsid w:val="009878A1"/>
    <w:rsid w:val="00987E8A"/>
    <w:rsid w:val="0099155D"/>
    <w:rsid w:val="00991D2F"/>
    <w:rsid w:val="00992C06"/>
    <w:rsid w:val="00993018"/>
    <w:rsid w:val="00994D79"/>
    <w:rsid w:val="00995C3C"/>
    <w:rsid w:val="00995D09"/>
    <w:rsid w:val="0099741E"/>
    <w:rsid w:val="009A0063"/>
    <w:rsid w:val="009A05AD"/>
    <w:rsid w:val="009A0998"/>
    <w:rsid w:val="009A4BD0"/>
    <w:rsid w:val="009A61FA"/>
    <w:rsid w:val="009A63D8"/>
    <w:rsid w:val="009A67E2"/>
    <w:rsid w:val="009B69D3"/>
    <w:rsid w:val="009B69FA"/>
    <w:rsid w:val="009B7C8D"/>
    <w:rsid w:val="009B7DCB"/>
    <w:rsid w:val="009C5A51"/>
    <w:rsid w:val="009C6D9C"/>
    <w:rsid w:val="009C7CA7"/>
    <w:rsid w:val="009D19C3"/>
    <w:rsid w:val="009D1A73"/>
    <w:rsid w:val="009D214B"/>
    <w:rsid w:val="009D59CF"/>
    <w:rsid w:val="009D6C4D"/>
    <w:rsid w:val="009E0670"/>
    <w:rsid w:val="009E0B49"/>
    <w:rsid w:val="009E0F77"/>
    <w:rsid w:val="009E4D14"/>
    <w:rsid w:val="009E51EC"/>
    <w:rsid w:val="009E7874"/>
    <w:rsid w:val="009F02E1"/>
    <w:rsid w:val="009F0377"/>
    <w:rsid w:val="009F04CC"/>
    <w:rsid w:val="009F4123"/>
    <w:rsid w:val="009F434C"/>
    <w:rsid w:val="009F5A3B"/>
    <w:rsid w:val="00A0078C"/>
    <w:rsid w:val="00A0084A"/>
    <w:rsid w:val="00A023AD"/>
    <w:rsid w:val="00A04901"/>
    <w:rsid w:val="00A0691A"/>
    <w:rsid w:val="00A128DC"/>
    <w:rsid w:val="00A1361E"/>
    <w:rsid w:val="00A154B7"/>
    <w:rsid w:val="00A16167"/>
    <w:rsid w:val="00A2107E"/>
    <w:rsid w:val="00A21E3F"/>
    <w:rsid w:val="00A24FF3"/>
    <w:rsid w:val="00A26327"/>
    <w:rsid w:val="00A347C5"/>
    <w:rsid w:val="00A4262B"/>
    <w:rsid w:val="00A4269A"/>
    <w:rsid w:val="00A43B20"/>
    <w:rsid w:val="00A43E45"/>
    <w:rsid w:val="00A4565E"/>
    <w:rsid w:val="00A47D88"/>
    <w:rsid w:val="00A508C9"/>
    <w:rsid w:val="00A50988"/>
    <w:rsid w:val="00A50C9B"/>
    <w:rsid w:val="00A511A4"/>
    <w:rsid w:val="00A51488"/>
    <w:rsid w:val="00A519A5"/>
    <w:rsid w:val="00A5204C"/>
    <w:rsid w:val="00A521B2"/>
    <w:rsid w:val="00A5258A"/>
    <w:rsid w:val="00A55267"/>
    <w:rsid w:val="00A60FA3"/>
    <w:rsid w:val="00A621EE"/>
    <w:rsid w:val="00A629F7"/>
    <w:rsid w:val="00A636EF"/>
    <w:rsid w:val="00A65583"/>
    <w:rsid w:val="00A664E4"/>
    <w:rsid w:val="00A73883"/>
    <w:rsid w:val="00A770B6"/>
    <w:rsid w:val="00A77B7E"/>
    <w:rsid w:val="00A77F90"/>
    <w:rsid w:val="00A8226D"/>
    <w:rsid w:val="00A84C47"/>
    <w:rsid w:val="00A90545"/>
    <w:rsid w:val="00A9252C"/>
    <w:rsid w:val="00A93784"/>
    <w:rsid w:val="00A94BE6"/>
    <w:rsid w:val="00A94FDD"/>
    <w:rsid w:val="00A957C1"/>
    <w:rsid w:val="00A95E04"/>
    <w:rsid w:val="00A968A5"/>
    <w:rsid w:val="00AA00A0"/>
    <w:rsid w:val="00AA0AA1"/>
    <w:rsid w:val="00AA16C6"/>
    <w:rsid w:val="00AA2758"/>
    <w:rsid w:val="00AA4C65"/>
    <w:rsid w:val="00AA5B5A"/>
    <w:rsid w:val="00AA5CB1"/>
    <w:rsid w:val="00AA60C8"/>
    <w:rsid w:val="00AA6AAC"/>
    <w:rsid w:val="00AB0F7F"/>
    <w:rsid w:val="00AB2378"/>
    <w:rsid w:val="00AB2740"/>
    <w:rsid w:val="00AB342E"/>
    <w:rsid w:val="00AB3736"/>
    <w:rsid w:val="00AB3934"/>
    <w:rsid w:val="00AB4E5D"/>
    <w:rsid w:val="00AB521E"/>
    <w:rsid w:val="00AB5347"/>
    <w:rsid w:val="00AC29F5"/>
    <w:rsid w:val="00AC3D8B"/>
    <w:rsid w:val="00AC534E"/>
    <w:rsid w:val="00AC6518"/>
    <w:rsid w:val="00AD1131"/>
    <w:rsid w:val="00AD2821"/>
    <w:rsid w:val="00AD32A6"/>
    <w:rsid w:val="00AD332F"/>
    <w:rsid w:val="00AD5D98"/>
    <w:rsid w:val="00AD7783"/>
    <w:rsid w:val="00AE12E6"/>
    <w:rsid w:val="00AE2C20"/>
    <w:rsid w:val="00AE304E"/>
    <w:rsid w:val="00AE32D7"/>
    <w:rsid w:val="00AE4171"/>
    <w:rsid w:val="00AE5B18"/>
    <w:rsid w:val="00AE5F46"/>
    <w:rsid w:val="00AE634F"/>
    <w:rsid w:val="00AE7966"/>
    <w:rsid w:val="00AE7C5C"/>
    <w:rsid w:val="00AF070C"/>
    <w:rsid w:val="00AF1CC2"/>
    <w:rsid w:val="00AF1F1A"/>
    <w:rsid w:val="00AF20B7"/>
    <w:rsid w:val="00AF6B36"/>
    <w:rsid w:val="00B029D3"/>
    <w:rsid w:val="00B03C22"/>
    <w:rsid w:val="00B04567"/>
    <w:rsid w:val="00B10017"/>
    <w:rsid w:val="00B11BCD"/>
    <w:rsid w:val="00B1230B"/>
    <w:rsid w:val="00B155E8"/>
    <w:rsid w:val="00B16775"/>
    <w:rsid w:val="00B16AB7"/>
    <w:rsid w:val="00B21B67"/>
    <w:rsid w:val="00B21CD8"/>
    <w:rsid w:val="00B25D2C"/>
    <w:rsid w:val="00B26475"/>
    <w:rsid w:val="00B277FF"/>
    <w:rsid w:val="00B321D4"/>
    <w:rsid w:val="00B34C65"/>
    <w:rsid w:val="00B35AD5"/>
    <w:rsid w:val="00B4265B"/>
    <w:rsid w:val="00B44950"/>
    <w:rsid w:val="00B45DEF"/>
    <w:rsid w:val="00B51E65"/>
    <w:rsid w:val="00B53340"/>
    <w:rsid w:val="00B57DF0"/>
    <w:rsid w:val="00B61890"/>
    <w:rsid w:val="00B619F5"/>
    <w:rsid w:val="00B62233"/>
    <w:rsid w:val="00B63396"/>
    <w:rsid w:val="00B65D71"/>
    <w:rsid w:val="00B67841"/>
    <w:rsid w:val="00B72E6C"/>
    <w:rsid w:val="00B73471"/>
    <w:rsid w:val="00B83AFA"/>
    <w:rsid w:val="00B8553F"/>
    <w:rsid w:val="00B85E9A"/>
    <w:rsid w:val="00B9157E"/>
    <w:rsid w:val="00B92964"/>
    <w:rsid w:val="00B92ABB"/>
    <w:rsid w:val="00B946D8"/>
    <w:rsid w:val="00B97835"/>
    <w:rsid w:val="00BA0F06"/>
    <w:rsid w:val="00BA31DC"/>
    <w:rsid w:val="00BA5783"/>
    <w:rsid w:val="00BA70AC"/>
    <w:rsid w:val="00BA7609"/>
    <w:rsid w:val="00BB1406"/>
    <w:rsid w:val="00BB155B"/>
    <w:rsid w:val="00BB15E9"/>
    <w:rsid w:val="00BB1C2B"/>
    <w:rsid w:val="00BB52BA"/>
    <w:rsid w:val="00BB7AFA"/>
    <w:rsid w:val="00BB7AFF"/>
    <w:rsid w:val="00BC1982"/>
    <w:rsid w:val="00BC309F"/>
    <w:rsid w:val="00BC6030"/>
    <w:rsid w:val="00BC6170"/>
    <w:rsid w:val="00BD00E9"/>
    <w:rsid w:val="00BD107A"/>
    <w:rsid w:val="00BD5844"/>
    <w:rsid w:val="00BE06C4"/>
    <w:rsid w:val="00BE0718"/>
    <w:rsid w:val="00BE097A"/>
    <w:rsid w:val="00BE1194"/>
    <w:rsid w:val="00BE1B32"/>
    <w:rsid w:val="00BE1B48"/>
    <w:rsid w:val="00BE7A4A"/>
    <w:rsid w:val="00BF1BA0"/>
    <w:rsid w:val="00BF70B8"/>
    <w:rsid w:val="00C003FF"/>
    <w:rsid w:val="00C014A2"/>
    <w:rsid w:val="00C01C84"/>
    <w:rsid w:val="00C0200A"/>
    <w:rsid w:val="00C02F04"/>
    <w:rsid w:val="00C03AE0"/>
    <w:rsid w:val="00C04531"/>
    <w:rsid w:val="00C052CE"/>
    <w:rsid w:val="00C05448"/>
    <w:rsid w:val="00C06255"/>
    <w:rsid w:val="00C118FE"/>
    <w:rsid w:val="00C11BC4"/>
    <w:rsid w:val="00C14751"/>
    <w:rsid w:val="00C15911"/>
    <w:rsid w:val="00C22392"/>
    <w:rsid w:val="00C25C10"/>
    <w:rsid w:val="00C30069"/>
    <w:rsid w:val="00C31946"/>
    <w:rsid w:val="00C31C5C"/>
    <w:rsid w:val="00C3416C"/>
    <w:rsid w:val="00C34201"/>
    <w:rsid w:val="00C35434"/>
    <w:rsid w:val="00C37B60"/>
    <w:rsid w:val="00C37D06"/>
    <w:rsid w:val="00C42364"/>
    <w:rsid w:val="00C50B84"/>
    <w:rsid w:val="00C50CE6"/>
    <w:rsid w:val="00C53776"/>
    <w:rsid w:val="00C53857"/>
    <w:rsid w:val="00C53910"/>
    <w:rsid w:val="00C55253"/>
    <w:rsid w:val="00C558EF"/>
    <w:rsid w:val="00C561CB"/>
    <w:rsid w:val="00C574FF"/>
    <w:rsid w:val="00C6256E"/>
    <w:rsid w:val="00C6432A"/>
    <w:rsid w:val="00C64786"/>
    <w:rsid w:val="00C6714D"/>
    <w:rsid w:val="00C6726B"/>
    <w:rsid w:val="00C70916"/>
    <w:rsid w:val="00C71E81"/>
    <w:rsid w:val="00C77660"/>
    <w:rsid w:val="00C77728"/>
    <w:rsid w:val="00C81EE9"/>
    <w:rsid w:val="00C83B9B"/>
    <w:rsid w:val="00C83D37"/>
    <w:rsid w:val="00C85446"/>
    <w:rsid w:val="00C86093"/>
    <w:rsid w:val="00C8798C"/>
    <w:rsid w:val="00C91165"/>
    <w:rsid w:val="00C91772"/>
    <w:rsid w:val="00C923A9"/>
    <w:rsid w:val="00C928E9"/>
    <w:rsid w:val="00C9485C"/>
    <w:rsid w:val="00C94E09"/>
    <w:rsid w:val="00C96864"/>
    <w:rsid w:val="00C97405"/>
    <w:rsid w:val="00CA30F2"/>
    <w:rsid w:val="00CA3629"/>
    <w:rsid w:val="00CA75ED"/>
    <w:rsid w:val="00CB0978"/>
    <w:rsid w:val="00CB0C69"/>
    <w:rsid w:val="00CB5B3E"/>
    <w:rsid w:val="00CB5C40"/>
    <w:rsid w:val="00CC1069"/>
    <w:rsid w:val="00CC437C"/>
    <w:rsid w:val="00CC5677"/>
    <w:rsid w:val="00CC5CE4"/>
    <w:rsid w:val="00CC62FC"/>
    <w:rsid w:val="00CD1D29"/>
    <w:rsid w:val="00CD38E4"/>
    <w:rsid w:val="00CD6FE8"/>
    <w:rsid w:val="00CD7878"/>
    <w:rsid w:val="00CE0D6E"/>
    <w:rsid w:val="00CE38A4"/>
    <w:rsid w:val="00CE4FB8"/>
    <w:rsid w:val="00CE5576"/>
    <w:rsid w:val="00CE64F9"/>
    <w:rsid w:val="00CE6B60"/>
    <w:rsid w:val="00CF169B"/>
    <w:rsid w:val="00CF3D10"/>
    <w:rsid w:val="00CF4829"/>
    <w:rsid w:val="00CF49CF"/>
    <w:rsid w:val="00CF7EAC"/>
    <w:rsid w:val="00D0086D"/>
    <w:rsid w:val="00D0246C"/>
    <w:rsid w:val="00D024F3"/>
    <w:rsid w:val="00D02A3A"/>
    <w:rsid w:val="00D10504"/>
    <w:rsid w:val="00D11243"/>
    <w:rsid w:val="00D14E3E"/>
    <w:rsid w:val="00D15075"/>
    <w:rsid w:val="00D1568B"/>
    <w:rsid w:val="00D244C9"/>
    <w:rsid w:val="00D2575B"/>
    <w:rsid w:val="00D26202"/>
    <w:rsid w:val="00D31FF1"/>
    <w:rsid w:val="00D32900"/>
    <w:rsid w:val="00D33544"/>
    <w:rsid w:val="00D350F0"/>
    <w:rsid w:val="00D360A6"/>
    <w:rsid w:val="00D40A11"/>
    <w:rsid w:val="00D411A1"/>
    <w:rsid w:val="00D4190C"/>
    <w:rsid w:val="00D4199D"/>
    <w:rsid w:val="00D41F9C"/>
    <w:rsid w:val="00D42930"/>
    <w:rsid w:val="00D443FF"/>
    <w:rsid w:val="00D448B0"/>
    <w:rsid w:val="00D45485"/>
    <w:rsid w:val="00D529E5"/>
    <w:rsid w:val="00D551EA"/>
    <w:rsid w:val="00D5715D"/>
    <w:rsid w:val="00D573F4"/>
    <w:rsid w:val="00D60314"/>
    <w:rsid w:val="00D6124D"/>
    <w:rsid w:val="00D62AA1"/>
    <w:rsid w:val="00D63407"/>
    <w:rsid w:val="00D63BFC"/>
    <w:rsid w:val="00D63D21"/>
    <w:rsid w:val="00D63D25"/>
    <w:rsid w:val="00D6554F"/>
    <w:rsid w:val="00D67167"/>
    <w:rsid w:val="00D7176D"/>
    <w:rsid w:val="00D7395C"/>
    <w:rsid w:val="00D8224A"/>
    <w:rsid w:val="00D825FC"/>
    <w:rsid w:val="00D82BDB"/>
    <w:rsid w:val="00D82FB1"/>
    <w:rsid w:val="00D84CBA"/>
    <w:rsid w:val="00D85D23"/>
    <w:rsid w:val="00D9014E"/>
    <w:rsid w:val="00D90A0D"/>
    <w:rsid w:val="00D90BD5"/>
    <w:rsid w:val="00D93DFA"/>
    <w:rsid w:val="00D94751"/>
    <w:rsid w:val="00D95426"/>
    <w:rsid w:val="00D963AE"/>
    <w:rsid w:val="00D964B0"/>
    <w:rsid w:val="00D97BD9"/>
    <w:rsid w:val="00DA10C5"/>
    <w:rsid w:val="00DA6A48"/>
    <w:rsid w:val="00DB23C0"/>
    <w:rsid w:val="00DB62B1"/>
    <w:rsid w:val="00DB7665"/>
    <w:rsid w:val="00DC23AF"/>
    <w:rsid w:val="00DC2527"/>
    <w:rsid w:val="00DC38E3"/>
    <w:rsid w:val="00DC3BA5"/>
    <w:rsid w:val="00DC4C6C"/>
    <w:rsid w:val="00DD03B1"/>
    <w:rsid w:val="00DD0F1A"/>
    <w:rsid w:val="00DD2FD0"/>
    <w:rsid w:val="00DD49D3"/>
    <w:rsid w:val="00DD66D0"/>
    <w:rsid w:val="00DD6DA5"/>
    <w:rsid w:val="00DE09CD"/>
    <w:rsid w:val="00DE11BA"/>
    <w:rsid w:val="00DE2B02"/>
    <w:rsid w:val="00DE42C9"/>
    <w:rsid w:val="00DE4583"/>
    <w:rsid w:val="00DE52BA"/>
    <w:rsid w:val="00DF025E"/>
    <w:rsid w:val="00DF167B"/>
    <w:rsid w:val="00DF4C74"/>
    <w:rsid w:val="00DF5DBF"/>
    <w:rsid w:val="00DF63E5"/>
    <w:rsid w:val="00DF6618"/>
    <w:rsid w:val="00E02DF7"/>
    <w:rsid w:val="00E0368E"/>
    <w:rsid w:val="00E04066"/>
    <w:rsid w:val="00E06CF0"/>
    <w:rsid w:val="00E16A5D"/>
    <w:rsid w:val="00E16B34"/>
    <w:rsid w:val="00E1752A"/>
    <w:rsid w:val="00E212A9"/>
    <w:rsid w:val="00E214EB"/>
    <w:rsid w:val="00E223B5"/>
    <w:rsid w:val="00E23EC6"/>
    <w:rsid w:val="00E25AAA"/>
    <w:rsid w:val="00E2747D"/>
    <w:rsid w:val="00E3049B"/>
    <w:rsid w:val="00E30C30"/>
    <w:rsid w:val="00E31C46"/>
    <w:rsid w:val="00E326D4"/>
    <w:rsid w:val="00E33768"/>
    <w:rsid w:val="00E350B0"/>
    <w:rsid w:val="00E42D11"/>
    <w:rsid w:val="00E457E8"/>
    <w:rsid w:val="00E47AF3"/>
    <w:rsid w:val="00E52CD8"/>
    <w:rsid w:val="00E5349B"/>
    <w:rsid w:val="00E53D19"/>
    <w:rsid w:val="00E56537"/>
    <w:rsid w:val="00E56E8B"/>
    <w:rsid w:val="00E60EE6"/>
    <w:rsid w:val="00E612A1"/>
    <w:rsid w:val="00E616B2"/>
    <w:rsid w:val="00E6357E"/>
    <w:rsid w:val="00E660F0"/>
    <w:rsid w:val="00E6654D"/>
    <w:rsid w:val="00E679A9"/>
    <w:rsid w:val="00E70494"/>
    <w:rsid w:val="00E70B7C"/>
    <w:rsid w:val="00E71641"/>
    <w:rsid w:val="00E73285"/>
    <w:rsid w:val="00E7512F"/>
    <w:rsid w:val="00E75476"/>
    <w:rsid w:val="00E75A24"/>
    <w:rsid w:val="00E770F7"/>
    <w:rsid w:val="00E80179"/>
    <w:rsid w:val="00E81A86"/>
    <w:rsid w:val="00E83FB7"/>
    <w:rsid w:val="00E84C75"/>
    <w:rsid w:val="00E87A9F"/>
    <w:rsid w:val="00E927BB"/>
    <w:rsid w:val="00E95C66"/>
    <w:rsid w:val="00E97DD8"/>
    <w:rsid w:val="00EA60A3"/>
    <w:rsid w:val="00EB0081"/>
    <w:rsid w:val="00EB0337"/>
    <w:rsid w:val="00EB048A"/>
    <w:rsid w:val="00EB24B6"/>
    <w:rsid w:val="00EB2A1B"/>
    <w:rsid w:val="00EB365C"/>
    <w:rsid w:val="00EB3B9A"/>
    <w:rsid w:val="00EC0F96"/>
    <w:rsid w:val="00EC2587"/>
    <w:rsid w:val="00EC3C69"/>
    <w:rsid w:val="00EC68F4"/>
    <w:rsid w:val="00EC6AF0"/>
    <w:rsid w:val="00ED1379"/>
    <w:rsid w:val="00ED23F7"/>
    <w:rsid w:val="00ED2466"/>
    <w:rsid w:val="00ED4604"/>
    <w:rsid w:val="00EE46D7"/>
    <w:rsid w:val="00EF2E91"/>
    <w:rsid w:val="00EF3028"/>
    <w:rsid w:val="00EF791A"/>
    <w:rsid w:val="00F00567"/>
    <w:rsid w:val="00F01B15"/>
    <w:rsid w:val="00F01BAA"/>
    <w:rsid w:val="00F01BF1"/>
    <w:rsid w:val="00F03EE5"/>
    <w:rsid w:val="00F105E2"/>
    <w:rsid w:val="00F117A0"/>
    <w:rsid w:val="00F12066"/>
    <w:rsid w:val="00F12B1C"/>
    <w:rsid w:val="00F12BD7"/>
    <w:rsid w:val="00F13597"/>
    <w:rsid w:val="00F20F62"/>
    <w:rsid w:val="00F21679"/>
    <w:rsid w:val="00F24F2B"/>
    <w:rsid w:val="00F267E0"/>
    <w:rsid w:val="00F272D2"/>
    <w:rsid w:val="00F279BB"/>
    <w:rsid w:val="00F3297E"/>
    <w:rsid w:val="00F33D04"/>
    <w:rsid w:val="00F341D4"/>
    <w:rsid w:val="00F34863"/>
    <w:rsid w:val="00F34BB6"/>
    <w:rsid w:val="00F35623"/>
    <w:rsid w:val="00F36995"/>
    <w:rsid w:val="00F36F63"/>
    <w:rsid w:val="00F37B87"/>
    <w:rsid w:val="00F44B9D"/>
    <w:rsid w:val="00F45082"/>
    <w:rsid w:val="00F4536C"/>
    <w:rsid w:val="00F477A8"/>
    <w:rsid w:val="00F47F75"/>
    <w:rsid w:val="00F50E7F"/>
    <w:rsid w:val="00F51370"/>
    <w:rsid w:val="00F515EB"/>
    <w:rsid w:val="00F52C06"/>
    <w:rsid w:val="00F53F2C"/>
    <w:rsid w:val="00F55029"/>
    <w:rsid w:val="00F61A25"/>
    <w:rsid w:val="00F61D29"/>
    <w:rsid w:val="00F65C8D"/>
    <w:rsid w:val="00F66669"/>
    <w:rsid w:val="00F672E5"/>
    <w:rsid w:val="00F67FB7"/>
    <w:rsid w:val="00F7214F"/>
    <w:rsid w:val="00F738A1"/>
    <w:rsid w:val="00F76569"/>
    <w:rsid w:val="00F77F80"/>
    <w:rsid w:val="00F84879"/>
    <w:rsid w:val="00F8536B"/>
    <w:rsid w:val="00F859E4"/>
    <w:rsid w:val="00F865DF"/>
    <w:rsid w:val="00F8671E"/>
    <w:rsid w:val="00F867F3"/>
    <w:rsid w:val="00F9017C"/>
    <w:rsid w:val="00F911BC"/>
    <w:rsid w:val="00F926CD"/>
    <w:rsid w:val="00F937EC"/>
    <w:rsid w:val="00F94992"/>
    <w:rsid w:val="00F94E22"/>
    <w:rsid w:val="00F94E48"/>
    <w:rsid w:val="00F952E7"/>
    <w:rsid w:val="00FA25C3"/>
    <w:rsid w:val="00FA3D8B"/>
    <w:rsid w:val="00FA4396"/>
    <w:rsid w:val="00FA4F95"/>
    <w:rsid w:val="00FA6B65"/>
    <w:rsid w:val="00FA7308"/>
    <w:rsid w:val="00FB0BE0"/>
    <w:rsid w:val="00FB1334"/>
    <w:rsid w:val="00FB20D1"/>
    <w:rsid w:val="00FB4F98"/>
    <w:rsid w:val="00FB6944"/>
    <w:rsid w:val="00FC0F1E"/>
    <w:rsid w:val="00FC4DDA"/>
    <w:rsid w:val="00FD63AA"/>
    <w:rsid w:val="00FD7AED"/>
    <w:rsid w:val="00FE0A5B"/>
    <w:rsid w:val="00FE17D5"/>
    <w:rsid w:val="00FE39F0"/>
    <w:rsid w:val="00FE4D39"/>
    <w:rsid w:val="00FE61CD"/>
    <w:rsid w:val="00FF114E"/>
    <w:rsid w:val="00FF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C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F2"/>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NoSpacingChar">
    <w:name w:val="No Spacing Char"/>
    <w:link w:val="NoSpacing"/>
    <w:uiPriority w:val="1"/>
    <w:locked/>
    <w:rsid w:val="00C0200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1F2"/>
    <w:pPr>
      <w:spacing w:after="200" w:line="276" w:lineRule="auto"/>
    </w:pPr>
    <w:rPr>
      <w:sz w:val="22"/>
      <w:szCs w:val="22"/>
    </w:rPr>
  </w:style>
  <w:style w:type="paragraph" w:styleId="Heading1">
    <w:name w:val="heading 1"/>
    <w:basedOn w:val="Normal"/>
    <w:next w:val="Normal"/>
    <w:qFormat/>
    <w:rsid w:val="002C138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1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171"/>
    <w:rPr>
      <w:rFonts w:ascii="Tahoma" w:hAnsi="Tahoma" w:cs="Tahoma"/>
      <w:sz w:val="16"/>
      <w:szCs w:val="16"/>
    </w:rPr>
  </w:style>
  <w:style w:type="paragraph" w:styleId="NoSpacing">
    <w:name w:val="No Spacing"/>
    <w:link w:val="NoSpacingChar"/>
    <w:uiPriority w:val="1"/>
    <w:qFormat/>
    <w:rsid w:val="00AE4171"/>
    <w:rPr>
      <w:sz w:val="22"/>
      <w:szCs w:val="22"/>
    </w:rPr>
  </w:style>
  <w:style w:type="table" w:styleId="TableGrid">
    <w:name w:val="Table Grid"/>
    <w:basedOn w:val="TableNormal"/>
    <w:rsid w:val="007A00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950F9"/>
    <w:rPr>
      <w:sz w:val="16"/>
      <w:szCs w:val="16"/>
    </w:rPr>
  </w:style>
  <w:style w:type="paragraph" w:styleId="CommentText">
    <w:name w:val="annotation text"/>
    <w:basedOn w:val="Normal"/>
    <w:semiHidden/>
    <w:rsid w:val="001950F9"/>
    <w:rPr>
      <w:sz w:val="20"/>
      <w:szCs w:val="20"/>
    </w:rPr>
  </w:style>
  <w:style w:type="paragraph" w:styleId="CommentSubject">
    <w:name w:val="annotation subject"/>
    <w:basedOn w:val="CommentText"/>
    <w:next w:val="CommentText"/>
    <w:semiHidden/>
    <w:rsid w:val="001950F9"/>
    <w:rPr>
      <w:b/>
      <w:bCs/>
    </w:rPr>
  </w:style>
  <w:style w:type="paragraph" w:styleId="Header">
    <w:name w:val="header"/>
    <w:basedOn w:val="Normal"/>
    <w:link w:val="HeaderChar"/>
    <w:uiPriority w:val="99"/>
    <w:unhideWhenUsed/>
    <w:rsid w:val="001E5F88"/>
    <w:pPr>
      <w:tabs>
        <w:tab w:val="center" w:pos="4680"/>
        <w:tab w:val="right" w:pos="9360"/>
      </w:tabs>
    </w:pPr>
  </w:style>
  <w:style w:type="character" w:customStyle="1" w:styleId="HeaderChar">
    <w:name w:val="Header Char"/>
    <w:link w:val="Header"/>
    <w:uiPriority w:val="99"/>
    <w:rsid w:val="001E5F88"/>
    <w:rPr>
      <w:sz w:val="22"/>
      <w:szCs w:val="22"/>
    </w:rPr>
  </w:style>
  <w:style w:type="paragraph" w:styleId="Footer">
    <w:name w:val="footer"/>
    <w:basedOn w:val="Normal"/>
    <w:link w:val="FooterChar"/>
    <w:uiPriority w:val="99"/>
    <w:unhideWhenUsed/>
    <w:rsid w:val="001E5F88"/>
    <w:pPr>
      <w:tabs>
        <w:tab w:val="center" w:pos="4680"/>
        <w:tab w:val="right" w:pos="9360"/>
      </w:tabs>
    </w:pPr>
  </w:style>
  <w:style w:type="character" w:customStyle="1" w:styleId="FooterChar">
    <w:name w:val="Footer Char"/>
    <w:link w:val="Footer"/>
    <w:uiPriority w:val="99"/>
    <w:rsid w:val="001E5F88"/>
    <w:rPr>
      <w:sz w:val="22"/>
      <w:szCs w:val="22"/>
    </w:rPr>
  </w:style>
  <w:style w:type="character" w:styleId="PageNumber">
    <w:name w:val="page number"/>
    <w:basedOn w:val="DefaultParagraphFont"/>
    <w:uiPriority w:val="99"/>
    <w:rsid w:val="00832C0A"/>
  </w:style>
  <w:style w:type="paragraph" w:styleId="BodyTextIndent">
    <w:name w:val="Body Text Indent"/>
    <w:basedOn w:val="Normal"/>
    <w:rsid w:val="00150F67"/>
    <w:pPr>
      <w:spacing w:after="0" w:line="240" w:lineRule="auto"/>
      <w:ind w:left="720"/>
    </w:pPr>
    <w:rPr>
      <w:rFonts w:ascii="Times New Roman" w:eastAsia="Times New Roman" w:hAnsi="Times New Roman"/>
      <w:sz w:val="20"/>
      <w:szCs w:val="20"/>
    </w:rPr>
  </w:style>
  <w:style w:type="paragraph" w:styleId="BodyText">
    <w:name w:val="Body Text"/>
    <w:basedOn w:val="Normal"/>
    <w:rsid w:val="00E95C66"/>
    <w:pPr>
      <w:spacing w:after="120" w:line="240" w:lineRule="auto"/>
    </w:pPr>
    <w:rPr>
      <w:rFonts w:ascii="Times New Roman" w:eastAsia="Times New Roman" w:hAnsi="Times New Roman"/>
      <w:sz w:val="20"/>
      <w:szCs w:val="20"/>
    </w:rPr>
  </w:style>
  <w:style w:type="character" w:styleId="Strong">
    <w:name w:val="Strong"/>
    <w:uiPriority w:val="22"/>
    <w:qFormat/>
    <w:rsid w:val="00E95C66"/>
    <w:rPr>
      <w:b/>
      <w:bCs/>
    </w:rPr>
  </w:style>
  <w:style w:type="character" w:styleId="Hyperlink">
    <w:name w:val="Hyperlink"/>
    <w:uiPriority w:val="99"/>
    <w:rsid w:val="00E95C66"/>
    <w:rPr>
      <w:strike w:val="0"/>
      <w:dstrike w:val="0"/>
      <w:color w:val="3333CC"/>
      <w:u w:val="none"/>
      <w:effect w:val="none"/>
    </w:rPr>
  </w:style>
  <w:style w:type="character" w:styleId="Emphasis">
    <w:name w:val="Emphasis"/>
    <w:uiPriority w:val="20"/>
    <w:qFormat/>
    <w:rsid w:val="00494196"/>
    <w:rPr>
      <w:i/>
      <w:iCs/>
    </w:rPr>
  </w:style>
  <w:style w:type="character" w:customStyle="1" w:styleId="hthree">
    <w:name w:val="hthree"/>
    <w:basedOn w:val="DefaultParagraphFont"/>
    <w:rsid w:val="00494196"/>
  </w:style>
  <w:style w:type="character" w:customStyle="1" w:styleId="hfour">
    <w:name w:val="hfour"/>
    <w:basedOn w:val="DefaultParagraphFont"/>
    <w:rsid w:val="00494196"/>
  </w:style>
  <w:style w:type="paragraph" w:styleId="NormalWeb">
    <w:name w:val="Normal (Web)"/>
    <w:basedOn w:val="Normal"/>
    <w:uiPriority w:val="99"/>
    <w:rsid w:val="00924F3E"/>
    <w:pPr>
      <w:spacing w:before="100" w:beforeAutospacing="1" w:after="100" w:afterAutospacing="1" w:line="240" w:lineRule="auto"/>
    </w:pPr>
    <w:rPr>
      <w:rFonts w:ascii="Times New Roman" w:eastAsia="Times New Roman" w:hAnsi="Times New Roman"/>
      <w:sz w:val="24"/>
      <w:szCs w:val="24"/>
    </w:rPr>
  </w:style>
  <w:style w:type="table" w:styleId="TableColorful3">
    <w:name w:val="Table Colorful 3"/>
    <w:basedOn w:val="TableNormal"/>
    <w:rsid w:val="006152BA"/>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52BA"/>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6152BA"/>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ize2">
    <w:name w:val="size2"/>
    <w:basedOn w:val="Normal"/>
    <w:rsid w:val="00227F5E"/>
    <w:pPr>
      <w:spacing w:before="100" w:beforeAutospacing="1" w:after="100" w:afterAutospacing="1" w:line="240" w:lineRule="auto"/>
    </w:pPr>
    <w:rPr>
      <w:rFonts w:ascii="Arial" w:eastAsia="Times New Roman" w:hAnsi="Arial" w:cs="Arial"/>
      <w:sz w:val="16"/>
      <w:szCs w:val="16"/>
    </w:rPr>
  </w:style>
  <w:style w:type="paragraph" w:styleId="ListParagraph">
    <w:name w:val="List Paragraph"/>
    <w:basedOn w:val="Normal"/>
    <w:uiPriority w:val="34"/>
    <w:qFormat/>
    <w:rsid w:val="005B337C"/>
    <w:pPr>
      <w:spacing w:after="0" w:line="240" w:lineRule="auto"/>
      <w:ind w:left="720"/>
    </w:pPr>
  </w:style>
  <w:style w:type="character" w:customStyle="1" w:styleId="deffont1">
    <w:name w:val="deffont1"/>
    <w:rsid w:val="00486CF1"/>
    <w:rPr>
      <w:rFonts w:ascii="Arial" w:hAnsi="Arial" w:cs="Arial" w:hint="default"/>
      <w:i w:val="0"/>
      <w:iCs w:val="0"/>
      <w:strike w:val="0"/>
      <w:dstrike w:val="0"/>
      <w:color w:val="454665"/>
      <w:sz w:val="20"/>
      <w:szCs w:val="20"/>
      <w:u w:val="none"/>
      <w:effect w:val="none"/>
    </w:rPr>
  </w:style>
  <w:style w:type="character" w:styleId="FollowedHyperlink">
    <w:name w:val="FollowedHyperlink"/>
    <w:uiPriority w:val="99"/>
    <w:rsid w:val="00C06255"/>
    <w:rPr>
      <w:color w:val="800080"/>
      <w:u w:val="single"/>
    </w:rPr>
  </w:style>
  <w:style w:type="paragraph" w:styleId="EndnoteText">
    <w:name w:val="endnote text"/>
    <w:basedOn w:val="Normal"/>
    <w:link w:val="EndnoteTextChar"/>
    <w:rsid w:val="006F2D14"/>
    <w:rPr>
      <w:sz w:val="20"/>
      <w:szCs w:val="20"/>
    </w:rPr>
  </w:style>
  <w:style w:type="character" w:customStyle="1" w:styleId="EndnoteTextChar">
    <w:name w:val="Endnote Text Char"/>
    <w:basedOn w:val="DefaultParagraphFont"/>
    <w:link w:val="EndnoteText"/>
    <w:rsid w:val="006F2D14"/>
  </w:style>
  <w:style w:type="character" w:styleId="EndnoteReference">
    <w:name w:val="endnote reference"/>
    <w:rsid w:val="006F2D14"/>
    <w:rPr>
      <w:vertAlign w:val="superscript"/>
    </w:rPr>
  </w:style>
  <w:style w:type="paragraph" w:styleId="Revision">
    <w:name w:val="Revision"/>
    <w:hidden/>
    <w:uiPriority w:val="99"/>
    <w:semiHidden/>
    <w:rsid w:val="008418E8"/>
    <w:rPr>
      <w:sz w:val="22"/>
      <w:szCs w:val="22"/>
    </w:rPr>
  </w:style>
  <w:style w:type="character" w:customStyle="1" w:styleId="st1">
    <w:name w:val="st1"/>
    <w:basedOn w:val="DefaultParagraphFont"/>
    <w:rsid w:val="0093521C"/>
  </w:style>
  <w:style w:type="character" w:customStyle="1" w:styleId="NoSpacingChar">
    <w:name w:val="No Spacing Char"/>
    <w:link w:val="NoSpacing"/>
    <w:uiPriority w:val="1"/>
    <w:locked/>
    <w:rsid w:val="00C0200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91">
      <w:bodyDiv w:val="1"/>
      <w:marLeft w:val="0"/>
      <w:marRight w:val="0"/>
      <w:marTop w:val="0"/>
      <w:marBottom w:val="0"/>
      <w:divBdr>
        <w:top w:val="none" w:sz="0" w:space="0" w:color="auto"/>
        <w:left w:val="none" w:sz="0" w:space="0" w:color="auto"/>
        <w:bottom w:val="none" w:sz="0" w:space="0" w:color="auto"/>
        <w:right w:val="none" w:sz="0" w:space="0" w:color="auto"/>
      </w:divBdr>
    </w:div>
    <w:div w:id="53507433">
      <w:bodyDiv w:val="1"/>
      <w:marLeft w:val="0"/>
      <w:marRight w:val="0"/>
      <w:marTop w:val="0"/>
      <w:marBottom w:val="0"/>
      <w:divBdr>
        <w:top w:val="none" w:sz="0" w:space="0" w:color="auto"/>
        <w:left w:val="none" w:sz="0" w:space="0" w:color="auto"/>
        <w:bottom w:val="none" w:sz="0" w:space="0" w:color="auto"/>
        <w:right w:val="none" w:sz="0" w:space="0" w:color="auto"/>
      </w:divBdr>
    </w:div>
    <w:div w:id="144319634">
      <w:bodyDiv w:val="1"/>
      <w:marLeft w:val="0"/>
      <w:marRight w:val="0"/>
      <w:marTop w:val="0"/>
      <w:marBottom w:val="0"/>
      <w:divBdr>
        <w:top w:val="none" w:sz="0" w:space="0" w:color="auto"/>
        <w:left w:val="none" w:sz="0" w:space="0" w:color="auto"/>
        <w:bottom w:val="none" w:sz="0" w:space="0" w:color="auto"/>
        <w:right w:val="none" w:sz="0" w:space="0" w:color="auto"/>
      </w:divBdr>
    </w:div>
    <w:div w:id="198511818">
      <w:bodyDiv w:val="1"/>
      <w:marLeft w:val="0"/>
      <w:marRight w:val="0"/>
      <w:marTop w:val="0"/>
      <w:marBottom w:val="0"/>
      <w:divBdr>
        <w:top w:val="none" w:sz="0" w:space="0" w:color="auto"/>
        <w:left w:val="none" w:sz="0" w:space="0" w:color="auto"/>
        <w:bottom w:val="none" w:sz="0" w:space="0" w:color="auto"/>
        <w:right w:val="none" w:sz="0" w:space="0" w:color="auto"/>
      </w:divBdr>
    </w:div>
    <w:div w:id="219678698">
      <w:bodyDiv w:val="1"/>
      <w:marLeft w:val="75"/>
      <w:marRight w:val="75"/>
      <w:marTop w:val="75"/>
      <w:marBottom w:val="75"/>
      <w:divBdr>
        <w:top w:val="none" w:sz="0" w:space="0" w:color="auto"/>
        <w:left w:val="none" w:sz="0" w:space="0" w:color="auto"/>
        <w:bottom w:val="none" w:sz="0" w:space="0" w:color="auto"/>
        <w:right w:val="none" w:sz="0" w:space="0" w:color="auto"/>
      </w:divBdr>
      <w:divsChild>
        <w:div w:id="163474443">
          <w:marLeft w:val="120"/>
          <w:marRight w:val="0"/>
          <w:marTop w:val="150"/>
          <w:marBottom w:val="0"/>
          <w:divBdr>
            <w:top w:val="none" w:sz="0" w:space="0" w:color="auto"/>
            <w:left w:val="none" w:sz="0" w:space="0" w:color="auto"/>
            <w:bottom w:val="none" w:sz="0" w:space="0" w:color="auto"/>
            <w:right w:val="none" w:sz="0" w:space="0" w:color="auto"/>
          </w:divBdr>
          <w:divsChild>
            <w:div w:id="4359076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44651476">
      <w:bodyDiv w:val="1"/>
      <w:marLeft w:val="0"/>
      <w:marRight w:val="0"/>
      <w:marTop w:val="0"/>
      <w:marBottom w:val="0"/>
      <w:divBdr>
        <w:top w:val="none" w:sz="0" w:space="0" w:color="auto"/>
        <w:left w:val="none" w:sz="0" w:space="0" w:color="auto"/>
        <w:bottom w:val="none" w:sz="0" w:space="0" w:color="auto"/>
        <w:right w:val="none" w:sz="0" w:space="0" w:color="auto"/>
      </w:divBdr>
    </w:div>
    <w:div w:id="259994430">
      <w:bodyDiv w:val="1"/>
      <w:marLeft w:val="0"/>
      <w:marRight w:val="0"/>
      <w:marTop w:val="0"/>
      <w:marBottom w:val="0"/>
      <w:divBdr>
        <w:top w:val="none" w:sz="0" w:space="0" w:color="auto"/>
        <w:left w:val="none" w:sz="0" w:space="0" w:color="auto"/>
        <w:bottom w:val="none" w:sz="0" w:space="0" w:color="auto"/>
        <w:right w:val="none" w:sz="0" w:space="0" w:color="auto"/>
      </w:divBdr>
    </w:div>
    <w:div w:id="465852534">
      <w:bodyDiv w:val="1"/>
      <w:marLeft w:val="0"/>
      <w:marRight w:val="0"/>
      <w:marTop w:val="0"/>
      <w:marBottom w:val="0"/>
      <w:divBdr>
        <w:top w:val="none" w:sz="0" w:space="0" w:color="auto"/>
        <w:left w:val="none" w:sz="0" w:space="0" w:color="auto"/>
        <w:bottom w:val="none" w:sz="0" w:space="0" w:color="auto"/>
        <w:right w:val="none" w:sz="0" w:space="0" w:color="auto"/>
      </w:divBdr>
    </w:div>
    <w:div w:id="499391635">
      <w:bodyDiv w:val="1"/>
      <w:marLeft w:val="0"/>
      <w:marRight w:val="0"/>
      <w:marTop w:val="0"/>
      <w:marBottom w:val="0"/>
      <w:divBdr>
        <w:top w:val="none" w:sz="0" w:space="0" w:color="auto"/>
        <w:left w:val="none" w:sz="0" w:space="0" w:color="auto"/>
        <w:bottom w:val="none" w:sz="0" w:space="0" w:color="auto"/>
        <w:right w:val="none" w:sz="0" w:space="0" w:color="auto"/>
      </w:divBdr>
    </w:div>
    <w:div w:id="548146174">
      <w:bodyDiv w:val="1"/>
      <w:marLeft w:val="0"/>
      <w:marRight w:val="0"/>
      <w:marTop w:val="0"/>
      <w:marBottom w:val="0"/>
      <w:divBdr>
        <w:top w:val="none" w:sz="0" w:space="0" w:color="auto"/>
        <w:left w:val="none" w:sz="0" w:space="0" w:color="auto"/>
        <w:bottom w:val="none" w:sz="0" w:space="0" w:color="auto"/>
        <w:right w:val="none" w:sz="0" w:space="0" w:color="auto"/>
      </w:divBdr>
    </w:div>
    <w:div w:id="564952378">
      <w:bodyDiv w:val="1"/>
      <w:marLeft w:val="0"/>
      <w:marRight w:val="0"/>
      <w:marTop w:val="0"/>
      <w:marBottom w:val="0"/>
      <w:divBdr>
        <w:top w:val="none" w:sz="0" w:space="0" w:color="auto"/>
        <w:left w:val="none" w:sz="0" w:space="0" w:color="auto"/>
        <w:bottom w:val="none" w:sz="0" w:space="0" w:color="auto"/>
        <w:right w:val="none" w:sz="0" w:space="0" w:color="auto"/>
      </w:divBdr>
    </w:div>
    <w:div w:id="643386580">
      <w:bodyDiv w:val="1"/>
      <w:marLeft w:val="0"/>
      <w:marRight w:val="0"/>
      <w:marTop w:val="0"/>
      <w:marBottom w:val="0"/>
      <w:divBdr>
        <w:top w:val="none" w:sz="0" w:space="0" w:color="auto"/>
        <w:left w:val="none" w:sz="0" w:space="0" w:color="auto"/>
        <w:bottom w:val="none" w:sz="0" w:space="0" w:color="auto"/>
        <w:right w:val="none" w:sz="0" w:space="0" w:color="auto"/>
      </w:divBdr>
    </w:div>
    <w:div w:id="677200387">
      <w:bodyDiv w:val="1"/>
      <w:marLeft w:val="0"/>
      <w:marRight w:val="0"/>
      <w:marTop w:val="0"/>
      <w:marBottom w:val="0"/>
      <w:divBdr>
        <w:top w:val="none" w:sz="0" w:space="0" w:color="auto"/>
        <w:left w:val="none" w:sz="0" w:space="0" w:color="auto"/>
        <w:bottom w:val="none" w:sz="0" w:space="0" w:color="auto"/>
        <w:right w:val="none" w:sz="0" w:space="0" w:color="auto"/>
      </w:divBdr>
    </w:div>
    <w:div w:id="836114392">
      <w:bodyDiv w:val="1"/>
      <w:marLeft w:val="0"/>
      <w:marRight w:val="0"/>
      <w:marTop w:val="0"/>
      <w:marBottom w:val="0"/>
      <w:divBdr>
        <w:top w:val="none" w:sz="0" w:space="0" w:color="auto"/>
        <w:left w:val="none" w:sz="0" w:space="0" w:color="auto"/>
        <w:bottom w:val="none" w:sz="0" w:space="0" w:color="auto"/>
        <w:right w:val="none" w:sz="0" w:space="0" w:color="auto"/>
      </w:divBdr>
    </w:div>
    <w:div w:id="876350974">
      <w:bodyDiv w:val="1"/>
      <w:marLeft w:val="0"/>
      <w:marRight w:val="0"/>
      <w:marTop w:val="0"/>
      <w:marBottom w:val="0"/>
      <w:divBdr>
        <w:top w:val="none" w:sz="0" w:space="0" w:color="auto"/>
        <w:left w:val="none" w:sz="0" w:space="0" w:color="auto"/>
        <w:bottom w:val="none" w:sz="0" w:space="0" w:color="auto"/>
        <w:right w:val="none" w:sz="0" w:space="0" w:color="auto"/>
      </w:divBdr>
    </w:div>
    <w:div w:id="876816554">
      <w:bodyDiv w:val="1"/>
      <w:marLeft w:val="75"/>
      <w:marRight w:val="75"/>
      <w:marTop w:val="75"/>
      <w:marBottom w:val="75"/>
      <w:divBdr>
        <w:top w:val="none" w:sz="0" w:space="0" w:color="auto"/>
        <w:left w:val="none" w:sz="0" w:space="0" w:color="auto"/>
        <w:bottom w:val="none" w:sz="0" w:space="0" w:color="auto"/>
        <w:right w:val="none" w:sz="0" w:space="0" w:color="auto"/>
      </w:divBdr>
      <w:divsChild>
        <w:div w:id="426342413">
          <w:marLeft w:val="120"/>
          <w:marRight w:val="0"/>
          <w:marTop w:val="150"/>
          <w:marBottom w:val="0"/>
          <w:divBdr>
            <w:top w:val="none" w:sz="0" w:space="0" w:color="auto"/>
            <w:left w:val="none" w:sz="0" w:space="0" w:color="auto"/>
            <w:bottom w:val="none" w:sz="0" w:space="0" w:color="auto"/>
            <w:right w:val="none" w:sz="0" w:space="0" w:color="auto"/>
          </w:divBdr>
          <w:divsChild>
            <w:div w:id="130751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88827090">
      <w:bodyDiv w:val="1"/>
      <w:marLeft w:val="0"/>
      <w:marRight w:val="0"/>
      <w:marTop w:val="0"/>
      <w:marBottom w:val="0"/>
      <w:divBdr>
        <w:top w:val="none" w:sz="0" w:space="0" w:color="auto"/>
        <w:left w:val="none" w:sz="0" w:space="0" w:color="auto"/>
        <w:bottom w:val="none" w:sz="0" w:space="0" w:color="auto"/>
        <w:right w:val="none" w:sz="0" w:space="0" w:color="auto"/>
      </w:divBdr>
    </w:div>
    <w:div w:id="1010059386">
      <w:bodyDiv w:val="1"/>
      <w:marLeft w:val="0"/>
      <w:marRight w:val="0"/>
      <w:marTop w:val="0"/>
      <w:marBottom w:val="0"/>
      <w:divBdr>
        <w:top w:val="none" w:sz="0" w:space="0" w:color="auto"/>
        <w:left w:val="none" w:sz="0" w:space="0" w:color="auto"/>
        <w:bottom w:val="none" w:sz="0" w:space="0" w:color="auto"/>
        <w:right w:val="none" w:sz="0" w:space="0" w:color="auto"/>
      </w:divBdr>
    </w:div>
    <w:div w:id="1034503661">
      <w:bodyDiv w:val="1"/>
      <w:marLeft w:val="0"/>
      <w:marRight w:val="0"/>
      <w:marTop w:val="0"/>
      <w:marBottom w:val="0"/>
      <w:divBdr>
        <w:top w:val="none" w:sz="0" w:space="0" w:color="auto"/>
        <w:left w:val="none" w:sz="0" w:space="0" w:color="auto"/>
        <w:bottom w:val="none" w:sz="0" w:space="0" w:color="auto"/>
        <w:right w:val="none" w:sz="0" w:space="0" w:color="auto"/>
      </w:divBdr>
    </w:div>
    <w:div w:id="1205943743">
      <w:bodyDiv w:val="1"/>
      <w:marLeft w:val="0"/>
      <w:marRight w:val="0"/>
      <w:marTop w:val="0"/>
      <w:marBottom w:val="0"/>
      <w:divBdr>
        <w:top w:val="none" w:sz="0" w:space="0" w:color="auto"/>
        <w:left w:val="none" w:sz="0" w:space="0" w:color="auto"/>
        <w:bottom w:val="none" w:sz="0" w:space="0" w:color="auto"/>
        <w:right w:val="none" w:sz="0" w:space="0" w:color="auto"/>
      </w:divBdr>
    </w:div>
    <w:div w:id="1231768207">
      <w:bodyDiv w:val="1"/>
      <w:marLeft w:val="0"/>
      <w:marRight w:val="0"/>
      <w:marTop w:val="0"/>
      <w:marBottom w:val="0"/>
      <w:divBdr>
        <w:top w:val="none" w:sz="0" w:space="0" w:color="auto"/>
        <w:left w:val="none" w:sz="0" w:space="0" w:color="auto"/>
        <w:bottom w:val="none" w:sz="0" w:space="0" w:color="auto"/>
        <w:right w:val="none" w:sz="0" w:space="0" w:color="auto"/>
      </w:divBdr>
    </w:div>
    <w:div w:id="1253590211">
      <w:bodyDiv w:val="1"/>
      <w:marLeft w:val="0"/>
      <w:marRight w:val="0"/>
      <w:marTop w:val="0"/>
      <w:marBottom w:val="0"/>
      <w:divBdr>
        <w:top w:val="none" w:sz="0" w:space="0" w:color="auto"/>
        <w:left w:val="none" w:sz="0" w:space="0" w:color="auto"/>
        <w:bottom w:val="none" w:sz="0" w:space="0" w:color="auto"/>
        <w:right w:val="none" w:sz="0" w:space="0" w:color="auto"/>
      </w:divBdr>
    </w:div>
    <w:div w:id="1427507022">
      <w:bodyDiv w:val="1"/>
      <w:marLeft w:val="0"/>
      <w:marRight w:val="0"/>
      <w:marTop w:val="0"/>
      <w:marBottom w:val="0"/>
      <w:divBdr>
        <w:top w:val="none" w:sz="0" w:space="0" w:color="auto"/>
        <w:left w:val="none" w:sz="0" w:space="0" w:color="auto"/>
        <w:bottom w:val="none" w:sz="0" w:space="0" w:color="auto"/>
        <w:right w:val="none" w:sz="0" w:space="0" w:color="auto"/>
      </w:divBdr>
    </w:div>
    <w:div w:id="1428622193">
      <w:bodyDiv w:val="1"/>
      <w:marLeft w:val="75"/>
      <w:marRight w:val="75"/>
      <w:marTop w:val="75"/>
      <w:marBottom w:val="75"/>
      <w:divBdr>
        <w:top w:val="none" w:sz="0" w:space="0" w:color="auto"/>
        <w:left w:val="none" w:sz="0" w:space="0" w:color="auto"/>
        <w:bottom w:val="none" w:sz="0" w:space="0" w:color="auto"/>
        <w:right w:val="none" w:sz="0" w:space="0" w:color="auto"/>
      </w:divBdr>
      <w:divsChild>
        <w:div w:id="2138720507">
          <w:marLeft w:val="120"/>
          <w:marRight w:val="0"/>
          <w:marTop w:val="150"/>
          <w:marBottom w:val="0"/>
          <w:divBdr>
            <w:top w:val="none" w:sz="0" w:space="0" w:color="auto"/>
            <w:left w:val="none" w:sz="0" w:space="0" w:color="auto"/>
            <w:bottom w:val="none" w:sz="0" w:space="0" w:color="auto"/>
            <w:right w:val="none" w:sz="0" w:space="0" w:color="auto"/>
          </w:divBdr>
          <w:divsChild>
            <w:div w:id="1683780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9882882">
      <w:bodyDiv w:val="1"/>
      <w:marLeft w:val="75"/>
      <w:marRight w:val="75"/>
      <w:marTop w:val="75"/>
      <w:marBottom w:val="75"/>
      <w:divBdr>
        <w:top w:val="none" w:sz="0" w:space="0" w:color="auto"/>
        <w:left w:val="none" w:sz="0" w:space="0" w:color="auto"/>
        <w:bottom w:val="none" w:sz="0" w:space="0" w:color="auto"/>
        <w:right w:val="none" w:sz="0" w:space="0" w:color="auto"/>
      </w:divBdr>
      <w:divsChild>
        <w:div w:id="1627539513">
          <w:marLeft w:val="120"/>
          <w:marRight w:val="0"/>
          <w:marTop w:val="150"/>
          <w:marBottom w:val="0"/>
          <w:divBdr>
            <w:top w:val="none" w:sz="0" w:space="0" w:color="auto"/>
            <w:left w:val="none" w:sz="0" w:space="0" w:color="auto"/>
            <w:bottom w:val="none" w:sz="0" w:space="0" w:color="auto"/>
            <w:right w:val="none" w:sz="0" w:space="0" w:color="auto"/>
          </w:divBdr>
          <w:divsChild>
            <w:div w:id="2215237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0500215">
      <w:bodyDiv w:val="1"/>
      <w:marLeft w:val="0"/>
      <w:marRight w:val="0"/>
      <w:marTop w:val="0"/>
      <w:marBottom w:val="0"/>
      <w:divBdr>
        <w:top w:val="none" w:sz="0" w:space="0" w:color="auto"/>
        <w:left w:val="none" w:sz="0" w:space="0" w:color="auto"/>
        <w:bottom w:val="none" w:sz="0" w:space="0" w:color="auto"/>
        <w:right w:val="none" w:sz="0" w:space="0" w:color="auto"/>
      </w:divBdr>
    </w:div>
    <w:div w:id="1679428977">
      <w:bodyDiv w:val="1"/>
      <w:marLeft w:val="0"/>
      <w:marRight w:val="0"/>
      <w:marTop w:val="0"/>
      <w:marBottom w:val="0"/>
      <w:divBdr>
        <w:top w:val="none" w:sz="0" w:space="0" w:color="auto"/>
        <w:left w:val="none" w:sz="0" w:space="0" w:color="auto"/>
        <w:bottom w:val="none" w:sz="0" w:space="0" w:color="auto"/>
        <w:right w:val="none" w:sz="0" w:space="0" w:color="auto"/>
      </w:divBdr>
    </w:div>
    <w:div w:id="1828738883">
      <w:bodyDiv w:val="1"/>
      <w:marLeft w:val="0"/>
      <w:marRight w:val="0"/>
      <w:marTop w:val="0"/>
      <w:marBottom w:val="0"/>
      <w:divBdr>
        <w:top w:val="none" w:sz="0" w:space="0" w:color="auto"/>
        <w:left w:val="none" w:sz="0" w:space="0" w:color="auto"/>
        <w:bottom w:val="none" w:sz="0" w:space="0" w:color="auto"/>
        <w:right w:val="none" w:sz="0" w:space="0" w:color="auto"/>
      </w:divBdr>
      <w:divsChild>
        <w:div w:id="243686292">
          <w:marLeft w:val="0"/>
          <w:marRight w:val="0"/>
          <w:marTop w:val="0"/>
          <w:marBottom w:val="0"/>
          <w:divBdr>
            <w:top w:val="none" w:sz="0" w:space="0" w:color="auto"/>
            <w:left w:val="none" w:sz="0" w:space="0" w:color="auto"/>
            <w:bottom w:val="none" w:sz="0" w:space="0" w:color="auto"/>
            <w:right w:val="none" w:sz="0" w:space="0" w:color="auto"/>
          </w:divBdr>
          <w:divsChild>
            <w:div w:id="349798122">
              <w:marLeft w:val="0"/>
              <w:marRight w:val="0"/>
              <w:marTop w:val="0"/>
              <w:marBottom w:val="0"/>
              <w:divBdr>
                <w:top w:val="none" w:sz="0" w:space="0" w:color="auto"/>
                <w:left w:val="none" w:sz="0" w:space="0" w:color="auto"/>
                <w:bottom w:val="none" w:sz="0" w:space="0" w:color="auto"/>
                <w:right w:val="none" w:sz="0" w:space="0" w:color="auto"/>
              </w:divBdr>
              <w:divsChild>
                <w:div w:id="325598631">
                  <w:marLeft w:val="0"/>
                  <w:marRight w:val="0"/>
                  <w:marTop w:val="0"/>
                  <w:marBottom w:val="0"/>
                  <w:divBdr>
                    <w:top w:val="none" w:sz="0" w:space="0" w:color="auto"/>
                    <w:left w:val="none" w:sz="0" w:space="0" w:color="auto"/>
                    <w:bottom w:val="none" w:sz="0" w:space="0" w:color="auto"/>
                    <w:right w:val="none" w:sz="0" w:space="0" w:color="auto"/>
                  </w:divBdr>
                </w:div>
                <w:div w:id="996960222">
                  <w:marLeft w:val="0"/>
                  <w:marRight w:val="0"/>
                  <w:marTop w:val="0"/>
                  <w:marBottom w:val="0"/>
                  <w:divBdr>
                    <w:top w:val="none" w:sz="0" w:space="0" w:color="auto"/>
                    <w:left w:val="none" w:sz="0" w:space="0" w:color="auto"/>
                    <w:bottom w:val="none" w:sz="0" w:space="0" w:color="auto"/>
                    <w:right w:val="none" w:sz="0" w:space="0" w:color="auto"/>
                  </w:divBdr>
                </w:div>
                <w:div w:id="1343160979">
                  <w:marLeft w:val="0"/>
                  <w:marRight w:val="0"/>
                  <w:marTop w:val="0"/>
                  <w:marBottom w:val="0"/>
                  <w:divBdr>
                    <w:top w:val="none" w:sz="0" w:space="0" w:color="auto"/>
                    <w:left w:val="none" w:sz="0" w:space="0" w:color="auto"/>
                    <w:bottom w:val="none" w:sz="0" w:space="0" w:color="auto"/>
                    <w:right w:val="none" w:sz="0" w:space="0" w:color="auto"/>
                  </w:divBdr>
                </w:div>
                <w:div w:id="1371681691">
                  <w:marLeft w:val="0"/>
                  <w:marRight w:val="0"/>
                  <w:marTop w:val="0"/>
                  <w:marBottom w:val="0"/>
                  <w:divBdr>
                    <w:top w:val="none" w:sz="0" w:space="0" w:color="auto"/>
                    <w:left w:val="none" w:sz="0" w:space="0" w:color="auto"/>
                    <w:bottom w:val="none" w:sz="0" w:space="0" w:color="auto"/>
                    <w:right w:val="none" w:sz="0" w:space="0" w:color="auto"/>
                  </w:divBdr>
                </w:div>
                <w:div w:id="1447578800">
                  <w:marLeft w:val="0"/>
                  <w:marRight w:val="0"/>
                  <w:marTop w:val="0"/>
                  <w:marBottom w:val="0"/>
                  <w:divBdr>
                    <w:top w:val="none" w:sz="0" w:space="0" w:color="auto"/>
                    <w:left w:val="none" w:sz="0" w:space="0" w:color="auto"/>
                    <w:bottom w:val="none" w:sz="0" w:space="0" w:color="auto"/>
                    <w:right w:val="none" w:sz="0" w:space="0" w:color="auto"/>
                  </w:divBdr>
                </w:div>
                <w:div w:id="1586457930">
                  <w:marLeft w:val="0"/>
                  <w:marRight w:val="0"/>
                  <w:marTop w:val="0"/>
                  <w:marBottom w:val="0"/>
                  <w:divBdr>
                    <w:top w:val="none" w:sz="0" w:space="0" w:color="auto"/>
                    <w:left w:val="none" w:sz="0" w:space="0" w:color="auto"/>
                    <w:bottom w:val="none" w:sz="0" w:space="0" w:color="auto"/>
                    <w:right w:val="none" w:sz="0" w:space="0" w:color="auto"/>
                  </w:divBdr>
                </w:div>
                <w:div w:id="1707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2885">
      <w:bodyDiv w:val="1"/>
      <w:marLeft w:val="0"/>
      <w:marRight w:val="0"/>
      <w:marTop w:val="0"/>
      <w:marBottom w:val="0"/>
      <w:divBdr>
        <w:top w:val="none" w:sz="0" w:space="0" w:color="auto"/>
        <w:left w:val="none" w:sz="0" w:space="0" w:color="auto"/>
        <w:bottom w:val="none" w:sz="0" w:space="0" w:color="auto"/>
        <w:right w:val="none" w:sz="0" w:space="0" w:color="auto"/>
      </w:divBdr>
    </w:div>
    <w:div w:id="20868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ode="External" Target="http://www.accessdata.fda.gov/scripts/cder/rems/index.cfm"/>
  <Relationship Id="rId15" Type="http://schemas.openxmlformats.org/officeDocument/2006/relationships/hyperlink" TargetMode="External" Target="http://www.micromedexsolutions.com/"/>
  <Relationship Id="rId16" Type="http://schemas.openxmlformats.org/officeDocument/2006/relationships/footer" Target="footer4.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er3.xml.rels><?xml version="1.0" encoding="UTF-8"?>

<Relationships xmlns="http://schemas.openxmlformats.org/package/2006/relationships">
  <Relationship Id="rId1" Type="http://schemas.openxmlformats.org/officeDocument/2006/relationships/image" Target="media/image1.png"/>
</Relationships>

</file>

<file path=word/_rels/footer4.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BEF3-0C3B-4A51-8208-3529D00F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11497</Words>
  <Characters>65539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New Drug Review</vt:lpstr>
    </vt:vector>
  </TitlesOfParts>
  <Company>UMASSMED</Company>
  <LinksUpToDate>false</LinksUpToDate>
  <CharactersWithSpaces>76883</CharactersWithSpaces>
  <SharedDoc>false</SharedDoc>
  <HLinks>
    <vt:vector size="222" baseType="variant">
      <vt:variant>
        <vt:i4>6029324</vt:i4>
      </vt:variant>
      <vt:variant>
        <vt:i4>54</vt:i4>
      </vt:variant>
      <vt:variant>
        <vt:i4>0</vt:i4>
      </vt:variant>
      <vt:variant>
        <vt:i4>5</vt:i4>
      </vt:variant>
      <vt:variant>
        <vt:lpwstr>http://www.ahrq.gov/clinic/uspstf08/methods/procmanualap7.htm</vt:lpwstr>
      </vt:variant>
      <vt:variant>
        <vt:lpwstr/>
      </vt:variant>
      <vt:variant>
        <vt:i4>7602278</vt:i4>
      </vt:variant>
      <vt:variant>
        <vt:i4>51</vt:i4>
      </vt:variant>
      <vt:variant>
        <vt:i4>0</vt:i4>
      </vt:variant>
      <vt:variant>
        <vt:i4>5</vt:i4>
      </vt:variant>
      <vt:variant>
        <vt:lpwstr>http://www.tuftshealthplan.com/providers/provider.php?sec=pharmacy&amp;content=pharmacy</vt:lpwstr>
      </vt:variant>
      <vt:variant>
        <vt:lpwstr/>
      </vt:variant>
      <vt:variant>
        <vt:i4>5177368</vt:i4>
      </vt:variant>
      <vt:variant>
        <vt:i4>48</vt:i4>
      </vt:variant>
      <vt:variant>
        <vt:i4>0</vt:i4>
      </vt:variant>
      <vt:variant>
        <vt:i4>5</vt:i4>
      </vt:variant>
      <vt:variant>
        <vt:lpwstr>https://www.harvardpilgrim.org/pls/portal/url/page/PROVIDERS/PHARMACY</vt:lpwstr>
      </vt:variant>
      <vt:variant>
        <vt:lpwstr/>
      </vt:variant>
      <vt:variant>
        <vt:i4>6750265</vt:i4>
      </vt:variant>
      <vt:variant>
        <vt:i4>45</vt:i4>
      </vt:variant>
      <vt:variant>
        <vt:i4>0</vt:i4>
      </vt:variant>
      <vt:variant>
        <vt:i4>5</vt:i4>
      </vt:variant>
      <vt:variant>
        <vt:lpwstr>https://www.bluecrossma.com/wps/portal/members/using-my-plan/manage-my-plan/pharmacy-coverage/</vt:lpwstr>
      </vt:variant>
      <vt:variant>
        <vt:lpwstr/>
      </vt:variant>
      <vt:variant>
        <vt:i4>720922</vt:i4>
      </vt:variant>
      <vt:variant>
        <vt:i4>42</vt:i4>
      </vt:variant>
      <vt:variant>
        <vt:i4>0</vt:i4>
      </vt:variant>
      <vt:variant>
        <vt:i4>5</vt:i4>
      </vt:variant>
      <vt:variant>
        <vt:lpwstr>http://www.hca.wa.gov/medicaid/billing/Documents/guides/wpdl.pdf</vt:lpwstr>
      </vt:variant>
      <vt:variant>
        <vt:lpwstr/>
      </vt:variant>
      <vt:variant>
        <vt:i4>8126587</vt:i4>
      </vt:variant>
      <vt:variant>
        <vt:i4>39</vt:i4>
      </vt:variant>
      <vt:variant>
        <vt:i4>0</vt:i4>
      </vt:variant>
      <vt:variant>
        <vt:i4>5</vt:i4>
      </vt:variant>
      <vt:variant>
        <vt:lpwstr>http://dvha.vermont.gov/for-providers/pharmacy</vt:lpwstr>
      </vt:variant>
      <vt:variant>
        <vt:lpwstr/>
      </vt:variant>
      <vt:variant>
        <vt:i4>4587554</vt:i4>
      </vt:variant>
      <vt:variant>
        <vt:i4>36</vt:i4>
      </vt:variant>
      <vt:variant>
        <vt:i4>0</vt:i4>
      </vt:variant>
      <vt:variant>
        <vt:i4>5</vt:i4>
      </vt:variant>
      <vt:variant>
        <vt:lpwstr>http://www.health.ny.gov/health_care/medicaid/program/pharmacy.htm</vt:lpwstr>
      </vt:variant>
      <vt:variant>
        <vt:lpwstr/>
      </vt:variant>
      <vt:variant>
        <vt:i4>6553725</vt:i4>
      </vt:variant>
      <vt:variant>
        <vt:i4>33</vt:i4>
      </vt:variant>
      <vt:variant>
        <vt:i4>0</vt:i4>
      </vt:variant>
      <vt:variant>
        <vt:i4>5</vt:i4>
      </vt:variant>
      <vt:variant>
        <vt:lpwstr>https://newhampshire.magellanmedicaid.com/</vt:lpwstr>
      </vt:variant>
      <vt:variant>
        <vt:lpwstr/>
      </vt:variant>
      <vt:variant>
        <vt:i4>458837</vt:i4>
      </vt:variant>
      <vt:variant>
        <vt:i4>30</vt:i4>
      </vt:variant>
      <vt:variant>
        <vt:i4>0</vt:i4>
      </vt:variant>
      <vt:variant>
        <vt:i4>5</vt:i4>
      </vt:variant>
      <vt:variant>
        <vt:lpwstr>http://dss.mo.gov/mhd/cs/pharmacy/pages/clinedit.htm</vt:lpwstr>
      </vt:variant>
      <vt:variant>
        <vt:lpwstr/>
      </vt:variant>
      <vt:variant>
        <vt:i4>1835076</vt:i4>
      </vt:variant>
      <vt:variant>
        <vt:i4>27</vt:i4>
      </vt:variant>
      <vt:variant>
        <vt:i4>0</vt:i4>
      </vt:variant>
      <vt:variant>
        <vt:i4>5</vt:i4>
      </vt:variant>
      <vt:variant>
        <vt:lpwstr>http://minnesota.magellanmedicaid.com/default.asp</vt:lpwstr>
      </vt:variant>
      <vt:variant>
        <vt:lpwstr/>
      </vt:variant>
      <vt:variant>
        <vt:i4>5898318</vt:i4>
      </vt:variant>
      <vt:variant>
        <vt:i4>24</vt:i4>
      </vt:variant>
      <vt:variant>
        <vt:i4>0</vt:i4>
      </vt:variant>
      <vt:variant>
        <vt:i4>5</vt:i4>
      </vt:variant>
      <vt:variant>
        <vt:lpwstr>https://michigan.fhsc.com/Providers/DrugInfo.asp</vt:lpwstr>
      </vt:variant>
      <vt:variant>
        <vt:lpwstr/>
      </vt:variant>
      <vt:variant>
        <vt:i4>2031630</vt:i4>
      </vt:variant>
      <vt:variant>
        <vt:i4>21</vt:i4>
      </vt:variant>
      <vt:variant>
        <vt:i4>0</vt:i4>
      </vt:variant>
      <vt:variant>
        <vt:i4>5</vt:i4>
      </vt:variant>
      <vt:variant>
        <vt:lpwstr>https://mmcp.dhmh.maryland.gov/pap/SitePages/Preferred Drug List.aspx</vt:lpwstr>
      </vt:variant>
      <vt:variant>
        <vt:lpwstr/>
      </vt:variant>
      <vt:variant>
        <vt:i4>3997738</vt:i4>
      </vt:variant>
      <vt:variant>
        <vt:i4>18</vt:i4>
      </vt:variant>
      <vt:variant>
        <vt:i4>0</vt:i4>
      </vt:variant>
      <vt:variant>
        <vt:i4>5</vt:i4>
      </vt:variant>
      <vt:variant>
        <vt:lpwstr>http://www.mainecarepdl.org/pdl</vt:lpwstr>
      </vt:variant>
      <vt:variant>
        <vt:lpwstr/>
      </vt:variant>
      <vt:variant>
        <vt:i4>7864441</vt:i4>
      </vt:variant>
      <vt:variant>
        <vt:i4>15</vt:i4>
      </vt:variant>
      <vt:variant>
        <vt:i4>0</vt:i4>
      </vt:variant>
      <vt:variant>
        <vt:i4>5</vt:i4>
      </vt:variant>
      <vt:variant>
        <vt:lpwstr>http://www.network-health.org/Providers/PDL-Providers.aspx</vt:lpwstr>
      </vt:variant>
      <vt:variant>
        <vt:lpwstr/>
      </vt:variant>
      <vt:variant>
        <vt:i4>7143464</vt:i4>
      </vt:variant>
      <vt:variant>
        <vt:i4>12</vt:i4>
      </vt:variant>
      <vt:variant>
        <vt:i4>0</vt:i4>
      </vt:variant>
      <vt:variant>
        <vt:i4>5</vt:i4>
      </vt:variant>
      <vt:variant>
        <vt:lpwstr>https://nhp.benefits.catamaranrx.com/rxpublic/portal/memberMain</vt:lpwstr>
      </vt:variant>
      <vt:variant>
        <vt:lpwstr/>
      </vt:variant>
      <vt:variant>
        <vt:i4>131110</vt:i4>
      </vt:variant>
      <vt:variant>
        <vt:i4>9</vt:i4>
      </vt:variant>
      <vt:variant>
        <vt:i4>0</vt:i4>
      </vt:variant>
      <vt:variant>
        <vt:i4>5</vt:i4>
      </vt:variant>
      <vt:variant>
        <vt:lpwstr>http://www.healthnewengland.com/HNE_Pharmacy/formulary.html</vt:lpwstr>
      </vt:variant>
      <vt:variant>
        <vt:lpwstr/>
      </vt:variant>
      <vt:variant>
        <vt:i4>5177436</vt:i4>
      </vt:variant>
      <vt:variant>
        <vt:i4>6</vt:i4>
      </vt:variant>
      <vt:variant>
        <vt:i4>0</vt:i4>
      </vt:variant>
      <vt:variant>
        <vt:i4>5</vt:i4>
      </vt:variant>
      <vt:variant>
        <vt:lpwstr>http://www.fchp.org/membertools/MassHealthFormulary/</vt:lpwstr>
      </vt:variant>
      <vt:variant>
        <vt:lpwstr/>
      </vt:variant>
      <vt:variant>
        <vt:i4>5570577</vt:i4>
      </vt:variant>
      <vt:variant>
        <vt:i4>3</vt:i4>
      </vt:variant>
      <vt:variant>
        <vt:i4>0</vt:i4>
      </vt:variant>
      <vt:variant>
        <vt:i4>5</vt:i4>
      </vt:variant>
      <vt:variant>
        <vt:lpwstr>http://www.bmchp.org/pharmacy/providers/drug-list</vt:lpwstr>
      </vt:variant>
      <vt:variant>
        <vt:lpwstr/>
      </vt:variant>
      <vt:variant>
        <vt:i4>3342376</vt:i4>
      </vt:variant>
      <vt:variant>
        <vt:i4>0</vt:i4>
      </vt:variant>
      <vt:variant>
        <vt:i4>0</vt:i4>
      </vt:variant>
      <vt:variant>
        <vt:i4>5</vt:i4>
      </vt:variant>
      <vt:variant>
        <vt:lpwstr>http://www.amcp.org/amcp.ark?p=0F6E1295</vt:lpwstr>
      </vt:variant>
      <vt:variant>
        <vt:lpwstr/>
      </vt:variant>
      <vt:variant>
        <vt:i4>7340084</vt:i4>
      </vt:variant>
      <vt:variant>
        <vt:i4>51</vt:i4>
      </vt:variant>
      <vt:variant>
        <vt:i4>0</vt:i4>
      </vt:variant>
      <vt:variant>
        <vt:i4>5</vt:i4>
      </vt:variant>
      <vt:variant>
        <vt:lpwstr>\\edunivrdir03\CPS Shared DataBank\Templates and Logos\Templates\CPS Reference Manual.htm</vt:lpwstr>
      </vt:variant>
      <vt:variant>
        <vt:lpwstr/>
      </vt:variant>
      <vt:variant>
        <vt:i4>6291529</vt:i4>
      </vt:variant>
      <vt:variant>
        <vt:i4>48</vt:i4>
      </vt:variant>
      <vt:variant>
        <vt:i4>0</vt:i4>
      </vt:variant>
      <vt:variant>
        <vt:i4>5</vt:i4>
      </vt:variant>
      <vt:variant>
        <vt:lpwstr/>
      </vt:variant>
      <vt:variant>
        <vt:lpwstr>Appendix_I</vt:lpwstr>
      </vt:variant>
      <vt:variant>
        <vt:i4>524318</vt:i4>
      </vt:variant>
      <vt:variant>
        <vt:i4>45</vt:i4>
      </vt:variant>
      <vt:variant>
        <vt:i4>0</vt:i4>
      </vt:variant>
      <vt:variant>
        <vt:i4>5</vt:i4>
      </vt:variant>
      <vt:variant>
        <vt:lpwstr/>
      </vt:variant>
      <vt:variant>
        <vt:lpwstr>Addendum</vt:lpwstr>
      </vt:variant>
      <vt:variant>
        <vt:i4>7012449</vt:i4>
      </vt:variant>
      <vt:variant>
        <vt:i4>42</vt:i4>
      </vt:variant>
      <vt:variant>
        <vt:i4>0</vt:i4>
      </vt:variant>
      <vt:variant>
        <vt:i4>5</vt:i4>
      </vt:variant>
      <vt:variant>
        <vt:lpwstr/>
      </vt:variant>
      <vt:variant>
        <vt:lpwstr>ConclusionsRecommendations</vt:lpwstr>
      </vt:variant>
      <vt:variant>
        <vt:i4>7143525</vt:i4>
      </vt:variant>
      <vt:variant>
        <vt:i4>39</vt:i4>
      </vt:variant>
      <vt:variant>
        <vt:i4>0</vt:i4>
      </vt:variant>
      <vt:variant>
        <vt:i4>5</vt:i4>
      </vt:variant>
      <vt:variant>
        <vt:lpwstr/>
      </vt:variant>
      <vt:variant>
        <vt:lpwstr>ClinicalGuidelines</vt:lpwstr>
      </vt:variant>
      <vt:variant>
        <vt:i4>6422640</vt:i4>
      </vt:variant>
      <vt:variant>
        <vt:i4>36</vt:i4>
      </vt:variant>
      <vt:variant>
        <vt:i4>0</vt:i4>
      </vt:variant>
      <vt:variant>
        <vt:i4>5</vt:i4>
      </vt:variant>
      <vt:variant>
        <vt:lpwstr/>
      </vt:variant>
      <vt:variant>
        <vt:lpwstr>PredictedImpactOfPARestriction</vt:lpwstr>
      </vt:variant>
      <vt:variant>
        <vt:i4>1048606</vt:i4>
      </vt:variant>
      <vt:variant>
        <vt:i4>33</vt:i4>
      </vt:variant>
      <vt:variant>
        <vt:i4>0</vt:i4>
      </vt:variant>
      <vt:variant>
        <vt:i4>5</vt:i4>
      </vt:variant>
      <vt:variant>
        <vt:lpwstr/>
      </vt:variant>
      <vt:variant>
        <vt:lpwstr>PotentialAdvantagesDisadvantages</vt:lpwstr>
      </vt:variant>
      <vt:variant>
        <vt:i4>8061033</vt:i4>
      </vt:variant>
      <vt:variant>
        <vt:i4>30</vt:i4>
      </vt:variant>
      <vt:variant>
        <vt:i4>0</vt:i4>
      </vt:variant>
      <vt:variant>
        <vt:i4>5</vt:i4>
      </vt:variant>
      <vt:variant>
        <vt:lpwstr/>
      </vt:variant>
      <vt:variant>
        <vt:lpwstr>DrugAcquisitionCost</vt:lpwstr>
      </vt:variant>
      <vt:variant>
        <vt:i4>1900552</vt:i4>
      </vt:variant>
      <vt:variant>
        <vt:i4>27</vt:i4>
      </vt:variant>
      <vt:variant>
        <vt:i4>0</vt:i4>
      </vt:variant>
      <vt:variant>
        <vt:i4>5</vt:i4>
      </vt:variant>
      <vt:variant>
        <vt:lpwstr/>
      </vt:variant>
      <vt:variant>
        <vt:lpwstr>DosageAdministration</vt:lpwstr>
      </vt:variant>
      <vt:variant>
        <vt:i4>1507354</vt:i4>
      </vt:variant>
      <vt:variant>
        <vt:i4>24</vt:i4>
      </vt:variant>
      <vt:variant>
        <vt:i4>0</vt:i4>
      </vt:variant>
      <vt:variant>
        <vt:i4>5</vt:i4>
      </vt:variant>
      <vt:variant>
        <vt:lpwstr/>
      </vt:variant>
      <vt:variant>
        <vt:lpwstr>DrugInteractions</vt:lpwstr>
      </vt:variant>
      <vt:variant>
        <vt:i4>458778</vt:i4>
      </vt:variant>
      <vt:variant>
        <vt:i4>21</vt:i4>
      </vt:variant>
      <vt:variant>
        <vt:i4>0</vt:i4>
      </vt:variant>
      <vt:variant>
        <vt:i4>5</vt:i4>
      </vt:variant>
      <vt:variant>
        <vt:lpwstr/>
      </vt:variant>
      <vt:variant>
        <vt:lpwstr>ContraindicationsPrecautions</vt:lpwstr>
      </vt:variant>
      <vt:variant>
        <vt:i4>1507341</vt:i4>
      </vt:variant>
      <vt:variant>
        <vt:i4>18</vt:i4>
      </vt:variant>
      <vt:variant>
        <vt:i4>0</vt:i4>
      </vt:variant>
      <vt:variant>
        <vt:i4>5</vt:i4>
      </vt:variant>
      <vt:variant>
        <vt:lpwstr/>
      </vt:variant>
      <vt:variant>
        <vt:lpwstr>AdverseDrugEvents</vt:lpwstr>
      </vt:variant>
      <vt:variant>
        <vt:i4>7733359</vt:i4>
      </vt:variant>
      <vt:variant>
        <vt:i4>15</vt:i4>
      </vt:variant>
      <vt:variant>
        <vt:i4>0</vt:i4>
      </vt:variant>
      <vt:variant>
        <vt:i4>5</vt:i4>
      </vt:variant>
      <vt:variant>
        <vt:lpwstr/>
      </vt:variant>
      <vt:variant>
        <vt:lpwstr>SpecialPopulations</vt:lpwstr>
      </vt:variant>
      <vt:variant>
        <vt:i4>7143539</vt:i4>
      </vt:variant>
      <vt:variant>
        <vt:i4>12</vt:i4>
      </vt:variant>
      <vt:variant>
        <vt:i4>0</vt:i4>
      </vt:variant>
      <vt:variant>
        <vt:i4>5</vt:i4>
      </vt:variant>
      <vt:variant>
        <vt:lpwstr/>
      </vt:variant>
      <vt:variant>
        <vt:lpwstr>ClinicalTrials</vt:lpwstr>
      </vt:variant>
      <vt:variant>
        <vt:i4>7340134</vt:i4>
      </vt:variant>
      <vt:variant>
        <vt:i4>9</vt:i4>
      </vt:variant>
      <vt:variant>
        <vt:i4>0</vt:i4>
      </vt:variant>
      <vt:variant>
        <vt:i4>5</vt:i4>
      </vt:variant>
      <vt:variant>
        <vt:lpwstr/>
      </vt:variant>
      <vt:variant>
        <vt:lpwstr>OverviewSummary</vt:lpwstr>
      </vt:variant>
      <vt:variant>
        <vt:i4>6619239</vt:i4>
      </vt:variant>
      <vt:variant>
        <vt:i4>6</vt:i4>
      </vt:variant>
      <vt:variant>
        <vt:i4>0</vt:i4>
      </vt:variant>
      <vt:variant>
        <vt:i4>5</vt:i4>
      </vt:variant>
      <vt:variant>
        <vt:lpwstr/>
      </vt:variant>
      <vt:variant>
        <vt:lpwstr>StylisticGuideline</vt:lpwstr>
      </vt:variant>
      <vt:variant>
        <vt:i4>7667817</vt:i4>
      </vt:variant>
      <vt:variant>
        <vt:i4>3</vt:i4>
      </vt:variant>
      <vt:variant>
        <vt:i4>0</vt:i4>
      </vt:variant>
      <vt:variant>
        <vt:i4>5</vt:i4>
      </vt:variant>
      <vt:variant>
        <vt:lpwstr/>
      </vt:variant>
      <vt:variant>
        <vt:lpwstr>Formulation</vt:lpwstr>
      </vt:variant>
      <vt:variant>
        <vt:i4>3145811</vt:i4>
      </vt:variant>
      <vt:variant>
        <vt:i4>0</vt:i4>
      </vt:variant>
      <vt:variant>
        <vt:i4>0</vt:i4>
      </vt:variant>
      <vt:variant>
        <vt:i4>5</vt:i4>
      </vt:variant>
      <vt:variant>
        <vt:lpwstr/>
      </vt:variant>
      <vt:variant>
        <vt:lpwstr>Appendix_IIITable4</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2017-08-22T13:41:00Z</dcterms:created>
  <dc:creator>Information Services</dc:creator>
  <keywords>New Drug Review</keywords>
  <lastModifiedBy>AutoBVT</lastModifiedBy>
  <lastPrinted>2015-02-04T14:22:00Z</lastPrinted>
  <dcterms:modified xsi:type="dcterms:W3CDTF">2017-08-22T18:39:00Z</dcterms:modified>
  <revision>3</revision>
  <dc:title>New Drug Review: Drug Monograph</dc:title>
</coreProperties>
</file>