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948" w:rsidRPr="00AA4691" w:rsidRDefault="00AB49C8" w:rsidP="00396948">
      <w:pPr>
        <w:pStyle w:val="NoSpacing"/>
        <w:rPr>
          <w:rFonts w:ascii="Arial" w:hAnsi="Arial" w:cs="Arial"/>
          <w:b/>
          <w:sz w:val="20"/>
          <w:szCs w:val="20"/>
          <w:u w:val="single"/>
        </w:rPr>
      </w:pPr>
      <w:bookmarkStart w:id="0" w:name="_GoBack"/>
      <w:bookmarkEnd w:id="0"/>
      <w:r>
        <w:rPr>
          <w:rFonts w:ascii="Arial" w:hAnsi="Arial" w:cs="Arial"/>
          <w:b/>
          <w:sz w:val="20"/>
          <w:szCs w:val="20"/>
          <w:u w:val="single"/>
        </w:rPr>
        <w:t>Nucynta ER</w:t>
      </w:r>
      <w:r w:rsidR="00396948" w:rsidRPr="00AA4691">
        <w:rPr>
          <w:rFonts w:ascii="Arial" w:hAnsi="Arial" w:cs="Arial"/>
          <w:b/>
          <w:sz w:val="20"/>
          <w:szCs w:val="20"/>
          <w:u w:val="single"/>
          <w:vertAlign w:val="superscript"/>
        </w:rPr>
        <w:t>®</w:t>
      </w:r>
      <w:r w:rsidR="00396948" w:rsidRPr="00AA4691">
        <w:rPr>
          <w:rFonts w:ascii="Arial" w:hAnsi="Arial" w:cs="Arial"/>
          <w:b/>
          <w:sz w:val="20"/>
          <w:szCs w:val="20"/>
          <w:u w:val="single"/>
        </w:rPr>
        <w:t xml:space="preserve"> references</w:t>
      </w:r>
    </w:p>
    <w:p w:rsidR="00396948" w:rsidRPr="00AA4691" w:rsidRDefault="00396948" w:rsidP="00396948">
      <w:pPr>
        <w:pStyle w:val="NoSpacing"/>
        <w:rPr>
          <w:rFonts w:ascii="Arial" w:hAnsi="Arial" w:cs="Arial"/>
          <w:b/>
          <w:sz w:val="20"/>
          <w:szCs w:val="20"/>
          <w:u w:val="single"/>
        </w:rPr>
      </w:pPr>
    </w:p>
    <w:p w:rsidR="00396948" w:rsidRPr="00014082" w:rsidRDefault="00396948" w:rsidP="00396948">
      <w:pPr>
        <w:pStyle w:val="NoSpacing"/>
        <w:rPr>
          <w:rFonts w:ascii="Arial" w:hAnsi="Arial" w:cs="Arial"/>
          <w:sz w:val="20"/>
          <w:szCs w:val="20"/>
          <w:u w:val="single"/>
        </w:rPr>
      </w:pPr>
      <w:r w:rsidRPr="00014082">
        <w:rPr>
          <w:rFonts w:ascii="Arial" w:hAnsi="Arial" w:cs="Arial"/>
          <w:sz w:val="20"/>
          <w:szCs w:val="20"/>
          <w:u w:val="single"/>
        </w:rPr>
        <w:t xml:space="preserve">Please note: </w:t>
      </w:r>
    </w:p>
    <w:p w:rsidR="00396948" w:rsidRPr="00396948" w:rsidRDefault="00AB49C8" w:rsidP="00396948">
      <w:pPr>
        <w:pStyle w:val="NoSpacing"/>
        <w:numPr>
          <w:ilvl w:val="0"/>
          <w:numId w:val="1"/>
        </w:numPr>
        <w:rPr>
          <w:rFonts w:ascii="Arial" w:hAnsi="Arial" w:cs="Arial"/>
          <w:sz w:val="20"/>
          <w:szCs w:val="20"/>
        </w:rPr>
      </w:pPr>
      <w:r>
        <w:rPr>
          <w:rFonts w:ascii="Arial" w:hAnsi="Arial" w:cs="Arial"/>
          <w:sz w:val="20"/>
          <w:szCs w:val="20"/>
        </w:rPr>
        <w:t>References 15 and 16</w:t>
      </w:r>
      <w:r w:rsidR="00396948">
        <w:rPr>
          <w:rFonts w:ascii="Arial" w:hAnsi="Arial" w:cs="Arial"/>
          <w:sz w:val="20"/>
          <w:szCs w:val="20"/>
        </w:rPr>
        <w:t xml:space="preserve"> </w:t>
      </w:r>
      <w:r>
        <w:rPr>
          <w:rFonts w:ascii="Arial" w:hAnsi="Arial" w:cs="Arial"/>
          <w:sz w:val="20"/>
          <w:szCs w:val="20"/>
        </w:rPr>
        <w:t xml:space="preserve">are </w:t>
      </w:r>
      <w:r w:rsidR="00396948" w:rsidRPr="00396948">
        <w:rPr>
          <w:rFonts w:ascii="Arial" w:hAnsi="Arial" w:cs="Arial"/>
          <w:sz w:val="20"/>
          <w:szCs w:val="20"/>
        </w:rPr>
        <w:t>database</w:t>
      </w:r>
      <w:r>
        <w:rPr>
          <w:rFonts w:ascii="Arial" w:hAnsi="Arial" w:cs="Arial"/>
          <w:sz w:val="20"/>
          <w:szCs w:val="20"/>
        </w:rPr>
        <w:t>s</w:t>
      </w:r>
      <w:r w:rsidR="00396948" w:rsidRPr="00396948">
        <w:rPr>
          <w:rFonts w:ascii="Arial" w:hAnsi="Arial" w:cs="Arial"/>
          <w:sz w:val="20"/>
          <w:szCs w:val="20"/>
        </w:rPr>
        <w:t xml:space="preserve"> and </w:t>
      </w:r>
      <w:r>
        <w:rPr>
          <w:rFonts w:ascii="Arial" w:hAnsi="Arial" w:cs="Arial"/>
          <w:sz w:val="20"/>
          <w:szCs w:val="20"/>
        </w:rPr>
        <w:t>are</w:t>
      </w:r>
      <w:r w:rsidR="00396948" w:rsidRPr="00396948">
        <w:rPr>
          <w:rFonts w:ascii="Arial" w:hAnsi="Arial" w:cs="Arial"/>
          <w:sz w:val="20"/>
          <w:szCs w:val="20"/>
        </w:rPr>
        <w:t xml:space="preserve"> therefore not included.</w:t>
      </w:r>
    </w:p>
    <w:p w:rsidR="00396948" w:rsidRDefault="00AB49C8" w:rsidP="00396948">
      <w:pPr>
        <w:pStyle w:val="NoSpacing"/>
        <w:numPr>
          <w:ilvl w:val="0"/>
          <w:numId w:val="1"/>
        </w:numPr>
        <w:rPr>
          <w:rFonts w:ascii="Arial" w:hAnsi="Arial" w:cs="Arial"/>
          <w:sz w:val="20"/>
          <w:szCs w:val="20"/>
        </w:rPr>
      </w:pPr>
      <w:r>
        <w:rPr>
          <w:rFonts w:ascii="Arial" w:hAnsi="Arial" w:cs="Arial"/>
          <w:sz w:val="20"/>
          <w:szCs w:val="20"/>
        </w:rPr>
        <w:t>References 12</w:t>
      </w:r>
      <w:r w:rsidR="00DF459F">
        <w:rPr>
          <w:rFonts w:ascii="Arial" w:hAnsi="Arial" w:cs="Arial"/>
          <w:sz w:val="20"/>
          <w:szCs w:val="20"/>
        </w:rPr>
        <w:t xml:space="preserve"> and</w:t>
      </w:r>
      <w:r w:rsidR="00396948">
        <w:rPr>
          <w:rFonts w:ascii="Arial" w:hAnsi="Arial" w:cs="Arial"/>
          <w:sz w:val="20"/>
          <w:szCs w:val="20"/>
        </w:rPr>
        <w:t xml:space="preserve"> </w:t>
      </w:r>
      <w:r>
        <w:rPr>
          <w:rFonts w:ascii="Arial" w:hAnsi="Arial" w:cs="Arial"/>
          <w:sz w:val="20"/>
          <w:szCs w:val="20"/>
        </w:rPr>
        <w:t>13</w:t>
      </w:r>
      <w:r w:rsidR="00396948">
        <w:rPr>
          <w:rFonts w:ascii="Arial" w:hAnsi="Arial" w:cs="Arial"/>
          <w:sz w:val="20"/>
          <w:szCs w:val="20"/>
        </w:rPr>
        <w:t xml:space="preserve"> </w:t>
      </w:r>
      <w:r w:rsidR="00396948" w:rsidRPr="005C77ED">
        <w:rPr>
          <w:rFonts w:ascii="Arial" w:hAnsi="Arial" w:cs="Arial"/>
          <w:sz w:val="20"/>
          <w:szCs w:val="20"/>
        </w:rPr>
        <w:t>are only available in abstract form.</w:t>
      </w:r>
    </w:p>
    <w:p w:rsidR="00DF459F" w:rsidRDefault="00DF459F" w:rsidP="00396948">
      <w:pPr>
        <w:spacing w:after="0" w:line="240" w:lineRule="auto"/>
        <w:rPr>
          <w:rFonts w:ascii="Arial" w:hAnsi="Arial" w:cs="Arial"/>
          <w:b/>
          <w:sz w:val="20"/>
          <w:szCs w:val="20"/>
        </w:rPr>
      </w:pPr>
    </w:p>
    <w:p w:rsidR="00396948" w:rsidRPr="00396948" w:rsidRDefault="00396948" w:rsidP="00396948">
      <w:pPr>
        <w:spacing w:after="0" w:line="240" w:lineRule="auto"/>
        <w:rPr>
          <w:rFonts w:ascii="Arial" w:eastAsia="Calibri" w:hAnsi="Arial" w:cs="Arial"/>
          <w:b/>
          <w:sz w:val="20"/>
          <w:szCs w:val="20"/>
          <w:u w:val="single"/>
        </w:rPr>
      </w:pPr>
      <w:r w:rsidRPr="00396948">
        <w:rPr>
          <w:rFonts w:ascii="Arial" w:eastAsia="Calibri" w:hAnsi="Arial" w:cs="Arial"/>
          <w:b/>
          <w:sz w:val="20"/>
          <w:szCs w:val="20"/>
          <w:u w:val="single"/>
        </w:rPr>
        <w:t>References</w:t>
      </w:r>
    </w:p>
    <w:p w:rsidR="00AB49C8" w:rsidRPr="00AB49C8" w:rsidRDefault="00AB49C8" w:rsidP="00AB49C8">
      <w:pPr>
        <w:numPr>
          <w:ilvl w:val="0"/>
          <w:numId w:val="3"/>
        </w:numPr>
        <w:spacing w:after="0" w:line="240" w:lineRule="auto"/>
        <w:rPr>
          <w:rFonts w:ascii="Arial" w:eastAsia="Calibri" w:hAnsi="Arial" w:cs="Arial"/>
          <w:sz w:val="20"/>
          <w:szCs w:val="20"/>
        </w:rPr>
      </w:pPr>
      <w:r w:rsidRPr="00AB49C8">
        <w:rPr>
          <w:rFonts w:ascii="Arial" w:eastAsia="Calibri" w:hAnsi="Arial" w:cs="Arial"/>
          <w:sz w:val="20"/>
          <w:szCs w:val="20"/>
        </w:rPr>
        <w:t>Nucynta</w:t>
      </w:r>
      <w:r w:rsidRPr="00AB49C8">
        <w:rPr>
          <w:rFonts w:ascii="Arial" w:eastAsia="Calibri" w:hAnsi="Arial" w:cs="Arial"/>
          <w:sz w:val="20"/>
          <w:szCs w:val="20"/>
          <w:vertAlign w:val="superscript"/>
        </w:rPr>
        <w:t xml:space="preserve"> </w:t>
      </w:r>
      <w:r w:rsidRPr="00AB49C8">
        <w:rPr>
          <w:rFonts w:ascii="Arial" w:eastAsia="Calibri" w:hAnsi="Arial" w:cs="Arial"/>
          <w:sz w:val="20"/>
          <w:szCs w:val="20"/>
        </w:rPr>
        <w:t>ER</w:t>
      </w:r>
      <w:r w:rsidRPr="00AB49C8">
        <w:rPr>
          <w:rFonts w:ascii="Arial" w:eastAsia="Calibri" w:hAnsi="Arial" w:cs="Arial"/>
          <w:sz w:val="20"/>
          <w:szCs w:val="20"/>
          <w:vertAlign w:val="superscript"/>
        </w:rPr>
        <w:t>®</w:t>
      </w:r>
      <w:r w:rsidRPr="00AB49C8">
        <w:rPr>
          <w:rFonts w:ascii="Arial" w:eastAsia="Calibri" w:hAnsi="Arial" w:cs="Arial"/>
          <w:sz w:val="20"/>
          <w:szCs w:val="20"/>
        </w:rPr>
        <w:t xml:space="preserve"> [package insert]. Titusville (NJ): Janssen Pharmaceuticals, Inc.; 2014 Apr.</w:t>
      </w:r>
    </w:p>
    <w:p w:rsidR="00AB49C8" w:rsidRPr="00AB49C8" w:rsidRDefault="00AB49C8" w:rsidP="00AB49C8">
      <w:pPr>
        <w:numPr>
          <w:ilvl w:val="0"/>
          <w:numId w:val="3"/>
        </w:numPr>
        <w:spacing w:after="0" w:line="240" w:lineRule="auto"/>
        <w:rPr>
          <w:rFonts w:ascii="Arial" w:eastAsia="Calibri" w:hAnsi="Arial" w:cs="Arial"/>
          <w:sz w:val="20"/>
          <w:szCs w:val="20"/>
        </w:rPr>
      </w:pPr>
      <w:r w:rsidRPr="00AB49C8">
        <w:rPr>
          <w:rFonts w:ascii="Arial" w:eastAsia="Calibri" w:hAnsi="Arial" w:cs="Arial"/>
          <w:sz w:val="20"/>
          <w:szCs w:val="20"/>
        </w:rPr>
        <w:t>Nucynta ER</w:t>
      </w:r>
      <w:r w:rsidRPr="00AB49C8">
        <w:rPr>
          <w:rFonts w:ascii="Arial" w:eastAsia="Calibri" w:hAnsi="Arial" w:cs="Arial"/>
          <w:sz w:val="20"/>
          <w:szCs w:val="20"/>
          <w:vertAlign w:val="superscript"/>
        </w:rPr>
        <w:t>®</w:t>
      </w:r>
      <w:r w:rsidRPr="00AB49C8">
        <w:rPr>
          <w:rFonts w:ascii="Arial" w:eastAsia="Calibri" w:hAnsi="Arial" w:cs="Arial"/>
          <w:sz w:val="20"/>
          <w:szCs w:val="20"/>
        </w:rPr>
        <w:t xml:space="preserve"> (tapentadol extended-release tablets) product dossier. April 1, 2015. </w:t>
      </w:r>
      <w:proofErr w:type="spellStart"/>
      <w:r w:rsidRPr="00AB49C8">
        <w:rPr>
          <w:rFonts w:ascii="Arial" w:eastAsia="Calibri" w:hAnsi="Arial" w:cs="Arial"/>
          <w:sz w:val="20"/>
          <w:szCs w:val="20"/>
        </w:rPr>
        <w:t>Depomed</w:t>
      </w:r>
      <w:proofErr w:type="spellEnd"/>
      <w:r w:rsidRPr="00AB49C8">
        <w:rPr>
          <w:rFonts w:ascii="Arial" w:eastAsia="Calibri" w:hAnsi="Arial" w:cs="Arial"/>
          <w:sz w:val="20"/>
          <w:szCs w:val="20"/>
        </w:rPr>
        <w:t xml:space="preserve">, Inc. </w:t>
      </w:r>
    </w:p>
    <w:p w:rsidR="00AB49C8" w:rsidRPr="00AB49C8" w:rsidRDefault="00AB49C8" w:rsidP="00AB49C8">
      <w:pPr>
        <w:numPr>
          <w:ilvl w:val="0"/>
          <w:numId w:val="3"/>
        </w:numPr>
        <w:spacing w:after="0" w:line="240" w:lineRule="auto"/>
        <w:rPr>
          <w:rFonts w:ascii="Arial" w:eastAsia="Calibri" w:hAnsi="Arial" w:cs="Arial"/>
          <w:sz w:val="20"/>
          <w:szCs w:val="20"/>
        </w:rPr>
      </w:pPr>
      <w:proofErr w:type="spellStart"/>
      <w:r w:rsidRPr="00AB49C8">
        <w:rPr>
          <w:rFonts w:ascii="Arial" w:eastAsia="Calibri" w:hAnsi="Arial" w:cs="Arial"/>
          <w:sz w:val="20"/>
          <w:szCs w:val="20"/>
        </w:rPr>
        <w:t>Trescot</w:t>
      </w:r>
      <w:proofErr w:type="spellEnd"/>
      <w:r w:rsidRPr="00AB49C8">
        <w:rPr>
          <w:rFonts w:ascii="Arial" w:eastAsia="Calibri" w:hAnsi="Arial" w:cs="Arial"/>
          <w:sz w:val="20"/>
          <w:szCs w:val="20"/>
        </w:rPr>
        <w:t xml:space="preserve"> AM, </w:t>
      </w:r>
      <w:proofErr w:type="spellStart"/>
      <w:r w:rsidRPr="00AB49C8">
        <w:rPr>
          <w:rFonts w:ascii="Arial" w:eastAsia="Calibri" w:hAnsi="Arial" w:cs="Arial"/>
          <w:sz w:val="20"/>
          <w:szCs w:val="20"/>
        </w:rPr>
        <w:t>Datta</w:t>
      </w:r>
      <w:proofErr w:type="spellEnd"/>
      <w:r w:rsidRPr="00AB49C8">
        <w:rPr>
          <w:rFonts w:ascii="Arial" w:eastAsia="Calibri" w:hAnsi="Arial" w:cs="Arial"/>
          <w:sz w:val="20"/>
          <w:szCs w:val="20"/>
        </w:rPr>
        <w:t xml:space="preserve"> S, Lee M, </w:t>
      </w:r>
      <w:proofErr w:type="gramStart"/>
      <w:r w:rsidRPr="00AB49C8">
        <w:rPr>
          <w:rFonts w:ascii="Arial" w:eastAsia="Calibri" w:hAnsi="Arial" w:cs="Arial"/>
          <w:sz w:val="20"/>
          <w:szCs w:val="20"/>
        </w:rPr>
        <w:t>Hansen</w:t>
      </w:r>
      <w:proofErr w:type="gramEnd"/>
      <w:r w:rsidRPr="00AB49C8">
        <w:rPr>
          <w:rFonts w:ascii="Arial" w:eastAsia="Calibri" w:hAnsi="Arial" w:cs="Arial"/>
          <w:sz w:val="20"/>
          <w:szCs w:val="20"/>
        </w:rPr>
        <w:t xml:space="preserve"> H. Opioid Pharmacology. Pain Physician. 2008 Mar</w:t>
      </w:r>
      <w:proofErr w:type="gramStart"/>
      <w:r w:rsidRPr="00AB49C8">
        <w:rPr>
          <w:rFonts w:ascii="Arial" w:eastAsia="Calibri" w:hAnsi="Arial" w:cs="Arial"/>
          <w:sz w:val="20"/>
          <w:szCs w:val="20"/>
        </w:rPr>
        <w:t>;11</w:t>
      </w:r>
      <w:proofErr w:type="gramEnd"/>
      <w:r w:rsidRPr="00AB49C8">
        <w:rPr>
          <w:rFonts w:ascii="Arial" w:eastAsia="Calibri" w:hAnsi="Arial" w:cs="Arial"/>
          <w:sz w:val="20"/>
          <w:szCs w:val="20"/>
        </w:rPr>
        <w:t xml:space="preserve">(2 </w:t>
      </w:r>
      <w:proofErr w:type="spellStart"/>
      <w:r w:rsidRPr="00AB49C8">
        <w:rPr>
          <w:rFonts w:ascii="Arial" w:eastAsia="Calibri" w:hAnsi="Arial" w:cs="Arial"/>
          <w:sz w:val="20"/>
          <w:szCs w:val="20"/>
        </w:rPr>
        <w:t>Suppl</w:t>
      </w:r>
      <w:proofErr w:type="spellEnd"/>
      <w:r w:rsidRPr="00AB49C8">
        <w:rPr>
          <w:rFonts w:ascii="Arial" w:eastAsia="Calibri" w:hAnsi="Arial" w:cs="Arial"/>
          <w:sz w:val="20"/>
          <w:szCs w:val="20"/>
        </w:rPr>
        <w:t xml:space="preserve">):S133-153. </w:t>
      </w:r>
    </w:p>
    <w:p w:rsidR="00AB49C8" w:rsidRPr="00AB49C8" w:rsidRDefault="00AB49C8" w:rsidP="00AB49C8">
      <w:pPr>
        <w:numPr>
          <w:ilvl w:val="0"/>
          <w:numId w:val="3"/>
        </w:numPr>
        <w:spacing w:after="0" w:line="240" w:lineRule="auto"/>
        <w:rPr>
          <w:rFonts w:ascii="Arial" w:eastAsia="Calibri" w:hAnsi="Arial" w:cs="Arial"/>
          <w:sz w:val="20"/>
          <w:szCs w:val="20"/>
        </w:rPr>
      </w:pPr>
      <w:proofErr w:type="spellStart"/>
      <w:r w:rsidRPr="00AB49C8">
        <w:rPr>
          <w:rFonts w:ascii="Arial" w:eastAsia="Calibri" w:hAnsi="Arial" w:cs="Arial"/>
          <w:sz w:val="20"/>
          <w:szCs w:val="20"/>
        </w:rPr>
        <w:t>Ossipov</w:t>
      </w:r>
      <w:proofErr w:type="spellEnd"/>
      <w:r w:rsidRPr="00AB49C8">
        <w:rPr>
          <w:rFonts w:ascii="Arial" w:eastAsia="Calibri" w:hAnsi="Arial" w:cs="Arial"/>
          <w:sz w:val="20"/>
          <w:szCs w:val="20"/>
        </w:rPr>
        <w:t xml:space="preserve"> MH, </w:t>
      </w:r>
      <w:proofErr w:type="spellStart"/>
      <w:r w:rsidRPr="00AB49C8">
        <w:rPr>
          <w:rFonts w:ascii="Arial" w:eastAsia="Calibri" w:hAnsi="Arial" w:cs="Arial"/>
          <w:sz w:val="20"/>
          <w:szCs w:val="20"/>
        </w:rPr>
        <w:t>Morimura</w:t>
      </w:r>
      <w:proofErr w:type="spellEnd"/>
      <w:r w:rsidRPr="00AB49C8">
        <w:rPr>
          <w:rFonts w:ascii="Arial" w:eastAsia="Calibri" w:hAnsi="Arial" w:cs="Arial"/>
          <w:sz w:val="20"/>
          <w:szCs w:val="20"/>
        </w:rPr>
        <w:t xml:space="preserve"> K, </w:t>
      </w:r>
      <w:proofErr w:type="spellStart"/>
      <w:r w:rsidRPr="00AB49C8">
        <w:rPr>
          <w:rFonts w:ascii="Arial" w:eastAsia="Calibri" w:hAnsi="Arial" w:cs="Arial"/>
          <w:sz w:val="20"/>
          <w:szCs w:val="20"/>
        </w:rPr>
        <w:t>Porreca</w:t>
      </w:r>
      <w:proofErr w:type="spellEnd"/>
      <w:r w:rsidRPr="00AB49C8">
        <w:rPr>
          <w:rFonts w:ascii="Arial" w:eastAsia="Calibri" w:hAnsi="Arial" w:cs="Arial"/>
          <w:sz w:val="20"/>
          <w:szCs w:val="20"/>
        </w:rPr>
        <w:t xml:space="preserve"> F. Descending pain modulation and chronification of pain. </w:t>
      </w:r>
      <w:proofErr w:type="spellStart"/>
      <w:r w:rsidRPr="00AB49C8">
        <w:rPr>
          <w:rFonts w:ascii="Arial" w:eastAsia="Calibri" w:hAnsi="Arial" w:cs="Arial"/>
          <w:sz w:val="20"/>
          <w:szCs w:val="20"/>
        </w:rPr>
        <w:t>Curr</w:t>
      </w:r>
      <w:proofErr w:type="spellEnd"/>
      <w:r w:rsidRPr="00AB49C8">
        <w:rPr>
          <w:rFonts w:ascii="Arial" w:eastAsia="Calibri" w:hAnsi="Arial" w:cs="Arial"/>
          <w:sz w:val="20"/>
          <w:szCs w:val="20"/>
        </w:rPr>
        <w:t xml:space="preserve"> </w:t>
      </w:r>
      <w:proofErr w:type="spellStart"/>
      <w:r w:rsidRPr="00AB49C8">
        <w:rPr>
          <w:rFonts w:ascii="Arial" w:eastAsia="Calibri" w:hAnsi="Arial" w:cs="Arial"/>
          <w:sz w:val="20"/>
          <w:szCs w:val="20"/>
        </w:rPr>
        <w:t>Opin</w:t>
      </w:r>
      <w:proofErr w:type="spellEnd"/>
      <w:r w:rsidRPr="00AB49C8">
        <w:rPr>
          <w:rFonts w:ascii="Arial" w:eastAsia="Calibri" w:hAnsi="Arial" w:cs="Arial"/>
          <w:sz w:val="20"/>
          <w:szCs w:val="20"/>
        </w:rPr>
        <w:t xml:space="preserve"> Support </w:t>
      </w:r>
      <w:proofErr w:type="spellStart"/>
      <w:r w:rsidRPr="00AB49C8">
        <w:rPr>
          <w:rFonts w:ascii="Arial" w:eastAsia="Calibri" w:hAnsi="Arial" w:cs="Arial"/>
          <w:sz w:val="20"/>
          <w:szCs w:val="20"/>
        </w:rPr>
        <w:t>Palliat</w:t>
      </w:r>
      <w:proofErr w:type="spellEnd"/>
      <w:r w:rsidRPr="00AB49C8">
        <w:rPr>
          <w:rFonts w:ascii="Arial" w:eastAsia="Calibri" w:hAnsi="Arial" w:cs="Arial"/>
          <w:sz w:val="20"/>
          <w:szCs w:val="20"/>
        </w:rPr>
        <w:t xml:space="preserve"> Care. 2014 Jun</w:t>
      </w:r>
      <w:proofErr w:type="gramStart"/>
      <w:r w:rsidRPr="00AB49C8">
        <w:rPr>
          <w:rFonts w:ascii="Arial" w:eastAsia="Calibri" w:hAnsi="Arial" w:cs="Arial"/>
          <w:sz w:val="20"/>
          <w:szCs w:val="20"/>
        </w:rPr>
        <w:t>;8</w:t>
      </w:r>
      <w:proofErr w:type="gramEnd"/>
      <w:r w:rsidRPr="00AB49C8">
        <w:rPr>
          <w:rFonts w:ascii="Arial" w:eastAsia="Calibri" w:hAnsi="Arial" w:cs="Arial"/>
          <w:sz w:val="20"/>
          <w:szCs w:val="20"/>
        </w:rPr>
        <w:t>(2):143-51.</w:t>
      </w:r>
    </w:p>
    <w:p w:rsidR="00AB49C8" w:rsidRPr="00AB49C8" w:rsidRDefault="00AB49C8" w:rsidP="00AB49C8">
      <w:pPr>
        <w:numPr>
          <w:ilvl w:val="0"/>
          <w:numId w:val="3"/>
        </w:numPr>
        <w:spacing w:after="0" w:line="240" w:lineRule="auto"/>
        <w:rPr>
          <w:rFonts w:ascii="Arial" w:eastAsia="Calibri" w:hAnsi="Arial" w:cs="Arial"/>
          <w:sz w:val="20"/>
          <w:szCs w:val="20"/>
        </w:rPr>
      </w:pPr>
      <w:proofErr w:type="spellStart"/>
      <w:r w:rsidRPr="00AB49C8">
        <w:rPr>
          <w:rFonts w:ascii="Arial" w:eastAsia="Calibri" w:hAnsi="Arial" w:cs="Arial"/>
          <w:sz w:val="20"/>
          <w:szCs w:val="20"/>
        </w:rPr>
        <w:t>Buynak</w:t>
      </w:r>
      <w:proofErr w:type="spellEnd"/>
      <w:r w:rsidRPr="00AB49C8">
        <w:rPr>
          <w:rFonts w:ascii="Arial" w:eastAsia="Calibri" w:hAnsi="Arial" w:cs="Arial"/>
          <w:sz w:val="20"/>
          <w:szCs w:val="20"/>
        </w:rPr>
        <w:t xml:space="preserve"> R, Shapiro DY, Okamoto A, Van Hove I, </w:t>
      </w:r>
      <w:proofErr w:type="spellStart"/>
      <w:r w:rsidRPr="00AB49C8">
        <w:rPr>
          <w:rFonts w:ascii="Arial" w:eastAsia="Calibri" w:hAnsi="Arial" w:cs="Arial"/>
          <w:sz w:val="20"/>
          <w:szCs w:val="20"/>
        </w:rPr>
        <w:t>Rauschkolb</w:t>
      </w:r>
      <w:proofErr w:type="spellEnd"/>
      <w:r w:rsidRPr="00AB49C8">
        <w:rPr>
          <w:rFonts w:ascii="Arial" w:eastAsia="Calibri" w:hAnsi="Arial" w:cs="Arial"/>
          <w:sz w:val="20"/>
          <w:szCs w:val="20"/>
        </w:rPr>
        <w:t xml:space="preserve"> C, </w:t>
      </w:r>
      <w:proofErr w:type="spellStart"/>
      <w:r w:rsidRPr="00AB49C8">
        <w:rPr>
          <w:rFonts w:ascii="Arial" w:eastAsia="Calibri" w:hAnsi="Arial" w:cs="Arial"/>
          <w:sz w:val="20"/>
          <w:szCs w:val="20"/>
        </w:rPr>
        <w:t>Steup</w:t>
      </w:r>
      <w:proofErr w:type="spellEnd"/>
      <w:r w:rsidRPr="00AB49C8">
        <w:rPr>
          <w:rFonts w:ascii="Arial" w:eastAsia="Calibri" w:hAnsi="Arial" w:cs="Arial"/>
          <w:sz w:val="20"/>
          <w:szCs w:val="20"/>
        </w:rPr>
        <w:t xml:space="preserve"> A, et al. Efficacy and safety of tapentadol extended release for the management of chronic low back pain: results of a prospective, randomized, double-blind, placebo- and active-controlled Phase III study. Expert </w:t>
      </w:r>
      <w:proofErr w:type="spellStart"/>
      <w:r w:rsidRPr="00AB49C8">
        <w:rPr>
          <w:rFonts w:ascii="Arial" w:eastAsia="Calibri" w:hAnsi="Arial" w:cs="Arial"/>
          <w:sz w:val="20"/>
          <w:szCs w:val="20"/>
        </w:rPr>
        <w:t>Opin</w:t>
      </w:r>
      <w:proofErr w:type="spellEnd"/>
      <w:r w:rsidRPr="00AB49C8">
        <w:rPr>
          <w:rFonts w:ascii="Arial" w:eastAsia="Calibri" w:hAnsi="Arial" w:cs="Arial"/>
          <w:sz w:val="20"/>
          <w:szCs w:val="20"/>
        </w:rPr>
        <w:t xml:space="preserve"> </w:t>
      </w:r>
      <w:proofErr w:type="spellStart"/>
      <w:r w:rsidRPr="00AB49C8">
        <w:rPr>
          <w:rFonts w:ascii="Arial" w:eastAsia="Calibri" w:hAnsi="Arial" w:cs="Arial"/>
          <w:sz w:val="20"/>
          <w:szCs w:val="20"/>
        </w:rPr>
        <w:t>Pharmacother</w:t>
      </w:r>
      <w:proofErr w:type="spellEnd"/>
      <w:r w:rsidRPr="00AB49C8">
        <w:rPr>
          <w:rFonts w:ascii="Arial" w:eastAsia="Calibri" w:hAnsi="Arial" w:cs="Arial"/>
          <w:sz w:val="20"/>
          <w:szCs w:val="20"/>
        </w:rPr>
        <w:t>. 2010 Aug</w:t>
      </w:r>
      <w:proofErr w:type="gramStart"/>
      <w:r w:rsidRPr="00AB49C8">
        <w:rPr>
          <w:rFonts w:ascii="Arial" w:eastAsia="Calibri" w:hAnsi="Arial" w:cs="Arial"/>
          <w:sz w:val="20"/>
          <w:szCs w:val="20"/>
        </w:rPr>
        <w:t>;11</w:t>
      </w:r>
      <w:proofErr w:type="gramEnd"/>
      <w:r w:rsidRPr="00AB49C8">
        <w:rPr>
          <w:rFonts w:ascii="Arial" w:eastAsia="Calibri" w:hAnsi="Arial" w:cs="Arial"/>
          <w:sz w:val="20"/>
          <w:szCs w:val="20"/>
        </w:rPr>
        <w:t>(11):1787-804.</w:t>
      </w:r>
    </w:p>
    <w:p w:rsidR="00AB49C8" w:rsidRPr="00AB49C8" w:rsidRDefault="00AB49C8" w:rsidP="00AB49C8">
      <w:pPr>
        <w:numPr>
          <w:ilvl w:val="0"/>
          <w:numId w:val="3"/>
        </w:numPr>
        <w:spacing w:after="0" w:line="240" w:lineRule="auto"/>
        <w:rPr>
          <w:rFonts w:ascii="Arial" w:eastAsia="Calibri" w:hAnsi="Arial" w:cs="Arial"/>
          <w:sz w:val="20"/>
          <w:szCs w:val="20"/>
        </w:rPr>
      </w:pPr>
      <w:proofErr w:type="spellStart"/>
      <w:r w:rsidRPr="00AB49C8">
        <w:rPr>
          <w:rFonts w:ascii="Arial" w:eastAsia="Calibri" w:hAnsi="Arial" w:cs="Arial"/>
          <w:sz w:val="20"/>
          <w:szCs w:val="20"/>
        </w:rPr>
        <w:t>Afilalo</w:t>
      </w:r>
      <w:proofErr w:type="spellEnd"/>
      <w:r w:rsidRPr="00AB49C8">
        <w:rPr>
          <w:rFonts w:ascii="Arial" w:eastAsia="Calibri" w:hAnsi="Arial" w:cs="Arial"/>
          <w:sz w:val="20"/>
          <w:szCs w:val="20"/>
        </w:rPr>
        <w:t xml:space="preserve"> M, </w:t>
      </w:r>
      <w:proofErr w:type="spellStart"/>
      <w:r w:rsidRPr="00AB49C8">
        <w:rPr>
          <w:rFonts w:ascii="Arial" w:eastAsia="Calibri" w:hAnsi="Arial" w:cs="Arial"/>
          <w:sz w:val="20"/>
          <w:szCs w:val="20"/>
        </w:rPr>
        <w:t>Etropolski</w:t>
      </w:r>
      <w:proofErr w:type="spellEnd"/>
      <w:r w:rsidRPr="00AB49C8">
        <w:rPr>
          <w:rFonts w:ascii="Arial" w:eastAsia="Calibri" w:hAnsi="Arial" w:cs="Arial"/>
          <w:sz w:val="20"/>
          <w:szCs w:val="20"/>
        </w:rPr>
        <w:t xml:space="preserve"> MS, </w:t>
      </w:r>
      <w:proofErr w:type="spellStart"/>
      <w:r w:rsidRPr="00AB49C8">
        <w:rPr>
          <w:rFonts w:ascii="Arial" w:eastAsia="Calibri" w:hAnsi="Arial" w:cs="Arial"/>
          <w:sz w:val="20"/>
          <w:szCs w:val="20"/>
        </w:rPr>
        <w:t>Kuperwasser</w:t>
      </w:r>
      <w:proofErr w:type="spellEnd"/>
      <w:r w:rsidRPr="00AB49C8">
        <w:rPr>
          <w:rFonts w:ascii="Arial" w:eastAsia="Calibri" w:hAnsi="Arial" w:cs="Arial"/>
          <w:sz w:val="20"/>
          <w:szCs w:val="20"/>
        </w:rPr>
        <w:t xml:space="preserve"> B, Kelly K, Okamoto A, Van Hove I, et al. Efficacy and safety of Tapentadol extended release compared with oxycodone controlled release for the management of moderate to severe chronic pain related to osteoarthritis of the knee: a randomized, double-blind, placebo- and active-controlled phase III study. </w:t>
      </w:r>
      <w:proofErr w:type="spellStart"/>
      <w:r w:rsidRPr="00AB49C8">
        <w:rPr>
          <w:rFonts w:ascii="Arial" w:eastAsia="Calibri" w:hAnsi="Arial" w:cs="Arial"/>
          <w:sz w:val="20"/>
          <w:szCs w:val="20"/>
        </w:rPr>
        <w:t>Clin</w:t>
      </w:r>
      <w:proofErr w:type="spellEnd"/>
      <w:r w:rsidRPr="00AB49C8">
        <w:rPr>
          <w:rFonts w:ascii="Arial" w:eastAsia="Calibri" w:hAnsi="Arial" w:cs="Arial"/>
          <w:sz w:val="20"/>
          <w:szCs w:val="20"/>
        </w:rPr>
        <w:t xml:space="preserve"> Drug </w:t>
      </w:r>
      <w:proofErr w:type="spellStart"/>
      <w:r w:rsidRPr="00AB49C8">
        <w:rPr>
          <w:rFonts w:ascii="Arial" w:eastAsia="Calibri" w:hAnsi="Arial" w:cs="Arial"/>
          <w:sz w:val="20"/>
          <w:szCs w:val="20"/>
        </w:rPr>
        <w:t>Investig</w:t>
      </w:r>
      <w:proofErr w:type="spellEnd"/>
      <w:r w:rsidRPr="00AB49C8">
        <w:rPr>
          <w:rFonts w:ascii="Arial" w:eastAsia="Calibri" w:hAnsi="Arial" w:cs="Arial"/>
          <w:sz w:val="20"/>
          <w:szCs w:val="20"/>
        </w:rPr>
        <w:t>. 2010</w:t>
      </w:r>
      <w:proofErr w:type="gramStart"/>
      <w:r w:rsidRPr="00AB49C8">
        <w:rPr>
          <w:rFonts w:ascii="Arial" w:eastAsia="Calibri" w:hAnsi="Arial" w:cs="Arial"/>
          <w:sz w:val="20"/>
          <w:szCs w:val="20"/>
        </w:rPr>
        <w:t>;30</w:t>
      </w:r>
      <w:proofErr w:type="gramEnd"/>
      <w:r w:rsidRPr="00AB49C8">
        <w:rPr>
          <w:rFonts w:ascii="Arial" w:eastAsia="Calibri" w:hAnsi="Arial" w:cs="Arial"/>
          <w:sz w:val="20"/>
          <w:szCs w:val="20"/>
        </w:rPr>
        <w:t>(8):489-505.</w:t>
      </w:r>
    </w:p>
    <w:p w:rsidR="00AB49C8" w:rsidRPr="00AB49C8" w:rsidRDefault="00AB49C8" w:rsidP="00AB49C8">
      <w:pPr>
        <w:numPr>
          <w:ilvl w:val="0"/>
          <w:numId w:val="3"/>
        </w:numPr>
        <w:spacing w:after="0" w:line="240" w:lineRule="auto"/>
        <w:rPr>
          <w:rFonts w:ascii="Arial" w:eastAsia="Calibri" w:hAnsi="Arial" w:cs="Arial"/>
          <w:sz w:val="20"/>
          <w:szCs w:val="20"/>
        </w:rPr>
      </w:pPr>
      <w:r w:rsidRPr="00AB49C8">
        <w:rPr>
          <w:rFonts w:ascii="Arial" w:eastAsia="Calibri" w:hAnsi="Arial" w:cs="Arial"/>
          <w:sz w:val="20"/>
          <w:szCs w:val="20"/>
        </w:rPr>
        <w:t xml:space="preserve">Schwartz S1, </w:t>
      </w:r>
      <w:proofErr w:type="spellStart"/>
      <w:r w:rsidRPr="00AB49C8">
        <w:rPr>
          <w:rFonts w:ascii="Arial" w:eastAsia="Calibri" w:hAnsi="Arial" w:cs="Arial"/>
          <w:sz w:val="20"/>
          <w:szCs w:val="20"/>
        </w:rPr>
        <w:t>Etropolski</w:t>
      </w:r>
      <w:proofErr w:type="spellEnd"/>
      <w:r w:rsidRPr="00AB49C8">
        <w:rPr>
          <w:rFonts w:ascii="Arial" w:eastAsia="Calibri" w:hAnsi="Arial" w:cs="Arial"/>
          <w:sz w:val="20"/>
          <w:szCs w:val="20"/>
        </w:rPr>
        <w:t xml:space="preserve"> M, Shapiro DY, Okamoto A, Lange R, </w:t>
      </w:r>
      <w:proofErr w:type="spellStart"/>
      <w:r w:rsidRPr="00AB49C8">
        <w:rPr>
          <w:rFonts w:ascii="Arial" w:eastAsia="Calibri" w:hAnsi="Arial" w:cs="Arial"/>
          <w:sz w:val="20"/>
          <w:szCs w:val="20"/>
        </w:rPr>
        <w:t>Haeussler</w:t>
      </w:r>
      <w:proofErr w:type="spellEnd"/>
      <w:r w:rsidRPr="00AB49C8">
        <w:rPr>
          <w:rFonts w:ascii="Arial" w:eastAsia="Calibri" w:hAnsi="Arial" w:cs="Arial"/>
          <w:sz w:val="20"/>
          <w:szCs w:val="20"/>
        </w:rPr>
        <w:t xml:space="preserve"> J, </w:t>
      </w:r>
      <w:proofErr w:type="spellStart"/>
      <w:r w:rsidRPr="00AB49C8">
        <w:rPr>
          <w:rFonts w:ascii="Arial" w:eastAsia="Calibri" w:hAnsi="Arial" w:cs="Arial"/>
          <w:sz w:val="20"/>
          <w:szCs w:val="20"/>
        </w:rPr>
        <w:t>Rauschkolb</w:t>
      </w:r>
      <w:proofErr w:type="spellEnd"/>
      <w:r w:rsidRPr="00AB49C8">
        <w:rPr>
          <w:rFonts w:ascii="Arial" w:eastAsia="Calibri" w:hAnsi="Arial" w:cs="Arial"/>
          <w:sz w:val="20"/>
          <w:szCs w:val="20"/>
        </w:rPr>
        <w:t xml:space="preserve"> C. Safety and efficacy of tapentadol ER in patients with painful diabetic peripheral neuropathy: results of a randomized-withdrawal, placebo-controlled trial. </w:t>
      </w:r>
      <w:proofErr w:type="spellStart"/>
      <w:r w:rsidRPr="00AB49C8">
        <w:rPr>
          <w:rFonts w:ascii="Arial" w:eastAsia="Calibri" w:hAnsi="Arial" w:cs="Arial"/>
          <w:sz w:val="20"/>
          <w:szCs w:val="20"/>
        </w:rPr>
        <w:t>Curr</w:t>
      </w:r>
      <w:proofErr w:type="spellEnd"/>
      <w:r w:rsidRPr="00AB49C8">
        <w:rPr>
          <w:rFonts w:ascii="Arial" w:eastAsia="Calibri" w:hAnsi="Arial" w:cs="Arial"/>
          <w:sz w:val="20"/>
          <w:szCs w:val="20"/>
        </w:rPr>
        <w:t xml:space="preserve"> Med Res </w:t>
      </w:r>
      <w:proofErr w:type="spellStart"/>
      <w:r w:rsidRPr="00AB49C8">
        <w:rPr>
          <w:rFonts w:ascii="Arial" w:eastAsia="Calibri" w:hAnsi="Arial" w:cs="Arial"/>
          <w:sz w:val="20"/>
          <w:szCs w:val="20"/>
        </w:rPr>
        <w:t>Opin</w:t>
      </w:r>
      <w:proofErr w:type="spellEnd"/>
      <w:r w:rsidRPr="00AB49C8">
        <w:rPr>
          <w:rFonts w:ascii="Arial" w:eastAsia="Calibri" w:hAnsi="Arial" w:cs="Arial"/>
          <w:sz w:val="20"/>
          <w:szCs w:val="20"/>
        </w:rPr>
        <w:t>. 2011 Jan</w:t>
      </w:r>
      <w:proofErr w:type="gramStart"/>
      <w:r w:rsidRPr="00AB49C8">
        <w:rPr>
          <w:rFonts w:ascii="Arial" w:eastAsia="Calibri" w:hAnsi="Arial" w:cs="Arial"/>
          <w:sz w:val="20"/>
          <w:szCs w:val="20"/>
        </w:rPr>
        <w:t>;27</w:t>
      </w:r>
      <w:proofErr w:type="gramEnd"/>
      <w:r w:rsidRPr="00AB49C8">
        <w:rPr>
          <w:rFonts w:ascii="Arial" w:eastAsia="Calibri" w:hAnsi="Arial" w:cs="Arial"/>
          <w:sz w:val="20"/>
          <w:szCs w:val="20"/>
        </w:rPr>
        <w:t>(1):151-62.</w:t>
      </w:r>
    </w:p>
    <w:p w:rsidR="00AB49C8" w:rsidRPr="00AB49C8" w:rsidRDefault="00AB49C8" w:rsidP="00AB49C8">
      <w:pPr>
        <w:numPr>
          <w:ilvl w:val="0"/>
          <w:numId w:val="3"/>
        </w:numPr>
        <w:spacing w:after="0" w:line="240" w:lineRule="auto"/>
        <w:rPr>
          <w:rFonts w:ascii="Arial" w:eastAsia="Calibri" w:hAnsi="Arial" w:cs="Arial"/>
          <w:sz w:val="20"/>
          <w:szCs w:val="20"/>
        </w:rPr>
      </w:pPr>
      <w:proofErr w:type="spellStart"/>
      <w:r w:rsidRPr="00AB49C8">
        <w:rPr>
          <w:rFonts w:ascii="Arial" w:eastAsia="Calibri" w:hAnsi="Arial" w:cs="Arial"/>
          <w:sz w:val="20"/>
          <w:szCs w:val="20"/>
        </w:rPr>
        <w:t>Vinik</w:t>
      </w:r>
      <w:proofErr w:type="spellEnd"/>
      <w:r w:rsidRPr="00AB49C8">
        <w:rPr>
          <w:rFonts w:ascii="Arial" w:eastAsia="Calibri" w:hAnsi="Arial" w:cs="Arial"/>
          <w:sz w:val="20"/>
          <w:szCs w:val="20"/>
        </w:rPr>
        <w:t xml:space="preserve"> AI, Shapiro DY, Rauschkolb C, Lange B, </w:t>
      </w:r>
      <w:proofErr w:type="spellStart"/>
      <w:r w:rsidRPr="00AB49C8">
        <w:rPr>
          <w:rFonts w:ascii="Arial" w:eastAsia="Calibri" w:hAnsi="Arial" w:cs="Arial"/>
          <w:sz w:val="20"/>
          <w:szCs w:val="20"/>
        </w:rPr>
        <w:t>Karcher</w:t>
      </w:r>
      <w:proofErr w:type="spellEnd"/>
      <w:r w:rsidRPr="00AB49C8">
        <w:rPr>
          <w:rFonts w:ascii="Arial" w:eastAsia="Calibri" w:hAnsi="Arial" w:cs="Arial"/>
          <w:sz w:val="20"/>
          <w:szCs w:val="20"/>
        </w:rPr>
        <w:t xml:space="preserve"> K, </w:t>
      </w:r>
      <w:proofErr w:type="spellStart"/>
      <w:r w:rsidRPr="00AB49C8">
        <w:rPr>
          <w:rFonts w:ascii="Arial" w:eastAsia="Calibri" w:hAnsi="Arial" w:cs="Arial"/>
          <w:sz w:val="20"/>
          <w:szCs w:val="20"/>
        </w:rPr>
        <w:t>Pennett</w:t>
      </w:r>
      <w:proofErr w:type="spellEnd"/>
      <w:r w:rsidRPr="00AB49C8">
        <w:rPr>
          <w:rFonts w:ascii="Arial" w:eastAsia="Calibri" w:hAnsi="Arial" w:cs="Arial"/>
          <w:sz w:val="20"/>
          <w:szCs w:val="20"/>
        </w:rPr>
        <w:t xml:space="preserve"> D, et al. A randomized withdrawal, placebo-controlled study evaluating the efficacy and tolerability of tapentadol extended release in patients with chronic painful diabetic peripheral neuropathy. Diabetes Care. 2014 Aug</w:t>
      </w:r>
      <w:proofErr w:type="gramStart"/>
      <w:r w:rsidRPr="00AB49C8">
        <w:rPr>
          <w:rFonts w:ascii="Arial" w:eastAsia="Calibri" w:hAnsi="Arial" w:cs="Arial"/>
          <w:sz w:val="20"/>
          <w:szCs w:val="20"/>
        </w:rPr>
        <w:t>;37</w:t>
      </w:r>
      <w:proofErr w:type="gramEnd"/>
      <w:r w:rsidRPr="00AB49C8">
        <w:rPr>
          <w:rFonts w:ascii="Arial" w:eastAsia="Calibri" w:hAnsi="Arial" w:cs="Arial"/>
          <w:sz w:val="20"/>
          <w:szCs w:val="20"/>
        </w:rPr>
        <w:t>(8):2302-9.</w:t>
      </w:r>
    </w:p>
    <w:p w:rsidR="00AB49C8" w:rsidRPr="00AB49C8" w:rsidRDefault="00AB49C8" w:rsidP="00AB49C8">
      <w:pPr>
        <w:numPr>
          <w:ilvl w:val="0"/>
          <w:numId w:val="3"/>
        </w:numPr>
        <w:spacing w:after="0" w:line="240" w:lineRule="auto"/>
        <w:rPr>
          <w:rFonts w:ascii="Arial" w:eastAsia="Calibri" w:hAnsi="Arial" w:cs="Arial"/>
          <w:sz w:val="20"/>
          <w:szCs w:val="20"/>
        </w:rPr>
      </w:pPr>
      <w:r w:rsidRPr="00AB49C8">
        <w:rPr>
          <w:rFonts w:ascii="Arial" w:eastAsia="Calibri" w:hAnsi="Arial" w:cs="Arial"/>
          <w:sz w:val="20"/>
          <w:szCs w:val="20"/>
        </w:rPr>
        <w:t xml:space="preserve">Wild JE, </w:t>
      </w:r>
      <w:proofErr w:type="spellStart"/>
      <w:r w:rsidRPr="00AB49C8">
        <w:rPr>
          <w:rFonts w:ascii="Arial" w:eastAsia="Calibri" w:hAnsi="Arial" w:cs="Arial"/>
          <w:sz w:val="20"/>
          <w:szCs w:val="20"/>
        </w:rPr>
        <w:t>Grond</w:t>
      </w:r>
      <w:proofErr w:type="spellEnd"/>
      <w:r w:rsidRPr="00AB49C8">
        <w:rPr>
          <w:rFonts w:ascii="Arial" w:eastAsia="Calibri" w:hAnsi="Arial" w:cs="Arial"/>
          <w:sz w:val="20"/>
          <w:szCs w:val="20"/>
        </w:rPr>
        <w:t xml:space="preserve"> S, </w:t>
      </w:r>
      <w:proofErr w:type="spellStart"/>
      <w:r w:rsidRPr="00AB49C8">
        <w:rPr>
          <w:rFonts w:ascii="Arial" w:eastAsia="Calibri" w:hAnsi="Arial" w:cs="Arial"/>
          <w:sz w:val="20"/>
          <w:szCs w:val="20"/>
        </w:rPr>
        <w:t>Kuperwasser</w:t>
      </w:r>
      <w:proofErr w:type="spellEnd"/>
      <w:r w:rsidRPr="00AB49C8">
        <w:rPr>
          <w:rFonts w:ascii="Arial" w:eastAsia="Calibri" w:hAnsi="Arial" w:cs="Arial"/>
          <w:sz w:val="20"/>
          <w:szCs w:val="20"/>
        </w:rPr>
        <w:t xml:space="preserve"> B, Gilbert J, McCann B, Lange B, et al. Long-term safety and tolerability of tapentadol extended release for the management of chronic low back pain or osteoarthritis pain. Pain </w:t>
      </w:r>
      <w:proofErr w:type="spellStart"/>
      <w:r w:rsidRPr="00AB49C8">
        <w:rPr>
          <w:rFonts w:ascii="Arial" w:eastAsia="Calibri" w:hAnsi="Arial" w:cs="Arial"/>
          <w:sz w:val="20"/>
          <w:szCs w:val="20"/>
        </w:rPr>
        <w:t>Pract</w:t>
      </w:r>
      <w:proofErr w:type="spellEnd"/>
      <w:r w:rsidRPr="00AB49C8">
        <w:rPr>
          <w:rFonts w:ascii="Arial" w:eastAsia="Calibri" w:hAnsi="Arial" w:cs="Arial"/>
          <w:sz w:val="20"/>
          <w:szCs w:val="20"/>
        </w:rPr>
        <w:t>. 2010 Sep-Oct</w:t>
      </w:r>
      <w:proofErr w:type="gramStart"/>
      <w:r w:rsidRPr="00AB49C8">
        <w:rPr>
          <w:rFonts w:ascii="Arial" w:eastAsia="Calibri" w:hAnsi="Arial" w:cs="Arial"/>
          <w:sz w:val="20"/>
          <w:szCs w:val="20"/>
        </w:rPr>
        <w:t>;10</w:t>
      </w:r>
      <w:proofErr w:type="gramEnd"/>
      <w:r w:rsidRPr="00AB49C8">
        <w:rPr>
          <w:rFonts w:ascii="Arial" w:eastAsia="Calibri" w:hAnsi="Arial" w:cs="Arial"/>
          <w:sz w:val="20"/>
          <w:szCs w:val="20"/>
        </w:rPr>
        <w:t>(5):416-27.</w:t>
      </w:r>
    </w:p>
    <w:p w:rsidR="00AB49C8" w:rsidRPr="00AB49C8" w:rsidRDefault="00AB49C8" w:rsidP="00AB49C8">
      <w:pPr>
        <w:numPr>
          <w:ilvl w:val="0"/>
          <w:numId w:val="3"/>
        </w:numPr>
        <w:spacing w:after="0" w:line="240" w:lineRule="auto"/>
        <w:rPr>
          <w:rFonts w:ascii="Arial" w:eastAsia="Calibri" w:hAnsi="Arial" w:cs="Arial"/>
          <w:sz w:val="20"/>
          <w:szCs w:val="20"/>
        </w:rPr>
      </w:pPr>
      <w:proofErr w:type="spellStart"/>
      <w:r w:rsidRPr="00AB49C8">
        <w:rPr>
          <w:rFonts w:ascii="Arial" w:eastAsia="Calibri" w:hAnsi="Arial" w:cs="Arial"/>
          <w:sz w:val="20"/>
          <w:szCs w:val="20"/>
        </w:rPr>
        <w:t>Imanaka</w:t>
      </w:r>
      <w:proofErr w:type="spellEnd"/>
      <w:r w:rsidRPr="00AB49C8">
        <w:rPr>
          <w:rFonts w:ascii="Arial" w:eastAsia="Calibri" w:hAnsi="Arial" w:cs="Arial"/>
          <w:sz w:val="20"/>
          <w:szCs w:val="20"/>
        </w:rPr>
        <w:t xml:space="preserve"> K, </w:t>
      </w:r>
      <w:proofErr w:type="spellStart"/>
      <w:r w:rsidRPr="00AB49C8">
        <w:rPr>
          <w:rFonts w:ascii="Arial" w:eastAsia="Calibri" w:hAnsi="Arial" w:cs="Arial"/>
          <w:sz w:val="20"/>
          <w:szCs w:val="20"/>
        </w:rPr>
        <w:t>Tominaga</w:t>
      </w:r>
      <w:proofErr w:type="spellEnd"/>
      <w:r w:rsidRPr="00AB49C8">
        <w:rPr>
          <w:rFonts w:ascii="Arial" w:eastAsia="Calibri" w:hAnsi="Arial" w:cs="Arial"/>
          <w:sz w:val="20"/>
          <w:szCs w:val="20"/>
        </w:rPr>
        <w:t xml:space="preserve"> Y, </w:t>
      </w:r>
      <w:proofErr w:type="spellStart"/>
      <w:r w:rsidRPr="00AB49C8">
        <w:rPr>
          <w:rFonts w:ascii="Arial" w:eastAsia="Calibri" w:hAnsi="Arial" w:cs="Arial"/>
          <w:sz w:val="20"/>
          <w:szCs w:val="20"/>
        </w:rPr>
        <w:t>Etropolski</w:t>
      </w:r>
      <w:proofErr w:type="spellEnd"/>
      <w:r w:rsidRPr="00AB49C8">
        <w:rPr>
          <w:rFonts w:ascii="Arial" w:eastAsia="Calibri" w:hAnsi="Arial" w:cs="Arial"/>
          <w:sz w:val="20"/>
          <w:szCs w:val="20"/>
        </w:rPr>
        <w:t xml:space="preserve"> M, van Hove I, </w:t>
      </w:r>
      <w:proofErr w:type="spellStart"/>
      <w:r w:rsidRPr="00AB49C8">
        <w:rPr>
          <w:rFonts w:ascii="Arial" w:eastAsia="Calibri" w:hAnsi="Arial" w:cs="Arial"/>
          <w:sz w:val="20"/>
          <w:szCs w:val="20"/>
        </w:rPr>
        <w:t>Ohsaka</w:t>
      </w:r>
      <w:proofErr w:type="spellEnd"/>
      <w:r w:rsidRPr="00AB49C8">
        <w:rPr>
          <w:rFonts w:ascii="Arial" w:eastAsia="Calibri" w:hAnsi="Arial" w:cs="Arial"/>
          <w:sz w:val="20"/>
          <w:szCs w:val="20"/>
        </w:rPr>
        <w:t xml:space="preserve"> M, </w:t>
      </w:r>
      <w:proofErr w:type="spellStart"/>
      <w:r w:rsidRPr="00AB49C8">
        <w:rPr>
          <w:rFonts w:ascii="Arial" w:eastAsia="Calibri" w:hAnsi="Arial" w:cs="Arial"/>
          <w:sz w:val="20"/>
          <w:szCs w:val="20"/>
        </w:rPr>
        <w:t>Wanibe</w:t>
      </w:r>
      <w:proofErr w:type="spellEnd"/>
      <w:r w:rsidRPr="00AB49C8">
        <w:rPr>
          <w:rFonts w:ascii="Arial" w:eastAsia="Calibri" w:hAnsi="Arial" w:cs="Arial"/>
          <w:sz w:val="20"/>
          <w:szCs w:val="20"/>
        </w:rPr>
        <w:t xml:space="preserve"> M, et al. Efficacy and safety of oral tapentadol extended release in Japanese and Korean patients with moderate to severe, chronic malignant tumor-related pain. </w:t>
      </w:r>
      <w:proofErr w:type="spellStart"/>
      <w:r w:rsidRPr="00AB49C8">
        <w:rPr>
          <w:rFonts w:ascii="Arial" w:eastAsia="Calibri" w:hAnsi="Arial" w:cs="Arial"/>
          <w:sz w:val="20"/>
          <w:szCs w:val="20"/>
        </w:rPr>
        <w:t>Curr</w:t>
      </w:r>
      <w:proofErr w:type="spellEnd"/>
      <w:r w:rsidRPr="00AB49C8">
        <w:rPr>
          <w:rFonts w:ascii="Arial" w:eastAsia="Calibri" w:hAnsi="Arial" w:cs="Arial"/>
          <w:sz w:val="20"/>
          <w:szCs w:val="20"/>
        </w:rPr>
        <w:t xml:space="preserve"> Med Res </w:t>
      </w:r>
      <w:proofErr w:type="spellStart"/>
      <w:r w:rsidRPr="00AB49C8">
        <w:rPr>
          <w:rFonts w:ascii="Arial" w:eastAsia="Calibri" w:hAnsi="Arial" w:cs="Arial"/>
          <w:sz w:val="20"/>
          <w:szCs w:val="20"/>
        </w:rPr>
        <w:t>Opin</w:t>
      </w:r>
      <w:proofErr w:type="spellEnd"/>
      <w:r w:rsidRPr="00AB49C8">
        <w:rPr>
          <w:rFonts w:ascii="Arial" w:eastAsia="Calibri" w:hAnsi="Arial" w:cs="Arial"/>
          <w:sz w:val="20"/>
          <w:szCs w:val="20"/>
        </w:rPr>
        <w:t>. 2013 Oct</w:t>
      </w:r>
      <w:proofErr w:type="gramStart"/>
      <w:r w:rsidRPr="00AB49C8">
        <w:rPr>
          <w:rFonts w:ascii="Arial" w:eastAsia="Calibri" w:hAnsi="Arial" w:cs="Arial"/>
          <w:sz w:val="20"/>
          <w:szCs w:val="20"/>
        </w:rPr>
        <w:t>;29</w:t>
      </w:r>
      <w:proofErr w:type="gramEnd"/>
      <w:r w:rsidRPr="00AB49C8">
        <w:rPr>
          <w:rFonts w:ascii="Arial" w:eastAsia="Calibri" w:hAnsi="Arial" w:cs="Arial"/>
          <w:sz w:val="20"/>
          <w:szCs w:val="20"/>
        </w:rPr>
        <w:t>(10):1399-409.</w:t>
      </w:r>
    </w:p>
    <w:p w:rsidR="00AB49C8" w:rsidRPr="00AB49C8" w:rsidRDefault="00AB49C8" w:rsidP="00AB49C8">
      <w:pPr>
        <w:numPr>
          <w:ilvl w:val="0"/>
          <w:numId w:val="3"/>
        </w:numPr>
        <w:spacing w:after="0" w:line="240" w:lineRule="auto"/>
        <w:rPr>
          <w:rFonts w:ascii="Arial" w:eastAsia="Calibri" w:hAnsi="Arial" w:cs="Arial"/>
          <w:sz w:val="20"/>
          <w:szCs w:val="20"/>
        </w:rPr>
      </w:pPr>
      <w:proofErr w:type="spellStart"/>
      <w:r w:rsidRPr="00AB49C8">
        <w:rPr>
          <w:rFonts w:ascii="Arial" w:eastAsia="Calibri" w:hAnsi="Arial" w:cs="Arial"/>
          <w:sz w:val="20"/>
          <w:szCs w:val="20"/>
        </w:rPr>
        <w:t>Imanaka</w:t>
      </w:r>
      <w:proofErr w:type="spellEnd"/>
      <w:r w:rsidRPr="00AB49C8">
        <w:rPr>
          <w:rFonts w:ascii="Arial" w:eastAsia="Calibri" w:hAnsi="Arial" w:cs="Arial"/>
          <w:sz w:val="20"/>
          <w:szCs w:val="20"/>
        </w:rPr>
        <w:t xml:space="preserve"> K, </w:t>
      </w:r>
      <w:proofErr w:type="spellStart"/>
      <w:r w:rsidRPr="00AB49C8">
        <w:rPr>
          <w:rFonts w:ascii="Arial" w:eastAsia="Calibri" w:hAnsi="Arial" w:cs="Arial"/>
          <w:sz w:val="20"/>
          <w:szCs w:val="20"/>
        </w:rPr>
        <w:t>Tominaga</w:t>
      </w:r>
      <w:proofErr w:type="spellEnd"/>
      <w:r w:rsidRPr="00AB49C8">
        <w:rPr>
          <w:rFonts w:ascii="Arial" w:eastAsia="Calibri" w:hAnsi="Arial" w:cs="Arial"/>
          <w:sz w:val="20"/>
          <w:szCs w:val="20"/>
        </w:rPr>
        <w:t xml:space="preserve"> Y, </w:t>
      </w:r>
      <w:proofErr w:type="spellStart"/>
      <w:r w:rsidRPr="00AB49C8">
        <w:rPr>
          <w:rFonts w:ascii="Arial" w:eastAsia="Calibri" w:hAnsi="Arial" w:cs="Arial"/>
          <w:sz w:val="20"/>
          <w:szCs w:val="20"/>
        </w:rPr>
        <w:t>Etropolski</w:t>
      </w:r>
      <w:proofErr w:type="spellEnd"/>
      <w:r w:rsidRPr="00AB49C8">
        <w:rPr>
          <w:rFonts w:ascii="Arial" w:eastAsia="Calibri" w:hAnsi="Arial" w:cs="Arial"/>
          <w:sz w:val="20"/>
          <w:szCs w:val="20"/>
        </w:rPr>
        <w:t xml:space="preserve"> M, </w:t>
      </w:r>
      <w:proofErr w:type="spellStart"/>
      <w:r w:rsidRPr="00AB49C8">
        <w:rPr>
          <w:rFonts w:ascii="Arial" w:eastAsia="Calibri" w:hAnsi="Arial" w:cs="Arial"/>
          <w:sz w:val="20"/>
          <w:szCs w:val="20"/>
        </w:rPr>
        <w:t>Ohashi</w:t>
      </w:r>
      <w:proofErr w:type="spellEnd"/>
      <w:r w:rsidRPr="00AB49C8">
        <w:rPr>
          <w:rFonts w:ascii="Arial" w:eastAsia="Calibri" w:hAnsi="Arial" w:cs="Arial"/>
          <w:sz w:val="20"/>
          <w:szCs w:val="20"/>
        </w:rPr>
        <w:t xml:space="preserve"> H, Hirose K, Matsumura T. Ready conversion of patients with well-controlled, moderate to severe, chronic malignant tumor-related pain on other opioids to tapentadol extended release. </w:t>
      </w:r>
      <w:proofErr w:type="spellStart"/>
      <w:r w:rsidRPr="00AB49C8">
        <w:rPr>
          <w:rFonts w:ascii="Arial" w:eastAsia="Calibri" w:hAnsi="Arial" w:cs="Arial"/>
          <w:sz w:val="20"/>
          <w:szCs w:val="20"/>
        </w:rPr>
        <w:t>Clin</w:t>
      </w:r>
      <w:proofErr w:type="spellEnd"/>
      <w:r w:rsidRPr="00AB49C8">
        <w:rPr>
          <w:rFonts w:ascii="Arial" w:eastAsia="Calibri" w:hAnsi="Arial" w:cs="Arial"/>
          <w:sz w:val="20"/>
          <w:szCs w:val="20"/>
        </w:rPr>
        <w:t xml:space="preserve"> Drug </w:t>
      </w:r>
      <w:proofErr w:type="spellStart"/>
      <w:r w:rsidRPr="00AB49C8">
        <w:rPr>
          <w:rFonts w:ascii="Arial" w:eastAsia="Calibri" w:hAnsi="Arial" w:cs="Arial"/>
          <w:sz w:val="20"/>
          <w:szCs w:val="20"/>
        </w:rPr>
        <w:t>Investig</w:t>
      </w:r>
      <w:proofErr w:type="spellEnd"/>
      <w:r w:rsidRPr="00AB49C8">
        <w:rPr>
          <w:rFonts w:ascii="Arial" w:eastAsia="Calibri" w:hAnsi="Arial" w:cs="Arial"/>
          <w:sz w:val="20"/>
          <w:szCs w:val="20"/>
        </w:rPr>
        <w:t>. 2014 Jul</w:t>
      </w:r>
      <w:proofErr w:type="gramStart"/>
      <w:r w:rsidRPr="00AB49C8">
        <w:rPr>
          <w:rFonts w:ascii="Arial" w:eastAsia="Calibri" w:hAnsi="Arial" w:cs="Arial"/>
          <w:sz w:val="20"/>
          <w:szCs w:val="20"/>
        </w:rPr>
        <w:t>;34</w:t>
      </w:r>
      <w:proofErr w:type="gramEnd"/>
      <w:r w:rsidRPr="00AB49C8">
        <w:rPr>
          <w:rFonts w:ascii="Arial" w:eastAsia="Calibri" w:hAnsi="Arial" w:cs="Arial"/>
          <w:sz w:val="20"/>
          <w:szCs w:val="20"/>
        </w:rPr>
        <w:t>(7):501-11.</w:t>
      </w:r>
    </w:p>
    <w:p w:rsidR="00AB49C8" w:rsidRPr="00AB49C8" w:rsidRDefault="00AB49C8" w:rsidP="00AB49C8">
      <w:pPr>
        <w:numPr>
          <w:ilvl w:val="0"/>
          <w:numId w:val="3"/>
        </w:numPr>
        <w:spacing w:after="0" w:line="240" w:lineRule="auto"/>
        <w:rPr>
          <w:rFonts w:ascii="Arial" w:eastAsia="Calibri" w:hAnsi="Arial" w:cs="Arial"/>
          <w:sz w:val="20"/>
          <w:szCs w:val="20"/>
        </w:rPr>
      </w:pPr>
      <w:proofErr w:type="spellStart"/>
      <w:r w:rsidRPr="00AB49C8">
        <w:rPr>
          <w:rFonts w:ascii="Arial" w:eastAsia="Calibri" w:hAnsi="Arial" w:cs="Arial"/>
          <w:sz w:val="20"/>
          <w:szCs w:val="20"/>
        </w:rPr>
        <w:t>Buynak</w:t>
      </w:r>
      <w:proofErr w:type="spellEnd"/>
      <w:r w:rsidRPr="00AB49C8">
        <w:rPr>
          <w:rFonts w:ascii="Arial" w:eastAsia="Calibri" w:hAnsi="Arial" w:cs="Arial"/>
          <w:sz w:val="20"/>
          <w:szCs w:val="20"/>
        </w:rPr>
        <w:t xml:space="preserve"> R, Rappaport SA, Rod K, Arsenault P, </w:t>
      </w:r>
      <w:proofErr w:type="spellStart"/>
      <w:r w:rsidRPr="00AB49C8">
        <w:rPr>
          <w:rFonts w:ascii="Arial" w:eastAsia="Calibri" w:hAnsi="Arial" w:cs="Arial"/>
          <w:sz w:val="20"/>
          <w:szCs w:val="20"/>
        </w:rPr>
        <w:t>Heisig</w:t>
      </w:r>
      <w:proofErr w:type="spellEnd"/>
      <w:r w:rsidRPr="00AB49C8">
        <w:rPr>
          <w:rFonts w:ascii="Arial" w:eastAsia="Calibri" w:hAnsi="Arial" w:cs="Arial"/>
          <w:sz w:val="20"/>
          <w:szCs w:val="20"/>
        </w:rPr>
        <w:t xml:space="preserve"> F, </w:t>
      </w:r>
      <w:proofErr w:type="spellStart"/>
      <w:r w:rsidRPr="00AB49C8">
        <w:rPr>
          <w:rFonts w:ascii="Arial" w:eastAsia="Calibri" w:hAnsi="Arial" w:cs="Arial"/>
          <w:sz w:val="20"/>
          <w:szCs w:val="20"/>
        </w:rPr>
        <w:t>Rauschkolb</w:t>
      </w:r>
      <w:proofErr w:type="spellEnd"/>
      <w:r w:rsidRPr="00AB49C8">
        <w:rPr>
          <w:rFonts w:ascii="Arial" w:eastAsia="Calibri" w:hAnsi="Arial" w:cs="Arial"/>
          <w:sz w:val="20"/>
          <w:szCs w:val="20"/>
        </w:rPr>
        <w:t xml:space="preserve"> C, et al. Long-term Safety and Efficacy of Tapentadol Extended Release Following up to 2 Years of Treatment in Patients With Moderate to Severe, Chronic Pain: Results of an Open-label Extension Trial. </w:t>
      </w:r>
      <w:proofErr w:type="spellStart"/>
      <w:r w:rsidRPr="00AB49C8">
        <w:rPr>
          <w:rFonts w:ascii="Arial" w:eastAsia="Calibri" w:hAnsi="Arial" w:cs="Arial"/>
          <w:sz w:val="20"/>
          <w:szCs w:val="20"/>
        </w:rPr>
        <w:t>Clin</w:t>
      </w:r>
      <w:proofErr w:type="spellEnd"/>
      <w:r w:rsidRPr="00AB49C8">
        <w:rPr>
          <w:rFonts w:ascii="Arial" w:eastAsia="Calibri" w:hAnsi="Arial" w:cs="Arial"/>
          <w:sz w:val="20"/>
          <w:szCs w:val="20"/>
        </w:rPr>
        <w:t xml:space="preserve"> </w:t>
      </w:r>
      <w:proofErr w:type="spellStart"/>
      <w:r w:rsidRPr="00AB49C8">
        <w:rPr>
          <w:rFonts w:ascii="Arial" w:eastAsia="Calibri" w:hAnsi="Arial" w:cs="Arial"/>
          <w:sz w:val="20"/>
          <w:szCs w:val="20"/>
        </w:rPr>
        <w:t>Ther</w:t>
      </w:r>
      <w:proofErr w:type="spellEnd"/>
      <w:r w:rsidRPr="00AB49C8">
        <w:rPr>
          <w:rFonts w:ascii="Arial" w:eastAsia="Calibri" w:hAnsi="Arial" w:cs="Arial"/>
          <w:sz w:val="20"/>
          <w:szCs w:val="20"/>
        </w:rPr>
        <w:t>. 2015 Nov 1</w:t>
      </w:r>
      <w:proofErr w:type="gramStart"/>
      <w:r w:rsidRPr="00AB49C8">
        <w:rPr>
          <w:rFonts w:ascii="Arial" w:eastAsia="Calibri" w:hAnsi="Arial" w:cs="Arial"/>
          <w:sz w:val="20"/>
          <w:szCs w:val="20"/>
        </w:rPr>
        <w:t>;37</w:t>
      </w:r>
      <w:proofErr w:type="gramEnd"/>
      <w:r w:rsidRPr="00AB49C8">
        <w:rPr>
          <w:rFonts w:ascii="Arial" w:eastAsia="Calibri" w:hAnsi="Arial" w:cs="Arial"/>
          <w:sz w:val="20"/>
          <w:szCs w:val="20"/>
        </w:rPr>
        <w:t>(11):2420-38.</w:t>
      </w:r>
    </w:p>
    <w:p w:rsidR="00AB49C8" w:rsidRPr="00AB49C8" w:rsidRDefault="00AB49C8" w:rsidP="00AB49C8">
      <w:pPr>
        <w:numPr>
          <w:ilvl w:val="0"/>
          <w:numId w:val="3"/>
        </w:numPr>
        <w:spacing w:after="0" w:line="240" w:lineRule="auto"/>
        <w:rPr>
          <w:rFonts w:ascii="Arial" w:eastAsia="Calibri" w:hAnsi="Arial" w:cs="Arial"/>
          <w:sz w:val="20"/>
          <w:szCs w:val="20"/>
        </w:rPr>
      </w:pPr>
      <w:proofErr w:type="spellStart"/>
      <w:r w:rsidRPr="00AB49C8">
        <w:rPr>
          <w:rFonts w:ascii="Arial" w:eastAsia="Calibri" w:hAnsi="Arial" w:cs="Arial"/>
          <w:sz w:val="20"/>
          <w:szCs w:val="20"/>
        </w:rPr>
        <w:t>Galia</w:t>
      </w:r>
      <w:proofErr w:type="spellEnd"/>
      <w:r w:rsidRPr="00AB49C8">
        <w:rPr>
          <w:rFonts w:ascii="Arial" w:eastAsia="Calibri" w:hAnsi="Arial" w:cs="Arial"/>
          <w:sz w:val="20"/>
          <w:szCs w:val="20"/>
        </w:rPr>
        <w:t xml:space="preserve"> E, Williams Y, Van Hove B, </w:t>
      </w:r>
      <w:proofErr w:type="spellStart"/>
      <w:r w:rsidRPr="00AB49C8">
        <w:rPr>
          <w:rFonts w:ascii="Arial" w:eastAsia="Calibri" w:hAnsi="Arial" w:cs="Arial"/>
          <w:sz w:val="20"/>
          <w:szCs w:val="20"/>
        </w:rPr>
        <w:t>Pergolizzi</w:t>
      </w:r>
      <w:proofErr w:type="spellEnd"/>
      <w:r w:rsidRPr="00AB49C8">
        <w:rPr>
          <w:rFonts w:ascii="Arial" w:eastAsia="Calibri" w:hAnsi="Arial" w:cs="Arial"/>
          <w:sz w:val="20"/>
          <w:szCs w:val="20"/>
        </w:rPr>
        <w:t xml:space="preserve"> J, </w:t>
      </w:r>
      <w:proofErr w:type="spellStart"/>
      <w:r w:rsidRPr="00AB49C8">
        <w:rPr>
          <w:rFonts w:ascii="Arial" w:eastAsia="Calibri" w:hAnsi="Arial" w:cs="Arial"/>
          <w:sz w:val="20"/>
          <w:szCs w:val="20"/>
        </w:rPr>
        <w:t>Etropolski</w:t>
      </w:r>
      <w:proofErr w:type="spellEnd"/>
      <w:r w:rsidRPr="00AB49C8">
        <w:rPr>
          <w:rFonts w:ascii="Arial" w:eastAsia="Calibri" w:hAnsi="Arial" w:cs="Arial"/>
          <w:sz w:val="20"/>
          <w:szCs w:val="20"/>
        </w:rPr>
        <w:t xml:space="preserve"> M, </w:t>
      </w:r>
      <w:proofErr w:type="spellStart"/>
      <w:r w:rsidRPr="00AB49C8">
        <w:rPr>
          <w:rFonts w:ascii="Arial" w:eastAsia="Calibri" w:hAnsi="Arial" w:cs="Arial"/>
          <w:sz w:val="20"/>
          <w:szCs w:val="20"/>
        </w:rPr>
        <w:t>Vorsanger</w:t>
      </w:r>
      <w:proofErr w:type="spellEnd"/>
      <w:r w:rsidRPr="00AB49C8">
        <w:rPr>
          <w:rFonts w:ascii="Arial" w:eastAsia="Calibri" w:hAnsi="Arial" w:cs="Arial"/>
          <w:sz w:val="20"/>
          <w:szCs w:val="20"/>
        </w:rPr>
        <w:t xml:space="preserve"> G. Evaluation of the tamper-resistant properties of tapentadol extended-release tablets: results of in vitro laboratory analyses. J Opioid </w:t>
      </w:r>
      <w:proofErr w:type="spellStart"/>
      <w:r w:rsidRPr="00AB49C8">
        <w:rPr>
          <w:rFonts w:ascii="Arial" w:eastAsia="Calibri" w:hAnsi="Arial" w:cs="Arial"/>
          <w:sz w:val="20"/>
          <w:szCs w:val="20"/>
        </w:rPr>
        <w:t>Manag</w:t>
      </w:r>
      <w:proofErr w:type="spellEnd"/>
      <w:r w:rsidRPr="00AB49C8">
        <w:rPr>
          <w:rFonts w:ascii="Arial" w:eastAsia="Calibri" w:hAnsi="Arial" w:cs="Arial"/>
          <w:sz w:val="20"/>
          <w:szCs w:val="20"/>
        </w:rPr>
        <w:t>. 2014 May-Jun</w:t>
      </w:r>
      <w:proofErr w:type="gramStart"/>
      <w:r w:rsidRPr="00AB49C8">
        <w:rPr>
          <w:rFonts w:ascii="Arial" w:eastAsia="Calibri" w:hAnsi="Arial" w:cs="Arial"/>
          <w:sz w:val="20"/>
          <w:szCs w:val="20"/>
        </w:rPr>
        <w:t>;10</w:t>
      </w:r>
      <w:proofErr w:type="gramEnd"/>
      <w:r w:rsidRPr="00AB49C8">
        <w:rPr>
          <w:rFonts w:ascii="Arial" w:eastAsia="Calibri" w:hAnsi="Arial" w:cs="Arial"/>
          <w:sz w:val="20"/>
          <w:szCs w:val="20"/>
        </w:rPr>
        <w:t>(3):149-58.</w:t>
      </w:r>
    </w:p>
    <w:p w:rsidR="00AB49C8" w:rsidRPr="00AB49C8" w:rsidRDefault="00AB49C8" w:rsidP="00AB49C8">
      <w:pPr>
        <w:numPr>
          <w:ilvl w:val="0"/>
          <w:numId w:val="3"/>
        </w:numPr>
        <w:spacing w:after="0" w:line="240" w:lineRule="auto"/>
        <w:rPr>
          <w:rFonts w:ascii="Arial" w:eastAsia="Calibri" w:hAnsi="Arial" w:cs="Arial"/>
          <w:sz w:val="20"/>
          <w:szCs w:val="20"/>
        </w:rPr>
      </w:pPr>
      <w:proofErr w:type="spellStart"/>
      <w:r w:rsidRPr="00AB49C8">
        <w:rPr>
          <w:rFonts w:ascii="Arial" w:eastAsia="Calibri" w:hAnsi="Arial" w:cs="Arial"/>
          <w:sz w:val="20"/>
          <w:szCs w:val="20"/>
        </w:rPr>
        <w:t>Vosburg</w:t>
      </w:r>
      <w:proofErr w:type="spellEnd"/>
      <w:r w:rsidRPr="00AB49C8">
        <w:rPr>
          <w:rFonts w:ascii="Arial" w:eastAsia="Calibri" w:hAnsi="Arial" w:cs="Arial"/>
          <w:sz w:val="20"/>
          <w:szCs w:val="20"/>
        </w:rPr>
        <w:t xml:space="preserve"> SK, Jones JD, </w:t>
      </w:r>
      <w:proofErr w:type="spellStart"/>
      <w:r w:rsidRPr="00AB49C8">
        <w:rPr>
          <w:rFonts w:ascii="Arial" w:eastAsia="Calibri" w:hAnsi="Arial" w:cs="Arial"/>
          <w:sz w:val="20"/>
          <w:szCs w:val="20"/>
        </w:rPr>
        <w:t>Manubay</w:t>
      </w:r>
      <w:proofErr w:type="spellEnd"/>
      <w:r w:rsidRPr="00AB49C8">
        <w:rPr>
          <w:rFonts w:ascii="Arial" w:eastAsia="Calibri" w:hAnsi="Arial" w:cs="Arial"/>
          <w:sz w:val="20"/>
          <w:szCs w:val="20"/>
        </w:rPr>
        <w:t xml:space="preserve"> JM, Ashworth JB, Shapiro DY, Comer SD. A comparison among tapentadol tamper-resistant formulations (TRF) and OxyContin</w:t>
      </w:r>
      <w:r w:rsidRPr="00AB49C8">
        <w:rPr>
          <w:rFonts w:ascii="Arial" w:eastAsia="Calibri" w:hAnsi="Arial" w:cs="Arial"/>
          <w:sz w:val="20"/>
          <w:szCs w:val="20"/>
          <w:vertAlign w:val="superscript"/>
        </w:rPr>
        <w:t>®</w:t>
      </w:r>
      <w:r w:rsidRPr="00AB49C8">
        <w:rPr>
          <w:rFonts w:ascii="Arial" w:eastAsia="Calibri" w:hAnsi="Arial" w:cs="Arial"/>
          <w:sz w:val="20"/>
          <w:szCs w:val="20"/>
        </w:rPr>
        <w:t xml:space="preserve"> (non-TRF) in prescription opioid abusers. Addiction. 2013 Jun</w:t>
      </w:r>
      <w:proofErr w:type="gramStart"/>
      <w:r w:rsidRPr="00AB49C8">
        <w:rPr>
          <w:rFonts w:ascii="Arial" w:eastAsia="Calibri" w:hAnsi="Arial" w:cs="Arial"/>
          <w:sz w:val="20"/>
          <w:szCs w:val="20"/>
        </w:rPr>
        <w:t>;108</w:t>
      </w:r>
      <w:proofErr w:type="gramEnd"/>
      <w:r w:rsidRPr="00AB49C8">
        <w:rPr>
          <w:rFonts w:ascii="Arial" w:eastAsia="Calibri" w:hAnsi="Arial" w:cs="Arial"/>
          <w:sz w:val="20"/>
          <w:szCs w:val="20"/>
        </w:rPr>
        <w:t>(6):1095-106.</w:t>
      </w:r>
    </w:p>
    <w:p w:rsidR="00AB49C8" w:rsidRPr="00AB49C8" w:rsidRDefault="00AB49C8" w:rsidP="00AB49C8">
      <w:pPr>
        <w:numPr>
          <w:ilvl w:val="0"/>
          <w:numId w:val="3"/>
        </w:numPr>
        <w:spacing w:after="0" w:line="240" w:lineRule="auto"/>
        <w:rPr>
          <w:rFonts w:ascii="Arial" w:eastAsia="Calibri" w:hAnsi="Arial" w:cs="Arial"/>
          <w:sz w:val="20"/>
          <w:szCs w:val="20"/>
        </w:rPr>
      </w:pPr>
      <w:r w:rsidRPr="00AB49C8">
        <w:rPr>
          <w:rFonts w:ascii="Arial" w:eastAsia="Calibri" w:hAnsi="Arial" w:cs="Arial"/>
          <w:sz w:val="20"/>
          <w:szCs w:val="20"/>
        </w:rPr>
        <w:t>U.S. Food and Drug Administration. Opioid Medications; Information on Opioid Medications [webpage on the internet]. Silver Spring (MD): U.S. Food and Drug Administration; 2015 Nov 25 [cited 2015 Dec 3]. Available at: http://www.fda.gov/Drugs/DrugSafety/InformationbyDrugClass/ucm337066.htm</w:t>
      </w:r>
    </w:p>
    <w:p w:rsidR="00AB49C8" w:rsidRPr="00AB49C8" w:rsidRDefault="00AB49C8" w:rsidP="00AB49C8">
      <w:pPr>
        <w:numPr>
          <w:ilvl w:val="0"/>
          <w:numId w:val="3"/>
        </w:numPr>
        <w:spacing w:after="0" w:line="240" w:lineRule="auto"/>
        <w:rPr>
          <w:rFonts w:ascii="Arial" w:eastAsia="Calibri" w:hAnsi="Arial" w:cs="Arial"/>
          <w:sz w:val="20"/>
          <w:szCs w:val="20"/>
        </w:rPr>
      </w:pPr>
      <w:r w:rsidRPr="00AB49C8">
        <w:rPr>
          <w:rFonts w:ascii="Arial" w:eastAsia="Calibri" w:hAnsi="Arial" w:cs="Arial"/>
          <w:sz w:val="20"/>
          <w:szCs w:val="20"/>
        </w:rPr>
        <w:t>Micromedex</w:t>
      </w:r>
      <w:r w:rsidRPr="00AB49C8">
        <w:rPr>
          <w:rFonts w:ascii="Arial" w:eastAsia="Calibri" w:hAnsi="Arial" w:cs="Arial"/>
          <w:sz w:val="20"/>
          <w:szCs w:val="20"/>
          <w:vertAlign w:val="superscript"/>
        </w:rPr>
        <w:t>®</w:t>
      </w:r>
      <w:r w:rsidRPr="00AB49C8">
        <w:rPr>
          <w:rFonts w:ascii="Arial" w:eastAsia="Calibri" w:hAnsi="Arial" w:cs="Arial"/>
          <w:sz w:val="20"/>
          <w:szCs w:val="20"/>
        </w:rPr>
        <w:t xml:space="preserve"> Healthcare Series DRUGDEX</w:t>
      </w:r>
      <w:r w:rsidRPr="00AB49C8">
        <w:rPr>
          <w:rFonts w:ascii="Arial" w:eastAsia="Calibri" w:hAnsi="Arial" w:cs="Arial"/>
          <w:sz w:val="20"/>
          <w:szCs w:val="20"/>
          <w:vertAlign w:val="superscript"/>
        </w:rPr>
        <w:t>®</w:t>
      </w:r>
      <w:r w:rsidRPr="00AB49C8">
        <w:rPr>
          <w:rFonts w:ascii="Arial" w:eastAsia="Calibri" w:hAnsi="Arial" w:cs="Arial"/>
          <w:sz w:val="20"/>
          <w:szCs w:val="20"/>
        </w:rPr>
        <w:t xml:space="preserve"> [database on the internet]. Greenwood Village (CO): </w:t>
      </w:r>
      <w:proofErr w:type="spellStart"/>
      <w:r w:rsidRPr="00AB49C8">
        <w:rPr>
          <w:rFonts w:ascii="Arial" w:eastAsia="Calibri" w:hAnsi="Arial" w:cs="Arial"/>
          <w:sz w:val="20"/>
          <w:szCs w:val="20"/>
        </w:rPr>
        <w:t>Truven</w:t>
      </w:r>
      <w:proofErr w:type="spellEnd"/>
      <w:r w:rsidRPr="00AB49C8">
        <w:rPr>
          <w:rFonts w:ascii="Arial" w:eastAsia="Calibri" w:hAnsi="Arial" w:cs="Arial"/>
          <w:sz w:val="20"/>
          <w:szCs w:val="20"/>
        </w:rPr>
        <w:t xml:space="preserve"> Health Analytics; Updated periodically [cited 2015 Dec 8]. Available from: </w:t>
      </w:r>
      <w:hyperlink r:id="rId6" w:history="1">
        <w:r w:rsidRPr="00AB49C8">
          <w:rPr>
            <w:rStyle w:val="Hyperlink"/>
            <w:rFonts w:ascii="Arial" w:eastAsia="Calibri" w:hAnsi="Arial" w:cs="Arial"/>
            <w:sz w:val="20"/>
            <w:szCs w:val="20"/>
          </w:rPr>
          <w:t>http://www.micromedexsolutions.com/</w:t>
        </w:r>
      </w:hyperlink>
      <w:r w:rsidRPr="00AB49C8">
        <w:rPr>
          <w:rFonts w:ascii="Arial" w:eastAsia="Calibri" w:hAnsi="Arial" w:cs="Arial"/>
          <w:sz w:val="20"/>
          <w:szCs w:val="20"/>
        </w:rPr>
        <w:t>.</w:t>
      </w:r>
    </w:p>
    <w:p w:rsidR="00396948" w:rsidRPr="00396948" w:rsidRDefault="00396948" w:rsidP="00396948">
      <w:pPr>
        <w:spacing w:after="0" w:line="240" w:lineRule="auto"/>
        <w:ind w:left="360"/>
        <w:rPr>
          <w:rFonts w:ascii="Arial" w:eastAsia="Calibri" w:hAnsi="Arial" w:cs="Arial"/>
          <w:sz w:val="20"/>
          <w:szCs w:val="20"/>
        </w:rPr>
      </w:pPr>
    </w:p>
    <w:p w:rsidR="00B529CA" w:rsidRPr="00396948" w:rsidRDefault="00B529CA">
      <w:pPr>
        <w:rPr>
          <w:rFonts w:ascii="Arial" w:hAnsi="Arial" w:cs="Arial"/>
          <w:sz w:val="20"/>
          <w:szCs w:val="20"/>
        </w:rPr>
      </w:pPr>
    </w:p>
    <w:sectPr w:rsidR="00B529CA" w:rsidRPr="003969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07995"/>
    <w:multiLevelType w:val="hybridMultilevel"/>
    <w:tmpl w:val="E5E066D8"/>
    <w:lvl w:ilvl="0" w:tplc="02C23B20">
      <w:start w:val="1"/>
      <w:numFmt w:val="decimal"/>
      <w:lvlText w:val="%1."/>
      <w:lvlJc w:val="left"/>
      <w:pPr>
        <w:ind w:left="360" w:hanging="360"/>
      </w:pPr>
      <w:rPr>
        <w:rFonts w:ascii="Arial" w:eastAsia="Calibri" w:hAnsi="Arial" w:cs="Arial"/>
        <w:b w:val="0"/>
        <w:color w:val="auto"/>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7F032F3"/>
    <w:multiLevelType w:val="hybridMultilevel"/>
    <w:tmpl w:val="AE4C4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948"/>
    <w:rsid w:val="00396948"/>
    <w:rsid w:val="00537847"/>
    <w:rsid w:val="00AB49C8"/>
    <w:rsid w:val="00AC604C"/>
    <w:rsid w:val="00B529CA"/>
    <w:rsid w:val="00DF459F"/>
    <w:rsid w:val="00F40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96948"/>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396948"/>
    <w:rPr>
      <w:rFonts w:ascii="Calibri" w:eastAsia="Calibri" w:hAnsi="Calibri" w:cs="Times New Roman"/>
    </w:rPr>
  </w:style>
  <w:style w:type="character" w:styleId="Hyperlink">
    <w:name w:val="Hyperlink"/>
    <w:basedOn w:val="DefaultParagraphFont"/>
    <w:uiPriority w:val="99"/>
    <w:unhideWhenUsed/>
    <w:rsid w:val="00AB49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96948"/>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396948"/>
    <w:rPr>
      <w:rFonts w:ascii="Calibri" w:eastAsia="Calibri" w:hAnsi="Calibri" w:cs="Times New Roman"/>
    </w:rPr>
  </w:style>
  <w:style w:type="character" w:styleId="Hyperlink">
    <w:name w:val="Hyperlink"/>
    <w:basedOn w:val="DefaultParagraphFont"/>
    <w:uiPriority w:val="99"/>
    <w:unhideWhenUsed/>
    <w:rsid w:val="00AB49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http://www.micromedexsolutions.com/"/>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4007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2017-08-22T13:42:00Z</dcterms:created>
  <dc:creator>Stevens, Karen</dc:creator>
  <keywords>drug control</keywords>
  <lastModifiedBy>AutoBVT</lastModifiedBy>
  <dcterms:modified xsi:type="dcterms:W3CDTF">2017-08-22T18:41:00Z</dcterms:modified>
  <revision>3</revision>
  <dc:title>Nuncynta ER Reference List</dc:title>
</coreProperties>
</file>