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C34B03" w:rsidP="00C34B03" w:rsidRDefault="00056DA6" w14:paraId="6403A909" w14:noSpellErr="1" w14:textId="0B9E32A3">
      <w:pPr>
        <w:pStyle w:val="Title"/>
        <w:jc w:val="center"/>
        <w:rPr>
          <w:rStyle w:val="Strong"/>
          <w:rFonts w:ascii="Arial" w:hAnsi="Arial" w:eastAsia="Arial" w:cs="Arial"/>
          <w:b w:val="0"/>
          <w:bCs w:val="0"/>
        </w:rPr>
      </w:pPr>
      <w:r w:rsidRPr="21EE0A5E" w:rsidR="00056DA6">
        <w:rPr>
          <w:rStyle w:val="Strong"/>
          <w:rFonts w:ascii="Arial" w:hAnsi="Arial" w:eastAsia="Arial" w:cs="Arial"/>
          <w:b w:val="0"/>
          <w:bCs w:val="0"/>
        </w:rPr>
        <w:t>Nuisances</w:t>
      </w:r>
    </w:p>
    <w:p w:rsidR="0167AFDF" w:rsidP="21EE0A5E" w:rsidRDefault="0167AFDF" w14:paraId="59B7F0B4" w14:textId="17F22540">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21EE0A5E" w:rsidR="0167AFDF">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0167AFDF" w:rsidP="21EE0A5E" w:rsidRDefault="0167AFDF" w14:paraId="1A6DFF6E" w14:textId="3B9F7638">
      <w:pPr>
        <w:rPr>
          <w:rFonts w:ascii="Arial" w:hAnsi="Arial" w:eastAsia="Arial" w:cs="Arial"/>
          <w:b w:val="0"/>
          <w:bCs w:val="0"/>
          <w:i w:val="0"/>
          <w:iCs w:val="0"/>
          <w:caps w:val="0"/>
          <w:smallCaps w:val="0"/>
          <w:noProof w:val="0"/>
          <w:color w:val="000000" w:themeColor="text1" w:themeTint="FF" w:themeShade="FF"/>
          <w:sz w:val="24"/>
          <w:szCs w:val="24"/>
          <w:lang w:val="en-US"/>
        </w:rPr>
      </w:pPr>
      <w:r w:rsidRPr="21EE0A5E" w:rsidR="0167AFDF">
        <w:rPr>
          <w:rFonts w:ascii="Arial" w:hAnsi="Arial" w:eastAsia="Arial" w:cs="Arial"/>
          <w:b w:val="0"/>
          <w:bCs w:val="0"/>
          <w:i w:val="0"/>
          <w:iCs w:val="0"/>
          <w:caps w:val="0"/>
          <w:smallCaps w:val="0"/>
          <w:noProof w:val="0"/>
          <w:color w:val="000000" w:themeColor="text1" w:themeTint="FF" w:themeShade="FF"/>
          <w:sz w:val="24"/>
          <w:szCs w:val="24"/>
          <w:lang w:val="en-US"/>
        </w:rPr>
        <w:t xml:space="preserve">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w:t>
      </w:r>
      <w:r w:rsidRPr="21EE0A5E" w:rsidR="0167AFDF">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21EE0A5E" w:rsidR="0167AFDF">
        <w:rPr>
          <w:rFonts w:ascii="Arial" w:hAnsi="Arial" w:eastAsia="Arial" w:cs="Arial"/>
          <w:b w:val="0"/>
          <w:bCs w:val="0"/>
          <w:i w:val="0"/>
          <w:iCs w:val="0"/>
          <w:caps w:val="0"/>
          <w:smallCaps w:val="0"/>
          <w:noProof w:val="0"/>
          <w:color w:val="000000" w:themeColor="text1" w:themeTint="FF" w:themeShade="FF"/>
          <w:sz w:val="24"/>
          <w:szCs w:val="24"/>
          <w:lang w:val="en-US"/>
        </w:rPr>
        <w:t xml:space="preserve"> by municipalities was conducted, focusing on various subject areas to evaluate the implementation of crucial public health services.</w:t>
      </w:r>
    </w:p>
    <w:p w:rsidR="00C34B03" w:rsidP="00C34B03" w:rsidRDefault="00C34B03" w14:paraId="469DB96E" w14:textId="2E6B123E">
      <w:pPr>
        <w:rPr>
          <w:rFonts w:ascii="Arial" w:hAnsi="Arial" w:cs="Arial"/>
        </w:rPr>
      </w:pPr>
      <w:r>
        <w:rPr>
          <w:rFonts w:ascii="Arial" w:hAnsi="Arial" w:cs="Arial"/>
        </w:rPr>
        <w:t xml:space="preserve">The </w:t>
      </w:r>
      <w:r w:rsidR="00056DA6">
        <w:rPr>
          <w:rFonts w:ascii="Arial" w:hAnsi="Arial" w:cs="Arial"/>
        </w:rPr>
        <w:t>nuisance documents included documentation related to the last five closed complaints.</w:t>
      </w:r>
      <w:r>
        <w:rPr>
          <w:rFonts w:ascii="Arial" w:hAnsi="Arial" w:cs="Arial"/>
        </w:rPr>
        <w:t xml:space="preserve"> </w:t>
      </w:r>
    </w:p>
    <w:p w:rsidRPr="00F46FC8" w:rsidR="00C34B03" w:rsidP="00C34B03" w:rsidRDefault="00C34B03" w14:paraId="2BDF7BE4" w14:textId="77777777">
      <w:pPr>
        <w:pStyle w:val="Heading1"/>
        <w:rPr>
          <w:rFonts w:ascii="Arial" w:hAnsi="Arial" w:eastAsia="Arial" w:cs="Arial"/>
        </w:rPr>
      </w:pPr>
      <w:r w:rsidRPr="00F46FC8">
        <w:rPr>
          <w:rFonts w:ascii="Arial" w:hAnsi="Arial" w:eastAsia="Arial" w:cs="Arial"/>
        </w:rPr>
        <w:t>Capacity Assessment Key Findings</w:t>
      </w:r>
    </w:p>
    <w:p w:rsidRPr="00B112C3" w:rsidR="00C34B03" w:rsidP="00C34B03" w:rsidRDefault="00C34B03" w14:paraId="37A0A5E2" w14:textId="64F9CF3E">
      <w:pPr>
        <w:pStyle w:val="Heading2"/>
        <w:rPr>
          <w:rStyle w:val="Strong"/>
          <w:rFonts w:ascii="Arial" w:hAnsi="Arial" w:cs="Arial"/>
          <w:b w:val="0"/>
          <w:bCs w:val="0"/>
        </w:rPr>
      </w:pPr>
      <w:r w:rsidRPr="00B112C3">
        <w:rPr>
          <w:rStyle w:val="Strong"/>
          <w:rFonts w:ascii="Arial" w:hAnsi="Arial" w:cs="Arial"/>
          <w:b w:val="0"/>
          <w:bCs w:val="0"/>
        </w:rPr>
        <w:t xml:space="preserve">1. </w:t>
      </w:r>
      <w:r w:rsidR="00056DA6">
        <w:rPr>
          <w:rStyle w:val="Strong"/>
          <w:rFonts w:ascii="Arial" w:hAnsi="Arial" w:cs="Arial"/>
          <w:b w:val="0"/>
          <w:bCs w:val="0"/>
        </w:rPr>
        <w:t>Clarifying What Is/Is Not a Nuisance</w:t>
      </w:r>
      <w:r>
        <w:rPr>
          <w:rStyle w:val="Strong"/>
          <w:rFonts w:ascii="Arial" w:hAnsi="Arial" w:cs="Arial"/>
          <w:b w:val="0"/>
          <w:bCs w:val="0"/>
        </w:rPr>
        <w:t xml:space="preserve"> </w:t>
      </w:r>
    </w:p>
    <w:p w:rsidR="00056DA6" w:rsidP="00056DA6" w:rsidRDefault="00056DA6" w14:paraId="2AE76819" w14:textId="77777777">
      <w:pPr>
        <w:rPr>
          <w:rFonts w:ascii="Arial" w:hAnsi="Arial" w:cs="Arial"/>
        </w:rPr>
      </w:pPr>
      <w:r w:rsidRPr="00056DA6">
        <w:rPr>
          <w:rFonts w:ascii="Arial" w:hAnsi="Arial" w:cs="Arial"/>
        </w:rPr>
        <w:t xml:space="preserve">The document submissions indicated that there needs to be a universal understanding of what constitutes a nuisance. </w:t>
      </w:r>
    </w:p>
    <w:p w:rsidR="00056DA6" w:rsidP="00056DA6" w:rsidRDefault="00056DA6" w14:paraId="7C3771BB" w14:textId="77777777">
      <w:pPr>
        <w:pStyle w:val="ListParagraph"/>
        <w:numPr>
          <w:ilvl w:val="0"/>
          <w:numId w:val="2"/>
        </w:numPr>
        <w:rPr>
          <w:rFonts w:ascii="Arial" w:hAnsi="Arial" w:cs="Arial"/>
        </w:rPr>
      </w:pPr>
      <w:r w:rsidRPr="00056DA6">
        <w:rPr>
          <w:rFonts w:ascii="Arial" w:hAnsi="Arial" w:cs="Arial"/>
        </w:rPr>
        <w:t xml:space="preserve">Nuisance is not necessarily synonymous with a complaint. Since interpretations of what counts as a nuisance vary between health departments, there is a unique opportunity to collaborate on a more universal definition. </w:t>
      </w:r>
    </w:p>
    <w:p w:rsidR="00056DA6" w:rsidP="00056DA6" w:rsidRDefault="00056DA6" w14:paraId="53004C69" w14:textId="77777777">
      <w:pPr>
        <w:pStyle w:val="ListParagraph"/>
        <w:numPr>
          <w:ilvl w:val="0"/>
          <w:numId w:val="2"/>
        </w:numPr>
        <w:rPr>
          <w:rFonts w:ascii="Arial" w:hAnsi="Arial" w:cs="Arial"/>
        </w:rPr>
      </w:pPr>
      <w:r w:rsidRPr="00056DA6">
        <w:rPr>
          <w:rFonts w:ascii="Arial" w:hAnsi="Arial" w:cs="Arial"/>
        </w:rPr>
        <w:t xml:space="preserve">Some documents submitted were complaints from neighbors rather than a defined nuisance. </w:t>
      </w:r>
    </w:p>
    <w:p w:rsidR="00056DA6" w:rsidP="6857DDC0" w:rsidRDefault="00056DA6" w14:paraId="572886DB" w14:textId="2638AC06">
      <w:pPr>
        <w:pStyle w:val="ListParagraph"/>
        <w:numPr>
          <w:ilvl w:val="0"/>
          <w:numId w:val="2"/>
        </w:numPr>
        <w:rPr>
          <w:rFonts w:ascii="Arial" w:hAnsi="Arial" w:cs="Arial"/>
        </w:rPr>
      </w:pPr>
      <w:r w:rsidRPr="6857DDC0" w:rsidR="00056DA6">
        <w:rPr>
          <w:rFonts w:ascii="Arial" w:hAnsi="Arial" w:cs="Arial"/>
        </w:rPr>
        <w:t xml:space="preserve">There is an area of opportunity for the Training Hubs to </w:t>
      </w:r>
      <w:r w:rsidRPr="6857DDC0" w:rsidR="00056DA6">
        <w:rPr>
          <w:rFonts w:ascii="Arial" w:hAnsi="Arial" w:cs="Arial"/>
        </w:rPr>
        <w:t>establish</w:t>
      </w:r>
      <w:r w:rsidRPr="6857DDC0" w:rsidR="00056DA6">
        <w:rPr>
          <w:rFonts w:ascii="Arial" w:hAnsi="Arial" w:cs="Arial"/>
        </w:rPr>
        <w:t xml:space="preserve"> a standardized definition to ensure alignment across municipalities.</w:t>
      </w:r>
    </w:p>
    <w:p w:rsidR="00C34B03" w:rsidP="00056DA6" w:rsidRDefault="00C34B03" w14:paraId="4215FE69" w14:textId="473F1CC2">
      <w:pPr>
        <w:pStyle w:val="Heading2"/>
        <w:rPr>
          <w:rFonts w:ascii="Arial" w:hAnsi="Arial" w:cs="Arial"/>
        </w:rPr>
      </w:pPr>
      <w:r w:rsidRPr="001C0C1E">
        <w:rPr>
          <w:rStyle w:val="Strong"/>
          <w:rFonts w:ascii="Arial" w:hAnsi="Arial" w:cs="Arial"/>
          <w:b w:val="0"/>
          <w:bCs w:val="0"/>
        </w:rPr>
        <w:t xml:space="preserve">2. </w:t>
      </w:r>
      <w:r w:rsidR="00056DA6">
        <w:rPr>
          <w:rStyle w:val="Strong"/>
          <w:rFonts w:ascii="Arial" w:hAnsi="Arial" w:cs="Arial"/>
          <w:b w:val="0"/>
          <w:bCs w:val="0"/>
        </w:rPr>
        <w:t>Complete Documentation</w:t>
      </w:r>
    </w:p>
    <w:p w:rsidR="00056DA6" w:rsidP="00C34B03" w:rsidRDefault="00056DA6" w14:paraId="1E8C0D7D" w14:textId="77777777">
      <w:pPr>
        <w:rPr>
          <w:rFonts w:ascii="Arial" w:hAnsi="Arial" w:cs="Arial"/>
        </w:rPr>
      </w:pPr>
      <w:r w:rsidRPr="00056DA6">
        <w:rPr>
          <w:rFonts w:ascii="Arial" w:hAnsi="Arial" w:cs="Arial"/>
        </w:rPr>
        <w:t xml:space="preserve">Nuisance documentation was often informal and incomplete, which resulted in gaps in important information regarding follow-up actions and enforcement. </w:t>
      </w:r>
    </w:p>
    <w:p w:rsidR="00056DA6" w:rsidP="00056DA6" w:rsidRDefault="00056DA6" w14:paraId="765FBA05" w14:textId="77777777">
      <w:pPr>
        <w:pStyle w:val="ListParagraph"/>
        <w:numPr>
          <w:ilvl w:val="0"/>
          <w:numId w:val="10"/>
        </w:numPr>
        <w:rPr>
          <w:rFonts w:ascii="Arial" w:hAnsi="Arial" w:cs="Arial"/>
        </w:rPr>
      </w:pPr>
      <w:r w:rsidRPr="00056DA6">
        <w:rPr>
          <w:rFonts w:ascii="Arial" w:hAnsi="Arial" w:cs="Arial"/>
        </w:rPr>
        <w:t xml:space="preserve">Some possible explanations for this lack of documentation include no standard intake form, undefined follow-up procedures, uncertainty about what qualifies as a nuisance, and time constraints in addressing nuisances. </w:t>
      </w:r>
    </w:p>
    <w:p w:rsidRPr="00056DA6" w:rsidR="00056DA6" w:rsidP="6857DDC0" w:rsidRDefault="00056DA6" w14:paraId="004DC0D4" w14:textId="2FC0112D">
      <w:pPr>
        <w:pStyle w:val="ListParagraph"/>
        <w:numPr>
          <w:ilvl w:val="0"/>
          <w:numId w:val="10"/>
        </w:numPr>
        <w:spacing w:before="240" w:beforeAutospacing="off"/>
        <w:rPr>
          <w:rFonts w:ascii="Arial" w:hAnsi="Arial" w:cs="Arial"/>
        </w:rPr>
      </w:pPr>
      <w:r w:rsidRPr="6857DDC0" w:rsidR="00056DA6">
        <w:rPr>
          <w:rFonts w:ascii="Arial" w:hAnsi="Arial" w:cs="Arial"/>
        </w:rPr>
        <w:t xml:space="preserve">There is the opportunity for the development of a standardized form that captures who is filing the nuisance complaint, a detailed description of the problem, why an inspection was necessary, results of the inspection, follow-up of any findings, and a proper closing of the complaint </w:t>
      </w:r>
      <w:r w:rsidRPr="6857DDC0" w:rsidR="00056DA6">
        <w:rPr>
          <w:rFonts w:ascii="Arial" w:hAnsi="Arial" w:cs="Arial"/>
        </w:rPr>
        <w:t>identifying</w:t>
      </w:r>
      <w:r w:rsidRPr="6857DDC0" w:rsidR="00056DA6">
        <w:rPr>
          <w:rFonts w:ascii="Arial" w:hAnsi="Arial" w:cs="Arial"/>
        </w:rPr>
        <w:t xml:space="preserve"> all corrections </w:t>
      </w:r>
      <w:r w:rsidRPr="6857DDC0" w:rsidR="00056DA6">
        <w:rPr>
          <w:rFonts w:ascii="Arial" w:hAnsi="Arial" w:cs="Arial"/>
        </w:rPr>
        <w:t>observed</w:t>
      </w:r>
      <w:r w:rsidRPr="6857DDC0" w:rsidR="00056DA6">
        <w:rPr>
          <w:rFonts w:ascii="Arial" w:hAnsi="Arial" w:cs="Arial"/>
        </w:rPr>
        <w:t>.</w:t>
      </w:r>
    </w:p>
    <w:p w:rsidR="00056DA6" w:rsidP="6857DDC0" w:rsidRDefault="00056DA6" w14:paraId="5B6F2DED" w14:textId="770C60C6">
      <w:pPr>
        <w:spacing w:before="240" w:beforeAutospacing="off"/>
        <w:rPr>
          <w:rFonts w:ascii="Arial" w:hAnsi="Arial" w:cs="Arial"/>
        </w:rPr>
      </w:pPr>
      <w:r w:rsidRPr="6857DDC0" w:rsidR="00056DA6">
        <w:rPr>
          <w:rFonts w:ascii="Arial" w:hAnsi="Arial" w:cs="Arial"/>
        </w:rPr>
        <w:t xml:space="preserve">Effective nuisance documentation </w:t>
      </w:r>
      <w:r w:rsidRPr="6857DDC0" w:rsidR="00056DA6">
        <w:rPr>
          <w:rFonts w:ascii="Arial" w:hAnsi="Arial" w:cs="Arial"/>
        </w:rPr>
        <w:t>necessitates</w:t>
      </w:r>
      <w:r w:rsidRPr="6857DDC0" w:rsidR="00056DA6">
        <w:rPr>
          <w:rFonts w:ascii="Arial" w:hAnsi="Arial" w:cs="Arial"/>
        </w:rPr>
        <w:t xml:space="preserve"> standardized intake forms, a clear definition of what constitutes a nuisance, and differentiation between complaints and nuisances. A robust inspection report should address who, what, where, when, and why, emphasize compliance with due dates, note unaddressed issues, include signed complaints, and include essential field details.</w:t>
      </w:r>
    </w:p>
    <w:p w:rsidR="00C34B03" w:rsidP="00C34B03" w:rsidRDefault="00C34B03" w14:paraId="40B03B74" w14:textId="77777777">
      <w:pPr>
        <w:pStyle w:val="Heading1"/>
        <w:rPr>
          <w:rFonts w:ascii="Arial" w:hAnsi="Arial" w:eastAsia="Arial" w:cs="Arial"/>
        </w:rPr>
      </w:pPr>
      <w:r w:rsidRPr="5C6C04F0">
        <w:rPr>
          <w:rFonts w:ascii="Arial" w:hAnsi="Arial" w:eastAsia="Arial" w:cs="Arial"/>
        </w:rPr>
        <w:t>Qualitative Findings</w:t>
      </w:r>
    </w:p>
    <w:p w:rsidR="00C34B03" w:rsidP="00C34B03" w:rsidRDefault="00C34B03" w14:paraId="13912ECD" w14:textId="03919124">
      <w:pPr>
        <w:rPr>
          <w:rFonts w:ascii="Arial" w:hAnsi="Arial" w:eastAsia="Arial" w:cs="Arial"/>
        </w:rPr>
      </w:pPr>
      <w:r w:rsidRPr="6DEE0964" w:rsidR="00C34B03">
        <w:rPr>
          <w:rFonts w:ascii="Arial" w:hAnsi="Arial" w:eastAsia="Arial" w:cs="Arial"/>
        </w:rPr>
        <w:t xml:space="preserve">The </w:t>
      </w:r>
      <w:r w:rsidRPr="6DEE0964" w:rsidR="00C34B03">
        <w:rPr>
          <w:rFonts w:ascii="Arial" w:hAnsi="Arial" w:eastAsia="Arial" w:cs="Arial"/>
        </w:rPr>
        <w:t>list</w:t>
      </w:r>
      <w:r w:rsidRPr="6DEE0964" w:rsidR="00C34B03">
        <w:rPr>
          <w:rFonts w:ascii="Arial" w:hAnsi="Arial" w:eastAsia="Arial" w:cs="Arial"/>
        </w:rPr>
        <w:t xml:space="preserve"> below outline</w:t>
      </w:r>
      <w:r w:rsidRPr="6DEE0964" w:rsidR="00056DA6">
        <w:rPr>
          <w:rFonts w:ascii="Arial" w:hAnsi="Arial" w:eastAsia="Arial" w:cs="Arial"/>
        </w:rPr>
        <w:t>s</w:t>
      </w:r>
      <w:r w:rsidRPr="6DEE0964" w:rsidR="00C34B03">
        <w:rPr>
          <w:rFonts w:ascii="Arial" w:hAnsi="Arial" w:eastAsia="Arial" w:cs="Arial"/>
        </w:rPr>
        <w:t xml:space="preserve"> </w:t>
      </w:r>
      <w:r w:rsidRPr="6DEE0964" w:rsidR="00C34B03">
        <w:rPr>
          <w:rFonts w:ascii="Arial" w:hAnsi="Arial" w:eastAsia="Arial" w:cs="Arial"/>
        </w:rPr>
        <w:t xml:space="preserve">the </w:t>
      </w:r>
      <w:r w:rsidRPr="6DEE0964" w:rsidR="00C34B03">
        <w:rPr>
          <w:rFonts w:ascii="Arial" w:hAnsi="Arial" w:eastAsia="Arial" w:cs="Arial"/>
        </w:rPr>
        <w:t xml:space="preserve">reasons each type of </w:t>
      </w:r>
      <w:r w:rsidRPr="6DEE0964" w:rsidR="00056DA6">
        <w:rPr>
          <w:rFonts w:ascii="Arial" w:hAnsi="Arial" w:eastAsia="Arial" w:cs="Arial"/>
        </w:rPr>
        <w:t xml:space="preserve">nuisance-related </w:t>
      </w:r>
      <w:r w:rsidRPr="6DEE0964" w:rsidR="00C34B03">
        <w:rPr>
          <w:rFonts w:ascii="Arial" w:hAnsi="Arial" w:eastAsia="Arial" w:cs="Arial"/>
        </w:rPr>
        <w:t>document</w:t>
      </w:r>
      <w:r w:rsidRPr="6DEE0964" w:rsidR="00056DA6">
        <w:rPr>
          <w:rFonts w:ascii="Arial" w:hAnsi="Arial" w:eastAsia="Arial" w:cs="Arial"/>
        </w:rPr>
        <w:t>ation</w:t>
      </w:r>
      <w:r w:rsidRPr="6DEE0964" w:rsidR="00C34B03">
        <w:rPr>
          <w:rFonts w:ascii="Arial" w:hAnsi="Arial" w:eastAsia="Arial" w:cs="Arial"/>
        </w:rPr>
        <w:t xml:space="preserve"> did not meet the </w:t>
      </w:r>
      <w:r w:rsidRPr="6DEE0964" w:rsidR="00C34B03">
        <w:rPr>
          <w:rFonts w:ascii="Arial" w:hAnsi="Arial" w:eastAsia="Arial" w:cs="Arial"/>
        </w:rPr>
        <w:t>proficiency</w:t>
      </w:r>
      <w:r w:rsidRPr="6DEE0964" w:rsidR="00C34B03">
        <w:rPr>
          <w:rFonts w:ascii="Arial" w:hAnsi="Arial" w:eastAsia="Arial" w:cs="Arial"/>
        </w:rPr>
        <w:t xml:space="preserve"> standard. The most </w:t>
      </w:r>
      <w:r w:rsidRPr="6DEE0964" w:rsidR="00C34B03">
        <w:rPr>
          <w:rFonts w:ascii="Arial" w:hAnsi="Arial" w:eastAsia="Arial" w:cs="Arial"/>
        </w:rPr>
        <w:t>frequently</w:t>
      </w:r>
      <w:r w:rsidRPr="6DEE0964" w:rsidR="00C34B03">
        <w:rPr>
          <w:rFonts w:ascii="Arial" w:hAnsi="Arial" w:eastAsia="Arial" w:cs="Arial"/>
        </w:rPr>
        <w:t xml:space="preserve"> selected determinations are bolded</w:t>
      </w:r>
      <w:r w:rsidRPr="6DEE0964" w:rsidR="00C34B03">
        <w:rPr>
          <w:rFonts w:ascii="Arial" w:hAnsi="Arial" w:eastAsia="Arial" w:cs="Arial"/>
        </w:rPr>
        <w:t xml:space="preserve"> and ordered by frequency from greatest to least.</w:t>
      </w:r>
      <w:r w:rsidRPr="6DEE0964" w:rsidR="00056DA6">
        <w:rPr>
          <w:rFonts w:ascii="Arial" w:hAnsi="Arial" w:eastAsia="Arial" w:cs="Arial"/>
        </w:rPr>
        <w:t xml:space="preserve"> </w:t>
      </w:r>
      <w:r w:rsidRPr="6DEE0964" w:rsidR="00056DA6">
        <w:rPr>
          <w:rFonts w:ascii="Arial" w:hAnsi="Arial" w:eastAsia="Arial" w:cs="Arial"/>
          <w:b w:val="1"/>
          <w:bCs w:val="1"/>
        </w:rPr>
        <w:t>The most significant issue for nuisances overall was the absence of a follow-up action, or the follow-up action was not properly documented.</w:t>
      </w:r>
    </w:p>
    <w:p w:rsidR="00C34B03" w:rsidP="00C34B03" w:rsidRDefault="00C34B03" w14:paraId="43BD2326" w14:textId="77777777">
      <w:pPr>
        <w:pStyle w:val="Heading2"/>
        <w:rPr>
          <w:rFonts w:ascii="Arial" w:hAnsi="Arial" w:eastAsia="Arial" w:cs="Arial"/>
        </w:rPr>
      </w:pPr>
      <w:r w:rsidRPr="5C6C04F0">
        <w:rPr>
          <w:rFonts w:ascii="Arial" w:hAnsi="Arial" w:eastAsia="Arial" w:cs="Arial"/>
        </w:rPr>
        <w:t>Backup Documentation Results</w:t>
      </w:r>
    </w:p>
    <w:p w:rsidRPr="0083068A" w:rsidR="00C34B03" w:rsidP="00056DA6" w:rsidRDefault="00C34B03" w14:paraId="44F1058C" w14:textId="7E98AF02">
      <w:pPr>
        <w:rPr>
          <w:rFonts w:ascii="Arial" w:hAnsi="Arial" w:eastAsia="Arial" w:cs="Arial"/>
        </w:rPr>
      </w:pPr>
      <w:r w:rsidRPr="5C6C04F0">
        <w:rPr>
          <w:rFonts w:ascii="Arial" w:hAnsi="Arial" w:eastAsia="Arial" w:cs="Arial"/>
        </w:rPr>
        <w:t xml:space="preserve">For </w:t>
      </w:r>
      <w:r w:rsidR="00056DA6">
        <w:rPr>
          <w:rFonts w:ascii="Arial" w:hAnsi="Arial" w:eastAsia="Arial" w:cs="Arial"/>
        </w:rPr>
        <w:t xml:space="preserve">nuisances, 808 documents were requested. Of those, 584 (72%) were submitted, and of those submitted, 337 (58%) were deemed proficient. </w:t>
      </w:r>
    </w:p>
    <w:p w:rsidRPr="00114078" w:rsidR="00C34B03" w:rsidP="00C34B03" w:rsidRDefault="00056DA6" w14:paraId="6D6EAB64" w14:textId="420CF9F3">
      <w:pPr>
        <w:pStyle w:val="Heading2"/>
        <w:rPr>
          <w:rFonts w:ascii="Arial" w:hAnsi="Arial" w:eastAsia="Arial" w:cs="Arial"/>
        </w:rPr>
      </w:pPr>
      <w:r>
        <w:rPr>
          <w:rFonts w:ascii="Arial" w:hAnsi="Arial" w:eastAsia="Arial" w:cs="Arial"/>
        </w:rPr>
        <w:t>Complaint #1/2/3/4/5 Documents</w:t>
      </w:r>
      <w:r w:rsidRPr="5C6C04F0" w:rsidR="00C34B03">
        <w:rPr>
          <w:rFonts w:ascii="Arial" w:hAnsi="Arial" w:eastAsia="Arial" w:cs="Arial"/>
        </w:rPr>
        <w:t xml:space="preserve"> Evaluation Criteria</w:t>
      </w:r>
    </w:p>
    <w:p w:rsidRPr="00452F58" w:rsidR="00C34B03" w:rsidP="00C34B03" w:rsidRDefault="00056DA6" w14:paraId="49B20BDF" w14:textId="36A0D07B">
      <w:pPr>
        <w:numPr>
          <w:ilvl w:val="0"/>
          <w:numId w:val="5"/>
        </w:numPr>
        <w:rPr>
          <w:rFonts w:ascii="Arial" w:hAnsi="Arial" w:eastAsia="Arial" w:cs="Arial"/>
          <w:b/>
          <w:bCs/>
        </w:rPr>
      </w:pPr>
      <w:r w:rsidRPr="00452F58">
        <w:rPr>
          <w:rFonts w:ascii="Arial" w:hAnsi="Arial" w:eastAsia="Arial" w:cs="Arial"/>
          <w:b/>
          <w:bCs/>
        </w:rPr>
        <w:t>Follow-up action not completed or documented</w:t>
      </w:r>
    </w:p>
    <w:p w:rsidRPr="00452F58" w:rsidR="00C34B03" w:rsidP="00C34B03" w:rsidRDefault="00056DA6" w14:paraId="4E7E3D1B" w14:textId="6BE91AAC">
      <w:pPr>
        <w:numPr>
          <w:ilvl w:val="0"/>
          <w:numId w:val="5"/>
        </w:numPr>
        <w:rPr>
          <w:rFonts w:ascii="Arial" w:hAnsi="Arial" w:eastAsia="Arial" w:cs="Arial"/>
          <w:b/>
          <w:bCs/>
        </w:rPr>
      </w:pPr>
      <w:r w:rsidRPr="00452F58">
        <w:rPr>
          <w:rFonts w:ascii="Arial" w:hAnsi="Arial" w:eastAsia="Arial" w:cs="Arial"/>
          <w:b/>
          <w:bCs/>
        </w:rPr>
        <w:t>Violations identified without documented follow-up action</w:t>
      </w:r>
    </w:p>
    <w:p w:rsidR="00C34B03" w:rsidP="00C34B03" w:rsidRDefault="00056DA6" w14:paraId="464D5852" w14:textId="7DDE305A">
      <w:pPr>
        <w:numPr>
          <w:ilvl w:val="0"/>
          <w:numId w:val="5"/>
        </w:numPr>
        <w:rPr>
          <w:rFonts w:ascii="Arial" w:hAnsi="Arial" w:eastAsia="Arial" w:cs="Arial"/>
        </w:rPr>
      </w:pPr>
      <w:r>
        <w:rPr>
          <w:rFonts w:ascii="Arial" w:hAnsi="Arial" w:eastAsia="Arial" w:cs="Arial"/>
        </w:rPr>
        <w:t>Reinspection not completed or documented</w:t>
      </w:r>
    </w:p>
    <w:p w:rsidR="00056DA6" w:rsidP="00C34B03" w:rsidRDefault="00056DA6" w14:paraId="0F9B5F69" w14:textId="45ACC305">
      <w:pPr>
        <w:numPr>
          <w:ilvl w:val="0"/>
          <w:numId w:val="5"/>
        </w:numPr>
        <w:rPr>
          <w:rFonts w:ascii="Arial" w:hAnsi="Arial" w:eastAsia="Arial" w:cs="Arial"/>
        </w:rPr>
      </w:pPr>
      <w:r>
        <w:rPr>
          <w:rFonts w:ascii="Arial" w:hAnsi="Arial" w:eastAsia="Arial" w:cs="Arial"/>
        </w:rPr>
        <w:t xml:space="preserve">Critical fields not completed </w:t>
      </w:r>
    </w:p>
    <w:p w:rsidR="00056DA6" w:rsidP="00C34B03" w:rsidRDefault="00056DA6" w14:paraId="31E72904" w14:textId="791EBE24">
      <w:pPr>
        <w:numPr>
          <w:ilvl w:val="0"/>
          <w:numId w:val="5"/>
        </w:numPr>
        <w:rPr>
          <w:rFonts w:ascii="Arial" w:hAnsi="Arial" w:eastAsia="Arial" w:cs="Arial"/>
        </w:rPr>
      </w:pPr>
      <w:r>
        <w:rPr>
          <w:rFonts w:ascii="Arial" w:hAnsi="Arial" w:eastAsia="Arial" w:cs="Arial"/>
        </w:rPr>
        <w:t>Form insufficient or not approved</w:t>
      </w:r>
    </w:p>
    <w:p w:rsidR="00056DA6" w:rsidP="00C34B03" w:rsidRDefault="00056DA6" w14:paraId="35C3A238" w14:textId="4F5CD61D">
      <w:pPr>
        <w:numPr>
          <w:ilvl w:val="0"/>
          <w:numId w:val="5"/>
        </w:numPr>
        <w:rPr>
          <w:rFonts w:ascii="Arial" w:hAnsi="Arial" w:eastAsia="Arial" w:cs="Arial"/>
        </w:rPr>
      </w:pPr>
      <w:r>
        <w:rPr>
          <w:rFonts w:ascii="Arial" w:hAnsi="Arial" w:eastAsia="Arial" w:cs="Arial"/>
        </w:rPr>
        <w:t>Reinspection not completed or documented</w:t>
      </w:r>
    </w:p>
    <w:p w:rsidRPr="00056DA6" w:rsidR="008C57D9" w:rsidP="00056DA6" w:rsidRDefault="00056DA6" w14:paraId="17C51B27" w14:textId="15DF9307">
      <w:pPr>
        <w:numPr>
          <w:ilvl w:val="0"/>
          <w:numId w:val="5"/>
        </w:numPr>
        <w:rPr>
          <w:rFonts w:ascii="Arial" w:hAnsi="Arial" w:eastAsia="Arial" w:cs="Arial"/>
        </w:rPr>
      </w:pPr>
      <w:r>
        <w:rPr>
          <w:rFonts w:ascii="Arial" w:hAnsi="Arial" w:eastAsia="Arial" w:cs="Arial"/>
        </w:rPr>
        <w:t>Unreasonable inspectional timeline based on the complaint</w:t>
      </w:r>
    </w:p>
    <w:sectPr w:rsidRPr="00056DA6" w:rsidR="008C57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9E0"/>
    <w:multiLevelType w:val="hybridMultilevel"/>
    <w:tmpl w:val="CCAC63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407B61"/>
    <w:multiLevelType w:val="hybridMultilevel"/>
    <w:tmpl w:val="65CA6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25F4D82"/>
    <w:multiLevelType w:val="hybridMultilevel"/>
    <w:tmpl w:val="123E2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94A30"/>
    <w:multiLevelType w:val="hybridMultilevel"/>
    <w:tmpl w:val="A8AA0F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379291F"/>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04298A"/>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911C57"/>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B6482D"/>
    <w:multiLevelType w:val="multilevel"/>
    <w:tmpl w:val="9402A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95860"/>
    <w:multiLevelType w:val="hybridMultilevel"/>
    <w:tmpl w:val="47BE96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5663672">
    <w:abstractNumId w:val="1"/>
  </w:num>
  <w:num w:numId="2" w16cid:durableId="476610292">
    <w:abstractNumId w:val="2"/>
  </w:num>
  <w:num w:numId="3" w16cid:durableId="724455628">
    <w:abstractNumId w:val="9"/>
  </w:num>
  <w:num w:numId="4" w16cid:durableId="1742211262">
    <w:abstractNumId w:val="0"/>
  </w:num>
  <w:num w:numId="5" w16cid:durableId="235555809">
    <w:abstractNumId w:val="3"/>
  </w:num>
  <w:num w:numId="6" w16cid:durableId="1880238082">
    <w:abstractNumId w:val="6"/>
  </w:num>
  <w:num w:numId="7" w16cid:durableId="1696300083">
    <w:abstractNumId w:val="7"/>
  </w:num>
  <w:num w:numId="8" w16cid:durableId="1163740101">
    <w:abstractNumId w:val="5"/>
  </w:num>
  <w:num w:numId="9" w16cid:durableId="1019889600">
    <w:abstractNumId w:val="8"/>
  </w:num>
  <w:num w:numId="10" w16cid:durableId="414473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03"/>
    <w:rsid w:val="00056DA6"/>
    <w:rsid w:val="00452F58"/>
    <w:rsid w:val="006E1676"/>
    <w:rsid w:val="008C57D9"/>
    <w:rsid w:val="0098289F"/>
    <w:rsid w:val="00C34B03"/>
    <w:rsid w:val="00CF5E42"/>
    <w:rsid w:val="00D2623B"/>
    <w:rsid w:val="00FD376A"/>
    <w:rsid w:val="0167AFDF"/>
    <w:rsid w:val="21EE0A5E"/>
    <w:rsid w:val="6857DDC0"/>
    <w:rsid w:val="6DEE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7F6B8"/>
  <w15:chartTrackingRefBased/>
  <w15:docId w15:val="{5C8DC31E-04F4-8648-9DD2-63E57451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4B03"/>
    <w:pPr>
      <w:spacing w:after="160" w:line="259" w:lineRule="auto"/>
    </w:pPr>
    <w:rPr>
      <w:szCs w:val="22"/>
    </w:rPr>
  </w:style>
  <w:style w:type="paragraph" w:styleId="Heading1">
    <w:name w:val="heading 1"/>
    <w:basedOn w:val="Normal"/>
    <w:next w:val="Normal"/>
    <w:link w:val="Heading1Char"/>
    <w:uiPriority w:val="9"/>
    <w:qFormat/>
    <w:rsid w:val="00C34B0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4B0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B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B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B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B03"/>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4B0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34B0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4B0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4B0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4B0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4B0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4B0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4B0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4B03"/>
    <w:rPr>
      <w:rFonts w:eastAsiaTheme="majorEastAsia" w:cstheme="majorBidi"/>
      <w:color w:val="272727" w:themeColor="text1" w:themeTint="D8"/>
    </w:rPr>
  </w:style>
  <w:style w:type="paragraph" w:styleId="Title">
    <w:name w:val="Title"/>
    <w:basedOn w:val="Normal"/>
    <w:next w:val="Normal"/>
    <w:link w:val="TitleChar"/>
    <w:uiPriority w:val="10"/>
    <w:qFormat/>
    <w:rsid w:val="00C34B0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4B0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4B0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B03"/>
    <w:pPr>
      <w:spacing w:before="160"/>
      <w:jc w:val="center"/>
    </w:pPr>
    <w:rPr>
      <w:i/>
      <w:iCs/>
      <w:color w:val="404040" w:themeColor="text1" w:themeTint="BF"/>
    </w:rPr>
  </w:style>
  <w:style w:type="character" w:styleId="QuoteChar" w:customStyle="1">
    <w:name w:val="Quote Char"/>
    <w:basedOn w:val="DefaultParagraphFont"/>
    <w:link w:val="Quote"/>
    <w:uiPriority w:val="29"/>
    <w:rsid w:val="00C34B03"/>
    <w:rPr>
      <w:i/>
      <w:iCs/>
      <w:color w:val="404040" w:themeColor="text1" w:themeTint="BF"/>
    </w:rPr>
  </w:style>
  <w:style w:type="paragraph" w:styleId="ListParagraph">
    <w:name w:val="List Paragraph"/>
    <w:basedOn w:val="Normal"/>
    <w:uiPriority w:val="34"/>
    <w:qFormat/>
    <w:rsid w:val="00C34B03"/>
    <w:pPr>
      <w:ind w:left="720"/>
      <w:contextualSpacing/>
    </w:pPr>
  </w:style>
  <w:style w:type="character" w:styleId="IntenseEmphasis">
    <w:name w:val="Intense Emphasis"/>
    <w:basedOn w:val="DefaultParagraphFont"/>
    <w:uiPriority w:val="21"/>
    <w:qFormat/>
    <w:rsid w:val="00C34B03"/>
    <w:rPr>
      <w:i/>
      <w:iCs/>
      <w:color w:val="0F4761" w:themeColor="accent1" w:themeShade="BF"/>
    </w:rPr>
  </w:style>
  <w:style w:type="paragraph" w:styleId="IntenseQuote">
    <w:name w:val="Intense Quote"/>
    <w:basedOn w:val="Normal"/>
    <w:next w:val="Normal"/>
    <w:link w:val="IntenseQuoteChar"/>
    <w:uiPriority w:val="30"/>
    <w:qFormat/>
    <w:rsid w:val="00C34B0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4B03"/>
    <w:rPr>
      <w:i/>
      <w:iCs/>
      <w:color w:val="0F4761" w:themeColor="accent1" w:themeShade="BF"/>
    </w:rPr>
  </w:style>
  <w:style w:type="character" w:styleId="IntenseReference">
    <w:name w:val="Intense Reference"/>
    <w:basedOn w:val="DefaultParagraphFont"/>
    <w:uiPriority w:val="32"/>
    <w:qFormat/>
    <w:rsid w:val="00C34B03"/>
    <w:rPr>
      <w:b/>
      <w:bCs/>
      <w:smallCaps/>
      <w:color w:val="0F4761" w:themeColor="accent1" w:themeShade="BF"/>
      <w:spacing w:val="5"/>
    </w:rPr>
  </w:style>
  <w:style w:type="character" w:styleId="Strong">
    <w:name w:val="Strong"/>
    <w:basedOn w:val="DefaultParagraphFont"/>
    <w:uiPriority w:val="22"/>
    <w:qFormat/>
    <w:rsid w:val="00C34B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331AEC03-D368-46B4-BDCB-4F96D8912E95}"/>
</file>

<file path=customXml/itemProps2.xml><?xml version="1.0" encoding="utf-8"?>
<ds:datastoreItem xmlns:ds="http://schemas.openxmlformats.org/officeDocument/2006/customXml" ds:itemID="{0480DEBE-75DC-4C35-A247-BC06D2BB6129}"/>
</file>

<file path=customXml/itemProps3.xml><?xml version="1.0" encoding="utf-8"?>
<ds:datastoreItem xmlns:ds="http://schemas.openxmlformats.org/officeDocument/2006/customXml" ds:itemID="{67FF6A9F-A4B2-4CAB-BBCC-D6E503ECE1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7</revision>
  <dcterms:created xsi:type="dcterms:W3CDTF">2024-07-24T14:34:00.0000000Z</dcterms:created>
  <dcterms:modified xsi:type="dcterms:W3CDTF">2024-07-25T16:38:02.0234968Z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