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C6BBE" w14:textId="783DC9F8"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59776" behindDoc="1" locked="0" layoutInCell="1" allowOverlap="1" wp14:anchorId="6381AC21" wp14:editId="0469DFBB">
                <wp:simplePos x="0" y="0"/>
                <wp:positionH relativeFrom="column">
                  <wp:align>center</wp:align>
                </wp:positionH>
                <wp:positionV relativeFrom="paragraph">
                  <wp:posOffset>0</wp:posOffset>
                </wp:positionV>
                <wp:extent cx="7947660" cy="830580"/>
                <wp:effectExtent l="0" t="0" r="0" b="0"/>
                <wp:wrapNone/>
                <wp:docPr id="30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097FE926" w14:textId="77777777" w:rsidR="00E01D80" w:rsidRPr="009D2D5F" w:rsidRDefault="0028720F" w:rsidP="00E27CD8">
                            <w:pPr>
                              <w:spacing w:before="0" w:after="0" w:afterAutospacing="0"/>
                            </w:pPr>
                            <w:r w:rsidRPr="009D2D5F">
                              <w:t xml:space="preserve"> </w:t>
                            </w:r>
                          </w:p>
                          <w:p w14:paraId="0B200138"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81AC21" id="_x0000_t202" coordsize="21600,21600" o:spt="202" path="m,l,21600r21600,l21600,xe">
                <v:stroke joinstyle="miter"/>
                <v:path gradientshapeok="t" o:connecttype="rect"/>
              </v:shapetype>
              <v:shape id="Text Box 2" o:spid="_x0000_s1026" type="#_x0000_t202" alt="&quot;&quot;" style="position:absolute;left:0;text-align:left;margin-left:0;margin-top:0;width:625.8pt;height:65.4pt;z-index:-2516567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" filled="f" stroked="f">
                <v:textbox>
                  <w:txbxContent>
                    <w:p w14:paraId="097FE926" w14:textId="77777777" w:rsidR="00E01D80" w:rsidRPr="009D2D5F" w:rsidRDefault="0028720F" w:rsidP="00E27CD8">
                      <w:pPr>
                        <w:spacing w:before="0" w:after="0" w:afterAutospacing="0"/>
                      </w:pPr>
                      <w:r w:rsidRPr="009D2D5F">
                        <w:t xml:space="preserve"> </w:t>
                      </w:r>
                    </w:p>
                    <w:p w14:paraId="0B200138" w14:textId="77777777" w:rsidR="00E01D80" w:rsidRDefault="00E01D80" w:rsidP="00E27CD8">
                      <w:pPr>
                        <w:spacing w:before="0" w:after="0" w:afterAutospacing="0"/>
                      </w:pPr>
                    </w:p>
                  </w:txbxContent>
                </v:textbox>
              </v:shape>
            </w:pict>
          </mc:Fallback>
        </mc:AlternateContent>
      </w:r>
      <w:r w:rsidR="00F664CC" w:rsidRPr="00E27CD8">
        <w:rPr>
          <w:rFonts w:ascii="Bookman Old Style" w:hAnsi="Bookman Old Style"/>
          <w:b/>
          <w:i/>
          <w:noProof/>
          <w:sz w:val="20"/>
          <w:szCs w:val="20"/>
        </w:rPr>
        <w:drawing>
          <wp:anchor distT="0" distB="0" distL="114300" distR="114300" simplePos="0" relativeHeight="251655680" behindDoc="0" locked="0" layoutInCell="1" allowOverlap="1" wp14:anchorId="46DA7FB3" wp14:editId="50560668">
            <wp:simplePos x="0" y="0"/>
            <wp:positionH relativeFrom="margin">
              <wp:posOffset>-224790</wp:posOffset>
            </wp:positionH>
            <wp:positionV relativeFrom="margin">
              <wp:posOffset>0</wp:posOffset>
            </wp:positionV>
            <wp:extent cx="1468822" cy="739140"/>
            <wp:effectExtent l="0" t="0" r="0" b="3810"/>
            <wp:wrapNone/>
            <wp:docPr id="9" name="Picture 9" descr="MassHealth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MassHealth logo">
                      <a:extLst>
                        <a:ext uri="{C183D7F6-B498-43B3-948B-1728B52AA6E4}">
                          <adec:decorative xmlns:adec="http://schemas.microsoft.com/office/drawing/2017/decorative" val="0"/>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1CDE2008"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107F9BBD" w14:textId="69AF0133"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0A866A6B" w14:textId="0F2D30EB" w:rsidR="006D3F15" w:rsidRPr="00777A22" w:rsidRDefault="00000000" w:rsidP="00E27CD8">
      <w:pPr>
        <w:spacing w:before="0" w:after="0" w:afterAutospacing="0"/>
        <w:ind w:left="2160"/>
        <w:rPr>
          <w:rFonts w:ascii="Bookman Old Style" w:hAnsi="Bookman Old Style"/>
          <w:i/>
          <w:sz w:val="18"/>
          <w:szCs w:val="18"/>
        </w:rPr>
      </w:pPr>
      <w:hyperlink r:id="rId8" w:tooltip="This link takes you to the MassHealth website homepage." w:history="1">
        <w:r w:rsidR="00B73653" w:rsidRPr="00777A22">
          <w:rPr>
            <w:rStyle w:val="Hyperlink"/>
            <w:rFonts w:ascii="Bookman Old Style" w:hAnsi="Bookman Old Style"/>
            <w:i/>
            <w:sz w:val="18"/>
            <w:szCs w:val="18"/>
          </w:rPr>
          <w:t>www.mass.gov/masshealth</w:t>
        </w:r>
      </w:hyperlink>
    </w:p>
    <w:p w14:paraId="61AD4CA8" w14:textId="7332949E" w:rsidR="00F664CC" w:rsidRPr="00156DE9" w:rsidRDefault="00F664CC" w:rsidP="00982839">
      <w:pPr>
        <w:pStyle w:val="BullsHeading"/>
        <w:spacing w:before="480"/>
      </w:pPr>
      <w:r w:rsidRPr="00150BCC">
        <w:t>MassHealth</w:t>
      </w:r>
    </w:p>
    <w:p w14:paraId="5062B54D" w14:textId="632146DE" w:rsidR="00F664CC" w:rsidRPr="00156DE9" w:rsidRDefault="0041302D" w:rsidP="005B27F1">
      <w:pPr>
        <w:pStyle w:val="Heading1"/>
      </w:pPr>
      <w:r w:rsidRPr="00156DE9">
        <w:t>Nursing Facility</w:t>
      </w:r>
      <w:r w:rsidR="00F664CC" w:rsidRPr="00156DE9">
        <w:t xml:space="preserve"> Bulletin </w:t>
      </w:r>
      <w:r w:rsidR="00156DE9" w:rsidRPr="00156DE9">
        <w:t>183</w:t>
      </w:r>
    </w:p>
    <w:p w14:paraId="75D236DE" w14:textId="18DA601D" w:rsidR="00F664CC" w:rsidRPr="00156DE9" w:rsidRDefault="0041302D" w:rsidP="00150BCC">
      <w:pPr>
        <w:pStyle w:val="BullsHeading"/>
      </w:pPr>
      <w:r w:rsidRPr="00156DE9">
        <w:t>October 2023</w:t>
      </w:r>
    </w:p>
    <w:p w14:paraId="1C8FD212" w14:textId="77777777" w:rsidR="00F664CC" w:rsidRPr="00156DE9" w:rsidRDefault="00F664CC" w:rsidP="00E27CD8">
      <w:pPr>
        <w:rPr>
          <w:color w:val="1F497D" w:themeColor="text2"/>
        </w:rPr>
      </w:pPr>
    </w:p>
    <w:p w14:paraId="547AB3E9" w14:textId="77777777" w:rsidR="00F664CC" w:rsidRDefault="00F664CC" w:rsidP="00E27CD8">
      <w:pPr>
        <w:sectPr w:rsidR="00F664CC" w:rsidSect="00AB320D">
          <w:headerReference w:type="default" r:id="rId9"/>
          <w:footerReference w:type="default" r:id="rId10"/>
          <w:footerReference w:type="first" r:id="rId11"/>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0254D467" w14:textId="4FCCC8BD" w:rsidR="00F664CC" w:rsidRPr="00F664CC" w:rsidRDefault="00F664CC" w:rsidP="00E27CD8">
      <w:r w:rsidRPr="00F664CC">
        <w:rPr>
          <w:b/>
        </w:rPr>
        <w:t>TO</w:t>
      </w:r>
      <w:r w:rsidRPr="00F664CC">
        <w:t>:</w:t>
      </w:r>
      <w:r>
        <w:tab/>
      </w:r>
      <w:r w:rsidR="0041302D" w:rsidRPr="0041302D">
        <w:t>Nursing Facilities Participating in MassHealth</w:t>
      </w:r>
    </w:p>
    <w:p w14:paraId="0B653655" w14:textId="0F537C17" w:rsidR="00F664CC" w:rsidRPr="00F664CC" w:rsidRDefault="00F664CC" w:rsidP="00E27CD8">
      <w:r w:rsidRPr="00F664CC">
        <w:rPr>
          <w:b/>
        </w:rPr>
        <w:t>FROM</w:t>
      </w:r>
      <w:r w:rsidRPr="00F664CC">
        <w:t>:</w:t>
      </w:r>
      <w:r>
        <w:tab/>
      </w:r>
      <w:r w:rsidR="00344616">
        <w:t>Mike Levine</w:t>
      </w:r>
      <w:r w:rsidR="00AA6085">
        <w:t>, Assistant Secretary for MassHealth</w:t>
      </w:r>
      <w:r w:rsidR="00506379">
        <w:t xml:space="preserve"> [signature of Mike Levine]</w:t>
      </w:r>
    </w:p>
    <w:p w14:paraId="0DBB93F8" w14:textId="6ED24424" w:rsidR="0041302D" w:rsidRPr="009963EE" w:rsidRDefault="00F664CC" w:rsidP="0041302D">
      <w:pPr>
        <w:pStyle w:val="SubjectLine"/>
        <w:spacing w:after="100"/>
        <w:ind w:left="1440" w:hanging="1080"/>
      </w:pPr>
      <w:r w:rsidRPr="00F664CC">
        <w:t>RE:</w:t>
      </w:r>
      <w:r w:rsidR="00BD2DAF">
        <w:tab/>
      </w:r>
      <w:r w:rsidR="00081942" w:rsidRPr="00A033E9">
        <w:t xml:space="preserve">Nursing Facility Access and </w:t>
      </w:r>
      <w:r w:rsidR="007F1A97" w:rsidRPr="00A033E9">
        <w:t xml:space="preserve">Identifying </w:t>
      </w:r>
      <w:r w:rsidR="000711DD" w:rsidRPr="00A033E9">
        <w:t xml:space="preserve">Nursing Facility Residents </w:t>
      </w:r>
      <w:r w:rsidR="007F1A97" w:rsidRPr="00A033E9">
        <w:t xml:space="preserve">Who May Be Potential Candidates to </w:t>
      </w:r>
      <w:r w:rsidR="00C8748F" w:rsidRPr="00A033E9">
        <w:t xml:space="preserve">Discharge </w:t>
      </w:r>
      <w:r w:rsidR="00A033E9" w:rsidRPr="00A033E9">
        <w:t>from</w:t>
      </w:r>
      <w:r w:rsidR="00C8748F" w:rsidRPr="00A033E9">
        <w:t xml:space="preserve"> a Nursing Facility</w:t>
      </w:r>
      <w:r w:rsidR="007F1A97" w:rsidRPr="00A033E9">
        <w:t xml:space="preserve"> and </w:t>
      </w:r>
      <w:r w:rsidR="00C8748F" w:rsidRPr="00A033E9">
        <w:t xml:space="preserve">Transition </w:t>
      </w:r>
      <w:r w:rsidR="007F1A97" w:rsidRPr="00A033E9">
        <w:t>to the Community</w:t>
      </w:r>
    </w:p>
    <w:p w14:paraId="782BE40B" w14:textId="77777777" w:rsidR="0041302D" w:rsidRPr="009963EE" w:rsidRDefault="0041302D" w:rsidP="0041302D">
      <w:pPr>
        <w:pStyle w:val="Heading2"/>
        <w:spacing w:after="100"/>
      </w:pPr>
      <w:r w:rsidRPr="009963EE">
        <w:t xml:space="preserve">Background </w:t>
      </w:r>
    </w:p>
    <w:p w14:paraId="6DBEDC8F" w14:textId="50AA5914" w:rsidR="00D368EE" w:rsidRPr="00A033E9" w:rsidRDefault="00676C40" w:rsidP="00A033E9">
      <w:pPr>
        <w:rPr>
          <w:rFonts w:ascii="Helvetica" w:hAnsi="Helvetica" w:cs="Helvetica"/>
          <w:color w:val="1B1B1B"/>
          <w:sz w:val="25"/>
          <w:szCs w:val="25"/>
          <w:shd w:val="clear" w:color="auto" w:fill="FFFFFF"/>
        </w:rPr>
      </w:pPr>
      <w:r w:rsidRPr="00A033E9">
        <w:t>MassHealth and its designated agents, the Massachusetts Rehabilitation Commission (MRC), the Department of Developmental Services (DDS), the Executive Office of Elder Affairs</w:t>
      </w:r>
      <w:r w:rsidR="00AE35FE" w:rsidRPr="00A033E9">
        <w:t xml:space="preserve"> (EOEA)</w:t>
      </w:r>
      <w:r w:rsidRPr="00A033E9">
        <w:t xml:space="preserve">, and ForHealth Consulting at UMass Chan Medical School, </w:t>
      </w:r>
      <w:r w:rsidR="00991B6C" w:rsidRPr="00A033E9">
        <w:t>perform</w:t>
      </w:r>
      <w:r w:rsidR="0041302D" w:rsidRPr="00A033E9">
        <w:t xml:space="preserve"> </w:t>
      </w:r>
      <w:r w:rsidR="00D368EE" w:rsidRPr="00A033E9">
        <w:t>outreach in nursing facilities to inform residents about home</w:t>
      </w:r>
      <w:r w:rsidR="00865016">
        <w:t>-</w:t>
      </w:r>
      <w:r w:rsidR="00D368EE" w:rsidRPr="00A033E9">
        <w:t xml:space="preserve"> and community-based services options as well as the possibility of receiving care in a less restrictive setting.  </w:t>
      </w:r>
    </w:p>
    <w:p w14:paraId="76A74CCC" w14:textId="1E1B2177" w:rsidR="0041302D" w:rsidRPr="009963EE" w:rsidRDefault="00042010" w:rsidP="0041302D">
      <w:pPr>
        <w:spacing w:after="240" w:afterAutospacing="0"/>
      </w:pPr>
      <w:r w:rsidRPr="00A033E9">
        <w:t>As discussed in more detail below, nursing facilities are required to grant nursing facility access to MassHealth and its agents,</w:t>
      </w:r>
      <w:r w:rsidR="000D2E61" w:rsidRPr="00A033E9">
        <w:t xml:space="preserve"> as well as aid in the process of</w:t>
      </w:r>
      <w:r w:rsidR="00F40C62" w:rsidRPr="00A033E9">
        <w:t xml:space="preserve"> identifying</w:t>
      </w:r>
      <w:r w:rsidR="0041302D" w:rsidRPr="00A033E9">
        <w:t xml:space="preserve"> residents </w:t>
      </w:r>
      <w:r w:rsidR="0041302D" w:rsidRPr="00605CE4">
        <w:t xml:space="preserve">who may </w:t>
      </w:r>
      <w:r w:rsidR="00F40C62">
        <w:t>have the</w:t>
      </w:r>
      <w:r w:rsidR="00F40C62" w:rsidRPr="00605CE4">
        <w:t xml:space="preserve"> </w:t>
      </w:r>
      <w:r w:rsidR="0041302D" w:rsidRPr="00605CE4">
        <w:t xml:space="preserve">potential to </w:t>
      </w:r>
      <w:r w:rsidR="00C8748F">
        <w:t>discharge from</w:t>
      </w:r>
      <w:r w:rsidR="0041302D" w:rsidRPr="00605CE4">
        <w:t xml:space="preserve"> facility and </w:t>
      </w:r>
      <w:r w:rsidR="00C8748F">
        <w:t>transition</w:t>
      </w:r>
      <w:r w:rsidR="00C8748F" w:rsidRPr="00605CE4">
        <w:t xml:space="preserve"> </w:t>
      </w:r>
      <w:r w:rsidR="0041302D" w:rsidRPr="00605CE4">
        <w:t xml:space="preserve">to the community as participants in </w:t>
      </w:r>
      <w:r w:rsidR="0041302D">
        <w:t xml:space="preserve">the Money Follows the Person Demonstration (MFP Demo) and/or </w:t>
      </w:r>
      <w:r w:rsidR="0041302D" w:rsidRPr="00605CE4">
        <w:t>a Home</w:t>
      </w:r>
      <w:r w:rsidR="00865016">
        <w:t>-</w:t>
      </w:r>
      <w:r w:rsidR="0041302D" w:rsidRPr="00605CE4">
        <w:t xml:space="preserve"> and Community-</w:t>
      </w:r>
      <w:r w:rsidR="00865016">
        <w:t>b</w:t>
      </w:r>
      <w:r w:rsidR="0041302D" w:rsidRPr="00605CE4">
        <w:t>ased Services (HCBS) Waiver, in particular</w:t>
      </w:r>
      <w:r w:rsidR="0041302D">
        <w:t xml:space="preserve">, </w:t>
      </w:r>
      <w:r w:rsidR="0041302D" w:rsidRPr="00605CE4">
        <w:t>the Acquired Brain Injury (ABI) and Moving Forward Plan</w:t>
      </w:r>
      <w:r w:rsidR="0041302D">
        <w:t xml:space="preserve"> </w:t>
      </w:r>
      <w:r w:rsidR="0041302D" w:rsidRPr="00605CE4">
        <w:t>(MFP) Waivers.</w:t>
      </w:r>
      <w:r w:rsidR="0041302D" w:rsidRPr="009963EE">
        <w:t xml:space="preserve"> </w:t>
      </w:r>
    </w:p>
    <w:p w14:paraId="0B3A16DD" w14:textId="37E310D6" w:rsidR="0041302D" w:rsidRPr="009963EE" w:rsidRDefault="0041302D" w:rsidP="00DE4FB5">
      <w:pPr>
        <w:pStyle w:val="Heading2"/>
        <w:spacing w:after="0" w:afterAutospacing="0"/>
      </w:pPr>
      <w:r>
        <w:t xml:space="preserve">Facility and </w:t>
      </w:r>
      <w:r w:rsidR="00C77161">
        <w:t>R</w:t>
      </w:r>
      <w:r>
        <w:t xml:space="preserve">esident </w:t>
      </w:r>
      <w:r w:rsidR="00575474">
        <w:t>A</w:t>
      </w:r>
      <w:r>
        <w:t>ccess</w:t>
      </w:r>
    </w:p>
    <w:p w14:paraId="34CD680D" w14:textId="3D3392EC" w:rsidR="00E94C5E" w:rsidRPr="004146FA" w:rsidRDefault="0041302D" w:rsidP="00E94C5E">
      <w:pPr>
        <w:spacing w:after="0" w:afterAutospacing="0"/>
      </w:pPr>
      <w:r>
        <w:t>Nursing Facilities must allow designated staff from MassHealth or its agent or designee, such as those listed above, to:</w:t>
      </w:r>
    </w:p>
    <w:p w14:paraId="645241A6" w14:textId="4D9B902C" w:rsidR="0041302D" w:rsidRPr="004146FA" w:rsidRDefault="00AB320D" w:rsidP="00E94C5E">
      <w:pPr>
        <w:pStyle w:val="ListParagraph"/>
        <w:numPr>
          <w:ilvl w:val="0"/>
          <w:numId w:val="13"/>
        </w:numPr>
        <w:spacing w:before="120" w:after="120"/>
        <w:ind w:left="1224"/>
        <w:rPr>
          <w:rFonts w:ascii="Georgia" w:hAnsi="Georgia"/>
          <w:sz w:val="22"/>
          <w:szCs w:val="22"/>
        </w:rPr>
      </w:pPr>
      <w:r>
        <w:rPr>
          <w:rFonts w:ascii="Georgia" w:hAnsi="Georgia"/>
          <w:sz w:val="22"/>
          <w:szCs w:val="22"/>
        </w:rPr>
        <w:t>e</w:t>
      </w:r>
      <w:r w:rsidRPr="6043B1E2">
        <w:rPr>
          <w:rFonts w:ascii="Georgia" w:hAnsi="Georgia"/>
          <w:sz w:val="22"/>
          <w:szCs w:val="22"/>
        </w:rPr>
        <w:t xml:space="preserve">nter </w:t>
      </w:r>
      <w:r w:rsidR="0041302D" w:rsidRPr="6043B1E2">
        <w:rPr>
          <w:rFonts w:ascii="Georgia" w:hAnsi="Georgia"/>
          <w:sz w:val="22"/>
          <w:szCs w:val="22"/>
        </w:rPr>
        <w:t>the facility and/or its buildings to speak with staff and residents</w:t>
      </w:r>
      <w:r w:rsidR="0041302D" w:rsidRPr="4ACF652A">
        <w:rPr>
          <w:rFonts w:ascii="Georgia" w:hAnsi="Georgia"/>
          <w:sz w:val="22"/>
          <w:szCs w:val="22"/>
        </w:rPr>
        <w:t>;</w:t>
      </w:r>
    </w:p>
    <w:p w14:paraId="42AD677A" w14:textId="2D5E60A1" w:rsidR="0041302D" w:rsidRPr="004146FA" w:rsidRDefault="00AB320D" w:rsidP="00E94C5E">
      <w:pPr>
        <w:pStyle w:val="ListParagraph"/>
        <w:numPr>
          <w:ilvl w:val="0"/>
          <w:numId w:val="13"/>
        </w:numPr>
        <w:spacing w:before="120" w:after="120"/>
        <w:ind w:left="1224"/>
        <w:rPr>
          <w:rFonts w:ascii="Georgia" w:hAnsi="Georgia"/>
          <w:sz w:val="22"/>
          <w:szCs w:val="22"/>
        </w:rPr>
      </w:pPr>
      <w:r>
        <w:rPr>
          <w:rFonts w:ascii="Georgia" w:hAnsi="Georgia"/>
          <w:sz w:val="22"/>
          <w:szCs w:val="22"/>
        </w:rPr>
        <w:t>m</w:t>
      </w:r>
      <w:r w:rsidRPr="004146FA">
        <w:rPr>
          <w:rFonts w:ascii="Georgia" w:hAnsi="Georgia"/>
          <w:sz w:val="22"/>
          <w:szCs w:val="22"/>
        </w:rPr>
        <w:t xml:space="preserve">eet </w:t>
      </w:r>
      <w:r w:rsidR="0041302D" w:rsidRPr="004146FA">
        <w:rPr>
          <w:rFonts w:ascii="Georgia" w:hAnsi="Georgia"/>
          <w:sz w:val="22"/>
          <w:szCs w:val="22"/>
        </w:rPr>
        <w:t xml:space="preserve">with residents to provide information about the </w:t>
      </w:r>
      <w:r w:rsidR="0041302D">
        <w:rPr>
          <w:rFonts w:ascii="Georgia" w:hAnsi="Georgia"/>
          <w:sz w:val="22"/>
          <w:szCs w:val="22"/>
        </w:rPr>
        <w:t xml:space="preserve">MFP Demo, </w:t>
      </w:r>
      <w:r w:rsidR="0041302D" w:rsidRPr="004146FA">
        <w:rPr>
          <w:rFonts w:ascii="Georgia" w:hAnsi="Georgia"/>
          <w:sz w:val="22"/>
          <w:szCs w:val="22"/>
        </w:rPr>
        <w:t xml:space="preserve">HCBS Waivers, and any programs that support </w:t>
      </w:r>
      <w:r w:rsidR="00C8748F">
        <w:rPr>
          <w:rFonts w:ascii="Georgia" w:hAnsi="Georgia"/>
          <w:sz w:val="22"/>
          <w:szCs w:val="22"/>
        </w:rPr>
        <w:t xml:space="preserve">transition </w:t>
      </w:r>
      <w:r w:rsidR="0041302D" w:rsidRPr="004146FA">
        <w:rPr>
          <w:rFonts w:ascii="Georgia" w:hAnsi="Georgia"/>
          <w:sz w:val="22"/>
          <w:szCs w:val="22"/>
        </w:rPr>
        <w:t>to the community</w:t>
      </w:r>
      <w:r w:rsidR="0041302D" w:rsidRPr="4ACF652A">
        <w:rPr>
          <w:rFonts w:ascii="Georgia" w:hAnsi="Georgia"/>
          <w:sz w:val="22"/>
          <w:szCs w:val="22"/>
        </w:rPr>
        <w:t>;</w:t>
      </w:r>
    </w:p>
    <w:p w14:paraId="11679BEC" w14:textId="40DD9067" w:rsidR="0041302D" w:rsidRPr="004146FA" w:rsidRDefault="00AB320D" w:rsidP="00E94C5E">
      <w:pPr>
        <w:pStyle w:val="ListParagraph"/>
        <w:numPr>
          <w:ilvl w:val="0"/>
          <w:numId w:val="13"/>
        </w:numPr>
        <w:spacing w:before="120" w:after="120"/>
        <w:ind w:left="1224"/>
        <w:rPr>
          <w:rFonts w:ascii="Georgia" w:hAnsi="Georgia"/>
          <w:sz w:val="22"/>
          <w:szCs w:val="22"/>
        </w:rPr>
      </w:pPr>
      <w:r>
        <w:rPr>
          <w:rFonts w:ascii="Georgia" w:hAnsi="Georgia"/>
          <w:sz w:val="22"/>
          <w:szCs w:val="22"/>
        </w:rPr>
        <w:t>a</w:t>
      </w:r>
      <w:r w:rsidRPr="004146FA">
        <w:rPr>
          <w:rFonts w:ascii="Georgia" w:hAnsi="Georgia"/>
          <w:sz w:val="22"/>
          <w:szCs w:val="22"/>
        </w:rPr>
        <w:t xml:space="preserve">ccess </w:t>
      </w:r>
      <w:r w:rsidR="0041302D" w:rsidRPr="004146FA">
        <w:rPr>
          <w:rFonts w:ascii="Georgia" w:hAnsi="Georgia"/>
          <w:sz w:val="22"/>
          <w:szCs w:val="22"/>
        </w:rPr>
        <w:t>private meeting space for interviews with residents</w:t>
      </w:r>
      <w:r w:rsidR="0041302D" w:rsidRPr="4ACF652A">
        <w:rPr>
          <w:rFonts w:ascii="Georgia" w:hAnsi="Georgia"/>
          <w:sz w:val="22"/>
          <w:szCs w:val="22"/>
        </w:rPr>
        <w:t>;</w:t>
      </w:r>
    </w:p>
    <w:p w14:paraId="4ED57617" w14:textId="46990BF8" w:rsidR="0041302D" w:rsidRPr="004146FA" w:rsidRDefault="00C8748F" w:rsidP="00E94C5E">
      <w:pPr>
        <w:pStyle w:val="ListParagraph"/>
        <w:numPr>
          <w:ilvl w:val="0"/>
          <w:numId w:val="13"/>
        </w:numPr>
        <w:spacing w:before="120" w:after="120"/>
        <w:ind w:left="1224"/>
        <w:rPr>
          <w:rFonts w:ascii="Georgia" w:hAnsi="Georgia"/>
          <w:sz w:val="22"/>
          <w:szCs w:val="22"/>
        </w:rPr>
      </w:pPr>
      <w:r>
        <w:rPr>
          <w:rFonts w:ascii="Georgia" w:hAnsi="Georgia"/>
          <w:sz w:val="22"/>
          <w:szCs w:val="22"/>
        </w:rPr>
        <w:t xml:space="preserve">meet with residents to </w:t>
      </w:r>
      <w:r w:rsidR="00AB320D">
        <w:rPr>
          <w:rFonts w:ascii="Georgia" w:hAnsi="Georgia"/>
          <w:sz w:val="22"/>
          <w:szCs w:val="22"/>
        </w:rPr>
        <w:t>d</w:t>
      </w:r>
      <w:r w:rsidR="00AB320D" w:rsidRPr="004146FA">
        <w:rPr>
          <w:rFonts w:ascii="Georgia" w:hAnsi="Georgia"/>
          <w:sz w:val="22"/>
          <w:szCs w:val="22"/>
        </w:rPr>
        <w:t xml:space="preserve">iscuss </w:t>
      </w:r>
      <w:r w:rsidR="0041302D" w:rsidRPr="004146FA">
        <w:rPr>
          <w:rFonts w:ascii="Georgia" w:hAnsi="Georgia"/>
          <w:sz w:val="22"/>
          <w:szCs w:val="22"/>
        </w:rPr>
        <w:t>community housing options</w:t>
      </w:r>
      <w:r w:rsidR="0041302D" w:rsidRPr="4ACF652A">
        <w:rPr>
          <w:rFonts w:ascii="Georgia" w:hAnsi="Georgia"/>
          <w:sz w:val="22"/>
          <w:szCs w:val="22"/>
        </w:rPr>
        <w:t>; and</w:t>
      </w:r>
    </w:p>
    <w:p w14:paraId="6E202386" w14:textId="1A6DED80" w:rsidR="0041302D" w:rsidRDefault="00AB320D" w:rsidP="00E94C5E">
      <w:pPr>
        <w:pStyle w:val="ListParagraph"/>
        <w:numPr>
          <w:ilvl w:val="0"/>
          <w:numId w:val="13"/>
        </w:numPr>
        <w:spacing w:before="120" w:after="120"/>
        <w:ind w:left="1224"/>
        <w:rPr>
          <w:rFonts w:ascii="Georgia" w:hAnsi="Georgia"/>
          <w:iCs/>
          <w:sz w:val="22"/>
          <w:szCs w:val="22"/>
        </w:rPr>
      </w:pPr>
      <w:r>
        <w:rPr>
          <w:rFonts w:ascii="Georgia" w:hAnsi="Georgia"/>
          <w:sz w:val="22"/>
          <w:szCs w:val="22"/>
        </w:rPr>
        <w:t>p</w:t>
      </w:r>
      <w:r w:rsidRPr="004146FA">
        <w:rPr>
          <w:rFonts w:ascii="Georgia" w:hAnsi="Georgia"/>
          <w:sz w:val="22"/>
          <w:szCs w:val="22"/>
        </w:rPr>
        <w:t xml:space="preserve">articipate </w:t>
      </w:r>
      <w:r w:rsidR="0041302D" w:rsidRPr="004146FA">
        <w:rPr>
          <w:rFonts w:ascii="Georgia" w:hAnsi="Georgia"/>
          <w:sz w:val="22"/>
          <w:szCs w:val="22"/>
        </w:rPr>
        <w:t>in discharge</w:t>
      </w:r>
      <w:r w:rsidR="00865016">
        <w:rPr>
          <w:rFonts w:ascii="Georgia" w:hAnsi="Georgia"/>
          <w:sz w:val="22"/>
          <w:szCs w:val="22"/>
        </w:rPr>
        <w:t>-</w:t>
      </w:r>
      <w:r w:rsidR="0041302D" w:rsidRPr="004146FA">
        <w:rPr>
          <w:rFonts w:ascii="Georgia" w:hAnsi="Georgia"/>
          <w:sz w:val="22"/>
          <w:szCs w:val="22"/>
        </w:rPr>
        <w:t>planning meetings</w:t>
      </w:r>
      <w:r w:rsidR="0041302D" w:rsidRPr="4ACF652A">
        <w:rPr>
          <w:rFonts w:ascii="Georgia" w:hAnsi="Georgia"/>
          <w:sz w:val="22"/>
          <w:szCs w:val="22"/>
        </w:rPr>
        <w:t>.</w:t>
      </w:r>
    </w:p>
    <w:p w14:paraId="61FFBD58" w14:textId="77777777" w:rsidR="0041302D" w:rsidRDefault="0041302D" w:rsidP="0041302D">
      <w:pPr>
        <w:pStyle w:val="ListParagraph"/>
        <w:ind w:left="0" w:firstLine="360"/>
        <w:rPr>
          <w:rFonts w:ascii="Georgia" w:hAnsi="Georgia"/>
          <w:b/>
          <w:color w:val="1F497D" w:themeColor="text2"/>
          <w:sz w:val="24"/>
          <w:szCs w:val="24"/>
        </w:rPr>
      </w:pPr>
    </w:p>
    <w:p w14:paraId="2B0FC7F0" w14:textId="6EB01EDE" w:rsidR="0041302D" w:rsidRPr="00AD02D9" w:rsidRDefault="0041302D" w:rsidP="0041302D">
      <w:pPr>
        <w:pStyle w:val="ListParagraph"/>
        <w:ind w:left="360"/>
        <w:rPr>
          <w:rFonts w:ascii="Georgia" w:hAnsi="Georgia"/>
          <w:sz w:val="22"/>
          <w:szCs w:val="22"/>
        </w:rPr>
      </w:pPr>
      <w:r w:rsidRPr="00AD02D9">
        <w:rPr>
          <w:rFonts w:ascii="Georgia" w:hAnsi="Georgia"/>
          <w:sz w:val="22"/>
          <w:szCs w:val="22"/>
        </w:rPr>
        <w:t xml:space="preserve">Nursing </w:t>
      </w:r>
      <w:r w:rsidR="00865016">
        <w:rPr>
          <w:rFonts w:ascii="Georgia" w:hAnsi="Georgia"/>
          <w:sz w:val="22"/>
          <w:szCs w:val="22"/>
        </w:rPr>
        <w:t>f</w:t>
      </w:r>
      <w:r w:rsidRPr="00AD02D9">
        <w:rPr>
          <w:rFonts w:ascii="Georgia" w:hAnsi="Georgia"/>
          <w:sz w:val="22"/>
          <w:szCs w:val="22"/>
        </w:rPr>
        <w:t xml:space="preserve">acilities continue to be subject to MassHealth regulations, including </w:t>
      </w:r>
      <w:hyperlink r:id="rId12" w:history="1">
        <w:r w:rsidRPr="00D95904">
          <w:rPr>
            <w:rStyle w:val="Hyperlink"/>
            <w:rFonts w:ascii="Georgia" w:hAnsi="Georgia"/>
            <w:sz w:val="22"/>
            <w:szCs w:val="22"/>
          </w:rPr>
          <w:t>130 CMR 456.000: Long Term Care Services</w:t>
        </w:r>
      </w:hyperlink>
      <w:r w:rsidRPr="00AD02D9">
        <w:rPr>
          <w:rFonts w:ascii="Georgia" w:hAnsi="Georgia"/>
          <w:sz w:val="22"/>
          <w:szCs w:val="22"/>
        </w:rPr>
        <w:t xml:space="preserve">; Department of Public Health regulations, including 105 CMR 150: Standards for </w:t>
      </w:r>
      <w:r w:rsidR="00C8748F">
        <w:rPr>
          <w:rFonts w:ascii="Georgia" w:hAnsi="Georgia"/>
          <w:sz w:val="22"/>
          <w:szCs w:val="22"/>
        </w:rPr>
        <w:t>L</w:t>
      </w:r>
      <w:r w:rsidRPr="00AD02D9">
        <w:rPr>
          <w:rFonts w:ascii="Georgia" w:hAnsi="Georgia"/>
          <w:sz w:val="22"/>
          <w:szCs w:val="22"/>
        </w:rPr>
        <w:t>ong-</w:t>
      </w:r>
      <w:r w:rsidR="00C8748F">
        <w:rPr>
          <w:rFonts w:ascii="Georgia" w:hAnsi="Georgia"/>
          <w:sz w:val="22"/>
          <w:szCs w:val="22"/>
        </w:rPr>
        <w:t>T</w:t>
      </w:r>
      <w:r w:rsidRPr="00AD02D9">
        <w:rPr>
          <w:rFonts w:ascii="Georgia" w:hAnsi="Georgia"/>
          <w:sz w:val="22"/>
          <w:szCs w:val="22"/>
        </w:rPr>
        <w:t xml:space="preserve">erm </w:t>
      </w:r>
      <w:r w:rsidR="00C8748F">
        <w:rPr>
          <w:rFonts w:ascii="Georgia" w:hAnsi="Georgia"/>
          <w:sz w:val="22"/>
          <w:szCs w:val="22"/>
        </w:rPr>
        <w:t>C</w:t>
      </w:r>
      <w:r w:rsidRPr="00AD02D9">
        <w:rPr>
          <w:rFonts w:ascii="Georgia" w:hAnsi="Georgia"/>
          <w:sz w:val="22"/>
          <w:szCs w:val="22"/>
        </w:rPr>
        <w:t xml:space="preserve">are </w:t>
      </w:r>
      <w:r w:rsidR="00C8748F">
        <w:rPr>
          <w:rFonts w:ascii="Georgia" w:hAnsi="Georgia"/>
          <w:sz w:val="22"/>
          <w:szCs w:val="22"/>
        </w:rPr>
        <w:t>F</w:t>
      </w:r>
      <w:r w:rsidRPr="00AD02D9">
        <w:rPr>
          <w:rFonts w:ascii="Georgia" w:hAnsi="Georgia"/>
          <w:sz w:val="22"/>
          <w:szCs w:val="22"/>
        </w:rPr>
        <w:t xml:space="preserve">acilities; and the federal PASRR regulations at 42 CFR 483.100. Pursuant to these regulations, </w:t>
      </w:r>
      <w:r w:rsidR="00865016">
        <w:rPr>
          <w:rFonts w:ascii="Georgia" w:hAnsi="Georgia"/>
          <w:sz w:val="22"/>
          <w:szCs w:val="22"/>
        </w:rPr>
        <w:t>n</w:t>
      </w:r>
      <w:r w:rsidRPr="00AD02D9">
        <w:rPr>
          <w:rFonts w:ascii="Georgia" w:hAnsi="Georgia"/>
          <w:sz w:val="22"/>
          <w:szCs w:val="22"/>
        </w:rPr>
        <w:t xml:space="preserve">ursing </w:t>
      </w:r>
      <w:r w:rsidR="00865016">
        <w:rPr>
          <w:rFonts w:ascii="Georgia" w:hAnsi="Georgia"/>
          <w:sz w:val="22"/>
          <w:szCs w:val="22"/>
        </w:rPr>
        <w:t>f</w:t>
      </w:r>
      <w:r w:rsidRPr="00AD02D9">
        <w:rPr>
          <w:rFonts w:ascii="Georgia" w:hAnsi="Georgia"/>
          <w:sz w:val="22"/>
          <w:szCs w:val="22"/>
        </w:rPr>
        <w:t>acilities are required to create care plans and perform care coordination and discharge planning for all residents. Facilities that fail to comply with the requirements outlined in this bulletin may be subject to sanctions under 130 CMR 450.238</w:t>
      </w:r>
      <w:r w:rsidR="00865016">
        <w:rPr>
          <w:rFonts w:ascii="Georgia" w:hAnsi="Georgia"/>
          <w:sz w:val="22"/>
          <w:szCs w:val="22"/>
        </w:rPr>
        <w:t>,</w:t>
      </w:r>
      <w:r w:rsidRPr="00AD02D9">
        <w:rPr>
          <w:rFonts w:ascii="Georgia" w:hAnsi="Georgia"/>
          <w:sz w:val="22"/>
          <w:szCs w:val="22"/>
        </w:rPr>
        <w:t xml:space="preserve"> </w:t>
      </w:r>
      <w:r w:rsidRPr="00022511">
        <w:rPr>
          <w:rFonts w:ascii="Georgia" w:hAnsi="Georgia"/>
          <w:sz w:val="22"/>
          <w:szCs w:val="22"/>
        </w:rPr>
        <w:t>et seq.</w:t>
      </w:r>
    </w:p>
    <w:p w14:paraId="292C6992" w14:textId="7D5C56E1" w:rsidR="0041302D" w:rsidRPr="00315108" w:rsidRDefault="0041302D" w:rsidP="00DE4FB5">
      <w:pPr>
        <w:pStyle w:val="ListParagraph"/>
        <w:spacing w:after="240"/>
        <w:ind w:left="0" w:firstLine="360"/>
        <w:contextualSpacing w:val="0"/>
        <w:rPr>
          <w:rFonts w:ascii="Georgia" w:hAnsi="Georgia"/>
          <w:b/>
          <w:color w:val="1F497D" w:themeColor="text2"/>
          <w:sz w:val="24"/>
          <w:szCs w:val="24"/>
        </w:rPr>
      </w:pPr>
      <w:r>
        <w:rPr>
          <w:rFonts w:ascii="Georgia" w:hAnsi="Georgia"/>
          <w:b/>
          <w:color w:val="1F497D" w:themeColor="text2"/>
          <w:sz w:val="24"/>
          <w:szCs w:val="24"/>
        </w:rPr>
        <w:lastRenderedPageBreak/>
        <w:t xml:space="preserve">Resident </w:t>
      </w:r>
      <w:r w:rsidR="00865016">
        <w:rPr>
          <w:rFonts w:ascii="Georgia" w:hAnsi="Georgia"/>
          <w:b/>
          <w:color w:val="1F497D" w:themeColor="text2"/>
          <w:sz w:val="24"/>
          <w:szCs w:val="24"/>
        </w:rPr>
        <w:t>M</w:t>
      </w:r>
      <w:r>
        <w:rPr>
          <w:rFonts w:ascii="Georgia" w:hAnsi="Georgia"/>
          <w:b/>
          <w:color w:val="1F497D" w:themeColor="text2"/>
          <w:sz w:val="24"/>
          <w:szCs w:val="24"/>
        </w:rPr>
        <w:t xml:space="preserve">edical </w:t>
      </w:r>
      <w:r w:rsidR="00865016">
        <w:rPr>
          <w:rFonts w:ascii="Georgia" w:hAnsi="Georgia"/>
          <w:b/>
          <w:color w:val="1F497D" w:themeColor="text2"/>
          <w:sz w:val="24"/>
          <w:szCs w:val="24"/>
        </w:rPr>
        <w:t>R</w:t>
      </w:r>
      <w:r>
        <w:rPr>
          <w:rFonts w:ascii="Georgia" w:hAnsi="Georgia"/>
          <w:b/>
          <w:color w:val="1F497D" w:themeColor="text2"/>
          <w:sz w:val="24"/>
          <w:szCs w:val="24"/>
        </w:rPr>
        <w:t>ecords</w:t>
      </w:r>
    </w:p>
    <w:p w14:paraId="50E3EDBA" w14:textId="5A7DFA96" w:rsidR="00E94C5E" w:rsidRDefault="0041302D" w:rsidP="00F3219D">
      <w:pPr>
        <w:pStyle w:val="BullsHeading"/>
        <w:spacing w:after="240"/>
        <w:ind w:left="360"/>
        <w:rPr>
          <w:b w:val="0"/>
          <w:color w:val="auto"/>
          <w:sz w:val="22"/>
          <w:szCs w:val="22"/>
        </w:rPr>
      </w:pPr>
      <w:r w:rsidRPr="52465117">
        <w:rPr>
          <w:b w:val="0"/>
          <w:color w:val="auto"/>
          <w:sz w:val="22"/>
          <w:szCs w:val="22"/>
        </w:rPr>
        <w:t xml:space="preserve">Nursing facilities must assist designated staff from MassHealth or its agent or designee in obtaining necessary Releases of Information for each resident identified as a potential MFP Demo or HCBS Waiver candidate. Upon receipt of a medical records request supported by a valid Release of Information, facilities must provide records that describe the extent, quality, and medical necessity of services provided by the </w:t>
      </w:r>
      <w:r w:rsidR="00C8748F">
        <w:rPr>
          <w:b w:val="0"/>
          <w:color w:val="auto"/>
          <w:sz w:val="22"/>
          <w:szCs w:val="22"/>
        </w:rPr>
        <w:t>facility</w:t>
      </w:r>
      <w:r w:rsidR="00C8748F" w:rsidRPr="52465117">
        <w:rPr>
          <w:b w:val="0"/>
          <w:color w:val="auto"/>
          <w:sz w:val="22"/>
          <w:szCs w:val="22"/>
        </w:rPr>
        <w:t xml:space="preserve"> </w:t>
      </w:r>
      <w:r w:rsidRPr="52465117">
        <w:rPr>
          <w:b w:val="0"/>
          <w:color w:val="auto"/>
          <w:sz w:val="22"/>
          <w:szCs w:val="22"/>
        </w:rPr>
        <w:t>to such residents</w:t>
      </w:r>
      <w:r w:rsidR="00FE2ACB">
        <w:rPr>
          <w:b w:val="0"/>
          <w:color w:val="auto"/>
          <w:sz w:val="22"/>
          <w:szCs w:val="22"/>
        </w:rPr>
        <w:t>, at no c</w:t>
      </w:r>
      <w:r w:rsidR="00A0665D">
        <w:rPr>
          <w:b w:val="0"/>
          <w:color w:val="auto"/>
          <w:sz w:val="22"/>
          <w:szCs w:val="22"/>
        </w:rPr>
        <w:t>ost</w:t>
      </w:r>
      <w:r w:rsidR="00FE2ACB">
        <w:rPr>
          <w:b w:val="0"/>
          <w:color w:val="auto"/>
          <w:sz w:val="22"/>
          <w:szCs w:val="22"/>
        </w:rPr>
        <w:t xml:space="preserve"> to MassHealth or its agent or designee</w:t>
      </w:r>
      <w:r w:rsidRPr="52465117">
        <w:rPr>
          <w:b w:val="0"/>
          <w:color w:val="auto"/>
          <w:sz w:val="22"/>
          <w:szCs w:val="22"/>
        </w:rPr>
        <w:t xml:space="preserve">. Examples include (not an all-inclusive list): </w:t>
      </w:r>
    </w:p>
    <w:p w14:paraId="0FA3D0C1" w14:textId="78E0BEEC" w:rsidR="0041302D" w:rsidRPr="006A1B98" w:rsidRDefault="00AB320D" w:rsidP="00E94C5E">
      <w:pPr>
        <w:pStyle w:val="BullsHeading"/>
        <w:numPr>
          <w:ilvl w:val="0"/>
          <w:numId w:val="12"/>
        </w:numPr>
        <w:spacing w:line="240" w:lineRule="auto"/>
        <w:ind w:left="1224"/>
        <w:contextualSpacing/>
        <w:rPr>
          <w:b w:val="0"/>
          <w:color w:val="auto"/>
          <w:sz w:val="22"/>
          <w:szCs w:val="22"/>
        </w:rPr>
      </w:pPr>
      <w:r>
        <w:rPr>
          <w:b w:val="0"/>
          <w:color w:val="auto"/>
          <w:sz w:val="22"/>
          <w:szCs w:val="22"/>
        </w:rPr>
        <w:t>m</w:t>
      </w:r>
      <w:r w:rsidRPr="006A1B98">
        <w:rPr>
          <w:b w:val="0"/>
          <w:color w:val="auto"/>
          <w:sz w:val="22"/>
          <w:szCs w:val="22"/>
        </w:rPr>
        <w:t xml:space="preserve">edical </w:t>
      </w:r>
      <w:r w:rsidR="0041302D" w:rsidRPr="006A1B98">
        <w:rPr>
          <w:b w:val="0"/>
          <w:color w:val="auto"/>
          <w:sz w:val="22"/>
          <w:szCs w:val="22"/>
        </w:rPr>
        <w:t>records</w:t>
      </w:r>
      <w:r w:rsidR="00C8748F">
        <w:rPr>
          <w:b w:val="0"/>
          <w:color w:val="auto"/>
          <w:sz w:val="22"/>
          <w:szCs w:val="22"/>
        </w:rPr>
        <w:t>;</w:t>
      </w:r>
    </w:p>
    <w:p w14:paraId="1A8C3643" w14:textId="1FA42185" w:rsidR="0041302D" w:rsidRPr="006A1B98" w:rsidRDefault="00AB320D" w:rsidP="00E94C5E">
      <w:pPr>
        <w:pStyle w:val="BullsHeading"/>
        <w:numPr>
          <w:ilvl w:val="0"/>
          <w:numId w:val="12"/>
        </w:numPr>
        <w:spacing w:line="240" w:lineRule="auto"/>
        <w:ind w:left="1224"/>
        <w:rPr>
          <w:b w:val="0"/>
          <w:color w:val="auto"/>
          <w:sz w:val="22"/>
          <w:szCs w:val="22"/>
        </w:rPr>
      </w:pPr>
      <w:r>
        <w:rPr>
          <w:b w:val="0"/>
          <w:color w:val="auto"/>
          <w:sz w:val="22"/>
          <w:szCs w:val="22"/>
        </w:rPr>
        <w:t>c</w:t>
      </w:r>
      <w:r w:rsidRPr="006A1B98">
        <w:rPr>
          <w:b w:val="0"/>
          <w:color w:val="auto"/>
          <w:sz w:val="22"/>
          <w:szCs w:val="22"/>
        </w:rPr>
        <w:t xml:space="preserve">urrent </w:t>
      </w:r>
      <w:r w:rsidR="0041302D" w:rsidRPr="006A1B98">
        <w:rPr>
          <w:b w:val="0"/>
          <w:color w:val="auto"/>
          <w:sz w:val="22"/>
          <w:szCs w:val="22"/>
        </w:rPr>
        <w:t>and past care plans</w:t>
      </w:r>
      <w:r w:rsidR="00C8748F">
        <w:rPr>
          <w:b w:val="0"/>
          <w:color w:val="auto"/>
          <w:sz w:val="22"/>
          <w:szCs w:val="22"/>
        </w:rPr>
        <w:t>;</w:t>
      </w:r>
    </w:p>
    <w:p w14:paraId="100A5A05" w14:textId="1E0302E0" w:rsidR="0041302D" w:rsidRPr="006A1B98" w:rsidRDefault="00AB320D" w:rsidP="00E94C5E">
      <w:pPr>
        <w:pStyle w:val="BullsHeading"/>
        <w:numPr>
          <w:ilvl w:val="0"/>
          <w:numId w:val="12"/>
        </w:numPr>
        <w:spacing w:line="240" w:lineRule="auto"/>
        <w:ind w:left="1224"/>
        <w:rPr>
          <w:b w:val="0"/>
          <w:color w:val="auto"/>
          <w:sz w:val="22"/>
          <w:szCs w:val="22"/>
        </w:rPr>
      </w:pPr>
      <w:r>
        <w:rPr>
          <w:b w:val="0"/>
          <w:color w:val="auto"/>
          <w:sz w:val="22"/>
          <w:szCs w:val="22"/>
        </w:rPr>
        <w:t>b</w:t>
      </w:r>
      <w:r w:rsidRPr="006A1B98">
        <w:rPr>
          <w:b w:val="0"/>
          <w:color w:val="auto"/>
          <w:sz w:val="22"/>
          <w:szCs w:val="22"/>
        </w:rPr>
        <w:t>ehavior</w:t>
      </w:r>
      <w:r w:rsidR="00865016">
        <w:rPr>
          <w:b w:val="0"/>
          <w:color w:val="auto"/>
          <w:sz w:val="22"/>
          <w:szCs w:val="22"/>
        </w:rPr>
        <w:t>-</w:t>
      </w:r>
      <w:r w:rsidR="0041302D" w:rsidRPr="006A1B98">
        <w:rPr>
          <w:b w:val="0"/>
          <w:color w:val="auto"/>
          <w:sz w:val="22"/>
          <w:szCs w:val="22"/>
        </w:rPr>
        <w:t>monitoring sheets and/or social service notes, risk assessments, or other related documentation</w:t>
      </w:r>
      <w:r w:rsidR="00C8748F">
        <w:rPr>
          <w:b w:val="0"/>
          <w:color w:val="auto"/>
          <w:sz w:val="22"/>
          <w:szCs w:val="22"/>
        </w:rPr>
        <w:t>;</w:t>
      </w:r>
    </w:p>
    <w:p w14:paraId="782C35B3" w14:textId="204F5E58" w:rsidR="0041302D" w:rsidRPr="006A1B98" w:rsidRDefault="00AB320D" w:rsidP="00E94C5E">
      <w:pPr>
        <w:pStyle w:val="BullsHeading"/>
        <w:numPr>
          <w:ilvl w:val="0"/>
          <w:numId w:val="12"/>
        </w:numPr>
        <w:spacing w:line="240" w:lineRule="auto"/>
        <w:ind w:left="1224"/>
        <w:rPr>
          <w:b w:val="0"/>
          <w:color w:val="auto"/>
          <w:sz w:val="22"/>
          <w:szCs w:val="22"/>
        </w:rPr>
      </w:pPr>
      <w:r>
        <w:rPr>
          <w:b w:val="0"/>
          <w:color w:val="auto"/>
          <w:sz w:val="22"/>
          <w:szCs w:val="22"/>
        </w:rPr>
        <w:t>d</w:t>
      </w:r>
      <w:r w:rsidRPr="006A1B98">
        <w:rPr>
          <w:b w:val="0"/>
          <w:color w:val="auto"/>
          <w:sz w:val="22"/>
          <w:szCs w:val="22"/>
        </w:rPr>
        <w:t xml:space="preserve">ocumentation </w:t>
      </w:r>
      <w:r w:rsidR="0041302D" w:rsidRPr="006A1B98">
        <w:rPr>
          <w:b w:val="0"/>
          <w:color w:val="auto"/>
          <w:sz w:val="22"/>
          <w:szCs w:val="22"/>
        </w:rPr>
        <w:t xml:space="preserve">related to the discharge or potential discharge of the resident, including </w:t>
      </w:r>
      <w:r w:rsidR="0041302D">
        <w:rPr>
          <w:b w:val="0"/>
          <w:color w:val="auto"/>
          <w:sz w:val="22"/>
          <w:szCs w:val="22"/>
        </w:rPr>
        <w:t xml:space="preserve">facility </w:t>
      </w:r>
      <w:r w:rsidR="0041302D" w:rsidRPr="006A1B98">
        <w:rPr>
          <w:b w:val="0"/>
          <w:color w:val="auto"/>
          <w:sz w:val="22"/>
          <w:szCs w:val="22"/>
        </w:rPr>
        <w:t>discharge</w:t>
      </w:r>
      <w:r w:rsidR="00865016">
        <w:rPr>
          <w:b w:val="0"/>
          <w:color w:val="auto"/>
          <w:sz w:val="22"/>
          <w:szCs w:val="22"/>
        </w:rPr>
        <w:t>-</w:t>
      </w:r>
      <w:r w:rsidR="0041302D" w:rsidRPr="006A1B98">
        <w:rPr>
          <w:b w:val="0"/>
          <w:color w:val="auto"/>
          <w:sz w:val="22"/>
          <w:szCs w:val="22"/>
        </w:rPr>
        <w:t>planning efforts</w:t>
      </w:r>
      <w:r w:rsidR="00C8748F">
        <w:rPr>
          <w:b w:val="0"/>
          <w:color w:val="auto"/>
          <w:sz w:val="22"/>
          <w:szCs w:val="22"/>
        </w:rPr>
        <w:t>;</w:t>
      </w:r>
    </w:p>
    <w:p w14:paraId="53150398" w14:textId="0F40A664" w:rsidR="0041302D" w:rsidRPr="006A1B98" w:rsidRDefault="00AB320D" w:rsidP="00E94C5E">
      <w:pPr>
        <w:pStyle w:val="BullsHeading"/>
        <w:numPr>
          <w:ilvl w:val="0"/>
          <w:numId w:val="12"/>
        </w:numPr>
        <w:spacing w:line="240" w:lineRule="auto"/>
        <w:ind w:left="1224"/>
        <w:rPr>
          <w:b w:val="0"/>
          <w:color w:val="auto"/>
          <w:sz w:val="22"/>
          <w:szCs w:val="22"/>
        </w:rPr>
      </w:pPr>
      <w:r>
        <w:rPr>
          <w:b w:val="0"/>
          <w:color w:val="auto"/>
          <w:sz w:val="22"/>
          <w:szCs w:val="22"/>
        </w:rPr>
        <w:t>i</w:t>
      </w:r>
      <w:r w:rsidRPr="52465117">
        <w:rPr>
          <w:b w:val="0"/>
          <w:color w:val="auto"/>
          <w:sz w:val="22"/>
          <w:szCs w:val="22"/>
        </w:rPr>
        <w:t xml:space="preserve">nformation </w:t>
      </w:r>
      <w:r w:rsidR="0041302D" w:rsidRPr="52465117">
        <w:rPr>
          <w:b w:val="0"/>
          <w:color w:val="auto"/>
          <w:sz w:val="22"/>
          <w:szCs w:val="22"/>
        </w:rPr>
        <w:t>that fully documents the type and extent of services provided by a facility to the resident, and the name of the attending physician responsible for the resident's care</w:t>
      </w:r>
      <w:r w:rsidR="00D3350B">
        <w:rPr>
          <w:b w:val="0"/>
          <w:color w:val="auto"/>
          <w:sz w:val="22"/>
          <w:szCs w:val="22"/>
        </w:rPr>
        <w:t>;</w:t>
      </w:r>
    </w:p>
    <w:p w14:paraId="6837C9E3" w14:textId="4F265F6B" w:rsidR="0041302D" w:rsidRPr="006A1B98" w:rsidRDefault="00AB320D" w:rsidP="00E94C5E">
      <w:pPr>
        <w:pStyle w:val="BullsHeading"/>
        <w:numPr>
          <w:ilvl w:val="0"/>
          <w:numId w:val="12"/>
        </w:numPr>
        <w:spacing w:line="240" w:lineRule="auto"/>
        <w:ind w:left="1224"/>
        <w:rPr>
          <w:b w:val="0"/>
          <w:color w:val="auto"/>
          <w:sz w:val="22"/>
          <w:szCs w:val="22"/>
        </w:rPr>
      </w:pPr>
      <w:r>
        <w:rPr>
          <w:b w:val="0"/>
          <w:color w:val="auto"/>
          <w:sz w:val="22"/>
          <w:szCs w:val="22"/>
        </w:rPr>
        <w:t>d</w:t>
      </w:r>
      <w:r w:rsidRPr="006A1B98">
        <w:rPr>
          <w:b w:val="0"/>
          <w:color w:val="auto"/>
          <w:sz w:val="22"/>
          <w:szCs w:val="22"/>
        </w:rPr>
        <w:t xml:space="preserve">ocumentation </w:t>
      </w:r>
      <w:r w:rsidR="0041302D" w:rsidRPr="006A1B98">
        <w:rPr>
          <w:b w:val="0"/>
          <w:color w:val="auto"/>
          <w:sz w:val="22"/>
          <w:szCs w:val="22"/>
        </w:rPr>
        <w:t>from hospitalizations</w:t>
      </w:r>
      <w:r w:rsidR="00C8748F">
        <w:rPr>
          <w:b w:val="0"/>
          <w:color w:val="auto"/>
          <w:sz w:val="22"/>
          <w:szCs w:val="22"/>
        </w:rPr>
        <w:t>;</w:t>
      </w:r>
    </w:p>
    <w:p w14:paraId="3F490A58" w14:textId="7C5740F9" w:rsidR="0041302D" w:rsidRPr="006A1B98" w:rsidRDefault="00AB320D" w:rsidP="00E94C5E">
      <w:pPr>
        <w:pStyle w:val="BullsHeading"/>
        <w:numPr>
          <w:ilvl w:val="0"/>
          <w:numId w:val="12"/>
        </w:numPr>
        <w:spacing w:line="240" w:lineRule="auto"/>
        <w:ind w:left="1224"/>
        <w:rPr>
          <w:b w:val="0"/>
          <w:color w:val="auto"/>
          <w:sz w:val="22"/>
          <w:szCs w:val="22"/>
        </w:rPr>
      </w:pPr>
      <w:r>
        <w:rPr>
          <w:b w:val="0"/>
          <w:color w:val="auto"/>
          <w:sz w:val="22"/>
          <w:szCs w:val="22"/>
        </w:rPr>
        <w:t>information</w:t>
      </w:r>
      <w:r w:rsidRPr="006A1B98">
        <w:rPr>
          <w:b w:val="0"/>
          <w:color w:val="auto"/>
          <w:sz w:val="22"/>
          <w:szCs w:val="22"/>
        </w:rPr>
        <w:t xml:space="preserve"> </w:t>
      </w:r>
      <w:r w:rsidR="00C77161">
        <w:rPr>
          <w:b w:val="0"/>
          <w:color w:val="auto"/>
          <w:sz w:val="22"/>
          <w:szCs w:val="22"/>
        </w:rPr>
        <w:t>about</w:t>
      </w:r>
      <w:r w:rsidR="0041302D" w:rsidRPr="006A1B98">
        <w:rPr>
          <w:b w:val="0"/>
          <w:color w:val="auto"/>
          <w:sz w:val="22"/>
          <w:szCs w:val="22"/>
        </w:rPr>
        <w:t xml:space="preserve"> the resident's legal guardian, </w:t>
      </w:r>
      <w:r w:rsidR="00A0665D">
        <w:rPr>
          <w:b w:val="0"/>
          <w:color w:val="auto"/>
          <w:sz w:val="22"/>
          <w:szCs w:val="22"/>
        </w:rPr>
        <w:t>h</w:t>
      </w:r>
      <w:r w:rsidR="00A0665D" w:rsidRPr="006A1B98">
        <w:rPr>
          <w:b w:val="0"/>
          <w:color w:val="auto"/>
          <w:sz w:val="22"/>
          <w:szCs w:val="22"/>
        </w:rPr>
        <w:t xml:space="preserve">ealth </w:t>
      </w:r>
      <w:r w:rsidR="00A0665D">
        <w:rPr>
          <w:b w:val="0"/>
          <w:color w:val="auto"/>
          <w:sz w:val="22"/>
          <w:szCs w:val="22"/>
        </w:rPr>
        <w:t>c</w:t>
      </w:r>
      <w:r w:rsidR="00A0665D" w:rsidRPr="006A1B98">
        <w:rPr>
          <w:b w:val="0"/>
          <w:color w:val="auto"/>
          <w:sz w:val="22"/>
          <w:szCs w:val="22"/>
        </w:rPr>
        <w:t xml:space="preserve">are </w:t>
      </w:r>
      <w:r w:rsidR="00A0665D">
        <w:rPr>
          <w:b w:val="0"/>
          <w:color w:val="auto"/>
          <w:sz w:val="22"/>
          <w:szCs w:val="22"/>
        </w:rPr>
        <w:t>p</w:t>
      </w:r>
      <w:r w:rsidR="00A0665D" w:rsidRPr="006A1B98">
        <w:rPr>
          <w:b w:val="0"/>
          <w:color w:val="auto"/>
          <w:sz w:val="22"/>
          <w:szCs w:val="22"/>
        </w:rPr>
        <w:t>roxy</w:t>
      </w:r>
      <w:r w:rsidR="0041302D" w:rsidRPr="006A1B98">
        <w:rPr>
          <w:b w:val="0"/>
          <w:color w:val="auto"/>
          <w:sz w:val="22"/>
          <w:szCs w:val="22"/>
        </w:rPr>
        <w:t>,</w:t>
      </w:r>
      <w:r w:rsidR="0041302D">
        <w:rPr>
          <w:b w:val="0"/>
          <w:color w:val="auto"/>
          <w:sz w:val="22"/>
          <w:szCs w:val="22"/>
        </w:rPr>
        <w:t xml:space="preserve"> and/or</w:t>
      </w:r>
      <w:r w:rsidR="0041302D" w:rsidRPr="006A1B98">
        <w:rPr>
          <w:b w:val="0"/>
          <w:color w:val="auto"/>
          <w:sz w:val="22"/>
          <w:szCs w:val="22"/>
        </w:rPr>
        <w:t xml:space="preserve"> </w:t>
      </w:r>
      <w:r w:rsidR="00A0665D">
        <w:rPr>
          <w:b w:val="0"/>
          <w:color w:val="auto"/>
          <w:sz w:val="22"/>
          <w:szCs w:val="22"/>
        </w:rPr>
        <w:t>p</w:t>
      </w:r>
      <w:r w:rsidR="00A0665D" w:rsidRPr="006A1B98">
        <w:rPr>
          <w:b w:val="0"/>
          <w:color w:val="auto"/>
          <w:sz w:val="22"/>
          <w:szCs w:val="22"/>
        </w:rPr>
        <w:t xml:space="preserve">ower </w:t>
      </w:r>
      <w:r w:rsidR="0041302D" w:rsidRPr="006A1B98">
        <w:rPr>
          <w:b w:val="0"/>
          <w:color w:val="auto"/>
          <w:sz w:val="22"/>
          <w:szCs w:val="22"/>
        </w:rPr>
        <w:t xml:space="preserve">of </w:t>
      </w:r>
      <w:r w:rsidR="00A0665D">
        <w:rPr>
          <w:b w:val="0"/>
          <w:color w:val="auto"/>
          <w:sz w:val="22"/>
          <w:szCs w:val="22"/>
        </w:rPr>
        <w:t>a</w:t>
      </w:r>
      <w:r w:rsidR="00A0665D" w:rsidRPr="006A1B98">
        <w:rPr>
          <w:b w:val="0"/>
          <w:color w:val="auto"/>
          <w:sz w:val="22"/>
          <w:szCs w:val="22"/>
        </w:rPr>
        <w:t>ttorney</w:t>
      </w:r>
      <w:r w:rsidR="00C8748F">
        <w:rPr>
          <w:b w:val="0"/>
          <w:color w:val="auto"/>
          <w:sz w:val="22"/>
          <w:szCs w:val="22"/>
        </w:rPr>
        <w:t>;</w:t>
      </w:r>
    </w:p>
    <w:p w14:paraId="701E95A0" w14:textId="5D9047F2" w:rsidR="0041302D" w:rsidRPr="006A1B98" w:rsidRDefault="00AB320D" w:rsidP="00E94C5E">
      <w:pPr>
        <w:pStyle w:val="BullsHeading"/>
        <w:numPr>
          <w:ilvl w:val="0"/>
          <w:numId w:val="12"/>
        </w:numPr>
        <w:spacing w:line="240" w:lineRule="auto"/>
        <w:ind w:left="1224"/>
        <w:rPr>
          <w:b w:val="0"/>
          <w:color w:val="auto"/>
          <w:sz w:val="22"/>
          <w:szCs w:val="22"/>
        </w:rPr>
      </w:pPr>
      <w:r>
        <w:rPr>
          <w:b w:val="0"/>
          <w:color w:val="auto"/>
          <w:sz w:val="22"/>
          <w:szCs w:val="22"/>
        </w:rPr>
        <w:t>r</w:t>
      </w:r>
      <w:r w:rsidRPr="006A1B98">
        <w:rPr>
          <w:b w:val="0"/>
          <w:color w:val="auto"/>
          <w:sz w:val="22"/>
          <w:szCs w:val="22"/>
        </w:rPr>
        <w:t xml:space="preserve">ecords </w:t>
      </w:r>
      <w:r w:rsidR="0041302D" w:rsidRPr="006A1B98">
        <w:rPr>
          <w:b w:val="0"/>
          <w:color w:val="auto"/>
          <w:sz w:val="22"/>
          <w:szCs w:val="22"/>
        </w:rPr>
        <w:t>or other documentation that would assist in determining an appropriate community placement for the resident</w:t>
      </w:r>
      <w:r w:rsidR="00C8748F">
        <w:rPr>
          <w:b w:val="0"/>
          <w:color w:val="auto"/>
          <w:sz w:val="22"/>
          <w:szCs w:val="22"/>
        </w:rPr>
        <w:t>;</w:t>
      </w:r>
    </w:p>
    <w:p w14:paraId="605F1C26" w14:textId="2EF2D3E7" w:rsidR="0041302D" w:rsidRPr="006A1B98" w:rsidRDefault="00AB320D" w:rsidP="00E94C5E">
      <w:pPr>
        <w:pStyle w:val="BullsHeading"/>
        <w:numPr>
          <w:ilvl w:val="0"/>
          <w:numId w:val="12"/>
        </w:numPr>
        <w:spacing w:line="240" w:lineRule="auto"/>
        <w:ind w:left="1224"/>
        <w:rPr>
          <w:b w:val="0"/>
          <w:color w:val="auto"/>
          <w:sz w:val="22"/>
          <w:szCs w:val="22"/>
        </w:rPr>
      </w:pPr>
      <w:r>
        <w:rPr>
          <w:b w:val="0"/>
          <w:color w:val="auto"/>
          <w:sz w:val="22"/>
          <w:szCs w:val="22"/>
        </w:rPr>
        <w:t>a</w:t>
      </w:r>
      <w:r w:rsidRPr="006A1B98">
        <w:rPr>
          <w:b w:val="0"/>
          <w:color w:val="auto"/>
          <w:sz w:val="22"/>
          <w:szCs w:val="22"/>
        </w:rPr>
        <w:t xml:space="preserve">ny </w:t>
      </w:r>
      <w:r w:rsidR="0041302D" w:rsidRPr="006A1B98">
        <w:rPr>
          <w:b w:val="0"/>
          <w:color w:val="auto"/>
          <w:sz w:val="22"/>
          <w:szCs w:val="22"/>
        </w:rPr>
        <w:t>other information related to the ability of the resident to safely reside in the community</w:t>
      </w:r>
      <w:r w:rsidR="00C8748F">
        <w:rPr>
          <w:b w:val="0"/>
          <w:color w:val="auto"/>
          <w:sz w:val="22"/>
          <w:szCs w:val="22"/>
        </w:rPr>
        <w:t xml:space="preserve">; </w:t>
      </w:r>
      <w:r w:rsidR="000D74CE">
        <w:rPr>
          <w:b w:val="0"/>
          <w:color w:val="auto"/>
          <w:sz w:val="22"/>
          <w:szCs w:val="22"/>
        </w:rPr>
        <w:t>or</w:t>
      </w:r>
    </w:p>
    <w:p w14:paraId="3BC7D5EA" w14:textId="5510D550" w:rsidR="0041302D" w:rsidRDefault="00AB320D" w:rsidP="00E94C5E">
      <w:pPr>
        <w:pStyle w:val="BullsHeading"/>
        <w:numPr>
          <w:ilvl w:val="0"/>
          <w:numId w:val="12"/>
        </w:numPr>
        <w:spacing w:line="240" w:lineRule="auto"/>
        <w:ind w:left="1224"/>
        <w:rPr>
          <w:b w:val="0"/>
          <w:color w:val="auto"/>
          <w:sz w:val="22"/>
          <w:szCs w:val="22"/>
        </w:rPr>
      </w:pPr>
      <w:r>
        <w:rPr>
          <w:b w:val="0"/>
          <w:color w:val="auto"/>
          <w:sz w:val="22"/>
          <w:szCs w:val="22"/>
        </w:rPr>
        <w:t xml:space="preserve">a </w:t>
      </w:r>
      <w:r w:rsidR="0041302D">
        <w:rPr>
          <w:b w:val="0"/>
          <w:color w:val="auto"/>
          <w:sz w:val="22"/>
          <w:szCs w:val="22"/>
        </w:rPr>
        <w:t>copy of the SC-1 and any other required discharge information</w:t>
      </w:r>
      <w:r w:rsidR="00C8748F">
        <w:rPr>
          <w:b w:val="0"/>
          <w:color w:val="auto"/>
          <w:sz w:val="22"/>
          <w:szCs w:val="22"/>
        </w:rPr>
        <w:t>.</w:t>
      </w:r>
      <w:r w:rsidR="0041302D">
        <w:rPr>
          <w:b w:val="0"/>
          <w:color w:val="auto"/>
          <w:sz w:val="22"/>
          <w:szCs w:val="22"/>
        </w:rPr>
        <w:t xml:space="preserve"> </w:t>
      </w:r>
    </w:p>
    <w:p w14:paraId="7C66525D" w14:textId="77777777" w:rsidR="0041302D" w:rsidRDefault="0041302D" w:rsidP="0041302D">
      <w:pPr>
        <w:pStyle w:val="BullsHeading"/>
        <w:spacing w:line="240" w:lineRule="auto"/>
        <w:ind w:left="1440" w:hanging="360"/>
        <w:rPr>
          <w:b w:val="0"/>
          <w:color w:val="auto"/>
          <w:sz w:val="22"/>
          <w:szCs w:val="22"/>
        </w:rPr>
      </w:pPr>
    </w:p>
    <w:p w14:paraId="7C72AA40" w14:textId="7D50B859" w:rsidR="0041302D" w:rsidRDefault="0041302D" w:rsidP="0041302D">
      <w:pPr>
        <w:pStyle w:val="BullsHeading"/>
        <w:spacing w:line="240" w:lineRule="auto"/>
        <w:ind w:left="360"/>
        <w:rPr>
          <w:b w:val="0"/>
          <w:color w:val="auto"/>
          <w:sz w:val="22"/>
          <w:szCs w:val="22"/>
        </w:rPr>
      </w:pPr>
      <w:r w:rsidRPr="52465117">
        <w:rPr>
          <w:b w:val="0"/>
          <w:color w:val="auto"/>
          <w:sz w:val="22"/>
          <w:szCs w:val="22"/>
        </w:rPr>
        <w:t xml:space="preserve">Facilities must provide all relevant records specified in this bulletin to MassHealth or its agent or designee in a timely manner, and no later than 14 calendar days from the date of the original request, and </w:t>
      </w:r>
      <w:r w:rsidR="00C8748F">
        <w:rPr>
          <w:b w:val="0"/>
          <w:color w:val="auto"/>
          <w:sz w:val="22"/>
          <w:szCs w:val="22"/>
        </w:rPr>
        <w:t xml:space="preserve">no later than </w:t>
      </w:r>
      <w:r w:rsidR="00C77161">
        <w:rPr>
          <w:b w:val="0"/>
          <w:color w:val="auto"/>
          <w:sz w:val="22"/>
          <w:szCs w:val="22"/>
        </w:rPr>
        <w:t>seven</w:t>
      </w:r>
      <w:r w:rsidRPr="52465117">
        <w:rPr>
          <w:b w:val="0"/>
          <w:color w:val="auto"/>
          <w:sz w:val="22"/>
          <w:szCs w:val="22"/>
        </w:rPr>
        <w:t xml:space="preserve"> calendar days </w:t>
      </w:r>
      <w:r w:rsidR="00FE2ACB">
        <w:rPr>
          <w:b w:val="0"/>
          <w:color w:val="auto"/>
          <w:sz w:val="22"/>
          <w:szCs w:val="22"/>
        </w:rPr>
        <w:t>for</w:t>
      </w:r>
      <w:r w:rsidR="00FE2ACB" w:rsidRPr="52465117">
        <w:rPr>
          <w:b w:val="0"/>
          <w:color w:val="auto"/>
          <w:sz w:val="22"/>
          <w:szCs w:val="22"/>
        </w:rPr>
        <w:t xml:space="preserve"> </w:t>
      </w:r>
      <w:r w:rsidRPr="52465117">
        <w:rPr>
          <w:b w:val="0"/>
          <w:color w:val="auto"/>
          <w:sz w:val="22"/>
          <w:szCs w:val="22"/>
        </w:rPr>
        <w:t xml:space="preserve">all supplemental medical records requests. </w:t>
      </w:r>
      <w:bookmarkStart w:id="0" w:name="_Hlk147496629"/>
      <w:r>
        <w:rPr>
          <w:b w:val="0"/>
          <w:color w:val="auto"/>
          <w:sz w:val="22"/>
          <w:szCs w:val="22"/>
        </w:rPr>
        <w:t>E</w:t>
      </w:r>
      <w:r w:rsidRPr="52465117">
        <w:rPr>
          <w:b w:val="0"/>
          <w:color w:val="auto"/>
          <w:sz w:val="22"/>
          <w:szCs w:val="22"/>
        </w:rPr>
        <w:t>lectronic transmission</w:t>
      </w:r>
      <w:r>
        <w:rPr>
          <w:b w:val="0"/>
          <w:color w:val="auto"/>
          <w:sz w:val="22"/>
          <w:szCs w:val="22"/>
        </w:rPr>
        <w:t xml:space="preserve"> of the m</w:t>
      </w:r>
      <w:r w:rsidRPr="52465117">
        <w:rPr>
          <w:b w:val="0"/>
          <w:color w:val="auto"/>
          <w:sz w:val="22"/>
          <w:szCs w:val="22"/>
        </w:rPr>
        <w:t xml:space="preserve">edical </w:t>
      </w:r>
      <w:r>
        <w:rPr>
          <w:b w:val="0"/>
          <w:color w:val="auto"/>
          <w:sz w:val="22"/>
          <w:szCs w:val="22"/>
        </w:rPr>
        <w:t>r</w:t>
      </w:r>
      <w:r w:rsidRPr="52465117">
        <w:rPr>
          <w:b w:val="0"/>
          <w:color w:val="auto"/>
          <w:sz w:val="22"/>
          <w:szCs w:val="22"/>
        </w:rPr>
        <w:t xml:space="preserve">ecord is </w:t>
      </w:r>
      <w:r w:rsidR="00A033E9" w:rsidRPr="52465117">
        <w:rPr>
          <w:b w:val="0"/>
          <w:color w:val="auto"/>
          <w:sz w:val="22"/>
          <w:szCs w:val="22"/>
        </w:rPr>
        <w:t>preferred,</w:t>
      </w:r>
      <w:r>
        <w:rPr>
          <w:b w:val="0"/>
          <w:color w:val="auto"/>
          <w:sz w:val="22"/>
          <w:szCs w:val="22"/>
        </w:rPr>
        <w:t xml:space="preserve"> and </w:t>
      </w:r>
      <w:r w:rsidR="00C8748F">
        <w:rPr>
          <w:b w:val="0"/>
          <w:color w:val="auto"/>
          <w:sz w:val="22"/>
          <w:szCs w:val="22"/>
        </w:rPr>
        <w:t xml:space="preserve">the record </w:t>
      </w:r>
      <w:r>
        <w:rPr>
          <w:b w:val="0"/>
          <w:color w:val="auto"/>
          <w:sz w:val="22"/>
          <w:szCs w:val="22"/>
        </w:rPr>
        <w:t>must be sent securely in accordance with applicable privacy rules.</w:t>
      </w:r>
    </w:p>
    <w:bookmarkEnd w:id="0"/>
    <w:p w14:paraId="55FA4BD0" w14:textId="77777777" w:rsidR="0041302D" w:rsidRDefault="0041302D" w:rsidP="0041302D">
      <w:pPr>
        <w:pStyle w:val="BullsHeading"/>
        <w:spacing w:line="240" w:lineRule="auto"/>
        <w:ind w:left="360"/>
        <w:rPr>
          <w:b w:val="0"/>
          <w:color w:val="auto"/>
          <w:sz w:val="22"/>
          <w:szCs w:val="22"/>
        </w:rPr>
      </w:pPr>
    </w:p>
    <w:p w14:paraId="7E3B606C" w14:textId="7ED2779F" w:rsidR="0041302D" w:rsidRDefault="0041302D" w:rsidP="0041302D">
      <w:pPr>
        <w:pStyle w:val="BullsHeading"/>
        <w:spacing w:line="240" w:lineRule="auto"/>
        <w:ind w:left="360"/>
        <w:rPr>
          <w:b w:val="0"/>
          <w:color w:val="auto"/>
          <w:sz w:val="22"/>
          <w:szCs w:val="22"/>
        </w:rPr>
      </w:pPr>
      <w:r w:rsidRPr="52465117">
        <w:rPr>
          <w:b w:val="0"/>
          <w:color w:val="auto"/>
          <w:sz w:val="22"/>
          <w:szCs w:val="22"/>
        </w:rPr>
        <w:t xml:space="preserve">As participating providers in the MassHealth program, facilities must cooperate with medical records reviews, as well as maintain and retain any records necessary to disclose the extent, quality, and medical necessity of services provided to MassHealth members. These records must, upon request, be made available and provided to the MassHealth agency or its agent or designee </w:t>
      </w:r>
      <w:r w:rsidR="00C77161">
        <w:rPr>
          <w:b w:val="0"/>
          <w:color w:val="auto"/>
          <w:sz w:val="22"/>
          <w:szCs w:val="22"/>
        </w:rPr>
        <w:t>(</w:t>
      </w:r>
      <w:r w:rsidRPr="52465117">
        <w:rPr>
          <w:b w:val="0"/>
          <w:color w:val="auto"/>
          <w:sz w:val="22"/>
          <w:szCs w:val="22"/>
        </w:rPr>
        <w:t>see</w:t>
      </w:r>
      <w:r w:rsidR="00C77161">
        <w:rPr>
          <w:b w:val="0"/>
          <w:color w:val="auto"/>
          <w:sz w:val="22"/>
          <w:szCs w:val="22"/>
        </w:rPr>
        <w:t xml:space="preserve">, for example, </w:t>
      </w:r>
      <w:r w:rsidRPr="52465117">
        <w:rPr>
          <w:b w:val="0"/>
          <w:color w:val="auto"/>
          <w:sz w:val="22"/>
          <w:szCs w:val="22"/>
        </w:rPr>
        <w:t>130 CMR 450.205</w:t>
      </w:r>
      <w:r w:rsidR="00C77161">
        <w:rPr>
          <w:b w:val="0"/>
          <w:color w:val="auto"/>
          <w:sz w:val="22"/>
          <w:szCs w:val="22"/>
        </w:rPr>
        <w:t>)</w:t>
      </w:r>
      <w:r w:rsidRPr="52465117">
        <w:rPr>
          <w:b w:val="0"/>
          <w:color w:val="auto"/>
          <w:sz w:val="22"/>
          <w:szCs w:val="22"/>
        </w:rPr>
        <w:t>. Failure to comply with the recordkeeping and disclosure requirements of this bulletin may constitute MassHealth program violations, and may be subject to sanctions under 130 CMR 450.238</w:t>
      </w:r>
      <w:r w:rsidR="00C77161">
        <w:rPr>
          <w:b w:val="0"/>
          <w:color w:val="auto"/>
          <w:sz w:val="22"/>
          <w:szCs w:val="22"/>
        </w:rPr>
        <w:t>,</w:t>
      </w:r>
      <w:r w:rsidRPr="52465117">
        <w:rPr>
          <w:b w:val="0"/>
          <w:color w:val="auto"/>
          <w:sz w:val="22"/>
          <w:szCs w:val="22"/>
        </w:rPr>
        <w:t xml:space="preserve"> et seq.  </w:t>
      </w:r>
    </w:p>
    <w:p w14:paraId="46EF04B9" w14:textId="77777777" w:rsidR="0041302D" w:rsidRDefault="0041302D" w:rsidP="0041302D">
      <w:pPr>
        <w:pStyle w:val="BullsHeading"/>
        <w:spacing w:line="240" w:lineRule="auto"/>
        <w:ind w:left="360"/>
        <w:rPr>
          <w:b w:val="0"/>
          <w:color w:val="auto"/>
          <w:sz w:val="22"/>
          <w:szCs w:val="22"/>
        </w:rPr>
      </w:pPr>
    </w:p>
    <w:p w14:paraId="21283573" w14:textId="77777777" w:rsidR="0041302D" w:rsidRPr="009963EE" w:rsidRDefault="0041302D" w:rsidP="00DE4FB5">
      <w:pPr>
        <w:pStyle w:val="Heading2"/>
        <w:spacing w:before="0" w:after="100"/>
      </w:pPr>
      <w:r w:rsidRPr="009963EE">
        <w:t>Additional Information</w:t>
      </w:r>
    </w:p>
    <w:p w14:paraId="54C54700" w14:textId="6EEA35DA" w:rsidR="00801A9E" w:rsidRDefault="00801A9E" w:rsidP="00C77161">
      <w:pPr>
        <w:pStyle w:val="BullsHeading"/>
        <w:spacing w:after="240" w:line="240" w:lineRule="auto"/>
        <w:ind w:left="360"/>
        <w:rPr>
          <w:b w:val="0"/>
          <w:color w:val="auto"/>
          <w:sz w:val="22"/>
          <w:szCs w:val="22"/>
        </w:rPr>
      </w:pPr>
      <w:r w:rsidRPr="00A033E9">
        <w:rPr>
          <w:b w:val="0"/>
          <w:color w:val="auto"/>
          <w:sz w:val="22"/>
          <w:szCs w:val="22"/>
        </w:rPr>
        <w:t xml:space="preserve">More information about the Money Follows the Person Demonstration is available on MassHealth's website at the following web address: </w:t>
      </w:r>
      <w:hyperlink r:id="rId13" w:history="1">
        <w:r w:rsidRPr="00A033E9">
          <w:rPr>
            <w:rStyle w:val="Hyperlink"/>
            <w:b w:val="0"/>
            <w:sz w:val="22"/>
            <w:szCs w:val="22"/>
          </w:rPr>
          <w:t>www.mass.gov/money-follows-the-person-demonstration</w:t>
        </w:r>
      </w:hyperlink>
      <w:r w:rsidRPr="00A033E9">
        <w:rPr>
          <w:b w:val="0"/>
          <w:sz w:val="22"/>
          <w:szCs w:val="22"/>
        </w:rPr>
        <w:t>.</w:t>
      </w:r>
      <w:r>
        <w:rPr>
          <w:b w:val="0"/>
          <w:color w:val="auto"/>
          <w:sz w:val="22"/>
          <w:szCs w:val="22"/>
        </w:rPr>
        <w:t xml:space="preserve"> </w:t>
      </w:r>
    </w:p>
    <w:p w14:paraId="1E973BCB" w14:textId="2845DEA2" w:rsidR="0041302D" w:rsidRDefault="0041302D" w:rsidP="0041302D">
      <w:pPr>
        <w:pStyle w:val="BullsHeading"/>
        <w:spacing w:after="240" w:line="240" w:lineRule="auto"/>
        <w:ind w:left="360"/>
        <w:rPr>
          <w:b w:val="0"/>
          <w:color w:val="auto"/>
          <w:sz w:val="22"/>
          <w:szCs w:val="22"/>
        </w:rPr>
      </w:pPr>
      <w:r w:rsidRPr="0067023C">
        <w:rPr>
          <w:b w:val="0"/>
          <w:color w:val="auto"/>
          <w:sz w:val="22"/>
          <w:szCs w:val="22"/>
        </w:rPr>
        <w:lastRenderedPageBreak/>
        <w:t>More information about the ABI and MFP waivers is available on MassHealth's website at the following web addresses</w:t>
      </w:r>
      <w:r w:rsidR="00C77161">
        <w:rPr>
          <w:b w:val="0"/>
          <w:color w:val="auto"/>
          <w:sz w:val="22"/>
          <w:szCs w:val="22"/>
        </w:rPr>
        <w:t>.</w:t>
      </w:r>
      <w:r>
        <w:rPr>
          <w:b w:val="0"/>
          <w:color w:val="auto"/>
          <w:sz w:val="22"/>
          <w:szCs w:val="22"/>
        </w:rPr>
        <w:t xml:space="preserve"> </w:t>
      </w:r>
    </w:p>
    <w:p w14:paraId="2ADDAB5F" w14:textId="2FFB440E" w:rsidR="0041302D" w:rsidRPr="00440A98" w:rsidRDefault="0041302D" w:rsidP="00E94C5E">
      <w:pPr>
        <w:pStyle w:val="BullsHeading"/>
        <w:numPr>
          <w:ilvl w:val="0"/>
          <w:numId w:val="11"/>
        </w:numPr>
        <w:spacing w:line="240" w:lineRule="auto"/>
        <w:ind w:left="1314" w:hanging="450"/>
        <w:rPr>
          <w:b w:val="0"/>
          <w:color w:val="auto"/>
          <w:sz w:val="22"/>
          <w:szCs w:val="22"/>
        </w:rPr>
      </w:pPr>
      <w:r w:rsidRPr="6043B1E2">
        <w:rPr>
          <w:b w:val="0"/>
          <w:color w:val="auto"/>
          <w:sz w:val="22"/>
          <w:szCs w:val="22"/>
        </w:rPr>
        <w:t xml:space="preserve">Acquired Brain Injury (ABI) Waivers: </w:t>
      </w:r>
      <w:hyperlink r:id="rId14" w:history="1">
        <w:r w:rsidR="004032E5" w:rsidRPr="004032E5">
          <w:rPr>
            <w:rStyle w:val="Hyperlink"/>
            <w:b w:val="0"/>
            <w:sz w:val="22"/>
            <w:szCs w:val="22"/>
          </w:rPr>
          <w:t>www.mass.gov/info-details/acquired-brain-injury-abi-waivers</w:t>
        </w:r>
      </w:hyperlink>
      <w:r w:rsidRPr="6043B1E2">
        <w:rPr>
          <w:b w:val="0"/>
          <w:color w:val="auto"/>
          <w:sz w:val="22"/>
          <w:szCs w:val="22"/>
        </w:rPr>
        <w:t xml:space="preserve"> </w:t>
      </w:r>
    </w:p>
    <w:p w14:paraId="15042013" w14:textId="4274340A" w:rsidR="0041302D" w:rsidRDefault="0041302D" w:rsidP="00E94C5E">
      <w:pPr>
        <w:pStyle w:val="BullsHeading"/>
        <w:numPr>
          <w:ilvl w:val="0"/>
          <w:numId w:val="11"/>
        </w:numPr>
        <w:spacing w:line="240" w:lineRule="auto"/>
        <w:ind w:left="1314" w:hanging="450"/>
        <w:rPr>
          <w:b w:val="0"/>
          <w:color w:val="auto"/>
          <w:sz w:val="22"/>
          <w:szCs w:val="22"/>
        </w:rPr>
      </w:pPr>
      <w:r w:rsidRPr="6043B1E2">
        <w:rPr>
          <w:b w:val="0"/>
          <w:color w:val="auto"/>
          <w:sz w:val="22"/>
          <w:szCs w:val="22"/>
        </w:rPr>
        <w:t xml:space="preserve">Moving Forward Plan (MFP) Waivers: </w:t>
      </w:r>
      <w:hyperlink r:id="rId15" w:history="1">
        <w:r w:rsidR="004032E5" w:rsidRPr="004032E5">
          <w:rPr>
            <w:rStyle w:val="Hyperlink"/>
            <w:b w:val="0"/>
            <w:sz w:val="22"/>
            <w:szCs w:val="22"/>
          </w:rPr>
          <w:t>www.mass.gov/info-details/moving-forward-plan-mfp-waivers</w:t>
        </w:r>
      </w:hyperlink>
      <w:r w:rsidRPr="6043B1E2">
        <w:rPr>
          <w:b w:val="0"/>
          <w:color w:val="auto"/>
          <w:sz w:val="22"/>
          <w:szCs w:val="22"/>
        </w:rPr>
        <w:t xml:space="preserve"> </w:t>
      </w:r>
    </w:p>
    <w:p w14:paraId="5A4F3418" w14:textId="77777777" w:rsidR="0041302D" w:rsidRDefault="0041302D" w:rsidP="0041302D">
      <w:pPr>
        <w:pStyle w:val="BullsHeading"/>
        <w:spacing w:line="240" w:lineRule="auto"/>
        <w:ind w:left="0"/>
        <w:rPr>
          <w:b w:val="0"/>
          <w:color w:val="auto"/>
          <w:sz w:val="22"/>
          <w:szCs w:val="22"/>
        </w:rPr>
      </w:pPr>
    </w:p>
    <w:p w14:paraId="11759CC7" w14:textId="77777777" w:rsidR="0041302D" w:rsidRPr="009963EE" w:rsidRDefault="0041302D" w:rsidP="00C77161">
      <w:pPr>
        <w:pStyle w:val="Heading2"/>
        <w:spacing w:before="120" w:after="100"/>
      </w:pPr>
      <w:r w:rsidRPr="009963EE">
        <w:t>Questions</w:t>
      </w:r>
    </w:p>
    <w:p w14:paraId="680C2661" w14:textId="71B4690E" w:rsidR="0041302D" w:rsidRDefault="0041302D" w:rsidP="00C77161">
      <w:pPr>
        <w:pStyle w:val="Heading2"/>
        <w:spacing w:before="240" w:after="100"/>
        <w:rPr>
          <w:b w:val="0"/>
          <w:color w:val="auto"/>
          <w:sz w:val="22"/>
          <w:szCs w:val="22"/>
        </w:rPr>
      </w:pPr>
      <w:r w:rsidRPr="00BB3A35">
        <w:rPr>
          <w:b w:val="0"/>
          <w:color w:val="auto"/>
          <w:sz w:val="22"/>
          <w:szCs w:val="22"/>
        </w:rPr>
        <w:t xml:space="preserve">If you have additional questions about these waiver programs, please contact the ABI and MFP Waiver Unit at </w:t>
      </w:r>
      <w:r w:rsidR="00022511">
        <w:rPr>
          <w:b w:val="0"/>
          <w:color w:val="auto"/>
          <w:sz w:val="22"/>
          <w:szCs w:val="22"/>
        </w:rPr>
        <w:t>(</w:t>
      </w:r>
      <w:r w:rsidRPr="00BB3A35">
        <w:rPr>
          <w:b w:val="0"/>
          <w:color w:val="auto"/>
          <w:sz w:val="22"/>
          <w:szCs w:val="22"/>
        </w:rPr>
        <w:t>86</w:t>
      </w:r>
      <w:r w:rsidR="00022511">
        <w:rPr>
          <w:b w:val="0"/>
          <w:color w:val="auto"/>
          <w:sz w:val="22"/>
          <w:szCs w:val="22"/>
        </w:rPr>
        <w:t xml:space="preserve">) </w:t>
      </w:r>
      <w:r w:rsidRPr="00BB3A35">
        <w:rPr>
          <w:b w:val="0"/>
          <w:color w:val="auto"/>
          <w:sz w:val="22"/>
          <w:szCs w:val="22"/>
        </w:rPr>
        <w:t xml:space="preserve">281-5602 or </w:t>
      </w:r>
      <w:r w:rsidR="00022511">
        <w:rPr>
          <w:b w:val="0"/>
          <w:color w:val="auto"/>
          <w:sz w:val="22"/>
          <w:szCs w:val="22"/>
        </w:rPr>
        <w:t>(</w:t>
      </w:r>
      <w:r w:rsidRPr="00BB3A35">
        <w:rPr>
          <w:b w:val="0"/>
          <w:color w:val="auto"/>
          <w:sz w:val="22"/>
          <w:szCs w:val="22"/>
        </w:rPr>
        <w:t>855</w:t>
      </w:r>
      <w:r w:rsidR="00022511">
        <w:rPr>
          <w:b w:val="0"/>
          <w:color w:val="auto"/>
          <w:sz w:val="22"/>
          <w:szCs w:val="22"/>
        </w:rPr>
        <w:t xml:space="preserve">) </w:t>
      </w:r>
      <w:r w:rsidRPr="00BB3A35">
        <w:rPr>
          <w:b w:val="0"/>
          <w:color w:val="auto"/>
          <w:sz w:val="22"/>
          <w:szCs w:val="22"/>
        </w:rPr>
        <w:t>499-5109</w:t>
      </w:r>
      <w:r>
        <w:rPr>
          <w:b w:val="0"/>
          <w:color w:val="auto"/>
          <w:sz w:val="22"/>
          <w:szCs w:val="22"/>
        </w:rPr>
        <w:t>.</w:t>
      </w:r>
      <w:r w:rsidRPr="00BB3A35">
        <w:rPr>
          <w:b w:val="0"/>
          <w:color w:val="auto"/>
          <w:sz w:val="22"/>
          <w:szCs w:val="22"/>
        </w:rPr>
        <w:t xml:space="preserve"> </w:t>
      </w:r>
    </w:p>
    <w:p w14:paraId="352937E6" w14:textId="77777777" w:rsidR="0041302D" w:rsidRPr="009963EE" w:rsidRDefault="0041302D" w:rsidP="0041302D">
      <w:pPr>
        <w:pStyle w:val="Heading2"/>
      </w:pPr>
      <w:r w:rsidRPr="009963EE">
        <w:t xml:space="preserve">MassHealth Website </w:t>
      </w:r>
    </w:p>
    <w:p w14:paraId="0952322C" w14:textId="77777777" w:rsidR="0041302D" w:rsidRPr="009963EE" w:rsidRDefault="0041302D" w:rsidP="00C77161">
      <w:r w:rsidRPr="009963EE">
        <w:t xml:space="preserve">This bulletin is available on the </w:t>
      </w:r>
      <w:hyperlink r:id="rId16" w:history="1">
        <w:r w:rsidRPr="009963EE">
          <w:rPr>
            <w:rStyle w:val="Hyperlink"/>
          </w:rPr>
          <w:t>MassHealth Provider Bulletins</w:t>
        </w:r>
      </w:hyperlink>
      <w:r w:rsidRPr="009963EE">
        <w:t xml:space="preserve"> web page.</w:t>
      </w:r>
    </w:p>
    <w:p w14:paraId="77AC674E" w14:textId="0C7AD764" w:rsidR="00E25B9B" w:rsidRDefault="00000000" w:rsidP="00C77161">
      <w:hyperlink r:id="rId17" w:history="1">
        <w:r w:rsidR="0041302D" w:rsidRPr="009963EE">
          <w:rPr>
            <w:rStyle w:val="Hyperlink"/>
          </w:rPr>
          <w:t>Sign up</w:t>
        </w:r>
      </w:hyperlink>
      <w:r w:rsidR="0041302D" w:rsidRPr="009963EE">
        <w:t xml:space="preserve"> to receive email alerts when MassHealth issues new bulletins and transmittal letters.</w:t>
      </w:r>
    </w:p>
    <w:p w14:paraId="5254B1D6" w14:textId="77777777" w:rsidR="00A033E9" w:rsidRDefault="00A033E9" w:rsidP="0041302D"/>
    <w:p w14:paraId="00C21FAD" w14:textId="3A13BAA7" w:rsidR="00AB320D" w:rsidRPr="00DE4FB5" w:rsidRDefault="00AB320D" w:rsidP="00DE4FB5">
      <w:pPr>
        <w:spacing w:before="6360"/>
        <w:ind w:left="0"/>
      </w:pPr>
      <w:bookmarkStart w:id="1" w:name="_Hlk147326956"/>
      <w:r>
        <w:tab/>
      </w:r>
      <w:r>
        <w:tab/>
      </w:r>
      <w:r>
        <w:tab/>
      </w:r>
      <w:r>
        <w:tab/>
      </w:r>
      <w:r>
        <w:tab/>
      </w:r>
      <w:r>
        <w:tab/>
      </w:r>
      <w:r>
        <w:tab/>
      </w:r>
      <w:r>
        <w:tab/>
      </w:r>
      <w:bookmarkStart w:id="2" w:name="_Hlk147324629"/>
      <w:r w:rsidRPr="00AB320D">
        <w:t>Follow us on Twitter</w:t>
      </w:r>
      <w:r w:rsidRPr="00F3219D">
        <w:rPr>
          <w:i/>
          <w:iCs/>
        </w:rPr>
        <w:t xml:space="preserve"> @MassHealth</w:t>
      </w:r>
      <w:bookmarkEnd w:id="1"/>
      <w:bookmarkEnd w:id="2"/>
      <w:r w:rsidR="00DE4FB5">
        <w:t>.</w:t>
      </w:r>
    </w:p>
    <w:sectPr w:rsidR="00AB320D" w:rsidRPr="00DE4FB5" w:rsidSect="000D74CE">
      <w:type w:val="continuous"/>
      <w:pgSz w:w="12240" w:h="15840" w:code="1"/>
      <w:pgMar w:top="720"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C6270" w14:textId="77777777" w:rsidR="00665EAA" w:rsidRDefault="00665EAA" w:rsidP="00E27CD8">
      <w:r>
        <w:separator/>
      </w:r>
    </w:p>
  </w:endnote>
  <w:endnote w:type="continuationSeparator" w:id="0">
    <w:p w14:paraId="2BD20228" w14:textId="77777777" w:rsidR="00665EAA" w:rsidRDefault="00665EAA"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D16D1" w14:textId="635ABBE3" w:rsidR="00CC1E11" w:rsidRPr="00CC1E11" w:rsidRDefault="00CC1E11" w:rsidP="000C319F">
    <w:pPr>
      <w:jc w:val="right"/>
      <w:rPr>
        <w:rFonts w:ascii="Bookman Old Style" w:hAnsi="Bookman Old Style"/>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BD8A5" w14:textId="77777777" w:rsidR="00265D05" w:rsidRDefault="00265D05" w:rsidP="00F3219D">
    <w:pPr>
      <w:pStyle w:val="Footer"/>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A4DEF" w14:textId="77777777" w:rsidR="00665EAA" w:rsidRDefault="00665EAA" w:rsidP="00E27CD8">
      <w:r>
        <w:separator/>
      </w:r>
    </w:p>
  </w:footnote>
  <w:footnote w:type="continuationSeparator" w:id="0">
    <w:p w14:paraId="116800F0" w14:textId="77777777" w:rsidR="00665EAA" w:rsidRDefault="00665EAA" w:rsidP="00E2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02572" w14:textId="77777777" w:rsidR="00AD204A" w:rsidRPr="00F664CC" w:rsidRDefault="00AD204A" w:rsidP="003E2878">
    <w:pPr>
      <w:pStyle w:val="BullsHeading"/>
      <w:spacing w:before="720"/>
    </w:pPr>
    <w:r w:rsidRPr="00F664CC">
      <w:t>MassHealth</w:t>
    </w:r>
  </w:p>
  <w:p w14:paraId="1B02142F" w14:textId="70FEAEAF" w:rsidR="0041302D" w:rsidRPr="00156DE9" w:rsidRDefault="0041302D" w:rsidP="0041302D">
    <w:pPr>
      <w:pStyle w:val="Heading1"/>
    </w:pPr>
    <w:r>
      <w:t>Nursing Facility</w:t>
    </w:r>
    <w:r w:rsidRPr="005B27F1">
      <w:t xml:space="preserve"> </w:t>
    </w:r>
    <w:r w:rsidRPr="00156DE9">
      <w:t xml:space="preserve">Bulletin </w:t>
    </w:r>
    <w:r w:rsidR="00156DE9" w:rsidRPr="00156DE9">
      <w:t>183</w:t>
    </w:r>
  </w:p>
  <w:p w14:paraId="39CD210C" w14:textId="77777777" w:rsidR="0041302D" w:rsidRPr="00156DE9" w:rsidRDefault="0041302D" w:rsidP="0041302D">
    <w:pPr>
      <w:pStyle w:val="BullsHeading"/>
    </w:pPr>
    <w:r w:rsidRPr="00156DE9">
      <w:t>October 2023</w:t>
    </w:r>
  </w:p>
  <w:p w14:paraId="386811B1" w14:textId="77777777" w:rsidR="00E33508" w:rsidRDefault="00E33508" w:rsidP="003E2878">
    <w:pPr>
      <w:pStyle w:val="BullsHeading"/>
      <w:spacing w:after="480"/>
    </w:pPr>
    <w:r>
      <w:t xml:space="preserve">Page </w:t>
    </w:r>
    <w:r>
      <w:rPr>
        <w:b w:val="0"/>
      </w:rPr>
      <w:fldChar w:fldCharType="begin"/>
    </w:r>
    <w:r>
      <w:instrText xml:space="preserve"> PAGE  \* Arabic  \* MERGEFORMAT </w:instrText>
    </w:r>
    <w:r>
      <w:rPr>
        <w:b w:val="0"/>
      </w:rPr>
      <w:fldChar w:fldCharType="separate"/>
    </w:r>
    <w:r w:rsidR="00715A8E">
      <w:rPr>
        <w:noProof/>
      </w:rPr>
      <w:t>2</w:t>
    </w:r>
    <w:r>
      <w:rPr>
        <w:b w:val="0"/>
      </w:rPr>
      <w:fldChar w:fldCharType="end"/>
    </w:r>
    <w:r>
      <w:t xml:space="preserve"> of </w:t>
    </w:r>
    <w:fldSimple w:instr=" NUMPAGES  \* Arabic  \* MERGEFORMAT ">
      <w:r w:rsidR="00715A8E">
        <w:rPr>
          <w:noProof/>
        </w:rPr>
        <w:t>2</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80B5853"/>
    <w:multiLevelType w:val="hybridMultilevel"/>
    <w:tmpl w:val="3BFA4E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E0140C4"/>
    <w:multiLevelType w:val="hybridMultilevel"/>
    <w:tmpl w:val="E1A04E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4FE03FA"/>
    <w:multiLevelType w:val="hybridMultilevel"/>
    <w:tmpl w:val="9FB2F5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399525556">
    <w:abstractNumId w:val="9"/>
  </w:num>
  <w:num w:numId="2" w16cid:durableId="1267616086">
    <w:abstractNumId w:val="7"/>
  </w:num>
  <w:num w:numId="3" w16cid:durableId="1460956340">
    <w:abstractNumId w:val="6"/>
  </w:num>
  <w:num w:numId="4" w16cid:durableId="428895430">
    <w:abstractNumId w:val="5"/>
  </w:num>
  <w:num w:numId="5" w16cid:durableId="2084714329">
    <w:abstractNumId w:val="4"/>
  </w:num>
  <w:num w:numId="6" w16cid:durableId="2110616618">
    <w:abstractNumId w:val="8"/>
  </w:num>
  <w:num w:numId="7" w16cid:durableId="449982120">
    <w:abstractNumId w:val="3"/>
  </w:num>
  <w:num w:numId="8" w16cid:durableId="1354770339">
    <w:abstractNumId w:val="2"/>
  </w:num>
  <w:num w:numId="9" w16cid:durableId="429393442">
    <w:abstractNumId w:val="1"/>
  </w:num>
  <w:num w:numId="10" w16cid:durableId="756705361">
    <w:abstractNumId w:val="0"/>
  </w:num>
  <w:num w:numId="11" w16cid:durableId="642585004">
    <w:abstractNumId w:val="10"/>
  </w:num>
  <w:num w:numId="12" w16cid:durableId="446169294">
    <w:abstractNumId w:val="12"/>
  </w:num>
  <w:num w:numId="13" w16cid:durableId="1140653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2A9C"/>
    <w:rsid w:val="000049D1"/>
    <w:rsid w:val="00022267"/>
    <w:rsid w:val="00022511"/>
    <w:rsid w:val="00042010"/>
    <w:rsid w:val="000711DD"/>
    <w:rsid w:val="00072DDA"/>
    <w:rsid w:val="00081942"/>
    <w:rsid w:val="000C319F"/>
    <w:rsid w:val="000D1022"/>
    <w:rsid w:val="000D2E61"/>
    <w:rsid w:val="000D3DB5"/>
    <w:rsid w:val="000D74CE"/>
    <w:rsid w:val="00127838"/>
    <w:rsid w:val="00150BCC"/>
    <w:rsid w:val="001554E7"/>
    <w:rsid w:val="00156DE9"/>
    <w:rsid w:val="001634DD"/>
    <w:rsid w:val="00165961"/>
    <w:rsid w:val="001C36D2"/>
    <w:rsid w:val="00210B23"/>
    <w:rsid w:val="00221225"/>
    <w:rsid w:val="00221556"/>
    <w:rsid w:val="00242FA8"/>
    <w:rsid w:val="00265D05"/>
    <w:rsid w:val="0028720F"/>
    <w:rsid w:val="002F2993"/>
    <w:rsid w:val="00342359"/>
    <w:rsid w:val="00344616"/>
    <w:rsid w:val="003A7588"/>
    <w:rsid w:val="003D6DDF"/>
    <w:rsid w:val="003E2878"/>
    <w:rsid w:val="0040299A"/>
    <w:rsid w:val="004032E5"/>
    <w:rsid w:val="0041302D"/>
    <w:rsid w:val="00436D01"/>
    <w:rsid w:val="004972ED"/>
    <w:rsid w:val="004A7718"/>
    <w:rsid w:val="004D08B4"/>
    <w:rsid w:val="004F4B9A"/>
    <w:rsid w:val="00506379"/>
    <w:rsid w:val="005068BD"/>
    <w:rsid w:val="00507390"/>
    <w:rsid w:val="00507CFF"/>
    <w:rsid w:val="00515BFF"/>
    <w:rsid w:val="00521BE5"/>
    <w:rsid w:val="00555EC8"/>
    <w:rsid w:val="00575474"/>
    <w:rsid w:val="0058634E"/>
    <w:rsid w:val="0059142C"/>
    <w:rsid w:val="005B27F1"/>
    <w:rsid w:val="005C766F"/>
    <w:rsid w:val="005E4B62"/>
    <w:rsid w:val="005F2B69"/>
    <w:rsid w:val="0062681F"/>
    <w:rsid w:val="00665EAA"/>
    <w:rsid w:val="00676C40"/>
    <w:rsid w:val="006941BF"/>
    <w:rsid w:val="006C70F9"/>
    <w:rsid w:val="006D3F15"/>
    <w:rsid w:val="00700F64"/>
    <w:rsid w:val="00706438"/>
    <w:rsid w:val="00715A8E"/>
    <w:rsid w:val="0075648B"/>
    <w:rsid w:val="00777A22"/>
    <w:rsid w:val="00795E06"/>
    <w:rsid w:val="007D0671"/>
    <w:rsid w:val="007F1A97"/>
    <w:rsid w:val="007F6B38"/>
    <w:rsid w:val="007F7DBF"/>
    <w:rsid w:val="00801A9E"/>
    <w:rsid w:val="00805D2C"/>
    <w:rsid w:val="008201CC"/>
    <w:rsid w:val="00836D85"/>
    <w:rsid w:val="00863041"/>
    <w:rsid w:val="00865016"/>
    <w:rsid w:val="008B6E51"/>
    <w:rsid w:val="00914588"/>
    <w:rsid w:val="00922F04"/>
    <w:rsid w:val="00982839"/>
    <w:rsid w:val="00991B6C"/>
    <w:rsid w:val="00A033E9"/>
    <w:rsid w:val="00A0665D"/>
    <w:rsid w:val="00A772C1"/>
    <w:rsid w:val="00A81A76"/>
    <w:rsid w:val="00A95FC1"/>
    <w:rsid w:val="00AA6085"/>
    <w:rsid w:val="00AB320D"/>
    <w:rsid w:val="00AD204A"/>
    <w:rsid w:val="00AD6899"/>
    <w:rsid w:val="00AE35FE"/>
    <w:rsid w:val="00B222F8"/>
    <w:rsid w:val="00B422F0"/>
    <w:rsid w:val="00B73653"/>
    <w:rsid w:val="00BC3755"/>
    <w:rsid w:val="00BD2DAF"/>
    <w:rsid w:val="00BE1AAE"/>
    <w:rsid w:val="00BF57DB"/>
    <w:rsid w:val="00C024A2"/>
    <w:rsid w:val="00C358D3"/>
    <w:rsid w:val="00C77161"/>
    <w:rsid w:val="00C8748F"/>
    <w:rsid w:val="00CC1E11"/>
    <w:rsid w:val="00CD456D"/>
    <w:rsid w:val="00D3350B"/>
    <w:rsid w:val="00D3440D"/>
    <w:rsid w:val="00D368EE"/>
    <w:rsid w:val="00D95904"/>
    <w:rsid w:val="00DB5A55"/>
    <w:rsid w:val="00DE4FB5"/>
    <w:rsid w:val="00E01D80"/>
    <w:rsid w:val="00E25B9B"/>
    <w:rsid w:val="00E27896"/>
    <w:rsid w:val="00E27CD8"/>
    <w:rsid w:val="00E3028B"/>
    <w:rsid w:val="00E33508"/>
    <w:rsid w:val="00E94C5E"/>
    <w:rsid w:val="00EA3309"/>
    <w:rsid w:val="00EC479C"/>
    <w:rsid w:val="00ED497C"/>
    <w:rsid w:val="00EF5E59"/>
    <w:rsid w:val="00F3219D"/>
    <w:rsid w:val="00F40C62"/>
    <w:rsid w:val="00F60574"/>
    <w:rsid w:val="00F664CC"/>
    <w:rsid w:val="00F73D6F"/>
    <w:rsid w:val="00F74F30"/>
    <w:rsid w:val="00FB0F35"/>
    <w:rsid w:val="00FD521E"/>
    <w:rsid w:val="00FD5E79"/>
    <w:rsid w:val="00FE2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99DFD5"/>
  <w15:docId w15:val="{815630C9-E6EB-4CC3-9634-EA9703D70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Revision">
    <w:name w:val="Revision"/>
    <w:hidden/>
    <w:uiPriority w:val="99"/>
    <w:semiHidden/>
    <w:rsid w:val="00344616"/>
    <w:pPr>
      <w:spacing w:after="0" w:line="240" w:lineRule="auto"/>
    </w:pPr>
    <w:rPr>
      <w:rFonts w:ascii="Georgia" w:eastAsia="Times New Roman" w:hAnsi="Georgia" w:cs="Times New Roman"/>
    </w:rPr>
  </w:style>
  <w:style w:type="character" w:styleId="UnresolvedMention">
    <w:name w:val="Unresolved Mention"/>
    <w:basedOn w:val="DefaultParagraphFont"/>
    <w:uiPriority w:val="99"/>
    <w:semiHidden/>
    <w:unhideWhenUsed/>
    <w:rsid w:val="00E25B9B"/>
    <w:rPr>
      <w:color w:val="605E5C"/>
      <w:shd w:val="clear" w:color="auto" w:fill="E1DFDD"/>
    </w:rPr>
  </w:style>
  <w:style w:type="paragraph" w:styleId="ListParagraph">
    <w:name w:val="List Paragraph"/>
    <w:basedOn w:val="Normal"/>
    <w:uiPriority w:val="34"/>
    <w:qFormat/>
    <w:rsid w:val="0041302D"/>
    <w:pPr>
      <w:spacing w:before="0" w:after="0" w:afterAutospacing="0"/>
      <w:ind w:left="720"/>
      <w:contextualSpacing/>
    </w:pPr>
    <w:rPr>
      <w:rFonts w:ascii="Times New Roman" w:hAnsi="Times New Roman"/>
      <w:sz w:val="20"/>
      <w:szCs w:val="20"/>
    </w:rPr>
  </w:style>
  <w:style w:type="character" w:styleId="CommentReference">
    <w:name w:val="annotation reference"/>
    <w:basedOn w:val="DefaultParagraphFont"/>
    <w:uiPriority w:val="99"/>
    <w:semiHidden/>
    <w:unhideWhenUsed/>
    <w:rsid w:val="00865016"/>
    <w:rPr>
      <w:sz w:val="16"/>
      <w:szCs w:val="16"/>
    </w:rPr>
  </w:style>
  <w:style w:type="paragraph" w:styleId="CommentText">
    <w:name w:val="annotation text"/>
    <w:basedOn w:val="Normal"/>
    <w:link w:val="CommentTextChar"/>
    <w:uiPriority w:val="99"/>
    <w:unhideWhenUsed/>
    <w:rsid w:val="00865016"/>
    <w:rPr>
      <w:sz w:val="20"/>
      <w:szCs w:val="20"/>
    </w:rPr>
  </w:style>
  <w:style w:type="character" w:customStyle="1" w:styleId="CommentTextChar">
    <w:name w:val="Comment Text Char"/>
    <w:basedOn w:val="DefaultParagraphFont"/>
    <w:link w:val="CommentText"/>
    <w:uiPriority w:val="99"/>
    <w:rsid w:val="00865016"/>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865016"/>
    <w:rPr>
      <w:b/>
      <w:bCs/>
    </w:rPr>
  </w:style>
  <w:style w:type="character" w:customStyle="1" w:styleId="CommentSubjectChar">
    <w:name w:val="Comment Subject Char"/>
    <w:basedOn w:val="CommentTextChar"/>
    <w:link w:val="CommentSubject"/>
    <w:uiPriority w:val="99"/>
    <w:semiHidden/>
    <w:rsid w:val="00865016"/>
    <w:rPr>
      <w:rFonts w:ascii="Georgia" w:eastAsia="Times New Roman" w:hAnsi="Georgia" w:cs="Times New Roman"/>
      <w:b/>
      <w:bCs/>
      <w:sz w:val="20"/>
      <w:szCs w:val="20"/>
    </w:rPr>
  </w:style>
  <w:style w:type="character" w:styleId="FollowedHyperlink">
    <w:name w:val="FollowedHyperlink"/>
    <w:basedOn w:val="DefaultParagraphFont"/>
    <w:uiPriority w:val="99"/>
    <w:semiHidden/>
    <w:unhideWhenUsed/>
    <w:qFormat/>
    <w:rsid w:val="00C771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83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masshealth" TargetMode="External"/><Relationship Id="rId13" Type="http://schemas.openxmlformats.org/officeDocument/2006/relationships/hyperlink" Target="http://www.mass.gov/money-follows-the-person-demonstratio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mass.gov/regulations/130-CMR-456000-long-term-care-services" TargetMode="External"/><Relationship Id="rId17" Type="http://schemas.openxmlformats.org/officeDocument/2006/relationships/hyperlink" Target="https://www.mass.gov/forms/email-notifications-for-masshealth-provider-bulletins-and-transmittal-letters" TargetMode="External"/><Relationship Id="rId2" Type="http://schemas.openxmlformats.org/officeDocument/2006/relationships/styles" Target="styles.xml"/><Relationship Id="rId16" Type="http://schemas.openxmlformats.org/officeDocument/2006/relationships/hyperlink" Target="http://www.mass.gov/masshealth-provider-bulletin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mass.gov/info-details/moving-forward-plan-mfp-waivers"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mass.gov/info-details/acquired-brain-injury-abi-waiv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972</Words>
  <Characters>5543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MassHeatlh Publication</dc:creator>
  <cp:lastModifiedBy>Schooling, Kathryn H (EHS)</cp:lastModifiedBy>
  <cp:revision>2</cp:revision>
  <dcterms:created xsi:type="dcterms:W3CDTF">2023-10-24T14:24:00Z</dcterms:created>
  <dcterms:modified xsi:type="dcterms:W3CDTF">2023-10-24T14:24:00Z</dcterms:modified>
</cp:coreProperties>
</file>