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r>
        <w:rPr/>
        <w:pict>
          <v:group style="position:absolute;margin-left:36pt;margin-top:65.129997pt;width:540pt;height:3.3pt;mso-position-horizontal-relative:page;mso-position-vertical-relative:page;z-index:-4672" coordorigin="720,1303" coordsize="10800,66">
            <v:line style="position:absolute" from="720,1336" to="11520,1336" stroked="true" strokeweight="3.3pt" strokecolor="#000000">
              <v:stroke dashstyle="solid"/>
            </v:line>
            <v:line style="position:absolute" from="11520,1303" to="11520,1303" stroked="true" strokeweight=".06pt" strokecolor="#000000">
              <v:stroke dashstyle="solid"/>
            </v:line>
            <w10:wrap type="none"/>
          </v:group>
        </w:pict>
      </w: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8"/>
        <w:rPr>
          <w:rFonts w:ascii="Times New Roman"/>
        </w:rPr>
      </w:pPr>
    </w:p>
    <w:p>
      <w:pPr>
        <w:pStyle w:val="BodyText"/>
        <w:ind w:left="110"/>
        <w:rPr>
          <w:rFonts w:ascii="Times New Roman"/>
          <w:sz w:val="20"/>
        </w:rPr>
      </w:pPr>
      <w:r>
        <w:rPr>
          <w:rFonts w:ascii="Times New Roman"/>
          <w:sz w:val="20"/>
        </w:rPr>
        <w:pict>
          <v:group style="width:508.55pt;height:26.2pt;mso-position-horizontal-relative:char;mso-position-vertical-relative:line" coordorigin="0,0" coordsize="10171,524">
            <v:shape style="position:absolute;left:933;top:0;width:3000;height:300" type="#_x0000_t75" stroked="false">
              <v:imagedata r:id="rId6" o:title=""/>
            </v:shape>
            <v:rect style="position:absolute;left:0;top:300;width:5273;height:208" filled="true" fillcolor="#d0cfcf" stroked="false">
              <v:fill type="solid"/>
            </v:rect>
            <v:rect style="position:absolute;left:4897;top:315;width:5273;height:208" filled="true" fillcolor="#d0cfcf" stroked="false">
              <v:fill type="solid"/>
            </v:rect>
            <v:shape style="position:absolute;left:0;top:0;width:10171;height:524" type="#_x0000_t202" filled="false" stroked="false">
              <v:textbox inset="0,0,0,0">
                <w:txbxContent>
                  <w:p>
                    <w:pPr>
                      <w:spacing w:before="12"/>
                      <w:ind w:left="6111" w:right="0" w:firstLine="0"/>
                      <w:jc w:val="left"/>
                      <w:rPr>
                        <w:b/>
                        <w:sz w:val="18"/>
                      </w:rPr>
                    </w:pPr>
                    <w:r>
                      <w:rPr>
                        <w:color w:val="6C6C6C"/>
                        <w:sz w:val="18"/>
                      </w:rPr>
                      <w:t>ISSUE 1 | VOLUME 2 | </w:t>
                    </w:r>
                    <w:r>
                      <w:rPr>
                        <w:b/>
                        <w:color w:val="6C6C6C"/>
                        <w:sz w:val="18"/>
                      </w:rPr>
                      <w:t>June 2017</w:t>
                    </w:r>
                  </w:p>
                </w:txbxContent>
              </v:textbox>
              <w10:wrap type="none"/>
            </v:shape>
          </v:group>
        </w:pict>
      </w:r>
      <w:r>
        <w:rPr>
          <w:rFonts w:ascii="Times New Roman"/>
          <w:sz w:val="20"/>
        </w:rPr>
      </w:r>
    </w:p>
    <w:p>
      <w:pPr>
        <w:pStyle w:val="BodyText"/>
        <w:spacing w:before="4"/>
        <w:rPr>
          <w:rFonts w:ascii="Times New Roman"/>
          <w:sz w:val="27"/>
        </w:rPr>
      </w:pPr>
      <w:r>
        <w:rPr/>
        <w:drawing>
          <wp:anchor distT="0" distB="0" distL="0" distR="0" allowOverlap="1" layoutInCell="1" locked="0" behindDoc="0" simplePos="0" relativeHeight="1072">
            <wp:simplePos x="0" y="0"/>
            <wp:positionH relativeFrom="page">
              <wp:posOffset>971550</wp:posOffset>
            </wp:positionH>
            <wp:positionV relativeFrom="paragraph">
              <wp:posOffset>224536</wp:posOffset>
            </wp:positionV>
            <wp:extent cx="5943600" cy="2286000"/>
            <wp:effectExtent l="0" t="0" r="0" b="0"/>
            <wp:wrapTopAndBottom/>
            <wp:docPr id="1" name="image2.jpeg" descr=""/>
            <wp:cNvGraphicFramePr>
              <a:graphicFrameLocks noChangeAspect="1"/>
            </wp:cNvGraphicFramePr>
            <a:graphic>
              <a:graphicData uri="http://schemas.openxmlformats.org/drawingml/2006/picture">
                <pic:pic>
                  <pic:nvPicPr>
                    <pic:cNvPr id="2" name="image2.jpeg"/>
                    <pic:cNvPicPr/>
                  </pic:nvPicPr>
                  <pic:blipFill>
                    <a:blip r:embed="rId7" cstate="print"/>
                    <a:stretch>
                      <a:fillRect/>
                    </a:stretch>
                  </pic:blipFill>
                  <pic:spPr>
                    <a:xfrm>
                      <a:off x="0" y="0"/>
                      <a:ext cx="5943600" cy="2286000"/>
                    </a:xfrm>
                    <a:prstGeom prst="rect">
                      <a:avLst/>
                    </a:prstGeom>
                  </pic:spPr>
                </pic:pic>
              </a:graphicData>
            </a:graphic>
          </wp:anchor>
        </w:drawing>
      </w:r>
    </w:p>
    <w:p>
      <w:pPr>
        <w:pStyle w:val="BodyText"/>
        <w:rPr>
          <w:rFonts w:ascii="Times New Roman"/>
          <w:sz w:val="20"/>
        </w:rPr>
      </w:pPr>
    </w:p>
    <w:p>
      <w:pPr>
        <w:pStyle w:val="BodyText"/>
        <w:spacing w:before="2"/>
        <w:rPr>
          <w:rFonts w:ascii="Times New Roman"/>
        </w:rPr>
      </w:pPr>
    </w:p>
    <w:p>
      <w:pPr>
        <w:spacing w:line="249" w:lineRule="auto" w:before="91"/>
        <w:ind w:left="2245" w:right="1633" w:hanging="1042"/>
        <w:jc w:val="left"/>
        <w:rPr>
          <w:sz w:val="30"/>
        </w:rPr>
      </w:pPr>
      <w:r>
        <w:rPr>
          <w:color w:val="DB7C34"/>
          <w:sz w:val="30"/>
        </w:rPr>
        <w:t>News from MassHealth's Office of Behavioral Health and the Children's Behavioral Health Initiative</w:t>
      </w:r>
    </w:p>
    <w:p>
      <w:pPr>
        <w:pStyle w:val="BodyText"/>
        <w:ind w:left="110"/>
        <w:rPr>
          <w:sz w:val="20"/>
        </w:rPr>
      </w:pPr>
      <w:r>
        <w:rPr>
          <w:sz w:val="20"/>
        </w:rPr>
        <w:pict>
          <v:group style="width:486.75pt;height:15pt;mso-position-horizontal-relative:char;mso-position-vertical-relative:line" coordorigin="0,0" coordsize="9735,300">
            <v:rect style="position:absolute;left:0;top:0;width:9735;height:300" filled="true" fillcolor="#d0cfcf" stroked="false">
              <v:fill type="solid"/>
            </v:rect>
          </v:group>
        </w:pict>
      </w:r>
      <w:r>
        <w:rPr>
          <w:sz w:val="20"/>
        </w:rPr>
      </w:r>
    </w:p>
    <w:p>
      <w:pPr>
        <w:pStyle w:val="BodyText"/>
        <w:spacing w:before="9"/>
        <w:rPr>
          <w:sz w:val="8"/>
        </w:rPr>
      </w:pPr>
    </w:p>
    <w:p>
      <w:pPr>
        <w:spacing w:line="376" w:lineRule="auto" w:before="92"/>
        <w:ind w:left="594" w:right="1038" w:firstLine="0"/>
        <w:jc w:val="center"/>
        <w:rPr>
          <w:sz w:val="24"/>
        </w:rPr>
      </w:pPr>
      <w:r>
        <w:rPr>
          <w:b/>
          <w:color w:val="DB7C34"/>
          <w:sz w:val="24"/>
        </w:rPr>
        <w:t>IN THIS ISSUE:</w:t>
      </w:r>
      <w:r>
        <w:rPr>
          <w:color w:val="DB7C34"/>
          <w:sz w:val="24"/>
        </w:rPr>
        <w:t>| </w:t>
      </w:r>
      <w:r>
        <w:rPr>
          <w:color w:val="6C6C6C"/>
          <w:sz w:val="24"/>
          <w:u w:val="single" w:color="6C6C6C"/>
        </w:rPr>
        <w:t>Implementing the IHT Practice Profile</w:t>
      </w:r>
      <w:r>
        <w:rPr>
          <w:color w:val="6C6C6C"/>
          <w:sz w:val="24"/>
        </w:rPr>
        <w:t> </w:t>
      </w:r>
      <w:r>
        <w:rPr>
          <w:color w:val="DB7C34"/>
          <w:sz w:val="24"/>
        </w:rPr>
        <w:t>| </w:t>
      </w:r>
      <w:r>
        <w:rPr>
          <w:color w:val="6C6C6C"/>
          <w:sz w:val="24"/>
          <w:u w:val="single" w:color="6C6C6C"/>
        </w:rPr>
        <w:t>Yale Supervision Project</w:t>
      </w:r>
      <w:r>
        <w:rPr>
          <w:color w:val="6C6C6C"/>
          <w:sz w:val="24"/>
        </w:rPr>
        <w:t> </w:t>
      </w:r>
      <w:r>
        <w:rPr>
          <w:color w:val="DB7C34"/>
          <w:sz w:val="24"/>
        </w:rPr>
        <w:t>| </w:t>
      </w:r>
      <w:r>
        <w:rPr>
          <w:color w:val="6C6C6C"/>
          <w:sz w:val="24"/>
          <w:u w:val="single" w:color="6C6C6C"/>
        </w:rPr>
        <w:t>NEW: Licensure Reimbursement Program</w:t>
      </w:r>
      <w:r>
        <w:rPr>
          <w:color w:val="6C6C6C"/>
          <w:sz w:val="24"/>
        </w:rPr>
        <w:t> </w:t>
      </w:r>
      <w:r>
        <w:rPr>
          <w:color w:val="DB7C34"/>
          <w:sz w:val="24"/>
        </w:rPr>
        <w:t>|</w:t>
      </w:r>
    </w:p>
    <w:p>
      <w:pPr>
        <w:spacing w:line="273" w:lineRule="exact" w:before="0"/>
        <w:ind w:left="594" w:right="1036" w:firstLine="0"/>
        <w:jc w:val="center"/>
        <w:rPr>
          <w:sz w:val="24"/>
        </w:rPr>
      </w:pPr>
      <w:r>
        <w:rPr/>
        <w:pict>
          <v:rect style="position:absolute;margin-left:52.5pt;margin-top:17.487534pt;width:486.72pt;height:15pt;mso-position-horizontal-relative:page;mso-position-vertical-relative:paragraph;z-index:1120;mso-wrap-distance-left:0;mso-wrap-distance-right:0" filled="true" fillcolor="#d0cfcf" stroked="false">
            <v:fill type="solid"/>
            <w10:wrap type="topAndBottom"/>
          </v:rect>
        </w:pict>
      </w:r>
      <w:r>
        <w:rPr>
          <w:color w:val="6C6C6C"/>
          <w:sz w:val="24"/>
          <w:u w:val="single" w:color="6C6C6C"/>
        </w:rPr>
        <w:t>ARC and GROW</w:t>
      </w:r>
      <w:r>
        <w:rPr>
          <w:color w:val="6C6C6C"/>
          <w:sz w:val="24"/>
        </w:rPr>
        <w:t> </w:t>
      </w:r>
      <w:r>
        <w:rPr>
          <w:color w:val="DB7C34"/>
          <w:sz w:val="24"/>
        </w:rPr>
        <w:t>| </w:t>
      </w:r>
      <w:r>
        <w:rPr>
          <w:color w:val="6C6C6C"/>
          <w:sz w:val="24"/>
          <w:u w:val="single" w:color="6C6C6C"/>
        </w:rPr>
        <w:t>Congratulations, Laura Conrad-Laberinto</w:t>
      </w:r>
      <w:r>
        <w:rPr>
          <w:color w:val="6C6C6C"/>
          <w:spacing w:val="56"/>
          <w:sz w:val="24"/>
        </w:rPr>
        <w:t> </w:t>
      </w:r>
      <w:r>
        <w:rPr>
          <w:color w:val="DB7C34"/>
          <w:sz w:val="24"/>
        </w:rPr>
        <w:t>|</w:t>
      </w:r>
    </w:p>
    <w:p>
      <w:pPr>
        <w:spacing w:before="120"/>
        <w:ind w:left="410" w:right="0" w:firstLine="0"/>
        <w:jc w:val="left"/>
        <w:rPr>
          <w:b/>
          <w:sz w:val="36"/>
        </w:rPr>
      </w:pPr>
      <w:r>
        <w:rPr>
          <w:b/>
          <w:color w:val="6C6C6C"/>
          <w:sz w:val="36"/>
        </w:rPr>
        <w:t>Implementing the IHT Practice Profile</w:t>
      </w:r>
    </w:p>
    <w:p>
      <w:pPr>
        <w:pStyle w:val="BodyText"/>
        <w:spacing w:before="280"/>
        <w:ind w:left="410" w:right="853" w:hanging="1"/>
        <w:jc w:val="both"/>
      </w:pPr>
      <w:r>
        <w:rPr>
          <w:b/>
          <w:color w:val="6C6C6C"/>
        </w:rPr>
        <w:t>Nine program sites </w:t>
      </w:r>
      <w:r>
        <w:rPr>
          <w:color w:val="6C6C6C"/>
        </w:rPr>
        <w:t>are currently piloting the implementation of the </w:t>
      </w:r>
      <w:r>
        <w:rPr>
          <w:b/>
          <w:color w:val="6C6C6C"/>
        </w:rPr>
        <w:t>IHT Practice Profile</w:t>
      </w:r>
      <w:r>
        <w:rPr>
          <w:color w:val="6C6C6C"/>
        </w:rPr>
        <w:t>, using a structured approach outlined by the National Implementation Research Network (NIRN). Frontline IHT providers, TT&amp;S, and supervisors are helping to pilot tools focused on:</w:t>
      </w:r>
    </w:p>
    <w:p>
      <w:pPr>
        <w:pStyle w:val="BodyText"/>
        <w:spacing w:before="4"/>
        <w:rPr>
          <w:sz w:val="24"/>
        </w:rPr>
      </w:pPr>
    </w:p>
    <w:p>
      <w:pPr>
        <w:pStyle w:val="ListParagraph"/>
        <w:numPr>
          <w:ilvl w:val="0"/>
          <w:numId w:val="1"/>
        </w:numPr>
        <w:tabs>
          <w:tab w:pos="1131" w:val="left" w:leader="none"/>
        </w:tabs>
        <w:spacing w:line="240" w:lineRule="auto" w:before="0" w:after="0"/>
        <w:ind w:left="1130" w:right="0" w:hanging="360"/>
        <w:jc w:val="left"/>
        <w:rPr>
          <w:sz w:val="21"/>
        </w:rPr>
      </w:pPr>
      <w:r>
        <w:rPr>
          <w:color w:val="6C6C6C"/>
          <w:sz w:val="21"/>
        </w:rPr>
        <w:t>self-assessment;</w:t>
      </w:r>
    </w:p>
    <w:p>
      <w:pPr>
        <w:pStyle w:val="ListParagraph"/>
        <w:numPr>
          <w:ilvl w:val="0"/>
          <w:numId w:val="1"/>
        </w:numPr>
        <w:tabs>
          <w:tab w:pos="1130" w:val="left" w:leader="none"/>
        </w:tabs>
        <w:spacing w:line="240" w:lineRule="auto" w:before="1" w:after="0"/>
        <w:ind w:left="1129" w:right="0" w:hanging="359"/>
        <w:jc w:val="left"/>
        <w:rPr>
          <w:sz w:val="21"/>
        </w:rPr>
      </w:pPr>
      <w:r>
        <w:rPr>
          <w:color w:val="6C6C6C"/>
          <w:sz w:val="21"/>
        </w:rPr>
        <w:t>behavioral rehearsal,</w:t>
      </w:r>
      <w:r>
        <w:rPr>
          <w:color w:val="6C6C6C"/>
          <w:spacing w:val="-1"/>
          <w:sz w:val="21"/>
        </w:rPr>
        <w:t> </w:t>
      </w:r>
      <w:r>
        <w:rPr>
          <w:color w:val="6C6C6C"/>
          <w:sz w:val="21"/>
        </w:rPr>
        <w:t>and</w:t>
      </w:r>
    </w:p>
    <w:p>
      <w:pPr>
        <w:pStyle w:val="ListParagraph"/>
        <w:numPr>
          <w:ilvl w:val="0"/>
          <w:numId w:val="1"/>
        </w:numPr>
        <w:tabs>
          <w:tab w:pos="1131" w:val="left" w:leader="none"/>
        </w:tabs>
        <w:spacing w:line="240" w:lineRule="auto" w:before="0" w:after="0"/>
        <w:ind w:left="1130" w:right="0" w:hanging="360"/>
        <w:jc w:val="left"/>
        <w:rPr>
          <w:sz w:val="21"/>
        </w:rPr>
      </w:pPr>
      <w:r>
        <w:rPr>
          <w:color w:val="6C6C6C"/>
          <w:sz w:val="21"/>
        </w:rPr>
        <w:t>field</w:t>
      </w:r>
      <w:r>
        <w:rPr>
          <w:color w:val="6C6C6C"/>
          <w:spacing w:val="-1"/>
          <w:sz w:val="21"/>
        </w:rPr>
        <w:t> </w:t>
      </w:r>
      <w:r>
        <w:rPr>
          <w:color w:val="6C6C6C"/>
          <w:sz w:val="21"/>
        </w:rPr>
        <w:t>observations.</w:t>
      </w:r>
    </w:p>
    <w:p>
      <w:pPr>
        <w:pStyle w:val="BodyText"/>
        <w:spacing w:before="4"/>
        <w:rPr>
          <w:sz w:val="24"/>
        </w:rPr>
      </w:pPr>
    </w:p>
    <w:p>
      <w:pPr>
        <w:pStyle w:val="BodyText"/>
        <w:ind w:left="409" w:right="853"/>
        <w:jc w:val="both"/>
      </w:pPr>
      <w:r>
        <w:rPr>
          <w:color w:val="6C6C6C"/>
        </w:rPr>
        <w:t>The </w:t>
      </w:r>
      <w:r>
        <w:rPr>
          <w:b/>
          <w:color w:val="6C6C6C"/>
        </w:rPr>
        <w:t>Practice Profile </w:t>
      </w:r>
      <w:r>
        <w:rPr>
          <w:color w:val="6C6C6C"/>
        </w:rPr>
        <w:t>(</w:t>
      </w:r>
      <w:hyperlink r:id="rId8">
        <w:r>
          <w:rPr>
            <w:color w:val="0000FF"/>
            <w:u w:val="single" w:color="0000FF"/>
          </w:rPr>
          <w:t>http://www.cbhknowledge.center/ihtpp/</w:t>
        </w:r>
        <w:r>
          <w:rPr>
            <w:color w:val="6C6C6C"/>
          </w:rPr>
          <w:t>)</w:t>
        </w:r>
      </w:hyperlink>
      <w:r>
        <w:rPr>
          <w:color w:val="6C6C6C"/>
        </w:rPr>
        <w:t> was released earlier in the year with the intent of improving the quality of In-Home therapy services for children and youth enrolled in CBHI services through MassHealth. IHT is one of our most heavily used services, with over 17,000 clients currently enrolled. The </w:t>
      </w:r>
      <w:r>
        <w:rPr>
          <w:b/>
          <w:color w:val="6C6C6C"/>
        </w:rPr>
        <w:t>Practice Profile </w:t>
      </w:r>
      <w:r>
        <w:rPr>
          <w:color w:val="6C6C6C"/>
        </w:rPr>
        <w:t>itself has been very</w:t>
      </w:r>
      <w:r>
        <w:rPr>
          <w:color w:val="6C6C6C"/>
          <w:spacing w:val="33"/>
        </w:rPr>
        <w:t> </w:t>
      </w:r>
      <w:r>
        <w:rPr>
          <w:color w:val="6C6C6C"/>
        </w:rPr>
        <w:t>well received, and</w:t>
      </w:r>
    </w:p>
    <w:p>
      <w:pPr>
        <w:spacing w:after="0"/>
        <w:jc w:val="both"/>
        <w:sectPr>
          <w:footerReference w:type="default" r:id="rId5"/>
          <w:type w:val="continuous"/>
          <w:pgSz w:w="12240" w:h="15840"/>
          <w:pgMar w:footer="710" w:top="1300" w:bottom="900" w:left="940" w:right="900"/>
          <w:pgNumType w:start="1"/>
        </w:sectPr>
      </w:pPr>
    </w:p>
    <w:p>
      <w:pPr>
        <w:pStyle w:val="BodyText"/>
        <w:spacing w:before="70"/>
        <w:ind w:left="410" w:right="854"/>
        <w:jc w:val="both"/>
      </w:pPr>
      <w:r>
        <w:rPr>
          <w:color w:val="6C6C6C"/>
        </w:rPr>
        <w:t>implementation to ensure fidelity to its principles is being rigorously managed and evaluated through this implementation work. For more information on the pilot, please visit the </w:t>
      </w:r>
      <w:r>
        <w:rPr>
          <w:color w:val="0000FF"/>
          <w:u w:val="single" w:color="0000FF"/>
        </w:rPr>
        <w:t>CBH</w:t>
      </w:r>
      <w:r>
        <w:rPr>
          <w:color w:val="0000FF"/>
        </w:rPr>
        <w:t> </w:t>
      </w:r>
      <w:r>
        <w:rPr>
          <w:color w:val="0000FF"/>
          <w:u w:val="single" w:color="0000FF"/>
        </w:rPr>
        <w:t>Knowledge Center</w:t>
      </w:r>
      <w:r>
        <w:rPr>
          <w:color w:val="0000FF"/>
        </w:rPr>
        <w:t> </w:t>
      </w:r>
      <w:r>
        <w:rPr>
          <w:color w:val="6C6C6C"/>
        </w:rPr>
        <w:t>website.</w:t>
      </w:r>
    </w:p>
    <w:p>
      <w:pPr>
        <w:pStyle w:val="BodyText"/>
        <w:rPr>
          <w:sz w:val="20"/>
        </w:rPr>
      </w:pPr>
    </w:p>
    <w:p>
      <w:pPr>
        <w:pStyle w:val="BodyText"/>
        <w:spacing w:before="2"/>
        <w:rPr>
          <w:sz w:val="23"/>
        </w:rPr>
      </w:pPr>
      <w:r>
        <w:rPr/>
        <w:pict>
          <v:shape style="position:absolute;margin-left:73.5pt;margin-top:14.559052pt;width:444.75pt;height:13.8pt;mso-position-horizontal-relative:page;mso-position-vertical-relative:paragraph;z-index:1168;mso-wrap-distance-left:0;mso-wrap-distance-right:0" type="#_x0000_t202" filled="true" fillcolor="#6c6c6c" stroked="false">
            <v:textbox inset="0,0,0,0">
              <w:txbxContent>
                <w:p>
                  <w:pPr>
                    <w:spacing w:line="274" w:lineRule="exact" w:before="0"/>
                    <w:ind w:left="3187" w:right="3187" w:firstLine="0"/>
                    <w:jc w:val="center"/>
                    <w:rPr>
                      <w:b/>
                      <w:sz w:val="24"/>
                    </w:rPr>
                  </w:pPr>
                  <w:r>
                    <w:rPr>
                      <w:b/>
                      <w:color w:val="FFFFFF"/>
                      <w:sz w:val="24"/>
                      <w:u w:val="thick" w:color="FFFFFF"/>
                    </w:rPr>
                    <w:t>IHT Practice Profile</w:t>
                  </w:r>
                </w:p>
              </w:txbxContent>
            </v:textbox>
            <v:fill type="solid"/>
            <w10:wrap type="topAndBottom"/>
          </v:shape>
        </w:pict>
      </w:r>
    </w:p>
    <w:p>
      <w:pPr>
        <w:pStyle w:val="BodyText"/>
        <w:spacing w:before="3"/>
        <w:rPr>
          <w:sz w:val="15"/>
        </w:rPr>
      </w:pPr>
    </w:p>
    <w:p>
      <w:pPr>
        <w:pStyle w:val="Heading1"/>
      </w:pPr>
      <w:r>
        <w:rPr>
          <w:color w:val="6C6C6C"/>
        </w:rPr>
        <w:t>Yale Supervision Project</w:t>
      </w:r>
    </w:p>
    <w:p>
      <w:pPr>
        <w:pStyle w:val="BodyText"/>
        <w:spacing w:before="281"/>
        <w:ind w:left="410" w:right="851" w:hanging="1"/>
        <w:jc w:val="both"/>
      </w:pPr>
      <w:r>
        <w:rPr>
          <w:b/>
          <w:color w:val="6C6C6C"/>
        </w:rPr>
        <w:t>Four CBHI providers</w:t>
      </w:r>
      <w:r>
        <w:rPr>
          <w:color w:val="6C6C6C"/>
        </w:rPr>
        <w:t>—LUK, High Point, The Bridge of Central Massachusetts, and Family Services of Greater Boston—are taking part in the Yale Supervision Project in 2016-17. Yale created a model for strengthening supervisor competencies and shaping supervision practice in health and human service organizations. The university then contracted with the </w:t>
      </w:r>
      <w:r>
        <w:rPr>
          <w:b/>
          <w:color w:val="6C6C6C"/>
        </w:rPr>
        <w:t>CBH Knowledge Center </w:t>
      </w:r>
      <w:r>
        <w:rPr>
          <w:color w:val="6C6C6C"/>
        </w:rPr>
        <w:t>and </w:t>
      </w:r>
      <w:r>
        <w:rPr>
          <w:b/>
          <w:color w:val="6C6C6C"/>
        </w:rPr>
        <w:t>MassHealth </w:t>
      </w:r>
      <w:r>
        <w:rPr>
          <w:color w:val="6C6C6C"/>
        </w:rPr>
        <w:t>to offer this six-month consulting/training curriculum to child- and youth- serving agencies and organizations in Massachusetts.</w:t>
      </w:r>
    </w:p>
    <w:p>
      <w:pPr>
        <w:pStyle w:val="BodyText"/>
        <w:spacing w:before="5"/>
        <w:rPr>
          <w:sz w:val="24"/>
        </w:rPr>
      </w:pPr>
    </w:p>
    <w:p>
      <w:pPr>
        <w:pStyle w:val="BodyText"/>
        <w:ind w:left="410" w:right="853"/>
        <w:jc w:val="both"/>
      </w:pPr>
      <w:r>
        <w:rPr>
          <w:color w:val="6C6C6C"/>
        </w:rPr>
        <w:t>Over 200 frontline supervisors and midlevel managers have taken part in the project. Initial response from participants has been overwhelmingly positive. According to Jack Simons, PhD., Director of CBHI, “from a workforce-development perspective, strengthening supervision is one of the most effective and efficient interventions in any organization, and we are hopeful that this will help us to strengthen and improve services to the kids and families we serve.”</w:t>
      </w:r>
    </w:p>
    <w:p>
      <w:pPr>
        <w:pStyle w:val="BodyText"/>
        <w:spacing w:before="4"/>
        <w:rPr>
          <w:sz w:val="24"/>
        </w:rPr>
      </w:pPr>
    </w:p>
    <w:p>
      <w:pPr>
        <w:pStyle w:val="BodyText"/>
        <w:ind w:left="410" w:right="853"/>
        <w:jc w:val="both"/>
      </w:pPr>
      <w:r>
        <w:rPr>
          <w:color w:val="6C6C6C"/>
        </w:rPr>
        <w:t>Because the response to the program this year has been so positive, talks are underway to offer the training next year. Details will be announced in fall 2017.</w:t>
      </w:r>
    </w:p>
    <w:p>
      <w:pPr>
        <w:pStyle w:val="BodyText"/>
        <w:spacing w:before="2"/>
        <w:rPr>
          <w:sz w:val="22"/>
        </w:rPr>
      </w:pPr>
      <w:r>
        <w:rPr/>
        <w:pict>
          <v:shape style="position:absolute;margin-left:73.5pt;margin-top:13.998164pt;width:444.75pt;height:13.8pt;mso-position-horizontal-relative:page;mso-position-vertical-relative:paragraph;z-index:1192;mso-wrap-distance-left:0;mso-wrap-distance-right:0" type="#_x0000_t202" filled="true" fillcolor="#6c6c6c" stroked="false">
            <v:textbox inset="0,0,0,0">
              <w:txbxContent>
                <w:p>
                  <w:pPr>
                    <w:spacing w:line="274" w:lineRule="exact" w:before="0"/>
                    <w:ind w:left="1020" w:right="0" w:firstLine="0"/>
                    <w:jc w:val="left"/>
                    <w:rPr>
                      <w:b/>
                      <w:sz w:val="24"/>
                    </w:rPr>
                  </w:pPr>
                  <w:r>
                    <w:rPr>
                      <w:b/>
                      <w:color w:val="FFFFFF"/>
                      <w:sz w:val="24"/>
                      <w:u w:val="thick" w:color="FFFFFF"/>
                    </w:rPr>
                    <w:t>Informational Webinar - Strengthening Supervision Initiative</w:t>
                  </w:r>
                </w:p>
              </w:txbxContent>
            </v:textbox>
            <v:fill type="solid"/>
            <w10:wrap type="topAndBottom"/>
          </v:shape>
        </w:pict>
      </w:r>
    </w:p>
    <w:p>
      <w:pPr>
        <w:pStyle w:val="BodyText"/>
        <w:spacing w:before="3"/>
        <w:rPr>
          <w:sz w:val="15"/>
        </w:rPr>
      </w:pPr>
    </w:p>
    <w:p>
      <w:pPr>
        <w:pStyle w:val="Heading1"/>
      </w:pPr>
      <w:r>
        <w:rPr>
          <w:color w:val="6C6C6C"/>
        </w:rPr>
        <w:t>New: Licensure Reimbursement Program</w:t>
      </w:r>
    </w:p>
    <w:p>
      <w:pPr>
        <w:pStyle w:val="BodyText"/>
        <w:spacing w:before="281"/>
        <w:ind w:left="410" w:right="853"/>
        <w:jc w:val="both"/>
      </w:pPr>
      <w:r>
        <w:rPr>
          <w:color w:val="6C6C6C"/>
        </w:rPr>
        <w:t>As a part of ongoing efforts to support our provider workforce, </w:t>
      </w:r>
      <w:r>
        <w:rPr>
          <w:b/>
          <w:color w:val="6C6C6C"/>
        </w:rPr>
        <w:t>MassHealth’s Office of Behavioral Health </w:t>
      </w:r>
      <w:r>
        <w:rPr>
          <w:color w:val="6C6C6C"/>
        </w:rPr>
        <w:t>has just announced a new program to financially support IHT and ICC staff seeking licensure. Up to $1500 in reimbursement will be available to support staff, including LICSW, LMHC, LMFT, and psychologists, achieving independent licensure. You can find information about the program, including criteria, exclusions, and an application, in the attached file. For more information, contact Amy Horton at TAC by email at </w:t>
      </w:r>
      <w:hyperlink r:id="rId9">
        <w:r>
          <w:rPr>
            <w:color w:val="0000FF"/>
            <w:u w:val="single" w:color="0000FF"/>
          </w:rPr>
          <w:t>ahorton@tacinc.org </w:t>
        </w:r>
        <w:r>
          <w:rPr>
            <w:color w:val="6C6C6C"/>
          </w:rPr>
          <w:t>or</w:t>
        </w:r>
      </w:hyperlink>
      <w:r>
        <w:rPr>
          <w:color w:val="6C6C6C"/>
        </w:rPr>
        <w:t> by phone at 617-266-5657, x</w:t>
      </w:r>
      <w:r>
        <w:rPr>
          <w:color w:val="6C6C6C"/>
          <w:spacing w:val="-1"/>
        </w:rPr>
        <w:t> </w:t>
      </w:r>
      <w:r>
        <w:rPr>
          <w:color w:val="6C6C6C"/>
        </w:rPr>
        <w:t>122.</w:t>
      </w:r>
    </w:p>
    <w:p>
      <w:pPr>
        <w:pStyle w:val="BodyText"/>
        <w:spacing w:before="2"/>
        <w:rPr>
          <w:sz w:val="22"/>
        </w:rPr>
      </w:pPr>
      <w:r>
        <w:rPr/>
        <w:pict>
          <v:shape style="position:absolute;margin-left:73.5pt;margin-top:13.989668pt;width:444.75pt;height:13.8pt;mso-position-horizontal-relative:page;mso-position-vertical-relative:paragraph;z-index:1216;mso-wrap-distance-left:0;mso-wrap-distance-right:0" type="#_x0000_t202" filled="true" fillcolor="#6c6c6c" stroked="false">
            <v:textbox inset="0,0,0,0">
              <w:txbxContent>
                <w:p>
                  <w:pPr>
                    <w:spacing w:line="274" w:lineRule="exact" w:before="0"/>
                    <w:ind w:left="459" w:right="0" w:firstLine="0"/>
                    <w:jc w:val="left"/>
                    <w:rPr>
                      <w:b/>
                      <w:sz w:val="24"/>
                    </w:rPr>
                  </w:pPr>
                  <w:r>
                    <w:rPr>
                      <w:b/>
                      <w:color w:val="FFFFFF"/>
                      <w:sz w:val="24"/>
                      <w:u w:val="thick" w:color="FFFFFF"/>
                    </w:rPr>
                    <w:t>CBHI Licensure Reimbursement Program Description and Application</w:t>
                  </w:r>
                </w:p>
              </w:txbxContent>
            </v:textbox>
            <v:fill type="solid"/>
            <w10:wrap type="topAndBottom"/>
          </v:shape>
        </w:pict>
      </w:r>
    </w:p>
    <w:p>
      <w:pPr>
        <w:pStyle w:val="BodyText"/>
        <w:spacing w:before="3"/>
        <w:rPr>
          <w:sz w:val="15"/>
        </w:rPr>
      </w:pPr>
    </w:p>
    <w:p>
      <w:pPr>
        <w:pStyle w:val="Heading1"/>
      </w:pPr>
      <w:r>
        <w:rPr>
          <w:color w:val="6C6C6C"/>
        </w:rPr>
        <w:t>ARC and GROW</w:t>
      </w:r>
    </w:p>
    <w:p>
      <w:pPr>
        <w:spacing w:before="281"/>
        <w:ind w:left="409" w:right="853" w:firstLine="0"/>
        <w:jc w:val="both"/>
        <w:rPr>
          <w:sz w:val="21"/>
        </w:rPr>
      </w:pPr>
      <w:r>
        <w:rPr>
          <w:color w:val="6C6C6C"/>
          <w:sz w:val="21"/>
        </w:rPr>
        <w:t>As part of the overall effort to support providers and improve the quality of CBHI services, almost 200 providers participated in a series of three-day trainings. “</w:t>
      </w:r>
      <w:r>
        <w:rPr>
          <w:b/>
          <w:color w:val="6C6C6C"/>
          <w:sz w:val="21"/>
        </w:rPr>
        <w:t>GROW: Adaptation of the ARC Framework as a Caregiver Skill Building Intervention</w:t>
      </w:r>
      <w:r>
        <w:rPr>
          <w:color w:val="6C6C6C"/>
          <w:sz w:val="21"/>
        </w:rPr>
        <w:t>” attracted trainees from 30 different sites, and included providers such as Therapeutic Mentors, In-Home therapists, ICCs, and Family Partners.</w:t>
      </w:r>
    </w:p>
    <w:p>
      <w:pPr>
        <w:pStyle w:val="BodyText"/>
        <w:spacing w:before="4"/>
        <w:rPr>
          <w:sz w:val="24"/>
        </w:rPr>
      </w:pPr>
    </w:p>
    <w:p>
      <w:pPr>
        <w:pStyle w:val="BodyText"/>
        <w:ind w:left="409" w:right="854"/>
        <w:jc w:val="both"/>
      </w:pPr>
      <w:r>
        <w:rPr>
          <w:color w:val="6C6C6C"/>
        </w:rPr>
        <w:t>The “</w:t>
      </w:r>
      <w:r>
        <w:rPr>
          <w:b/>
          <w:color w:val="6C6C6C"/>
        </w:rPr>
        <w:t>Attachment, Self-Regulation, and Competency (ARC)</w:t>
      </w:r>
      <w:r>
        <w:rPr>
          <w:color w:val="6C6C6C"/>
        </w:rPr>
        <w:t>” framework is a treatment model with a focus on trauma. GROW is designed as a home- based caregiver skill-building intervention for families who are impacted by chronic adversity or stress. Combining the two concepts by training providers in the ARC intervention model, while introducing family members to the GROW curriculum, allowed for a richer understanding of the role of caregivers and families. Attendees at the training participated in role playing, group discussions, and video demonstrations, and</w:t>
      </w:r>
    </w:p>
    <w:p>
      <w:pPr>
        <w:spacing w:after="0"/>
        <w:jc w:val="both"/>
        <w:sectPr>
          <w:pgSz w:w="12240" w:h="15840"/>
          <w:pgMar w:header="0" w:footer="710" w:top="800" w:bottom="900" w:left="940" w:right="900"/>
        </w:sectPr>
      </w:pPr>
    </w:p>
    <w:p>
      <w:pPr>
        <w:pStyle w:val="BodyText"/>
        <w:spacing w:before="70"/>
        <w:ind w:left="410" w:right="854"/>
        <w:jc w:val="both"/>
      </w:pPr>
      <w:r>
        <w:rPr>
          <w:color w:val="6C6C6C"/>
        </w:rPr>
        <w:t>commented favorably about the quality of the trainers and the content of the training. Some attendees even requested that the training be expanded to a five-day course One participant commented that “the structure of the GROW curriculum is needed in IHT as a good tool to access when working with parents and children. I was glad to see clinicians and TT&amp;S staff excited about implementing this with families.”</w:t>
      </w:r>
    </w:p>
    <w:p>
      <w:pPr>
        <w:pStyle w:val="BodyText"/>
        <w:rPr>
          <w:sz w:val="29"/>
        </w:rPr>
      </w:pPr>
    </w:p>
    <w:p>
      <w:pPr>
        <w:spacing w:before="93"/>
        <w:ind w:left="6858" w:right="1044" w:firstLine="0"/>
        <w:jc w:val="left"/>
        <w:rPr>
          <w:sz w:val="24"/>
        </w:rPr>
      </w:pPr>
      <w:r>
        <w:rPr/>
        <w:drawing>
          <wp:anchor distT="0" distB="0" distL="0" distR="0" allowOverlap="1" layoutInCell="1" locked="0" behindDoc="0" simplePos="0" relativeHeight="1264">
            <wp:simplePos x="0" y="0"/>
            <wp:positionH relativeFrom="page">
              <wp:posOffset>960119</wp:posOffset>
            </wp:positionH>
            <wp:positionV relativeFrom="paragraph">
              <wp:posOffset>69414</wp:posOffset>
            </wp:positionV>
            <wp:extent cx="3801618" cy="2848356"/>
            <wp:effectExtent l="0" t="0" r="0" b="0"/>
            <wp:wrapNone/>
            <wp:docPr id="3" name="image3.jpeg" descr=""/>
            <wp:cNvGraphicFramePr>
              <a:graphicFrameLocks noChangeAspect="1"/>
            </wp:cNvGraphicFramePr>
            <a:graphic>
              <a:graphicData uri="http://schemas.openxmlformats.org/drawingml/2006/picture">
                <pic:pic>
                  <pic:nvPicPr>
                    <pic:cNvPr id="4" name="image3.jpeg"/>
                    <pic:cNvPicPr/>
                  </pic:nvPicPr>
                  <pic:blipFill>
                    <a:blip r:embed="rId10" cstate="print"/>
                    <a:stretch>
                      <a:fillRect/>
                    </a:stretch>
                  </pic:blipFill>
                  <pic:spPr>
                    <a:xfrm>
                      <a:off x="0" y="0"/>
                      <a:ext cx="3801618" cy="2848356"/>
                    </a:xfrm>
                    <a:prstGeom prst="rect">
                      <a:avLst/>
                    </a:prstGeom>
                  </pic:spPr>
                </pic:pic>
              </a:graphicData>
            </a:graphic>
          </wp:anchor>
        </w:drawing>
      </w:r>
      <w:r>
        <w:rPr>
          <w:sz w:val="24"/>
        </w:rPr>
        <w:t>For more information about ARC, visit the </w:t>
      </w:r>
      <w:r>
        <w:rPr>
          <w:color w:val="0000FF"/>
          <w:sz w:val="24"/>
          <w:u w:val="single" w:color="0000FF"/>
        </w:rPr>
        <w:t>Attachment, Regulation</w:t>
      </w:r>
      <w:r>
        <w:rPr>
          <w:color w:val="0000FF"/>
          <w:sz w:val="24"/>
        </w:rPr>
        <w:t> </w:t>
      </w:r>
      <w:r>
        <w:rPr>
          <w:color w:val="0000FF"/>
          <w:sz w:val="24"/>
          <w:u w:val="single" w:color="0000FF"/>
        </w:rPr>
        <w:t>and Competency</w:t>
      </w:r>
      <w:r>
        <w:rPr>
          <w:color w:val="0000FF"/>
          <w:sz w:val="24"/>
        </w:rPr>
        <w:t> </w:t>
      </w:r>
      <w:r>
        <w:rPr>
          <w:color w:val="0000FF"/>
          <w:sz w:val="24"/>
          <w:u w:val="single" w:color="0000FF"/>
        </w:rPr>
        <w:t>(ARC)</w:t>
      </w:r>
      <w:r>
        <w:rPr>
          <w:color w:val="0000FF"/>
          <w:sz w:val="24"/>
        </w:rPr>
        <w:t> </w:t>
      </w:r>
      <w:r>
        <w:rPr>
          <w:sz w:val="24"/>
        </w:rPr>
        <w:t>web page. A day-long follow-up GROW “booster training” for attendees who completed the training is tentatively scheduled for March 2018.</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6"/>
        <w:rPr>
          <w:sz w:val="27"/>
        </w:rPr>
      </w:pPr>
      <w:r>
        <w:rPr/>
        <w:pict>
          <v:shape style="position:absolute;margin-left:73.5pt;margin-top:17.065489pt;width:444.75pt;height:13.8pt;mso-position-horizontal-relative:page;mso-position-vertical-relative:paragraph;z-index:1240;mso-wrap-distance-left:0;mso-wrap-distance-right:0" type="#_x0000_t202" filled="true" fillcolor="#6c6c6c" stroked="false">
            <v:textbox inset="0,0,0,0">
              <w:txbxContent>
                <w:p>
                  <w:pPr>
                    <w:spacing w:line="274" w:lineRule="exact" w:before="0"/>
                    <w:ind w:left="3188" w:right="3187" w:firstLine="0"/>
                    <w:jc w:val="center"/>
                    <w:rPr>
                      <w:b/>
                      <w:sz w:val="24"/>
                    </w:rPr>
                  </w:pPr>
                  <w:r>
                    <w:rPr>
                      <w:b/>
                      <w:color w:val="FFFFFF"/>
                      <w:sz w:val="24"/>
                      <w:u w:val="thick" w:color="FFFFFF"/>
                    </w:rPr>
                    <w:t>For More Info on ARC</w:t>
                  </w:r>
                </w:p>
              </w:txbxContent>
            </v:textbox>
            <v:fill type="solid"/>
            <w10:wrap type="topAndBottom"/>
          </v:shape>
        </w:pict>
      </w:r>
    </w:p>
    <w:p>
      <w:pPr>
        <w:pStyle w:val="BodyText"/>
        <w:spacing w:before="3"/>
        <w:rPr>
          <w:sz w:val="15"/>
        </w:rPr>
      </w:pPr>
    </w:p>
    <w:p>
      <w:pPr>
        <w:spacing w:before="88"/>
        <w:ind w:left="410" w:right="0" w:firstLine="0"/>
        <w:jc w:val="left"/>
        <w:rPr>
          <w:b/>
          <w:sz w:val="36"/>
        </w:rPr>
      </w:pPr>
      <w:r>
        <w:rPr>
          <w:b/>
          <w:color w:val="6C6C6C"/>
          <w:sz w:val="36"/>
        </w:rPr>
        <w:t>Congratulations, Laura Conrad-Laberinto</w:t>
      </w:r>
    </w:p>
    <w:p>
      <w:pPr>
        <w:pStyle w:val="BodyText"/>
        <w:spacing w:before="280"/>
        <w:ind w:left="410" w:right="853"/>
        <w:jc w:val="both"/>
      </w:pPr>
      <w:r>
        <w:rPr>
          <w:color w:val="6C6C6C"/>
        </w:rPr>
        <w:t>The Autism Insurance Resource Center at the UMass Medical School recently named three champions for autistic children in Massachusetts. </w:t>
      </w:r>
      <w:r>
        <w:rPr>
          <w:b/>
          <w:color w:val="6C6C6C"/>
        </w:rPr>
        <w:t>Laura Conrad-Laberinto </w:t>
      </w:r>
      <w:r>
        <w:rPr>
          <w:color w:val="6C6C6C"/>
        </w:rPr>
        <w:t>was recognized for her work in establishing Applied Behavioral Analysis (ABA) as a MassHealth-covered service. Her knowledge of the ins-and-outs of MassHealth was instrumental in expanding that service, which is currently providing therapy for thousands of MassHealth members. Congratulations, and thank you, Laura</w:t>
      </w:r>
    </w:p>
    <w:p>
      <w:pPr>
        <w:pStyle w:val="BodyText"/>
        <w:spacing w:before="3"/>
        <w:rPr>
          <w:sz w:val="16"/>
        </w:rPr>
      </w:pPr>
    </w:p>
    <w:p>
      <w:pPr>
        <w:tabs>
          <w:tab w:pos="2470" w:val="left" w:leader="none"/>
          <w:tab w:pos="9424" w:val="left" w:leader="none"/>
        </w:tabs>
        <w:spacing w:before="92"/>
        <w:ind w:left="530" w:right="0" w:firstLine="0"/>
        <w:jc w:val="left"/>
        <w:rPr>
          <w:b/>
          <w:sz w:val="24"/>
        </w:rPr>
      </w:pPr>
      <w:r>
        <w:rPr/>
        <w:pict>
          <v:group style="position:absolute;margin-left:52.503815pt;margin-top:22.258417pt;width:507pt;height:210.8pt;mso-position-horizontal-relative:page;mso-position-vertical-relative:paragraph;z-index:-4528" coordorigin="1050,445" coordsize="10140,4216">
            <v:shape style="position:absolute;left:1050;top:445;width:5259;height:4216" coordorigin="1050,445" coordsize="5259,4216" path="m6308,445l5932,445,5932,655,5932,4450,5917,4450,5917,2665,5917,2143,5917,1902,5917,1415,5917,655,5932,655,5932,445,1050,445,1050,655,1050,1415,1050,4661,5932,4661,6308,4661,6308,445e" filled="true" fillcolor="#d0cfcf" stroked="false">
              <v:path arrowok="t"/>
              <v:fill type="solid"/>
            </v:shape>
            <v:shape style="position:absolute;left:1233;top:2663;width:4500;height:1786" type="#_x0000_t75" stroked="false">
              <v:imagedata r:id="rId11" o:title=""/>
            </v:shape>
            <v:line style="position:absolute" from="11183,445" to="11183,4661" stroked="true" strokeweight=".720002pt" strokecolor="#d0cfcf">
              <v:stroke dashstyle="solid"/>
            </v:line>
            <v:shape style="position:absolute;left:6308;top:446;width:4868;height:4215" coordorigin="6308,446" coordsize="4868,4215" path="m11176,446l6308,446,6308,2176,6308,2417,6308,2938,6308,3494,6308,3736,6308,4661,11176,4661,11176,2176,11176,446e" filled="true" fillcolor="#d0cfcf" stroked="false">
              <v:path arrowok="t"/>
              <v:fill type="solid"/>
            </v:shape>
            <w10:wrap type="none"/>
          </v:group>
        </w:pict>
      </w:r>
      <w:r>
        <w:rPr>
          <w:b/>
          <w:color w:val="FFFFFF"/>
          <w:w w:val="100"/>
          <w:sz w:val="24"/>
          <w:shd w:fill="6C6C6C" w:color="auto" w:val="clear"/>
        </w:rPr>
        <w:t> </w:t>
      </w:r>
      <w:r>
        <w:rPr>
          <w:b/>
          <w:color w:val="FFFFFF"/>
          <w:sz w:val="24"/>
          <w:shd w:fill="6C6C6C" w:color="auto" w:val="clear"/>
        </w:rPr>
        <w:tab/>
        <w:t>Congratulations to Laura</w:t>
      </w:r>
      <w:r>
        <w:rPr>
          <w:b/>
          <w:color w:val="FFFFFF"/>
          <w:spacing w:val="-32"/>
          <w:sz w:val="24"/>
          <w:shd w:fill="6C6C6C" w:color="auto" w:val="clear"/>
        </w:rPr>
        <w:t> </w:t>
      </w:r>
      <w:r>
        <w:rPr>
          <w:b/>
          <w:color w:val="FFFFFF"/>
          <w:sz w:val="24"/>
          <w:shd w:fill="6C6C6C" w:color="auto" w:val="clear"/>
        </w:rPr>
        <w:t>Conrad-Laberinto</w:t>
        <w:tab/>
      </w:r>
    </w:p>
    <w:p>
      <w:pPr>
        <w:pStyle w:val="BodyText"/>
        <w:spacing w:line="181" w:lineRule="exact" w:before="218"/>
        <w:ind w:left="5883"/>
      </w:pPr>
      <w:r>
        <w:rPr>
          <w:color w:val="6C6C6C"/>
        </w:rPr>
        <w:t>Receive this OBH/CBHI newsletter as a</w:t>
      </w:r>
    </w:p>
    <w:p>
      <w:pPr>
        <w:spacing w:after="0" w:line="181" w:lineRule="exact"/>
        <w:sectPr>
          <w:pgSz w:w="12240" w:h="15840"/>
          <w:pgMar w:header="0" w:footer="710" w:top="800" w:bottom="900" w:left="940" w:right="900"/>
        </w:sectPr>
      </w:pPr>
    </w:p>
    <w:p>
      <w:pPr>
        <w:spacing w:line="369" w:lineRule="exact" w:before="0"/>
        <w:ind w:left="1425" w:right="0" w:firstLine="0"/>
        <w:jc w:val="left"/>
        <w:rPr>
          <w:sz w:val="33"/>
        </w:rPr>
      </w:pPr>
      <w:r>
        <w:rPr>
          <w:color w:val="6C6C6C"/>
          <w:sz w:val="33"/>
        </w:rPr>
        <w:t>MASSHEALTH</w:t>
      </w:r>
    </w:p>
    <w:p>
      <w:pPr>
        <w:spacing w:before="277"/>
        <w:ind w:left="773" w:right="0" w:firstLine="28"/>
        <w:jc w:val="left"/>
        <w:rPr>
          <w:sz w:val="18"/>
        </w:rPr>
      </w:pPr>
      <w:r>
        <w:rPr>
          <w:color w:val="6C6C6C"/>
          <w:sz w:val="18"/>
        </w:rPr>
        <w:t>OFFICE OF BEHAVIORAL HEALTH (OBH)</w:t>
      </w:r>
    </w:p>
    <w:p>
      <w:pPr>
        <w:pStyle w:val="BodyText"/>
        <w:spacing w:before="6"/>
        <w:rPr>
          <w:sz w:val="24"/>
        </w:rPr>
      </w:pPr>
    </w:p>
    <w:p>
      <w:pPr>
        <w:pStyle w:val="BodyText"/>
        <w:ind w:left="1662" w:right="21" w:hanging="890"/>
      </w:pPr>
      <w:r>
        <w:rPr>
          <w:color w:val="6C6C6C"/>
        </w:rPr>
        <w:t>CHILDREN'S BEHAVIORAL HEALTH INITIATIVE (CBHI)</w:t>
      </w:r>
    </w:p>
    <w:p>
      <w:pPr>
        <w:pStyle w:val="BodyText"/>
        <w:spacing w:before="61"/>
        <w:ind w:left="773" w:right="507" w:firstLine="16"/>
        <w:jc w:val="both"/>
      </w:pPr>
      <w:r>
        <w:rPr/>
        <w:br w:type="column"/>
      </w:r>
      <w:r>
        <w:rPr>
          <w:color w:val="6C6C6C"/>
        </w:rPr>
        <w:t>forward? </w:t>
      </w:r>
      <w:r>
        <w:rPr>
          <w:b/>
          <w:color w:val="6C6C6C"/>
        </w:rPr>
        <w:t>Sign up </w:t>
      </w:r>
      <w:r>
        <w:rPr>
          <w:color w:val="6C6C6C"/>
        </w:rPr>
        <w:t>to receive our future emails. Follow this link if you would like to </w:t>
      </w:r>
      <w:r>
        <w:rPr>
          <w:color w:val="6C6C6C"/>
          <w:u w:val="single" w:color="6C6C6C"/>
        </w:rPr>
        <w:t>unsubscribe</w:t>
      </w:r>
      <w:r>
        <w:rPr>
          <w:color w:val="6C6C6C"/>
        </w:rPr>
        <w:t> from receiving future OBH/CBHI newsletters.</w:t>
      </w:r>
    </w:p>
    <w:p>
      <w:pPr>
        <w:pStyle w:val="BodyText"/>
        <w:ind w:left="1287" w:right="1019" w:hanging="1"/>
        <w:jc w:val="center"/>
      </w:pPr>
      <w:r>
        <w:rPr>
          <w:color w:val="6C6C6C"/>
        </w:rPr>
        <w:t>Visit the CBHI website </w:t>
      </w:r>
      <w:hyperlink r:id="rId12">
        <w:r>
          <w:rPr>
            <w:color w:val="6C6C6C"/>
          </w:rPr>
          <w:t>(www.mass.gov/masshealth/CBHI).</w:t>
        </w:r>
      </w:hyperlink>
    </w:p>
    <w:p>
      <w:pPr>
        <w:spacing w:before="140"/>
        <w:ind w:left="835" w:right="419" w:firstLine="0"/>
        <w:jc w:val="center"/>
        <w:rPr>
          <w:sz w:val="21"/>
        </w:rPr>
      </w:pPr>
      <w:r>
        <w:rPr>
          <w:color w:val="6C6C6C"/>
          <w:sz w:val="21"/>
        </w:rPr>
        <w:t>Follow us on Twitter </w:t>
      </w:r>
      <w:r>
        <w:rPr>
          <w:b/>
          <w:color w:val="6C6C6C"/>
          <w:sz w:val="21"/>
        </w:rPr>
        <w:t>@MassHealth </w:t>
      </w:r>
      <w:r>
        <w:rPr>
          <w:color w:val="6C6C6C"/>
          <w:sz w:val="21"/>
        </w:rPr>
        <w:t>| Follow us on </w:t>
      </w:r>
      <w:r>
        <w:rPr>
          <w:b/>
          <w:color w:val="6C6C6C"/>
          <w:sz w:val="21"/>
        </w:rPr>
        <w:t>YouTube</w:t>
      </w:r>
      <w:r>
        <w:rPr>
          <w:color w:val="6C6C6C"/>
          <w:sz w:val="21"/>
        </w:rPr>
        <w:t>.</w:t>
      </w:r>
    </w:p>
    <w:p>
      <w:pPr>
        <w:spacing w:after="0"/>
        <w:jc w:val="center"/>
        <w:rPr>
          <w:sz w:val="21"/>
        </w:rPr>
        <w:sectPr>
          <w:type w:val="continuous"/>
          <w:pgSz w:w="12240" w:h="15840"/>
          <w:pgMar w:top="1300" w:bottom="900" w:left="940" w:right="900"/>
          <w:cols w:num="2" w:equalWidth="0">
            <w:col w:w="4354" w:space="434"/>
            <w:col w:w="5612"/>
          </w:cols>
        </w:sectPr>
      </w:pPr>
    </w:p>
    <w:p>
      <w:pPr>
        <w:pStyle w:val="BodyText"/>
        <w:rPr>
          <w:sz w:val="20"/>
        </w:rPr>
      </w:pPr>
    </w:p>
    <w:p>
      <w:pPr>
        <w:pStyle w:val="BodyText"/>
        <w:rPr>
          <w:sz w:val="20"/>
        </w:rPr>
      </w:pPr>
    </w:p>
    <w:p>
      <w:pPr>
        <w:pStyle w:val="BodyText"/>
        <w:spacing w:before="7"/>
        <w:rPr>
          <w:sz w:val="24"/>
        </w:rPr>
      </w:pPr>
    </w:p>
    <w:p>
      <w:pPr>
        <w:pStyle w:val="BodyText"/>
        <w:spacing w:before="93"/>
        <w:ind w:right="163"/>
        <w:jc w:val="right"/>
      </w:pPr>
      <w:r>
        <w:rPr>
          <w:color w:val="6C6C6C"/>
        </w:rPr>
        <w:t>MassHealth CBHI CANS</w:t>
      </w:r>
    </w:p>
    <w:sectPr>
      <w:type w:val="continuous"/>
      <w:pgSz w:w="12240" w:h="15840"/>
      <w:pgMar w:top="1300" w:bottom="900" w:left="940" w:right="9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Tahoma">
    <w:altName w:val="Tahoma"/>
    <w:charset w:val="0"/>
    <w:family w:val="swiss"/>
    <w:pitch w:val="variable"/>
  </w:font>
  <w:font w:name="Arial">
    <w:altName w:val="Arial"/>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301.779999pt;margin-top:745.516113pt;width:8.4pt;height:11.65pt;mso-position-horizontal-relative:page;mso-position-vertical-relative:page;z-index:-4792" type="#_x0000_t202" filled="false" stroked="false">
          <v:textbox inset="0,0,0,0">
            <w:txbxContent>
              <w:p>
                <w:pPr>
                  <w:spacing w:before="19"/>
                  <w:ind w:left="40" w:right="0" w:firstLine="0"/>
                  <w:jc w:val="left"/>
                  <w:rPr>
                    <w:rFonts w:ascii="Tahoma"/>
                    <w:sz w:val="16"/>
                  </w:rPr>
                </w:pPr>
                <w:r>
                  <w:rPr/>
                  <w:fldChar w:fldCharType="begin"/>
                </w:r>
                <w:r>
                  <w:rPr>
                    <w:rFonts w:ascii="Tahoma"/>
                    <w:w w:val="99"/>
                    <w:sz w:val="16"/>
                  </w:rPr>
                  <w:instrText> PAGE </w:instrText>
                </w:r>
                <w:r>
                  <w:rPr/>
                  <w:fldChar w:fldCharType="separate"/>
                </w:r>
                <w:r>
                  <w:rPr/>
                  <w:t>1</w:t>
                </w:r>
                <w:r>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lowerLetter"/>
      <w:lvlText w:val="%1."/>
      <w:lvlJc w:val="left"/>
      <w:pPr>
        <w:ind w:left="1130" w:hanging="361"/>
        <w:jc w:val="left"/>
      </w:pPr>
      <w:rPr>
        <w:rFonts w:hint="default" w:ascii="Arial" w:hAnsi="Arial" w:eastAsia="Arial" w:cs="Arial"/>
        <w:color w:val="6C6C6C"/>
        <w:spacing w:val="-1"/>
        <w:w w:val="99"/>
        <w:sz w:val="21"/>
        <w:szCs w:val="21"/>
      </w:rPr>
    </w:lvl>
    <w:lvl w:ilvl="1">
      <w:start w:val="0"/>
      <w:numFmt w:val="bullet"/>
      <w:lvlText w:val="•"/>
      <w:lvlJc w:val="left"/>
      <w:pPr>
        <w:ind w:left="2066" w:hanging="361"/>
      </w:pPr>
      <w:rPr>
        <w:rFonts w:hint="default"/>
      </w:rPr>
    </w:lvl>
    <w:lvl w:ilvl="2">
      <w:start w:val="0"/>
      <w:numFmt w:val="bullet"/>
      <w:lvlText w:val="•"/>
      <w:lvlJc w:val="left"/>
      <w:pPr>
        <w:ind w:left="2992" w:hanging="361"/>
      </w:pPr>
      <w:rPr>
        <w:rFonts w:hint="default"/>
      </w:rPr>
    </w:lvl>
    <w:lvl w:ilvl="3">
      <w:start w:val="0"/>
      <w:numFmt w:val="bullet"/>
      <w:lvlText w:val="•"/>
      <w:lvlJc w:val="left"/>
      <w:pPr>
        <w:ind w:left="3918" w:hanging="361"/>
      </w:pPr>
      <w:rPr>
        <w:rFonts w:hint="default"/>
      </w:rPr>
    </w:lvl>
    <w:lvl w:ilvl="4">
      <w:start w:val="0"/>
      <w:numFmt w:val="bullet"/>
      <w:lvlText w:val="•"/>
      <w:lvlJc w:val="left"/>
      <w:pPr>
        <w:ind w:left="4844" w:hanging="361"/>
      </w:pPr>
      <w:rPr>
        <w:rFonts w:hint="default"/>
      </w:rPr>
    </w:lvl>
    <w:lvl w:ilvl="5">
      <w:start w:val="0"/>
      <w:numFmt w:val="bullet"/>
      <w:lvlText w:val="•"/>
      <w:lvlJc w:val="left"/>
      <w:pPr>
        <w:ind w:left="5770" w:hanging="361"/>
      </w:pPr>
      <w:rPr>
        <w:rFonts w:hint="default"/>
      </w:rPr>
    </w:lvl>
    <w:lvl w:ilvl="6">
      <w:start w:val="0"/>
      <w:numFmt w:val="bullet"/>
      <w:lvlText w:val="•"/>
      <w:lvlJc w:val="left"/>
      <w:pPr>
        <w:ind w:left="6696" w:hanging="361"/>
      </w:pPr>
      <w:rPr>
        <w:rFonts w:hint="default"/>
      </w:rPr>
    </w:lvl>
    <w:lvl w:ilvl="7">
      <w:start w:val="0"/>
      <w:numFmt w:val="bullet"/>
      <w:lvlText w:val="•"/>
      <w:lvlJc w:val="left"/>
      <w:pPr>
        <w:ind w:left="7622" w:hanging="361"/>
      </w:pPr>
      <w:rPr>
        <w:rFonts w:hint="default"/>
      </w:rPr>
    </w:lvl>
    <w:lvl w:ilvl="8">
      <w:start w:val="0"/>
      <w:numFmt w:val="bullet"/>
      <w:lvlText w:val="•"/>
      <w:lvlJc w:val="left"/>
      <w:pPr>
        <w:ind w:left="8548" w:hanging="361"/>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rPr>
  </w:style>
  <w:style w:styleId="BodyText" w:type="paragraph">
    <w:name w:val="Body Text"/>
    <w:basedOn w:val="Normal"/>
    <w:uiPriority w:val="1"/>
    <w:qFormat/>
    <w:pPr/>
    <w:rPr>
      <w:rFonts w:ascii="Arial" w:hAnsi="Arial" w:eastAsia="Arial" w:cs="Arial"/>
      <w:sz w:val="21"/>
      <w:szCs w:val="21"/>
    </w:rPr>
  </w:style>
  <w:style w:styleId="Heading1" w:type="paragraph">
    <w:name w:val="Heading 1"/>
    <w:basedOn w:val="Normal"/>
    <w:uiPriority w:val="1"/>
    <w:qFormat/>
    <w:pPr>
      <w:spacing w:before="88"/>
      <w:ind w:left="410"/>
      <w:outlineLvl w:val="1"/>
    </w:pPr>
    <w:rPr>
      <w:rFonts w:ascii="Arial" w:hAnsi="Arial" w:eastAsia="Arial" w:cs="Arial"/>
      <w:b/>
      <w:bCs/>
      <w:sz w:val="36"/>
      <w:szCs w:val="36"/>
    </w:rPr>
  </w:style>
  <w:style w:styleId="ListParagraph" w:type="paragraph">
    <w:name w:val="List Paragraph"/>
    <w:basedOn w:val="Normal"/>
    <w:uiPriority w:val="1"/>
    <w:qFormat/>
    <w:pPr>
      <w:ind w:left="1130" w:hanging="360"/>
    </w:pPr>
    <w:rPr>
      <w:rFonts w:ascii="Arial" w:hAnsi="Arial" w:eastAsia="Arial" w:cs="Arial"/>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jpeg"/><Relationship Id="rId7" Type="http://schemas.openxmlformats.org/officeDocument/2006/relationships/image" Target="media/image2.jpeg"/><Relationship Id="rId8" Type="http://schemas.openxmlformats.org/officeDocument/2006/relationships/hyperlink" Target="http://www.cbhknowledge.center/ihtpp/)" TargetMode="External"/><Relationship Id="rId9" Type="http://schemas.openxmlformats.org/officeDocument/2006/relationships/hyperlink" Target="mailto:ahorton@tacinc.orgor" TargetMode="External"/><Relationship Id="rId10" Type="http://schemas.openxmlformats.org/officeDocument/2006/relationships/image" Target="media/image3.jpeg"/><Relationship Id="rId11" Type="http://schemas.openxmlformats.org/officeDocument/2006/relationships/image" Target="media/image4.jpeg"/><Relationship Id="rId12" Type="http://schemas.openxmlformats.org/officeDocument/2006/relationships/hyperlink" Target="http://www.mass.gov/masshealth/CBHI)" TargetMode="External"/><Relationship Id="rId13"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lsimms</dc:creator>
  <dc:title>Microsoft Outlook - Memo Style</dc:title>
  <dcterms:created xsi:type="dcterms:W3CDTF">2018-02-14T14:40:26Z</dcterms:created>
  <dcterms:modified xsi:type="dcterms:W3CDTF">2018-02-14T14:40:26Z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2018-02-12T00:00:00Z</vt:filetime>
  </property>
  <property fmtid="{D5CDD505-2E9C-101B-9397-08002B2CF9AE}" pid="3" name="Creator">
    <vt:lpwstr>PScript5.dll Version 5.2.2</vt:lpwstr>
  </property>
  <property fmtid="{D5CDD505-2E9C-101B-9397-08002B2CF9AE}" pid="4" name="LastSaved">
    <vt:filetime>2018-02-14T00:00:00Z</vt:filetime>
  </property>
</Properties>
</file>