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5454" w:rsidR="001B51E7" w:rsidP="00755454" w:rsidRDefault="00755454" w14:paraId="53A726A6" w14:textId="6AA2EB35">
      <w:pPr>
        <w:spacing w:after="0"/>
        <w:jc w:val="center"/>
        <w:rPr>
          <w:rFonts w:ascii="Times New Roman" w:hAnsi="Times New Roman" w:cs="Times New Roman"/>
        </w:rPr>
      </w:pPr>
      <w:r w:rsidRPr="00755454">
        <w:rPr>
          <w:rFonts w:ascii="Times New Roman" w:hAnsi="Times New Roman" w:cs="Times New Roman"/>
        </w:rPr>
        <w:t>Crumbling Concrete Working Group</w:t>
      </w:r>
    </w:p>
    <w:p w:rsidRPr="00755454" w:rsidR="00755454" w:rsidP="00755454" w:rsidRDefault="00755454" w14:paraId="60AAAF8D" w14:textId="33DD1B49">
      <w:pPr>
        <w:spacing w:after="0"/>
        <w:jc w:val="center"/>
        <w:rPr>
          <w:rFonts w:ascii="Times New Roman" w:hAnsi="Times New Roman" w:cs="Times New Roman"/>
        </w:rPr>
      </w:pPr>
      <w:r w:rsidRPr="6EA3C7AF" w:rsidR="28355630">
        <w:rPr>
          <w:rFonts w:ascii="Times New Roman" w:hAnsi="Times New Roman" w:cs="Times New Roman"/>
        </w:rPr>
        <w:t>10:00 – 11:00</w:t>
      </w:r>
      <w:r w:rsidRPr="6EA3C7AF" w:rsidR="635505CE">
        <w:rPr>
          <w:rFonts w:ascii="Times New Roman" w:hAnsi="Times New Roman" w:cs="Times New Roman"/>
        </w:rPr>
        <w:t>, October 23, 2025</w:t>
      </w:r>
    </w:p>
    <w:p w:rsidR="00755454" w:rsidP="00755454" w:rsidRDefault="00755454" w14:paraId="7608A90B" w14:textId="7DCDCCA2">
      <w:pPr>
        <w:spacing w:after="0"/>
        <w:jc w:val="center"/>
        <w:rPr>
          <w:rFonts w:ascii="Times New Roman" w:hAnsi="Times New Roman" w:cs="Times New Roman"/>
        </w:rPr>
      </w:pPr>
      <w:r w:rsidRPr="00755454">
        <w:rPr>
          <w:rFonts w:ascii="Times New Roman" w:hAnsi="Times New Roman" w:cs="Times New Roman"/>
        </w:rPr>
        <w:t>100 Cambridge Street, Suite 300, Worcester Conference Room</w:t>
      </w:r>
    </w:p>
    <w:p w:rsidR="00755454" w:rsidP="00755454" w:rsidRDefault="00755454" w14:paraId="775B03F5" w14:textId="77777777">
      <w:pPr>
        <w:spacing w:after="0"/>
        <w:jc w:val="center"/>
        <w:rPr>
          <w:rFonts w:ascii="Times New Roman" w:hAnsi="Times New Roman" w:cs="Times New Roman"/>
        </w:rPr>
      </w:pPr>
    </w:p>
    <w:p w:rsidR="00755454" w:rsidP="00755454" w:rsidRDefault="00755454" w14:paraId="7FAA73A3" w14:textId="77777777">
      <w:pPr>
        <w:spacing w:after="0"/>
        <w:jc w:val="center"/>
        <w:rPr>
          <w:rFonts w:ascii="Times New Roman" w:hAnsi="Times New Roman" w:cs="Times New Roman"/>
        </w:rPr>
      </w:pPr>
    </w:p>
    <w:p w:rsidR="00755454" w:rsidP="00755454" w:rsidRDefault="00755454" w14:paraId="68596AB3" w14:textId="1C1CB326">
      <w:pPr>
        <w:spacing w:after="0"/>
        <w:jc w:val="center"/>
        <w:rPr>
          <w:rFonts w:ascii="Times New Roman" w:hAnsi="Times New Roman" w:cs="Times New Roman"/>
        </w:rPr>
      </w:pPr>
      <w:r>
        <w:rPr>
          <w:rFonts w:ascii="Times New Roman" w:hAnsi="Times New Roman" w:cs="Times New Roman"/>
        </w:rPr>
        <w:t xml:space="preserve">Present: </w:t>
      </w:r>
    </w:p>
    <w:p w:rsidR="00755454" w:rsidP="00755454" w:rsidRDefault="00755454" w14:paraId="7B5CD8DC" w14:textId="45D282A2">
      <w:pPr>
        <w:spacing w:after="0"/>
        <w:jc w:val="center"/>
        <w:rPr>
          <w:rFonts w:ascii="Times New Roman" w:hAnsi="Times New Roman" w:cs="Times New Roman"/>
        </w:rPr>
      </w:pPr>
      <w:r w:rsidRPr="30E33ACD" w:rsidR="27FEC0D3">
        <w:rPr>
          <w:rFonts w:ascii="Times New Roman" w:hAnsi="Times New Roman" w:cs="Times New Roman"/>
        </w:rPr>
        <w:t xml:space="preserve">Secretary Ed </w:t>
      </w:r>
      <w:r w:rsidRPr="30E33ACD" w:rsidR="6ED21EAF">
        <w:rPr>
          <w:rFonts w:ascii="Times New Roman" w:hAnsi="Times New Roman" w:cs="Times New Roman"/>
        </w:rPr>
        <w:t>Augustus</w:t>
      </w:r>
    </w:p>
    <w:p w:rsidR="00755454" w:rsidP="00755454" w:rsidRDefault="00755454" w14:paraId="6A1D777A" w14:textId="77E2CBC4">
      <w:pPr>
        <w:spacing w:after="0"/>
        <w:jc w:val="center"/>
        <w:rPr>
          <w:rFonts w:ascii="Times New Roman" w:hAnsi="Times New Roman" w:cs="Times New Roman"/>
        </w:rPr>
      </w:pPr>
      <w:r w:rsidRPr="6EA3C7AF" w:rsidR="636349F2">
        <w:rPr>
          <w:rFonts w:ascii="Times New Roman" w:hAnsi="Times New Roman" w:cs="Times New Roman"/>
        </w:rPr>
        <w:t xml:space="preserve">Darryl </w:t>
      </w:r>
      <w:r w:rsidRPr="6EA3C7AF" w:rsidR="0AC9578B">
        <w:rPr>
          <w:rFonts w:ascii="Times New Roman" w:hAnsi="Times New Roman" w:cs="Times New Roman"/>
        </w:rPr>
        <w:t>C</w:t>
      </w:r>
      <w:r w:rsidRPr="6EA3C7AF" w:rsidR="4C91A86A">
        <w:rPr>
          <w:rFonts w:ascii="Times New Roman" w:hAnsi="Times New Roman" w:cs="Times New Roman"/>
        </w:rPr>
        <w:t>affee</w:t>
      </w:r>
    </w:p>
    <w:p w:rsidR="00755454" w:rsidP="00755454" w:rsidRDefault="00755454" w14:paraId="7AB94B6A" w14:textId="1E870743">
      <w:pPr>
        <w:spacing w:after="0"/>
        <w:jc w:val="center"/>
        <w:rPr>
          <w:rFonts w:ascii="Times New Roman" w:hAnsi="Times New Roman" w:cs="Times New Roman"/>
        </w:rPr>
      </w:pPr>
      <w:r w:rsidRPr="6EA3C7AF" w:rsidR="57A32881">
        <w:rPr>
          <w:rFonts w:ascii="Times New Roman" w:hAnsi="Times New Roman" w:cs="Times New Roman"/>
        </w:rPr>
        <w:t xml:space="preserve">Michelle </w:t>
      </w:r>
      <w:r w:rsidRPr="6EA3C7AF" w:rsidR="4C91A86A">
        <w:rPr>
          <w:rFonts w:ascii="Times New Roman" w:hAnsi="Times New Roman" w:cs="Times New Roman"/>
        </w:rPr>
        <w:t>Log</w:t>
      </w:r>
      <w:r w:rsidRPr="6EA3C7AF" w:rsidR="122BEA9F">
        <w:rPr>
          <w:rFonts w:ascii="Times New Roman" w:hAnsi="Times New Roman" w:cs="Times New Roman"/>
        </w:rPr>
        <w:t>l</w:t>
      </w:r>
      <w:r w:rsidRPr="6EA3C7AF" w:rsidR="4C91A86A">
        <w:rPr>
          <w:rFonts w:ascii="Times New Roman" w:hAnsi="Times New Roman" w:cs="Times New Roman"/>
        </w:rPr>
        <w:t>isci</w:t>
      </w:r>
    </w:p>
    <w:p w:rsidR="00755454" w:rsidP="00755454" w:rsidRDefault="00755454" w14:paraId="320726FA" w14:textId="030B1A7A">
      <w:pPr>
        <w:spacing w:after="0"/>
        <w:jc w:val="center"/>
        <w:rPr>
          <w:rFonts w:ascii="Times New Roman" w:hAnsi="Times New Roman" w:cs="Times New Roman"/>
        </w:rPr>
      </w:pPr>
      <w:r w:rsidRPr="30E33ACD" w:rsidR="06CF8B02">
        <w:rPr>
          <w:rFonts w:ascii="Times New Roman" w:hAnsi="Times New Roman" w:cs="Times New Roman"/>
        </w:rPr>
        <w:t xml:space="preserve">Andrew </w:t>
      </w:r>
      <w:r w:rsidRPr="30E33ACD" w:rsidR="6ED21EAF">
        <w:rPr>
          <w:rFonts w:ascii="Times New Roman" w:hAnsi="Times New Roman" w:cs="Times New Roman"/>
        </w:rPr>
        <w:t>Golas</w:t>
      </w:r>
    </w:p>
    <w:p w:rsidR="00755454" w:rsidP="00755454" w:rsidRDefault="00755454" w14:paraId="03351F26" w14:textId="3F87B31E">
      <w:pPr>
        <w:spacing w:after="0"/>
        <w:jc w:val="center"/>
        <w:rPr>
          <w:rFonts w:ascii="Times New Roman" w:hAnsi="Times New Roman" w:cs="Times New Roman"/>
        </w:rPr>
      </w:pPr>
      <w:r w:rsidRPr="3484C259" w:rsidR="00755454">
        <w:rPr>
          <w:rFonts w:ascii="Times New Roman" w:hAnsi="Times New Roman" w:cs="Times New Roman"/>
        </w:rPr>
        <w:t xml:space="preserve">Sen </w:t>
      </w:r>
      <w:r w:rsidRPr="3484C259" w:rsidR="52F7954F">
        <w:rPr>
          <w:rFonts w:ascii="Times New Roman" w:hAnsi="Times New Roman" w:cs="Times New Roman"/>
        </w:rPr>
        <w:t xml:space="preserve">Peter </w:t>
      </w:r>
      <w:r w:rsidRPr="3484C259" w:rsidR="00755454">
        <w:rPr>
          <w:rFonts w:ascii="Times New Roman" w:hAnsi="Times New Roman" w:cs="Times New Roman"/>
        </w:rPr>
        <w:t>Durant</w:t>
      </w:r>
    </w:p>
    <w:p w:rsidR="00755454" w:rsidP="00755454" w:rsidRDefault="00755454" w14:paraId="33602BD4" w14:textId="158CC824">
      <w:pPr>
        <w:spacing w:after="0"/>
        <w:jc w:val="center"/>
        <w:rPr>
          <w:rFonts w:ascii="Times New Roman" w:hAnsi="Times New Roman" w:cs="Times New Roman"/>
        </w:rPr>
      </w:pPr>
      <w:r>
        <w:rPr>
          <w:rFonts w:ascii="Times New Roman" w:hAnsi="Times New Roman" w:cs="Times New Roman"/>
        </w:rPr>
        <w:t>Karen Riani</w:t>
      </w:r>
    </w:p>
    <w:p w:rsidR="00755454" w:rsidP="00755454" w:rsidRDefault="00755454" w14:paraId="3794C9CC" w14:textId="401B45F6">
      <w:pPr>
        <w:spacing w:after="0"/>
        <w:jc w:val="center"/>
        <w:rPr>
          <w:rFonts w:ascii="Times New Roman" w:hAnsi="Times New Roman" w:cs="Times New Roman"/>
        </w:rPr>
      </w:pPr>
      <w:r>
        <w:rPr>
          <w:rFonts w:ascii="Times New Roman" w:hAnsi="Times New Roman" w:cs="Times New Roman"/>
        </w:rPr>
        <w:t>Craig Dauphinais</w:t>
      </w:r>
    </w:p>
    <w:p w:rsidR="00755454" w:rsidP="00755454" w:rsidRDefault="00755454" w14:paraId="517CF5D8" w14:textId="67B6ACD1">
      <w:pPr>
        <w:spacing w:after="0"/>
        <w:jc w:val="center"/>
        <w:rPr>
          <w:rFonts w:ascii="Times New Roman" w:hAnsi="Times New Roman" w:cs="Times New Roman"/>
        </w:rPr>
      </w:pPr>
      <w:r>
        <w:rPr>
          <w:rFonts w:ascii="Times New Roman" w:hAnsi="Times New Roman" w:cs="Times New Roman"/>
        </w:rPr>
        <w:t>Lisa Sears</w:t>
      </w:r>
    </w:p>
    <w:p w:rsidR="00755454" w:rsidP="00755454" w:rsidRDefault="00755454" w14:paraId="2A89C6B3" w14:textId="583489B9">
      <w:pPr>
        <w:spacing w:after="0"/>
        <w:jc w:val="center"/>
        <w:rPr>
          <w:rFonts w:ascii="Times New Roman" w:hAnsi="Times New Roman" w:cs="Times New Roman"/>
        </w:rPr>
      </w:pPr>
      <w:r>
        <w:rPr>
          <w:rFonts w:ascii="Times New Roman" w:hAnsi="Times New Roman" w:cs="Times New Roman"/>
        </w:rPr>
        <w:t>Ross Seavy</w:t>
      </w:r>
    </w:p>
    <w:p w:rsidR="00755454" w:rsidP="00755454" w:rsidRDefault="00755454" w14:paraId="3F0B6127" w14:textId="162C39F1">
      <w:pPr>
        <w:spacing w:after="0"/>
        <w:jc w:val="center"/>
        <w:rPr>
          <w:rFonts w:ascii="Times New Roman" w:hAnsi="Times New Roman" w:cs="Times New Roman"/>
        </w:rPr>
      </w:pPr>
      <w:r w:rsidRPr="6EA3C7AF" w:rsidR="28355630">
        <w:rPr>
          <w:rFonts w:ascii="Times New Roman" w:hAnsi="Times New Roman" w:cs="Times New Roman"/>
        </w:rPr>
        <w:t>Jason Robert</w:t>
      </w:r>
      <w:r w:rsidRPr="6EA3C7AF" w:rsidR="7AD40A41">
        <w:rPr>
          <w:rFonts w:ascii="Times New Roman" w:hAnsi="Times New Roman" w:cs="Times New Roman"/>
        </w:rPr>
        <w:t>s</w:t>
      </w:r>
      <w:r w:rsidRPr="6EA3C7AF" w:rsidR="28355630">
        <w:rPr>
          <w:rFonts w:ascii="Times New Roman" w:hAnsi="Times New Roman" w:cs="Times New Roman"/>
        </w:rPr>
        <w:t>on</w:t>
      </w:r>
    </w:p>
    <w:p w:rsidR="00755454" w:rsidP="00755454" w:rsidRDefault="00755454" w14:paraId="2B182756" w14:textId="63123CCC">
      <w:pPr>
        <w:spacing w:after="0"/>
        <w:jc w:val="center"/>
        <w:rPr>
          <w:rFonts w:ascii="Times New Roman" w:hAnsi="Times New Roman" w:cs="Times New Roman"/>
        </w:rPr>
      </w:pPr>
      <w:r w:rsidRPr="6EA3C7AF" w:rsidR="28355630">
        <w:rPr>
          <w:rFonts w:ascii="Times New Roman" w:hAnsi="Times New Roman" w:cs="Times New Roman"/>
        </w:rPr>
        <w:t>Ann R</w:t>
      </w:r>
      <w:r w:rsidRPr="6EA3C7AF" w:rsidR="14123346">
        <w:rPr>
          <w:rFonts w:ascii="Times New Roman" w:hAnsi="Times New Roman" w:cs="Times New Roman"/>
        </w:rPr>
        <w:t>efo</w:t>
      </w:r>
      <w:r w:rsidRPr="6EA3C7AF" w:rsidR="28355630">
        <w:rPr>
          <w:rFonts w:ascii="Times New Roman" w:hAnsi="Times New Roman" w:cs="Times New Roman"/>
        </w:rPr>
        <w:t>lo</w:t>
      </w:r>
    </w:p>
    <w:p w:rsidR="00755454" w:rsidP="00755454" w:rsidRDefault="00755454" w14:paraId="3680D6F9" w14:textId="6756B3BE">
      <w:pPr>
        <w:spacing w:after="0"/>
        <w:jc w:val="center"/>
        <w:rPr>
          <w:rFonts w:ascii="Times New Roman" w:hAnsi="Times New Roman" w:cs="Times New Roman"/>
        </w:rPr>
      </w:pPr>
      <w:r>
        <w:rPr>
          <w:rFonts w:ascii="Times New Roman" w:hAnsi="Times New Roman" w:cs="Times New Roman"/>
        </w:rPr>
        <w:t xml:space="preserve">Kevin Cuff </w:t>
      </w:r>
    </w:p>
    <w:p w:rsidR="00755454" w:rsidP="00755454" w:rsidRDefault="00755454" w14:paraId="51399B0E" w14:textId="03C6A518">
      <w:pPr>
        <w:spacing w:after="0"/>
        <w:jc w:val="center"/>
        <w:rPr>
          <w:rFonts w:ascii="Times New Roman" w:hAnsi="Times New Roman" w:cs="Times New Roman"/>
        </w:rPr>
      </w:pPr>
      <w:r w:rsidRPr="6EA3C7AF" w:rsidR="28355630">
        <w:rPr>
          <w:rFonts w:ascii="Times New Roman" w:hAnsi="Times New Roman" w:cs="Times New Roman"/>
        </w:rPr>
        <w:t>Christopher Star</w:t>
      </w:r>
      <w:r w:rsidRPr="6EA3C7AF" w:rsidR="000504D5">
        <w:rPr>
          <w:rFonts w:ascii="Times New Roman" w:hAnsi="Times New Roman" w:cs="Times New Roman"/>
        </w:rPr>
        <w:t>k</w:t>
      </w:r>
    </w:p>
    <w:p w:rsidR="00755454" w:rsidP="00755454" w:rsidRDefault="00755454" w14:paraId="70A92626" w14:textId="6E5D2E1B">
      <w:pPr>
        <w:spacing w:after="0"/>
        <w:jc w:val="center"/>
        <w:rPr>
          <w:rFonts w:ascii="Times New Roman" w:hAnsi="Times New Roman" w:cs="Times New Roman"/>
        </w:rPr>
      </w:pPr>
      <w:r w:rsidRPr="6EA3C7AF" w:rsidR="28355630">
        <w:rPr>
          <w:rFonts w:ascii="Times New Roman" w:hAnsi="Times New Roman" w:cs="Times New Roman"/>
        </w:rPr>
        <w:t>Jackie Horigan</w:t>
      </w:r>
    </w:p>
    <w:p w:rsidR="00755454" w:rsidP="00755454" w:rsidRDefault="00755454" w14:paraId="6B93819B" w14:textId="3402DBE7">
      <w:pPr>
        <w:spacing w:after="0"/>
        <w:jc w:val="center"/>
        <w:rPr>
          <w:rFonts w:ascii="Times New Roman" w:hAnsi="Times New Roman" w:cs="Times New Roman"/>
        </w:rPr>
      </w:pPr>
      <w:r w:rsidRPr="3484C259" w:rsidR="00755454">
        <w:rPr>
          <w:rFonts w:ascii="Times New Roman" w:hAnsi="Times New Roman" w:cs="Times New Roman"/>
        </w:rPr>
        <w:t xml:space="preserve">Rep. </w:t>
      </w:r>
      <w:r w:rsidRPr="3484C259" w:rsidR="4061567A">
        <w:rPr>
          <w:rFonts w:ascii="Times New Roman" w:hAnsi="Times New Roman" w:cs="Times New Roman"/>
        </w:rPr>
        <w:t xml:space="preserve">John </w:t>
      </w:r>
      <w:r w:rsidRPr="3484C259" w:rsidR="00755454">
        <w:rPr>
          <w:rFonts w:ascii="Times New Roman" w:hAnsi="Times New Roman" w:cs="Times New Roman"/>
        </w:rPr>
        <w:t>Marsi</w:t>
      </w:r>
    </w:p>
    <w:p w:rsidR="00755454" w:rsidP="00755454" w:rsidRDefault="00755454" w14:paraId="02F9DF67" w14:textId="1A209EC3">
      <w:pPr>
        <w:spacing w:after="0"/>
        <w:jc w:val="center"/>
        <w:rPr>
          <w:rFonts w:ascii="Times New Roman" w:hAnsi="Times New Roman" w:cs="Times New Roman"/>
        </w:rPr>
      </w:pPr>
      <w:r w:rsidRPr="18A2316B" w:rsidR="00755454">
        <w:rPr>
          <w:rFonts w:ascii="Times New Roman" w:hAnsi="Times New Roman" w:cs="Times New Roman"/>
        </w:rPr>
        <w:t>Sen</w:t>
      </w:r>
      <w:r w:rsidRPr="18A2316B" w:rsidR="0A5F3D0E">
        <w:rPr>
          <w:rFonts w:ascii="Times New Roman" w:hAnsi="Times New Roman" w:cs="Times New Roman"/>
        </w:rPr>
        <w:t>.</w:t>
      </w:r>
      <w:r w:rsidRPr="18A2316B" w:rsidR="6ED21EAF">
        <w:rPr>
          <w:rFonts w:ascii="Times New Roman" w:hAnsi="Times New Roman" w:cs="Times New Roman"/>
        </w:rPr>
        <w:t xml:space="preserve"> </w:t>
      </w:r>
      <w:r w:rsidRPr="18A2316B" w:rsidR="66E8B28D">
        <w:rPr>
          <w:rFonts w:ascii="Times New Roman" w:hAnsi="Times New Roman" w:cs="Times New Roman"/>
        </w:rPr>
        <w:t>Paul</w:t>
      </w:r>
      <w:r w:rsidRPr="18A2316B" w:rsidR="00755454">
        <w:rPr>
          <w:rFonts w:ascii="Times New Roman" w:hAnsi="Times New Roman" w:cs="Times New Roman"/>
        </w:rPr>
        <w:t xml:space="preserve"> Feeney </w:t>
      </w:r>
    </w:p>
    <w:p w:rsidR="18A2316B" w:rsidP="18A2316B" w:rsidRDefault="18A2316B" w14:paraId="0EE82700" w14:textId="1A7C4E58">
      <w:pPr>
        <w:spacing w:after="0"/>
        <w:jc w:val="center"/>
        <w:rPr>
          <w:rFonts w:ascii="Times New Roman" w:hAnsi="Times New Roman" w:cs="Times New Roman"/>
        </w:rPr>
      </w:pPr>
    </w:p>
    <w:p w:rsidR="2DDC7AFB" w:rsidP="18A2316B" w:rsidRDefault="2DDC7AFB" w14:paraId="49281727" w14:textId="11F77E33">
      <w:pPr>
        <w:spacing w:after="0"/>
        <w:jc w:val="center"/>
        <w:rPr>
          <w:rFonts w:ascii="Times New Roman" w:hAnsi="Times New Roman" w:cs="Times New Roman"/>
        </w:rPr>
      </w:pPr>
      <w:r w:rsidRPr="18A2316B" w:rsidR="2DDC7AFB">
        <w:rPr>
          <w:rFonts w:ascii="Times New Roman" w:hAnsi="Times New Roman" w:cs="Times New Roman"/>
        </w:rPr>
        <w:t>Not present:</w:t>
      </w:r>
    </w:p>
    <w:p w:rsidR="00755454" w:rsidP="00755454" w:rsidRDefault="00755454" w14:paraId="511555F7" w14:textId="6415E475">
      <w:pPr>
        <w:spacing w:after="0"/>
        <w:jc w:val="center"/>
        <w:rPr>
          <w:rFonts w:ascii="Times New Roman" w:hAnsi="Times New Roman" w:cs="Times New Roman"/>
        </w:rPr>
      </w:pPr>
      <w:r w:rsidRPr="18A2316B" w:rsidR="00755454">
        <w:rPr>
          <w:rFonts w:ascii="Times New Roman" w:hAnsi="Times New Roman" w:cs="Times New Roman"/>
        </w:rPr>
        <w:t xml:space="preserve">Rep. </w:t>
      </w:r>
      <w:r w:rsidRPr="18A2316B" w:rsidR="65B85DD0">
        <w:rPr>
          <w:rFonts w:ascii="Times New Roman" w:hAnsi="Times New Roman" w:cs="Times New Roman"/>
        </w:rPr>
        <w:t xml:space="preserve">James </w:t>
      </w:r>
      <w:r w:rsidRPr="18A2316B" w:rsidR="00755454">
        <w:rPr>
          <w:rFonts w:ascii="Times New Roman" w:hAnsi="Times New Roman" w:cs="Times New Roman"/>
        </w:rPr>
        <w:t xml:space="preserve">Murphy </w:t>
      </w:r>
    </w:p>
    <w:p w:rsidR="00755454" w:rsidP="00755454" w:rsidRDefault="00755454" w14:paraId="5C121775" w14:textId="77777777">
      <w:pPr>
        <w:spacing w:after="0"/>
        <w:jc w:val="center"/>
        <w:rPr>
          <w:rFonts w:ascii="Times New Roman" w:hAnsi="Times New Roman" w:cs="Times New Roman"/>
        </w:rPr>
      </w:pPr>
    </w:p>
    <w:p w:rsidR="00755454" w:rsidP="00755454" w:rsidRDefault="00755454" w14:paraId="4906664D" w14:textId="77777777">
      <w:pPr>
        <w:spacing w:after="0"/>
        <w:jc w:val="center"/>
        <w:rPr>
          <w:rFonts w:ascii="Times New Roman" w:hAnsi="Times New Roman" w:cs="Times New Roman"/>
        </w:rPr>
      </w:pPr>
    </w:p>
    <w:p w:rsidR="00755454" w:rsidP="00755454" w:rsidRDefault="00755454" w14:paraId="39EBB74C" w14:textId="77777777">
      <w:pPr>
        <w:spacing w:after="0"/>
        <w:jc w:val="center"/>
        <w:rPr>
          <w:rFonts w:ascii="Times New Roman" w:hAnsi="Times New Roman" w:cs="Times New Roman"/>
        </w:rPr>
      </w:pPr>
    </w:p>
    <w:p w:rsidR="1895145C" w:rsidP="18A2316B" w:rsidRDefault="1895145C" w14:paraId="48743BE5" w14:textId="430D93F3">
      <w:pPr>
        <w:pStyle w:val="Heading3"/>
        <w:spacing w:before="281" w:beforeAutospacing="off" w:after="281" w:afterAutospacing="off"/>
        <w:jc w:val="left"/>
      </w:pPr>
      <w:r w:rsidRPr="18A2316B" w:rsidR="1895145C">
        <w:rPr>
          <w:rFonts w:ascii="Times New Roman" w:hAnsi="Times New Roman" w:eastAsia="Times New Roman" w:cs="Times New Roman"/>
          <w:b w:val="1"/>
          <w:bCs w:val="1"/>
          <w:noProof w:val="0"/>
          <w:sz w:val="28"/>
          <w:szCs w:val="28"/>
          <w:lang w:val="en-US"/>
        </w:rPr>
        <w:t>Call to Order</w:t>
      </w:r>
    </w:p>
    <w:p w:rsidR="1895145C" w:rsidP="18A2316B" w:rsidRDefault="1895145C" w14:paraId="2078915D" w14:textId="4816890D">
      <w:pPr>
        <w:spacing w:before="240" w:beforeAutospacing="off" w:after="240" w:afterAutospacing="off"/>
        <w:jc w:val="left"/>
      </w:pPr>
      <w:r w:rsidRPr="18A2316B" w:rsidR="1895145C">
        <w:rPr>
          <w:rFonts w:ascii="Times New Roman" w:hAnsi="Times New Roman" w:eastAsia="Times New Roman" w:cs="Times New Roman"/>
          <w:noProof w:val="0"/>
          <w:sz w:val="24"/>
          <w:szCs w:val="24"/>
          <w:lang w:val="en-US"/>
        </w:rPr>
        <w:t xml:space="preserve">Secretary Augustus called the meeting to order at 10:06 a.m. He welcomed members to the first meeting of the Crumbling Concrete Working Group and asked Philip Dearing to conduct the roll call </w:t>
      </w:r>
      <w:r w:rsidRPr="18A2316B" w:rsidR="1895145C">
        <w:rPr>
          <w:rFonts w:ascii="Times New Roman" w:hAnsi="Times New Roman" w:eastAsia="Times New Roman" w:cs="Times New Roman"/>
          <w:noProof w:val="0"/>
          <w:sz w:val="24"/>
          <w:szCs w:val="24"/>
          <w:lang w:val="en-US"/>
        </w:rPr>
        <w:t>in accordance with</w:t>
      </w:r>
      <w:r w:rsidRPr="18A2316B" w:rsidR="1895145C">
        <w:rPr>
          <w:rFonts w:ascii="Times New Roman" w:hAnsi="Times New Roman" w:eastAsia="Times New Roman" w:cs="Times New Roman"/>
          <w:noProof w:val="0"/>
          <w:sz w:val="24"/>
          <w:szCs w:val="24"/>
          <w:lang w:val="en-US"/>
        </w:rPr>
        <w:t xml:space="preserve"> the Open Meeting Law. Secretary Augustus </w:t>
      </w:r>
      <w:r w:rsidRPr="18A2316B" w:rsidR="1895145C">
        <w:rPr>
          <w:rFonts w:ascii="Times New Roman" w:hAnsi="Times New Roman" w:eastAsia="Times New Roman" w:cs="Times New Roman"/>
          <w:noProof w:val="0"/>
          <w:sz w:val="24"/>
          <w:szCs w:val="24"/>
          <w:lang w:val="en-US"/>
        </w:rPr>
        <w:t>requested</w:t>
      </w:r>
      <w:r w:rsidRPr="18A2316B" w:rsidR="1895145C">
        <w:rPr>
          <w:rFonts w:ascii="Times New Roman" w:hAnsi="Times New Roman" w:eastAsia="Times New Roman" w:cs="Times New Roman"/>
          <w:noProof w:val="0"/>
          <w:sz w:val="24"/>
          <w:szCs w:val="24"/>
          <w:lang w:val="en-US"/>
        </w:rPr>
        <w:t xml:space="preserve"> that Mr. Dearing read the names of members </w:t>
      </w:r>
      <w:r w:rsidRPr="18A2316B" w:rsidR="1895145C">
        <w:rPr>
          <w:rFonts w:ascii="Times New Roman" w:hAnsi="Times New Roman" w:eastAsia="Times New Roman" w:cs="Times New Roman"/>
          <w:noProof w:val="0"/>
          <w:sz w:val="24"/>
          <w:szCs w:val="24"/>
          <w:lang w:val="en-US"/>
        </w:rPr>
        <w:t>participating</w:t>
      </w:r>
      <w:r w:rsidRPr="18A2316B" w:rsidR="1895145C">
        <w:rPr>
          <w:rFonts w:ascii="Times New Roman" w:hAnsi="Times New Roman" w:eastAsia="Times New Roman" w:cs="Times New Roman"/>
          <w:noProof w:val="0"/>
          <w:sz w:val="24"/>
          <w:szCs w:val="24"/>
          <w:lang w:val="en-US"/>
        </w:rPr>
        <w:t xml:space="preserve"> remotely and again thanked all members for their participation in what he described as an important and urgent discussion.</w:t>
      </w:r>
    </w:p>
    <w:p w:rsidR="1895145C" w:rsidP="18A2316B" w:rsidRDefault="1895145C" w14:paraId="51A6194E" w14:textId="5244E886">
      <w:pPr>
        <w:pStyle w:val="Heading3"/>
        <w:spacing w:before="281" w:beforeAutospacing="off" w:after="281" w:afterAutospacing="off"/>
        <w:jc w:val="left"/>
      </w:pPr>
      <w:r w:rsidRPr="18A2316B" w:rsidR="1895145C">
        <w:rPr>
          <w:rFonts w:ascii="Times New Roman" w:hAnsi="Times New Roman" w:eastAsia="Times New Roman" w:cs="Times New Roman"/>
          <w:b w:val="1"/>
          <w:bCs w:val="1"/>
          <w:noProof w:val="0"/>
          <w:sz w:val="28"/>
          <w:szCs w:val="28"/>
          <w:lang w:val="en-US"/>
        </w:rPr>
        <w:t>Opening Remarks and Introductions</w:t>
      </w:r>
    </w:p>
    <w:p w:rsidR="1895145C" w:rsidP="18A2316B" w:rsidRDefault="1895145C" w14:paraId="75E96F2C" w14:textId="2074E5E8">
      <w:pPr>
        <w:spacing w:before="240" w:beforeAutospacing="off" w:after="240" w:afterAutospacing="off"/>
        <w:jc w:val="left"/>
      </w:pPr>
      <w:r w:rsidRPr="18A2316B" w:rsidR="1895145C">
        <w:rPr>
          <w:rFonts w:ascii="Times New Roman" w:hAnsi="Times New Roman" w:eastAsia="Times New Roman" w:cs="Times New Roman"/>
          <w:noProof w:val="0"/>
          <w:sz w:val="24"/>
          <w:szCs w:val="24"/>
          <w:lang w:val="en-US"/>
        </w:rPr>
        <w:t xml:space="preserve">Secretary Augustus introduced himself and </w:t>
      </w:r>
      <w:r w:rsidRPr="18A2316B" w:rsidR="1895145C">
        <w:rPr>
          <w:rFonts w:ascii="Times New Roman" w:hAnsi="Times New Roman" w:eastAsia="Times New Roman" w:cs="Times New Roman"/>
          <w:noProof w:val="0"/>
          <w:sz w:val="24"/>
          <w:szCs w:val="24"/>
          <w:lang w:val="en-US"/>
        </w:rPr>
        <w:t>stated</w:t>
      </w:r>
      <w:r w:rsidRPr="18A2316B" w:rsidR="1895145C">
        <w:rPr>
          <w:rFonts w:ascii="Times New Roman" w:hAnsi="Times New Roman" w:eastAsia="Times New Roman" w:cs="Times New Roman"/>
          <w:noProof w:val="0"/>
          <w:sz w:val="24"/>
          <w:szCs w:val="24"/>
          <w:lang w:val="en-US"/>
        </w:rPr>
        <w:t xml:space="preserve"> that he had met with </w:t>
      </w:r>
      <w:r w:rsidRPr="18A2316B" w:rsidR="1895145C">
        <w:rPr>
          <w:rFonts w:ascii="Times New Roman" w:hAnsi="Times New Roman" w:eastAsia="Times New Roman" w:cs="Times New Roman"/>
          <w:noProof w:val="0"/>
          <w:sz w:val="24"/>
          <w:szCs w:val="24"/>
          <w:lang w:val="en-US"/>
        </w:rPr>
        <w:t>a number of</w:t>
      </w:r>
      <w:r w:rsidRPr="18A2316B" w:rsidR="1895145C">
        <w:rPr>
          <w:rFonts w:ascii="Times New Roman" w:hAnsi="Times New Roman" w:eastAsia="Times New Roman" w:cs="Times New Roman"/>
          <w:noProof w:val="0"/>
          <w:sz w:val="24"/>
          <w:szCs w:val="24"/>
          <w:lang w:val="en-US"/>
        </w:rPr>
        <w:t xml:space="preserve"> homeowners </w:t>
      </w:r>
      <w:r w:rsidRPr="18A2316B" w:rsidR="1895145C">
        <w:rPr>
          <w:rFonts w:ascii="Times New Roman" w:hAnsi="Times New Roman" w:eastAsia="Times New Roman" w:cs="Times New Roman"/>
          <w:noProof w:val="0"/>
          <w:sz w:val="24"/>
          <w:szCs w:val="24"/>
          <w:lang w:val="en-US"/>
        </w:rPr>
        <w:t>impacted</w:t>
      </w:r>
      <w:r w:rsidRPr="18A2316B" w:rsidR="1895145C">
        <w:rPr>
          <w:rFonts w:ascii="Times New Roman" w:hAnsi="Times New Roman" w:eastAsia="Times New Roman" w:cs="Times New Roman"/>
          <w:noProof w:val="0"/>
          <w:sz w:val="24"/>
          <w:szCs w:val="24"/>
          <w:lang w:val="en-US"/>
        </w:rPr>
        <w:t xml:space="preserve"> by crumbling concrete foundations </w:t>
      </w:r>
      <w:r w:rsidRPr="18A2316B" w:rsidR="1895145C">
        <w:rPr>
          <w:rFonts w:ascii="Times New Roman" w:hAnsi="Times New Roman" w:eastAsia="Times New Roman" w:cs="Times New Roman"/>
          <w:noProof w:val="0"/>
          <w:sz w:val="24"/>
          <w:szCs w:val="24"/>
          <w:lang w:val="en-US"/>
        </w:rPr>
        <w:t>in order to</w:t>
      </w:r>
      <w:r w:rsidRPr="18A2316B" w:rsidR="1895145C">
        <w:rPr>
          <w:rFonts w:ascii="Times New Roman" w:hAnsi="Times New Roman" w:eastAsia="Times New Roman" w:cs="Times New Roman"/>
          <w:noProof w:val="0"/>
          <w:sz w:val="24"/>
          <w:szCs w:val="24"/>
          <w:lang w:val="en-US"/>
        </w:rPr>
        <w:t xml:space="preserve"> better understand the personal and financial consequences faced by affected families. He noted that he had also learned about steps taken by Connecticut to address this issue and expressed his hope that the Working Group would help </w:t>
      </w:r>
      <w:r w:rsidRPr="18A2316B" w:rsidR="1895145C">
        <w:rPr>
          <w:rFonts w:ascii="Times New Roman" w:hAnsi="Times New Roman" w:eastAsia="Times New Roman" w:cs="Times New Roman"/>
          <w:noProof w:val="0"/>
          <w:sz w:val="24"/>
          <w:szCs w:val="24"/>
          <w:lang w:val="en-US"/>
        </w:rPr>
        <w:t>identify</w:t>
      </w:r>
      <w:r w:rsidRPr="18A2316B" w:rsidR="1895145C">
        <w:rPr>
          <w:rFonts w:ascii="Times New Roman" w:hAnsi="Times New Roman" w:eastAsia="Times New Roman" w:cs="Times New Roman"/>
          <w:noProof w:val="0"/>
          <w:sz w:val="24"/>
          <w:szCs w:val="24"/>
          <w:lang w:val="en-US"/>
        </w:rPr>
        <w:t xml:space="preserve"> meaningful relief for Massachusetts homeowners. He then asked members to introduce themselves and share their perspectives and goals for the Working Group. Each member then went around the room and introduced their background and why they were passionate about the topic. </w:t>
      </w:r>
    </w:p>
    <w:p w:rsidR="5A7A613D" w:rsidP="18A2316B" w:rsidRDefault="5A7A613D" w14:paraId="09D9AE58" w14:textId="7F6C46AE">
      <w:pPr>
        <w:pStyle w:val="Heading3"/>
        <w:spacing w:before="281" w:beforeAutospacing="off" w:after="281" w:afterAutospacing="off"/>
        <w:jc w:val="left"/>
      </w:pPr>
      <w:r w:rsidRPr="18A2316B" w:rsidR="5A7A613D">
        <w:rPr>
          <w:rFonts w:ascii="Times New Roman" w:hAnsi="Times New Roman" w:eastAsia="Times New Roman" w:cs="Times New Roman"/>
          <w:b w:val="1"/>
          <w:bCs w:val="1"/>
          <w:noProof w:val="0"/>
          <w:sz w:val="28"/>
          <w:szCs w:val="28"/>
          <w:lang w:val="en-US"/>
        </w:rPr>
        <w:t>Background Presentation</w:t>
      </w:r>
    </w:p>
    <w:p w:rsidR="5A7A613D" w:rsidP="18A2316B" w:rsidRDefault="5A7A613D" w14:paraId="26FEAD02" w14:textId="380579CE">
      <w:pPr>
        <w:spacing w:before="240" w:beforeAutospacing="off" w:after="240" w:afterAutospacing="off"/>
        <w:jc w:val="left"/>
      </w:pPr>
      <w:r w:rsidRPr="18A2316B" w:rsidR="5A7A613D">
        <w:rPr>
          <w:rFonts w:ascii="Times New Roman" w:hAnsi="Times New Roman" w:eastAsia="Times New Roman" w:cs="Times New Roman"/>
          <w:noProof w:val="0"/>
          <w:sz w:val="24"/>
          <w:szCs w:val="24"/>
          <w:lang w:val="en-US"/>
        </w:rPr>
        <w:t>Secretary Augustus noted that he had recently visited Grafton and met with several members to discuss the history of the issue. He then invited Craig Dauphinais and Michelle Logisci to provide a brief overview.</w:t>
      </w:r>
    </w:p>
    <w:p w:rsidR="5A7A613D" w:rsidP="18A2316B" w:rsidRDefault="5A7A613D" w14:paraId="1B94C891" w14:textId="68C66284">
      <w:pPr>
        <w:spacing w:before="240" w:beforeAutospacing="off" w:after="240" w:afterAutospacing="off"/>
        <w:jc w:val="left"/>
      </w:pPr>
      <w:r w:rsidRPr="18A2316B" w:rsidR="5A7A613D">
        <w:rPr>
          <w:rFonts w:ascii="Times New Roman" w:hAnsi="Times New Roman" w:eastAsia="Times New Roman" w:cs="Times New Roman"/>
          <w:noProof w:val="0"/>
          <w:sz w:val="24"/>
          <w:szCs w:val="24"/>
          <w:lang w:val="en-US"/>
        </w:rPr>
        <w:t>Craig Dauphinais explained that pyrrhotite-related concrete deterioration was first identified in Connecticut in 2015 and that the concrete industry is highly localized due to transportation constraints. He noted that concrete supplied from Stafford Springs, Connecticut, had also been used in Massachusetts, with the first Massachusetts case identified in Longmeadow in 2017. He described public forums that revealed the breadth of impact and referenced a 2019 commission that concluded the problem extended across southern, central, and western Massachusetts, later expanding into Worcester County with identification of an additional aggregate source. Although the sale of that material had been stopped, Mr. Dauphinais emphasized that deterioration can take 25 years or more to appear, indicating a long-term challenge. He stated that his company now conducts extensive testing and has encouraged other producers to adopt early testing protocols, noting that the issue spans multiple building types and that the mineral’s risks were unknown for many years.</w:t>
      </w:r>
    </w:p>
    <w:p w:rsidR="5A7A613D" w:rsidP="18A2316B" w:rsidRDefault="5A7A613D" w14:paraId="6B80F58B" w14:textId="18EF8CFC">
      <w:pPr>
        <w:spacing w:before="240" w:beforeAutospacing="off" w:after="240" w:afterAutospacing="off"/>
        <w:jc w:val="left"/>
      </w:pPr>
      <w:r w:rsidRPr="18A2316B" w:rsidR="5A7A613D">
        <w:rPr>
          <w:rFonts w:ascii="Times New Roman" w:hAnsi="Times New Roman" w:eastAsia="Times New Roman" w:cs="Times New Roman"/>
          <w:noProof w:val="0"/>
          <w:sz w:val="24"/>
          <w:szCs w:val="24"/>
          <w:lang w:val="en-US"/>
        </w:rPr>
        <w:t>Michelle Logisci thanked participants and emphasized that the current situation resulted from the lived experiences of impacted homeowners. She provided examples of individuals unable to sell or move, or unable to leave assets to family members, due to crumbling foundations. She stated that she learned her home was impacted in 2017, identified others by 2018, and helped organize the first public forum in September 2018. She described subsequent advocacy efforts, including legislative briefings, hearings, and a December 2019 report with three recommendations related to licensing, testing reimbursements, and insurance protections. Ms. Logisci noted that advocacy for funding remains ongoing, that a Facebook group now includes approximately 2,800 members, and that the primary long-term goal is creation of a captive insurance program. She emphasized that replacement is the only remedy, that damage worsens over time, and that the issue affects at least 45 municipalities statewide, with new communities continuing to be identified.</w:t>
      </w:r>
    </w:p>
    <w:p w:rsidR="5A7A613D" w:rsidP="18A2316B" w:rsidRDefault="5A7A613D" w14:paraId="5EEA56D0" w14:textId="28F2F830">
      <w:pPr>
        <w:spacing w:before="240" w:beforeAutospacing="off" w:after="240" w:afterAutospacing="off"/>
        <w:jc w:val="left"/>
      </w:pPr>
      <w:r w:rsidRPr="18A2316B" w:rsidR="5A7A613D">
        <w:rPr>
          <w:rFonts w:ascii="Times New Roman" w:hAnsi="Times New Roman" w:eastAsia="Times New Roman" w:cs="Times New Roman"/>
          <w:noProof w:val="0"/>
          <w:sz w:val="24"/>
          <w:szCs w:val="24"/>
          <w:lang w:val="en-US"/>
        </w:rPr>
        <w:t>Ms. Logisci further explained that testing has confirmed multiple concrete sources beyond Connecticut, including sources in Winchendon, Dracut, and Holden/Rutland, with additional sources likely unidentified. She described the absence of negligence findings due to the mineral’s previously unknown risks and noted that Massachusetts currently lacks a program to assist homeowners. She reported that replacement costs often exceed $200,000, forcing many homeowners to draw on retirement savings, and contrasted this with Connecticut’s lower average costs due to programmatic support. She also discussed property tax abatements and shared that her own property value had been reduced by 60 percent.</w:t>
      </w:r>
    </w:p>
    <w:p w:rsidR="5A7A613D" w:rsidP="18A2316B" w:rsidRDefault="5A7A613D" w14:paraId="3CC7DDE6" w14:textId="36EF7195">
      <w:pPr>
        <w:spacing w:before="240" w:beforeAutospacing="off" w:after="240" w:afterAutospacing="off"/>
        <w:jc w:val="left"/>
      </w:pPr>
      <w:r w:rsidRPr="18A2316B" w:rsidR="5A7A613D">
        <w:rPr>
          <w:rFonts w:ascii="Times New Roman" w:hAnsi="Times New Roman" w:eastAsia="Times New Roman" w:cs="Times New Roman"/>
          <w:noProof w:val="0"/>
          <w:sz w:val="24"/>
          <w:szCs w:val="24"/>
          <w:lang w:val="en-US"/>
        </w:rPr>
        <w:t>Ms. Logisci concluded by stating that the next step must be implementation and funding of a crumbling foundation program and expressed hope that the Working Group would help deliver a solution for both homeowners and the Commonwealth.</w:t>
      </w:r>
    </w:p>
    <w:p w:rsidR="1F64598F" w:rsidP="18A2316B" w:rsidRDefault="1F64598F" w14:paraId="655975EE" w14:textId="7A42AC47">
      <w:pPr>
        <w:pStyle w:val="Heading3"/>
        <w:spacing w:before="281" w:beforeAutospacing="off" w:after="281" w:afterAutospacing="off"/>
        <w:jc w:val="left"/>
      </w:pPr>
      <w:r w:rsidRPr="18A2316B" w:rsidR="1F64598F">
        <w:rPr>
          <w:rFonts w:ascii="Times New Roman" w:hAnsi="Times New Roman" w:eastAsia="Times New Roman" w:cs="Times New Roman"/>
          <w:b w:val="1"/>
          <w:bCs w:val="1"/>
          <w:noProof w:val="0"/>
          <w:sz w:val="28"/>
          <w:szCs w:val="28"/>
          <w:lang w:val="en-US"/>
        </w:rPr>
        <w:t>Discussion and Questions</w:t>
      </w:r>
    </w:p>
    <w:p w:rsidR="1F64598F" w:rsidP="18A2316B" w:rsidRDefault="1F64598F" w14:paraId="63119709" w14:textId="22C37B97">
      <w:pPr>
        <w:spacing w:before="240" w:beforeAutospacing="off" w:after="240" w:afterAutospacing="off"/>
        <w:jc w:val="left"/>
      </w:pPr>
      <w:r w:rsidRPr="18A2316B" w:rsidR="1F64598F">
        <w:rPr>
          <w:rFonts w:ascii="Times New Roman" w:hAnsi="Times New Roman" w:eastAsia="Times New Roman" w:cs="Times New Roman"/>
          <w:noProof w:val="0"/>
          <w:sz w:val="24"/>
          <w:szCs w:val="24"/>
          <w:lang w:val="en-US"/>
        </w:rPr>
        <w:t>Secretary Augustus opened the floor for questions.</w:t>
      </w:r>
    </w:p>
    <w:p w:rsidR="1F64598F" w:rsidP="18A2316B" w:rsidRDefault="1F64598F" w14:paraId="31BF346C" w14:textId="2BE854B7">
      <w:pPr>
        <w:spacing w:before="240" w:beforeAutospacing="off" w:after="240" w:afterAutospacing="off"/>
        <w:jc w:val="left"/>
      </w:pPr>
      <w:r w:rsidRPr="18A2316B" w:rsidR="1F64598F">
        <w:rPr>
          <w:rFonts w:ascii="Times New Roman" w:hAnsi="Times New Roman" w:eastAsia="Times New Roman" w:cs="Times New Roman"/>
          <w:noProof w:val="0"/>
          <w:sz w:val="24"/>
          <w:szCs w:val="24"/>
          <w:lang w:val="en-US"/>
        </w:rPr>
        <w:t>Senator Durant asked Craig Dauphinais to explain testing procedures and timelines. Mr. Dauphinais described aggregate testing, concrete production testing, slump tests, and strength testing, noting that such quality control occurs daily for commercial projects. In response to follow-up questions, he stated that sampling and testing typically takes approximately 20 minutes but noted that residential foundations generally lack oversight. He explained that overwatering concrete weakens it and increases vulnerability, and that inspections of residential foundation pours are currently inadequate.</w:t>
      </w:r>
    </w:p>
    <w:p w:rsidR="1F64598F" w:rsidP="18A2316B" w:rsidRDefault="1F64598F" w14:paraId="7ED93443" w14:textId="08D3DE0D">
      <w:pPr>
        <w:spacing w:before="240" w:beforeAutospacing="off" w:after="240" w:afterAutospacing="off"/>
        <w:jc w:val="left"/>
      </w:pPr>
      <w:r w:rsidRPr="18A2316B" w:rsidR="1F64598F">
        <w:rPr>
          <w:rFonts w:ascii="Times New Roman" w:hAnsi="Times New Roman" w:eastAsia="Times New Roman" w:cs="Times New Roman"/>
          <w:noProof w:val="0"/>
          <w:sz w:val="24"/>
          <w:szCs w:val="24"/>
          <w:lang w:val="en-US"/>
        </w:rPr>
        <w:t>Secretary Augustus asked whether pyrrhotite could still pose a problem even with properly mixed concrete. Discussion followed regarding differing theories, including whether water-to-cement ratios are the primary driver and whether stronger mixes fully mitigate risk.</w:t>
      </w:r>
    </w:p>
    <w:p w:rsidR="1F64598F" w:rsidP="18A2316B" w:rsidRDefault="1F64598F" w14:paraId="4114BFF8" w14:textId="4CABBF1E">
      <w:pPr>
        <w:spacing w:before="240" w:beforeAutospacing="off" w:after="240" w:afterAutospacing="off"/>
        <w:jc w:val="left"/>
      </w:pPr>
      <w:r w:rsidRPr="18A2316B" w:rsidR="1F64598F">
        <w:rPr>
          <w:rFonts w:ascii="Times New Roman" w:hAnsi="Times New Roman" w:eastAsia="Times New Roman" w:cs="Times New Roman"/>
          <w:noProof w:val="0"/>
          <w:sz w:val="24"/>
          <w:szCs w:val="24"/>
          <w:lang w:val="en-US"/>
        </w:rPr>
        <w:t>Jason Robertson noted the lack of oversight for residential foundation pours and suggested requiring documentation such as batch tickets and tracking as part of the building permit process. He emphasized that on-site testing cannot detect pyrrhotite and that testing must occur prior to placement or through hardened samples.</w:t>
      </w:r>
    </w:p>
    <w:p w:rsidR="1F64598F" w:rsidP="18A2316B" w:rsidRDefault="1F64598F" w14:paraId="1F599985" w14:textId="394458BA">
      <w:pPr>
        <w:spacing w:before="240" w:beforeAutospacing="off" w:after="240" w:afterAutospacing="off"/>
        <w:jc w:val="left"/>
      </w:pPr>
      <w:r w:rsidRPr="18A2316B" w:rsidR="1F64598F">
        <w:rPr>
          <w:rFonts w:ascii="Times New Roman" w:hAnsi="Times New Roman" w:eastAsia="Times New Roman" w:cs="Times New Roman"/>
          <w:noProof w:val="0"/>
          <w:sz w:val="24"/>
          <w:szCs w:val="24"/>
          <w:lang w:val="en-US"/>
        </w:rPr>
        <w:t>Additional discussion addressed challenges in tracing responsibility due to incomplete permit information, the need for improved tracking of producers and contractors, and Connecticut’s requirements for batch documentation.</w:t>
      </w:r>
    </w:p>
    <w:p w:rsidR="1F64598F" w:rsidP="18A2316B" w:rsidRDefault="1F64598F" w14:paraId="610558F5" w14:textId="5CFF1DA7">
      <w:pPr>
        <w:pStyle w:val="Heading3"/>
        <w:spacing w:before="281" w:beforeAutospacing="off" w:after="281" w:afterAutospacing="off"/>
        <w:jc w:val="left"/>
      </w:pPr>
      <w:r w:rsidRPr="18A2316B" w:rsidR="1F64598F">
        <w:rPr>
          <w:rFonts w:ascii="Times New Roman" w:hAnsi="Times New Roman" w:eastAsia="Times New Roman" w:cs="Times New Roman"/>
          <w:b w:val="1"/>
          <w:bCs w:val="1"/>
          <w:noProof w:val="0"/>
          <w:sz w:val="28"/>
          <w:szCs w:val="28"/>
          <w:lang w:val="en-US"/>
        </w:rPr>
        <w:t>Review of Working Group Charge and Process</w:t>
      </w:r>
    </w:p>
    <w:p w:rsidR="1F64598F" w:rsidP="18A2316B" w:rsidRDefault="1F64598F" w14:paraId="6C3B5CC6" w14:textId="07183FE8">
      <w:pPr>
        <w:spacing w:before="240" w:beforeAutospacing="off" w:after="240" w:afterAutospacing="off"/>
        <w:jc w:val="left"/>
      </w:pPr>
      <w:r w:rsidRPr="18A2316B" w:rsidR="1F64598F">
        <w:rPr>
          <w:rFonts w:ascii="Times New Roman" w:hAnsi="Times New Roman" w:eastAsia="Times New Roman" w:cs="Times New Roman"/>
          <w:noProof w:val="0"/>
          <w:sz w:val="24"/>
          <w:szCs w:val="24"/>
          <w:lang w:val="en-US"/>
        </w:rPr>
        <w:t>Secretary Augustus asked Philip Dearing to review the charge of the Working Group. Mr. Dearing summarized the statutory charge, including development of solutions such as a captive insurance model, program administration, funding mechanisms, and consumer protection improvements.</w:t>
      </w:r>
    </w:p>
    <w:p w:rsidR="1F64598F" w:rsidP="18A2316B" w:rsidRDefault="1F64598F" w14:paraId="37FDAAD9" w14:textId="723A1ED1">
      <w:pPr>
        <w:spacing w:before="240" w:beforeAutospacing="off" w:after="240" w:afterAutospacing="off"/>
        <w:jc w:val="left"/>
      </w:pPr>
      <w:r w:rsidRPr="18A2316B" w:rsidR="1F64598F">
        <w:rPr>
          <w:rFonts w:ascii="Times New Roman" w:hAnsi="Times New Roman" w:eastAsia="Times New Roman" w:cs="Times New Roman"/>
          <w:noProof w:val="0"/>
          <w:sz w:val="24"/>
          <w:szCs w:val="24"/>
          <w:lang w:val="en-US"/>
        </w:rPr>
        <w:t>Secretary Augustus emphasized the urgency of the work and proposed a rapid schedule with approximately three full meetings, supplemented by smaller working groups convening between meetings. Members expressed agreement with this approach.</w:t>
      </w:r>
    </w:p>
    <w:p w:rsidR="1F64598F" w:rsidP="18A2316B" w:rsidRDefault="1F64598F" w14:paraId="56326144" w14:textId="07A86C8E">
      <w:pPr>
        <w:spacing w:before="240" w:beforeAutospacing="off" w:after="240" w:afterAutospacing="off"/>
        <w:jc w:val="left"/>
      </w:pPr>
      <w:r w:rsidRPr="18A2316B" w:rsidR="1F64598F">
        <w:rPr>
          <w:rFonts w:ascii="Times New Roman" w:hAnsi="Times New Roman" w:eastAsia="Times New Roman" w:cs="Times New Roman"/>
          <w:noProof w:val="0"/>
          <w:sz w:val="24"/>
          <w:szCs w:val="24"/>
          <w:lang w:val="en-US"/>
        </w:rPr>
        <w:t>Mr. Dearing stated that an initial survey would be distributed to collect existing ideas and determine member interest in subgroups. Secretary Augustus noted that future meetings would likely occur in December or January and that the Working Group aimed to complete recommendations by March in order to preserve legislative options.</w:t>
      </w:r>
    </w:p>
    <w:p w:rsidR="1F64598F" w:rsidP="18A2316B" w:rsidRDefault="1F64598F" w14:paraId="00F174AD" w14:textId="5E79B34E">
      <w:pPr>
        <w:pStyle w:val="Heading3"/>
        <w:spacing w:before="281" w:beforeAutospacing="off" w:after="281" w:afterAutospacing="off"/>
        <w:jc w:val="left"/>
      </w:pPr>
      <w:r w:rsidRPr="18A2316B" w:rsidR="1F64598F">
        <w:rPr>
          <w:rFonts w:ascii="Times New Roman" w:hAnsi="Times New Roman" w:eastAsia="Times New Roman" w:cs="Times New Roman"/>
          <w:b w:val="1"/>
          <w:bCs w:val="1"/>
          <w:noProof w:val="0"/>
          <w:sz w:val="28"/>
          <w:szCs w:val="28"/>
          <w:lang w:val="en-US"/>
        </w:rPr>
        <w:t>Adjournment</w:t>
      </w:r>
    </w:p>
    <w:p w:rsidR="1F64598F" w:rsidP="18A2316B" w:rsidRDefault="1F64598F" w14:paraId="2FF3889A" w14:textId="33D85419">
      <w:pPr>
        <w:spacing w:before="240" w:beforeAutospacing="off" w:after="240" w:afterAutospacing="off"/>
        <w:jc w:val="left"/>
      </w:pPr>
      <w:r w:rsidRPr="18A2316B" w:rsidR="1F64598F">
        <w:rPr>
          <w:rFonts w:ascii="Times New Roman" w:hAnsi="Times New Roman" w:eastAsia="Times New Roman" w:cs="Times New Roman"/>
          <w:noProof w:val="0"/>
          <w:sz w:val="24"/>
          <w:szCs w:val="24"/>
          <w:lang w:val="en-US"/>
        </w:rPr>
        <w:t>There being no further business, Secretary Augustus requested a motion to adjourn. Andrew Golas moved to adjourn, and Christopher Stark seconded the motion. Following a roll call conducted by Philip Dearing, the motion carried unanimously. The meeting adjourned at 11:10 a.m.</w:t>
      </w:r>
    </w:p>
    <w:p w:rsidR="18A2316B" w:rsidP="18A2316B" w:rsidRDefault="18A2316B" w14:paraId="79E35DDB" w14:textId="3257F810">
      <w:pPr>
        <w:pStyle w:val="Normal"/>
        <w:spacing w:before="240" w:beforeAutospacing="off" w:after="240" w:afterAutospacing="off"/>
        <w:jc w:val="left"/>
        <w:rPr>
          <w:rFonts w:ascii="Times New Roman" w:hAnsi="Times New Roman" w:cs="Times New Roman"/>
        </w:rPr>
      </w:pPr>
    </w:p>
    <w:sectPr w:rsidRPr="00755454" w:rsidR="00E4270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54"/>
    <w:rsid w:val="000100D0"/>
    <w:rsid w:val="000504D5"/>
    <w:rsid w:val="0006398E"/>
    <w:rsid w:val="000749F8"/>
    <w:rsid w:val="000A4E31"/>
    <w:rsid w:val="000D1303"/>
    <w:rsid w:val="001028E1"/>
    <w:rsid w:val="00124AA2"/>
    <w:rsid w:val="00125CD9"/>
    <w:rsid w:val="001B1D68"/>
    <w:rsid w:val="001B4BDC"/>
    <w:rsid w:val="001B51E7"/>
    <w:rsid w:val="001F0800"/>
    <w:rsid w:val="00241FD2"/>
    <w:rsid w:val="00242E33"/>
    <w:rsid w:val="00296CBE"/>
    <w:rsid w:val="00331D71"/>
    <w:rsid w:val="003674E5"/>
    <w:rsid w:val="003B243E"/>
    <w:rsid w:val="00446F7D"/>
    <w:rsid w:val="00460662"/>
    <w:rsid w:val="00533653"/>
    <w:rsid w:val="005366C2"/>
    <w:rsid w:val="0053765B"/>
    <w:rsid w:val="00542660"/>
    <w:rsid w:val="005532F6"/>
    <w:rsid w:val="00597507"/>
    <w:rsid w:val="005F3F9E"/>
    <w:rsid w:val="006F3C90"/>
    <w:rsid w:val="0074142C"/>
    <w:rsid w:val="00755454"/>
    <w:rsid w:val="007745DB"/>
    <w:rsid w:val="007820BF"/>
    <w:rsid w:val="007A0940"/>
    <w:rsid w:val="007B5F02"/>
    <w:rsid w:val="007E05B9"/>
    <w:rsid w:val="007E1793"/>
    <w:rsid w:val="007E213C"/>
    <w:rsid w:val="00832650"/>
    <w:rsid w:val="008930F0"/>
    <w:rsid w:val="0093524C"/>
    <w:rsid w:val="00974BC3"/>
    <w:rsid w:val="00AA0CFC"/>
    <w:rsid w:val="00AC24F8"/>
    <w:rsid w:val="00AE0810"/>
    <w:rsid w:val="00AE75C3"/>
    <w:rsid w:val="00B17941"/>
    <w:rsid w:val="00B34732"/>
    <w:rsid w:val="00B82FCF"/>
    <w:rsid w:val="00B84705"/>
    <w:rsid w:val="00BC1DF5"/>
    <w:rsid w:val="00BE2C84"/>
    <w:rsid w:val="00C03EC3"/>
    <w:rsid w:val="00C04B26"/>
    <w:rsid w:val="00C744F5"/>
    <w:rsid w:val="00C817BF"/>
    <w:rsid w:val="00CA3E80"/>
    <w:rsid w:val="00D26796"/>
    <w:rsid w:val="00D41C89"/>
    <w:rsid w:val="00D43398"/>
    <w:rsid w:val="00DA078D"/>
    <w:rsid w:val="00E42704"/>
    <w:rsid w:val="00F03A24"/>
    <w:rsid w:val="00F62357"/>
    <w:rsid w:val="00FA01D7"/>
    <w:rsid w:val="00FA61AF"/>
    <w:rsid w:val="05EC9BFB"/>
    <w:rsid w:val="06CF8B02"/>
    <w:rsid w:val="0A5F3D0E"/>
    <w:rsid w:val="0AC9578B"/>
    <w:rsid w:val="122BEA9F"/>
    <w:rsid w:val="14123346"/>
    <w:rsid w:val="1895145C"/>
    <w:rsid w:val="18A2316B"/>
    <w:rsid w:val="1BBC53E1"/>
    <w:rsid w:val="1F64598F"/>
    <w:rsid w:val="27FEC0D3"/>
    <w:rsid w:val="28355630"/>
    <w:rsid w:val="2DDC7AFB"/>
    <w:rsid w:val="30E33ACD"/>
    <w:rsid w:val="31D8B5A3"/>
    <w:rsid w:val="3207E884"/>
    <w:rsid w:val="3484C259"/>
    <w:rsid w:val="4061567A"/>
    <w:rsid w:val="45032B50"/>
    <w:rsid w:val="45DF5772"/>
    <w:rsid w:val="462F6F65"/>
    <w:rsid w:val="4C91A86A"/>
    <w:rsid w:val="52F7954F"/>
    <w:rsid w:val="55030761"/>
    <w:rsid w:val="57A32881"/>
    <w:rsid w:val="5A7A613D"/>
    <w:rsid w:val="635505CE"/>
    <w:rsid w:val="636349F2"/>
    <w:rsid w:val="6548A660"/>
    <w:rsid w:val="65B85DD0"/>
    <w:rsid w:val="66E8B28D"/>
    <w:rsid w:val="6A6A9A15"/>
    <w:rsid w:val="6EA3C7AF"/>
    <w:rsid w:val="6ED21EAF"/>
    <w:rsid w:val="7463B8D3"/>
    <w:rsid w:val="7AD40A41"/>
    <w:rsid w:val="7B94A5C9"/>
    <w:rsid w:val="7CD2A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037A"/>
  <w15:chartTrackingRefBased/>
  <w15:docId w15:val="{8A44CE4E-C8F8-4454-8452-901171A2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5545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45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45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5545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5545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5545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5545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5545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5545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5545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5545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55454"/>
    <w:rPr>
      <w:rFonts w:eastAsiaTheme="majorEastAsia" w:cstheme="majorBidi"/>
      <w:color w:val="272727" w:themeColor="text1" w:themeTint="D8"/>
    </w:rPr>
  </w:style>
  <w:style w:type="paragraph" w:styleId="Title">
    <w:name w:val="Title"/>
    <w:basedOn w:val="Normal"/>
    <w:next w:val="Normal"/>
    <w:link w:val="TitleChar"/>
    <w:uiPriority w:val="10"/>
    <w:qFormat/>
    <w:rsid w:val="0075545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5545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5545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55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454"/>
    <w:pPr>
      <w:spacing w:before="160"/>
      <w:jc w:val="center"/>
    </w:pPr>
    <w:rPr>
      <w:i/>
      <w:iCs/>
      <w:color w:val="404040" w:themeColor="text1" w:themeTint="BF"/>
    </w:rPr>
  </w:style>
  <w:style w:type="character" w:styleId="QuoteChar" w:customStyle="1">
    <w:name w:val="Quote Char"/>
    <w:basedOn w:val="DefaultParagraphFont"/>
    <w:link w:val="Quote"/>
    <w:uiPriority w:val="29"/>
    <w:rsid w:val="00755454"/>
    <w:rPr>
      <w:i/>
      <w:iCs/>
      <w:color w:val="404040" w:themeColor="text1" w:themeTint="BF"/>
    </w:rPr>
  </w:style>
  <w:style w:type="paragraph" w:styleId="ListParagraph">
    <w:name w:val="List Paragraph"/>
    <w:basedOn w:val="Normal"/>
    <w:uiPriority w:val="34"/>
    <w:qFormat/>
    <w:rsid w:val="00755454"/>
    <w:pPr>
      <w:ind w:left="720"/>
      <w:contextualSpacing/>
    </w:pPr>
  </w:style>
  <w:style w:type="character" w:styleId="IntenseEmphasis">
    <w:name w:val="Intense Emphasis"/>
    <w:basedOn w:val="DefaultParagraphFont"/>
    <w:uiPriority w:val="21"/>
    <w:qFormat/>
    <w:rsid w:val="00755454"/>
    <w:rPr>
      <w:i/>
      <w:iCs/>
      <w:color w:val="0F4761" w:themeColor="accent1" w:themeShade="BF"/>
    </w:rPr>
  </w:style>
  <w:style w:type="paragraph" w:styleId="IntenseQuote">
    <w:name w:val="Intense Quote"/>
    <w:basedOn w:val="Normal"/>
    <w:next w:val="Normal"/>
    <w:link w:val="IntenseQuoteChar"/>
    <w:uiPriority w:val="30"/>
    <w:qFormat/>
    <w:rsid w:val="0075545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55454"/>
    <w:rPr>
      <w:i/>
      <w:iCs/>
      <w:color w:val="0F4761" w:themeColor="accent1" w:themeShade="BF"/>
    </w:rPr>
  </w:style>
  <w:style w:type="character" w:styleId="IntenseReference">
    <w:name w:val="Intense Reference"/>
    <w:basedOn w:val="DefaultParagraphFont"/>
    <w:uiPriority w:val="32"/>
    <w:qFormat/>
    <w:rsid w:val="007554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C05FA77C05741BA89022CC0E90882" ma:contentTypeVersion="17" ma:contentTypeDescription="Create a new document." ma:contentTypeScope="" ma:versionID="d1e3f3f3dd099fbd5774604d5a8c3449">
  <xsd:schema xmlns:xsd="http://www.w3.org/2001/XMLSchema" xmlns:xs="http://www.w3.org/2001/XMLSchema" xmlns:p="http://schemas.microsoft.com/office/2006/metadata/properties" xmlns:ns2="9c3321f1-cec2-43ac-861f-4d8bf3f40846" xmlns:ns3="7b83dbe2-6fd2-449a-a932-0d75829bf641" targetNamespace="http://schemas.microsoft.com/office/2006/metadata/properties" ma:root="true" ma:fieldsID="a82381fa7c1cec7e95ac80ce1288fe3a" ns2:_="" ns3:_="">
    <xsd:import namespace="9c3321f1-cec2-43ac-861f-4d8bf3f4084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321f1-cec2-43ac-861f-4d8bf3f40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83c703-fc0f-4438-b893-9b091c0cb65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321f1-cec2-43ac-861f-4d8bf3f40846">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95EDB3EF-AB3A-462A-9185-045AE7952188}"/>
</file>

<file path=customXml/itemProps2.xml><?xml version="1.0" encoding="utf-8"?>
<ds:datastoreItem xmlns:ds="http://schemas.openxmlformats.org/officeDocument/2006/customXml" ds:itemID="{AEA60FD0-26C3-434C-B9DD-EB9C7E5FE9A8}"/>
</file>

<file path=customXml/itemProps3.xml><?xml version="1.0" encoding="utf-8"?>
<ds:datastoreItem xmlns:ds="http://schemas.openxmlformats.org/officeDocument/2006/customXml" ds:itemID="{44757322-AF1B-4BE9-9826-579F7DF57767}"/>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Walsh, Matthew (EOHLC)</dc:creator>
  <keywords/>
  <dc:description/>
  <lastModifiedBy>Dearing, Philip (EOHLC)</lastModifiedBy>
  <revision>6</revision>
  <dcterms:created xsi:type="dcterms:W3CDTF">2026-01-12T20:46:00.0000000Z</dcterms:created>
  <dcterms:modified xsi:type="dcterms:W3CDTF">2026-02-26T16:27:06.8389991Z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0x0101009CFC05FA77C05741BA89022CC0E90882</vt:lpwstr>
  </property>
  <property fmtid="{D5CDD505-2E9C-101B-9397-08002B2CF9AE}" pid="3" name="MediaServiceImageTags">
    <vt:lpwstr/>
  </property>
</Properties>
</file>