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C7E" w:rsidRDefault="00AE0C7E" w:rsidP="00D579A4">
      <w:pPr>
        <w:jc w:val="center"/>
        <w:rPr>
          <w:b/>
          <w:sz w:val="28"/>
          <w:szCs w:val="28"/>
        </w:rPr>
      </w:pPr>
      <w:bookmarkStart w:id="0" w:name="_GoBack"/>
      <w:bookmarkEnd w:id="0"/>
      <w:r>
        <w:rPr>
          <w:b/>
          <w:sz w:val="28"/>
          <w:szCs w:val="28"/>
        </w:rPr>
        <w:t>Meeting Minutes</w:t>
      </w:r>
    </w:p>
    <w:p w:rsidR="00D579A4" w:rsidRPr="00D579A4" w:rsidRDefault="00D579A4" w:rsidP="00D579A4">
      <w:pPr>
        <w:jc w:val="center"/>
        <w:rPr>
          <w:b/>
          <w:sz w:val="28"/>
          <w:szCs w:val="28"/>
        </w:rPr>
      </w:pPr>
      <w:r w:rsidRPr="00D579A4">
        <w:rPr>
          <w:b/>
          <w:sz w:val="28"/>
          <w:szCs w:val="28"/>
        </w:rPr>
        <w:t>Massachusetts Department of Public Health</w:t>
      </w:r>
    </w:p>
    <w:p w:rsidR="004F3A9F" w:rsidRPr="005F5286" w:rsidRDefault="00D579A4" w:rsidP="005F5286">
      <w:pPr>
        <w:jc w:val="center"/>
        <w:rPr>
          <w:b/>
          <w:sz w:val="28"/>
          <w:szCs w:val="28"/>
        </w:rPr>
      </w:pPr>
      <w:r w:rsidRPr="00D579A4">
        <w:rPr>
          <w:b/>
          <w:sz w:val="28"/>
          <w:szCs w:val="28"/>
        </w:rPr>
        <w:t>Massachusetts Vaccine Purchasing Advisory Council (MVPAC) Meeting</w:t>
      </w:r>
    </w:p>
    <w:p w:rsidR="009B71D4" w:rsidRDefault="009B71D4" w:rsidP="0008330A">
      <w:pPr>
        <w:pStyle w:val="NormalWeb"/>
        <w:spacing w:before="0" w:beforeAutospacing="0" w:after="0" w:afterAutospacing="0"/>
        <w:rPr>
          <w:lang w:val="en"/>
        </w:rPr>
      </w:pPr>
    </w:p>
    <w:p w:rsidR="0008330A" w:rsidRDefault="00D579A4" w:rsidP="0008330A">
      <w:pPr>
        <w:pStyle w:val="NormalWeb"/>
        <w:spacing w:before="0" w:beforeAutospacing="0" w:after="0" w:afterAutospacing="0"/>
        <w:rPr>
          <w:b/>
        </w:rPr>
      </w:pPr>
      <w:r>
        <w:rPr>
          <w:lang w:val="en"/>
        </w:rPr>
        <w:t xml:space="preserve">Date: </w:t>
      </w:r>
      <w:r w:rsidRPr="00D579A4">
        <w:rPr>
          <w:lang w:val="en"/>
        </w:rPr>
        <w:t xml:space="preserve">Thursday, </w:t>
      </w:r>
      <w:r w:rsidR="009334E3">
        <w:rPr>
          <w:lang w:val="en"/>
        </w:rPr>
        <w:t>October 13</w:t>
      </w:r>
      <w:r w:rsidR="0072662B">
        <w:rPr>
          <w:lang w:val="en"/>
        </w:rPr>
        <w:t>, 2016</w:t>
      </w:r>
      <w:r w:rsidRPr="00D579A4">
        <w:rPr>
          <w:lang w:val="en"/>
        </w:rPr>
        <w:br/>
      </w:r>
      <w:r>
        <w:rPr>
          <w:lang w:val="en"/>
        </w:rPr>
        <w:t xml:space="preserve">Time: </w:t>
      </w:r>
      <w:r w:rsidRPr="00D579A4">
        <w:rPr>
          <w:lang w:val="en"/>
        </w:rPr>
        <w:t>4-6 PM</w:t>
      </w:r>
      <w:r w:rsidRPr="00D579A4">
        <w:rPr>
          <w:lang w:val="en"/>
        </w:rPr>
        <w:br/>
        <w:t xml:space="preserve">Location: </w:t>
      </w:r>
      <w:r w:rsidR="00AD2CEC">
        <w:rPr>
          <w:lang w:val="en"/>
        </w:rPr>
        <w:t>Massachusetts Medical Society, 860 Winter Street, Waltham, MA 02451</w:t>
      </w:r>
      <w:r w:rsidR="00880E16">
        <w:rPr>
          <w:lang w:val="en"/>
        </w:rPr>
        <w:t xml:space="preserve">             </w:t>
      </w:r>
      <w:r w:rsidR="00754FCB">
        <w:rPr>
          <w:lang w:val="en"/>
        </w:rPr>
        <w:br/>
      </w:r>
    </w:p>
    <w:p w:rsidR="0008330A" w:rsidRPr="00E76FD1" w:rsidRDefault="0008330A" w:rsidP="0008330A">
      <w:pPr>
        <w:pStyle w:val="NormalWeb"/>
        <w:spacing w:before="0" w:beforeAutospacing="0" w:after="0" w:afterAutospacing="0"/>
        <w:rPr>
          <w:b/>
        </w:rPr>
      </w:pPr>
      <w:r>
        <w:rPr>
          <w:b/>
        </w:rPr>
        <w:t xml:space="preserve">Council Member </w:t>
      </w:r>
      <w:r w:rsidRPr="00E76FD1">
        <w:rPr>
          <w:b/>
        </w:rPr>
        <w:t>Attendees:</w:t>
      </w:r>
    </w:p>
    <w:p w:rsidR="009B71D4" w:rsidRDefault="009B71D4" w:rsidP="0008330A">
      <w:pPr>
        <w:sectPr w:rsidR="009B71D4" w:rsidSect="00AF45E4">
          <w:headerReference w:type="default" r:id="rId8"/>
          <w:footerReference w:type="default" r:id="rId9"/>
          <w:pgSz w:w="12240" w:h="15840"/>
          <w:pgMar w:top="1440" w:right="1440" w:bottom="1440" w:left="1440" w:header="720" w:footer="720" w:gutter="0"/>
          <w:cols w:space="720"/>
          <w:docGrid w:linePitch="360"/>
        </w:sectPr>
      </w:pPr>
    </w:p>
    <w:p w:rsidR="0008330A" w:rsidRDefault="0008330A" w:rsidP="0008330A">
      <w:r>
        <w:lastRenderedPageBreak/>
        <w:t xml:space="preserve">Kevin Cranston, </w:t>
      </w:r>
      <w:proofErr w:type="spellStart"/>
      <w:r>
        <w:t>MDiv</w:t>
      </w:r>
      <w:proofErr w:type="spellEnd"/>
    </w:p>
    <w:p w:rsidR="0008330A" w:rsidRDefault="0008330A" w:rsidP="0008330A">
      <w:r>
        <w:t xml:space="preserve">Leanne </w:t>
      </w:r>
      <w:proofErr w:type="spellStart"/>
      <w:r>
        <w:t>DiMaio</w:t>
      </w:r>
      <w:proofErr w:type="spellEnd"/>
      <w:r>
        <w:t>, MPH, MBA</w:t>
      </w:r>
    </w:p>
    <w:p w:rsidR="0008330A" w:rsidRDefault="0008330A" w:rsidP="0008330A">
      <w:r>
        <w:t>Sansei Fowler, MD, MPH</w:t>
      </w:r>
    </w:p>
    <w:p w:rsidR="0008330A" w:rsidRDefault="0008330A" w:rsidP="0008330A">
      <w:r>
        <w:t>Ben Kruskal, MD, PhD</w:t>
      </w:r>
    </w:p>
    <w:p w:rsidR="0008330A" w:rsidRDefault="0008330A" w:rsidP="0008330A">
      <w:r>
        <w:t>Susan Lett, MD, MPH</w:t>
      </w:r>
    </w:p>
    <w:p w:rsidR="0008330A" w:rsidRDefault="0008330A" w:rsidP="0008330A">
      <w:r>
        <w:t>Cody Meissner, MD</w:t>
      </w:r>
    </w:p>
    <w:p w:rsidR="0008330A" w:rsidRDefault="0008330A" w:rsidP="0008330A">
      <w:r>
        <w:lastRenderedPageBreak/>
        <w:t>David Norton, MD</w:t>
      </w:r>
    </w:p>
    <w:p w:rsidR="0008330A" w:rsidRDefault="0008330A" w:rsidP="0008330A">
      <w:r>
        <w:t>Sean Palfrey, MD</w:t>
      </w:r>
    </w:p>
    <w:p w:rsidR="0008330A" w:rsidRDefault="0008330A" w:rsidP="0008330A">
      <w:r>
        <w:t>Ron Samuels, MD, MPH</w:t>
      </w:r>
    </w:p>
    <w:p w:rsidR="0008330A" w:rsidRDefault="0008330A" w:rsidP="0008330A">
      <w:r>
        <w:t>Patricia Toro, MD, MPH</w:t>
      </w:r>
    </w:p>
    <w:p w:rsidR="0008330A" w:rsidRDefault="0008330A" w:rsidP="0008330A">
      <w:r>
        <w:t xml:space="preserve">Marissa </w:t>
      </w:r>
      <w:proofErr w:type="spellStart"/>
      <w:r>
        <w:t>Woltman</w:t>
      </w:r>
      <w:proofErr w:type="spellEnd"/>
    </w:p>
    <w:p w:rsidR="009B71D4" w:rsidRDefault="009B71D4" w:rsidP="0008330A">
      <w:pPr>
        <w:sectPr w:rsidR="009B71D4" w:rsidSect="009B71D4">
          <w:type w:val="continuous"/>
          <w:pgSz w:w="12240" w:h="15840"/>
          <w:pgMar w:top="1440" w:right="1440" w:bottom="1440" w:left="1440" w:header="720" w:footer="720" w:gutter="0"/>
          <w:cols w:num="2" w:space="720"/>
          <w:docGrid w:linePitch="360"/>
        </w:sectPr>
      </w:pPr>
    </w:p>
    <w:p w:rsidR="0008330A" w:rsidRDefault="0008330A" w:rsidP="0008330A"/>
    <w:p w:rsidR="0008330A" w:rsidRDefault="0008330A" w:rsidP="0008330A">
      <w:pPr>
        <w:rPr>
          <w:b/>
        </w:rPr>
      </w:pPr>
      <w:r w:rsidRPr="00186863">
        <w:rPr>
          <w:b/>
        </w:rPr>
        <w:t>Additional Attendees:</w:t>
      </w:r>
    </w:p>
    <w:p w:rsidR="0008330A" w:rsidRDefault="0008330A" w:rsidP="0008330A">
      <w:pPr>
        <w:sectPr w:rsidR="0008330A" w:rsidSect="009B71D4">
          <w:type w:val="continuous"/>
          <w:pgSz w:w="12240" w:h="15840"/>
          <w:pgMar w:top="1440" w:right="1440" w:bottom="1440" w:left="1440" w:header="720" w:footer="720" w:gutter="0"/>
          <w:cols w:space="720"/>
          <w:docGrid w:linePitch="360"/>
        </w:sectPr>
      </w:pPr>
    </w:p>
    <w:p w:rsidR="0008330A" w:rsidRDefault="0008330A" w:rsidP="0008330A">
      <w:r>
        <w:lastRenderedPageBreak/>
        <w:t>Richard Aceto</w:t>
      </w:r>
    </w:p>
    <w:p w:rsidR="0008330A" w:rsidRDefault="0008330A" w:rsidP="0008330A">
      <w:r>
        <w:t>Adam Bloomfield, MD</w:t>
      </w:r>
    </w:p>
    <w:p w:rsidR="0008330A" w:rsidRDefault="0008330A" w:rsidP="0008330A">
      <w:r>
        <w:t>Lenny Demers</w:t>
      </w:r>
    </w:p>
    <w:p w:rsidR="0008330A" w:rsidRDefault="0008330A" w:rsidP="0008330A">
      <w:r>
        <w:t>Beth English, MPH</w:t>
      </w:r>
    </w:p>
    <w:p w:rsidR="0008330A" w:rsidRDefault="0008330A" w:rsidP="0008330A">
      <w:r>
        <w:t>Chris Germaine</w:t>
      </w:r>
    </w:p>
    <w:p w:rsidR="0008330A" w:rsidRDefault="0008330A" w:rsidP="0008330A">
      <w:r>
        <w:t>Michael Goldstein</w:t>
      </w:r>
    </w:p>
    <w:p w:rsidR="0008330A" w:rsidRDefault="0008330A" w:rsidP="0008330A">
      <w:r>
        <w:lastRenderedPageBreak/>
        <w:t>Larry Madoff, MD</w:t>
      </w:r>
    </w:p>
    <w:p w:rsidR="0008330A" w:rsidRDefault="0008330A" w:rsidP="0008330A">
      <w:r>
        <w:t>Cynthia McReynolds</w:t>
      </w:r>
    </w:p>
    <w:p w:rsidR="0008330A" w:rsidRDefault="0008330A" w:rsidP="0008330A">
      <w:r>
        <w:t xml:space="preserve">Jim Palazzo, </w:t>
      </w:r>
      <w:proofErr w:type="spellStart"/>
      <w:r>
        <w:t>PharmD</w:t>
      </w:r>
      <w:proofErr w:type="spellEnd"/>
    </w:p>
    <w:p w:rsidR="0008330A" w:rsidRDefault="0008330A" w:rsidP="0008330A">
      <w:r>
        <w:t xml:space="preserve">Sherry </w:t>
      </w:r>
      <w:proofErr w:type="spellStart"/>
      <w:r>
        <w:t>Schilb</w:t>
      </w:r>
      <w:proofErr w:type="spellEnd"/>
    </w:p>
    <w:p w:rsidR="0008330A" w:rsidRDefault="0008330A" w:rsidP="0008330A">
      <w:pPr>
        <w:sectPr w:rsidR="0008330A" w:rsidSect="0008330A">
          <w:type w:val="continuous"/>
          <w:pgSz w:w="12240" w:h="15840"/>
          <w:pgMar w:top="1440" w:right="1440" w:bottom="1440" w:left="1440" w:header="720" w:footer="720" w:gutter="0"/>
          <w:cols w:num="2" w:space="720"/>
          <w:docGrid w:linePitch="360"/>
        </w:sectPr>
      </w:pPr>
      <w:r>
        <w:t>Pejman Talebian, MA, MPH</w:t>
      </w:r>
    </w:p>
    <w:p w:rsidR="0008330A" w:rsidRDefault="0008330A" w:rsidP="0008330A">
      <w:pPr>
        <w:ind w:left="360"/>
        <w:rPr>
          <w:lang w:val="en"/>
        </w:rPr>
      </w:pPr>
    </w:p>
    <w:p w:rsidR="00D44A17" w:rsidRPr="00674988" w:rsidRDefault="00B33F1D" w:rsidP="0008330A">
      <w:pPr>
        <w:rPr>
          <w:b/>
          <w:lang w:val="en"/>
        </w:rPr>
      </w:pPr>
      <w:r>
        <w:rPr>
          <w:b/>
          <w:lang w:val="en"/>
        </w:rPr>
        <w:t>M</w:t>
      </w:r>
      <w:r w:rsidR="00412D45" w:rsidRPr="00674988">
        <w:rPr>
          <w:b/>
          <w:lang w:val="en"/>
        </w:rPr>
        <w:t xml:space="preserve">DPH </w:t>
      </w:r>
      <w:r w:rsidR="00AD2CEC" w:rsidRPr="00674988">
        <w:rPr>
          <w:b/>
          <w:lang w:val="en"/>
        </w:rPr>
        <w:t>Update</w:t>
      </w:r>
      <w:r w:rsidR="00412D45" w:rsidRPr="00674988">
        <w:rPr>
          <w:b/>
          <w:lang w:val="en"/>
        </w:rPr>
        <w:t>s</w:t>
      </w:r>
      <w:r w:rsidR="0094516D" w:rsidRPr="00674988">
        <w:rPr>
          <w:b/>
          <w:lang w:val="en"/>
        </w:rPr>
        <w:t xml:space="preserve"> </w:t>
      </w:r>
    </w:p>
    <w:p w:rsidR="00BF0153" w:rsidRDefault="00BF0153" w:rsidP="00BF0153">
      <w:pPr>
        <w:rPr>
          <w:lang w:val="en"/>
        </w:rPr>
      </w:pPr>
    </w:p>
    <w:p w:rsidR="00BF0153" w:rsidRDefault="00580CD4" w:rsidP="00BF0153">
      <w:pPr>
        <w:rPr>
          <w:lang w:val="en"/>
        </w:rPr>
      </w:pPr>
      <w:r>
        <w:rPr>
          <w:lang w:val="en"/>
        </w:rPr>
        <w:t>Mr. Cranston opened the meeting and welcomed attendees.</w:t>
      </w:r>
      <w:r w:rsidR="00674988">
        <w:rPr>
          <w:lang w:val="en"/>
        </w:rPr>
        <w:t xml:space="preserve"> He noted that there was a quorum for Council deliberations.</w:t>
      </w:r>
    </w:p>
    <w:p w:rsidR="00580CD4" w:rsidRDefault="00580CD4" w:rsidP="00BF0153">
      <w:pPr>
        <w:rPr>
          <w:lang w:val="en"/>
        </w:rPr>
      </w:pPr>
    </w:p>
    <w:p w:rsidR="00674988" w:rsidRDefault="00674988" w:rsidP="00BF0153">
      <w:pPr>
        <w:rPr>
          <w:lang w:val="en"/>
        </w:rPr>
      </w:pPr>
      <w:r>
        <w:rPr>
          <w:lang w:val="en"/>
        </w:rPr>
        <w:t>Attendees introduced themselves.</w:t>
      </w:r>
    </w:p>
    <w:p w:rsidR="00580CD4" w:rsidRDefault="00580CD4" w:rsidP="00BF0153">
      <w:pPr>
        <w:rPr>
          <w:lang w:val="en"/>
        </w:rPr>
      </w:pPr>
    </w:p>
    <w:p w:rsidR="00E26894" w:rsidRDefault="00674988" w:rsidP="00BF0153">
      <w:pPr>
        <w:rPr>
          <w:lang w:val="en"/>
        </w:rPr>
      </w:pPr>
      <w:r>
        <w:rPr>
          <w:lang w:val="en"/>
        </w:rPr>
        <w:t xml:space="preserve">Mr. Talebian </w:t>
      </w:r>
      <w:r w:rsidR="00B33F1D">
        <w:rPr>
          <w:lang w:val="en"/>
        </w:rPr>
        <w:t>reported</w:t>
      </w:r>
      <w:r>
        <w:rPr>
          <w:lang w:val="en"/>
        </w:rPr>
        <w:t xml:space="preserve"> that the</w:t>
      </w:r>
      <w:r w:rsidR="00B33F1D">
        <w:rPr>
          <w:lang w:val="en"/>
        </w:rPr>
        <w:t xml:space="preserve"> I</w:t>
      </w:r>
      <w:r>
        <w:rPr>
          <w:lang w:val="en"/>
        </w:rPr>
        <w:t xml:space="preserve">mmunization </w:t>
      </w:r>
      <w:r w:rsidR="00B33F1D">
        <w:rPr>
          <w:lang w:val="en"/>
        </w:rPr>
        <w:t>P</w:t>
      </w:r>
      <w:r>
        <w:rPr>
          <w:lang w:val="en"/>
        </w:rPr>
        <w:t xml:space="preserve">rogram is a recipient of a Prevention and Public Health Fund (PPHF) grant from the CDC. The purpose of the grant is to actively promote human papillomavirus (HPV) vaccination using the Assessment, Feedback, Incentives and </w:t>
      </w:r>
      <w:proofErr w:type="spellStart"/>
      <w:r>
        <w:rPr>
          <w:lang w:val="en"/>
        </w:rPr>
        <w:t>eXchange</w:t>
      </w:r>
      <w:proofErr w:type="spellEnd"/>
      <w:r>
        <w:rPr>
          <w:lang w:val="en"/>
        </w:rPr>
        <w:t xml:space="preserve"> (AFIX) quality improvement program. The two-year grant is $500,000.  One of the grant activities will be physician to physician education utilizing </w:t>
      </w:r>
      <w:r w:rsidR="00B33F1D">
        <w:rPr>
          <w:lang w:val="en"/>
        </w:rPr>
        <w:t>American Academy of Pediatrics (</w:t>
      </w:r>
      <w:r>
        <w:rPr>
          <w:lang w:val="en"/>
        </w:rPr>
        <w:t>AAP</w:t>
      </w:r>
      <w:r w:rsidR="00B33F1D">
        <w:rPr>
          <w:lang w:val="en"/>
        </w:rPr>
        <w:t>)</w:t>
      </w:r>
      <w:r>
        <w:rPr>
          <w:lang w:val="en"/>
        </w:rPr>
        <w:t xml:space="preserve"> faculty.</w:t>
      </w:r>
    </w:p>
    <w:p w:rsidR="00E26894" w:rsidRDefault="00674988" w:rsidP="00BF0153">
      <w:pPr>
        <w:rPr>
          <w:lang w:val="en"/>
        </w:rPr>
      </w:pPr>
      <w:r>
        <w:br/>
      </w:r>
      <w:r>
        <w:rPr>
          <w:lang w:val="en"/>
        </w:rPr>
        <w:t>Ms. English provided a Massachusetts Immunization Information System (MIIS) roll-out update. She noted that the MIIS contains almost 40 million shot records and by the end of year more than 2,000 sites will be reporting to the MIIS.</w:t>
      </w:r>
    </w:p>
    <w:p w:rsidR="00E26894" w:rsidRDefault="00E26894" w:rsidP="00BF0153">
      <w:pPr>
        <w:rPr>
          <w:lang w:val="en"/>
        </w:rPr>
      </w:pPr>
    </w:p>
    <w:p w:rsidR="00BD5701" w:rsidRDefault="00C262EE" w:rsidP="00BF0153">
      <w:pPr>
        <w:rPr>
          <w:lang w:val="en"/>
        </w:rPr>
      </w:pPr>
      <w:r>
        <w:rPr>
          <w:lang w:val="en"/>
        </w:rPr>
        <w:t xml:space="preserve">Dr. Lett </w:t>
      </w:r>
      <w:r w:rsidR="00B33F1D">
        <w:rPr>
          <w:lang w:val="en"/>
        </w:rPr>
        <w:t>reviewed</w:t>
      </w:r>
      <w:r>
        <w:rPr>
          <w:lang w:val="en"/>
        </w:rPr>
        <w:t xml:space="preserve"> the 2015-2016 influenza </w:t>
      </w:r>
      <w:proofErr w:type="gramStart"/>
      <w:r>
        <w:rPr>
          <w:lang w:val="en"/>
        </w:rPr>
        <w:t>season</w:t>
      </w:r>
      <w:proofErr w:type="gramEnd"/>
      <w:r>
        <w:rPr>
          <w:lang w:val="en"/>
        </w:rPr>
        <w:t xml:space="preserve">, noting that the season had been mild, with a late peak. Influenza </w:t>
      </w:r>
      <w:proofErr w:type="gramStart"/>
      <w:r>
        <w:rPr>
          <w:lang w:val="en"/>
        </w:rPr>
        <w:t>A</w:t>
      </w:r>
      <w:proofErr w:type="gramEnd"/>
      <w:r>
        <w:rPr>
          <w:lang w:val="en"/>
        </w:rPr>
        <w:t xml:space="preserve"> H1N1 strain predominated. The circulating strains appeared to </w:t>
      </w:r>
      <w:r w:rsidR="001E2B5F">
        <w:rPr>
          <w:lang w:val="en"/>
        </w:rPr>
        <w:t>be an</w:t>
      </w:r>
      <w:r>
        <w:rPr>
          <w:lang w:val="en"/>
        </w:rPr>
        <w:t xml:space="preserve"> excellent match for the vaccine. Influenza hospitalization rates appeared to be lower than for </w:t>
      </w:r>
      <w:r w:rsidR="00D06BE6">
        <w:rPr>
          <w:lang w:val="en"/>
        </w:rPr>
        <w:t xml:space="preserve">the </w:t>
      </w:r>
      <w:r>
        <w:rPr>
          <w:lang w:val="en"/>
        </w:rPr>
        <w:t>previous year.</w:t>
      </w:r>
    </w:p>
    <w:p w:rsidR="00C262EE" w:rsidRDefault="00C262EE" w:rsidP="00BF0153">
      <w:pPr>
        <w:rPr>
          <w:lang w:val="en"/>
        </w:rPr>
      </w:pPr>
    </w:p>
    <w:p w:rsidR="00851B1B" w:rsidRDefault="00C262EE" w:rsidP="00851B1B">
      <w:pPr>
        <w:rPr>
          <w:lang w:val="en"/>
        </w:rPr>
      </w:pPr>
      <w:r>
        <w:rPr>
          <w:lang w:val="en"/>
        </w:rPr>
        <w:t xml:space="preserve">At its June 2016 meeting, the Advisory Committee for Immunization Practices (ACIP) discussed the live attenuated influenza vaccine (LAIV). After reviewing data for the past several </w:t>
      </w:r>
      <w:r w:rsidR="00B33F1D">
        <w:rPr>
          <w:lang w:val="en"/>
        </w:rPr>
        <w:t xml:space="preserve">influenza </w:t>
      </w:r>
      <w:r>
        <w:rPr>
          <w:lang w:val="en"/>
        </w:rPr>
        <w:t>seasons, the ACIP made an interim recommendation that LAIV not be used for the 2016-2017 influenza season.</w:t>
      </w:r>
      <w:r w:rsidR="00851B1B">
        <w:rPr>
          <w:lang w:val="en"/>
        </w:rPr>
        <w:t xml:space="preserve"> </w:t>
      </w:r>
    </w:p>
    <w:p w:rsidR="00851B1B" w:rsidRDefault="00851B1B" w:rsidP="00851B1B">
      <w:pPr>
        <w:rPr>
          <w:lang w:val="en"/>
        </w:rPr>
      </w:pPr>
    </w:p>
    <w:p w:rsidR="00851B1B" w:rsidRPr="00851B1B" w:rsidRDefault="00851B1B" w:rsidP="00851B1B">
      <w:r w:rsidRPr="00851B1B">
        <w:t>Researchers, CDC, FDA and the manufacturer are all committed to gaining insight into the issue and are continuing to review data as it becomes available.</w:t>
      </w:r>
    </w:p>
    <w:p w:rsidR="00C262EE" w:rsidRDefault="00C262EE" w:rsidP="00BF0153">
      <w:pPr>
        <w:rPr>
          <w:lang w:val="en"/>
        </w:rPr>
      </w:pPr>
    </w:p>
    <w:p w:rsidR="001176D4" w:rsidRDefault="00851B1B" w:rsidP="00BF0153">
      <w:pPr>
        <w:rPr>
          <w:lang w:val="en"/>
        </w:rPr>
      </w:pPr>
      <w:r>
        <w:rPr>
          <w:lang w:val="en"/>
        </w:rPr>
        <w:t xml:space="preserve">Dr. Bloomfield (AstraZeneca) noted that the company is working to understand </w:t>
      </w:r>
      <w:r w:rsidR="003D26D4">
        <w:rPr>
          <w:lang w:val="en"/>
        </w:rPr>
        <w:t>this issue and hope</w:t>
      </w:r>
      <w:r w:rsidR="00B33F1D">
        <w:rPr>
          <w:lang w:val="en"/>
        </w:rPr>
        <w:t>s</w:t>
      </w:r>
      <w:r w:rsidR="003D26D4">
        <w:rPr>
          <w:lang w:val="en"/>
        </w:rPr>
        <w:t xml:space="preserve"> to </w:t>
      </w:r>
      <w:r>
        <w:rPr>
          <w:lang w:val="en"/>
        </w:rPr>
        <w:t>bring the vaccine back to market soon.</w:t>
      </w:r>
    </w:p>
    <w:p w:rsidR="00851B1B" w:rsidRDefault="00851B1B" w:rsidP="00BF0153">
      <w:pPr>
        <w:rPr>
          <w:lang w:val="en"/>
        </w:rPr>
      </w:pPr>
    </w:p>
    <w:p w:rsidR="003D26D4" w:rsidRDefault="003D26D4" w:rsidP="003D26D4">
      <w:pPr>
        <w:rPr>
          <w:lang w:val="en"/>
        </w:rPr>
      </w:pPr>
      <w:r>
        <w:rPr>
          <w:lang w:val="en"/>
        </w:rPr>
        <w:t xml:space="preserve">Dr. Lett also reviewed the ACIP recommendations for the 2016-2017 influenza </w:t>
      </w:r>
      <w:proofErr w:type="gramStart"/>
      <w:r>
        <w:rPr>
          <w:lang w:val="en"/>
        </w:rPr>
        <w:t>season</w:t>
      </w:r>
      <w:proofErr w:type="gramEnd"/>
      <w:r>
        <w:rPr>
          <w:lang w:val="en"/>
        </w:rPr>
        <w:t xml:space="preserve">, noting the principal changes from the 2015-2016 influenza season: </w:t>
      </w:r>
    </w:p>
    <w:p w:rsidR="003D26D4" w:rsidRDefault="003D26D4" w:rsidP="003D26D4">
      <w:pPr>
        <w:rPr>
          <w:lang w:val="en"/>
        </w:rPr>
      </w:pPr>
    </w:p>
    <w:p w:rsidR="003D26D4" w:rsidRDefault="003D26D4" w:rsidP="00BF0153">
      <w:pPr>
        <w:numPr>
          <w:ilvl w:val="0"/>
          <w:numId w:val="8"/>
        </w:numPr>
        <w:rPr>
          <w:lang w:val="en"/>
        </w:rPr>
      </w:pPr>
      <w:r w:rsidRPr="003D26D4">
        <w:rPr>
          <w:lang w:val="en"/>
        </w:rPr>
        <w:t xml:space="preserve">LAIV is not recommended for use during </w:t>
      </w:r>
      <w:r w:rsidR="00B33F1D">
        <w:rPr>
          <w:lang w:val="en"/>
        </w:rPr>
        <w:t>this</w:t>
      </w:r>
      <w:r w:rsidRPr="003D26D4">
        <w:rPr>
          <w:lang w:val="en"/>
        </w:rPr>
        <w:t xml:space="preserve"> season;</w:t>
      </w:r>
    </w:p>
    <w:p w:rsidR="00B33F1D" w:rsidRDefault="003D26D4" w:rsidP="00BF0153">
      <w:pPr>
        <w:numPr>
          <w:ilvl w:val="0"/>
          <w:numId w:val="8"/>
        </w:numPr>
        <w:rPr>
          <w:lang w:val="en"/>
        </w:rPr>
      </w:pPr>
      <w:r w:rsidRPr="00B33F1D">
        <w:rPr>
          <w:lang w:val="en"/>
        </w:rPr>
        <w:t>Updated egg allergy recommendations</w:t>
      </w:r>
      <w:r w:rsidR="00B33F1D">
        <w:rPr>
          <w:lang w:val="en"/>
        </w:rPr>
        <w:t>;</w:t>
      </w:r>
    </w:p>
    <w:p w:rsidR="003D26D4" w:rsidRPr="00B33F1D" w:rsidRDefault="003D26D4" w:rsidP="00BF0153">
      <w:pPr>
        <w:numPr>
          <w:ilvl w:val="0"/>
          <w:numId w:val="8"/>
        </w:numPr>
        <w:rPr>
          <w:lang w:val="en"/>
        </w:rPr>
      </w:pPr>
      <w:r w:rsidRPr="00B33F1D">
        <w:rPr>
          <w:lang w:val="en"/>
        </w:rPr>
        <w:t>Newly-recommended vaccine licensures, including:</w:t>
      </w:r>
    </w:p>
    <w:p w:rsidR="00D9526B" w:rsidRPr="003D26D4" w:rsidRDefault="003D26D4" w:rsidP="003D26D4">
      <w:pPr>
        <w:numPr>
          <w:ilvl w:val="2"/>
          <w:numId w:val="6"/>
        </w:numPr>
        <w:tabs>
          <w:tab w:val="clear" w:pos="2160"/>
          <w:tab w:val="num" w:pos="1080"/>
        </w:tabs>
        <w:ind w:hanging="1440"/>
      </w:pPr>
      <w:proofErr w:type="spellStart"/>
      <w:r w:rsidRPr="003D26D4">
        <w:t>Fluad</w:t>
      </w:r>
      <w:proofErr w:type="spellEnd"/>
    </w:p>
    <w:p w:rsidR="00D9526B" w:rsidRPr="003D26D4" w:rsidRDefault="003D26D4" w:rsidP="003D26D4">
      <w:pPr>
        <w:numPr>
          <w:ilvl w:val="2"/>
          <w:numId w:val="6"/>
        </w:numPr>
        <w:tabs>
          <w:tab w:val="clear" w:pos="2160"/>
          <w:tab w:val="num" w:pos="1080"/>
        </w:tabs>
        <w:ind w:hanging="1440"/>
      </w:pPr>
      <w:proofErr w:type="spellStart"/>
      <w:r w:rsidRPr="003D26D4">
        <w:t>Flucelvax</w:t>
      </w:r>
      <w:proofErr w:type="spellEnd"/>
      <w:r w:rsidRPr="003D26D4">
        <w:t xml:space="preserve"> </w:t>
      </w:r>
      <w:proofErr w:type="spellStart"/>
      <w:r w:rsidRPr="003D26D4">
        <w:t>Quadrivalent</w:t>
      </w:r>
      <w:proofErr w:type="spellEnd"/>
    </w:p>
    <w:p w:rsidR="00D9526B" w:rsidRPr="003D26D4" w:rsidRDefault="003D26D4" w:rsidP="003D26D4">
      <w:pPr>
        <w:numPr>
          <w:ilvl w:val="2"/>
          <w:numId w:val="6"/>
        </w:numPr>
        <w:tabs>
          <w:tab w:val="clear" w:pos="2160"/>
          <w:tab w:val="num" w:pos="1080"/>
        </w:tabs>
        <w:ind w:hanging="1440"/>
      </w:pPr>
      <w:proofErr w:type="spellStart"/>
      <w:r w:rsidRPr="003D26D4">
        <w:t>Afluria</w:t>
      </w:r>
      <w:proofErr w:type="spellEnd"/>
      <w:r w:rsidRPr="003D26D4">
        <w:t xml:space="preserve"> </w:t>
      </w:r>
      <w:proofErr w:type="spellStart"/>
      <w:r w:rsidRPr="003D26D4">
        <w:t>Quadrivalent</w:t>
      </w:r>
      <w:proofErr w:type="spellEnd"/>
    </w:p>
    <w:p w:rsidR="003D26D4" w:rsidRDefault="003D26D4" w:rsidP="00BF0153">
      <w:pPr>
        <w:rPr>
          <w:lang w:val="en"/>
        </w:rPr>
      </w:pPr>
    </w:p>
    <w:p w:rsidR="003D26D4" w:rsidRDefault="003D26D4" w:rsidP="00BF0153">
      <w:pPr>
        <w:rPr>
          <w:lang w:val="en"/>
        </w:rPr>
      </w:pPr>
      <w:r>
        <w:rPr>
          <w:lang w:val="en"/>
        </w:rPr>
        <w:t>Dr. Lett reviewed the available formulations of influenza vaccine.</w:t>
      </w:r>
    </w:p>
    <w:p w:rsidR="003D26D4" w:rsidRDefault="003D26D4" w:rsidP="00BF0153">
      <w:pPr>
        <w:rPr>
          <w:lang w:val="en"/>
        </w:rPr>
      </w:pPr>
    </w:p>
    <w:p w:rsidR="003D26D4" w:rsidRDefault="003D26D4" w:rsidP="00BF0153">
      <w:pPr>
        <w:rPr>
          <w:lang w:val="en"/>
        </w:rPr>
      </w:pPr>
      <w:r>
        <w:rPr>
          <w:lang w:val="en"/>
        </w:rPr>
        <w:t>Adequate supplies of inactivated influenza vaccine (IIV) are expected. There are no known problems for private sector purchase of IIV</w:t>
      </w:r>
    </w:p>
    <w:p w:rsidR="003D26D4" w:rsidRDefault="003D26D4" w:rsidP="00BF0153">
      <w:pPr>
        <w:rPr>
          <w:lang w:val="en"/>
        </w:rPr>
      </w:pPr>
    </w:p>
    <w:p w:rsidR="003D26D4" w:rsidRDefault="003D26D4" w:rsidP="00BF0153">
      <w:pPr>
        <w:rPr>
          <w:lang w:val="en"/>
        </w:rPr>
      </w:pPr>
      <w:r>
        <w:rPr>
          <w:lang w:val="en"/>
        </w:rPr>
        <w:t>ACIP does not recommend a vaccine preference for those with egg allergy.</w:t>
      </w:r>
    </w:p>
    <w:p w:rsidR="00971F4E" w:rsidRDefault="00971F4E" w:rsidP="00BF0153">
      <w:pPr>
        <w:rPr>
          <w:lang w:val="en"/>
        </w:rPr>
      </w:pPr>
    </w:p>
    <w:p w:rsidR="003D26D4" w:rsidRDefault="003D26D4" w:rsidP="00BF0153">
      <w:pPr>
        <w:rPr>
          <w:lang w:val="en"/>
        </w:rPr>
      </w:pPr>
      <w:r>
        <w:rPr>
          <w:lang w:val="en"/>
        </w:rPr>
        <w:t>CDC and DPH flu resources were reviewed.</w:t>
      </w:r>
    </w:p>
    <w:p w:rsidR="005475A0" w:rsidRDefault="005475A0" w:rsidP="00BF0153">
      <w:pPr>
        <w:rPr>
          <w:lang w:val="en"/>
        </w:rPr>
      </w:pPr>
    </w:p>
    <w:p w:rsidR="003D26D4" w:rsidRDefault="003D26D4" w:rsidP="00BF0153">
      <w:pPr>
        <w:rPr>
          <w:lang w:val="en"/>
        </w:rPr>
      </w:pPr>
      <w:r>
        <w:rPr>
          <w:lang w:val="en"/>
        </w:rPr>
        <w:t xml:space="preserve">Dr. Lett also provided a 2016 mumps outbreak update. </w:t>
      </w:r>
      <w:r w:rsidR="001E2B5F">
        <w:rPr>
          <w:lang w:val="en"/>
        </w:rPr>
        <w:t xml:space="preserve">Since February 15, 2016, DPH has investigated more than 600 suspect cases. </w:t>
      </w:r>
      <w:r>
        <w:rPr>
          <w:lang w:val="en"/>
        </w:rPr>
        <w:t xml:space="preserve">There have been 111 confirmed and 101 probable cases of mumps. 67 of the 111 confirmed cases were at Harvard University, with additional cases confirmed at seven other Boston-area universities and probable cases at two other universities. The majority of cases were in people vaccinated with two measles, mumps, </w:t>
      </w:r>
      <w:r w:rsidR="001E2B5F">
        <w:rPr>
          <w:lang w:val="en"/>
        </w:rPr>
        <w:t>and rubella</w:t>
      </w:r>
      <w:r>
        <w:rPr>
          <w:lang w:val="en"/>
        </w:rPr>
        <w:t xml:space="preserve"> (MMR) doses.</w:t>
      </w:r>
    </w:p>
    <w:p w:rsidR="00BF0153" w:rsidRDefault="00BF0153" w:rsidP="00BF0153">
      <w:pPr>
        <w:rPr>
          <w:lang w:val="en"/>
        </w:rPr>
      </w:pPr>
    </w:p>
    <w:p w:rsidR="00E61A5F" w:rsidRDefault="00D44A17" w:rsidP="003D26D4">
      <w:pPr>
        <w:rPr>
          <w:b/>
          <w:lang w:val="en"/>
        </w:rPr>
      </w:pPr>
      <w:r w:rsidRPr="003D26D4">
        <w:rPr>
          <w:b/>
          <w:lang w:val="en"/>
        </w:rPr>
        <w:t>Deliberation regarding inclusion of Category B recommendation for Meningococcal B vaccine in DPH universa</w:t>
      </w:r>
      <w:r w:rsidR="000B3377">
        <w:rPr>
          <w:b/>
          <w:lang w:val="en"/>
        </w:rPr>
        <w:t xml:space="preserve">l program </w:t>
      </w:r>
    </w:p>
    <w:p w:rsidR="000B3377" w:rsidRPr="003D26D4" w:rsidRDefault="000B3377" w:rsidP="003D26D4">
      <w:pPr>
        <w:rPr>
          <w:b/>
          <w:lang w:val="en"/>
        </w:rPr>
      </w:pPr>
    </w:p>
    <w:p w:rsidR="00B33F1D" w:rsidRDefault="000B3377" w:rsidP="000B3377">
      <w:pPr>
        <w:rPr>
          <w:lang w:val="en"/>
        </w:rPr>
      </w:pPr>
      <w:r>
        <w:rPr>
          <w:lang w:val="en"/>
        </w:rPr>
        <w:t xml:space="preserve">Dr. Meissner provided a review of data for meningococcal disease in the United States and the licensed meningococcal B </w:t>
      </w:r>
      <w:r w:rsidR="002433D2">
        <w:rPr>
          <w:lang w:val="en"/>
        </w:rPr>
        <w:t>(</w:t>
      </w:r>
      <w:proofErr w:type="spellStart"/>
      <w:r w:rsidR="001E2B5F">
        <w:rPr>
          <w:lang w:val="en"/>
        </w:rPr>
        <w:t>Men</w:t>
      </w:r>
      <w:r w:rsidR="00B33F1D">
        <w:rPr>
          <w:lang w:val="en"/>
        </w:rPr>
        <w:t>B</w:t>
      </w:r>
      <w:proofErr w:type="spellEnd"/>
      <w:r w:rsidR="002433D2">
        <w:rPr>
          <w:lang w:val="en"/>
        </w:rPr>
        <w:t xml:space="preserve">) </w:t>
      </w:r>
      <w:r>
        <w:rPr>
          <w:lang w:val="en"/>
        </w:rPr>
        <w:t>vaccines.</w:t>
      </w:r>
      <w:r w:rsidR="002433D2">
        <w:rPr>
          <w:lang w:val="en"/>
        </w:rPr>
        <w:t xml:space="preserve"> </w:t>
      </w:r>
    </w:p>
    <w:p w:rsidR="00B33F1D" w:rsidRDefault="00B33F1D" w:rsidP="000B3377">
      <w:pPr>
        <w:rPr>
          <w:lang w:val="en"/>
        </w:rPr>
      </w:pPr>
    </w:p>
    <w:p w:rsidR="004E2D37" w:rsidRDefault="002433D2" w:rsidP="000B3377">
      <w:pPr>
        <w:rPr>
          <w:lang w:val="en"/>
        </w:rPr>
      </w:pPr>
      <w:r>
        <w:rPr>
          <w:lang w:val="en"/>
        </w:rPr>
        <w:t>He noted that rates of meningococcal disease in the U.S. are declining.</w:t>
      </w:r>
    </w:p>
    <w:p w:rsidR="000B3377" w:rsidRDefault="000B3377" w:rsidP="002A24AC">
      <w:pPr>
        <w:rPr>
          <w:lang w:val="en"/>
        </w:rPr>
      </w:pPr>
    </w:p>
    <w:p w:rsidR="002433D2" w:rsidRDefault="00CF47DC" w:rsidP="002433D2">
      <w:pPr>
        <w:rPr>
          <w:lang w:val="en"/>
        </w:rPr>
      </w:pPr>
      <w:r>
        <w:rPr>
          <w:lang w:val="en"/>
        </w:rPr>
        <w:lastRenderedPageBreak/>
        <w:t>The c</w:t>
      </w:r>
      <w:r w:rsidR="002433D2">
        <w:rPr>
          <w:lang w:val="en"/>
        </w:rPr>
        <w:t>urrent ACIP and AAP recommendation for use of serogroup meningococcal B vaccines in adolescents and young adults</w:t>
      </w:r>
      <w:r>
        <w:rPr>
          <w:lang w:val="en"/>
        </w:rPr>
        <w:t xml:space="preserve"> is</w:t>
      </w:r>
      <w:r w:rsidR="002433D2">
        <w:rPr>
          <w:lang w:val="en"/>
        </w:rPr>
        <w:t xml:space="preserve">: </w:t>
      </w:r>
    </w:p>
    <w:p w:rsidR="002433D2" w:rsidRDefault="002433D2" w:rsidP="002433D2">
      <w:pPr>
        <w:rPr>
          <w:lang w:val="en"/>
        </w:rPr>
      </w:pPr>
    </w:p>
    <w:p w:rsidR="00CF47DC" w:rsidRDefault="00CF47DC" w:rsidP="00CF47DC">
      <w:pPr>
        <w:numPr>
          <w:ilvl w:val="0"/>
          <w:numId w:val="10"/>
        </w:numPr>
        <w:ind w:left="270" w:hanging="270"/>
      </w:pPr>
      <w:proofErr w:type="spellStart"/>
      <w:r>
        <w:t>MenB</w:t>
      </w:r>
      <w:proofErr w:type="spellEnd"/>
      <w:r>
        <w:t xml:space="preserve"> vaccination is r</w:t>
      </w:r>
      <w:r w:rsidRPr="000B3377">
        <w:t>ecommended for people ≥10 years at increased risk</w:t>
      </w:r>
      <w:r>
        <w:t xml:space="preserve"> </w:t>
      </w:r>
      <w:r w:rsidRPr="000B3377">
        <w:t xml:space="preserve">of </w:t>
      </w:r>
      <w:r>
        <w:t xml:space="preserve">meningococcal B disease (complement deficiency, anatomic/functional </w:t>
      </w:r>
      <w:proofErr w:type="spellStart"/>
      <w:r>
        <w:t>asplenia</w:t>
      </w:r>
      <w:proofErr w:type="spellEnd"/>
      <w:r>
        <w:t xml:space="preserve">, outbreak settings, </w:t>
      </w:r>
      <w:r w:rsidR="00D06BE6">
        <w:t xml:space="preserve">and </w:t>
      </w:r>
      <w:r>
        <w:t>microbiologists.)</w:t>
      </w:r>
      <w:r w:rsidRPr="000B3377">
        <w:t xml:space="preserve"> (</w:t>
      </w:r>
      <w:r>
        <w:t>C</w:t>
      </w:r>
      <w:r w:rsidRPr="000B3377">
        <w:t>ategory A</w:t>
      </w:r>
      <w:r>
        <w:t xml:space="preserve"> recommendation.)</w:t>
      </w:r>
    </w:p>
    <w:p w:rsidR="00CF47DC" w:rsidRPr="000B3377" w:rsidRDefault="00CF47DC" w:rsidP="00CF47DC">
      <w:pPr>
        <w:numPr>
          <w:ilvl w:val="0"/>
          <w:numId w:val="10"/>
        </w:numPr>
        <w:ind w:left="270" w:hanging="270"/>
      </w:pPr>
      <w:proofErr w:type="spellStart"/>
      <w:r>
        <w:t>MenB</w:t>
      </w:r>
      <w:proofErr w:type="spellEnd"/>
      <w:r>
        <w:t xml:space="preserve"> vaccine m</w:t>
      </w:r>
      <w:r w:rsidRPr="000B3377">
        <w:t>ay be administered to adolescents and young adults 16 through 23 years of age to provide short term protection against most group B strains (</w:t>
      </w:r>
      <w:r>
        <w:t>C</w:t>
      </w:r>
      <w:r w:rsidRPr="000B3377">
        <w:t>ategory B</w:t>
      </w:r>
      <w:r>
        <w:t xml:space="preserve"> recommendation</w:t>
      </w:r>
      <w:r w:rsidRPr="000B3377">
        <w:t>)</w:t>
      </w:r>
      <w:r>
        <w:t xml:space="preserve">. </w:t>
      </w:r>
    </w:p>
    <w:p w:rsidR="002433D2" w:rsidRDefault="002433D2" w:rsidP="002433D2">
      <w:pPr>
        <w:numPr>
          <w:ilvl w:val="0"/>
          <w:numId w:val="10"/>
        </w:numPr>
        <w:ind w:left="270" w:hanging="270"/>
      </w:pPr>
      <w:r w:rsidRPr="000B3377">
        <w:t xml:space="preserve">The preferred age for </w:t>
      </w:r>
      <w:proofErr w:type="spellStart"/>
      <w:r w:rsidR="001E2B5F" w:rsidRPr="000B3377">
        <w:t>Men</w:t>
      </w:r>
      <w:r w:rsidR="00CF47DC">
        <w:t>B</w:t>
      </w:r>
      <w:proofErr w:type="spellEnd"/>
      <w:r w:rsidRPr="000B3377">
        <w:t xml:space="preserve"> vaccination is 16 through 18 years of age</w:t>
      </w:r>
      <w:r>
        <w:t>.</w:t>
      </w:r>
    </w:p>
    <w:p w:rsidR="002433D2" w:rsidRDefault="002433D2" w:rsidP="002A24AC">
      <w:pPr>
        <w:rPr>
          <w:lang w:val="en"/>
        </w:rPr>
      </w:pPr>
    </w:p>
    <w:p w:rsidR="000B3377" w:rsidRPr="000B3377" w:rsidRDefault="000B3377" w:rsidP="002433D2">
      <w:r>
        <w:rPr>
          <w:lang w:val="en"/>
        </w:rPr>
        <w:t>There are currently two licensed meningococcal serogroup B vaccines for persons aged 10 through 2</w:t>
      </w:r>
      <w:r w:rsidR="002433D2">
        <w:rPr>
          <w:lang w:val="en"/>
        </w:rPr>
        <w:t>5 years (</w:t>
      </w:r>
      <w:proofErr w:type="spellStart"/>
      <w:r w:rsidR="00CF47DC">
        <w:rPr>
          <w:lang w:val="en"/>
        </w:rPr>
        <w:t>Bexsero</w:t>
      </w:r>
      <w:proofErr w:type="spellEnd"/>
      <w:r w:rsidR="00CF47DC">
        <w:rPr>
          <w:lang w:val="en"/>
        </w:rPr>
        <w:t xml:space="preserve">-GSK; </w:t>
      </w:r>
      <w:proofErr w:type="spellStart"/>
      <w:r w:rsidR="00CF47DC">
        <w:rPr>
          <w:lang w:val="en"/>
        </w:rPr>
        <w:t>Trumenba</w:t>
      </w:r>
      <w:proofErr w:type="spellEnd"/>
      <w:r w:rsidR="00CF47DC">
        <w:rPr>
          <w:lang w:val="en"/>
        </w:rPr>
        <w:t>-Pfizer</w:t>
      </w:r>
      <w:r w:rsidR="002433D2">
        <w:rPr>
          <w:lang w:val="en"/>
        </w:rPr>
        <w:t>).</w:t>
      </w:r>
    </w:p>
    <w:p w:rsidR="000B3377" w:rsidRPr="000B3377" w:rsidRDefault="000B3377" w:rsidP="000B3377"/>
    <w:p w:rsidR="002433D2" w:rsidRDefault="002433D2" w:rsidP="002A24AC">
      <w:pPr>
        <w:rPr>
          <w:lang w:val="en"/>
        </w:rPr>
      </w:pPr>
      <w:r>
        <w:rPr>
          <w:lang w:val="en"/>
        </w:rPr>
        <w:t xml:space="preserve">Data shows that college students have a lower/equal risk of </w:t>
      </w:r>
      <w:proofErr w:type="spellStart"/>
      <w:r>
        <w:rPr>
          <w:lang w:val="en"/>
        </w:rPr>
        <w:t>MenB</w:t>
      </w:r>
      <w:proofErr w:type="spellEnd"/>
      <w:r w:rsidR="00CF47DC">
        <w:rPr>
          <w:lang w:val="en"/>
        </w:rPr>
        <w:t xml:space="preserve"> disease</w:t>
      </w:r>
      <w:r>
        <w:rPr>
          <w:lang w:val="en"/>
        </w:rPr>
        <w:t xml:space="preserve"> than non-college students.</w:t>
      </w:r>
    </w:p>
    <w:p w:rsidR="002433D2" w:rsidRDefault="002433D2" w:rsidP="002A24AC">
      <w:pPr>
        <w:rPr>
          <w:lang w:val="en"/>
        </w:rPr>
      </w:pPr>
    </w:p>
    <w:p w:rsidR="002433D2" w:rsidRPr="00D9526B" w:rsidRDefault="002433D2" w:rsidP="002A24AC">
      <w:pPr>
        <w:rPr>
          <w:color w:val="000000"/>
          <w:kern w:val="24"/>
          <w:sz w:val="80"/>
          <w:szCs w:val="80"/>
        </w:rPr>
      </w:pPr>
      <w:r w:rsidRPr="002433D2">
        <w:rPr>
          <w:lang w:val="en"/>
        </w:rPr>
        <w:t>A summar</w:t>
      </w:r>
      <w:r>
        <w:rPr>
          <w:lang w:val="en"/>
        </w:rPr>
        <w:t>y of dif</w:t>
      </w:r>
      <w:r w:rsidR="00C81427">
        <w:rPr>
          <w:lang w:val="en"/>
        </w:rPr>
        <w:t>f</w:t>
      </w:r>
      <w:r>
        <w:rPr>
          <w:lang w:val="en"/>
        </w:rPr>
        <w:t xml:space="preserve">erent </w:t>
      </w:r>
      <w:r w:rsidR="001E2B5F">
        <w:rPr>
          <w:lang w:val="en"/>
        </w:rPr>
        <w:t>Men</w:t>
      </w:r>
      <w:r>
        <w:rPr>
          <w:lang w:val="en"/>
        </w:rPr>
        <w:t xml:space="preserve"> series</w:t>
      </w:r>
      <w:r w:rsidR="00C81427">
        <w:rPr>
          <w:lang w:val="en"/>
        </w:rPr>
        <w:t xml:space="preserve"> </w:t>
      </w:r>
      <w:r>
        <w:rPr>
          <w:lang w:val="en"/>
        </w:rPr>
        <w:t>cost-effectiveness strategies was reviewed.</w:t>
      </w:r>
    </w:p>
    <w:p w:rsidR="002433D2" w:rsidRDefault="002433D2" w:rsidP="002A24AC">
      <w:pPr>
        <w:rPr>
          <w:lang w:val="en"/>
        </w:rPr>
      </w:pPr>
    </w:p>
    <w:p w:rsidR="00C81427" w:rsidRDefault="00C81427" w:rsidP="002A24AC">
      <w:r>
        <w:t xml:space="preserve">There are unresolved issues regarding the </w:t>
      </w:r>
      <w:proofErr w:type="spellStart"/>
      <w:r w:rsidR="001E2B5F">
        <w:t>Men</w:t>
      </w:r>
      <w:r w:rsidR="00CF47DC">
        <w:t>B</w:t>
      </w:r>
      <w:proofErr w:type="spellEnd"/>
      <w:r>
        <w:t xml:space="preserve"> vaccines. These issues include:</w:t>
      </w:r>
    </w:p>
    <w:p w:rsidR="00D9526B" w:rsidRPr="00C81427" w:rsidRDefault="00CF47DC" w:rsidP="00C81427">
      <w:pPr>
        <w:numPr>
          <w:ilvl w:val="0"/>
          <w:numId w:val="12"/>
        </w:numPr>
        <w:ind w:left="270" w:hanging="270"/>
      </w:pPr>
      <w:r>
        <w:t>The d</w:t>
      </w:r>
      <w:r w:rsidR="00C81427" w:rsidRPr="00C81427">
        <w:t xml:space="preserve">uration of antibody persistence </w:t>
      </w:r>
      <w:r>
        <w:t xml:space="preserve">is </w:t>
      </w:r>
      <w:r w:rsidR="00C81427" w:rsidRPr="00C81427">
        <w:t>unknown</w:t>
      </w:r>
      <w:r>
        <w:t>;</w:t>
      </w:r>
    </w:p>
    <w:p w:rsidR="00D9526B" w:rsidRPr="00C81427" w:rsidRDefault="00CF47DC" w:rsidP="00C81427">
      <w:pPr>
        <w:numPr>
          <w:ilvl w:val="0"/>
          <w:numId w:val="12"/>
        </w:numPr>
        <w:ind w:left="270" w:hanging="270"/>
      </w:pPr>
      <w:r>
        <w:t>The n</w:t>
      </w:r>
      <w:r w:rsidR="00C81427" w:rsidRPr="00C81427">
        <w:t xml:space="preserve">umber of vaccine-preventable cases </w:t>
      </w:r>
      <w:r>
        <w:t xml:space="preserve">is </w:t>
      </w:r>
      <w:r w:rsidR="00C81427" w:rsidRPr="00C81427">
        <w:t>not known</w:t>
      </w:r>
      <w:r>
        <w:t>;</w:t>
      </w:r>
    </w:p>
    <w:p w:rsidR="00D9526B" w:rsidRPr="00C81427" w:rsidRDefault="00CF47DC" w:rsidP="00C81427">
      <w:pPr>
        <w:numPr>
          <w:ilvl w:val="0"/>
          <w:numId w:val="12"/>
        </w:numPr>
        <w:ind w:left="270" w:hanging="270"/>
      </w:pPr>
      <w:r>
        <w:t>The i</w:t>
      </w:r>
      <w:r w:rsidR="00C81427" w:rsidRPr="00C81427">
        <w:t xml:space="preserve">mpact on carriage </w:t>
      </w:r>
      <w:r>
        <w:t xml:space="preserve">is </w:t>
      </w:r>
      <w:r w:rsidR="00C81427" w:rsidRPr="00C81427">
        <w:t>not known</w:t>
      </w:r>
      <w:r>
        <w:t>;</w:t>
      </w:r>
    </w:p>
    <w:p w:rsidR="00D9526B" w:rsidRPr="00C81427" w:rsidRDefault="00C81427" w:rsidP="00C81427">
      <w:pPr>
        <w:numPr>
          <w:ilvl w:val="0"/>
          <w:numId w:val="12"/>
        </w:numPr>
        <w:ind w:left="270" w:hanging="270"/>
      </w:pPr>
      <w:r w:rsidRPr="00C81427">
        <w:t xml:space="preserve">Vaccine pressure on circulating strains </w:t>
      </w:r>
      <w:r w:rsidR="00CF47DC">
        <w:t xml:space="preserve">is </w:t>
      </w:r>
      <w:r w:rsidRPr="00C81427">
        <w:t>not known</w:t>
      </w:r>
      <w:r w:rsidR="00CF47DC">
        <w:t>;</w:t>
      </w:r>
    </w:p>
    <w:p w:rsidR="00D9526B" w:rsidRPr="00C81427" w:rsidRDefault="00CF47DC" w:rsidP="00C81427">
      <w:pPr>
        <w:numPr>
          <w:ilvl w:val="0"/>
          <w:numId w:val="12"/>
        </w:numPr>
        <w:ind w:left="270" w:hanging="270"/>
      </w:pPr>
      <w:r>
        <w:t>Vaccine sa</w:t>
      </w:r>
      <w:r w:rsidR="00C81427" w:rsidRPr="00C81427">
        <w:t xml:space="preserve">fety </w:t>
      </w:r>
      <w:r>
        <w:t xml:space="preserve">is </w:t>
      </w:r>
      <w:r w:rsidR="00C81427" w:rsidRPr="00C81427">
        <w:t>uncertain</w:t>
      </w:r>
      <w:r>
        <w:t>;</w:t>
      </w:r>
    </w:p>
    <w:p w:rsidR="00D9526B" w:rsidRPr="00C81427" w:rsidRDefault="00C81427" w:rsidP="00C81427">
      <w:pPr>
        <w:numPr>
          <w:ilvl w:val="3"/>
          <w:numId w:val="12"/>
        </w:numPr>
        <w:ind w:left="900" w:hanging="270"/>
      </w:pPr>
      <w:r w:rsidRPr="00C81427">
        <w:t>Theoretical concerns about safety from animal models regarding autoimmune disease</w:t>
      </w:r>
      <w:r w:rsidR="00CF47DC">
        <w:t>;</w:t>
      </w:r>
    </w:p>
    <w:p w:rsidR="00D9526B" w:rsidRPr="00C81427" w:rsidRDefault="00C81427" w:rsidP="00C81427">
      <w:pPr>
        <w:numPr>
          <w:ilvl w:val="3"/>
          <w:numId w:val="12"/>
        </w:numPr>
        <w:ind w:left="900" w:hanging="270"/>
      </w:pPr>
      <w:r w:rsidRPr="00C81427">
        <w:t>FDA aware of concerns at time of licensure</w:t>
      </w:r>
      <w:r w:rsidR="00CF47DC">
        <w:t>.</w:t>
      </w:r>
    </w:p>
    <w:p w:rsidR="00D9526B" w:rsidRPr="00C81427" w:rsidRDefault="00CF47DC" w:rsidP="00C81427">
      <w:pPr>
        <w:numPr>
          <w:ilvl w:val="0"/>
          <w:numId w:val="12"/>
        </w:numPr>
        <w:ind w:left="270" w:hanging="270"/>
      </w:pPr>
      <w:r>
        <w:t>The q</w:t>
      </w:r>
      <w:r w:rsidR="008614F4">
        <w:t>uality-adjusted life year (</w:t>
      </w:r>
      <w:r w:rsidR="00C81427" w:rsidRPr="00C81427">
        <w:t>QALY</w:t>
      </w:r>
      <w:r w:rsidR="008614F4">
        <w:t>)</w:t>
      </w:r>
      <w:r w:rsidR="00C81427" w:rsidRPr="00C81427">
        <w:t xml:space="preserve"> saved is &gt;20 times higher than </w:t>
      </w:r>
      <w:r>
        <w:t xml:space="preserve">for </w:t>
      </w:r>
      <w:r w:rsidR="00C81427" w:rsidRPr="00C81427">
        <w:t>any other vaccine</w:t>
      </w:r>
      <w:r>
        <w:t>.</w:t>
      </w:r>
    </w:p>
    <w:p w:rsidR="000F41A0" w:rsidRDefault="000F41A0" w:rsidP="002A24AC">
      <w:pPr>
        <w:rPr>
          <w:lang w:val="en"/>
        </w:rPr>
      </w:pPr>
    </w:p>
    <w:p w:rsidR="008614F4" w:rsidRDefault="008614F4" w:rsidP="002A24AC">
      <w:pPr>
        <w:rPr>
          <w:lang w:val="en"/>
        </w:rPr>
      </w:pPr>
      <w:r>
        <w:rPr>
          <w:lang w:val="en"/>
        </w:rPr>
        <w:t>Discussion ensued about how public health policy is determined and whether there will ever be a vaccine that is too expensive to recommend (QALY threshold). QALY methodology is not infallible It was noted that the emotional components of public health policy are not factored into QALY measurements.</w:t>
      </w:r>
    </w:p>
    <w:p w:rsidR="008614F4" w:rsidRDefault="008614F4" w:rsidP="002A24AC">
      <w:pPr>
        <w:rPr>
          <w:lang w:val="en"/>
        </w:rPr>
      </w:pPr>
    </w:p>
    <w:p w:rsidR="000F41A0" w:rsidRPr="000F41A0" w:rsidRDefault="000F41A0" w:rsidP="002A24AC">
      <w:pPr>
        <w:rPr>
          <w:b/>
          <w:lang w:val="en"/>
        </w:rPr>
      </w:pPr>
      <w:r w:rsidRPr="000F41A0">
        <w:rPr>
          <w:b/>
          <w:lang w:val="en"/>
        </w:rPr>
        <w:t>Council Deliberation</w:t>
      </w:r>
    </w:p>
    <w:p w:rsidR="003F116C" w:rsidRDefault="003F116C" w:rsidP="002A24AC">
      <w:pPr>
        <w:rPr>
          <w:lang w:val="en"/>
        </w:rPr>
      </w:pPr>
    </w:p>
    <w:p w:rsidR="000F41A0" w:rsidRDefault="000F41A0" w:rsidP="002A24AC">
      <w:pPr>
        <w:rPr>
          <w:lang w:val="en"/>
        </w:rPr>
      </w:pPr>
      <w:r>
        <w:rPr>
          <w:lang w:val="en"/>
        </w:rPr>
        <w:t xml:space="preserve">Mr. Talebian noted that the Council first discussed </w:t>
      </w:r>
      <w:proofErr w:type="spellStart"/>
      <w:r w:rsidR="001E2B5F">
        <w:rPr>
          <w:lang w:val="en"/>
        </w:rPr>
        <w:t>Men</w:t>
      </w:r>
      <w:r w:rsidR="00CF47DC">
        <w:rPr>
          <w:lang w:val="en"/>
        </w:rPr>
        <w:t>B</w:t>
      </w:r>
      <w:proofErr w:type="spellEnd"/>
      <w:r>
        <w:rPr>
          <w:lang w:val="en"/>
        </w:rPr>
        <w:t xml:space="preserve"> vaccines at its October 2015 meeting. At that time the Council recommended that a decision regarding inclusion of </w:t>
      </w:r>
      <w:proofErr w:type="spellStart"/>
      <w:r w:rsidR="001E2B5F">
        <w:rPr>
          <w:lang w:val="en"/>
        </w:rPr>
        <w:t>Men</w:t>
      </w:r>
      <w:r w:rsidR="00CF47DC">
        <w:rPr>
          <w:lang w:val="en"/>
        </w:rPr>
        <w:t>B</w:t>
      </w:r>
      <w:proofErr w:type="spellEnd"/>
      <w:r>
        <w:rPr>
          <w:lang w:val="en"/>
        </w:rPr>
        <w:t xml:space="preserve"> vaccines in the DPH formulary be deferred, allowing time to consider th</w:t>
      </w:r>
      <w:r w:rsidR="00CF47DC">
        <w:rPr>
          <w:lang w:val="en"/>
        </w:rPr>
        <w:t xml:space="preserve">e </w:t>
      </w:r>
      <w:r>
        <w:rPr>
          <w:lang w:val="en"/>
        </w:rPr>
        <w:t>Category B recommendation.</w:t>
      </w:r>
    </w:p>
    <w:p w:rsidR="000F41A0" w:rsidRDefault="000F41A0" w:rsidP="002A24AC">
      <w:pPr>
        <w:rPr>
          <w:lang w:val="en"/>
        </w:rPr>
      </w:pPr>
    </w:p>
    <w:p w:rsidR="006376DF" w:rsidRDefault="000F41A0" w:rsidP="002A24AC">
      <w:pPr>
        <w:rPr>
          <w:lang w:val="en"/>
        </w:rPr>
      </w:pPr>
      <w:r>
        <w:rPr>
          <w:lang w:val="en"/>
        </w:rPr>
        <w:t xml:space="preserve">DPH </w:t>
      </w:r>
      <w:r w:rsidR="00CF47DC">
        <w:rPr>
          <w:lang w:val="en"/>
        </w:rPr>
        <w:t xml:space="preserve">currently </w:t>
      </w:r>
      <w:r>
        <w:rPr>
          <w:lang w:val="en"/>
        </w:rPr>
        <w:t xml:space="preserve">supplies </w:t>
      </w:r>
      <w:proofErr w:type="spellStart"/>
      <w:r w:rsidR="001E2B5F">
        <w:rPr>
          <w:lang w:val="en"/>
        </w:rPr>
        <w:t>Men</w:t>
      </w:r>
      <w:r w:rsidR="00CF47DC">
        <w:rPr>
          <w:lang w:val="en"/>
        </w:rPr>
        <w:t>B</w:t>
      </w:r>
      <w:proofErr w:type="spellEnd"/>
      <w:r>
        <w:rPr>
          <w:lang w:val="en"/>
        </w:rPr>
        <w:t xml:space="preserve"> vaccines for high-risk children aged 10 </w:t>
      </w:r>
      <w:r w:rsidR="00CF47DC">
        <w:rPr>
          <w:lang w:val="en"/>
        </w:rPr>
        <w:t>through 18 years of age</w:t>
      </w:r>
      <w:r>
        <w:rPr>
          <w:lang w:val="en"/>
        </w:rPr>
        <w:t>, and for VFC-eligible children aged 16</w:t>
      </w:r>
      <w:r w:rsidR="00CF47DC">
        <w:rPr>
          <w:lang w:val="en"/>
        </w:rPr>
        <w:t xml:space="preserve"> to </w:t>
      </w:r>
      <w:r>
        <w:rPr>
          <w:lang w:val="en"/>
        </w:rPr>
        <w:t>18 years of age.</w:t>
      </w:r>
    </w:p>
    <w:p w:rsidR="000F41A0" w:rsidRDefault="000F41A0" w:rsidP="002A24AC">
      <w:pPr>
        <w:rPr>
          <w:lang w:val="en"/>
        </w:rPr>
      </w:pPr>
    </w:p>
    <w:p w:rsidR="000F41A0" w:rsidRDefault="000F41A0" w:rsidP="002A24AC">
      <w:pPr>
        <w:rPr>
          <w:lang w:val="en"/>
        </w:rPr>
      </w:pPr>
      <w:r>
        <w:rPr>
          <w:lang w:val="en"/>
        </w:rPr>
        <w:t xml:space="preserve">A chart detailing </w:t>
      </w:r>
      <w:r w:rsidR="00CF47DC">
        <w:rPr>
          <w:lang w:val="en"/>
        </w:rPr>
        <w:t xml:space="preserve">the </w:t>
      </w:r>
      <w:r>
        <w:rPr>
          <w:lang w:val="en"/>
        </w:rPr>
        <w:t xml:space="preserve">distribution of state-supplied MCV4 and </w:t>
      </w:r>
      <w:proofErr w:type="spellStart"/>
      <w:r w:rsidR="001E2B5F">
        <w:rPr>
          <w:lang w:val="en"/>
        </w:rPr>
        <w:t>Men</w:t>
      </w:r>
      <w:r w:rsidR="00CF47DC">
        <w:rPr>
          <w:lang w:val="en"/>
        </w:rPr>
        <w:t>B</w:t>
      </w:r>
      <w:proofErr w:type="spellEnd"/>
      <w:r>
        <w:rPr>
          <w:lang w:val="en"/>
        </w:rPr>
        <w:t xml:space="preserve"> vaccines from July 2015-September 2016 was reviewed.</w:t>
      </w:r>
    </w:p>
    <w:p w:rsidR="000F41A0" w:rsidRDefault="000F41A0" w:rsidP="002A24AC">
      <w:pPr>
        <w:rPr>
          <w:lang w:val="en"/>
        </w:rPr>
      </w:pPr>
    </w:p>
    <w:p w:rsidR="0095723A" w:rsidRDefault="0095723A" w:rsidP="0095723A">
      <w:pPr>
        <w:rPr>
          <w:lang w:val="en"/>
        </w:rPr>
      </w:pPr>
      <w:r>
        <w:rPr>
          <w:lang w:val="en"/>
        </w:rPr>
        <w:lastRenderedPageBreak/>
        <w:t>Mr. Talebian reviewed the following options for Council deliberation:</w:t>
      </w:r>
    </w:p>
    <w:p w:rsidR="0095723A" w:rsidRDefault="0095723A" w:rsidP="0095723A">
      <w:pPr>
        <w:numPr>
          <w:ilvl w:val="0"/>
          <w:numId w:val="14"/>
        </w:numPr>
        <w:ind w:left="270" w:hanging="270"/>
        <w:rPr>
          <w:lang w:val="en"/>
        </w:rPr>
      </w:pPr>
      <w:r>
        <w:rPr>
          <w:lang w:val="en"/>
        </w:rPr>
        <w:t xml:space="preserve">Recommend that DPH maintain its current policy of </w:t>
      </w:r>
      <w:r w:rsidR="00822AE6">
        <w:rPr>
          <w:lang w:val="en"/>
        </w:rPr>
        <w:t xml:space="preserve">universally </w:t>
      </w:r>
      <w:r>
        <w:rPr>
          <w:lang w:val="en"/>
        </w:rPr>
        <w:t xml:space="preserve">providing </w:t>
      </w:r>
      <w:proofErr w:type="spellStart"/>
      <w:r>
        <w:rPr>
          <w:lang w:val="en"/>
        </w:rPr>
        <w:t>MenB</w:t>
      </w:r>
      <w:proofErr w:type="spellEnd"/>
      <w:r>
        <w:rPr>
          <w:lang w:val="en"/>
        </w:rPr>
        <w:t xml:space="preserve"> vaccines for </w:t>
      </w:r>
      <w:r>
        <w:t>high risk children 10 through 18 years of age and for VFC-eligible children 16 to 18 years of age (Category B recommendation).</w:t>
      </w:r>
    </w:p>
    <w:p w:rsidR="0095723A" w:rsidRDefault="0095723A" w:rsidP="0095723A">
      <w:pPr>
        <w:numPr>
          <w:ilvl w:val="0"/>
          <w:numId w:val="14"/>
        </w:numPr>
        <w:ind w:left="270" w:hanging="270"/>
        <w:rPr>
          <w:lang w:val="en"/>
        </w:rPr>
      </w:pPr>
      <w:r>
        <w:rPr>
          <w:lang w:val="en"/>
        </w:rPr>
        <w:t xml:space="preserve">Recommend that DPH change its policy to include </w:t>
      </w:r>
      <w:r w:rsidR="00822AE6">
        <w:rPr>
          <w:lang w:val="en"/>
        </w:rPr>
        <w:t xml:space="preserve">universally supply </w:t>
      </w:r>
      <w:proofErr w:type="spellStart"/>
      <w:r w:rsidR="00822AE6">
        <w:rPr>
          <w:lang w:val="en"/>
        </w:rPr>
        <w:t>MenB</w:t>
      </w:r>
      <w:proofErr w:type="spellEnd"/>
      <w:r w:rsidR="00822AE6">
        <w:rPr>
          <w:lang w:val="en"/>
        </w:rPr>
        <w:t xml:space="preserve"> vaccines for all Category A and Category B recommendations including healthy adolescents 16 to 18 years of age.  </w:t>
      </w:r>
    </w:p>
    <w:p w:rsidR="0095723A" w:rsidRDefault="0095723A" w:rsidP="0095723A">
      <w:pPr>
        <w:numPr>
          <w:ilvl w:val="0"/>
          <w:numId w:val="14"/>
        </w:numPr>
        <w:ind w:left="270" w:hanging="270"/>
        <w:rPr>
          <w:lang w:val="en"/>
        </w:rPr>
      </w:pPr>
      <w:r>
        <w:rPr>
          <w:lang w:val="en"/>
        </w:rPr>
        <w:t>Defer a decision for future Council deliberation.</w:t>
      </w:r>
    </w:p>
    <w:p w:rsidR="0095723A" w:rsidRDefault="0095723A" w:rsidP="002A24AC">
      <w:pPr>
        <w:rPr>
          <w:lang w:val="en"/>
        </w:rPr>
      </w:pPr>
    </w:p>
    <w:p w:rsidR="0095723A" w:rsidRDefault="0095723A" w:rsidP="002A24AC">
      <w:pPr>
        <w:rPr>
          <w:lang w:val="en"/>
        </w:rPr>
      </w:pPr>
      <w:r>
        <w:rPr>
          <w:lang w:val="en"/>
        </w:rPr>
        <w:t>Council discussion ensued.</w:t>
      </w:r>
    </w:p>
    <w:p w:rsidR="0095723A" w:rsidRDefault="0095723A" w:rsidP="002A24AC">
      <w:pPr>
        <w:rPr>
          <w:lang w:val="en"/>
        </w:rPr>
      </w:pPr>
    </w:p>
    <w:p w:rsidR="000F41A0" w:rsidRDefault="000F41A0" w:rsidP="002A24AC">
      <w:pPr>
        <w:rPr>
          <w:lang w:val="en"/>
        </w:rPr>
      </w:pPr>
      <w:r>
        <w:rPr>
          <w:lang w:val="en"/>
        </w:rPr>
        <w:t xml:space="preserve">It is not </w:t>
      </w:r>
      <w:r w:rsidR="0095723A">
        <w:rPr>
          <w:lang w:val="en"/>
        </w:rPr>
        <w:t xml:space="preserve">currently </w:t>
      </w:r>
      <w:r>
        <w:rPr>
          <w:lang w:val="en"/>
        </w:rPr>
        <w:t>known whether p</w:t>
      </w:r>
      <w:r w:rsidR="000075D7">
        <w:rPr>
          <w:lang w:val="en"/>
        </w:rPr>
        <w:t>roviders</w:t>
      </w:r>
      <w:r>
        <w:rPr>
          <w:lang w:val="en"/>
        </w:rPr>
        <w:t xml:space="preserve"> are recommending </w:t>
      </w:r>
      <w:proofErr w:type="spellStart"/>
      <w:r w:rsidR="001E2B5F">
        <w:rPr>
          <w:lang w:val="en"/>
        </w:rPr>
        <w:t>Men</w:t>
      </w:r>
      <w:r w:rsidR="000075D7">
        <w:rPr>
          <w:lang w:val="en"/>
        </w:rPr>
        <w:t>B</w:t>
      </w:r>
      <w:proofErr w:type="spellEnd"/>
      <w:r>
        <w:rPr>
          <w:lang w:val="en"/>
        </w:rPr>
        <w:t xml:space="preserve"> vaccines. </w:t>
      </w:r>
      <w:r w:rsidR="001E2B5F">
        <w:rPr>
          <w:lang w:val="en"/>
        </w:rPr>
        <w:t>Anecdotally</w:t>
      </w:r>
      <w:r>
        <w:rPr>
          <w:lang w:val="en"/>
        </w:rPr>
        <w:t>, it appears that some physicians are providing the vaccine if requested, some are recommending the vaccine and some are not offering or recommending it.</w:t>
      </w:r>
    </w:p>
    <w:p w:rsidR="000F41A0" w:rsidRDefault="000F41A0" w:rsidP="002A24AC">
      <w:pPr>
        <w:rPr>
          <w:lang w:val="en"/>
        </w:rPr>
      </w:pPr>
    </w:p>
    <w:p w:rsidR="003F116C" w:rsidRDefault="003F116C" w:rsidP="002A24AC">
      <w:pPr>
        <w:rPr>
          <w:lang w:val="en"/>
        </w:rPr>
      </w:pPr>
      <w:r>
        <w:rPr>
          <w:lang w:val="en"/>
        </w:rPr>
        <w:t>T</w:t>
      </w:r>
      <w:r w:rsidR="006320B4">
        <w:rPr>
          <w:lang w:val="en"/>
        </w:rPr>
        <w:t>he</w:t>
      </w:r>
      <w:r>
        <w:rPr>
          <w:lang w:val="en"/>
        </w:rPr>
        <w:t xml:space="preserve"> cost to DPH to supply </w:t>
      </w:r>
      <w:r w:rsidR="000075D7">
        <w:rPr>
          <w:lang w:val="en"/>
        </w:rPr>
        <w:t xml:space="preserve">non-VFC </w:t>
      </w:r>
      <w:proofErr w:type="spellStart"/>
      <w:r>
        <w:rPr>
          <w:lang w:val="en"/>
        </w:rPr>
        <w:t>MenB</w:t>
      </w:r>
      <w:proofErr w:type="spellEnd"/>
      <w:r>
        <w:rPr>
          <w:lang w:val="en"/>
        </w:rPr>
        <w:t xml:space="preserve"> vaccines universally would be approximately </w:t>
      </w:r>
      <w:r w:rsidR="000075D7">
        <w:rPr>
          <w:lang w:val="en"/>
        </w:rPr>
        <w:t>$</w:t>
      </w:r>
      <w:r>
        <w:rPr>
          <w:lang w:val="en"/>
        </w:rPr>
        <w:t xml:space="preserve">6-7 </w:t>
      </w:r>
      <w:r w:rsidR="000075D7">
        <w:rPr>
          <w:lang w:val="en"/>
        </w:rPr>
        <w:t>million.</w:t>
      </w:r>
      <w:r>
        <w:rPr>
          <w:lang w:val="en"/>
        </w:rPr>
        <w:t xml:space="preserve"> The total DPH budget is </w:t>
      </w:r>
      <w:r w:rsidR="00822AE6">
        <w:rPr>
          <w:lang w:val="en"/>
        </w:rPr>
        <w:t xml:space="preserve">close to </w:t>
      </w:r>
      <w:r w:rsidR="000075D7">
        <w:rPr>
          <w:lang w:val="en"/>
        </w:rPr>
        <w:t>$</w:t>
      </w:r>
      <w:r w:rsidR="00822AE6">
        <w:rPr>
          <w:lang w:val="en"/>
        </w:rPr>
        <w:t>16</w:t>
      </w:r>
      <w:r>
        <w:rPr>
          <w:lang w:val="en"/>
        </w:rPr>
        <w:t>0 million.</w:t>
      </w:r>
    </w:p>
    <w:p w:rsidR="003F116C" w:rsidRDefault="003F116C" w:rsidP="002A24AC">
      <w:pPr>
        <w:rPr>
          <w:lang w:val="en"/>
        </w:rPr>
      </w:pPr>
    </w:p>
    <w:p w:rsidR="003F116C" w:rsidRDefault="000075D7" w:rsidP="002A24AC">
      <w:pPr>
        <w:rPr>
          <w:lang w:val="en"/>
        </w:rPr>
      </w:pPr>
      <w:r>
        <w:rPr>
          <w:lang w:val="en"/>
        </w:rPr>
        <w:t>At its October meeting, t</w:t>
      </w:r>
      <w:r w:rsidR="003F116C">
        <w:rPr>
          <w:lang w:val="en"/>
        </w:rPr>
        <w:t xml:space="preserve">he ACIP will be considering </w:t>
      </w:r>
      <w:r>
        <w:rPr>
          <w:lang w:val="en"/>
        </w:rPr>
        <w:t>recommending a reduced HPV vaccine</w:t>
      </w:r>
      <w:r w:rsidR="003F116C">
        <w:rPr>
          <w:lang w:val="en"/>
        </w:rPr>
        <w:t xml:space="preserve"> dosing </w:t>
      </w:r>
      <w:r>
        <w:rPr>
          <w:lang w:val="en"/>
        </w:rPr>
        <w:t>schedule (from 3 doses to 2 doses)</w:t>
      </w:r>
      <w:r w:rsidR="003F116C">
        <w:rPr>
          <w:lang w:val="en"/>
        </w:rPr>
        <w:t xml:space="preserve">. The savings from this reduction could potentially offset the cost to add </w:t>
      </w:r>
      <w:proofErr w:type="spellStart"/>
      <w:r w:rsidR="003F116C">
        <w:rPr>
          <w:lang w:val="en"/>
        </w:rPr>
        <w:t>MenB</w:t>
      </w:r>
      <w:proofErr w:type="spellEnd"/>
      <w:r w:rsidR="003F116C">
        <w:rPr>
          <w:lang w:val="en"/>
        </w:rPr>
        <w:t xml:space="preserve"> vaccines to the formulary.</w:t>
      </w:r>
    </w:p>
    <w:p w:rsidR="003F116C" w:rsidRDefault="003F116C" w:rsidP="002A24AC">
      <w:pPr>
        <w:rPr>
          <w:lang w:val="en"/>
        </w:rPr>
      </w:pPr>
    </w:p>
    <w:p w:rsidR="003F116C" w:rsidRDefault="00822AE6" w:rsidP="002A24AC">
      <w:pPr>
        <w:rPr>
          <w:lang w:val="en"/>
        </w:rPr>
      </w:pPr>
      <w:r>
        <w:rPr>
          <w:lang w:val="en"/>
        </w:rPr>
        <w:t xml:space="preserve">Per the ACA, </w:t>
      </w:r>
      <w:r w:rsidR="002A702B">
        <w:rPr>
          <w:lang w:val="en"/>
        </w:rPr>
        <w:t>i</w:t>
      </w:r>
      <w:r w:rsidR="003F116C">
        <w:rPr>
          <w:lang w:val="en"/>
        </w:rPr>
        <w:t xml:space="preserve">nsurers are required to cover vaccines for which the ACIP has made a Category A or Category B recommendation. Self-insured groups </w:t>
      </w:r>
      <w:r w:rsidR="000075D7">
        <w:rPr>
          <w:lang w:val="en"/>
        </w:rPr>
        <w:t xml:space="preserve">which are grandfathered </w:t>
      </w:r>
      <w:r w:rsidR="003F116C">
        <w:rPr>
          <w:lang w:val="en"/>
        </w:rPr>
        <w:t>are not subject to these requirements.</w:t>
      </w:r>
    </w:p>
    <w:p w:rsidR="003F116C" w:rsidRDefault="003F116C" w:rsidP="002A24AC">
      <w:pPr>
        <w:rPr>
          <w:lang w:val="en"/>
        </w:rPr>
      </w:pPr>
    </w:p>
    <w:p w:rsidR="006320B4" w:rsidRDefault="000075D7" w:rsidP="002A24AC">
      <w:pPr>
        <w:rPr>
          <w:lang w:val="en"/>
        </w:rPr>
      </w:pPr>
      <w:r>
        <w:rPr>
          <w:lang w:val="en"/>
        </w:rPr>
        <w:t xml:space="preserve">A question was asked whether </w:t>
      </w:r>
      <w:r w:rsidR="006320B4">
        <w:rPr>
          <w:lang w:val="en"/>
        </w:rPr>
        <w:t>area colleges requir</w:t>
      </w:r>
      <w:r w:rsidR="002A702B">
        <w:rPr>
          <w:lang w:val="en"/>
        </w:rPr>
        <w:t>e</w:t>
      </w:r>
      <w:r w:rsidR="006320B4">
        <w:rPr>
          <w:lang w:val="en"/>
        </w:rPr>
        <w:t xml:space="preserve"> </w:t>
      </w:r>
      <w:proofErr w:type="spellStart"/>
      <w:r w:rsidR="006320B4">
        <w:rPr>
          <w:lang w:val="en"/>
        </w:rPr>
        <w:t>MenB</w:t>
      </w:r>
      <w:proofErr w:type="spellEnd"/>
      <w:r w:rsidR="006320B4">
        <w:rPr>
          <w:lang w:val="en"/>
        </w:rPr>
        <w:t xml:space="preserve"> vaccine</w:t>
      </w:r>
      <w:r>
        <w:rPr>
          <w:lang w:val="en"/>
        </w:rPr>
        <w:t>.</w:t>
      </w:r>
      <w:r w:rsidR="006320B4">
        <w:rPr>
          <w:lang w:val="en"/>
        </w:rPr>
        <w:t xml:space="preserve"> (Note: </w:t>
      </w:r>
      <w:r w:rsidR="009168C1">
        <w:rPr>
          <w:lang w:val="en"/>
        </w:rPr>
        <w:t>A</w:t>
      </w:r>
      <w:r w:rsidR="006320B4">
        <w:rPr>
          <w:lang w:val="en"/>
        </w:rPr>
        <w:t>t this time</w:t>
      </w:r>
      <w:r w:rsidR="009168C1">
        <w:rPr>
          <w:lang w:val="en"/>
        </w:rPr>
        <w:t xml:space="preserve"> we only know of</w:t>
      </w:r>
      <w:r w:rsidR="006320B4">
        <w:rPr>
          <w:lang w:val="en"/>
        </w:rPr>
        <w:t xml:space="preserve"> Providence Co</w:t>
      </w:r>
      <w:r>
        <w:rPr>
          <w:lang w:val="en"/>
        </w:rPr>
        <w:t>llege requiring the vaccine.</w:t>
      </w:r>
      <w:r w:rsidR="009168C1">
        <w:rPr>
          <w:lang w:val="en"/>
        </w:rPr>
        <w:t xml:space="preserve"> Anecdotally we have heard of a few others nationally.</w:t>
      </w:r>
      <w:r>
        <w:rPr>
          <w:lang w:val="en"/>
        </w:rPr>
        <w:t>)</w:t>
      </w:r>
    </w:p>
    <w:p w:rsidR="006320B4" w:rsidRDefault="006320B4" w:rsidP="002A24AC">
      <w:pPr>
        <w:rPr>
          <w:lang w:val="en"/>
        </w:rPr>
      </w:pPr>
    </w:p>
    <w:p w:rsidR="006320B4" w:rsidRDefault="006320B4" w:rsidP="002A24AC">
      <w:pPr>
        <w:rPr>
          <w:lang w:val="en"/>
        </w:rPr>
      </w:pPr>
      <w:r>
        <w:rPr>
          <w:lang w:val="en"/>
        </w:rPr>
        <w:t xml:space="preserve">If the </w:t>
      </w:r>
      <w:proofErr w:type="spellStart"/>
      <w:r>
        <w:rPr>
          <w:lang w:val="en"/>
        </w:rPr>
        <w:t>MenB</w:t>
      </w:r>
      <w:proofErr w:type="spellEnd"/>
      <w:r>
        <w:rPr>
          <w:lang w:val="en"/>
        </w:rPr>
        <w:t xml:space="preserve"> vaccine is not part of DPH’s formulary, will there be inequity? If the vaccine is not provided by DPH, and not covered by insurance, parents may not want to pay for it. There are a small number of children who are not VFC-eligible</w:t>
      </w:r>
      <w:r w:rsidR="00632810">
        <w:rPr>
          <w:lang w:val="en"/>
        </w:rPr>
        <w:t xml:space="preserve"> and </w:t>
      </w:r>
      <w:r>
        <w:rPr>
          <w:lang w:val="en"/>
        </w:rPr>
        <w:t>are enrolled in grandfathered programs. These children may not be covered, unless they are not seen at a federally-qualified health center (VFC program does cover under-insured children who are seen at a FQHC).</w:t>
      </w:r>
    </w:p>
    <w:p w:rsidR="006320B4" w:rsidRDefault="006320B4" w:rsidP="002A24AC">
      <w:pPr>
        <w:rPr>
          <w:lang w:val="en"/>
        </w:rPr>
      </w:pPr>
    </w:p>
    <w:p w:rsidR="006320B4" w:rsidRDefault="00A343FA" w:rsidP="002A24AC">
      <w:pPr>
        <w:rPr>
          <w:lang w:val="en"/>
        </w:rPr>
      </w:pPr>
      <w:r>
        <w:rPr>
          <w:lang w:val="en"/>
        </w:rPr>
        <w:t>Providers may be confused when a state is “universal” but not all vaccines are included in the state’s formulary. Providers do not want to misuse vaccine. Vaccine uptake may be affected.</w:t>
      </w:r>
    </w:p>
    <w:p w:rsidR="00A343FA" w:rsidRDefault="00A343FA" w:rsidP="002A24AC">
      <w:pPr>
        <w:rPr>
          <w:lang w:val="en"/>
        </w:rPr>
      </w:pPr>
    </w:p>
    <w:p w:rsidR="00DD2583" w:rsidRPr="00632810" w:rsidRDefault="00A343FA" w:rsidP="002A24AC">
      <w:pPr>
        <w:rPr>
          <w:b/>
          <w:lang w:val="en"/>
        </w:rPr>
      </w:pPr>
      <w:r w:rsidRPr="00632810">
        <w:rPr>
          <w:b/>
          <w:lang w:val="en"/>
        </w:rPr>
        <w:t xml:space="preserve">After deliberation, there was consensus that the Council </w:t>
      </w:r>
      <w:proofErr w:type="gramStart"/>
      <w:r w:rsidRPr="00632810">
        <w:rPr>
          <w:b/>
          <w:lang w:val="en"/>
        </w:rPr>
        <w:t>recommend</w:t>
      </w:r>
      <w:proofErr w:type="gramEnd"/>
      <w:r w:rsidRPr="00632810">
        <w:rPr>
          <w:b/>
          <w:lang w:val="en"/>
        </w:rPr>
        <w:t xml:space="preserve"> that DPH </w:t>
      </w:r>
      <w:r w:rsidRPr="00822AE6">
        <w:rPr>
          <w:b/>
          <w:u w:val="single"/>
          <w:lang w:val="en"/>
        </w:rPr>
        <w:t>not</w:t>
      </w:r>
      <w:r w:rsidRPr="00632810">
        <w:rPr>
          <w:b/>
          <w:lang w:val="en"/>
        </w:rPr>
        <w:t xml:space="preserve"> add </w:t>
      </w:r>
      <w:proofErr w:type="spellStart"/>
      <w:r w:rsidRPr="00632810">
        <w:rPr>
          <w:b/>
          <w:lang w:val="en"/>
        </w:rPr>
        <w:t>MenB</w:t>
      </w:r>
      <w:proofErr w:type="spellEnd"/>
      <w:r w:rsidRPr="00632810">
        <w:rPr>
          <w:b/>
          <w:lang w:val="en"/>
        </w:rPr>
        <w:t xml:space="preserve"> vaccines to its universal program. DPH will continue to provide both </w:t>
      </w:r>
      <w:proofErr w:type="spellStart"/>
      <w:r w:rsidRPr="00632810">
        <w:rPr>
          <w:b/>
          <w:lang w:val="en"/>
        </w:rPr>
        <w:t>MenB</w:t>
      </w:r>
      <w:proofErr w:type="spellEnd"/>
      <w:r w:rsidRPr="00632810">
        <w:rPr>
          <w:b/>
          <w:lang w:val="en"/>
        </w:rPr>
        <w:t xml:space="preserve"> vaccine formulations for </w:t>
      </w:r>
      <w:r w:rsidR="00822AE6">
        <w:rPr>
          <w:b/>
          <w:lang w:val="en"/>
        </w:rPr>
        <w:t xml:space="preserve">all </w:t>
      </w:r>
      <w:r w:rsidRPr="00632810">
        <w:rPr>
          <w:b/>
          <w:lang w:val="en"/>
        </w:rPr>
        <w:t>high risk children 10 t</w:t>
      </w:r>
      <w:r w:rsidR="00632810">
        <w:rPr>
          <w:b/>
          <w:lang w:val="en"/>
        </w:rPr>
        <w:t xml:space="preserve">hrough </w:t>
      </w:r>
      <w:r w:rsidRPr="00632810">
        <w:rPr>
          <w:b/>
          <w:lang w:val="en"/>
        </w:rPr>
        <w:t xml:space="preserve">18 years of </w:t>
      </w:r>
      <w:r w:rsidR="001E2B5F" w:rsidRPr="00632810">
        <w:rPr>
          <w:b/>
          <w:lang w:val="en"/>
        </w:rPr>
        <w:t>age</w:t>
      </w:r>
      <w:r w:rsidRPr="00632810">
        <w:rPr>
          <w:b/>
          <w:lang w:val="en"/>
        </w:rPr>
        <w:t xml:space="preserve"> and VFC-eligible children 16 to 18 years of </w:t>
      </w:r>
      <w:r w:rsidR="00632810">
        <w:rPr>
          <w:b/>
          <w:lang w:val="en"/>
        </w:rPr>
        <w:t>age.</w:t>
      </w:r>
    </w:p>
    <w:p w:rsidR="00C9030A" w:rsidRDefault="00C9030A" w:rsidP="002A24AC">
      <w:pPr>
        <w:rPr>
          <w:lang w:val="en"/>
        </w:rPr>
      </w:pPr>
    </w:p>
    <w:p w:rsidR="00A343FA" w:rsidRDefault="00A343FA" w:rsidP="002A24AC">
      <w:pPr>
        <w:rPr>
          <w:lang w:val="en"/>
        </w:rPr>
      </w:pPr>
      <w:r>
        <w:rPr>
          <w:lang w:val="en"/>
        </w:rPr>
        <w:t>The Council will continue to review new data as it becomes available.</w:t>
      </w:r>
    </w:p>
    <w:p w:rsidR="00AC4656" w:rsidRDefault="00AC4656" w:rsidP="002A24AC">
      <w:pPr>
        <w:rPr>
          <w:lang w:val="en"/>
        </w:rPr>
      </w:pPr>
    </w:p>
    <w:p w:rsidR="00632810" w:rsidRDefault="00632810" w:rsidP="000B3377">
      <w:pPr>
        <w:rPr>
          <w:b/>
          <w:lang w:val="en"/>
        </w:rPr>
      </w:pPr>
    </w:p>
    <w:p w:rsidR="00632810" w:rsidRDefault="00632810" w:rsidP="000B3377">
      <w:pPr>
        <w:rPr>
          <w:b/>
          <w:lang w:val="en"/>
        </w:rPr>
      </w:pPr>
    </w:p>
    <w:p w:rsidR="005F017C" w:rsidRPr="000B3377" w:rsidRDefault="000B3377" w:rsidP="000B3377">
      <w:pPr>
        <w:rPr>
          <w:b/>
          <w:lang w:val="en"/>
        </w:rPr>
      </w:pPr>
      <w:r>
        <w:rPr>
          <w:b/>
          <w:lang w:val="en"/>
        </w:rPr>
        <w:t>D</w:t>
      </w:r>
      <w:r w:rsidR="005F017C" w:rsidRPr="000B3377">
        <w:rPr>
          <w:b/>
          <w:lang w:val="en"/>
        </w:rPr>
        <w:t>iscussion regarding future topics for consideration</w:t>
      </w:r>
    </w:p>
    <w:p w:rsidR="00974C99" w:rsidRDefault="00974C99" w:rsidP="00E61A5F">
      <w:pPr>
        <w:rPr>
          <w:lang w:val="en"/>
        </w:rPr>
      </w:pPr>
    </w:p>
    <w:p w:rsidR="00594202" w:rsidRDefault="000B3377" w:rsidP="00E61A5F">
      <w:pPr>
        <w:rPr>
          <w:lang w:val="en"/>
        </w:rPr>
      </w:pPr>
      <w:r>
        <w:rPr>
          <w:lang w:val="en"/>
        </w:rPr>
        <w:t>The next Council meeting will be</w:t>
      </w:r>
      <w:r w:rsidR="00712DA1">
        <w:rPr>
          <w:lang w:val="en"/>
        </w:rPr>
        <w:t xml:space="preserve"> on </w:t>
      </w:r>
      <w:r>
        <w:rPr>
          <w:lang w:val="en"/>
        </w:rPr>
        <w:t>March</w:t>
      </w:r>
      <w:r w:rsidR="00712DA1">
        <w:rPr>
          <w:lang w:val="en"/>
        </w:rPr>
        <w:t xml:space="preserve"> 9</w:t>
      </w:r>
      <w:r>
        <w:rPr>
          <w:lang w:val="en"/>
        </w:rPr>
        <w:t>, 2017. Council members should send agenda items for the March meeting to Mr. Talebian.</w:t>
      </w:r>
    </w:p>
    <w:p w:rsidR="00594202" w:rsidRDefault="00594202" w:rsidP="00E61A5F">
      <w:pPr>
        <w:rPr>
          <w:lang w:val="en"/>
        </w:rPr>
      </w:pPr>
    </w:p>
    <w:p w:rsidR="00594202" w:rsidRDefault="00594202" w:rsidP="00E61A5F">
      <w:pPr>
        <w:rPr>
          <w:lang w:val="en"/>
        </w:rPr>
      </w:pPr>
      <w:r>
        <w:rPr>
          <w:lang w:val="en"/>
        </w:rPr>
        <w:t>The meeting was adjourned.</w:t>
      </w:r>
    </w:p>
    <w:p w:rsidR="00334A96" w:rsidRDefault="00334A96" w:rsidP="00334A96">
      <w:pPr>
        <w:ind w:firstLine="720"/>
        <w:rPr>
          <w:lang w:val="en"/>
        </w:rPr>
      </w:pPr>
    </w:p>
    <w:p w:rsidR="00525B6A" w:rsidRDefault="00880E16" w:rsidP="000B3377">
      <w:pPr>
        <w:rPr>
          <w:lang w:val="en"/>
        </w:rPr>
      </w:pPr>
      <w:r>
        <w:rPr>
          <w:lang w:val="en"/>
        </w:rPr>
        <w:t xml:space="preserve">Future Meeting </w:t>
      </w:r>
      <w:r w:rsidR="00525B6A">
        <w:rPr>
          <w:lang w:val="en"/>
        </w:rPr>
        <w:t>Dates</w:t>
      </w:r>
      <w:r>
        <w:rPr>
          <w:lang w:val="en"/>
        </w:rPr>
        <w:t xml:space="preserve">: </w:t>
      </w:r>
    </w:p>
    <w:p w:rsidR="002B3ACC" w:rsidRDefault="00622C1B" w:rsidP="000B3377">
      <w:pPr>
        <w:rPr>
          <w:lang w:val="en"/>
        </w:rPr>
      </w:pPr>
      <w:r>
        <w:rPr>
          <w:lang w:val="en"/>
        </w:rPr>
        <w:t>March 9, 2017</w:t>
      </w:r>
    </w:p>
    <w:p w:rsidR="00B57777" w:rsidRDefault="00B57777" w:rsidP="000B3377">
      <w:pPr>
        <w:rPr>
          <w:lang w:val="en"/>
        </w:rPr>
      </w:pPr>
      <w:r>
        <w:rPr>
          <w:lang w:val="en"/>
        </w:rPr>
        <w:t>June 8, 2017</w:t>
      </w:r>
    </w:p>
    <w:p w:rsidR="00B57777" w:rsidRDefault="00B57777" w:rsidP="000B3377">
      <w:pPr>
        <w:rPr>
          <w:lang w:val="en"/>
        </w:rPr>
      </w:pPr>
      <w:r>
        <w:rPr>
          <w:lang w:val="en"/>
        </w:rPr>
        <w:t>October 12, 2017</w:t>
      </w:r>
    </w:p>
    <w:p w:rsidR="0072662B" w:rsidRDefault="0072662B" w:rsidP="00525B6A">
      <w:pPr>
        <w:ind w:left="1440"/>
        <w:rPr>
          <w:lang w:val="en"/>
        </w:rPr>
      </w:pPr>
    </w:p>
    <w:p w:rsidR="00D579A4" w:rsidRDefault="00385950">
      <w:pPr>
        <w:rPr>
          <w:lang w:val="en"/>
        </w:rPr>
      </w:pPr>
      <w:r>
        <w:rPr>
          <w:lang w:val="en"/>
        </w:rPr>
        <w:t xml:space="preserve">MVPAC webpage: </w:t>
      </w:r>
    </w:p>
    <w:p w:rsidR="00D579A4" w:rsidRPr="00385950" w:rsidRDefault="00AA68D2" w:rsidP="00385950">
      <w:pPr>
        <w:rPr>
          <w:lang w:val="en"/>
        </w:rPr>
      </w:pPr>
      <w:hyperlink r:id="rId10" w:history="1">
        <w:r w:rsidR="00385950" w:rsidRPr="00DD7D63">
          <w:rPr>
            <w:rStyle w:val="Hyperlink"/>
            <w:lang w:val="en"/>
          </w:rPr>
          <w:t>http://www.mass.gov/eohhs/gov/departments/dph/programs/id/immunization/mvpac.html</w:t>
        </w:r>
      </w:hyperlink>
      <w:r w:rsidR="00385950">
        <w:rPr>
          <w:lang w:val="en"/>
        </w:rPr>
        <w:t xml:space="preserve"> </w:t>
      </w:r>
    </w:p>
    <w:sectPr w:rsidR="00D579A4" w:rsidRPr="00385950" w:rsidSect="0008330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AC7" w:rsidRDefault="00B15AC7">
      <w:r>
        <w:separator/>
      </w:r>
    </w:p>
  </w:endnote>
  <w:endnote w:type="continuationSeparator" w:id="0">
    <w:p w:rsidR="00B15AC7" w:rsidRDefault="00B15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D37" w:rsidRPr="004E2D37" w:rsidRDefault="004E2D37" w:rsidP="004E2D37">
    <w:pPr>
      <w:pStyle w:val="Footer"/>
      <w:rPr>
        <w:sz w:val="20"/>
        <w:szCs w:val="20"/>
      </w:rPr>
    </w:pPr>
    <w:r w:rsidRPr="004E2D37">
      <w:rPr>
        <w:sz w:val="20"/>
        <w:szCs w:val="20"/>
      </w:rPr>
      <w:t xml:space="preserve">MVPAC Meeting Minutes (10/13/16) </w:t>
    </w:r>
    <w:r w:rsidRPr="004E2D37">
      <w:rPr>
        <w:sz w:val="20"/>
        <w:szCs w:val="20"/>
      </w:rPr>
      <w:tab/>
    </w:r>
    <w:r w:rsidRPr="004E2D37">
      <w:rPr>
        <w:sz w:val="20"/>
        <w:szCs w:val="20"/>
      </w:rPr>
      <w:tab/>
      <w:t xml:space="preserve">Page </w:t>
    </w:r>
    <w:r w:rsidRPr="004E2D37">
      <w:rPr>
        <w:sz w:val="20"/>
        <w:szCs w:val="20"/>
      </w:rPr>
      <w:fldChar w:fldCharType="begin"/>
    </w:r>
    <w:r w:rsidRPr="004E2D37">
      <w:rPr>
        <w:sz w:val="20"/>
        <w:szCs w:val="20"/>
      </w:rPr>
      <w:instrText xml:space="preserve"> PAGE   \* MERGEFORMAT </w:instrText>
    </w:r>
    <w:r w:rsidRPr="004E2D37">
      <w:rPr>
        <w:sz w:val="20"/>
        <w:szCs w:val="20"/>
      </w:rPr>
      <w:fldChar w:fldCharType="separate"/>
    </w:r>
    <w:r w:rsidR="00AA68D2">
      <w:rPr>
        <w:noProof/>
        <w:sz w:val="20"/>
        <w:szCs w:val="20"/>
      </w:rPr>
      <w:t>1</w:t>
    </w:r>
    <w:r w:rsidRPr="004E2D37">
      <w:rPr>
        <w:noProof/>
        <w:sz w:val="20"/>
        <w:szCs w:val="20"/>
      </w:rPr>
      <w:fldChar w:fldCharType="end"/>
    </w:r>
  </w:p>
  <w:p w:rsidR="009F7041" w:rsidRDefault="009F70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AC7" w:rsidRDefault="00B15AC7">
      <w:r>
        <w:separator/>
      </w:r>
    </w:p>
  </w:footnote>
  <w:footnote w:type="continuationSeparator" w:id="0">
    <w:p w:rsidR="00B15AC7" w:rsidRDefault="00B15A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2DD" w:rsidRPr="008D32DD" w:rsidRDefault="00412D45" w:rsidP="008D32DD">
    <w:pPr>
      <w:pStyle w:val="Header"/>
      <w:tabs>
        <w:tab w:val="clear" w:pos="4320"/>
        <w:tab w:val="clear" w:pos="8640"/>
        <w:tab w:val="center" w:pos="4680"/>
        <w:tab w:val="right" w:pos="9360"/>
      </w:tabs>
      <w:rPr>
        <w:b/>
        <w:sz w:val="32"/>
        <w:szCs w:val="32"/>
      </w:rPr>
    </w:pPr>
    <w:r>
      <w:rPr>
        <w:b/>
        <w:sz w:val="32"/>
        <w:szCs w:val="3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13A70"/>
    <w:multiLevelType w:val="hybridMultilevel"/>
    <w:tmpl w:val="1098F54A"/>
    <w:lvl w:ilvl="0" w:tplc="D4FEAAEE">
      <w:start w:val="1"/>
      <w:numFmt w:val="bullet"/>
      <w:lvlText w:val="•"/>
      <w:lvlJc w:val="left"/>
      <w:pPr>
        <w:tabs>
          <w:tab w:val="num" w:pos="720"/>
        </w:tabs>
        <w:ind w:left="720" w:hanging="360"/>
      </w:pPr>
      <w:rPr>
        <w:rFonts w:ascii="Arial" w:hAnsi="Arial" w:hint="default"/>
      </w:rPr>
    </w:lvl>
    <w:lvl w:ilvl="1" w:tplc="16DC72A4">
      <w:start w:val="499"/>
      <w:numFmt w:val="bullet"/>
      <w:lvlText w:val="–"/>
      <w:lvlJc w:val="left"/>
      <w:pPr>
        <w:tabs>
          <w:tab w:val="num" w:pos="1440"/>
        </w:tabs>
        <w:ind w:left="1440" w:hanging="360"/>
      </w:pPr>
      <w:rPr>
        <w:rFonts w:ascii="Arial" w:hAnsi="Arial" w:hint="default"/>
      </w:rPr>
    </w:lvl>
    <w:lvl w:ilvl="2" w:tplc="7F16E9BC" w:tentative="1">
      <w:start w:val="1"/>
      <w:numFmt w:val="bullet"/>
      <w:lvlText w:val="•"/>
      <w:lvlJc w:val="left"/>
      <w:pPr>
        <w:tabs>
          <w:tab w:val="num" w:pos="2160"/>
        </w:tabs>
        <w:ind w:left="2160" w:hanging="360"/>
      </w:pPr>
      <w:rPr>
        <w:rFonts w:ascii="Arial" w:hAnsi="Arial" w:hint="default"/>
      </w:rPr>
    </w:lvl>
    <w:lvl w:ilvl="3" w:tplc="84F8AFBA" w:tentative="1">
      <w:start w:val="1"/>
      <w:numFmt w:val="bullet"/>
      <w:lvlText w:val="•"/>
      <w:lvlJc w:val="left"/>
      <w:pPr>
        <w:tabs>
          <w:tab w:val="num" w:pos="2880"/>
        </w:tabs>
        <w:ind w:left="2880" w:hanging="360"/>
      </w:pPr>
      <w:rPr>
        <w:rFonts w:ascii="Arial" w:hAnsi="Arial" w:hint="default"/>
      </w:rPr>
    </w:lvl>
    <w:lvl w:ilvl="4" w:tplc="09148868" w:tentative="1">
      <w:start w:val="1"/>
      <w:numFmt w:val="bullet"/>
      <w:lvlText w:val="•"/>
      <w:lvlJc w:val="left"/>
      <w:pPr>
        <w:tabs>
          <w:tab w:val="num" w:pos="3600"/>
        </w:tabs>
        <w:ind w:left="3600" w:hanging="360"/>
      </w:pPr>
      <w:rPr>
        <w:rFonts w:ascii="Arial" w:hAnsi="Arial" w:hint="default"/>
      </w:rPr>
    </w:lvl>
    <w:lvl w:ilvl="5" w:tplc="64F6BF52" w:tentative="1">
      <w:start w:val="1"/>
      <w:numFmt w:val="bullet"/>
      <w:lvlText w:val="•"/>
      <w:lvlJc w:val="left"/>
      <w:pPr>
        <w:tabs>
          <w:tab w:val="num" w:pos="4320"/>
        </w:tabs>
        <w:ind w:left="4320" w:hanging="360"/>
      </w:pPr>
      <w:rPr>
        <w:rFonts w:ascii="Arial" w:hAnsi="Arial" w:hint="default"/>
      </w:rPr>
    </w:lvl>
    <w:lvl w:ilvl="6" w:tplc="20F48560" w:tentative="1">
      <w:start w:val="1"/>
      <w:numFmt w:val="bullet"/>
      <w:lvlText w:val="•"/>
      <w:lvlJc w:val="left"/>
      <w:pPr>
        <w:tabs>
          <w:tab w:val="num" w:pos="5040"/>
        </w:tabs>
        <w:ind w:left="5040" w:hanging="360"/>
      </w:pPr>
      <w:rPr>
        <w:rFonts w:ascii="Arial" w:hAnsi="Arial" w:hint="default"/>
      </w:rPr>
    </w:lvl>
    <w:lvl w:ilvl="7" w:tplc="49407FC2" w:tentative="1">
      <w:start w:val="1"/>
      <w:numFmt w:val="bullet"/>
      <w:lvlText w:val="•"/>
      <w:lvlJc w:val="left"/>
      <w:pPr>
        <w:tabs>
          <w:tab w:val="num" w:pos="5760"/>
        </w:tabs>
        <w:ind w:left="5760" w:hanging="360"/>
      </w:pPr>
      <w:rPr>
        <w:rFonts w:ascii="Arial" w:hAnsi="Arial" w:hint="default"/>
      </w:rPr>
    </w:lvl>
    <w:lvl w:ilvl="8" w:tplc="DB141A46" w:tentative="1">
      <w:start w:val="1"/>
      <w:numFmt w:val="bullet"/>
      <w:lvlText w:val="•"/>
      <w:lvlJc w:val="left"/>
      <w:pPr>
        <w:tabs>
          <w:tab w:val="num" w:pos="6480"/>
        </w:tabs>
        <w:ind w:left="6480" w:hanging="360"/>
      </w:pPr>
      <w:rPr>
        <w:rFonts w:ascii="Arial" w:hAnsi="Arial" w:hint="default"/>
      </w:rPr>
    </w:lvl>
  </w:abstractNum>
  <w:abstractNum w:abstractNumId="1">
    <w:nsid w:val="194A660A"/>
    <w:multiLevelType w:val="multilevel"/>
    <w:tmpl w:val="252088F8"/>
    <w:lvl w:ilvl="0">
      <w:start w:val="3"/>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nsid w:val="215E3B99"/>
    <w:multiLevelType w:val="hybridMultilevel"/>
    <w:tmpl w:val="3C40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280CD0"/>
    <w:multiLevelType w:val="hybridMultilevel"/>
    <w:tmpl w:val="54B41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747AFF"/>
    <w:multiLevelType w:val="multilevel"/>
    <w:tmpl w:val="AB98799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53239F5"/>
    <w:multiLevelType w:val="multilevel"/>
    <w:tmpl w:val="984E7422"/>
    <w:lvl w:ilvl="0">
      <w:start w:val="4"/>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5D0A0F23"/>
    <w:multiLevelType w:val="hybridMultilevel"/>
    <w:tmpl w:val="C9461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161F6D"/>
    <w:multiLevelType w:val="multilevel"/>
    <w:tmpl w:val="3DD81B4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2616D6C"/>
    <w:multiLevelType w:val="hybridMultilevel"/>
    <w:tmpl w:val="08ECB630"/>
    <w:lvl w:ilvl="0" w:tplc="FC40CB24">
      <w:start w:val="1"/>
      <w:numFmt w:val="bullet"/>
      <w:lvlText w:val=""/>
      <w:lvlJc w:val="left"/>
      <w:pPr>
        <w:tabs>
          <w:tab w:val="num" w:pos="720"/>
        </w:tabs>
        <w:ind w:left="720" w:hanging="360"/>
      </w:pPr>
      <w:rPr>
        <w:rFonts w:ascii="Wingdings" w:hAnsi="Wingdings" w:hint="default"/>
      </w:rPr>
    </w:lvl>
    <w:lvl w:ilvl="1" w:tplc="B4A48A38">
      <w:start w:val="1"/>
      <w:numFmt w:val="bullet"/>
      <w:lvlText w:val=""/>
      <w:lvlJc w:val="left"/>
      <w:pPr>
        <w:tabs>
          <w:tab w:val="num" w:pos="1440"/>
        </w:tabs>
        <w:ind w:left="1440" w:hanging="360"/>
      </w:pPr>
      <w:rPr>
        <w:rFonts w:ascii="Wingdings" w:hAnsi="Wingdings" w:hint="default"/>
      </w:rPr>
    </w:lvl>
    <w:lvl w:ilvl="2" w:tplc="2E165FC0">
      <w:start w:val="634"/>
      <w:numFmt w:val="bullet"/>
      <w:lvlText w:val="•"/>
      <w:lvlJc w:val="left"/>
      <w:pPr>
        <w:tabs>
          <w:tab w:val="num" w:pos="2160"/>
        </w:tabs>
        <w:ind w:left="2160" w:hanging="360"/>
      </w:pPr>
      <w:rPr>
        <w:rFonts w:ascii="Arial" w:hAnsi="Arial" w:hint="default"/>
      </w:rPr>
    </w:lvl>
    <w:lvl w:ilvl="3" w:tplc="9CFC11A4" w:tentative="1">
      <w:start w:val="1"/>
      <w:numFmt w:val="bullet"/>
      <w:lvlText w:val=""/>
      <w:lvlJc w:val="left"/>
      <w:pPr>
        <w:tabs>
          <w:tab w:val="num" w:pos="2880"/>
        </w:tabs>
        <w:ind w:left="2880" w:hanging="360"/>
      </w:pPr>
      <w:rPr>
        <w:rFonts w:ascii="Wingdings" w:hAnsi="Wingdings" w:hint="default"/>
      </w:rPr>
    </w:lvl>
    <w:lvl w:ilvl="4" w:tplc="31B8A750" w:tentative="1">
      <w:start w:val="1"/>
      <w:numFmt w:val="bullet"/>
      <w:lvlText w:val=""/>
      <w:lvlJc w:val="left"/>
      <w:pPr>
        <w:tabs>
          <w:tab w:val="num" w:pos="3600"/>
        </w:tabs>
        <w:ind w:left="3600" w:hanging="360"/>
      </w:pPr>
      <w:rPr>
        <w:rFonts w:ascii="Wingdings" w:hAnsi="Wingdings" w:hint="default"/>
      </w:rPr>
    </w:lvl>
    <w:lvl w:ilvl="5" w:tplc="47B08596" w:tentative="1">
      <w:start w:val="1"/>
      <w:numFmt w:val="bullet"/>
      <w:lvlText w:val=""/>
      <w:lvlJc w:val="left"/>
      <w:pPr>
        <w:tabs>
          <w:tab w:val="num" w:pos="4320"/>
        </w:tabs>
        <w:ind w:left="4320" w:hanging="360"/>
      </w:pPr>
      <w:rPr>
        <w:rFonts w:ascii="Wingdings" w:hAnsi="Wingdings" w:hint="default"/>
      </w:rPr>
    </w:lvl>
    <w:lvl w:ilvl="6" w:tplc="4FFE2120" w:tentative="1">
      <w:start w:val="1"/>
      <w:numFmt w:val="bullet"/>
      <w:lvlText w:val=""/>
      <w:lvlJc w:val="left"/>
      <w:pPr>
        <w:tabs>
          <w:tab w:val="num" w:pos="5040"/>
        </w:tabs>
        <w:ind w:left="5040" w:hanging="360"/>
      </w:pPr>
      <w:rPr>
        <w:rFonts w:ascii="Wingdings" w:hAnsi="Wingdings" w:hint="default"/>
      </w:rPr>
    </w:lvl>
    <w:lvl w:ilvl="7" w:tplc="1A022F20" w:tentative="1">
      <w:start w:val="1"/>
      <w:numFmt w:val="bullet"/>
      <w:lvlText w:val=""/>
      <w:lvlJc w:val="left"/>
      <w:pPr>
        <w:tabs>
          <w:tab w:val="num" w:pos="5760"/>
        </w:tabs>
        <w:ind w:left="5760" w:hanging="360"/>
      </w:pPr>
      <w:rPr>
        <w:rFonts w:ascii="Wingdings" w:hAnsi="Wingdings" w:hint="default"/>
      </w:rPr>
    </w:lvl>
    <w:lvl w:ilvl="8" w:tplc="57E8E9BA" w:tentative="1">
      <w:start w:val="1"/>
      <w:numFmt w:val="bullet"/>
      <w:lvlText w:val=""/>
      <w:lvlJc w:val="left"/>
      <w:pPr>
        <w:tabs>
          <w:tab w:val="num" w:pos="6480"/>
        </w:tabs>
        <w:ind w:left="6480" w:hanging="360"/>
      </w:pPr>
      <w:rPr>
        <w:rFonts w:ascii="Wingdings" w:hAnsi="Wingdings" w:hint="default"/>
      </w:rPr>
    </w:lvl>
  </w:abstractNum>
  <w:abstractNum w:abstractNumId="9">
    <w:nsid w:val="66CD1509"/>
    <w:multiLevelType w:val="hybridMultilevel"/>
    <w:tmpl w:val="52C8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153BC4"/>
    <w:multiLevelType w:val="hybridMultilevel"/>
    <w:tmpl w:val="295C09F2"/>
    <w:lvl w:ilvl="0" w:tplc="EF6CA24C">
      <w:start w:val="1"/>
      <w:numFmt w:val="bullet"/>
      <w:lvlText w:val="•"/>
      <w:lvlJc w:val="left"/>
      <w:pPr>
        <w:tabs>
          <w:tab w:val="num" w:pos="720"/>
        </w:tabs>
        <w:ind w:left="720" w:hanging="360"/>
      </w:pPr>
      <w:rPr>
        <w:rFonts w:ascii="Arial" w:hAnsi="Arial" w:hint="default"/>
      </w:rPr>
    </w:lvl>
    <w:lvl w:ilvl="1" w:tplc="E3E0B4AC" w:tentative="1">
      <w:start w:val="1"/>
      <w:numFmt w:val="bullet"/>
      <w:lvlText w:val="•"/>
      <w:lvlJc w:val="left"/>
      <w:pPr>
        <w:tabs>
          <w:tab w:val="num" w:pos="1440"/>
        </w:tabs>
        <w:ind w:left="1440" w:hanging="360"/>
      </w:pPr>
      <w:rPr>
        <w:rFonts w:ascii="Arial" w:hAnsi="Arial" w:hint="default"/>
      </w:rPr>
    </w:lvl>
    <w:lvl w:ilvl="2" w:tplc="A0F69012">
      <w:start w:val="634"/>
      <w:numFmt w:val="bullet"/>
      <w:lvlText w:val="•"/>
      <w:lvlJc w:val="left"/>
      <w:pPr>
        <w:tabs>
          <w:tab w:val="num" w:pos="2160"/>
        </w:tabs>
        <w:ind w:left="2160" w:hanging="360"/>
      </w:pPr>
      <w:rPr>
        <w:rFonts w:ascii="Arial" w:hAnsi="Arial" w:hint="default"/>
      </w:rPr>
    </w:lvl>
    <w:lvl w:ilvl="3" w:tplc="782E0620" w:tentative="1">
      <w:start w:val="1"/>
      <w:numFmt w:val="bullet"/>
      <w:lvlText w:val="•"/>
      <w:lvlJc w:val="left"/>
      <w:pPr>
        <w:tabs>
          <w:tab w:val="num" w:pos="2880"/>
        </w:tabs>
        <w:ind w:left="2880" w:hanging="360"/>
      </w:pPr>
      <w:rPr>
        <w:rFonts w:ascii="Arial" w:hAnsi="Arial" w:hint="default"/>
      </w:rPr>
    </w:lvl>
    <w:lvl w:ilvl="4" w:tplc="53B0F008" w:tentative="1">
      <w:start w:val="1"/>
      <w:numFmt w:val="bullet"/>
      <w:lvlText w:val="•"/>
      <w:lvlJc w:val="left"/>
      <w:pPr>
        <w:tabs>
          <w:tab w:val="num" w:pos="3600"/>
        </w:tabs>
        <w:ind w:left="3600" w:hanging="360"/>
      </w:pPr>
      <w:rPr>
        <w:rFonts w:ascii="Arial" w:hAnsi="Arial" w:hint="default"/>
      </w:rPr>
    </w:lvl>
    <w:lvl w:ilvl="5" w:tplc="1C22B852" w:tentative="1">
      <w:start w:val="1"/>
      <w:numFmt w:val="bullet"/>
      <w:lvlText w:val="•"/>
      <w:lvlJc w:val="left"/>
      <w:pPr>
        <w:tabs>
          <w:tab w:val="num" w:pos="4320"/>
        </w:tabs>
        <w:ind w:left="4320" w:hanging="360"/>
      </w:pPr>
      <w:rPr>
        <w:rFonts w:ascii="Arial" w:hAnsi="Arial" w:hint="default"/>
      </w:rPr>
    </w:lvl>
    <w:lvl w:ilvl="6" w:tplc="CA3E4CC2" w:tentative="1">
      <w:start w:val="1"/>
      <w:numFmt w:val="bullet"/>
      <w:lvlText w:val="•"/>
      <w:lvlJc w:val="left"/>
      <w:pPr>
        <w:tabs>
          <w:tab w:val="num" w:pos="5040"/>
        </w:tabs>
        <w:ind w:left="5040" w:hanging="360"/>
      </w:pPr>
      <w:rPr>
        <w:rFonts w:ascii="Arial" w:hAnsi="Arial" w:hint="default"/>
      </w:rPr>
    </w:lvl>
    <w:lvl w:ilvl="7" w:tplc="2DFC7E00" w:tentative="1">
      <w:start w:val="1"/>
      <w:numFmt w:val="bullet"/>
      <w:lvlText w:val="•"/>
      <w:lvlJc w:val="left"/>
      <w:pPr>
        <w:tabs>
          <w:tab w:val="num" w:pos="5760"/>
        </w:tabs>
        <w:ind w:left="5760" w:hanging="360"/>
      </w:pPr>
      <w:rPr>
        <w:rFonts w:ascii="Arial" w:hAnsi="Arial" w:hint="default"/>
      </w:rPr>
    </w:lvl>
    <w:lvl w:ilvl="8" w:tplc="4D763CAE" w:tentative="1">
      <w:start w:val="1"/>
      <w:numFmt w:val="bullet"/>
      <w:lvlText w:val="•"/>
      <w:lvlJc w:val="left"/>
      <w:pPr>
        <w:tabs>
          <w:tab w:val="num" w:pos="6480"/>
        </w:tabs>
        <w:ind w:left="6480" w:hanging="360"/>
      </w:pPr>
      <w:rPr>
        <w:rFonts w:ascii="Arial" w:hAnsi="Arial" w:hint="default"/>
      </w:rPr>
    </w:lvl>
  </w:abstractNum>
  <w:abstractNum w:abstractNumId="11">
    <w:nsid w:val="7693412B"/>
    <w:multiLevelType w:val="multilevel"/>
    <w:tmpl w:val="329CFC2C"/>
    <w:lvl w:ilvl="0">
      <w:start w:val="4"/>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nsid w:val="7B0A6F0F"/>
    <w:multiLevelType w:val="hybridMultilevel"/>
    <w:tmpl w:val="D8ACD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011736"/>
    <w:multiLevelType w:val="hybridMultilevel"/>
    <w:tmpl w:val="69405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1"/>
  </w:num>
  <w:num w:numId="4">
    <w:abstractNumId w:val="5"/>
  </w:num>
  <w:num w:numId="5">
    <w:abstractNumId w:val="1"/>
  </w:num>
  <w:num w:numId="6">
    <w:abstractNumId w:val="8"/>
  </w:num>
  <w:num w:numId="7">
    <w:abstractNumId w:val="6"/>
  </w:num>
  <w:num w:numId="8">
    <w:abstractNumId w:val="12"/>
  </w:num>
  <w:num w:numId="9">
    <w:abstractNumId w:val="0"/>
  </w:num>
  <w:num w:numId="10">
    <w:abstractNumId w:val="3"/>
  </w:num>
  <w:num w:numId="11">
    <w:abstractNumId w:val="10"/>
  </w:num>
  <w:num w:numId="12">
    <w:abstractNumId w:val="2"/>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9A4"/>
    <w:rsid w:val="000075D7"/>
    <w:rsid w:val="00024F5F"/>
    <w:rsid w:val="0003030A"/>
    <w:rsid w:val="00034B9F"/>
    <w:rsid w:val="000506C3"/>
    <w:rsid w:val="0008330A"/>
    <w:rsid w:val="000B3377"/>
    <w:rsid w:val="000B527F"/>
    <w:rsid w:val="000C03F9"/>
    <w:rsid w:val="000D662B"/>
    <w:rsid w:val="000F41A0"/>
    <w:rsid w:val="00100335"/>
    <w:rsid w:val="00106D16"/>
    <w:rsid w:val="0011557F"/>
    <w:rsid w:val="001176D4"/>
    <w:rsid w:val="00117AE7"/>
    <w:rsid w:val="00120716"/>
    <w:rsid w:val="00123052"/>
    <w:rsid w:val="00136A54"/>
    <w:rsid w:val="0015253A"/>
    <w:rsid w:val="001578EF"/>
    <w:rsid w:val="001C1E47"/>
    <w:rsid w:val="001C256E"/>
    <w:rsid w:val="001E2B5F"/>
    <w:rsid w:val="001F174A"/>
    <w:rsid w:val="00242675"/>
    <w:rsid w:val="002433D2"/>
    <w:rsid w:val="002626A8"/>
    <w:rsid w:val="00277E28"/>
    <w:rsid w:val="002802E0"/>
    <w:rsid w:val="002835C1"/>
    <w:rsid w:val="002A24AC"/>
    <w:rsid w:val="002A3370"/>
    <w:rsid w:val="002A4490"/>
    <w:rsid w:val="002A702B"/>
    <w:rsid w:val="002B3ACC"/>
    <w:rsid w:val="002C51D4"/>
    <w:rsid w:val="002D3319"/>
    <w:rsid w:val="0030378F"/>
    <w:rsid w:val="00303F3C"/>
    <w:rsid w:val="003133BD"/>
    <w:rsid w:val="00321C53"/>
    <w:rsid w:val="00334A96"/>
    <w:rsid w:val="00385950"/>
    <w:rsid w:val="00387F49"/>
    <w:rsid w:val="003902B7"/>
    <w:rsid w:val="003A48AF"/>
    <w:rsid w:val="003B2106"/>
    <w:rsid w:val="003C4B89"/>
    <w:rsid w:val="003D26D4"/>
    <w:rsid w:val="003E428B"/>
    <w:rsid w:val="003F116C"/>
    <w:rsid w:val="003F759F"/>
    <w:rsid w:val="00400F3C"/>
    <w:rsid w:val="00412D45"/>
    <w:rsid w:val="004141E9"/>
    <w:rsid w:val="00442D4C"/>
    <w:rsid w:val="004434AC"/>
    <w:rsid w:val="004511F7"/>
    <w:rsid w:val="0046145B"/>
    <w:rsid w:val="00472D39"/>
    <w:rsid w:val="0048675E"/>
    <w:rsid w:val="00493F29"/>
    <w:rsid w:val="00495F24"/>
    <w:rsid w:val="004A08FA"/>
    <w:rsid w:val="004A2A38"/>
    <w:rsid w:val="004C52AE"/>
    <w:rsid w:val="004E2D37"/>
    <w:rsid w:val="004F2EE6"/>
    <w:rsid w:val="004F3A9F"/>
    <w:rsid w:val="005120C5"/>
    <w:rsid w:val="00522ED6"/>
    <w:rsid w:val="00525B6A"/>
    <w:rsid w:val="00546815"/>
    <w:rsid w:val="00546EE7"/>
    <w:rsid w:val="005475A0"/>
    <w:rsid w:val="00561C3C"/>
    <w:rsid w:val="00566532"/>
    <w:rsid w:val="00580CD4"/>
    <w:rsid w:val="00594202"/>
    <w:rsid w:val="005C5CC9"/>
    <w:rsid w:val="005C71B2"/>
    <w:rsid w:val="005D2BAC"/>
    <w:rsid w:val="005E4275"/>
    <w:rsid w:val="005E5A73"/>
    <w:rsid w:val="005F017C"/>
    <w:rsid w:val="005F5286"/>
    <w:rsid w:val="00603775"/>
    <w:rsid w:val="006114F2"/>
    <w:rsid w:val="00621E94"/>
    <w:rsid w:val="00622C1B"/>
    <w:rsid w:val="006320B4"/>
    <w:rsid w:val="00632810"/>
    <w:rsid w:val="00633CE7"/>
    <w:rsid w:val="006376DF"/>
    <w:rsid w:val="00652355"/>
    <w:rsid w:val="00664B39"/>
    <w:rsid w:val="00674988"/>
    <w:rsid w:val="00683EB5"/>
    <w:rsid w:val="0068419B"/>
    <w:rsid w:val="006A5EC3"/>
    <w:rsid w:val="006B7747"/>
    <w:rsid w:val="006C73D6"/>
    <w:rsid w:val="0070714B"/>
    <w:rsid w:val="0071036F"/>
    <w:rsid w:val="00712DA1"/>
    <w:rsid w:val="00721184"/>
    <w:rsid w:val="00722497"/>
    <w:rsid w:val="00725021"/>
    <w:rsid w:val="0072662B"/>
    <w:rsid w:val="00754FCB"/>
    <w:rsid w:val="00763FF9"/>
    <w:rsid w:val="0077159C"/>
    <w:rsid w:val="00773A92"/>
    <w:rsid w:val="007A309A"/>
    <w:rsid w:val="007A5D02"/>
    <w:rsid w:val="007F0288"/>
    <w:rsid w:val="007F3B9A"/>
    <w:rsid w:val="00822AE6"/>
    <w:rsid w:val="008404EB"/>
    <w:rsid w:val="00851B1B"/>
    <w:rsid w:val="008614F4"/>
    <w:rsid w:val="00880E16"/>
    <w:rsid w:val="00887373"/>
    <w:rsid w:val="008A3FB3"/>
    <w:rsid w:val="008A6203"/>
    <w:rsid w:val="008B0525"/>
    <w:rsid w:val="008B2355"/>
    <w:rsid w:val="008C0D72"/>
    <w:rsid w:val="008D32DD"/>
    <w:rsid w:val="008F0ADC"/>
    <w:rsid w:val="009168C1"/>
    <w:rsid w:val="009334E3"/>
    <w:rsid w:val="00934AC1"/>
    <w:rsid w:val="0094516D"/>
    <w:rsid w:val="00953531"/>
    <w:rsid w:val="0095723A"/>
    <w:rsid w:val="00971F4E"/>
    <w:rsid w:val="00974C99"/>
    <w:rsid w:val="00974FA6"/>
    <w:rsid w:val="009B400F"/>
    <w:rsid w:val="009B6C0C"/>
    <w:rsid w:val="009B71D4"/>
    <w:rsid w:val="009C300C"/>
    <w:rsid w:val="009C6C15"/>
    <w:rsid w:val="009F1439"/>
    <w:rsid w:val="009F7041"/>
    <w:rsid w:val="00A10077"/>
    <w:rsid w:val="00A168A1"/>
    <w:rsid w:val="00A27ED0"/>
    <w:rsid w:val="00A33228"/>
    <w:rsid w:val="00A343FA"/>
    <w:rsid w:val="00A36E4B"/>
    <w:rsid w:val="00A47AA4"/>
    <w:rsid w:val="00A6766B"/>
    <w:rsid w:val="00A87545"/>
    <w:rsid w:val="00A958C6"/>
    <w:rsid w:val="00AA68D2"/>
    <w:rsid w:val="00AC0866"/>
    <w:rsid w:val="00AC3C35"/>
    <w:rsid w:val="00AC4656"/>
    <w:rsid w:val="00AD2CEC"/>
    <w:rsid w:val="00AE0C7E"/>
    <w:rsid w:val="00AF45E4"/>
    <w:rsid w:val="00AF4B96"/>
    <w:rsid w:val="00B15AC7"/>
    <w:rsid w:val="00B239FF"/>
    <w:rsid w:val="00B33034"/>
    <w:rsid w:val="00B33F1D"/>
    <w:rsid w:val="00B57777"/>
    <w:rsid w:val="00B663FE"/>
    <w:rsid w:val="00B87938"/>
    <w:rsid w:val="00B90A0B"/>
    <w:rsid w:val="00BD5701"/>
    <w:rsid w:val="00BD78EA"/>
    <w:rsid w:val="00BE5641"/>
    <w:rsid w:val="00BE649F"/>
    <w:rsid w:val="00BF0153"/>
    <w:rsid w:val="00BF43CA"/>
    <w:rsid w:val="00C262EE"/>
    <w:rsid w:val="00C26DB0"/>
    <w:rsid w:val="00C50C04"/>
    <w:rsid w:val="00C65D52"/>
    <w:rsid w:val="00C81427"/>
    <w:rsid w:val="00C9030A"/>
    <w:rsid w:val="00CA4FCB"/>
    <w:rsid w:val="00CF1DE0"/>
    <w:rsid w:val="00CF1EA4"/>
    <w:rsid w:val="00CF47DC"/>
    <w:rsid w:val="00D06BE6"/>
    <w:rsid w:val="00D304CD"/>
    <w:rsid w:val="00D41191"/>
    <w:rsid w:val="00D44A17"/>
    <w:rsid w:val="00D579A4"/>
    <w:rsid w:val="00D743DA"/>
    <w:rsid w:val="00D80367"/>
    <w:rsid w:val="00D83752"/>
    <w:rsid w:val="00D92DBC"/>
    <w:rsid w:val="00D9442B"/>
    <w:rsid w:val="00D9526B"/>
    <w:rsid w:val="00DA34BF"/>
    <w:rsid w:val="00DA4061"/>
    <w:rsid w:val="00DA7E95"/>
    <w:rsid w:val="00DB1726"/>
    <w:rsid w:val="00DB1F7A"/>
    <w:rsid w:val="00DD2583"/>
    <w:rsid w:val="00DE78CB"/>
    <w:rsid w:val="00E070B5"/>
    <w:rsid w:val="00E23867"/>
    <w:rsid w:val="00E26894"/>
    <w:rsid w:val="00E319EE"/>
    <w:rsid w:val="00E40205"/>
    <w:rsid w:val="00E43BD7"/>
    <w:rsid w:val="00E4741B"/>
    <w:rsid w:val="00E61A5F"/>
    <w:rsid w:val="00E95204"/>
    <w:rsid w:val="00EA3FD6"/>
    <w:rsid w:val="00EC252E"/>
    <w:rsid w:val="00EC4F47"/>
    <w:rsid w:val="00ED6776"/>
    <w:rsid w:val="00F33054"/>
    <w:rsid w:val="00F3351A"/>
    <w:rsid w:val="00F3686D"/>
    <w:rsid w:val="00F72D60"/>
    <w:rsid w:val="00F75970"/>
    <w:rsid w:val="00F759ED"/>
    <w:rsid w:val="00FC2393"/>
    <w:rsid w:val="00FD2317"/>
    <w:rsid w:val="00FF4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79A4"/>
    <w:rPr>
      <w:sz w:val="24"/>
      <w:szCs w:val="24"/>
    </w:rPr>
  </w:style>
  <w:style w:type="paragraph" w:styleId="Heading1">
    <w:name w:val="heading 1"/>
    <w:basedOn w:val="Normal"/>
    <w:qFormat/>
    <w:rsid w:val="00D579A4"/>
    <w:pPr>
      <w:spacing w:before="100" w:beforeAutospacing="1" w:after="100" w:afterAutospacing="1"/>
      <w:outlineLvl w:val="0"/>
    </w:pPr>
    <w:rPr>
      <w:b/>
      <w:bCs/>
      <w:kern w:val="36"/>
      <w:sz w:val="48"/>
      <w:szCs w:val="48"/>
    </w:rPr>
  </w:style>
  <w:style w:type="paragraph" w:styleId="Heading2">
    <w:name w:val="heading 2"/>
    <w:basedOn w:val="Normal"/>
    <w:qFormat/>
    <w:rsid w:val="00D579A4"/>
    <w:pPr>
      <w:spacing w:before="100" w:beforeAutospacing="1" w:after="100" w:afterAutospacing="1"/>
      <w:outlineLvl w:val="1"/>
    </w:pPr>
    <w:rPr>
      <w:b/>
      <w:bCs/>
      <w:sz w:val="36"/>
      <w:szCs w:val="36"/>
    </w:rPr>
  </w:style>
  <w:style w:type="paragraph" w:styleId="Heading3">
    <w:name w:val="heading 3"/>
    <w:basedOn w:val="Normal"/>
    <w:qFormat/>
    <w:rsid w:val="00D579A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579A4"/>
    <w:pPr>
      <w:spacing w:before="100" w:beforeAutospacing="1" w:after="100" w:afterAutospacing="1"/>
    </w:pPr>
  </w:style>
  <w:style w:type="character" w:styleId="Strong">
    <w:name w:val="Strong"/>
    <w:qFormat/>
    <w:rsid w:val="00D579A4"/>
    <w:rPr>
      <w:b/>
      <w:bCs/>
    </w:rPr>
  </w:style>
  <w:style w:type="character" w:styleId="Hyperlink">
    <w:name w:val="Hyperlink"/>
    <w:rsid w:val="00D579A4"/>
    <w:rPr>
      <w:color w:val="0000FF"/>
      <w:u w:val="single"/>
    </w:rPr>
  </w:style>
  <w:style w:type="character" w:styleId="FollowedHyperlink">
    <w:name w:val="FollowedHyperlink"/>
    <w:rsid w:val="00AD2CEC"/>
    <w:rPr>
      <w:color w:val="800080"/>
      <w:u w:val="single"/>
    </w:rPr>
  </w:style>
  <w:style w:type="paragraph" w:styleId="Header">
    <w:name w:val="header"/>
    <w:basedOn w:val="Normal"/>
    <w:rsid w:val="008D32DD"/>
    <w:pPr>
      <w:tabs>
        <w:tab w:val="center" w:pos="4320"/>
        <w:tab w:val="right" w:pos="8640"/>
      </w:tabs>
    </w:pPr>
  </w:style>
  <w:style w:type="paragraph" w:styleId="Footer">
    <w:name w:val="footer"/>
    <w:basedOn w:val="Normal"/>
    <w:link w:val="FooterChar"/>
    <w:uiPriority w:val="99"/>
    <w:rsid w:val="008D32DD"/>
    <w:pPr>
      <w:tabs>
        <w:tab w:val="center" w:pos="4320"/>
        <w:tab w:val="right" w:pos="8640"/>
      </w:tabs>
    </w:pPr>
  </w:style>
  <w:style w:type="paragraph" w:styleId="BalloonText">
    <w:name w:val="Balloon Text"/>
    <w:basedOn w:val="Normal"/>
    <w:link w:val="BalloonTextChar"/>
    <w:rsid w:val="00D304CD"/>
    <w:rPr>
      <w:rFonts w:ascii="Tahoma" w:hAnsi="Tahoma" w:cs="Tahoma"/>
      <w:sz w:val="16"/>
      <w:szCs w:val="16"/>
    </w:rPr>
  </w:style>
  <w:style w:type="character" w:customStyle="1" w:styleId="BalloonTextChar">
    <w:name w:val="Balloon Text Char"/>
    <w:link w:val="BalloonText"/>
    <w:rsid w:val="00D304CD"/>
    <w:rPr>
      <w:rFonts w:ascii="Tahoma" w:hAnsi="Tahoma" w:cs="Tahoma"/>
      <w:sz w:val="16"/>
      <w:szCs w:val="16"/>
    </w:rPr>
  </w:style>
  <w:style w:type="character" w:customStyle="1" w:styleId="FooterChar">
    <w:name w:val="Footer Char"/>
    <w:link w:val="Footer"/>
    <w:uiPriority w:val="99"/>
    <w:rsid w:val="004E2D37"/>
    <w:rPr>
      <w:sz w:val="24"/>
      <w:szCs w:val="24"/>
    </w:rPr>
  </w:style>
  <w:style w:type="character" w:styleId="CommentReference">
    <w:name w:val="annotation reference"/>
    <w:basedOn w:val="DefaultParagraphFont"/>
    <w:rsid w:val="002A702B"/>
    <w:rPr>
      <w:sz w:val="16"/>
      <w:szCs w:val="16"/>
    </w:rPr>
  </w:style>
  <w:style w:type="paragraph" w:styleId="CommentText">
    <w:name w:val="annotation text"/>
    <w:basedOn w:val="Normal"/>
    <w:link w:val="CommentTextChar"/>
    <w:rsid w:val="002A702B"/>
    <w:rPr>
      <w:sz w:val="20"/>
      <w:szCs w:val="20"/>
    </w:rPr>
  </w:style>
  <w:style w:type="character" w:customStyle="1" w:styleId="CommentTextChar">
    <w:name w:val="Comment Text Char"/>
    <w:basedOn w:val="DefaultParagraphFont"/>
    <w:link w:val="CommentText"/>
    <w:rsid w:val="002A702B"/>
  </w:style>
  <w:style w:type="paragraph" w:styleId="CommentSubject">
    <w:name w:val="annotation subject"/>
    <w:basedOn w:val="CommentText"/>
    <w:next w:val="CommentText"/>
    <w:link w:val="CommentSubjectChar"/>
    <w:rsid w:val="002A702B"/>
    <w:rPr>
      <w:b/>
      <w:bCs/>
    </w:rPr>
  </w:style>
  <w:style w:type="character" w:customStyle="1" w:styleId="CommentSubjectChar">
    <w:name w:val="Comment Subject Char"/>
    <w:basedOn w:val="CommentTextChar"/>
    <w:link w:val="CommentSubject"/>
    <w:rsid w:val="002A702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79A4"/>
    <w:rPr>
      <w:sz w:val="24"/>
      <w:szCs w:val="24"/>
    </w:rPr>
  </w:style>
  <w:style w:type="paragraph" w:styleId="Heading1">
    <w:name w:val="heading 1"/>
    <w:basedOn w:val="Normal"/>
    <w:qFormat/>
    <w:rsid w:val="00D579A4"/>
    <w:pPr>
      <w:spacing w:before="100" w:beforeAutospacing="1" w:after="100" w:afterAutospacing="1"/>
      <w:outlineLvl w:val="0"/>
    </w:pPr>
    <w:rPr>
      <w:b/>
      <w:bCs/>
      <w:kern w:val="36"/>
      <w:sz w:val="48"/>
      <w:szCs w:val="48"/>
    </w:rPr>
  </w:style>
  <w:style w:type="paragraph" w:styleId="Heading2">
    <w:name w:val="heading 2"/>
    <w:basedOn w:val="Normal"/>
    <w:qFormat/>
    <w:rsid w:val="00D579A4"/>
    <w:pPr>
      <w:spacing w:before="100" w:beforeAutospacing="1" w:after="100" w:afterAutospacing="1"/>
      <w:outlineLvl w:val="1"/>
    </w:pPr>
    <w:rPr>
      <w:b/>
      <w:bCs/>
      <w:sz w:val="36"/>
      <w:szCs w:val="36"/>
    </w:rPr>
  </w:style>
  <w:style w:type="paragraph" w:styleId="Heading3">
    <w:name w:val="heading 3"/>
    <w:basedOn w:val="Normal"/>
    <w:qFormat/>
    <w:rsid w:val="00D579A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579A4"/>
    <w:pPr>
      <w:spacing w:before="100" w:beforeAutospacing="1" w:after="100" w:afterAutospacing="1"/>
    </w:pPr>
  </w:style>
  <w:style w:type="character" w:styleId="Strong">
    <w:name w:val="Strong"/>
    <w:qFormat/>
    <w:rsid w:val="00D579A4"/>
    <w:rPr>
      <w:b/>
      <w:bCs/>
    </w:rPr>
  </w:style>
  <w:style w:type="character" w:styleId="Hyperlink">
    <w:name w:val="Hyperlink"/>
    <w:rsid w:val="00D579A4"/>
    <w:rPr>
      <w:color w:val="0000FF"/>
      <w:u w:val="single"/>
    </w:rPr>
  </w:style>
  <w:style w:type="character" w:styleId="FollowedHyperlink">
    <w:name w:val="FollowedHyperlink"/>
    <w:rsid w:val="00AD2CEC"/>
    <w:rPr>
      <w:color w:val="800080"/>
      <w:u w:val="single"/>
    </w:rPr>
  </w:style>
  <w:style w:type="paragraph" w:styleId="Header">
    <w:name w:val="header"/>
    <w:basedOn w:val="Normal"/>
    <w:rsid w:val="008D32DD"/>
    <w:pPr>
      <w:tabs>
        <w:tab w:val="center" w:pos="4320"/>
        <w:tab w:val="right" w:pos="8640"/>
      </w:tabs>
    </w:pPr>
  </w:style>
  <w:style w:type="paragraph" w:styleId="Footer">
    <w:name w:val="footer"/>
    <w:basedOn w:val="Normal"/>
    <w:link w:val="FooterChar"/>
    <w:uiPriority w:val="99"/>
    <w:rsid w:val="008D32DD"/>
    <w:pPr>
      <w:tabs>
        <w:tab w:val="center" w:pos="4320"/>
        <w:tab w:val="right" w:pos="8640"/>
      </w:tabs>
    </w:pPr>
  </w:style>
  <w:style w:type="paragraph" w:styleId="BalloonText">
    <w:name w:val="Balloon Text"/>
    <w:basedOn w:val="Normal"/>
    <w:link w:val="BalloonTextChar"/>
    <w:rsid w:val="00D304CD"/>
    <w:rPr>
      <w:rFonts w:ascii="Tahoma" w:hAnsi="Tahoma" w:cs="Tahoma"/>
      <w:sz w:val="16"/>
      <w:szCs w:val="16"/>
    </w:rPr>
  </w:style>
  <w:style w:type="character" w:customStyle="1" w:styleId="BalloonTextChar">
    <w:name w:val="Balloon Text Char"/>
    <w:link w:val="BalloonText"/>
    <w:rsid w:val="00D304CD"/>
    <w:rPr>
      <w:rFonts w:ascii="Tahoma" w:hAnsi="Tahoma" w:cs="Tahoma"/>
      <w:sz w:val="16"/>
      <w:szCs w:val="16"/>
    </w:rPr>
  </w:style>
  <w:style w:type="character" w:customStyle="1" w:styleId="FooterChar">
    <w:name w:val="Footer Char"/>
    <w:link w:val="Footer"/>
    <w:uiPriority w:val="99"/>
    <w:rsid w:val="004E2D37"/>
    <w:rPr>
      <w:sz w:val="24"/>
      <w:szCs w:val="24"/>
    </w:rPr>
  </w:style>
  <w:style w:type="character" w:styleId="CommentReference">
    <w:name w:val="annotation reference"/>
    <w:basedOn w:val="DefaultParagraphFont"/>
    <w:rsid w:val="002A702B"/>
    <w:rPr>
      <w:sz w:val="16"/>
      <w:szCs w:val="16"/>
    </w:rPr>
  </w:style>
  <w:style w:type="paragraph" w:styleId="CommentText">
    <w:name w:val="annotation text"/>
    <w:basedOn w:val="Normal"/>
    <w:link w:val="CommentTextChar"/>
    <w:rsid w:val="002A702B"/>
    <w:rPr>
      <w:sz w:val="20"/>
      <w:szCs w:val="20"/>
    </w:rPr>
  </w:style>
  <w:style w:type="character" w:customStyle="1" w:styleId="CommentTextChar">
    <w:name w:val="Comment Text Char"/>
    <w:basedOn w:val="DefaultParagraphFont"/>
    <w:link w:val="CommentText"/>
    <w:rsid w:val="002A702B"/>
  </w:style>
  <w:style w:type="paragraph" w:styleId="CommentSubject">
    <w:name w:val="annotation subject"/>
    <w:basedOn w:val="CommentText"/>
    <w:next w:val="CommentText"/>
    <w:link w:val="CommentSubjectChar"/>
    <w:rsid w:val="002A702B"/>
    <w:rPr>
      <w:b/>
      <w:bCs/>
    </w:rPr>
  </w:style>
  <w:style w:type="character" w:customStyle="1" w:styleId="CommentSubjectChar">
    <w:name w:val="Comment Subject Char"/>
    <w:basedOn w:val="CommentTextChar"/>
    <w:link w:val="CommentSubject"/>
    <w:rsid w:val="002A70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053587">
      <w:bodyDiv w:val="1"/>
      <w:marLeft w:val="0"/>
      <w:marRight w:val="0"/>
      <w:marTop w:val="0"/>
      <w:marBottom w:val="0"/>
      <w:divBdr>
        <w:top w:val="none" w:sz="0" w:space="0" w:color="auto"/>
        <w:left w:val="none" w:sz="0" w:space="0" w:color="auto"/>
        <w:bottom w:val="none" w:sz="0" w:space="0" w:color="auto"/>
        <w:right w:val="none" w:sz="0" w:space="0" w:color="auto"/>
      </w:divBdr>
    </w:div>
    <w:div w:id="300502051">
      <w:bodyDiv w:val="1"/>
      <w:marLeft w:val="0"/>
      <w:marRight w:val="0"/>
      <w:marTop w:val="0"/>
      <w:marBottom w:val="0"/>
      <w:divBdr>
        <w:top w:val="none" w:sz="0" w:space="0" w:color="auto"/>
        <w:left w:val="none" w:sz="0" w:space="0" w:color="auto"/>
        <w:bottom w:val="none" w:sz="0" w:space="0" w:color="auto"/>
        <w:right w:val="none" w:sz="0" w:space="0" w:color="auto"/>
      </w:divBdr>
      <w:divsChild>
        <w:div w:id="209148855">
          <w:marLeft w:val="0"/>
          <w:marRight w:val="0"/>
          <w:marTop w:val="0"/>
          <w:marBottom w:val="0"/>
          <w:divBdr>
            <w:top w:val="none" w:sz="0" w:space="0" w:color="auto"/>
            <w:left w:val="none" w:sz="0" w:space="0" w:color="auto"/>
            <w:bottom w:val="none" w:sz="0" w:space="0" w:color="auto"/>
            <w:right w:val="none" w:sz="0" w:space="0" w:color="auto"/>
          </w:divBdr>
          <w:divsChild>
            <w:div w:id="174074837">
              <w:marLeft w:val="0"/>
              <w:marRight w:val="0"/>
              <w:marTop w:val="0"/>
              <w:marBottom w:val="0"/>
              <w:divBdr>
                <w:top w:val="none" w:sz="0" w:space="0" w:color="auto"/>
                <w:left w:val="none" w:sz="0" w:space="0" w:color="auto"/>
                <w:bottom w:val="none" w:sz="0" w:space="0" w:color="auto"/>
                <w:right w:val="none" w:sz="0" w:space="0" w:color="auto"/>
              </w:divBdr>
              <w:divsChild>
                <w:div w:id="411708222">
                  <w:marLeft w:val="0"/>
                  <w:marRight w:val="0"/>
                  <w:marTop w:val="0"/>
                  <w:marBottom w:val="0"/>
                  <w:divBdr>
                    <w:top w:val="none" w:sz="0" w:space="0" w:color="auto"/>
                    <w:left w:val="none" w:sz="0" w:space="0" w:color="auto"/>
                    <w:bottom w:val="none" w:sz="0" w:space="0" w:color="auto"/>
                    <w:right w:val="none" w:sz="0" w:space="0" w:color="auto"/>
                  </w:divBdr>
                  <w:divsChild>
                    <w:div w:id="125346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366701">
      <w:bodyDiv w:val="1"/>
      <w:marLeft w:val="0"/>
      <w:marRight w:val="0"/>
      <w:marTop w:val="0"/>
      <w:marBottom w:val="0"/>
      <w:divBdr>
        <w:top w:val="none" w:sz="0" w:space="0" w:color="auto"/>
        <w:left w:val="none" w:sz="0" w:space="0" w:color="auto"/>
        <w:bottom w:val="none" w:sz="0" w:space="0" w:color="auto"/>
        <w:right w:val="none" w:sz="0" w:space="0" w:color="auto"/>
      </w:divBdr>
      <w:divsChild>
        <w:div w:id="472720187">
          <w:marLeft w:val="1800"/>
          <w:marRight w:val="0"/>
          <w:marTop w:val="96"/>
          <w:marBottom w:val="0"/>
          <w:divBdr>
            <w:top w:val="none" w:sz="0" w:space="0" w:color="auto"/>
            <w:left w:val="none" w:sz="0" w:space="0" w:color="auto"/>
            <w:bottom w:val="none" w:sz="0" w:space="0" w:color="auto"/>
            <w:right w:val="none" w:sz="0" w:space="0" w:color="auto"/>
          </w:divBdr>
        </w:div>
        <w:div w:id="813259140">
          <w:marLeft w:val="1800"/>
          <w:marRight w:val="0"/>
          <w:marTop w:val="96"/>
          <w:marBottom w:val="0"/>
          <w:divBdr>
            <w:top w:val="none" w:sz="0" w:space="0" w:color="auto"/>
            <w:left w:val="none" w:sz="0" w:space="0" w:color="auto"/>
            <w:bottom w:val="none" w:sz="0" w:space="0" w:color="auto"/>
            <w:right w:val="none" w:sz="0" w:space="0" w:color="auto"/>
          </w:divBdr>
        </w:div>
        <w:div w:id="1437215904">
          <w:marLeft w:val="1166"/>
          <w:marRight w:val="0"/>
          <w:marTop w:val="96"/>
          <w:marBottom w:val="0"/>
          <w:divBdr>
            <w:top w:val="none" w:sz="0" w:space="0" w:color="auto"/>
            <w:left w:val="none" w:sz="0" w:space="0" w:color="auto"/>
            <w:bottom w:val="none" w:sz="0" w:space="0" w:color="auto"/>
            <w:right w:val="none" w:sz="0" w:space="0" w:color="auto"/>
          </w:divBdr>
        </w:div>
        <w:div w:id="1615794897">
          <w:marLeft w:val="1166"/>
          <w:marRight w:val="0"/>
          <w:marTop w:val="96"/>
          <w:marBottom w:val="0"/>
          <w:divBdr>
            <w:top w:val="none" w:sz="0" w:space="0" w:color="auto"/>
            <w:left w:val="none" w:sz="0" w:space="0" w:color="auto"/>
            <w:bottom w:val="none" w:sz="0" w:space="0" w:color="auto"/>
            <w:right w:val="none" w:sz="0" w:space="0" w:color="auto"/>
          </w:divBdr>
        </w:div>
        <w:div w:id="1799377696">
          <w:marLeft w:val="1166"/>
          <w:marRight w:val="0"/>
          <w:marTop w:val="96"/>
          <w:marBottom w:val="0"/>
          <w:divBdr>
            <w:top w:val="none" w:sz="0" w:space="0" w:color="auto"/>
            <w:left w:val="none" w:sz="0" w:space="0" w:color="auto"/>
            <w:bottom w:val="none" w:sz="0" w:space="0" w:color="auto"/>
            <w:right w:val="none" w:sz="0" w:space="0" w:color="auto"/>
          </w:divBdr>
        </w:div>
        <w:div w:id="2041587520">
          <w:marLeft w:val="1800"/>
          <w:marRight w:val="0"/>
          <w:marTop w:val="96"/>
          <w:marBottom w:val="0"/>
          <w:divBdr>
            <w:top w:val="none" w:sz="0" w:space="0" w:color="auto"/>
            <w:left w:val="none" w:sz="0" w:space="0" w:color="auto"/>
            <w:bottom w:val="none" w:sz="0" w:space="0" w:color="auto"/>
            <w:right w:val="none" w:sz="0" w:space="0" w:color="auto"/>
          </w:divBdr>
        </w:div>
      </w:divsChild>
    </w:div>
    <w:div w:id="649871820">
      <w:bodyDiv w:val="1"/>
      <w:marLeft w:val="0"/>
      <w:marRight w:val="0"/>
      <w:marTop w:val="0"/>
      <w:marBottom w:val="0"/>
      <w:divBdr>
        <w:top w:val="none" w:sz="0" w:space="0" w:color="auto"/>
        <w:left w:val="none" w:sz="0" w:space="0" w:color="auto"/>
        <w:bottom w:val="none" w:sz="0" w:space="0" w:color="auto"/>
        <w:right w:val="none" w:sz="0" w:space="0" w:color="auto"/>
      </w:divBdr>
      <w:divsChild>
        <w:div w:id="65953339">
          <w:marLeft w:val="0"/>
          <w:marRight w:val="0"/>
          <w:marTop w:val="0"/>
          <w:marBottom w:val="0"/>
          <w:divBdr>
            <w:top w:val="none" w:sz="0" w:space="0" w:color="auto"/>
            <w:left w:val="none" w:sz="0" w:space="0" w:color="auto"/>
            <w:bottom w:val="none" w:sz="0" w:space="0" w:color="auto"/>
            <w:right w:val="none" w:sz="0" w:space="0" w:color="auto"/>
          </w:divBdr>
          <w:divsChild>
            <w:div w:id="1782993402">
              <w:marLeft w:val="0"/>
              <w:marRight w:val="0"/>
              <w:marTop w:val="0"/>
              <w:marBottom w:val="0"/>
              <w:divBdr>
                <w:top w:val="none" w:sz="0" w:space="0" w:color="auto"/>
                <w:left w:val="none" w:sz="0" w:space="0" w:color="auto"/>
                <w:bottom w:val="none" w:sz="0" w:space="0" w:color="auto"/>
                <w:right w:val="none" w:sz="0" w:space="0" w:color="auto"/>
              </w:divBdr>
              <w:divsChild>
                <w:div w:id="2068993426">
                  <w:marLeft w:val="0"/>
                  <w:marRight w:val="0"/>
                  <w:marTop w:val="0"/>
                  <w:marBottom w:val="0"/>
                  <w:divBdr>
                    <w:top w:val="none" w:sz="0" w:space="0" w:color="auto"/>
                    <w:left w:val="none" w:sz="0" w:space="0" w:color="auto"/>
                    <w:bottom w:val="none" w:sz="0" w:space="0" w:color="auto"/>
                    <w:right w:val="none" w:sz="0" w:space="0" w:color="auto"/>
                  </w:divBdr>
                  <w:divsChild>
                    <w:div w:id="151935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650844">
      <w:bodyDiv w:val="1"/>
      <w:marLeft w:val="0"/>
      <w:marRight w:val="0"/>
      <w:marTop w:val="0"/>
      <w:marBottom w:val="0"/>
      <w:divBdr>
        <w:top w:val="none" w:sz="0" w:space="0" w:color="auto"/>
        <w:left w:val="none" w:sz="0" w:space="0" w:color="auto"/>
        <w:bottom w:val="none" w:sz="0" w:space="0" w:color="auto"/>
        <w:right w:val="none" w:sz="0" w:space="0" w:color="auto"/>
      </w:divBdr>
    </w:div>
    <w:div w:id="1307011491">
      <w:bodyDiv w:val="1"/>
      <w:marLeft w:val="0"/>
      <w:marRight w:val="0"/>
      <w:marTop w:val="0"/>
      <w:marBottom w:val="0"/>
      <w:divBdr>
        <w:top w:val="none" w:sz="0" w:space="0" w:color="auto"/>
        <w:left w:val="none" w:sz="0" w:space="0" w:color="auto"/>
        <w:bottom w:val="none" w:sz="0" w:space="0" w:color="auto"/>
        <w:right w:val="none" w:sz="0" w:space="0" w:color="auto"/>
      </w:divBdr>
      <w:divsChild>
        <w:div w:id="983630049">
          <w:marLeft w:val="0"/>
          <w:marRight w:val="0"/>
          <w:marTop w:val="0"/>
          <w:marBottom w:val="0"/>
          <w:divBdr>
            <w:top w:val="none" w:sz="0" w:space="0" w:color="auto"/>
            <w:left w:val="none" w:sz="0" w:space="0" w:color="auto"/>
            <w:bottom w:val="none" w:sz="0" w:space="0" w:color="auto"/>
            <w:right w:val="none" w:sz="0" w:space="0" w:color="auto"/>
          </w:divBdr>
          <w:divsChild>
            <w:div w:id="2063018001">
              <w:marLeft w:val="0"/>
              <w:marRight w:val="0"/>
              <w:marTop w:val="0"/>
              <w:marBottom w:val="0"/>
              <w:divBdr>
                <w:top w:val="none" w:sz="0" w:space="0" w:color="auto"/>
                <w:left w:val="none" w:sz="0" w:space="0" w:color="auto"/>
                <w:bottom w:val="none" w:sz="0" w:space="0" w:color="auto"/>
                <w:right w:val="none" w:sz="0" w:space="0" w:color="auto"/>
              </w:divBdr>
              <w:divsChild>
                <w:div w:id="1066341651">
                  <w:marLeft w:val="0"/>
                  <w:marRight w:val="0"/>
                  <w:marTop w:val="0"/>
                  <w:marBottom w:val="0"/>
                  <w:divBdr>
                    <w:top w:val="none" w:sz="0" w:space="0" w:color="auto"/>
                    <w:left w:val="none" w:sz="0" w:space="0" w:color="auto"/>
                    <w:bottom w:val="none" w:sz="0" w:space="0" w:color="auto"/>
                    <w:right w:val="none" w:sz="0" w:space="0" w:color="auto"/>
                  </w:divBdr>
                  <w:divsChild>
                    <w:div w:id="44342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825547">
      <w:bodyDiv w:val="1"/>
      <w:marLeft w:val="0"/>
      <w:marRight w:val="0"/>
      <w:marTop w:val="0"/>
      <w:marBottom w:val="0"/>
      <w:divBdr>
        <w:top w:val="none" w:sz="0" w:space="0" w:color="auto"/>
        <w:left w:val="none" w:sz="0" w:space="0" w:color="auto"/>
        <w:bottom w:val="none" w:sz="0" w:space="0" w:color="auto"/>
        <w:right w:val="none" w:sz="0" w:space="0" w:color="auto"/>
      </w:divBdr>
      <w:divsChild>
        <w:div w:id="117529977">
          <w:marLeft w:val="547"/>
          <w:marRight w:val="0"/>
          <w:marTop w:val="134"/>
          <w:marBottom w:val="0"/>
          <w:divBdr>
            <w:top w:val="none" w:sz="0" w:space="0" w:color="auto"/>
            <w:left w:val="none" w:sz="0" w:space="0" w:color="auto"/>
            <w:bottom w:val="none" w:sz="0" w:space="0" w:color="auto"/>
            <w:right w:val="none" w:sz="0" w:space="0" w:color="auto"/>
          </w:divBdr>
        </w:div>
        <w:div w:id="1025902908">
          <w:marLeft w:val="547"/>
          <w:marRight w:val="0"/>
          <w:marTop w:val="134"/>
          <w:marBottom w:val="0"/>
          <w:divBdr>
            <w:top w:val="none" w:sz="0" w:space="0" w:color="auto"/>
            <w:left w:val="none" w:sz="0" w:space="0" w:color="auto"/>
            <w:bottom w:val="none" w:sz="0" w:space="0" w:color="auto"/>
            <w:right w:val="none" w:sz="0" w:space="0" w:color="auto"/>
          </w:divBdr>
        </w:div>
        <w:div w:id="1168324410">
          <w:marLeft w:val="547"/>
          <w:marRight w:val="0"/>
          <w:marTop w:val="134"/>
          <w:marBottom w:val="0"/>
          <w:divBdr>
            <w:top w:val="none" w:sz="0" w:space="0" w:color="auto"/>
            <w:left w:val="none" w:sz="0" w:space="0" w:color="auto"/>
            <w:bottom w:val="none" w:sz="0" w:space="0" w:color="auto"/>
            <w:right w:val="none" w:sz="0" w:space="0" w:color="auto"/>
          </w:divBdr>
        </w:div>
        <w:div w:id="1390104731">
          <w:marLeft w:val="1800"/>
          <w:marRight w:val="0"/>
          <w:marTop w:val="96"/>
          <w:marBottom w:val="0"/>
          <w:divBdr>
            <w:top w:val="none" w:sz="0" w:space="0" w:color="auto"/>
            <w:left w:val="none" w:sz="0" w:space="0" w:color="auto"/>
            <w:bottom w:val="none" w:sz="0" w:space="0" w:color="auto"/>
            <w:right w:val="none" w:sz="0" w:space="0" w:color="auto"/>
          </w:divBdr>
        </w:div>
        <w:div w:id="1394347458">
          <w:marLeft w:val="547"/>
          <w:marRight w:val="0"/>
          <w:marTop w:val="134"/>
          <w:marBottom w:val="0"/>
          <w:divBdr>
            <w:top w:val="none" w:sz="0" w:space="0" w:color="auto"/>
            <w:left w:val="none" w:sz="0" w:space="0" w:color="auto"/>
            <w:bottom w:val="none" w:sz="0" w:space="0" w:color="auto"/>
            <w:right w:val="none" w:sz="0" w:space="0" w:color="auto"/>
          </w:divBdr>
        </w:div>
        <w:div w:id="1963919620">
          <w:marLeft w:val="1800"/>
          <w:marRight w:val="0"/>
          <w:marTop w:val="96"/>
          <w:marBottom w:val="0"/>
          <w:divBdr>
            <w:top w:val="none" w:sz="0" w:space="0" w:color="auto"/>
            <w:left w:val="none" w:sz="0" w:space="0" w:color="auto"/>
            <w:bottom w:val="none" w:sz="0" w:space="0" w:color="auto"/>
            <w:right w:val="none" w:sz="0" w:space="0" w:color="auto"/>
          </w:divBdr>
        </w:div>
        <w:div w:id="2075466399">
          <w:marLeft w:val="547"/>
          <w:marRight w:val="0"/>
          <w:marTop w:val="134"/>
          <w:marBottom w:val="0"/>
          <w:divBdr>
            <w:top w:val="none" w:sz="0" w:space="0" w:color="auto"/>
            <w:left w:val="none" w:sz="0" w:space="0" w:color="auto"/>
            <w:bottom w:val="none" w:sz="0" w:space="0" w:color="auto"/>
            <w:right w:val="none" w:sz="0" w:space="0" w:color="auto"/>
          </w:divBdr>
        </w:div>
        <w:div w:id="2121685787">
          <w:marLeft w:val="547"/>
          <w:marRight w:val="0"/>
          <w:marTop w:val="134"/>
          <w:marBottom w:val="0"/>
          <w:divBdr>
            <w:top w:val="none" w:sz="0" w:space="0" w:color="auto"/>
            <w:left w:val="none" w:sz="0" w:space="0" w:color="auto"/>
            <w:bottom w:val="none" w:sz="0" w:space="0" w:color="auto"/>
            <w:right w:val="none" w:sz="0" w:space="0" w:color="auto"/>
          </w:divBdr>
        </w:div>
      </w:divsChild>
    </w:div>
    <w:div w:id="1588690087">
      <w:bodyDiv w:val="1"/>
      <w:marLeft w:val="0"/>
      <w:marRight w:val="0"/>
      <w:marTop w:val="0"/>
      <w:marBottom w:val="0"/>
      <w:divBdr>
        <w:top w:val="none" w:sz="0" w:space="0" w:color="auto"/>
        <w:left w:val="none" w:sz="0" w:space="0" w:color="auto"/>
        <w:bottom w:val="none" w:sz="0" w:space="0" w:color="auto"/>
        <w:right w:val="none" w:sz="0" w:space="0" w:color="auto"/>
      </w:divBdr>
      <w:divsChild>
        <w:div w:id="906570767">
          <w:marLeft w:val="1166"/>
          <w:marRight w:val="0"/>
          <w:marTop w:val="86"/>
          <w:marBottom w:val="0"/>
          <w:divBdr>
            <w:top w:val="none" w:sz="0" w:space="0" w:color="auto"/>
            <w:left w:val="none" w:sz="0" w:space="0" w:color="auto"/>
            <w:bottom w:val="none" w:sz="0" w:space="0" w:color="auto"/>
            <w:right w:val="none" w:sz="0" w:space="0" w:color="auto"/>
          </w:divBdr>
        </w:div>
        <w:div w:id="958991118">
          <w:marLeft w:val="1166"/>
          <w:marRight w:val="0"/>
          <w:marTop w:val="86"/>
          <w:marBottom w:val="0"/>
          <w:divBdr>
            <w:top w:val="none" w:sz="0" w:space="0" w:color="auto"/>
            <w:left w:val="none" w:sz="0" w:space="0" w:color="auto"/>
            <w:bottom w:val="none" w:sz="0" w:space="0" w:color="auto"/>
            <w:right w:val="none" w:sz="0" w:space="0" w:color="auto"/>
          </w:divBdr>
        </w:div>
        <w:div w:id="1064067303">
          <w:marLeft w:val="1166"/>
          <w:marRight w:val="0"/>
          <w:marTop w:val="86"/>
          <w:marBottom w:val="0"/>
          <w:divBdr>
            <w:top w:val="none" w:sz="0" w:space="0" w:color="auto"/>
            <w:left w:val="none" w:sz="0" w:space="0" w:color="auto"/>
            <w:bottom w:val="none" w:sz="0" w:space="0" w:color="auto"/>
            <w:right w:val="none" w:sz="0" w:space="0" w:color="auto"/>
          </w:divBdr>
        </w:div>
        <w:div w:id="1383871015">
          <w:marLeft w:val="547"/>
          <w:marRight w:val="0"/>
          <w:marTop w:val="96"/>
          <w:marBottom w:val="0"/>
          <w:divBdr>
            <w:top w:val="none" w:sz="0" w:space="0" w:color="auto"/>
            <w:left w:val="none" w:sz="0" w:space="0" w:color="auto"/>
            <w:bottom w:val="none" w:sz="0" w:space="0" w:color="auto"/>
            <w:right w:val="none" w:sz="0" w:space="0" w:color="auto"/>
          </w:divBdr>
        </w:div>
        <w:div w:id="1856967197">
          <w:marLeft w:val="1166"/>
          <w:marRight w:val="0"/>
          <w:marTop w:val="86"/>
          <w:marBottom w:val="0"/>
          <w:divBdr>
            <w:top w:val="none" w:sz="0" w:space="0" w:color="auto"/>
            <w:left w:val="none" w:sz="0" w:space="0" w:color="auto"/>
            <w:bottom w:val="none" w:sz="0" w:space="0" w:color="auto"/>
            <w:right w:val="none" w:sz="0" w:space="0" w:color="auto"/>
          </w:divBdr>
        </w:div>
        <w:div w:id="1949583254">
          <w:marLeft w:val="547"/>
          <w:marRight w:val="0"/>
          <w:marTop w:val="96"/>
          <w:marBottom w:val="0"/>
          <w:divBdr>
            <w:top w:val="none" w:sz="0" w:space="0" w:color="auto"/>
            <w:left w:val="none" w:sz="0" w:space="0" w:color="auto"/>
            <w:bottom w:val="none" w:sz="0" w:space="0" w:color="auto"/>
            <w:right w:val="none" w:sz="0" w:space="0" w:color="auto"/>
          </w:divBdr>
        </w:div>
        <w:div w:id="2140491962">
          <w:marLeft w:val="547"/>
          <w:marRight w:val="0"/>
          <w:marTop w:val="96"/>
          <w:marBottom w:val="0"/>
          <w:divBdr>
            <w:top w:val="none" w:sz="0" w:space="0" w:color="auto"/>
            <w:left w:val="none" w:sz="0" w:space="0" w:color="auto"/>
            <w:bottom w:val="none" w:sz="0" w:space="0" w:color="auto"/>
            <w:right w:val="none" w:sz="0" w:space="0" w:color="auto"/>
          </w:divBdr>
        </w:div>
      </w:divsChild>
    </w:div>
    <w:div w:id="211177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www.mass.gov/eohhs/gov/departments/dph/programs/id/immunization/mvpac.ht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1393</Words>
  <Characters>7943</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Massachusetts Department of Public Health</vt:lpstr>
    </vt:vector>
  </TitlesOfParts>
  <Company>DPH</Company>
  <LinksUpToDate>false</LinksUpToDate>
  <CharactersWithSpaces>9318</CharactersWithSpaces>
  <SharedDoc>false</SharedDoc>
  <HLinks>
    <vt:vector size="6" baseType="variant">
      <vt:variant>
        <vt:i4>983044</vt:i4>
      </vt:variant>
      <vt:variant>
        <vt:i4>0</vt:i4>
      </vt:variant>
      <vt:variant>
        <vt:i4>0</vt:i4>
      </vt:variant>
      <vt:variant>
        <vt:i4>5</vt:i4>
      </vt:variant>
      <vt:variant>
        <vt:lpwstr>http://www.mass.gov/eohhs/gov/departments/dph/programs/id/immunization/mvpac.html</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2016-12-07T13:37:00Z</dcterms:created>
  <dc:creator>DPH</dc:creator>
  <lastModifiedBy>Rebecca Vanucci</lastModifiedBy>
  <dcterms:modified xsi:type="dcterms:W3CDTF">2016-12-07T13:37:00Z</dcterms:modified>
  <revision>2</revision>
  <dc:title>Massachusetts Department of Public Health</dc:title>
</coreProperties>
</file>