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FB68E" w14:textId="77777777" w:rsidR="00684572" w:rsidRDefault="00684572" w:rsidP="732F1B27">
      <w:pPr>
        <w:spacing w:after="0"/>
        <w:ind w:left="0" w:right="23" w:firstLine="0"/>
        <w:jc w:val="center"/>
        <w:rPr>
          <w:rFonts w:ascii="Arial" w:eastAsia="Arial" w:hAnsi="Arial" w:cs="Arial"/>
          <w:b/>
          <w:bCs/>
          <w:color w:val="FF0000"/>
          <w:sz w:val="28"/>
          <w:szCs w:val="28"/>
        </w:rPr>
      </w:pPr>
      <w:r>
        <w:rPr>
          <w:noProof/>
        </w:rPr>
        <w:drawing>
          <wp:anchor distT="0" distB="0" distL="114300" distR="114300" simplePos="0" relativeHeight="251659264" behindDoc="0" locked="0" layoutInCell="1" allowOverlap="0" wp14:anchorId="5A4BAC58" wp14:editId="241F9DDD">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10"/>
                    <a:stretch>
                      <a:fillRect/>
                    </a:stretch>
                  </pic:blipFill>
                  <pic:spPr>
                    <a:xfrm>
                      <a:off x="0" y="0"/>
                      <a:ext cx="1018540" cy="1188720"/>
                    </a:xfrm>
                    <a:prstGeom prst="rect">
                      <a:avLst/>
                    </a:prstGeom>
                  </pic:spPr>
                </pic:pic>
              </a:graphicData>
            </a:graphic>
          </wp:anchor>
        </w:drawing>
      </w:r>
    </w:p>
    <w:p w14:paraId="4FCB3C81" w14:textId="77777777" w:rsidR="00684572" w:rsidRPr="00B30419" w:rsidRDefault="00684572" w:rsidP="00684572">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42DCEF50" w14:textId="77777777" w:rsidR="00684572" w:rsidRPr="00B30419" w:rsidRDefault="00684572" w:rsidP="00684572">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30D5B0B9" w14:textId="77777777" w:rsidR="00684572" w:rsidRPr="00B30419" w:rsidRDefault="00684572" w:rsidP="00684572">
      <w:pPr>
        <w:spacing w:after="0" w:line="240" w:lineRule="auto"/>
        <w:ind w:right="91"/>
        <w:jc w:val="center"/>
        <w:rPr>
          <w:rFonts w:ascii="Arial" w:eastAsia="Arial" w:hAnsi="Arial" w:cs="Arial"/>
        </w:rPr>
      </w:pPr>
      <w:r w:rsidRPr="00B30419">
        <w:rPr>
          <w:rFonts w:ascii="Arial" w:eastAsia="Arial" w:hAnsi="Arial" w:cs="Arial"/>
        </w:rPr>
        <w:t>STATE HOUSE    ▪    ROOM 373</w:t>
      </w:r>
    </w:p>
    <w:p w14:paraId="10E968D3" w14:textId="77777777" w:rsidR="00684572" w:rsidRPr="00B30419" w:rsidRDefault="00684572" w:rsidP="00684572">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6567224B" w14:textId="77777777" w:rsidR="00684572" w:rsidRPr="00B30419" w:rsidRDefault="00684572" w:rsidP="00684572">
      <w:pPr>
        <w:spacing w:after="0" w:line="240" w:lineRule="auto"/>
        <w:ind w:right="91"/>
        <w:jc w:val="right"/>
        <w:rPr>
          <w:rFonts w:ascii="Arial" w:eastAsia="Arial" w:hAnsi="Arial" w:cs="Arial"/>
        </w:rPr>
      </w:pPr>
      <w:r w:rsidRPr="00B30419">
        <w:rPr>
          <w:rFonts w:ascii="Arial" w:eastAsia="Arial" w:hAnsi="Arial" w:cs="Arial"/>
        </w:rPr>
        <w:t>TEL: (617) 727-2040</w:t>
      </w:r>
    </w:p>
    <w:p w14:paraId="409B8790" w14:textId="77777777" w:rsidR="00684572" w:rsidRPr="00B30419" w:rsidRDefault="00684572" w:rsidP="00684572">
      <w:pPr>
        <w:spacing w:after="0" w:line="240" w:lineRule="auto"/>
        <w:ind w:right="91"/>
        <w:jc w:val="right"/>
        <w:rPr>
          <w:rFonts w:ascii="Arial" w:eastAsia="Arial" w:hAnsi="Arial" w:cs="Arial"/>
        </w:rPr>
      </w:pPr>
      <w:r w:rsidRPr="00B30419">
        <w:rPr>
          <w:rFonts w:ascii="Arial" w:eastAsia="Arial" w:hAnsi="Arial" w:cs="Arial"/>
        </w:rPr>
        <w:t>FAX: (617) 727-2779</w:t>
      </w:r>
    </w:p>
    <w:p w14:paraId="29AC83DE" w14:textId="77777777" w:rsidR="00684572" w:rsidRDefault="00684572" w:rsidP="00684572">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7208DDCB" w14:textId="77777777" w:rsidR="00C11BE1" w:rsidRDefault="00492A80">
      <w:pPr>
        <w:spacing w:after="0" w:line="259" w:lineRule="auto"/>
        <w:ind w:left="0" w:firstLine="0"/>
        <w:jc w:val="center"/>
      </w:pPr>
      <w:r>
        <w:rPr>
          <w:b/>
          <w:u w:val="single" w:color="000000"/>
        </w:rPr>
        <w:t>Meeting Minutes</w:t>
      </w:r>
      <w:r>
        <w:rPr>
          <w:b/>
        </w:rPr>
        <w:t xml:space="preserve"> </w:t>
      </w:r>
    </w:p>
    <w:p w14:paraId="5931A5F6" w14:textId="77777777" w:rsidR="00C11BE1" w:rsidRDefault="00492A80">
      <w:pPr>
        <w:spacing w:after="152" w:line="259" w:lineRule="auto"/>
        <w:ind w:left="0" w:right="0" w:firstLine="0"/>
      </w:pPr>
      <w:r>
        <w:rPr>
          <w:b/>
          <w:sz w:val="14"/>
        </w:rPr>
        <w:t xml:space="preserve"> </w:t>
      </w:r>
    </w:p>
    <w:p w14:paraId="60B8B9E3" w14:textId="77777777" w:rsidR="00C11BE1" w:rsidRDefault="00492A80">
      <w:pPr>
        <w:spacing w:after="0" w:line="259" w:lineRule="auto"/>
        <w:ind w:right="60"/>
        <w:jc w:val="center"/>
      </w:pPr>
      <w:r>
        <w:rPr>
          <w:b/>
        </w:rPr>
        <w:t xml:space="preserve">Debt Affordability Committee </w:t>
      </w:r>
    </w:p>
    <w:p w14:paraId="29C02C68" w14:textId="77777777" w:rsidR="00C11BE1" w:rsidRDefault="00492A80">
      <w:pPr>
        <w:spacing w:after="0" w:line="259" w:lineRule="auto"/>
        <w:ind w:right="58"/>
        <w:jc w:val="center"/>
      </w:pPr>
      <w:r>
        <w:rPr>
          <w:b/>
        </w:rPr>
        <w:t xml:space="preserve">October 14, 2022 </w:t>
      </w:r>
    </w:p>
    <w:p w14:paraId="4C745DAF" w14:textId="77777777" w:rsidR="00C11BE1" w:rsidRDefault="00492A80">
      <w:pPr>
        <w:spacing w:after="0" w:line="259" w:lineRule="auto"/>
        <w:ind w:right="56"/>
        <w:jc w:val="center"/>
      </w:pPr>
      <w:r>
        <w:rPr>
          <w:b/>
        </w:rPr>
        <w:t xml:space="preserve">1:00 pm </w:t>
      </w:r>
    </w:p>
    <w:p w14:paraId="273ADC7D" w14:textId="77777777" w:rsidR="00C11BE1" w:rsidRDefault="00492A80">
      <w:pPr>
        <w:spacing w:after="0" w:line="259" w:lineRule="auto"/>
        <w:ind w:right="56"/>
        <w:jc w:val="center"/>
      </w:pPr>
      <w:r>
        <w:rPr>
          <w:b/>
        </w:rPr>
        <w:t xml:space="preserve">Executive Office for Administration and Finance </w:t>
      </w:r>
    </w:p>
    <w:p w14:paraId="1829800E" w14:textId="77777777" w:rsidR="00C11BE1" w:rsidRDefault="00492A80">
      <w:pPr>
        <w:spacing w:after="0" w:line="259" w:lineRule="auto"/>
        <w:ind w:right="56"/>
        <w:jc w:val="center"/>
      </w:pPr>
      <w:r>
        <w:rPr>
          <w:b/>
        </w:rPr>
        <w:t>Zoom URL:</w:t>
      </w:r>
      <w:r>
        <w:t xml:space="preserve"> : </w:t>
      </w:r>
      <w:hyperlink r:id="rId11">
        <w:r w:rsidR="00C11BE1">
          <w:rPr>
            <w:color w:val="0000FF"/>
            <w:u w:val="single" w:color="0000FF"/>
          </w:rPr>
          <w:t>https://mass</w:t>
        </w:r>
      </w:hyperlink>
      <w:hyperlink r:id="rId12">
        <w:r w:rsidR="00C11BE1">
          <w:rPr>
            <w:color w:val="0000FF"/>
            <w:u w:val="single" w:color="0000FF"/>
          </w:rPr>
          <w:t>-</w:t>
        </w:r>
      </w:hyperlink>
      <w:hyperlink r:id="rId13">
        <w:r w:rsidR="00C11BE1">
          <w:rPr>
            <w:color w:val="0000FF"/>
            <w:u w:val="single" w:color="0000FF"/>
          </w:rPr>
          <w:t>gov</w:t>
        </w:r>
      </w:hyperlink>
      <w:hyperlink r:id="rId14">
        <w:r w:rsidR="00C11BE1">
          <w:rPr>
            <w:color w:val="0000FF"/>
            <w:u w:val="single" w:color="0000FF"/>
          </w:rPr>
          <w:t>-</w:t>
        </w:r>
      </w:hyperlink>
    </w:p>
    <w:p w14:paraId="0B2247FF" w14:textId="77777777" w:rsidR="00C11BE1" w:rsidRDefault="00C11BE1">
      <w:pPr>
        <w:spacing w:after="0" w:line="259" w:lineRule="auto"/>
        <w:ind w:right="63"/>
        <w:jc w:val="center"/>
      </w:pPr>
      <w:hyperlink r:id="rId15">
        <w:r>
          <w:rPr>
            <w:color w:val="0000FF"/>
            <w:u w:val="single" w:color="0000FF"/>
          </w:rPr>
          <w:t>anf.zoom.us/j/89260050854?pwd=Tk9Mc3k2Zk01RDJmNlJHbGQ2ckVjUT09</w:t>
        </w:r>
      </w:hyperlink>
      <w:hyperlink r:id="rId16">
        <w:r>
          <w:t xml:space="preserve"> </w:t>
        </w:r>
      </w:hyperlink>
      <w:r w:rsidR="00492A80">
        <w:t xml:space="preserve"> </w:t>
      </w:r>
    </w:p>
    <w:p w14:paraId="3D30A9E0" w14:textId="77777777" w:rsidR="00C11BE1" w:rsidRDefault="00492A80">
      <w:pPr>
        <w:spacing w:after="0" w:line="259" w:lineRule="auto"/>
        <w:jc w:val="center"/>
      </w:pPr>
      <w:r>
        <w:t xml:space="preserve">Password: DAC101422 Teleconference line: 713-353-7024; Conference code: 319738 </w:t>
      </w:r>
    </w:p>
    <w:p w14:paraId="0EF1BE9C" w14:textId="77777777" w:rsidR="00C11BE1" w:rsidRDefault="00492A80">
      <w:pPr>
        <w:spacing w:after="0" w:line="259" w:lineRule="auto"/>
        <w:ind w:left="0" w:right="2" w:firstLine="0"/>
        <w:jc w:val="center"/>
      </w:pPr>
      <w:r>
        <w:rPr>
          <w:b/>
        </w:rPr>
        <w:t xml:space="preserve"> </w:t>
      </w:r>
    </w:p>
    <w:p w14:paraId="6B2A1E0B" w14:textId="77777777" w:rsidR="00C11BE1" w:rsidRDefault="00492A80">
      <w:pPr>
        <w:ind w:left="171" w:right="0"/>
      </w:pPr>
      <w:r>
        <w:t xml:space="preserve">A meeting of the Debt Affordability Committee was held on October 14, 2022. In accordance with Section 20 of Chapter 20 of the Acts of 2021, as extended by Chapter 107 of the Acts of 2022, this meeting will be conducted, and open to the public, via Zoom and Teleconference. </w:t>
      </w:r>
    </w:p>
    <w:p w14:paraId="49CF6EC0" w14:textId="77777777" w:rsidR="00C11BE1" w:rsidRDefault="00492A80">
      <w:pPr>
        <w:spacing w:after="0" w:line="259" w:lineRule="auto"/>
        <w:ind w:left="161" w:right="0" w:firstLine="0"/>
      </w:pPr>
      <w:r>
        <w:rPr>
          <w:b/>
        </w:rPr>
        <w:t xml:space="preserve"> </w:t>
      </w:r>
    </w:p>
    <w:p w14:paraId="35D8A52D" w14:textId="77777777" w:rsidR="00C11BE1" w:rsidRDefault="00492A80">
      <w:pPr>
        <w:spacing w:after="0" w:line="259" w:lineRule="auto"/>
        <w:ind w:left="-5" w:right="0"/>
      </w:pPr>
      <w:r>
        <w:rPr>
          <w:b/>
        </w:rPr>
        <w:t xml:space="preserve">Minutes: </w:t>
      </w:r>
    </w:p>
    <w:p w14:paraId="534578A0" w14:textId="77777777" w:rsidR="00C11BE1" w:rsidRDefault="00492A80">
      <w:pPr>
        <w:ind w:left="-5" w:right="0"/>
      </w:pPr>
      <w:r>
        <w:t xml:space="preserve">The meeting was called to order at 1:01PM </w:t>
      </w:r>
    </w:p>
    <w:p w14:paraId="2B3184B1" w14:textId="77777777" w:rsidR="00C11BE1" w:rsidRDefault="00492A80">
      <w:pPr>
        <w:spacing w:after="0" w:line="259" w:lineRule="auto"/>
        <w:ind w:left="0" w:right="0" w:firstLine="0"/>
      </w:pPr>
      <w:r>
        <w:t xml:space="preserve">  </w:t>
      </w:r>
    </w:p>
    <w:p w14:paraId="25BC49BA" w14:textId="77777777" w:rsidR="00C11BE1" w:rsidRDefault="00492A80">
      <w:pPr>
        <w:spacing w:after="0" w:line="259" w:lineRule="auto"/>
        <w:ind w:left="-5" w:right="0"/>
      </w:pPr>
      <w:r>
        <w:rPr>
          <w:b/>
        </w:rPr>
        <w:t xml:space="preserve">Board members comprising a quorum:  </w:t>
      </w:r>
    </w:p>
    <w:p w14:paraId="43652CBA" w14:textId="77777777" w:rsidR="00C11BE1" w:rsidRDefault="00492A80">
      <w:pPr>
        <w:spacing w:after="0" w:line="259" w:lineRule="auto"/>
        <w:ind w:left="0" w:right="0" w:firstLine="0"/>
      </w:pPr>
      <w:r>
        <w:rPr>
          <w:b/>
          <w:sz w:val="21"/>
        </w:rPr>
        <w:t xml:space="preserve">  </w:t>
      </w:r>
    </w:p>
    <w:p w14:paraId="1B71B257" w14:textId="77777777" w:rsidR="00C11BE1" w:rsidRDefault="00492A80">
      <w:pPr>
        <w:ind w:left="-5" w:right="0"/>
      </w:pPr>
      <w:r>
        <w:t xml:space="preserve">Kaitlyn Connors, Chair, Executive Office for Administration &amp; Finance </w:t>
      </w:r>
    </w:p>
    <w:p w14:paraId="73D3741E" w14:textId="77777777" w:rsidR="00C11BE1" w:rsidRDefault="00492A80">
      <w:pPr>
        <w:ind w:left="-5" w:right="0"/>
      </w:pPr>
      <w:r>
        <w:t xml:space="preserve">Sue Perez, Office of the Treasurer and Receiver-General </w:t>
      </w:r>
    </w:p>
    <w:p w14:paraId="121A8BCD" w14:textId="77777777" w:rsidR="00C11BE1" w:rsidRDefault="00492A80">
      <w:pPr>
        <w:ind w:left="-5" w:right="0"/>
      </w:pPr>
      <w:r>
        <w:t xml:space="preserve">Michelle Ho, Massachusetts Department of Transportation  </w:t>
      </w:r>
    </w:p>
    <w:p w14:paraId="1F71F657" w14:textId="77777777" w:rsidR="00C11BE1" w:rsidRDefault="00492A80">
      <w:pPr>
        <w:ind w:left="-5" w:right="0"/>
      </w:pPr>
      <w:r>
        <w:t xml:space="preserve">Pauline Lieu, Office of the Comptroller </w:t>
      </w:r>
    </w:p>
    <w:p w14:paraId="72042A4A" w14:textId="77777777" w:rsidR="00C11BE1" w:rsidRDefault="00492A80">
      <w:pPr>
        <w:ind w:left="-5" w:right="0"/>
      </w:pPr>
      <w:r>
        <w:t xml:space="preserve">Catherine Walsh, Designee for Governor Baker </w:t>
      </w:r>
    </w:p>
    <w:p w14:paraId="24D74C0D" w14:textId="77777777" w:rsidR="00C11BE1" w:rsidRDefault="00492A80">
      <w:pPr>
        <w:spacing w:after="0" w:line="259" w:lineRule="auto"/>
        <w:ind w:left="0" w:right="0" w:firstLine="0"/>
      </w:pPr>
      <w:r>
        <w:rPr>
          <w:sz w:val="21"/>
        </w:rPr>
        <w:t xml:space="preserve">  </w:t>
      </w:r>
    </w:p>
    <w:p w14:paraId="728D493D" w14:textId="77777777" w:rsidR="00C11BE1" w:rsidRDefault="00492A80">
      <w:pPr>
        <w:spacing w:after="0" w:line="259" w:lineRule="auto"/>
        <w:ind w:left="-5" w:right="0"/>
      </w:pPr>
      <w:r>
        <w:rPr>
          <w:b/>
        </w:rPr>
        <w:t>Others in attendance</w:t>
      </w:r>
      <w:r>
        <w:t xml:space="preserve">: </w:t>
      </w:r>
    </w:p>
    <w:p w14:paraId="313FA40B" w14:textId="77777777" w:rsidR="00C11BE1" w:rsidRDefault="00492A80">
      <w:pPr>
        <w:spacing w:after="0" w:line="259" w:lineRule="auto"/>
        <w:ind w:left="0" w:right="0" w:firstLine="0"/>
      </w:pPr>
      <w:r>
        <w:t xml:space="preserve">  </w:t>
      </w:r>
    </w:p>
    <w:p w14:paraId="71850FA3" w14:textId="77777777" w:rsidR="00C11BE1" w:rsidRDefault="00492A80">
      <w:pPr>
        <w:ind w:left="-5" w:right="0"/>
      </w:pPr>
      <w:r>
        <w:t xml:space="preserve">Kelly Govoni, Executive Office for Administration and Finance </w:t>
      </w:r>
    </w:p>
    <w:p w14:paraId="18B5D1A9" w14:textId="77777777" w:rsidR="00C11BE1" w:rsidRDefault="00492A80">
      <w:pPr>
        <w:ind w:left="-5" w:right="0"/>
      </w:pPr>
      <w:proofErr w:type="spellStart"/>
      <w:r>
        <w:t>Yontar</w:t>
      </w:r>
      <w:proofErr w:type="spellEnd"/>
      <w:r>
        <w:t xml:space="preserve"> </w:t>
      </w:r>
      <w:proofErr w:type="spellStart"/>
      <w:r>
        <w:t>Yontar</w:t>
      </w:r>
      <w:proofErr w:type="spellEnd"/>
      <w:r>
        <w:t xml:space="preserve">, Executive Office for Administration and Finance </w:t>
      </w:r>
    </w:p>
    <w:p w14:paraId="1238F42C" w14:textId="77777777" w:rsidR="00C11BE1" w:rsidRDefault="00492A80">
      <w:pPr>
        <w:ind w:left="-5" w:right="0"/>
      </w:pPr>
      <w:r>
        <w:t xml:space="preserve">Kazim Ozyurt, Department of Revenue  </w:t>
      </w:r>
    </w:p>
    <w:p w14:paraId="2DFC032B" w14:textId="77777777" w:rsidR="00C11BE1" w:rsidRDefault="00492A80">
      <w:pPr>
        <w:ind w:left="-5" w:right="0"/>
      </w:pPr>
      <w:r>
        <w:t xml:space="preserve">State Representative Danielle Gregoire  </w:t>
      </w:r>
    </w:p>
    <w:p w14:paraId="38125187" w14:textId="77777777" w:rsidR="00C11BE1" w:rsidRDefault="00492A80">
      <w:pPr>
        <w:ind w:left="-5" w:right="4706"/>
      </w:pPr>
      <w:r>
        <w:t xml:space="preserve">Patrick Walsh, Representative Gregoire’s Office Jennifer Mercadante, Representative Gregoire’s Office </w:t>
      </w:r>
    </w:p>
    <w:p w14:paraId="31CE77C5" w14:textId="77777777" w:rsidR="00C11BE1" w:rsidRDefault="00492A80">
      <w:pPr>
        <w:ind w:left="-5" w:right="0"/>
      </w:pPr>
      <w:r>
        <w:t xml:space="preserve">Haley Dillon, Senator Collins’ Office  </w:t>
      </w:r>
    </w:p>
    <w:p w14:paraId="58D57E3B" w14:textId="77777777" w:rsidR="00C11BE1" w:rsidRDefault="00492A80">
      <w:pPr>
        <w:ind w:left="-5" w:right="0"/>
      </w:pPr>
      <w:r>
        <w:t xml:space="preserve">Meaghan Callahan, Senate Committee on Ways and Means  </w:t>
      </w:r>
    </w:p>
    <w:p w14:paraId="11588A15" w14:textId="77777777" w:rsidR="00C11BE1" w:rsidRDefault="00492A80">
      <w:pPr>
        <w:spacing w:after="0" w:line="259" w:lineRule="auto"/>
        <w:ind w:left="0" w:right="0" w:firstLine="0"/>
      </w:pPr>
      <w:r>
        <w:t xml:space="preserve"> </w:t>
      </w:r>
    </w:p>
    <w:p w14:paraId="0CB609A5" w14:textId="77777777" w:rsidR="00C11BE1" w:rsidRDefault="00492A80">
      <w:pPr>
        <w:spacing w:after="0" w:line="259" w:lineRule="auto"/>
        <w:ind w:left="-5" w:right="0"/>
      </w:pPr>
      <w:r>
        <w:rPr>
          <w:b/>
        </w:rPr>
        <w:t xml:space="preserve">Minutes: </w:t>
      </w:r>
    </w:p>
    <w:p w14:paraId="3E9CB364" w14:textId="77777777" w:rsidR="00C11BE1" w:rsidRDefault="00492A80">
      <w:pPr>
        <w:spacing w:after="0" w:line="259" w:lineRule="auto"/>
        <w:ind w:left="0" w:right="0" w:firstLine="0"/>
      </w:pPr>
      <w:r>
        <w:t xml:space="preserve"> </w:t>
      </w:r>
    </w:p>
    <w:p w14:paraId="1C9AE2DD" w14:textId="77777777" w:rsidR="00C11BE1" w:rsidRDefault="00492A80">
      <w:pPr>
        <w:ind w:left="-5" w:right="0"/>
      </w:pPr>
      <w:r>
        <w:t xml:space="preserve">Ms. Connors called the meeting to order and conducted the roll call for the meeting. Upon a motion by Ms. Perez, and duly seconded, the Committee unanimously voted to adopt the minutes from the September 30, 2022, meeting. </w:t>
      </w:r>
    </w:p>
    <w:p w14:paraId="7CFE0276" w14:textId="77777777" w:rsidR="00C11BE1" w:rsidRDefault="00492A80">
      <w:pPr>
        <w:spacing w:after="0" w:line="259" w:lineRule="auto"/>
        <w:ind w:left="0" w:right="0" w:firstLine="0"/>
      </w:pPr>
      <w:r>
        <w:t xml:space="preserve"> </w:t>
      </w:r>
    </w:p>
    <w:p w14:paraId="37B16254" w14:textId="77777777" w:rsidR="00C11BE1" w:rsidRDefault="00492A80">
      <w:pPr>
        <w:ind w:left="-5" w:right="0"/>
      </w:pPr>
      <w:r>
        <w:lastRenderedPageBreak/>
        <w:t xml:space="preserve">Ms. Connors then moved on to the next item on the agenda, an update on the Capital Investment Plan. Mr. </w:t>
      </w:r>
      <w:proofErr w:type="spellStart"/>
      <w:r>
        <w:t>Yontar</w:t>
      </w:r>
      <w:proofErr w:type="spellEnd"/>
      <w:r>
        <w:t xml:space="preserve"> explained that the FY23 CIP was published on May 5, 2022. The CIP is focused on ensuring that </w:t>
      </w:r>
    </w:p>
    <w:p w14:paraId="2B15F4ED" w14:textId="77777777" w:rsidR="00C11BE1" w:rsidRDefault="00492A80">
      <w:pPr>
        <w:ind w:left="-5" w:right="0"/>
      </w:pPr>
      <w:r>
        <w:t xml:space="preserve">Administration capital priorities were funded and programmed for FY23-FY27. Mr. </w:t>
      </w:r>
      <w:proofErr w:type="spellStart"/>
      <w:r>
        <w:t>Yontar</w:t>
      </w:r>
      <w:proofErr w:type="spellEnd"/>
      <w:r>
        <w:t xml:space="preserve"> noted that this practice was a return to normal vs. the previous CIP, which took a “maintenance” approach adhering to prior baseline investment levels. In FY23 the plan spends a total of $2.78B in bond cap, exactly at the affordable level of spending that the Debt Affordability Committee proposed. Mr. </w:t>
      </w:r>
      <w:proofErr w:type="spellStart"/>
      <w:r>
        <w:t>Yontar</w:t>
      </w:r>
      <w:proofErr w:type="spellEnd"/>
      <w:r>
        <w:t xml:space="preserve"> explained that the core “bond cap” portion of the CIP is finalized by General Obligation bonds, for which borrowing authorization is granted by “bond bills”. The 2021-2022 Legislative session passed major bond bills for Transportation &amp; Environment (“</w:t>
      </w:r>
      <w:proofErr w:type="spellStart"/>
      <w:r>
        <w:t>MassTRAC</w:t>
      </w:r>
      <w:proofErr w:type="spellEnd"/>
      <w:r>
        <w:t xml:space="preserve">”), General Government (~90% DCAMM), and Judiciary IT, which support future spending in the approved CIP. Mr. </w:t>
      </w:r>
      <w:proofErr w:type="spellStart"/>
      <w:r>
        <w:t>Yontar</w:t>
      </w:r>
      <w:proofErr w:type="spellEnd"/>
      <w:r>
        <w:t xml:space="preserve"> outlined the six different goals that the Baker-Polito Administration has been emphasizing throughout its tenure, which are Asset Stewardship, Climate Resiliency, Economic Opportunity, Value Optimization, Customer Orientation, and Supporting Communities.  </w:t>
      </w:r>
    </w:p>
    <w:p w14:paraId="0461FBB9" w14:textId="77777777" w:rsidR="00C11BE1" w:rsidRDefault="00492A80">
      <w:pPr>
        <w:spacing w:after="0" w:line="259" w:lineRule="auto"/>
        <w:ind w:left="0" w:right="0" w:firstLine="0"/>
      </w:pPr>
      <w:r>
        <w:t xml:space="preserve"> </w:t>
      </w:r>
    </w:p>
    <w:p w14:paraId="3E029098" w14:textId="77777777" w:rsidR="00C11BE1" w:rsidRDefault="00492A80">
      <w:pPr>
        <w:ind w:left="-5" w:right="0"/>
      </w:pPr>
      <w:r>
        <w:t xml:space="preserve">Mr. </w:t>
      </w:r>
      <w:proofErr w:type="spellStart"/>
      <w:r>
        <w:t>Yontar</w:t>
      </w:r>
      <w:proofErr w:type="spellEnd"/>
      <w:r>
        <w:t xml:space="preserve"> then provided a budget summary. He noted that the bond cap is the core of the capital budget and went over the breakdown, which is: </w:t>
      </w:r>
    </w:p>
    <w:tbl>
      <w:tblPr>
        <w:tblStyle w:val="TableGrid"/>
        <w:tblW w:w="9732" w:type="dxa"/>
        <w:tblInd w:w="5" w:type="dxa"/>
        <w:tblCellMar>
          <w:top w:w="12" w:type="dxa"/>
          <w:left w:w="108" w:type="dxa"/>
          <w:right w:w="115" w:type="dxa"/>
        </w:tblCellMar>
        <w:tblLook w:val="04A0" w:firstRow="1" w:lastRow="0" w:firstColumn="1" w:lastColumn="0" w:noHBand="0" w:noVBand="1"/>
      </w:tblPr>
      <w:tblGrid>
        <w:gridCol w:w="4866"/>
        <w:gridCol w:w="4866"/>
      </w:tblGrid>
      <w:tr w:rsidR="00C11BE1" w14:paraId="32F9A003" w14:textId="77777777">
        <w:trPr>
          <w:trHeight w:val="264"/>
        </w:trPr>
        <w:tc>
          <w:tcPr>
            <w:tcW w:w="4866" w:type="dxa"/>
            <w:tcBorders>
              <w:top w:val="single" w:sz="4" w:space="0" w:color="000000"/>
              <w:left w:val="single" w:sz="4" w:space="0" w:color="000000"/>
              <w:bottom w:val="single" w:sz="4" w:space="0" w:color="000000"/>
              <w:right w:val="single" w:sz="4" w:space="0" w:color="000000"/>
            </w:tcBorders>
          </w:tcPr>
          <w:p w14:paraId="0371ED64" w14:textId="77777777" w:rsidR="00C11BE1" w:rsidRDefault="00492A80">
            <w:pPr>
              <w:spacing w:after="0" w:line="259" w:lineRule="auto"/>
              <w:ind w:left="0" w:right="0" w:firstLine="0"/>
            </w:pPr>
            <w:r>
              <w:t xml:space="preserve">Source </w:t>
            </w:r>
          </w:p>
        </w:tc>
        <w:tc>
          <w:tcPr>
            <w:tcW w:w="4866" w:type="dxa"/>
            <w:tcBorders>
              <w:top w:val="single" w:sz="4" w:space="0" w:color="000000"/>
              <w:left w:val="single" w:sz="4" w:space="0" w:color="000000"/>
              <w:bottom w:val="single" w:sz="4" w:space="0" w:color="000000"/>
              <w:right w:val="single" w:sz="4" w:space="0" w:color="000000"/>
            </w:tcBorders>
          </w:tcPr>
          <w:p w14:paraId="44ACC475" w14:textId="77777777" w:rsidR="00C11BE1" w:rsidRDefault="00492A80">
            <w:pPr>
              <w:spacing w:after="0" w:line="259" w:lineRule="auto"/>
              <w:ind w:left="0" w:right="0" w:firstLine="0"/>
            </w:pPr>
            <w:r>
              <w:t xml:space="preserve">FY23 ($M) </w:t>
            </w:r>
          </w:p>
        </w:tc>
      </w:tr>
      <w:tr w:rsidR="00C11BE1" w14:paraId="067E557B" w14:textId="77777777">
        <w:trPr>
          <w:trHeight w:val="262"/>
        </w:trPr>
        <w:tc>
          <w:tcPr>
            <w:tcW w:w="4866" w:type="dxa"/>
            <w:tcBorders>
              <w:top w:val="single" w:sz="4" w:space="0" w:color="000000"/>
              <w:left w:val="single" w:sz="4" w:space="0" w:color="000000"/>
              <w:bottom w:val="single" w:sz="4" w:space="0" w:color="000000"/>
              <w:right w:val="single" w:sz="4" w:space="0" w:color="000000"/>
            </w:tcBorders>
          </w:tcPr>
          <w:p w14:paraId="2D7C4EF6" w14:textId="77777777" w:rsidR="00C11BE1" w:rsidRDefault="00492A80">
            <w:pPr>
              <w:spacing w:after="0" w:line="259" w:lineRule="auto"/>
              <w:ind w:left="0" w:right="0" w:firstLine="0"/>
            </w:pPr>
            <w:r>
              <w:t xml:space="preserve">General Obligation Bonds (bond cap) </w:t>
            </w:r>
          </w:p>
        </w:tc>
        <w:tc>
          <w:tcPr>
            <w:tcW w:w="4866" w:type="dxa"/>
            <w:tcBorders>
              <w:top w:val="single" w:sz="4" w:space="0" w:color="000000"/>
              <w:left w:val="single" w:sz="4" w:space="0" w:color="000000"/>
              <w:bottom w:val="single" w:sz="4" w:space="0" w:color="000000"/>
              <w:right w:val="single" w:sz="4" w:space="0" w:color="000000"/>
            </w:tcBorders>
          </w:tcPr>
          <w:p w14:paraId="14EDEBDE" w14:textId="77777777" w:rsidR="00C11BE1" w:rsidRDefault="00492A80">
            <w:pPr>
              <w:spacing w:after="0" w:line="259" w:lineRule="auto"/>
              <w:ind w:left="0" w:right="0" w:firstLine="0"/>
            </w:pPr>
            <w:r>
              <w:t xml:space="preserve">$2,780 </w:t>
            </w:r>
          </w:p>
        </w:tc>
      </w:tr>
      <w:tr w:rsidR="00C11BE1" w14:paraId="31870AC4" w14:textId="77777777">
        <w:trPr>
          <w:trHeight w:val="264"/>
        </w:trPr>
        <w:tc>
          <w:tcPr>
            <w:tcW w:w="4866" w:type="dxa"/>
            <w:tcBorders>
              <w:top w:val="single" w:sz="4" w:space="0" w:color="000000"/>
              <w:left w:val="single" w:sz="4" w:space="0" w:color="000000"/>
              <w:bottom w:val="single" w:sz="4" w:space="0" w:color="000000"/>
              <w:right w:val="single" w:sz="4" w:space="0" w:color="000000"/>
            </w:tcBorders>
          </w:tcPr>
          <w:p w14:paraId="37A1FB25" w14:textId="77777777" w:rsidR="00C11BE1" w:rsidRDefault="00492A80">
            <w:pPr>
              <w:spacing w:after="0" w:line="259" w:lineRule="auto"/>
              <w:ind w:left="0" w:right="0" w:firstLine="0"/>
            </w:pPr>
            <w:r>
              <w:t xml:space="preserve">Federal Funds </w:t>
            </w:r>
          </w:p>
        </w:tc>
        <w:tc>
          <w:tcPr>
            <w:tcW w:w="4866" w:type="dxa"/>
            <w:tcBorders>
              <w:top w:val="single" w:sz="4" w:space="0" w:color="000000"/>
              <w:left w:val="single" w:sz="4" w:space="0" w:color="000000"/>
              <w:bottom w:val="single" w:sz="4" w:space="0" w:color="000000"/>
              <w:right w:val="single" w:sz="4" w:space="0" w:color="000000"/>
            </w:tcBorders>
          </w:tcPr>
          <w:p w14:paraId="5C2C7B67" w14:textId="77777777" w:rsidR="00C11BE1" w:rsidRDefault="00492A80">
            <w:pPr>
              <w:spacing w:after="0" w:line="259" w:lineRule="auto"/>
              <w:ind w:left="0" w:right="0" w:firstLine="0"/>
            </w:pPr>
            <w:r>
              <w:t xml:space="preserve">$1,052 </w:t>
            </w:r>
          </w:p>
        </w:tc>
      </w:tr>
      <w:tr w:rsidR="00C11BE1" w14:paraId="24CB06F9" w14:textId="77777777">
        <w:trPr>
          <w:trHeight w:val="264"/>
        </w:trPr>
        <w:tc>
          <w:tcPr>
            <w:tcW w:w="4866" w:type="dxa"/>
            <w:tcBorders>
              <w:top w:val="single" w:sz="4" w:space="0" w:color="000000"/>
              <w:left w:val="single" w:sz="4" w:space="0" w:color="000000"/>
              <w:bottom w:val="single" w:sz="4" w:space="0" w:color="000000"/>
              <w:right w:val="single" w:sz="4" w:space="0" w:color="000000"/>
            </w:tcBorders>
          </w:tcPr>
          <w:p w14:paraId="24B4CDB5" w14:textId="77777777" w:rsidR="00C11BE1" w:rsidRDefault="00492A80">
            <w:pPr>
              <w:spacing w:after="0" w:line="259" w:lineRule="auto"/>
              <w:ind w:left="0" w:right="0" w:firstLine="0"/>
            </w:pPr>
            <w:r>
              <w:t xml:space="preserve">Special Obligation (REP and ABP) Bonds </w:t>
            </w:r>
          </w:p>
        </w:tc>
        <w:tc>
          <w:tcPr>
            <w:tcW w:w="4866" w:type="dxa"/>
            <w:tcBorders>
              <w:top w:val="single" w:sz="4" w:space="0" w:color="000000"/>
              <w:left w:val="single" w:sz="4" w:space="0" w:color="000000"/>
              <w:bottom w:val="single" w:sz="4" w:space="0" w:color="000000"/>
              <w:right w:val="single" w:sz="4" w:space="0" w:color="000000"/>
            </w:tcBorders>
          </w:tcPr>
          <w:p w14:paraId="47445DB0" w14:textId="77777777" w:rsidR="00C11BE1" w:rsidRDefault="00492A80">
            <w:pPr>
              <w:spacing w:after="0" w:line="259" w:lineRule="auto"/>
              <w:ind w:left="0" w:right="0" w:firstLine="0"/>
            </w:pPr>
            <w:r>
              <w:t xml:space="preserve">$465 </w:t>
            </w:r>
          </w:p>
        </w:tc>
      </w:tr>
      <w:tr w:rsidR="00C11BE1" w14:paraId="7F064CD7" w14:textId="77777777">
        <w:trPr>
          <w:trHeight w:val="262"/>
        </w:trPr>
        <w:tc>
          <w:tcPr>
            <w:tcW w:w="4866" w:type="dxa"/>
            <w:tcBorders>
              <w:top w:val="single" w:sz="4" w:space="0" w:color="000000"/>
              <w:left w:val="single" w:sz="4" w:space="0" w:color="000000"/>
              <w:bottom w:val="single" w:sz="4" w:space="0" w:color="000000"/>
              <w:right w:val="single" w:sz="4" w:space="0" w:color="000000"/>
            </w:tcBorders>
          </w:tcPr>
          <w:p w14:paraId="1BD756BA" w14:textId="77777777" w:rsidR="00C11BE1" w:rsidRDefault="00492A80">
            <w:pPr>
              <w:spacing w:after="0" w:line="259" w:lineRule="auto"/>
              <w:ind w:left="0" w:right="0" w:firstLine="0"/>
            </w:pPr>
            <w:r>
              <w:t xml:space="preserve">Other contributions (match, private, etc.) </w:t>
            </w:r>
          </w:p>
        </w:tc>
        <w:tc>
          <w:tcPr>
            <w:tcW w:w="4866" w:type="dxa"/>
            <w:tcBorders>
              <w:top w:val="single" w:sz="4" w:space="0" w:color="000000"/>
              <w:left w:val="single" w:sz="4" w:space="0" w:color="000000"/>
              <w:bottom w:val="single" w:sz="4" w:space="0" w:color="000000"/>
              <w:right w:val="single" w:sz="4" w:space="0" w:color="000000"/>
            </w:tcBorders>
          </w:tcPr>
          <w:p w14:paraId="2F26D000" w14:textId="77777777" w:rsidR="00C11BE1" w:rsidRDefault="00492A80">
            <w:pPr>
              <w:spacing w:after="0" w:line="259" w:lineRule="auto"/>
              <w:ind w:left="0" w:right="0" w:firstLine="0"/>
            </w:pPr>
            <w:r>
              <w:t xml:space="preserve">$265 </w:t>
            </w:r>
          </w:p>
        </w:tc>
      </w:tr>
      <w:tr w:rsidR="00C11BE1" w14:paraId="27D7E634" w14:textId="77777777">
        <w:trPr>
          <w:trHeight w:val="264"/>
        </w:trPr>
        <w:tc>
          <w:tcPr>
            <w:tcW w:w="4866" w:type="dxa"/>
            <w:tcBorders>
              <w:top w:val="single" w:sz="4" w:space="0" w:color="000000"/>
              <w:left w:val="single" w:sz="4" w:space="0" w:color="000000"/>
              <w:bottom w:val="single" w:sz="4" w:space="0" w:color="000000"/>
              <w:right w:val="single" w:sz="4" w:space="0" w:color="000000"/>
            </w:tcBorders>
          </w:tcPr>
          <w:p w14:paraId="2FBEC0D4" w14:textId="77777777" w:rsidR="00C11BE1" w:rsidRDefault="00492A80">
            <w:pPr>
              <w:spacing w:after="0" w:line="259" w:lineRule="auto"/>
              <w:ind w:left="0" w:right="0" w:firstLine="0"/>
            </w:pPr>
            <w:r>
              <w:t xml:space="preserve">Pay-as-you go (PAYGO) </w:t>
            </w:r>
          </w:p>
        </w:tc>
        <w:tc>
          <w:tcPr>
            <w:tcW w:w="4866" w:type="dxa"/>
            <w:tcBorders>
              <w:top w:val="single" w:sz="4" w:space="0" w:color="000000"/>
              <w:left w:val="single" w:sz="4" w:space="0" w:color="000000"/>
              <w:bottom w:val="single" w:sz="4" w:space="0" w:color="000000"/>
              <w:right w:val="single" w:sz="4" w:space="0" w:color="000000"/>
            </w:tcBorders>
          </w:tcPr>
          <w:p w14:paraId="43F84E12" w14:textId="77777777" w:rsidR="00C11BE1" w:rsidRDefault="00492A80">
            <w:pPr>
              <w:spacing w:after="0" w:line="259" w:lineRule="auto"/>
              <w:ind w:left="0" w:right="0" w:firstLine="0"/>
            </w:pPr>
            <w:r>
              <w:t xml:space="preserve">$249 </w:t>
            </w:r>
          </w:p>
        </w:tc>
      </w:tr>
      <w:tr w:rsidR="00C11BE1" w14:paraId="106769D7" w14:textId="77777777">
        <w:trPr>
          <w:trHeight w:val="262"/>
        </w:trPr>
        <w:tc>
          <w:tcPr>
            <w:tcW w:w="4866" w:type="dxa"/>
            <w:tcBorders>
              <w:top w:val="single" w:sz="4" w:space="0" w:color="000000"/>
              <w:left w:val="single" w:sz="4" w:space="0" w:color="000000"/>
              <w:bottom w:val="single" w:sz="4" w:space="0" w:color="000000"/>
              <w:right w:val="single" w:sz="4" w:space="0" w:color="000000"/>
            </w:tcBorders>
          </w:tcPr>
          <w:p w14:paraId="20A70E51" w14:textId="77777777" w:rsidR="00C11BE1" w:rsidRDefault="00492A80">
            <w:pPr>
              <w:spacing w:after="0" w:line="259" w:lineRule="auto"/>
              <w:ind w:left="0" w:right="0" w:firstLine="0"/>
            </w:pPr>
            <w:r>
              <w:t xml:space="preserve">Project / Self-Funded </w:t>
            </w:r>
          </w:p>
        </w:tc>
        <w:tc>
          <w:tcPr>
            <w:tcW w:w="4866" w:type="dxa"/>
            <w:tcBorders>
              <w:top w:val="single" w:sz="4" w:space="0" w:color="000000"/>
              <w:left w:val="single" w:sz="4" w:space="0" w:color="000000"/>
              <w:bottom w:val="single" w:sz="4" w:space="0" w:color="000000"/>
              <w:right w:val="single" w:sz="4" w:space="0" w:color="000000"/>
            </w:tcBorders>
          </w:tcPr>
          <w:p w14:paraId="43DD0075" w14:textId="77777777" w:rsidR="00C11BE1" w:rsidRDefault="00492A80">
            <w:pPr>
              <w:spacing w:after="0" w:line="259" w:lineRule="auto"/>
              <w:ind w:left="0" w:right="0" w:firstLine="0"/>
            </w:pPr>
            <w:r>
              <w:t xml:space="preserve">$50 </w:t>
            </w:r>
          </w:p>
        </w:tc>
      </w:tr>
      <w:tr w:rsidR="00C11BE1" w14:paraId="655E3B98" w14:textId="77777777">
        <w:trPr>
          <w:trHeight w:val="264"/>
        </w:trPr>
        <w:tc>
          <w:tcPr>
            <w:tcW w:w="4866" w:type="dxa"/>
            <w:tcBorders>
              <w:top w:val="single" w:sz="4" w:space="0" w:color="000000"/>
              <w:left w:val="single" w:sz="4" w:space="0" w:color="000000"/>
              <w:bottom w:val="single" w:sz="4" w:space="0" w:color="000000"/>
              <w:right w:val="single" w:sz="4" w:space="0" w:color="000000"/>
            </w:tcBorders>
          </w:tcPr>
          <w:p w14:paraId="6A540EB5" w14:textId="77777777" w:rsidR="00C11BE1" w:rsidRDefault="00492A80">
            <w:pPr>
              <w:spacing w:after="0" w:line="259" w:lineRule="auto"/>
              <w:ind w:left="0" w:right="0" w:firstLine="0"/>
            </w:pPr>
            <w:r>
              <w:t xml:space="preserve">Capital Investment Plan Total (All Sources) </w:t>
            </w:r>
          </w:p>
        </w:tc>
        <w:tc>
          <w:tcPr>
            <w:tcW w:w="4866" w:type="dxa"/>
            <w:tcBorders>
              <w:top w:val="single" w:sz="4" w:space="0" w:color="000000"/>
              <w:left w:val="single" w:sz="4" w:space="0" w:color="000000"/>
              <w:bottom w:val="single" w:sz="4" w:space="0" w:color="000000"/>
              <w:right w:val="single" w:sz="4" w:space="0" w:color="000000"/>
            </w:tcBorders>
          </w:tcPr>
          <w:p w14:paraId="35C51909" w14:textId="77777777" w:rsidR="00C11BE1" w:rsidRDefault="00492A80">
            <w:pPr>
              <w:spacing w:after="0" w:line="259" w:lineRule="auto"/>
              <w:ind w:left="0" w:right="0" w:firstLine="0"/>
            </w:pPr>
            <w:r>
              <w:t xml:space="preserve">$4,862 </w:t>
            </w:r>
          </w:p>
        </w:tc>
      </w:tr>
    </w:tbl>
    <w:p w14:paraId="6B212170" w14:textId="77777777" w:rsidR="00C11BE1" w:rsidRDefault="00492A80">
      <w:pPr>
        <w:spacing w:after="0" w:line="259" w:lineRule="auto"/>
        <w:ind w:left="0" w:right="0" w:firstLine="0"/>
      </w:pPr>
      <w:r>
        <w:t xml:space="preserve"> </w:t>
      </w:r>
    </w:p>
    <w:p w14:paraId="710CC31D" w14:textId="77777777" w:rsidR="00C11BE1" w:rsidRDefault="00492A80">
      <w:pPr>
        <w:ind w:left="-5" w:right="0"/>
      </w:pPr>
      <w:r>
        <w:t xml:space="preserve">Mr. </w:t>
      </w:r>
      <w:proofErr w:type="spellStart"/>
      <w:r>
        <w:t>Yontar</w:t>
      </w:r>
      <w:proofErr w:type="spellEnd"/>
      <w:r>
        <w:t xml:space="preserve"> then went over Bond Authorization vs. Bond Cap spending. He explained that Bond Bills are the vehicle by which authorization to spend bond cap is granted and requires 2/3rds roll-call vote in formal legislative session. Authorizations allow but do not require borrowing. Mr. </w:t>
      </w:r>
      <w:proofErr w:type="spellStart"/>
      <w:r>
        <w:t>Yontar</w:t>
      </w:r>
      <w:proofErr w:type="spellEnd"/>
      <w:r>
        <w:t xml:space="preserve"> noted that all spending financed by bond bills is at the direction of the Governor per Massachusetts Constitution. The </w:t>
      </w:r>
      <w:proofErr w:type="spellStart"/>
      <w:r>
        <w:t>Governorapproved</w:t>
      </w:r>
      <w:proofErr w:type="spellEnd"/>
      <w:r>
        <w:t xml:space="preserve"> CIP provides the budget for actual bond cap </w:t>
      </w:r>
      <w:proofErr w:type="gramStart"/>
      <w:r>
        <w:t>spending</w:t>
      </w:r>
      <w:proofErr w:type="gramEnd"/>
      <w:r>
        <w:t xml:space="preserve"> and the DAC recommendation plays a crucial role in determining how much bond cap Massachusetts can afford.  </w:t>
      </w:r>
    </w:p>
    <w:p w14:paraId="11A63270" w14:textId="77777777" w:rsidR="00C11BE1" w:rsidRDefault="00492A80">
      <w:pPr>
        <w:spacing w:after="0" w:line="259" w:lineRule="auto"/>
        <w:ind w:left="0" w:right="0" w:firstLine="0"/>
      </w:pPr>
      <w:r>
        <w:t xml:space="preserve"> </w:t>
      </w:r>
    </w:p>
    <w:p w14:paraId="2FE9B2C1" w14:textId="77777777" w:rsidR="00C11BE1" w:rsidRDefault="00492A80">
      <w:pPr>
        <w:ind w:left="-5" w:right="0"/>
      </w:pPr>
      <w:r>
        <w:t xml:space="preserve">Mr. </w:t>
      </w:r>
      <w:proofErr w:type="spellStart"/>
      <w:r>
        <w:t>Yontar</w:t>
      </w:r>
      <w:proofErr w:type="spellEnd"/>
      <w:r>
        <w:t xml:space="preserve"> then provided a breakout summary of Bond Cap authorization in FY22 and FY23 and the year over year change by capital agency. He noted that $125M in total expansion allowed them to increase nearly all agencies’ budgets for various administration priorities and purposes, with the two exceptions being EEA and ANF. Mr. </w:t>
      </w:r>
      <w:proofErr w:type="spellStart"/>
      <w:r>
        <w:t>Yontar</w:t>
      </w:r>
      <w:proofErr w:type="spellEnd"/>
      <w:r>
        <w:t xml:space="preserve"> noted for EEA, the decrease in FY23 Bond Cap versus FY22, was driven primarily by the ability of EEA to accelerate some originally programmed FY23 spending into FY22, utilizing available FY22 Capital Reserve. He explained that for A&amp;F, the decrease from FY22 was primarily driven by reduced FY23 Capital Reserve, since over 99% of CIP budget was fully programmed. Mr. </w:t>
      </w:r>
      <w:proofErr w:type="spellStart"/>
      <w:r>
        <w:t>Yontar</w:t>
      </w:r>
      <w:proofErr w:type="spellEnd"/>
      <w:r>
        <w:t xml:space="preserve"> noted that they had about $10M dollars of reserve in FY23, and they keep that to handle the unexpected, which could be increased costs for already programmed items or something brand-new, and </w:t>
      </w:r>
      <w:proofErr w:type="spellStart"/>
      <w:r>
        <w:t>its</w:t>
      </w:r>
      <w:proofErr w:type="spellEnd"/>
      <w:r>
        <w:t xml:space="preserve"> one of ANF’s ways to adjust as the year goes on.  Mr. </w:t>
      </w:r>
      <w:proofErr w:type="spellStart"/>
      <w:r>
        <w:t>Yontar</w:t>
      </w:r>
      <w:proofErr w:type="spellEnd"/>
      <w:r>
        <w:t xml:space="preserve"> explained that ANF does mid-year course corrections, where they hear from agencies about projects and are able to </w:t>
      </w:r>
      <w:proofErr w:type="gramStart"/>
      <w:r>
        <w:t>make adjustments</w:t>
      </w:r>
      <w:proofErr w:type="gramEnd"/>
      <w:r>
        <w:t xml:space="preserve"> along the way. Mr. </w:t>
      </w:r>
      <w:proofErr w:type="spellStart"/>
      <w:r>
        <w:t>Yontar</w:t>
      </w:r>
      <w:proofErr w:type="spellEnd"/>
      <w:r>
        <w:t xml:space="preserve"> noted if they hear the net costs have gone up, they are able to tap into the reserve to make up the difference.  </w:t>
      </w:r>
    </w:p>
    <w:p w14:paraId="337B5534" w14:textId="77777777" w:rsidR="00C11BE1" w:rsidRDefault="00492A80">
      <w:pPr>
        <w:spacing w:after="7" w:line="259" w:lineRule="auto"/>
        <w:ind w:left="0" w:right="0" w:firstLine="0"/>
      </w:pPr>
      <w:r>
        <w:t xml:space="preserve"> </w:t>
      </w:r>
    </w:p>
    <w:p w14:paraId="1D80837C" w14:textId="77777777" w:rsidR="00C11BE1" w:rsidRDefault="00492A80">
      <w:pPr>
        <w:ind w:left="-5" w:right="0"/>
      </w:pPr>
      <w:r>
        <w:t xml:space="preserve">Mr. </w:t>
      </w:r>
      <w:proofErr w:type="spellStart"/>
      <w:r>
        <w:t>Yontar</w:t>
      </w:r>
      <w:proofErr w:type="spellEnd"/>
      <w:r>
        <w:t xml:space="preserve"> explained that the biggest piece of the Commonwealth’s Capital Plan is for Transportation. Together with Facilities (DCAMM), Housing and Economic Development, and Energy &amp; Environmental, these top four categories compose nearly 90% of bond cap spending. Mr. </w:t>
      </w:r>
      <w:proofErr w:type="spellStart"/>
      <w:r>
        <w:t>Yontar</w:t>
      </w:r>
      <w:proofErr w:type="spellEnd"/>
      <w:r>
        <w:t xml:space="preserve"> then showed the dollar growth over the years for each agency but noted it has been </w:t>
      </w:r>
      <w:proofErr w:type="gramStart"/>
      <w:r>
        <w:t>pretty constant</w:t>
      </w:r>
      <w:proofErr w:type="gramEnd"/>
      <w:r>
        <w:t xml:space="preserve">. </w:t>
      </w:r>
      <w:proofErr w:type="spellStart"/>
      <w:r>
        <w:t>Mr</w:t>
      </w:r>
      <w:proofErr w:type="spellEnd"/>
      <w:r>
        <w:t xml:space="preserve"> </w:t>
      </w:r>
      <w:proofErr w:type="spellStart"/>
      <w:r>
        <w:t>Yontar</w:t>
      </w:r>
      <w:proofErr w:type="spellEnd"/>
      <w:r>
        <w:t xml:space="preserve"> explained next steps for the next CIP: </w:t>
      </w:r>
    </w:p>
    <w:p w14:paraId="6640EC7C" w14:textId="77777777" w:rsidR="00C11BE1" w:rsidRDefault="00492A80">
      <w:pPr>
        <w:numPr>
          <w:ilvl w:val="0"/>
          <w:numId w:val="1"/>
        </w:numPr>
        <w:ind w:right="0" w:hanging="360"/>
      </w:pPr>
      <w:r>
        <w:t xml:space="preserve">December 9, 2022: DAC formally recommends an affordable level of spending </w:t>
      </w:r>
    </w:p>
    <w:p w14:paraId="63BD32FA" w14:textId="77777777" w:rsidR="00C11BE1" w:rsidRDefault="00492A80">
      <w:pPr>
        <w:numPr>
          <w:ilvl w:val="0"/>
          <w:numId w:val="1"/>
        </w:numPr>
        <w:ind w:right="0" w:hanging="360"/>
      </w:pPr>
      <w:r>
        <w:t xml:space="preserve">Winter 2022-2023: Agencies begin their Capital Plan recommendations </w:t>
      </w:r>
    </w:p>
    <w:p w14:paraId="6C598A2B" w14:textId="77777777" w:rsidR="00C11BE1" w:rsidRDefault="00492A80">
      <w:pPr>
        <w:numPr>
          <w:ilvl w:val="0"/>
          <w:numId w:val="1"/>
        </w:numPr>
        <w:ind w:right="0" w:hanging="360"/>
      </w:pPr>
      <w:r>
        <w:lastRenderedPageBreak/>
        <w:t xml:space="preserve">January 5, 2023: New Governor &amp; Lt. Governor sworn in </w:t>
      </w:r>
    </w:p>
    <w:p w14:paraId="42167C4C" w14:textId="77777777" w:rsidR="00C11BE1" w:rsidRDefault="00492A80">
      <w:pPr>
        <w:numPr>
          <w:ilvl w:val="0"/>
          <w:numId w:val="1"/>
        </w:numPr>
        <w:ind w:right="0" w:hanging="360"/>
      </w:pPr>
      <w:r>
        <w:t xml:space="preserve">Spring 2023: A&amp;F and capital agencies consolidate CIP recommendations, receive Executive approval, and publish FY24-FY28 capital plan </w:t>
      </w:r>
    </w:p>
    <w:p w14:paraId="73AB4001" w14:textId="77777777" w:rsidR="00C11BE1" w:rsidRDefault="00492A80">
      <w:pPr>
        <w:spacing w:after="0" w:line="259" w:lineRule="auto"/>
        <w:ind w:left="0" w:right="0" w:firstLine="0"/>
      </w:pPr>
      <w:r>
        <w:t xml:space="preserve"> </w:t>
      </w:r>
    </w:p>
    <w:p w14:paraId="0BC362BF" w14:textId="77777777" w:rsidR="00C11BE1" w:rsidRDefault="00492A80">
      <w:pPr>
        <w:ind w:left="-5" w:right="0"/>
      </w:pPr>
      <w:r>
        <w:t xml:space="preserve">Mr. </w:t>
      </w:r>
      <w:proofErr w:type="spellStart"/>
      <w:r>
        <w:t>Yontar</w:t>
      </w:r>
      <w:proofErr w:type="spellEnd"/>
      <w:r>
        <w:t xml:space="preserve"> noted they need bond bills to be passed </w:t>
      </w:r>
      <w:proofErr w:type="gramStart"/>
      <w:r>
        <w:t>in order to</w:t>
      </w:r>
      <w:proofErr w:type="gramEnd"/>
      <w:r>
        <w:t xml:space="preserve"> authorize the borrowing to support the capital spending and there was a fourth bond bill for Economic Development, also known as “</w:t>
      </w:r>
      <w:proofErr w:type="spellStart"/>
      <w:r>
        <w:t>FastFORWARD</w:t>
      </w:r>
      <w:proofErr w:type="spellEnd"/>
      <w:r>
        <w:t xml:space="preserve">” that was not passed during the 2021-2022 Legislative session. This means that for a portion of the Capital Plan some authorization is missing and that will start to bite in in FY24 for some of the plan items. ANF plans to work with the new Administration with intent of seeking expedited passage of substantively similar bond bill in Spring 2023 to put authorization in place for FY24.  </w:t>
      </w:r>
    </w:p>
    <w:p w14:paraId="61B000F1" w14:textId="77777777" w:rsidR="00C11BE1" w:rsidRDefault="00492A80">
      <w:pPr>
        <w:spacing w:after="0" w:line="259" w:lineRule="auto"/>
        <w:ind w:left="0" w:right="0" w:firstLine="0"/>
      </w:pPr>
      <w:r>
        <w:t xml:space="preserve"> </w:t>
      </w:r>
    </w:p>
    <w:p w14:paraId="3821094C" w14:textId="77777777" w:rsidR="00C11BE1" w:rsidRDefault="00492A80">
      <w:pPr>
        <w:ind w:left="-5" w:right="0"/>
      </w:pPr>
      <w:r>
        <w:t xml:space="preserve">Ms. Ho then went over MassDOT/MBTA’s CIP. She explained that the MassDOT/MBTA portion of the State’s CIP does not include the entire MBTA capital plan except where MBTA projects are funded through state sources (Green Line Extension, Red Line/ Orange Line Vehicles &amp; Infrastructure and South Coast Rail). She noted that for FY23-FY27, the MassDOT CIP included only the state-funded investment for the MBTA since they published a standalone five-year CIP. Ms. Ho explained that the FY23-FY27 plan reflects a return to a five-year CIP. The CIP: </w:t>
      </w:r>
    </w:p>
    <w:p w14:paraId="666E8A17" w14:textId="77777777" w:rsidR="00C11BE1" w:rsidRDefault="00492A80">
      <w:pPr>
        <w:numPr>
          <w:ilvl w:val="0"/>
          <w:numId w:val="1"/>
        </w:numPr>
        <w:ind w:right="0" w:hanging="360"/>
      </w:pPr>
      <w:r>
        <w:t xml:space="preserve">Continues support for major ongoing capital programs (e.g., GLX, SCR) </w:t>
      </w:r>
    </w:p>
    <w:p w14:paraId="39B47A42" w14:textId="77777777" w:rsidR="00C11BE1" w:rsidRDefault="00492A80">
      <w:pPr>
        <w:numPr>
          <w:ilvl w:val="0"/>
          <w:numId w:val="1"/>
        </w:numPr>
        <w:ind w:right="0" w:hanging="360"/>
      </w:pPr>
      <w:r>
        <w:t xml:space="preserve">Includes some targeted new investments to advance goals and priorities  </w:t>
      </w:r>
    </w:p>
    <w:p w14:paraId="5BC31103" w14:textId="77777777" w:rsidR="00C11BE1" w:rsidRDefault="00492A80">
      <w:pPr>
        <w:numPr>
          <w:ilvl w:val="0"/>
          <w:numId w:val="1"/>
        </w:numPr>
        <w:spacing w:after="1" w:line="237" w:lineRule="auto"/>
        <w:ind w:right="0" w:hanging="360"/>
      </w:pPr>
      <w:r>
        <w:t xml:space="preserve">Incorporates the new federal funding reflected in the Bipartisan Infrastructure Law enacted in November 2021 including new funding and programs to improve bridges and support climate change mitigation and resiliency </w:t>
      </w:r>
    </w:p>
    <w:p w14:paraId="65709487" w14:textId="77777777" w:rsidR="00C11BE1" w:rsidRDefault="00492A80">
      <w:pPr>
        <w:numPr>
          <w:ilvl w:val="0"/>
          <w:numId w:val="1"/>
        </w:numPr>
        <w:ind w:right="0" w:hanging="360"/>
      </w:pPr>
      <w:r>
        <w:t xml:space="preserve">Development of new statewide long-range plan (SLRTP) for transportation has launched; full revamp of the CIP in future years will align with the SLRTP that is developed </w:t>
      </w:r>
    </w:p>
    <w:p w14:paraId="2AFEE339" w14:textId="77777777" w:rsidR="00C11BE1" w:rsidRDefault="00492A80">
      <w:pPr>
        <w:spacing w:after="0" w:line="259" w:lineRule="auto"/>
        <w:ind w:left="0" w:right="0" w:firstLine="0"/>
      </w:pPr>
      <w:r>
        <w:t xml:space="preserve"> </w:t>
      </w:r>
    </w:p>
    <w:p w14:paraId="0F5FD5EE" w14:textId="77777777" w:rsidR="00C11BE1" w:rsidRDefault="00492A80">
      <w:pPr>
        <w:ind w:left="-5" w:right="0"/>
      </w:pPr>
      <w:r>
        <w:t xml:space="preserve">Ms. Ho explained that the FY23-FY27 Plan maintains the priorities and strategies for MassDOT/MBTA to invest first in the reliability and modernization of our system with targeted investments in increasing capacity of the network and providing access to new transportation. She noted that investments in reliability and modernization of the network account for approximately 78% of their programmed spending over the five years. Ms. Ho explained that the plan, including federal, state toll revenues, new Grant Anticipation Notes (Next Gen Bridge), other MBTA funding maintains focus on: </w:t>
      </w:r>
    </w:p>
    <w:p w14:paraId="6A9EC53A" w14:textId="77777777" w:rsidR="00C11BE1" w:rsidRDefault="00492A80">
      <w:pPr>
        <w:numPr>
          <w:ilvl w:val="0"/>
          <w:numId w:val="1"/>
        </w:numPr>
        <w:ind w:right="0" w:hanging="360"/>
      </w:pPr>
      <w:r>
        <w:t xml:space="preserve">Roadway assets in need of investment: roads/pavement, bridges, the Metropolitan Highway System and bicycle and pedestrian infrastructure </w:t>
      </w:r>
    </w:p>
    <w:p w14:paraId="680143FE" w14:textId="77777777" w:rsidR="00C11BE1" w:rsidRDefault="00492A80">
      <w:pPr>
        <w:numPr>
          <w:ilvl w:val="0"/>
          <w:numId w:val="1"/>
        </w:numPr>
        <w:ind w:right="0" w:hanging="360"/>
      </w:pPr>
      <w:r>
        <w:t xml:space="preserve">Municipal needs addressed through existing reimbursement and grant programs such as Chapter 90, Complete Streets, Municipal Bridge and new programs authorized under 2021 </w:t>
      </w:r>
    </w:p>
    <w:p w14:paraId="139A6621" w14:textId="77777777" w:rsidR="00C11BE1" w:rsidRDefault="00492A80">
      <w:pPr>
        <w:ind w:left="1450" w:right="0"/>
      </w:pPr>
      <w:r>
        <w:t xml:space="preserve">Transportation Bond Bill and </w:t>
      </w:r>
      <w:proofErr w:type="spellStart"/>
      <w:r>
        <w:t>MassTRAC</w:t>
      </w:r>
      <w:proofErr w:type="spellEnd"/>
      <w:r>
        <w:t xml:space="preserve"> - Shared Streets and Spaces, Municipal Pavement, Local Bottleneck Reduction, and Transit Infrastructure Partnership </w:t>
      </w:r>
    </w:p>
    <w:p w14:paraId="254CC752" w14:textId="77777777" w:rsidR="00C11BE1" w:rsidRDefault="00492A80">
      <w:pPr>
        <w:numPr>
          <w:ilvl w:val="0"/>
          <w:numId w:val="1"/>
        </w:numPr>
        <w:spacing w:after="1" w:line="237" w:lineRule="auto"/>
        <w:ind w:right="0" w:hanging="360"/>
      </w:pPr>
      <w:r>
        <w:t xml:space="preserve">MBTA targeted investments in modernization and expansion of its transit infrastructure e.g., Red Line/Orange Infrastructure improvements and new vehicles, Green Line Extension to Somerville and Cambridge and new commuter rail service to the South Coast (Fall River and New Bedford) </w:t>
      </w:r>
    </w:p>
    <w:p w14:paraId="0D876BA2" w14:textId="77777777" w:rsidR="00C11BE1" w:rsidRDefault="00492A80">
      <w:pPr>
        <w:spacing w:after="0" w:line="259" w:lineRule="auto"/>
        <w:ind w:left="0" w:right="0" w:firstLine="0"/>
      </w:pPr>
      <w:r>
        <w:t xml:space="preserve"> </w:t>
      </w:r>
    </w:p>
    <w:p w14:paraId="1F38ED56" w14:textId="77777777" w:rsidR="00C11BE1" w:rsidRDefault="00492A80">
      <w:pPr>
        <w:ind w:left="-5" w:right="0"/>
      </w:pPr>
      <w:r>
        <w:t xml:space="preserve">Ms. Ho noted that the FY23-FY27 CIP projects $14.9 billion in estimated spending, with $13.4 billion for </w:t>
      </w:r>
    </w:p>
    <w:p w14:paraId="65F5BAA8" w14:textId="77777777" w:rsidR="00C11BE1" w:rsidRDefault="00492A80">
      <w:pPr>
        <w:ind w:left="-5" w:right="0"/>
      </w:pPr>
      <w:r>
        <w:t xml:space="preserve">MassDOT investments, and $1.43 billion for MBTA state-funded investments. Ms. Ho explained that the Bipartisan Infrastructure Law (BIL) reauthorized surface transportation programs for FF7 2022-2016 for highway and transit. She explained that it provides federal formula funding for FHWA and FTA managed under the existing State Transportation Improvement Program (STIP) process in partnership with the 10 Metropolitan Planning Organizations (MPOs) and the 3 Transportation Planning Organizations (TPOs). The funding is provided through two channels (1) federal formula programs (FHWA and FTA) and (2) discretionary or competitive grant programs. Ms. Ho explained that over the five-year period FFY22-26, BIL increased Massachusetts highway transportation formula funding by over 34%: </w:t>
      </w:r>
    </w:p>
    <w:p w14:paraId="1F06A4A3" w14:textId="77777777" w:rsidR="00C11BE1" w:rsidRDefault="00492A80">
      <w:pPr>
        <w:numPr>
          <w:ilvl w:val="0"/>
          <w:numId w:val="1"/>
        </w:numPr>
        <w:ind w:right="0" w:hanging="360"/>
      </w:pPr>
      <w:r>
        <w:t xml:space="preserve">$449 million in increased apportionments for existing FHWA programs  </w:t>
      </w:r>
    </w:p>
    <w:p w14:paraId="5CE6C061" w14:textId="77777777" w:rsidR="00C11BE1" w:rsidRDefault="00492A80">
      <w:pPr>
        <w:numPr>
          <w:ilvl w:val="0"/>
          <w:numId w:val="1"/>
        </w:numPr>
        <w:ind w:right="0" w:hanging="360"/>
      </w:pPr>
      <w:r>
        <w:lastRenderedPageBreak/>
        <w:t xml:space="preserve">$200 million for two new Highway Trust Fund (HTF) programs – Carbon Reduction and PROTECT* </w:t>
      </w:r>
    </w:p>
    <w:p w14:paraId="1B6F27CD" w14:textId="77777777" w:rsidR="00C11BE1" w:rsidRDefault="00492A80">
      <w:pPr>
        <w:numPr>
          <w:ilvl w:val="0"/>
          <w:numId w:val="1"/>
        </w:numPr>
        <w:ind w:right="0" w:hanging="360"/>
      </w:pPr>
      <w:r>
        <w:t xml:space="preserve">$1.2 billion for two new Supplemental Appropriation funded programs – Formula Bridge and Electric Vehicle Infrastructure </w:t>
      </w:r>
    </w:p>
    <w:p w14:paraId="12569FCB" w14:textId="77777777" w:rsidR="00C11BE1" w:rsidRDefault="00492A80">
      <w:pPr>
        <w:numPr>
          <w:ilvl w:val="0"/>
          <w:numId w:val="1"/>
        </w:numPr>
        <w:ind w:right="0" w:hanging="360"/>
      </w:pPr>
      <w:r>
        <w:t xml:space="preserve">National Electric Vehicle Infrastructure (NEVI) funds could not be programmed until completion of an FHWA-approved NEVI Plan; approval received September 14, 2022 </w:t>
      </w:r>
    </w:p>
    <w:p w14:paraId="203CEAB1" w14:textId="77777777" w:rsidR="00C11BE1" w:rsidRDefault="00492A80">
      <w:pPr>
        <w:spacing w:after="0" w:line="259" w:lineRule="auto"/>
        <w:ind w:left="0" w:right="0" w:firstLine="0"/>
      </w:pPr>
      <w:r>
        <w:t xml:space="preserve"> </w:t>
      </w:r>
    </w:p>
    <w:p w14:paraId="5C0447C3" w14:textId="77777777" w:rsidR="00C11BE1" w:rsidRDefault="00492A80">
      <w:pPr>
        <w:spacing w:after="1" w:line="237" w:lineRule="auto"/>
        <w:ind w:left="0" w:right="0" w:firstLine="0"/>
        <w:jc w:val="both"/>
      </w:pPr>
      <w:r>
        <w:t xml:space="preserve">Ms. Connors highlighted that the increased money from BIL came with an increased state-match component, and the states still supposed to match it at the same levels that we always match, and the CIP does include that increased match. Ms. Ho agreed and noted that the real reflection of this increase is reflective of the fact that they got such a significant increase in their federal formula funds and typically those have a 20% state match requirement, so that was a significant increase in their bond cap allocation that they received this year from the Commonwealth. Ms. Ho then provided a breakdown of spending by source.  </w:t>
      </w:r>
    </w:p>
    <w:p w14:paraId="2B41FE46" w14:textId="77777777" w:rsidR="00C11BE1" w:rsidRDefault="00492A80">
      <w:pPr>
        <w:spacing w:after="0" w:line="259" w:lineRule="auto"/>
        <w:ind w:left="0" w:right="0" w:firstLine="0"/>
      </w:pPr>
      <w:r>
        <w:t xml:space="preserve"> </w:t>
      </w:r>
    </w:p>
    <w:p w14:paraId="1DC495A1" w14:textId="77777777" w:rsidR="00C11BE1" w:rsidRDefault="00492A80">
      <w:pPr>
        <w:ind w:left="-5" w:right="0"/>
      </w:pPr>
      <w:r>
        <w:t xml:space="preserve">Ms. Ho explained the CIP and STIP alignment. She explained that the STIP is dedicated to federal highway and transit funding and federally funded transportation projects and is subject to federal approval. It also: </w:t>
      </w:r>
    </w:p>
    <w:p w14:paraId="19ACFEEF" w14:textId="77777777" w:rsidR="00C11BE1" w:rsidRDefault="00492A80">
      <w:pPr>
        <w:numPr>
          <w:ilvl w:val="0"/>
          <w:numId w:val="1"/>
        </w:numPr>
        <w:spacing w:after="0" w:line="259" w:lineRule="auto"/>
        <w:ind w:right="0" w:hanging="360"/>
      </w:pPr>
      <w:r>
        <w:t xml:space="preserve">Comprised almost exclusively of roadway and public transit projects (MassDOT, MBTA, RTAs), </w:t>
      </w:r>
    </w:p>
    <w:p w14:paraId="1CBCC834" w14:textId="77777777" w:rsidR="00C11BE1" w:rsidRDefault="00492A80">
      <w:pPr>
        <w:numPr>
          <w:ilvl w:val="0"/>
          <w:numId w:val="1"/>
        </w:numPr>
        <w:ind w:right="0" w:hanging="360"/>
      </w:pPr>
      <w:r>
        <w:t xml:space="preserve">Includes projects programmed by the 13 Metropolitan Planning Organizations (MPOs)  </w:t>
      </w:r>
    </w:p>
    <w:p w14:paraId="11594145" w14:textId="77777777" w:rsidR="00C11BE1" w:rsidRDefault="00492A80">
      <w:pPr>
        <w:numPr>
          <w:ilvl w:val="0"/>
          <w:numId w:val="1"/>
        </w:numPr>
        <w:ind w:right="0" w:hanging="360"/>
      </w:pPr>
      <w:r>
        <w:t xml:space="preserve">The STIP is an “obligation” document of projected FHWA advertisements and FTA awards; the CIP is a cash-flow document that depicts expenditures over time  </w:t>
      </w:r>
    </w:p>
    <w:p w14:paraId="2829A765" w14:textId="77777777" w:rsidR="00C11BE1" w:rsidRDefault="00492A80">
      <w:pPr>
        <w:numPr>
          <w:ilvl w:val="0"/>
          <w:numId w:val="1"/>
        </w:numPr>
        <w:ind w:right="0" w:hanging="360"/>
      </w:pPr>
      <w:r>
        <w:t>STIP makes use of the priorities/programs/</w:t>
      </w:r>
      <w:proofErr w:type="gramStart"/>
      <w:r>
        <w:t>projects</w:t>
      </w:r>
      <w:proofErr w:type="gramEnd"/>
      <w:r>
        <w:t xml:space="preserve"> framework </w:t>
      </w:r>
      <w:proofErr w:type="gramStart"/>
      <w:r>
        <w:t>similar to</w:t>
      </w:r>
      <w:proofErr w:type="gramEnd"/>
      <w:r>
        <w:t xml:space="preserve"> the CIP framework </w:t>
      </w:r>
    </w:p>
    <w:p w14:paraId="6107916D" w14:textId="77777777" w:rsidR="00C11BE1" w:rsidRDefault="00492A80">
      <w:pPr>
        <w:spacing w:after="0" w:line="259" w:lineRule="auto"/>
        <w:ind w:left="0" w:right="0" w:firstLine="0"/>
      </w:pPr>
      <w:r>
        <w:t xml:space="preserve"> </w:t>
      </w:r>
    </w:p>
    <w:p w14:paraId="7A62E43A" w14:textId="77777777" w:rsidR="00C11BE1" w:rsidRDefault="00492A80">
      <w:pPr>
        <w:ind w:left="-5" w:right="0"/>
      </w:pPr>
      <w:r>
        <w:t xml:space="preserve">She explained that the CIP identifies </w:t>
      </w:r>
      <w:proofErr w:type="gramStart"/>
      <w:r>
        <w:t>all of</w:t>
      </w:r>
      <w:proofErr w:type="gramEnd"/>
      <w:r>
        <w:t xml:space="preserve"> the sources and uses of transportation funding available and includes state capital funding for projects advanced by MassDOT and the MBTA, including Rail and Transit, Aeronautics Division, and the Registry of Motor Vehicles.  </w:t>
      </w:r>
    </w:p>
    <w:p w14:paraId="3EDA78E9" w14:textId="77777777" w:rsidR="00C11BE1" w:rsidRDefault="00492A80">
      <w:pPr>
        <w:spacing w:after="0" w:line="259" w:lineRule="auto"/>
        <w:ind w:left="0" w:right="0" w:firstLine="0"/>
      </w:pPr>
      <w:r>
        <w:t xml:space="preserve"> </w:t>
      </w:r>
    </w:p>
    <w:p w14:paraId="5E5D5597" w14:textId="77777777" w:rsidR="00C11BE1" w:rsidRDefault="00492A80">
      <w:pPr>
        <w:ind w:left="-5" w:right="0"/>
      </w:pPr>
      <w:r>
        <w:t xml:space="preserve">Ms. Connors thanked Ms. Ho for her presentation and reiterated that the MassDOT portion of the CIP is a huge driver of what they ultimately spend and is a big influence on both the GO debt and the Special Obligation debt, which this Committee does factor in, in terms of affordability and future affordability. Ms. Connors also reiterated that the Special Obligation Bonds are bonds that are secured by revenues that go into the Commonwealth Transportation Fund (CTF) and that’s funded with a combination of gas tax revenue, as well as related registry fees and some other funding sources.  </w:t>
      </w:r>
    </w:p>
    <w:p w14:paraId="3DA95E9E" w14:textId="77777777" w:rsidR="00C11BE1" w:rsidRDefault="00492A80">
      <w:pPr>
        <w:spacing w:after="0" w:line="259" w:lineRule="auto"/>
        <w:ind w:left="0" w:right="0" w:firstLine="0"/>
      </w:pPr>
      <w:r>
        <w:t xml:space="preserve"> </w:t>
      </w:r>
    </w:p>
    <w:p w14:paraId="259FA84B" w14:textId="1C641FD5" w:rsidR="00C11BE1" w:rsidRDefault="00492A80">
      <w:pPr>
        <w:ind w:left="-5" w:right="0"/>
      </w:pPr>
      <w:r>
        <w:t>Dr. Kazim Ozyurt from the Department of Revenue provided an overview of MA State tax collections year</w:t>
      </w:r>
      <w:r w:rsidR="004159BB">
        <w:t>-</w:t>
      </w:r>
      <w:r>
        <w:t xml:space="preserve">over-year changes by month from July 2007-September 2022. Mr. Ozyurt pointed out that since October 2009, collections have been mostly on the </w:t>
      </w:r>
      <w:proofErr w:type="gramStart"/>
      <w:r>
        <w:t>positive growth</w:t>
      </w:r>
      <w:proofErr w:type="gramEnd"/>
      <w:r>
        <w:t xml:space="preserve"> territory, with a few exceptions. Some of these exceptions include the pandemic, filing deadline extensions, tax law changes, etc. Mr. Ozyurt then went over FY22 revenues. In FY22 collections were $41.105B. Income Tax and Sales &amp; Use Taxes combined accounted for 81% of tax revenues. Other taxes include Corporate &amp; Business tax, which accounted for 12%, and other taxes which includes estate tax, motor vehicle taxes, etc. and accounted for 7%. Mr. Ozyurt noted that FY22 revenue totaled 41.105 billion dollars, which was $3.438 billion more than the benchmark and 20.5% more than FY21 collections.  Mr. Ozyurt noted that FY23 YTD Revenue as of September ‘22 totaled $9.194 billion, $443 million or 5.1% more than collections in the same period of FY22 and $224 million, or 2.5% above FY23 YTD benchmark. The below slide shows the breakdown:  </w:t>
      </w:r>
    </w:p>
    <w:p w14:paraId="68567C85" w14:textId="14F9280D" w:rsidR="003772E1" w:rsidRDefault="003772E1">
      <w:pPr>
        <w:spacing w:after="0" w:line="259" w:lineRule="auto"/>
        <w:ind w:left="0" w:right="0" w:firstLine="0"/>
        <w:sectPr w:rsidR="003772E1">
          <w:footerReference w:type="even" r:id="rId17"/>
          <w:footerReference w:type="default" r:id="rId18"/>
          <w:footerReference w:type="first" r:id="rId19"/>
          <w:pgSz w:w="12240" w:h="15840"/>
          <w:pgMar w:top="806" w:right="1219" w:bottom="1225" w:left="1280" w:header="720" w:footer="994" w:gutter="0"/>
          <w:cols w:space="720"/>
        </w:sectPr>
      </w:pPr>
    </w:p>
    <w:p w14:paraId="58F3EF0E" w14:textId="77777777" w:rsidR="003772E1" w:rsidRDefault="003772E1">
      <w:pPr>
        <w:spacing w:after="0" w:line="259" w:lineRule="auto"/>
        <w:ind w:left="0" w:right="0" w:firstLine="0"/>
        <w:sectPr w:rsidR="003772E1">
          <w:pgSz w:w="12240" w:h="15840"/>
          <w:pgMar w:top="806" w:right="1219" w:bottom="1225" w:left="1280" w:header="720" w:footer="994" w:gutter="0"/>
          <w:cols w:space="720"/>
        </w:sectPr>
      </w:pPr>
    </w:p>
    <w:p w14:paraId="36835B68" w14:textId="77777777" w:rsidR="00F259A6" w:rsidRDefault="00F259A6">
      <w:pPr>
        <w:spacing w:after="0" w:line="259" w:lineRule="auto"/>
        <w:ind w:left="0" w:right="0" w:firstLine="0"/>
      </w:pPr>
    </w:p>
    <w:p w14:paraId="46754DFC" w14:textId="77777777" w:rsidR="00C11BE1" w:rsidRDefault="00492A80">
      <w:pPr>
        <w:spacing w:after="0" w:line="259" w:lineRule="auto"/>
        <w:ind w:left="0" w:right="1426" w:firstLine="0"/>
        <w:jc w:val="right"/>
      </w:pPr>
      <w:r>
        <w:rPr>
          <w:noProof/>
        </w:rPr>
        <w:drawing>
          <wp:inline distT="0" distB="0" distL="0" distR="0" wp14:anchorId="7662E558" wp14:editId="723D6BA8">
            <wp:extent cx="8005536" cy="4988379"/>
            <wp:effectExtent l="0" t="0" r="0" b="3175"/>
            <wp:docPr id="1213" name="Picture 1213" descr="Table of FY2023 Revenue as of September 2022 - review below table for data"/>
            <wp:cNvGraphicFramePr/>
            <a:graphic xmlns:a="http://schemas.openxmlformats.org/drawingml/2006/main">
              <a:graphicData uri="http://schemas.openxmlformats.org/drawingml/2006/picture">
                <pic:pic xmlns:pic="http://schemas.openxmlformats.org/drawingml/2006/picture">
                  <pic:nvPicPr>
                    <pic:cNvPr id="1213" name="Picture 1213" descr="Table of FY2023 Revenue as of September 2022 - review below table for data"/>
                    <pic:cNvPicPr/>
                  </pic:nvPicPr>
                  <pic:blipFill>
                    <a:blip r:embed="rId20"/>
                    <a:stretch>
                      <a:fillRect/>
                    </a:stretch>
                  </pic:blipFill>
                  <pic:spPr>
                    <a:xfrm>
                      <a:off x="0" y="0"/>
                      <a:ext cx="8011380" cy="4992020"/>
                    </a:xfrm>
                    <a:prstGeom prst="rect">
                      <a:avLst/>
                    </a:prstGeom>
                  </pic:spPr>
                </pic:pic>
              </a:graphicData>
            </a:graphic>
          </wp:inline>
        </w:drawing>
      </w:r>
      <w:r>
        <w:t xml:space="preserve"> </w:t>
      </w:r>
    </w:p>
    <w:p w14:paraId="1D3D987D" w14:textId="45FCA3F6" w:rsidR="00C11BE1" w:rsidRDefault="00C11BE1">
      <w:pPr>
        <w:spacing w:after="0" w:line="259" w:lineRule="auto"/>
        <w:ind w:left="0" w:right="0" w:firstLine="0"/>
      </w:pPr>
    </w:p>
    <w:p w14:paraId="47BCEAC6" w14:textId="296819A6" w:rsidR="003772E1" w:rsidRDefault="003772E1">
      <w:pPr>
        <w:spacing w:after="0" w:line="259" w:lineRule="auto"/>
        <w:ind w:left="0" w:right="0" w:firstLine="0"/>
      </w:pPr>
      <w:r>
        <w:br w:type="page"/>
      </w:r>
    </w:p>
    <w:p w14:paraId="19ACB958" w14:textId="77777777" w:rsidR="003772E1" w:rsidRDefault="003772E1">
      <w:pPr>
        <w:spacing w:after="0" w:line="259" w:lineRule="auto"/>
        <w:ind w:left="0" w:right="0" w:firstLine="0"/>
      </w:pPr>
    </w:p>
    <w:p w14:paraId="3286A346" w14:textId="77777777" w:rsidR="004159BB" w:rsidRPr="004159BB" w:rsidRDefault="004159BB" w:rsidP="004159BB">
      <w:pPr>
        <w:pStyle w:val="Heading2"/>
        <w:rPr>
          <w:lang w:bidi="ar-SA"/>
        </w:rPr>
      </w:pPr>
      <w:r w:rsidRPr="004159BB">
        <w:rPr>
          <w:lang w:bidi="ar-SA"/>
        </w:rPr>
        <w:t>FY23 Revenue as of September 2022 (Amounts in $ Millions)</w:t>
      </w:r>
    </w:p>
    <w:p w14:paraId="3E48B908" w14:textId="77777777" w:rsidR="004159BB" w:rsidRDefault="004159BB">
      <w:pPr>
        <w:spacing w:after="0" w:line="259" w:lineRule="auto"/>
        <w:ind w:left="0" w:right="0" w:firstLine="0"/>
      </w:pPr>
    </w:p>
    <w:tbl>
      <w:tblPr>
        <w:tblW w:w="13820" w:type="dxa"/>
        <w:jc w:val="center"/>
        <w:tblLayout w:type="fixed"/>
        <w:tblLook w:val="04A0" w:firstRow="1" w:lastRow="0" w:firstColumn="1" w:lastColumn="0" w:noHBand="0" w:noVBand="1"/>
        <w:tblCaption w:val="FY23 Revenue as of September 2022 (Amounts in $ Millions)"/>
        <w:tblDescription w:val="FY23 year-to-date tax revenue through September 2022 totals $9.194 billion, exceeding FY22 collections by $443 million (5.1 percent) and the FY23 benchmark by $224 million (2.5 percent). Income taxes and Sales and Use taxes account for the majority of co"/>
      </w:tblPr>
      <w:tblGrid>
        <w:gridCol w:w="2970"/>
        <w:gridCol w:w="1356"/>
        <w:gridCol w:w="174"/>
        <w:gridCol w:w="1182"/>
        <w:gridCol w:w="168"/>
        <w:gridCol w:w="1188"/>
        <w:gridCol w:w="252"/>
        <w:gridCol w:w="1105"/>
        <w:gridCol w:w="335"/>
        <w:gridCol w:w="1021"/>
        <w:gridCol w:w="419"/>
        <w:gridCol w:w="937"/>
        <w:gridCol w:w="323"/>
        <w:gridCol w:w="1033"/>
        <w:gridCol w:w="195"/>
        <w:gridCol w:w="1162"/>
      </w:tblGrid>
      <w:tr w:rsidR="003772E1" w:rsidRPr="00F259A6" w14:paraId="12887E53" w14:textId="77777777" w:rsidTr="00F04000">
        <w:trPr>
          <w:trHeight w:val="300"/>
          <w:tblHeader/>
          <w:jc w:val="center"/>
        </w:trPr>
        <w:tc>
          <w:tcPr>
            <w:tcW w:w="2970" w:type="dxa"/>
            <w:tcBorders>
              <w:top w:val="nil"/>
              <w:left w:val="nil"/>
              <w:bottom w:val="nil"/>
              <w:right w:val="nil"/>
            </w:tcBorders>
            <w:noWrap/>
            <w:vAlign w:val="bottom"/>
            <w:hideMark/>
          </w:tcPr>
          <w:p w14:paraId="506A7D78" w14:textId="77777777" w:rsidR="00F259A6" w:rsidRPr="00F259A6" w:rsidRDefault="00F259A6" w:rsidP="00F259A6">
            <w:pPr>
              <w:spacing w:after="0" w:line="240" w:lineRule="auto"/>
              <w:ind w:left="0" w:right="0" w:firstLine="0"/>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Category</w:t>
            </w:r>
          </w:p>
        </w:tc>
        <w:tc>
          <w:tcPr>
            <w:tcW w:w="1356" w:type="dxa"/>
            <w:tcBorders>
              <w:top w:val="nil"/>
              <w:left w:val="nil"/>
              <w:bottom w:val="nil"/>
              <w:right w:val="nil"/>
            </w:tcBorders>
            <w:noWrap/>
            <w:vAlign w:val="bottom"/>
            <w:hideMark/>
          </w:tcPr>
          <w:p w14:paraId="205C55E3" w14:textId="77777777" w:rsidR="00F259A6" w:rsidRPr="00F259A6" w:rsidRDefault="00F259A6" w:rsidP="00F259A6">
            <w:pPr>
              <w:spacing w:after="0" w:line="240" w:lineRule="auto"/>
              <w:ind w:left="0" w:right="0" w:firstLine="0"/>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Sept 2022 Actual ($M)</w:t>
            </w:r>
          </w:p>
        </w:tc>
        <w:tc>
          <w:tcPr>
            <w:tcW w:w="1356" w:type="dxa"/>
            <w:gridSpan w:val="2"/>
            <w:tcBorders>
              <w:top w:val="nil"/>
              <w:left w:val="nil"/>
              <w:bottom w:val="nil"/>
              <w:right w:val="nil"/>
            </w:tcBorders>
            <w:noWrap/>
            <w:vAlign w:val="bottom"/>
            <w:hideMark/>
          </w:tcPr>
          <w:p w14:paraId="1157B185" w14:textId="77777777" w:rsidR="00F259A6" w:rsidRPr="00F259A6" w:rsidRDefault="00F259A6" w:rsidP="00F259A6">
            <w:pPr>
              <w:spacing w:after="0" w:line="240" w:lineRule="auto"/>
              <w:ind w:left="0" w:right="0" w:firstLine="0"/>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Sept 22 vs Sept 21 ($M)</w:t>
            </w:r>
          </w:p>
        </w:tc>
        <w:tc>
          <w:tcPr>
            <w:tcW w:w="1356" w:type="dxa"/>
            <w:gridSpan w:val="2"/>
            <w:tcBorders>
              <w:top w:val="nil"/>
              <w:left w:val="nil"/>
              <w:bottom w:val="nil"/>
              <w:right w:val="nil"/>
            </w:tcBorders>
            <w:noWrap/>
            <w:vAlign w:val="bottom"/>
            <w:hideMark/>
          </w:tcPr>
          <w:p w14:paraId="6C41FCCD" w14:textId="77777777" w:rsidR="00F259A6" w:rsidRPr="00F259A6" w:rsidRDefault="00F259A6" w:rsidP="00F259A6">
            <w:pPr>
              <w:spacing w:after="0" w:line="240" w:lineRule="auto"/>
              <w:ind w:left="0" w:right="0" w:firstLine="0"/>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Sept 22 vs Sept 21 (%)</w:t>
            </w:r>
          </w:p>
        </w:tc>
        <w:tc>
          <w:tcPr>
            <w:tcW w:w="1357" w:type="dxa"/>
            <w:gridSpan w:val="2"/>
            <w:tcBorders>
              <w:top w:val="nil"/>
              <w:left w:val="nil"/>
              <w:bottom w:val="nil"/>
              <w:right w:val="nil"/>
            </w:tcBorders>
            <w:noWrap/>
            <w:vAlign w:val="bottom"/>
            <w:hideMark/>
          </w:tcPr>
          <w:p w14:paraId="3A8C3B3C" w14:textId="77777777" w:rsidR="00F259A6" w:rsidRPr="00F259A6" w:rsidRDefault="00F259A6" w:rsidP="00F259A6">
            <w:pPr>
              <w:spacing w:after="0" w:line="240" w:lineRule="auto"/>
              <w:ind w:left="0" w:right="0" w:firstLine="0"/>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FY23 YTD Actual ($M)</w:t>
            </w:r>
          </w:p>
        </w:tc>
        <w:tc>
          <w:tcPr>
            <w:tcW w:w="1356" w:type="dxa"/>
            <w:gridSpan w:val="2"/>
            <w:tcBorders>
              <w:top w:val="nil"/>
              <w:left w:val="nil"/>
              <w:bottom w:val="nil"/>
              <w:right w:val="nil"/>
            </w:tcBorders>
            <w:noWrap/>
            <w:vAlign w:val="bottom"/>
            <w:hideMark/>
          </w:tcPr>
          <w:p w14:paraId="30C942E4" w14:textId="77777777" w:rsidR="00F259A6" w:rsidRPr="00F259A6" w:rsidRDefault="00F259A6" w:rsidP="00F259A6">
            <w:pPr>
              <w:spacing w:after="0" w:line="240" w:lineRule="auto"/>
              <w:ind w:left="0" w:right="0" w:firstLine="0"/>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FY23 YTD vs FY22 ($M)</w:t>
            </w:r>
          </w:p>
        </w:tc>
        <w:tc>
          <w:tcPr>
            <w:tcW w:w="1356" w:type="dxa"/>
            <w:gridSpan w:val="2"/>
            <w:tcBorders>
              <w:top w:val="nil"/>
              <w:left w:val="nil"/>
              <w:bottom w:val="nil"/>
              <w:right w:val="nil"/>
            </w:tcBorders>
            <w:noWrap/>
            <w:vAlign w:val="bottom"/>
            <w:hideMark/>
          </w:tcPr>
          <w:p w14:paraId="3417F35B" w14:textId="77777777" w:rsidR="00F259A6" w:rsidRPr="00F259A6" w:rsidRDefault="00F259A6" w:rsidP="00F259A6">
            <w:pPr>
              <w:spacing w:after="0" w:line="240" w:lineRule="auto"/>
              <w:ind w:left="0" w:right="0" w:firstLine="0"/>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FY23 YTD vs FY22 (%)</w:t>
            </w:r>
          </w:p>
        </w:tc>
        <w:tc>
          <w:tcPr>
            <w:tcW w:w="1356" w:type="dxa"/>
            <w:gridSpan w:val="2"/>
            <w:tcBorders>
              <w:top w:val="nil"/>
              <w:left w:val="nil"/>
              <w:bottom w:val="nil"/>
              <w:right w:val="nil"/>
            </w:tcBorders>
            <w:noWrap/>
            <w:vAlign w:val="bottom"/>
            <w:hideMark/>
          </w:tcPr>
          <w:p w14:paraId="15DFAB53" w14:textId="77777777" w:rsidR="00F259A6" w:rsidRPr="00F259A6" w:rsidRDefault="00F259A6" w:rsidP="00F259A6">
            <w:pPr>
              <w:spacing w:after="0" w:line="240" w:lineRule="auto"/>
              <w:ind w:left="0" w:right="0" w:firstLine="0"/>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FY23 YTD vs Benchmark ($M)</w:t>
            </w:r>
          </w:p>
        </w:tc>
        <w:tc>
          <w:tcPr>
            <w:tcW w:w="1357" w:type="dxa"/>
            <w:gridSpan w:val="2"/>
            <w:tcBorders>
              <w:top w:val="nil"/>
              <w:left w:val="nil"/>
              <w:bottom w:val="nil"/>
              <w:right w:val="nil"/>
            </w:tcBorders>
            <w:noWrap/>
            <w:vAlign w:val="bottom"/>
            <w:hideMark/>
          </w:tcPr>
          <w:p w14:paraId="40BC4AA5" w14:textId="77777777" w:rsidR="00F259A6" w:rsidRPr="00F259A6" w:rsidRDefault="00F259A6" w:rsidP="00F259A6">
            <w:pPr>
              <w:spacing w:after="0" w:line="240" w:lineRule="auto"/>
              <w:ind w:left="0" w:right="0" w:firstLine="0"/>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FY23 YTD vs Benchmark (%)</w:t>
            </w:r>
          </w:p>
        </w:tc>
      </w:tr>
      <w:tr w:rsidR="004159BB" w:rsidRPr="00F259A6" w14:paraId="5A061491" w14:textId="77777777" w:rsidTr="00F04000">
        <w:trPr>
          <w:trHeight w:val="300"/>
          <w:jc w:val="center"/>
        </w:trPr>
        <w:tc>
          <w:tcPr>
            <w:tcW w:w="2970" w:type="dxa"/>
            <w:tcBorders>
              <w:top w:val="nil"/>
              <w:left w:val="nil"/>
              <w:bottom w:val="nil"/>
              <w:right w:val="nil"/>
            </w:tcBorders>
            <w:noWrap/>
            <w:vAlign w:val="bottom"/>
            <w:hideMark/>
          </w:tcPr>
          <w:p w14:paraId="1962FC96" w14:textId="77777777" w:rsidR="00F259A6" w:rsidRPr="00F259A6" w:rsidRDefault="00F259A6" w:rsidP="004159BB">
            <w:pPr>
              <w:spacing w:after="0" w:line="240" w:lineRule="auto"/>
              <w:ind w:left="0" w:right="0" w:firstLine="0"/>
              <w:rPr>
                <w:rFonts w:ascii="Calibri" w:hAnsi="Calibri" w:cs="Calibri"/>
                <w:kern w:val="0"/>
                <w:szCs w:val="22"/>
                <w:lang w:bidi="ar-SA"/>
                <w14:ligatures w14:val="none"/>
              </w:rPr>
            </w:pPr>
            <w:r w:rsidRPr="00F259A6">
              <w:rPr>
                <w:rFonts w:ascii="Calibri" w:hAnsi="Calibri" w:cs="Calibri"/>
                <w:kern w:val="0"/>
                <w:szCs w:val="22"/>
                <w:lang w:bidi="ar-SA"/>
                <w14:ligatures w14:val="none"/>
              </w:rPr>
              <w:t>Income – Withholding</w:t>
            </w:r>
          </w:p>
        </w:tc>
        <w:tc>
          <w:tcPr>
            <w:tcW w:w="1530" w:type="dxa"/>
            <w:gridSpan w:val="2"/>
            <w:tcBorders>
              <w:top w:val="nil"/>
              <w:left w:val="nil"/>
              <w:bottom w:val="nil"/>
              <w:right w:val="nil"/>
            </w:tcBorders>
            <w:noWrap/>
            <w:vAlign w:val="bottom"/>
            <w:hideMark/>
          </w:tcPr>
          <w:p w14:paraId="0580D672"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1280</w:t>
            </w:r>
          </w:p>
        </w:tc>
        <w:tc>
          <w:tcPr>
            <w:tcW w:w="1350" w:type="dxa"/>
            <w:gridSpan w:val="2"/>
            <w:tcBorders>
              <w:top w:val="nil"/>
              <w:left w:val="nil"/>
              <w:bottom w:val="nil"/>
              <w:right w:val="nil"/>
            </w:tcBorders>
            <w:noWrap/>
            <w:vAlign w:val="bottom"/>
            <w:hideMark/>
          </w:tcPr>
          <w:p w14:paraId="3AAF7F9F"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90</w:t>
            </w:r>
          </w:p>
        </w:tc>
        <w:tc>
          <w:tcPr>
            <w:tcW w:w="1440" w:type="dxa"/>
            <w:gridSpan w:val="2"/>
            <w:tcBorders>
              <w:top w:val="nil"/>
              <w:left w:val="nil"/>
              <w:bottom w:val="nil"/>
              <w:right w:val="nil"/>
            </w:tcBorders>
            <w:noWrap/>
            <w:vAlign w:val="bottom"/>
            <w:hideMark/>
          </w:tcPr>
          <w:p w14:paraId="79BFD70B"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7.6</w:t>
            </w:r>
          </w:p>
        </w:tc>
        <w:tc>
          <w:tcPr>
            <w:tcW w:w="1440" w:type="dxa"/>
            <w:gridSpan w:val="2"/>
            <w:tcBorders>
              <w:top w:val="nil"/>
              <w:left w:val="nil"/>
              <w:bottom w:val="nil"/>
              <w:right w:val="nil"/>
            </w:tcBorders>
            <w:noWrap/>
            <w:vAlign w:val="bottom"/>
            <w:hideMark/>
          </w:tcPr>
          <w:p w14:paraId="4FA9AA7F"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3820</w:t>
            </w:r>
          </w:p>
        </w:tc>
        <w:tc>
          <w:tcPr>
            <w:tcW w:w="1440" w:type="dxa"/>
            <w:gridSpan w:val="2"/>
            <w:tcBorders>
              <w:top w:val="nil"/>
              <w:left w:val="nil"/>
              <w:bottom w:val="nil"/>
              <w:right w:val="nil"/>
            </w:tcBorders>
            <w:noWrap/>
            <w:vAlign w:val="bottom"/>
            <w:hideMark/>
          </w:tcPr>
          <w:p w14:paraId="3AFE9A63"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186</w:t>
            </w:r>
          </w:p>
        </w:tc>
        <w:tc>
          <w:tcPr>
            <w:tcW w:w="1260" w:type="dxa"/>
            <w:gridSpan w:val="2"/>
            <w:tcBorders>
              <w:top w:val="nil"/>
              <w:left w:val="nil"/>
              <w:bottom w:val="nil"/>
              <w:right w:val="nil"/>
            </w:tcBorders>
            <w:noWrap/>
            <w:vAlign w:val="bottom"/>
            <w:hideMark/>
          </w:tcPr>
          <w:p w14:paraId="5475900C"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5.1</w:t>
            </w:r>
          </w:p>
        </w:tc>
        <w:tc>
          <w:tcPr>
            <w:tcW w:w="1228" w:type="dxa"/>
            <w:gridSpan w:val="2"/>
            <w:tcBorders>
              <w:top w:val="nil"/>
              <w:left w:val="nil"/>
              <w:bottom w:val="nil"/>
              <w:right w:val="nil"/>
            </w:tcBorders>
            <w:noWrap/>
            <w:vAlign w:val="bottom"/>
            <w:hideMark/>
          </w:tcPr>
          <w:p w14:paraId="3D23EC29"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39</w:t>
            </w:r>
          </w:p>
        </w:tc>
        <w:tc>
          <w:tcPr>
            <w:tcW w:w="1162" w:type="dxa"/>
            <w:tcBorders>
              <w:top w:val="nil"/>
              <w:left w:val="nil"/>
              <w:bottom w:val="nil"/>
              <w:right w:val="nil"/>
            </w:tcBorders>
            <w:noWrap/>
            <w:vAlign w:val="bottom"/>
            <w:hideMark/>
          </w:tcPr>
          <w:p w14:paraId="2627A588"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1</w:t>
            </w:r>
          </w:p>
        </w:tc>
      </w:tr>
      <w:tr w:rsidR="004159BB" w:rsidRPr="00F259A6" w14:paraId="20BF5EAE" w14:textId="77777777" w:rsidTr="00F04000">
        <w:trPr>
          <w:trHeight w:val="300"/>
          <w:jc w:val="center"/>
        </w:trPr>
        <w:tc>
          <w:tcPr>
            <w:tcW w:w="2970" w:type="dxa"/>
            <w:tcBorders>
              <w:top w:val="nil"/>
              <w:left w:val="nil"/>
              <w:bottom w:val="nil"/>
              <w:right w:val="nil"/>
            </w:tcBorders>
            <w:noWrap/>
            <w:vAlign w:val="bottom"/>
            <w:hideMark/>
          </w:tcPr>
          <w:p w14:paraId="364FE76D" w14:textId="77777777" w:rsidR="00F259A6" w:rsidRPr="00F259A6" w:rsidRDefault="00F259A6" w:rsidP="00F259A6">
            <w:pPr>
              <w:spacing w:after="0" w:line="240" w:lineRule="auto"/>
              <w:ind w:left="0" w:right="0" w:firstLine="0"/>
              <w:rPr>
                <w:rFonts w:ascii="Calibri" w:hAnsi="Calibri" w:cs="Calibri"/>
                <w:kern w:val="0"/>
                <w:szCs w:val="22"/>
                <w:lang w:bidi="ar-SA"/>
                <w14:ligatures w14:val="none"/>
              </w:rPr>
            </w:pPr>
            <w:r w:rsidRPr="00F259A6">
              <w:rPr>
                <w:rFonts w:ascii="Calibri" w:hAnsi="Calibri" w:cs="Calibri"/>
                <w:kern w:val="0"/>
                <w:szCs w:val="22"/>
                <w:lang w:bidi="ar-SA"/>
                <w14:ligatures w14:val="none"/>
              </w:rPr>
              <w:t>Income – Estimated Payments</w:t>
            </w:r>
          </w:p>
        </w:tc>
        <w:tc>
          <w:tcPr>
            <w:tcW w:w="1530" w:type="dxa"/>
            <w:gridSpan w:val="2"/>
            <w:tcBorders>
              <w:top w:val="nil"/>
              <w:left w:val="nil"/>
              <w:bottom w:val="nil"/>
              <w:right w:val="nil"/>
            </w:tcBorders>
            <w:noWrap/>
            <w:vAlign w:val="bottom"/>
            <w:hideMark/>
          </w:tcPr>
          <w:p w14:paraId="326E17E4"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871</w:t>
            </w:r>
          </w:p>
        </w:tc>
        <w:tc>
          <w:tcPr>
            <w:tcW w:w="1350" w:type="dxa"/>
            <w:gridSpan w:val="2"/>
            <w:tcBorders>
              <w:top w:val="nil"/>
              <w:left w:val="nil"/>
              <w:bottom w:val="nil"/>
              <w:right w:val="nil"/>
            </w:tcBorders>
            <w:noWrap/>
            <w:vAlign w:val="bottom"/>
            <w:hideMark/>
          </w:tcPr>
          <w:p w14:paraId="449750C2"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65</w:t>
            </w:r>
          </w:p>
        </w:tc>
        <w:tc>
          <w:tcPr>
            <w:tcW w:w="1440" w:type="dxa"/>
            <w:gridSpan w:val="2"/>
            <w:tcBorders>
              <w:top w:val="nil"/>
              <w:left w:val="nil"/>
              <w:bottom w:val="nil"/>
              <w:right w:val="nil"/>
            </w:tcBorders>
            <w:noWrap/>
            <w:vAlign w:val="bottom"/>
            <w:hideMark/>
          </w:tcPr>
          <w:p w14:paraId="7C01EE87"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8.1</w:t>
            </w:r>
          </w:p>
        </w:tc>
        <w:tc>
          <w:tcPr>
            <w:tcW w:w="1440" w:type="dxa"/>
            <w:gridSpan w:val="2"/>
            <w:tcBorders>
              <w:top w:val="nil"/>
              <w:left w:val="nil"/>
              <w:bottom w:val="nil"/>
              <w:right w:val="nil"/>
            </w:tcBorders>
            <w:noWrap/>
            <w:vAlign w:val="bottom"/>
            <w:hideMark/>
          </w:tcPr>
          <w:p w14:paraId="712898E4"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980</w:t>
            </w:r>
          </w:p>
        </w:tc>
        <w:tc>
          <w:tcPr>
            <w:tcW w:w="1440" w:type="dxa"/>
            <w:gridSpan w:val="2"/>
            <w:tcBorders>
              <w:top w:val="nil"/>
              <w:left w:val="nil"/>
              <w:bottom w:val="nil"/>
              <w:right w:val="nil"/>
            </w:tcBorders>
            <w:noWrap/>
            <w:vAlign w:val="bottom"/>
            <w:hideMark/>
          </w:tcPr>
          <w:p w14:paraId="3D7E59BD"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87</w:t>
            </w:r>
          </w:p>
        </w:tc>
        <w:tc>
          <w:tcPr>
            <w:tcW w:w="1260" w:type="dxa"/>
            <w:gridSpan w:val="2"/>
            <w:tcBorders>
              <w:top w:val="nil"/>
              <w:left w:val="nil"/>
              <w:bottom w:val="nil"/>
              <w:right w:val="nil"/>
            </w:tcBorders>
            <w:noWrap/>
            <w:vAlign w:val="bottom"/>
            <w:hideMark/>
          </w:tcPr>
          <w:p w14:paraId="33458BB1"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9.7</w:t>
            </w:r>
          </w:p>
        </w:tc>
        <w:tc>
          <w:tcPr>
            <w:tcW w:w="1228" w:type="dxa"/>
            <w:gridSpan w:val="2"/>
            <w:tcBorders>
              <w:top w:val="nil"/>
              <w:left w:val="nil"/>
              <w:bottom w:val="nil"/>
              <w:right w:val="nil"/>
            </w:tcBorders>
            <w:noWrap/>
            <w:vAlign w:val="bottom"/>
            <w:hideMark/>
          </w:tcPr>
          <w:p w14:paraId="0E0CCB96"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107</w:t>
            </w:r>
          </w:p>
        </w:tc>
        <w:tc>
          <w:tcPr>
            <w:tcW w:w="1162" w:type="dxa"/>
            <w:tcBorders>
              <w:top w:val="nil"/>
              <w:left w:val="nil"/>
              <w:bottom w:val="nil"/>
              <w:right w:val="nil"/>
            </w:tcBorders>
            <w:noWrap/>
            <w:vAlign w:val="bottom"/>
            <w:hideMark/>
          </w:tcPr>
          <w:p w14:paraId="1BEAFB82"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12.2</w:t>
            </w:r>
          </w:p>
        </w:tc>
      </w:tr>
      <w:tr w:rsidR="004159BB" w:rsidRPr="00F259A6" w14:paraId="3D8E1ABF" w14:textId="77777777" w:rsidTr="00F04000">
        <w:trPr>
          <w:trHeight w:val="300"/>
          <w:jc w:val="center"/>
        </w:trPr>
        <w:tc>
          <w:tcPr>
            <w:tcW w:w="2970" w:type="dxa"/>
            <w:tcBorders>
              <w:top w:val="nil"/>
              <w:left w:val="nil"/>
              <w:bottom w:val="single" w:sz="4" w:space="0" w:color="auto"/>
              <w:right w:val="nil"/>
            </w:tcBorders>
            <w:noWrap/>
            <w:vAlign w:val="bottom"/>
            <w:hideMark/>
          </w:tcPr>
          <w:p w14:paraId="689FF261" w14:textId="77777777" w:rsidR="00F259A6" w:rsidRPr="00F259A6" w:rsidRDefault="00F259A6" w:rsidP="00F259A6">
            <w:pPr>
              <w:spacing w:after="0" w:line="240" w:lineRule="auto"/>
              <w:ind w:left="0" w:right="0" w:firstLine="0"/>
              <w:rPr>
                <w:rFonts w:ascii="Calibri" w:hAnsi="Calibri" w:cs="Calibri"/>
                <w:kern w:val="0"/>
                <w:szCs w:val="22"/>
                <w:lang w:bidi="ar-SA"/>
                <w14:ligatures w14:val="none"/>
              </w:rPr>
            </w:pPr>
            <w:r w:rsidRPr="00F259A6">
              <w:rPr>
                <w:rFonts w:ascii="Calibri" w:hAnsi="Calibri" w:cs="Calibri"/>
                <w:kern w:val="0"/>
                <w:szCs w:val="22"/>
                <w:lang w:bidi="ar-SA"/>
                <w14:ligatures w14:val="none"/>
              </w:rPr>
              <w:t>Income – Returns &amp; Bills</w:t>
            </w:r>
          </w:p>
        </w:tc>
        <w:tc>
          <w:tcPr>
            <w:tcW w:w="1530" w:type="dxa"/>
            <w:gridSpan w:val="2"/>
            <w:tcBorders>
              <w:top w:val="nil"/>
              <w:left w:val="nil"/>
              <w:bottom w:val="single" w:sz="4" w:space="0" w:color="auto"/>
              <w:right w:val="nil"/>
            </w:tcBorders>
            <w:noWrap/>
            <w:vAlign w:val="bottom"/>
            <w:hideMark/>
          </w:tcPr>
          <w:p w14:paraId="5B2263C7"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166</w:t>
            </w:r>
          </w:p>
        </w:tc>
        <w:tc>
          <w:tcPr>
            <w:tcW w:w="1350" w:type="dxa"/>
            <w:gridSpan w:val="2"/>
            <w:tcBorders>
              <w:top w:val="nil"/>
              <w:left w:val="nil"/>
              <w:bottom w:val="single" w:sz="4" w:space="0" w:color="auto"/>
              <w:right w:val="nil"/>
            </w:tcBorders>
            <w:noWrap/>
            <w:vAlign w:val="bottom"/>
            <w:hideMark/>
          </w:tcPr>
          <w:p w14:paraId="515AC2C0"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78</w:t>
            </w:r>
          </w:p>
        </w:tc>
        <w:tc>
          <w:tcPr>
            <w:tcW w:w="1440" w:type="dxa"/>
            <w:gridSpan w:val="2"/>
            <w:tcBorders>
              <w:top w:val="nil"/>
              <w:left w:val="nil"/>
              <w:bottom w:val="single" w:sz="4" w:space="0" w:color="auto"/>
              <w:right w:val="nil"/>
            </w:tcBorders>
            <w:noWrap/>
            <w:vAlign w:val="bottom"/>
            <w:hideMark/>
          </w:tcPr>
          <w:p w14:paraId="21EE2A73"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88</w:t>
            </w:r>
          </w:p>
        </w:tc>
        <w:tc>
          <w:tcPr>
            <w:tcW w:w="1440" w:type="dxa"/>
            <w:gridSpan w:val="2"/>
            <w:tcBorders>
              <w:top w:val="nil"/>
              <w:left w:val="nil"/>
              <w:bottom w:val="single" w:sz="4" w:space="0" w:color="auto"/>
              <w:right w:val="nil"/>
            </w:tcBorders>
            <w:noWrap/>
            <w:vAlign w:val="bottom"/>
            <w:hideMark/>
          </w:tcPr>
          <w:p w14:paraId="48DF4A6E"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306</w:t>
            </w:r>
          </w:p>
        </w:tc>
        <w:tc>
          <w:tcPr>
            <w:tcW w:w="1440" w:type="dxa"/>
            <w:gridSpan w:val="2"/>
            <w:tcBorders>
              <w:top w:val="nil"/>
              <w:left w:val="nil"/>
              <w:bottom w:val="single" w:sz="4" w:space="0" w:color="auto"/>
              <w:right w:val="nil"/>
            </w:tcBorders>
            <w:noWrap/>
            <w:vAlign w:val="bottom"/>
            <w:hideMark/>
          </w:tcPr>
          <w:p w14:paraId="393730D5"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107</w:t>
            </w:r>
          </w:p>
        </w:tc>
        <w:tc>
          <w:tcPr>
            <w:tcW w:w="1260" w:type="dxa"/>
            <w:gridSpan w:val="2"/>
            <w:tcBorders>
              <w:top w:val="nil"/>
              <w:left w:val="nil"/>
              <w:bottom w:val="single" w:sz="4" w:space="0" w:color="auto"/>
              <w:right w:val="nil"/>
            </w:tcBorders>
            <w:noWrap/>
            <w:vAlign w:val="bottom"/>
            <w:hideMark/>
          </w:tcPr>
          <w:p w14:paraId="1559312D"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53.8</w:t>
            </w:r>
          </w:p>
        </w:tc>
        <w:tc>
          <w:tcPr>
            <w:tcW w:w="1228" w:type="dxa"/>
            <w:gridSpan w:val="2"/>
            <w:tcBorders>
              <w:top w:val="nil"/>
              <w:left w:val="nil"/>
              <w:bottom w:val="single" w:sz="4" w:space="0" w:color="auto"/>
              <w:right w:val="nil"/>
            </w:tcBorders>
            <w:noWrap/>
            <w:vAlign w:val="bottom"/>
            <w:hideMark/>
          </w:tcPr>
          <w:p w14:paraId="19C03E00"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-49</w:t>
            </w:r>
          </w:p>
        </w:tc>
        <w:tc>
          <w:tcPr>
            <w:tcW w:w="1162" w:type="dxa"/>
            <w:tcBorders>
              <w:top w:val="nil"/>
              <w:left w:val="nil"/>
              <w:bottom w:val="single" w:sz="4" w:space="0" w:color="auto"/>
              <w:right w:val="nil"/>
            </w:tcBorders>
            <w:noWrap/>
            <w:vAlign w:val="bottom"/>
            <w:hideMark/>
          </w:tcPr>
          <w:p w14:paraId="7F1757BE"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-13.7</w:t>
            </w:r>
          </w:p>
        </w:tc>
      </w:tr>
      <w:tr w:rsidR="004159BB" w:rsidRPr="00F259A6" w14:paraId="0BB77D30" w14:textId="77777777" w:rsidTr="00F04000">
        <w:trPr>
          <w:trHeight w:val="300"/>
          <w:jc w:val="center"/>
        </w:trPr>
        <w:tc>
          <w:tcPr>
            <w:tcW w:w="2970" w:type="dxa"/>
            <w:tcBorders>
              <w:top w:val="single" w:sz="4" w:space="0" w:color="auto"/>
              <w:left w:val="nil"/>
              <w:bottom w:val="single" w:sz="4" w:space="0" w:color="auto"/>
              <w:right w:val="nil"/>
            </w:tcBorders>
            <w:noWrap/>
            <w:vAlign w:val="bottom"/>
            <w:hideMark/>
          </w:tcPr>
          <w:p w14:paraId="0FA4DBA5" w14:textId="77777777" w:rsidR="00F259A6" w:rsidRPr="00F259A6" w:rsidRDefault="00F259A6" w:rsidP="00F259A6">
            <w:pPr>
              <w:spacing w:after="0" w:line="240" w:lineRule="auto"/>
              <w:ind w:left="0" w:right="0" w:firstLine="0"/>
              <w:rPr>
                <w:rFonts w:ascii="Calibri" w:hAnsi="Calibri" w:cs="Calibri"/>
                <w:kern w:val="0"/>
                <w:szCs w:val="22"/>
                <w:lang w:bidi="ar-SA"/>
                <w14:ligatures w14:val="none"/>
              </w:rPr>
            </w:pPr>
            <w:r w:rsidRPr="00F259A6">
              <w:rPr>
                <w:rFonts w:ascii="Calibri" w:hAnsi="Calibri" w:cs="Calibri"/>
                <w:kern w:val="0"/>
                <w:szCs w:val="22"/>
                <w:lang w:bidi="ar-SA"/>
                <w14:ligatures w14:val="none"/>
              </w:rPr>
              <w:t>Income – Refunds (Net)</w:t>
            </w:r>
          </w:p>
        </w:tc>
        <w:tc>
          <w:tcPr>
            <w:tcW w:w="1530" w:type="dxa"/>
            <w:gridSpan w:val="2"/>
            <w:tcBorders>
              <w:top w:val="single" w:sz="4" w:space="0" w:color="auto"/>
              <w:left w:val="nil"/>
              <w:bottom w:val="single" w:sz="4" w:space="0" w:color="auto"/>
              <w:right w:val="nil"/>
            </w:tcBorders>
            <w:noWrap/>
            <w:vAlign w:val="bottom"/>
            <w:hideMark/>
          </w:tcPr>
          <w:p w14:paraId="428AFCA4"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-122</w:t>
            </w:r>
          </w:p>
        </w:tc>
        <w:tc>
          <w:tcPr>
            <w:tcW w:w="1350" w:type="dxa"/>
            <w:gridSpan w:val="2"/>
            <w:tcBorders>
              <w:top w:val="single" w:sz="4" w:space="0" w:color="auto"/>
              <w:left w:val="nil"/>
              <w:bottom w:val="single" w:sz="4" w:space="0" w:color="auto"/>
              <w:right w:val="nil"/>
            </w:tcBorders>
            <w:noWrap/>
            <w:vAlign w:val="bottom"/>
            <w:hideMark/>
          </w:tcPr>
          <w:p w14:paraId="690B0627"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-81</w:t>
            </w:r>
          </w:p>
        </w:tc>
        <w:tc>
          <w:tcPr>
            <w:tcW w:w="1440" w:type="dxa"/>
            <w:gridSpan w:val="2"/>
            <w:tcBorders>
              <w:top w:val="single" w:sz="4" w:space="0" w:color="auto"/>
              <w:left w:val="nil"/>
              <w:bottom w:val="single" w:sz="4" w:space="0" w:color="auto"/>
              <w:right w:val="nil"/>
            </w:tcBorders>
            <w:noWrap/>
            <w:vAlign w:val="bottom"/>
            <w:hideMark/>
          </w:tcPr>
          <w:p w14:paraId="66F7F98E"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-196.4</w:t>
            </w:r>
          </w:p>
        </w:tc>
        <w:tc>
          <w:tcPr>
            <w:tcW w:w="1440" w:type="dxa"/>
            <w:gridSpan w:val="2"/>
            <w:tcBorders>
              <w:top w:val="single" w:sz="4" w:space="0" w:color="auto"/>
              <w:left w:val="nil"/>
              <w:bottom w:val="single" w:sz="4" w:space="0" w:color="auto"/>
              <w:right w:val="nil"/>
            </w:tcBorders>
            <w:noWrap/>
            <w:vAlign w:val="bottom"/>
            <w:hideMark/>
          </w:tcPr>
          <w:p w14:paraId="522DB24C"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-195</w:t>
            </w:r>
          </w:p>
        </w:tc>
        <w:tc>
          <w:tcPr>
            <w:tcW w:w="1440" w:type="dxa"/>
            <w:gridSpan w:val="2"/>
            <w:tcBorders>
              <w:top w:val="single" w:sz="4" w:space="0" w:color="auto"/>
              <w:left w:val="nil"/>
              <w:bottom w:val="single" w:sz="4" w:space="0" w:color="auto"/>
              <w:right w:val="nil"/>
            </w:tcBorders>
            <w:noWrap/>
            <w:vAlign w:val="bottom"/>
            <w:hideMark/>
          </w:tcPr>
          <w:p w14:paraId="3E1DF529"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-107</w:t>
            </w:r>
          </w:p>
        </w:tc>
        <w:tc>
          <w:tcPr>
            <w:tcW w:w="1260" w:type="dxa"/>
            <w:gridSpan w:val="2"/>
            <w:tcBorders>
              <w:top w:val="single" w:sz="4" w:space="0" w:color="auto"/>
              <w:left w:val="nil"/>
              <w:bottom w:val="single" w:sz="4" w:space="0" w:color="auto"/>
              <w:right w:val="nil"/>
            </w:tcBorders>
            <w:noWrap/>
            <w:vAlign w:val="bottom"/>
            <w:hideMark/>
          </w:tcPr>
          <w:p w14:paraId="1E5300C9"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-121.6</w:t>
            </w:r>
          </w:p>
        </w:tc>
        <w:tc>
          <w:tcPr>
            <w:tcW w:w="1228" w:type="dxa"/>
            <w:gridSpan w:val="2"/>
            <w:tcBorders>
              <w:top w:val="single" w:sz="4" w:space="0" w:color="auto"/>
              <w:left w:val="nil"/>
              <w:bottom w:val="single" w:sz="4" w:space="0" w:color="auto"/>
              <w:right w:val="nil"/>
            </w:tcBorders>
            <w:noWrap/>
            <w:vAlign w:val="bottom"/>
            <w:hideMark/>
          </w:tcPr>
          <w:p w14:paraId="7151DF28"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35</w:t>
            </w:r>
          </w:p>
        </w:tc>
        <w:tc>
          <w:tcPr>
            <w:tcW w:w="1162" w:type="dxa"/>
            <w:tcBorders>
              <w:top w:val="single" w:sz="4" w:space="0" w:color="auto"/>
              <w:left w:val="nil"/>
              <w:bottom w:val="single" w:sz="4" w:space="0" w:color="auto"/>
              <w:right w:val="nil"/>
            </w:tcBorders>
            <w:noWrap/>
            <w:vAlign w:val="bottom"/>
            <w:hideMark/>
          </w:tcPr>
          <w:p w14:paraId="6CEAEDF3"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15.2</w:t>
            </w:r>
          </w:p>
        </w:tc>
      </w:tr>
      <w:tr w:rsidR="004159BB" w:rsidRPr="00F259A6" w14:paraId="21C0913F" w14:textId="77777777" w:rsidTr="00F04000">
        <w:trPr>
          <w:trHeight w:val="300"/>
          <w:jc w:val="center"/>
        </w:trPr>
        <w:tc>
          <w:tcPr>
            <w:tcW w:w="2970" w:type="dxa"/>
            <w:tcBorders>
              <w:top w:val="single" w:sz="4" w:space="0" w:color="auto"/>
              <w:left w:val="nil"/>
              <w:bottom w:val="nil"/>
              <w:right w:val="nil"/>
            </w:tcBorders>
            <w:noWrap/>
            <w:vAlign w:val="bottom"/>
            <w:hideMark/>
          </w:tcPr>
          <w:p w14:paraId="194A624C" w14:textId="77777777" w:rsidR="00F259A6" w:rsidRPr="00F259A6" w:rsidRDefault="00F259A6" w:rsidP="00F259A6">
            <w:pPr>
              <w:spacing w:after="0" w:line="240" w:lineRule="auto"/>
              <w:ind w:left="0" w:right="0" w:firstLine="0"/>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Subtotal Income</w:t>
            </w:r>
          </w:p>
        </w:tc>
        <w:tc>
          <w:tcPr>
            <w:tcW w:w="1530" w:type="dxa"/>
            <w:gridSpan w:val="2"/>
            <w:tcBorders>
              <w:top w:val="single" w:sz="4" w:space="0" w:color="auto"/>
              <w:left w:val="nil"/>
              <w:bottom w:val="nil"/>
              <w:right w:val="nil"/>
            </w:tcBorders>
            <w:noWrap/>
            <w:vAlign w:val="bottom"/>
            <w:hideMark/>
          </w:tcPr>
          <w:p w14:paraId="55A9B881"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2195</w:t>
            </w:r>
          </w:p>
        </w:tc>
        <w:tc>
          <w:tcPr>
            <w:tcW w:w="1350" w:type="dxa"/>
            <w:gridSpan w:val="2"/>
            <w:tcBorders>
              <w:top w:val="single" w:sz="4" w:space="0" w:color="auto"/>
              <w:left w:val="nil"/>
              <w:bottom w:val="nil"/>
              <w:right w:val="nil"/>
            </w:tcBorders>
            <w:noWrap/>
            <w:vAlign w:val="bottom"/>
            <w:hideMark/>
          </w:tcPr>
          <w:p w14:paraId="6B17FDDC"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152</w:t>
            </w:r>
          </w:p>
        </w:tc>
        <w:tc>
          <w:tcPr>
            <w:tcW w:w="1440" w:type="dxa"/>
            <w:gridSpan w:val="2"/>
            <w:tcBorders>
              <w:top w:val="single" w:sz="4" w:space="0" w:color="auto"/>
              <w:left w:val="nil"/>
              <w:bottom w:val="nil"/>
              <w:right w:val="nil"/>
            </w:tcBorders>
            <w:noWrap/>
            <w:vAlign w:val="bottom"/>
            <w:hideMark/>
          </w:tcPr>
          <w:p w14:paraId="1272C853"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7.4</w:t>
            </w:r>
          </w:p>
        </w:tc>
        <w:tc>
          <w:tcPr>
            <w:tcW w:w="1440" w:type="dxa"/>
            <w:gridSpan w:val="2"/>
            <w:tcBorders>
              <w:top w:val="single" w:sz="4" w:space="0" w:color="auto"/>
              <w:left w:val="nil"/>
              <w:bottom w:val="nil"/>
              <w:right w:val="nil"/>
            </w:tcBorders>
            <w:noWrap/>
            <w:vAlign w:val="bottom"/>
            <w:hideMark/>
          </w:tcPr>
          <w:p w14:paraId="587BE51A"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4911</w:t>
            </w:r>
          </w:p>
        </w:tc>
        <w:tc>
          <w:tcPr>
            <w:tcW w:w="1440" w:type="dxa"/>
            <w:gridSpan w:val="2"/>
            <w:tcBorders>
              <w:top w:val="single" w:sz="4" w:space="0" w:color="auto"/>
              <w:left w:val="nil"/>
              <w:bottom w:val="nil"/>
              <w:right w:val="nil"/>
            </w:tcBorders>
            <w:noWrap/>
            <w:vAlign w:val="bottom"/>
            <w:hideMark/>
          </w:tcPr>
          <w:p w14:paraId="24110531"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272</w:t>
            </w:r>
          </w:p>
        </w:tc>
        <w:tc>
          <w:tcPr>
            <w:tcW w:w="1260" w:type="dxa"/>
            <w:gridSpan w:val="2"/>
            <w:tcBorders>
              <w:top w:val="single" w:sz="4" w:space="0" w:color="auto"/>
              <w:left w:val="nil"/>
              <w:bottom w:val="nil"/>
              <w:right w:val="nil"/>
            </w:tcBorders>
            <w:noWrap/>
            <w:vAlign w:val="bottom"/>
            <w:hideMark/>
          </w:tcPr>
          <w:p w14:paraId="3C00EE1C"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5.9</w:t>
            </w:r>
          </w:p>
        </w:tc>
        <w:tc>
          <w:tcPr>
            <w:tcW w:w="1228" w:type="dxa"/>
            <w:gridSpan w:val="2"/>
            <w:tcBorders>
              <w:top w:val="single" w:sz="4" w:space="0" w:color="auto"/>
              <w:left w:val="nil"/>
              <w:bottom w:val="nil"/>
              <w:right w:val="nil"/>
            </w:tcBorders>
            <w:noWrap/>
            <w:vAlign w:val="bottom"/>
            <w:hideMark/>
          </w:tcPr>
          <w:p w14:paraId="0ABB82B0"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132</w:t>
            </w:r>
          </w:p>
        </w:tc>
        <w:tc>
          <w:tcPr>
            <w:tcW w:w="1162" w:type="dxa"/>
            <w:tcBorders>
              <w:top w:val="single" w:sz="4" w:space="0" w:color="auto"/>
              <w:left w:val="nil"/>
              <w:bottom w:val="nil"/>
              <w:right w:val="nil"/>
            </w:tcBorders>
            <w:noWrap/>
            <w:vAlign w:val="bottom"/>
            <w:hideMark/>
          </w:tcPr>
          <w:p w14:paraId="56915D99"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2.8</w:t>
            </w:r>
          </w:p>
        </w:tc>
      </w:tr>
      <w:tr w:rsidR="004159BB" w:rsidRPr="00F259A6" w14:paraId="2109DE47" w14:textId="77777777" w:rsidTr="00F04000">
        <w:trPr>
          <w:trHeight w:val="300"/>
          <w:jc w:val="center"/>
        </w:trPr>
        <w:tc>
          <w:tcPr>
            <w:tcW w:w="2970" w:type="dxa"/>
            <w:tcBorders>
              <w:top w:val="nil"/>
              <w:left w:val="nil"/>
              <w:bottom w:val="nil"/>
              <w:right w:val="nil"/>
            </w:tcBorders>
            <w:noWrap/>
            <w:vAlign w:val="bottom"/>
            <w:hideMark/>
          </w:tcPr>
          <w:p w14:paraId="70A7FCAF" w14:textId="77777777" w:rsidR="003772E1" w:rsidRDefault="003772E1" w:rsidP="00F259A6">
            <w:pPr>
              <w:spacing w:after="0" w:line="240" w:lineRule="auto"/>
              <w:ind w:left="0" w:right="0" w:firstLine="0"/>
              <w:rPr>
                <w:rFonts w:ascii="Calibri" w:hAnsi="Calibri" w:cs="Calibri"/>
                <w:kern w:val="0"/>
                <w:szCs w:val="22"/>
                <w:lang w:bidi="ar-SA"/>
                <w14:ligatures w14:val="none"/>
              </w:rPr>
            </w:pPr>
          </w:p>
          <w:p w14:paraId="7390EF7B" w14:textId="6B568137" w:rsidR="00F259A6" w:rsidRPr="00F259A6" w:rsidRDefault="00F259A6" w:rsidP="00F259A6">
            <w:pPr>
              <w:spacing w:after="0" w:line="240" w:lineRule="auto"/>
              <w:ind w:left="0" w:right="0" w:firstLine="0"/>
              <w:rPr>
                <w:rFonts w:ascii="Calibri" w:hAnsi="Calibri" w:cs="Calibri"/>
                <w:kern w:val="0"/>
                <w:szCs w:val="22"/>
                <w:lang w:bidi="ar-SA"/>
                <w14:ligatures w14:val="none"/>
              </w:rPr>
            </w:pPr>
            <w:r w:rsidRPr="00F259A6">
              <w:rPr>
                <w:rFonts w:ascii="Calibri" w:hAnsi="Calibri" w:cs="Calibri"/>
                <w:kern w:val="0"/>
                <w:szCs w:val="22"/>
                <w:lang w:bidi="ar-SA"/>
                <w14:ligatures w14:val="none"/>
              </w:rPr>
              <w:t>Sales &amp; Use – Regular</w:t>
            </w:r>
          </w:p>
        </w:tc>
        <w:tc>
          <w:tcPr>
            <w:tcW w:w="1530" w:type="dxa"/>
            <w:gridSpan w:val="2"/>
            <w:tcBorders>
              <w:top w:val="nil"/>
              <w:left w:val="nil"/>
              <w:bottom w:val="nil"/>
              <w:right w:val="nil"/>
            </w:tcBorders>
            <w:noWrap/>
            <w:vAlign w:val="bottom"/>
            <w:hideMark/>
          </w:tcPr>
          <w:p w14:paraId="1A403A78"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529</w:t>
            </w:r>
          </w:p>
        </w:tc>
        <w:tc>
          <w:tcPr>
            <w:tcW w:w="1350" w:type="dxa"/>
            <w:gridSpan w:val="2"/>
            <w:tcBorders>
              <w:top w:val="nil"/>
              <w:left w:val="nil"/>
              <w:bottom w:val="nil"/>
              <w:right w:val="nil"/>
            </w:tcBorders>
            <w:noWrap/>
            <w:vAlign w:val="bottom"/>
            <w:hideMark/>
          </w:tcPr>
          <w:p w14:paraId="2D0FDFF1"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50</w:t>
            </w:r>
          </w:p>
        </w:tc>
        <w:tc>
          <w:tcPr>
            <w:tcW w:w="1440" w:type="dxa"/>
            <w:gridSpan w:val="2"/>
            <w:tcBorders>
              <w:top w:val="nil"/>
              <w:left w:val="nil"/>
              <w:bottom w:val="nil"/>
              <w:right w:val="nil"/>
            </w:tcBorders>
            <w:noWrap/>
            <w:vAlign w:val="bottom"/>
            <w:hideMark/>
          </w:tcPr>
          <w:p w14:paraId="550EEBED"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10.5</w:t>
            </w:r>
          </w:p>
        </w:tc>
        <w:tc>
          <w:tcPr>
            <w:tcW w:w="1440" w:type="dxa"/>
            <w:gridSpan w:val="2"/>
            <w:tcBorders>
              <w:top w:val="nil"/>
              <w:left w:val="nil"/>
              <w:bottom w:val="nil"/>
              <w:right w:val="nil"/>
            </w:tcBorders>
            <w:noWrap/>
            <w:vAlign w:val="bottom"/>
            <w:hideMark/>
          </w:tcPr>
          <w:p w14:paraId="387DD8F6"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1659</w:t>
            </w:r>
          </w:p>
        </w:tc>
        <w:tc>
          <w:tcPr>
            <w:tcW w:w="1440" w:type="dxa"/>
            <w:gridSpan w:val="2"/>
            <w:tcBorders>
              <w:top w:val="nil"/>
              <w:left w:val="nil"/>
              <w:bottom w:val="nil"/>
              <w:right w:val="nil"/>
            </w:tcBorders>
            <w:noWrap/>
            <w:vAlign w:val="bottom"/>
            <w:hideMark/>
          </w:tcPr>
          <w:p w14:paraId="4EF9247E"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136</w:t>
            </w:r>
          </w:p>
        </w:tc>
        <w:tc>
          <w:tcPr>
            <w:tcW w:w="1260" w:type="dxa"/>
            <w:gridSpan w:val="2"/>
            <w:tcBorders>
              <w:top w:val="nil"/>
              <w:left w:val="nil"/>
              <w:bottom w:val="nil"/>
              <w:right w:val="nil"/>
            </w:tcBorders>
            <w:noWrap/>
            <w:vAlign w:val="bottom"/>
            <w:hideMark/>
          </w:tcPr>
          <w:p w14:paraId="46F9C86B"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8.9</w:t>
            </w:r>
          </w:p>
        </w:tc>
        <w:tc>
          <w:tcPr>
            <w:tcW w:w="1228" w:type="dxa"/>
            <w:gridSpan w:val="2"/>
            <w:tcBorders>
              <w:top w:val="nil"/>
              <w:left w:val="nil"/>
              <w:bottom w:val="nil"/>
              <w:right w:val="nil"/>
            </w:tcBorders>
            <w:noWrap/>
            <w:vAlign w:val="bottom"/>
            <w:hideMark/>
          </w:tcPr>
          <w:p w14:paraId="778A981F"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54</w:t>
            </w:r>
          </w:p>
        </w:tc>
        <w:tc>
          <w:tcPr>
            <w:tcW w:w="1162" w:type="dxa"/>
            <w:tcBorders>
              <w:top w:val="nil"/>
              <w:left w:val="nil"/>
              <w:bottom w:val="nil"/>
              <w:right w:val="nil"/>
            </w:tcBorders>
            <w:noWrap/>
            <w:vAlign w:val="bottom"/>
            <w:hideMark/>
          </w:tcPr>
          <w:p w14:paraId="1AFAC2A4"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3.4</w:t>
            </w:r>
          </w:p>
        </w:tc>
      </w:tr>
      <w:tr w:rsidR="004159BB" w:rsidRPr="00F259A6" w14:paraId="066D5BFA" w14:textId="77777777" w:rsidTr="00F04000">
        <w:trPr>
          <w:trHeight w:val="300"/>
          <w:jc w:val="center"/>
        </w:trPr>
        <w:tc>
          <w:tcPr>
            <w:tcW w:w="2970" w:type="dxa"/>
            <w:tcBorders>
              <w:top w:val="nil"/>
              <w:left w:val="nil"/>
              <w:bottom w:val="nil"/>
              <w:right w:val="nil"/>
            </w:tcBorders>
            <w:noWrap/>
            <w:vAlign w:val="bottom"/>
            <w:hideMark/>
          </w:tcPr>
          <w:p w14:paraId="12A11553" w14:textId="77777777" w:rsidR="00F259A6" w:rsidRPr="00F259A6" w:rsidRDefault="00F259A6" w:rsidP="00F259A6">
            <w:pPr>
              <w:spacing w:after="0" w:line="240" w:lineRule="auto"/>
              <w:ind w:left="0" w:right="0" w:firstLine="0"/>
              <w:rPr>
                <w:rFonts w:ascii="Calibri" w:hAnsi="Calibri" w:cs="Calibri"/>
                <w:kern w:val="0"/>
                <w:szCs w:val="22"/>
                <w:lang w:bidi="ar-SA"/>
                <w14:ligatures w14:val="none"/>
              </w:rPr>
            </w:pPr>
            <w:r w:rsidRPr="00F259A6">
              <w:rPr>
                <w:rFonts w:ascii="Calibri" w:hAnsi="Calibri" w:cs="Calibri"/>
                <w:kern w:val="0"/>
                <w:szCs w:val="22"/>
                <w:lang w:bidi="ar-SA"/>
                <w14:ligatures w14:val="none"/>
              </w:rPr>
              <w:t>Sales &amp; Use – Meals</w:t>
            </w:r>
          </w:p>
        </w:tc>
        <w:tc>
          <w:tcPr>
            <w:tcW w:w="1530" w:type="dxa"/>
            <w:gridSpan w:val="2"/>
            <w:tcBorders>
              <w:top w:val="nil"/>
              <w:left w:val="nil"/>
              <w:bottom w:val="nil"/>
              <w:right w:val="nil"/>
            </w:tcBorders>
            <w:noWrap/>
            <w:vAlign w:val="bottom"/>
            <w:hideMark/>
          </w:tcPr>
          <w:p w14:paraId="48BBC839"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131</w:t>
            </w:r>
          </w:p>
        </w:tc>
        <w:tc>
          <w:tcPr>
            <w:tcW w:w="1350" w:type="dxa"/>
            <w:gridSpan w:val="2"/>
            <w:tcBorders>
              <w:top w:val="nil"/>
              <w:left w:val="nil"/>
              <w:bottom w:val="nil"/>
              <w:right w:val="nil"/>
            </w:tcBorders>
            <w:noWrap/>
            <w:vAlign w:val="bottom"/>
            <w:hideMark/>
          </w:tcPr>
          <w:p w14:paraId="66FD1FF3"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11</w:t>
            </w:r>
          </w:p>
        </w:tc>
        <w:tc>
          <w:tcPr>
            <w:tcW w:w="1440" w:type="dxa"/>
            <w:gridSpan w:val="2"/>
            <w:tcBorders>
              <w:top w:val="nil"/>
              <w:left w:val="nil"/>
              <w:bottom w:val="nil"/>
              <w:right w:val="nil"/>
            </w:tcBorders>
            <w:noWrap/>
            <w:vAlign w:val="bottom"/>
            <w:hideMark/>
          </w:tcPr>
          <w:p w14:paraId="17BFA70A"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9.6</w:t>
            </w:r>
          </w:p>
        </w:tc>
        <w:tc>
          <w:tcPr>
            <w:tcW w:w="1440" w:type="dxa"/>
            <w:gridSpan w:val="2"/>
            <w:tcBorders>
              <w:top w:val="nil"/>
              <w:left w:val="nil"/>
              <w:bottom w:val="nil"/>
              <w:right w:val="nil"/>
            </w:tcBorders>
            <w:noWrap/>
            <w:vAlign w:val="bottom"/>
            <w:hideMark/>
          </w:tcPr>
          <w:p w14:paraId="2E77E47B"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398</w:t>
            </w:r>
          </w:p>
        </w:tc>
        <w:tc>
          <w:tcPr>
            <w:tcW w:w="1440" w:type="dxa"/>
            <w:gridSpan w:val="2"/>
            <w:tcBorders>
              <w:top w:val="nil"/>
              <w:left w:val="nil"/>
              <w:bottom w:val="nil"/>
              <w:right w:val="nil"/>
            </w:tcBorders>
            <w:noWrap/>
            <w:vAlign w:val="bottom"/>
            <w:hideMark/>
          </w:tcPr>
          <w:p w14:paraId="4884FEDA"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46</w:t>
            </w:r>
          </w:p>
        </w:tc>
        <w:tc>
          <w:tcPr>
            <w:tcW w:w="1260" w:type="dxa"/>
            <w:gridSpan w:val="2"/>
            <w:tcBorders>
              <w:top w:val="nil"/>
              <w:left w:val="nil"/>
              <w:bottom w:val="nil"/>
              <w:right w:val="nil"/>
            </w:tcBorders>
            <w:noWrap/>
            <w:vAlign w:val="bottom"/>
            <w:hideMark/>
          </w:tcPr>
          <w:p w14:paraId="3131C591"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13.1</w:t>
            </w:r>
          </w:p>
        </w:tc>
        <w:tc>
          <w:tcPr>
            <w:tcW w:w="1228" w:type="dxa"/>
            <w:gridSpan w:val="2"/>
            <w:tcBorders>
              <w:top w:val="nil"/>
              <w:left w:val="nil"/>
              <w:bottom w:val="nil"/>
              <w:right w:val="nil"/>
            </w:tcBorders>
            <w:noWrap/>
            <w:vAlign w:val="bottom"/>
            <w:hideMark/>
          </w:tcPr>
          <w:p w14:paraId="5D751361"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19</w:t>
            </w:r>
          </w:p>
        </w:tc>
        <w:tc>
          <w:tcPr>
            <w:tcW w:w="1162" w:type="dxa"/>
            <w:tcBorders>
              <w:top w:val="nil"/>
              <w:left w:val="nil"/>
              <w:bottom w:val="nil"/>
              <w:right w:val="nil"/>
            </w:tcBorders>
            <w:noWrap/>
            <w:vAlign w:val="bottom"/>
            <w:hideMark/>
          </w:tcPr>
          <w:p w14:paraId="6F7569EB"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5.1</w:t>
            </w:r>
          </w:p>
        </w:tc>
      </w:tr>
      <w:tr w:rsidR="004159BB" w:rsidRPr="00F259A6" w14:paraId="44E6D08E" w14:textId="77777777" w:rsidTr="00F04000">
        <w:trPr>
          <w:trHeight w:val="300"/>
          <w:jc w:val="center"/>
        </w:trPr>
        <w:tc>
          <w:tcPr>
            <w:tcW w:w="2970" w:type="dxa"/>
            <w:tcBorders>
              <w:top w:val="nil"/>
              <w:left w:val="nil"/>
              <w:bottom w:val="single" w:sz="4" w:space="0" w:color="auto"/>
              <w:right w:val="nil"/>
            </w:tcBorders>
            <w:noWrap/>
            <w:vAlign w:val="bottom"/>
            <w:hideMark/>
          </w:tcPr>
          <w:p w14:paraId="2C6E462F" w14:textId="77777777" w:rsidR="00F259A6" w:rsidRPr="00F259A6" w:rsidRDefault="00F259A6" w:rsidP="00F259A6">
            <w:pPr>
              <w:spacing w:after="0" w:line="240" w:lineRule="auto"/>
              <w:ind w:left="0" w:right="0" w:firstLine="0"/>
              <w:rPr>
                <w:rFonts w:ascii="Calibri" w:hAnsi="Calibri" w:cs="Calibri"/>
                <w:kern w:val="0"/>
                <w:szCs w:val="22"/>
                <w:lang w:bidi="ar-SA"/>
                <w14:ligatures w14:val="none"/>
              </w:rPr>
            </w:pPr>
            <w:r w:rsidRPr="00F259A6">
              <w:rPr>
                <w:rFonts w:ascii="Calibri" w:hAnsi="Calibri" w:cs="Calibri"/>
                <w:kern w:val="0"/>
                <w:szCs w:val="22"/>
                <w:lang w:bidi="ar-SA"/>
                <w14:ligatures w14:val="none"/>
              </w:rPr>
              <w:t>Sales &amp; Use – Motor Vehicles</w:t>
            </w:r>
          </w:p>
        </w:tc>
        <w:tc>
          <w:tcPr>
            <w:tcW w:w="1530" w:type="dxa"/>
            <w:gridSpan w:val="2"/>
            <w:tcBorders>
              <w:top w:val="nil"/>
              <w:left w:val="nil"/>
              <w:bottom w:val="single" w:sz="4" w:space="0" w:color="auto"/>
              <w:right w:val="nil"/>
            </w:tcBorders>
            <w:noWrap/>
            <w:vAlign w:val="bottom"/>
            <w:hideMark/>
          </w:tcPr>
          <w:p w14:paraId="1D87540A"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105</w:t>
            </w:r>
          </w:p>
        </w:tc>
        <w:tc>
          <w:tcPr>
            <w:tcW w:w="1350" w:type="dxa"/>
            <w:gridSpan w:val="2"/>
            <w:tcBorders>
              <w:top w:val="nil"/>
              <w:left w:val="nil"/>
              <w:bottom w:val="single" w:sz="4" w:space="0" w:color="auto"/>
              <w:right w:val="nil"/>
            </w:tcBorders>
            <w:noWrap/>
            <w:vAlign w:val="bottom"/>
            <w:hideMark/>
          </w:tcPr>
          <w:p w14:paraId="6BAFCABD"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8</w:t>
            </w:r>
          </w:p>
        </w:tc>
        <w:tc>
          <w:tcPr>
            <w:tcW w:w="1440" w:type="dxa"/>
            <w:gridSpan w:val="2"/>
            <w:tcBorders>
              <w:top w:val="nil"/>
              <w:left w:val="nil"/>
              <w:bottom w:val="single" w:sz="4" w:space="0" w:color="auto"/>
              <w:right w:val="nil"/>
            </w:tcBorders>
            <w:noWrap/>
            <w:vAlign w:val="bottom"/>
            <w:hideMark/>
          </w:tcPr>
          <w:p w14:paraId="52019CF6"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7.8</w:t>
            </w:r>
          </w:p>
        </w:tc>
        <w:tc>
          <w:tcPr>
            <w:tcW w:w="1440" w:type="dxa"/>
            <w:gridSpan w:val="2"/>
            <w:tcBorders>
              <w:top w:val="nil"/>
              <w:left w:val="nil"/>
              <w:bottom w:val="single" w:sz="4" w:space="0" w:color="auto"/>
              <w:right w:val="nil"/>
            </w:tcBorders>
            <w:noWrap/>
            <w:vAlign w:val="bottom"/>
            <w:hideMark/>
          </w:tcPr>
          <w:p w14:paraId="22EF5D37"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289</w:t>
            </w:r>
          </w:p>
        </w:tc>
        <w:tc>
          <w:tcPr>
            <w:tcW w:w="1440" w:type="dxa"/>
            <w:gridSpan w:val="2"/>
            <w:tcBorders>
              <w:top w:val="nil"/>
              <w:left w:val="nil"/>
              <w:bottom w:val="single" w:sz="4" w:space="0" w:color="auto"/>
              <w:right w:val="nil"/>
            </w:tcBorders>
            <w:noWrap/>
            <w:vAlign w:val="bottom"/>
            <w:hideMark/>
          </w:tcPr>
          <w:p w14:paraId="53D7C445"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18</w:t>
            </w:r>
          </w:p>
        </w:tc>
        <w:tc>
          <w:tcPr>
            <w:tcW w:w="1260" w:type="dxa"/>
            <w:gridSpan w:val="2"/>
            <w:tcBorders>
              <w:top w:val="nil"/>
              <w:left w:val="nil"/>
              <w:bottom w:val="single" w:sz="4" w:space="0" w:color="auto"/>
              <w:right w:val="nil"/>
            </w:tcBorders>
            <w:noWrap/>
            <w:vAlign w:val="bottom"/>
            <w:hideMark/>
          </w:tcPr>
          <w:p w14:paraId="17917B3D"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6.7</w:t>
            </w:r>
          </w:p>
        </w:tc>
        <w:tc>
          <w:tcPr>
            <w:tcW w:w="1228" w:type="dxa"/>
            <w:gridSpan w:val="2"/>
            <w:tcBorders>
              <w:top w:val="nil"/>
              <w:left w:val="nil"/>
              <w:bottom w:val="single" w:sz="4" w:space="0" w:color="auto"/>
              <w:right w:val="nil"/>
            </w:tcBorders>
            <w:noWrap/>
            <w:vAlign w:val="bottom"/>
            <w:hideMark/>
          </w:tcPr>
          <w:p w14:paraId="4331836A"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7</w:t>
            </w:r>
          </w:p>
        </w:tc>
        <w:tc>
          <w:tcPr>
            <w:tcW w:w="1162" w:type="dxa"/>
            <w:tcBorders>
              <w:top w:val="nil"/>
              <w:left w:val="nil"/>
              <w:bottom w:val="single" w:sz="4" w:space="0" w:color="auto"/>
              <w:right w:val="nil"/>
            </w:tcBorders>
            <w:noWrap/>
            <w:vAlign w:val="bottom"/>
            <w:hideMark/>
          </w:tcPr>
          <w:p w14:paraId="5D8B5272" w14:textId="77777777" w:rsidR="00F259A6" w:rsidRPr="00F259A6" w:rsidRDefault="00F259A6" w:rsidP="00F259A6">
            <w:pPr>
              <w:spacing w:after="0" w:line="240" w:lineRule="auto"/>
              <w:ind w:left="0" w:right="0" w:firstLine="0"/>
              <w:jc w:val="right"/>
              <w:rPr>
                <w:rFonts w:ascii="Calibri" w:hAnsi="Calibri" w:cs="Calibri"/>
                <w:kern w:val="0"/>
                <w:szCs w:val="22"/>
                <w:lang w:bidi="ar-SA"/>
                <w14:ligatures w14:val="none"/>
              </w:rPr>
            </w:pPr>
            <w:r w:rsidRPr="00F259A6">
              <w:rPr>
                <w:rFonts w:ascii="Calibri" w:hAnsi="Calibri" w:cs="Calibri"/>
                <w:kern w:val="0"/>
                <w:szCs w:val="22"/>
                <w:lang w:bidi="ar-SA"/>
                <w14:ligatures w14:val="none"/>
              </w:rPr>
              <w:t>2.6</w:t>
            </w:r>
          </w:p>
        </w:tc>
      </w:tr>
      <w:tr w:rsidR="004159BB" w:rsidRPr="00F259A6" w14:paraId="2460642C" w14:textId="77777777" w:rsidTr="00F04000">
        <w:trPr>
          <w:trHeight w:val="300"/>
          <w:jc w:val="center"/>
        </w:trPr>
        <w:tc>
          <w:tcPr>
            <w:tcW w:w="2970" w:type="dxa"/>
            <w:tcBorders>
              <w:top w:val="single" w:sz="4" w:space="0" w:color="auto"/>
              <w:left w:val="nil"/>
              <w:bottom w:val="nil"/>
              <w:right w:val="nil"/>
            </w:tcBorders>
            <w:noWrap/>
            <w:vAlign w:val="bottom"/>
            <w:hideMark/>
          </w:tcPr>
          <w:p w14:paraId="65DBBC10" w14:textId="77777777" w:rsidR="00F259A6" w:rsidRPr="00F259A6" w:rsidRDefault="00F259A6" w:rsidP="00F259A6">
            <w:pPr>
              <w:spacing w:after="0" w:line="240" w:lineRule="auto"/>
              <w:ind w:left="0" w:right="0" w:firstLine="0"/>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Subtotal Sales &amp; Use</w:t>
            </w:r>
          </w:p>
        </w:tc>
        <w:tc>
          <w:tcPr>
            <w:tcW w:w="1530" w:type="dxa"/>
            <w:gridSpan w:val="2"/>
            <w:tcBorders>
              <w:top w:val="single" w:sz="4" w:space="0" w:color="auto"/>
              <w:left w:val="nil"/>
              <w:bottom w:val="nil"/>
              <w:right w:val="nil"/>
            </w:tcBorders>
            <w:noWrap/>
            <w:vAlign w:val="bottom"/>
            <w:hideMark/>
          </w:tcPr>
          <w:p w14:paraId="39CAA1E8"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766</w:t>
            </w:r>
          </w:p>
        </w:tc>
        <w:tc>
          <w:tcPr>
            <w:tcW w:w="1350" w:type="dxa"/>
            <w:gridSpan w:val="2"/>
            <w:tcBorders>
              <w:top w:val="single" w:sz="4" w:space="0" w:color="auto"/>
              <w:left w:val="nil"/>
              <w:bottom w:val="nil"/>
              <w:right w:val="nil"/>
            </w:tcBorders>
            <w:noWrap/>
            <w:vAlign w:val="bottom"/>
            <w:hideMark/>
          </w:tcPr>
          <w:p w14:paraId="2DB210EE"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70</w:t>
            </w:r>
          </w:p>
        </w:tc>
        <w:tc>
          <w:tcPr>
            <w:tcW w:w="1440" w:type="dxa"/>
            <w:gridSpan w:val="2"/>
            <w:tcBorders>
              <w:top w:val="single" w:sz="4" w:space="0" w:color="auto"/>
              <w:left w:val="nil"/>
              <w:bottom w:val="nil"/>
              <w:right w:val="nil"/>
            </w:tcBorders>
            <w:noWrap/>
            <w:vAlign w:val="bottom"/>
            <w:hideMark/>
          </w:tcPr>
          <w:p w14:paraId="23405786"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10</w:t>
            </w:r>
          </w:p>
        </w:tc>
        <w:tc>
          <w:tcPr>
            <w:tcW w:w="1440" w:type="dxa"/>
            <w:gridSpan w:val="2"/>
            <w:tcBorders>
              <w:top w:val="single" w:sz="4" w:space="0" w:color="auto"/>
              <w:left w:val="nil"/>
              <w:bottom w:val="nil"/>
              <w:right w:val="nil"/>
            </w:tcBorders>
            <w:noWrap/>
            <w:vAlign w:val="bottom"/>
            <w:hideMark/>
          </w:tcPr>
          <w:p w14:paraId="766A7A15"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2346</w:t>
            </w:r>
          </w:p>
        </w:tc>
        <w:tc>
          <w:tcPr>
            <w:tcW w:w="1440" w:type="dxa"/>
            <w:gridSpan w:val="2"/>
            <w:tcBorders>
              <w:top w:val="single" w:sz="4" w:space="0" w:color="auto"/>
              <w:left w:val="nil"/>
              <w:bottom w:val="nil"/>
              <w:right w:val="nil"/>
            </w:tcBorders>
            <w:noWrap/>
            <w:vAlign w:val="bottom"/>
            <w:hideMark/>
          </w:tcPr>
          <w:p w14:paraId="6DDA5FA0"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200</w:t>
            </w:r>
          </w:p>
        </w:tc>
        <w:tc>
          <w:tcPr>
            <w:tcW w:w="1260" w:type="dxa"/>
            <w:gridSpan w:val="2"/>
            <w:tcBorders>
              <w:top w:val="single" w:sz="4" w:space="0" w:color="auto"/>
              <w:left w:val="nil"/>
              <w:bottom w:val="nil"/>
              <w:right w:val="nil"/>
            </w:tcBorders>
            <w:noWrap/>
            <w:vAlign w:val="bottom"/>
            <w:hideMark/>
          </w:tcPr>
          <w:p w14:paraId="6D9381D2"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9.3</w:t>
            </w:r>
          </w:p>
        </w:tc>
        <w:tc>
          <w:tcPr>
            <w:tcW w:w="1228" w:type="dxa"/>
            <w:gridSpan w:val="2"/>
            <w:tcBorders>
              <w:top w:val="single" w:sz="4" w:space="0" w:color="auto"/>
              <w:left w:val="nil"/>
              <w:bottom w:val="nil"/>
              <w:right w:val="nil"/>
            </w:tcBorders>
            <w:noWrap/>
            <w:vAlign w:val="bottom"/>
            <w:hideMark/>
          </w:tcPr>
          <w:p w14:paraId="4EE84981"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81</w:t>
            </w:r>
          </w:p>
        </w:tc>
        <w:tc>
          <w:tcPr>
            <w:tcW w:w="1162" w:type="dxa"/>
            <w:tcBorders>
              <w:top w:val="single" w:sz="4" w:space="0" w:color="auto"/>
              <w:left w:val="nil"/>
              <w:bottom w:val="nil"/>
              <w:right w:val="nil"/>
            </w:tcBorders>
            <w:noWrap/>
            <w:vAlign w:val="bottom"/>
            <w:hideMark/>
          </w:tcPr>
          <w:p w14:paraId="4058A936"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3.6</w:t>
            </w:r>
          </w:p>
        </w:tc>
      </w:tr>
      <w:tr w:rsidR="004159BB" w:rsidRPr="00F259A6" w14:paraId="38646FF3" w14:textId="77777777" w:rsidTr="00F04000">
        <w:trPr>
          <w:trHeight w:val="300"/>
          <w:jc w:val="center"/>
        </w:trPr>
        <w:tc>
          <w:tcPr>
            <w:tcW w:w="2970" w:type="dxa"/>
            <w:tcBorders>
              <w:top w:val="nil"/>
              <w:left w:val="nil"/>
              <w:bottom w:val="nil"/>
              <w:right w:val="nil"/>
            </w:tcBorders>
            <w:noWrap/>
            <w:vAlign w:val="bottom"/>
            <w:hideMark/>
          </w:tcPr>
          <w:p w14:paraId="47023E5A" w14:textId="77777777" w:rsidR="003772E1" w:rsidRPr="003772E1" w:rsidRDefault="003772E1" w:rsidP="00F259A6">
            <w:pPr>
              <w:spacing w:after="0" w:line="240" w:lineRule="auto"/>
              <w:ind w:left="0" w:right="0" w:firstLine="0"/>
              <w:rPr>
                <w:rFonts w:ascii="Calibri" w:hAnsi="Calibri" w:cs="Calibri"/>
                <w:b/>
                <w:bCs/>
                <w:kern w:val="0"/>
                <w:szCs w:val="22"/>
                <w:lang w:bidi="ar-SA"/>
                <w14:ligatures w14:val="none"/>
              </w:rPr>
            </w:pPr>
          </w:p>
          <w:p w14:paraId="20EFA083" w14:textId="7795C061" w:rsidR="00F259A6" w:rsidRPr="00F259A6" w:rsidRDefault="00F259A6" w:rsidP="00F259A6">
            <w:pPr>
              <w:spacing w:after="0" w:line="240" w:lineRule="auto"/>
              <w:ind w:left="0" w:right="0" w:firstLine="0"/>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Corporate &amp; Business</w:t>
            </w:r>
          </w:p>
        </w:tc>
        <w:tc>
          <w:tcPr>
            <w:tcW w:w="1530" w:type="dxa"/>
            <w:gridSpan w:val="2"/>
            <w:tcBorders>
              <w:top w:val="nil"/>
              <w:left w:val="nil"/>
              <w:bottom w:val="nil"/>
              <w:right w:val="nil"/>
            </w:tcBorders>
            <w:noWrap/>
            <w:vAlign w:val="bottom"/>
            <w:hideMark/>
          </w:tcPr>
          <w:p w14:paraId="23ED81BB"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973</w:t>
            </w:r>
          </w:p>
        </w:tc>
        <w:tc>
          <w:tcPr>
            <w:tcW w:w="1350" w:type="dxa"/>
            <w:gridSpan w:val="2"/>
            <w:tcBorders>
              <w:top w:val="nil"/>
              <w:left w:val="nil"/>
              <w:bottom w:val="nil"/>
              <w:right w:val="nil"/>
            </w:tcBorders>
            <w:noWrap/>
            <w:vAlign w:val="bottom"/>
            <w:hideMark/>
          </w:tcPr>
          <w:p w14:paraId="6996A8FD"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-30</w:t>
            </w:r>
          </w:p>
        </w:tc>
        <w:tc>
          <w:tcPr>
            <w:tcW w:w="1440" w:type="dxa"/>
            <w:gridSpan w:val="2"/>
            <w:tcBorders>
              <w:top w:val="nil"/>
              <w:left w:val="nil"/>
              <w:bottom w:val="nil"/>
              <w:right w:val="nil"/>
            </w:tcBorders>
            <w:noWrap/>
            <w:vAlign w:val="bottom"/>
            <w:hideMark/>
          </w:tcPr>
          <w:p w14:paraId="53DDEBBE"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-3</w:t>
            </w:r>
          </w:p>
        </w:tc>
        <w:tc>
          <w:tcPr>
            <w:tcW w:w="1440" w:type="dxa"/>
            <w:gridSpan w:val="2"/>
            <w:tcBorders>
              <w:top w:val="nil"/>
              <w:left w:val="nil"/>
              <w:bottom w:val="nil"/>
              <w:right w:val="nil"/>
            </w:tcBorders>
            <w:noWrap/>
            <w:vAlign w:val="bottom"/>
            <w:hideMark/>
          </w:tcPr>
          <w:p w14:paraId="03A9BF34"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1162</w:t>
            </w:r>
          </w:p>
        </w:tc>
        <w:tc>
          <w:tcPr>
            <w:tcW w:w="1440" w:type="dxa"/>
            <w:gridSpan w:val="2"/>
            <w:tcBorders>
              <w:top w:val="nil"/>
              <w:left w:val="nil"/>
              <w:bottom w:val="nil"/>
              <w:right w:val="nil"/>
            </w:tcBorders>
            <w:noWrap/>
            <w:vAlign w:val="bottom"/>
            <w:hideMark/>
          </w:tcPr>
          <w:p w14:paraId="2218E5F0"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-64</w:t>
            </w:r>
          </w:p>
        </w:tc>
        <w:tc>
          <w:tcPr>
            <w:tcW w:w="1260" w:type="dxa"/>
            <w:gridSpan w:val="2"/>
            <w:tcBorders>
              <w:top w:val="nil"/>
              <w:left w:val="nil"/>
              <w:bottom w:val="nil"/>
              <w:right w:val="nil"/>
            </w:tcBorders>
            <w:noWrap/>
            <w:vAlign w:val="bottom"/>
            <w:hideMark/>
          </w:tcPr>
          <w:p w14:paraId="3039FCEF"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-5.2</w:t>
            </w:r>
          </w:p>
        </w:tc>
        <w:tc>
          <w:tcPr>
            <w:tcW w:w="1228" w:type="dxa"/>
            <w:gridSpan w:val="2"/>
            <w:tcBorders>
              <w:top w:val="nil"/>
              <w:left w:val="nil"/>
              <w:bottom w:val="nil"/>
              <w:right w:val="nil"/>
            </w:tcBorders>
            <w:noWrap/>
            <w:vAlign w:val="bottom"/>
            <w:hideMark/>
          </w:tcPr>
          <w:p w14:paraId="3BA92102"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29</w:t>
            </w:r>
          </w:p>
        </w:tc>
        <w:tc>
          <w:tcPr>
            <w:tcW w:w="1162" w:type="dxa"/>
            <w:tcBorders>
              <w:top w:val="nil"/>
              <w:left w:val="nil"/>
              <w:bottom w:val="nil"/>
              <w:right w:val="nil"/>
            </w:tcBorders>
            <w:noWrap/>
            <w:vAlign w:val="bottom"/>
            <w:hideMark/>
          </w:tcPr>
          <w:p w14:paraId="62642ECE"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2.5</w:t>
            </w:r>
          </w:p>
        </w:tc>
      </w:tr>
      <w:tr w:rsidR="003772E1" w:rsidRPr="00F259A6" w14:paraId="531DEC26" w14:textId="77777777" w:rsidTr="00F04000">
        <w:trPr>
          <w:trHeight w:val="300"/>
          <w:jc w:val="center"/>
        </w:trPr>
        <w:tc>
          <w:tcPr>
            <w:tcW w:w="2970" w:type="dxa"/>
            <w:tcBorders>
              <w:top w:val="nil"/>
              <w:left w:val="nil"/>
              <w:bottom w:val="single" w:sz="4" w:space="0" w:color="auto"/>
              <w:right w:val="nil"/>
            </w:tcBorders>
            <w:noWrap/>
            <w:vAlign w:val="bottom"/>
            <w:hideMark/>
          </w:tcPr>
          <w:p w14:paraId="06754BA7" w14:textId="77777777" w:rsidR="003772E1" w:rsidRDefault="003772E1" w:rsidP="00F259A6">
            <w:pPr>
              <w:spacing w:after="0" w:line="240" w:lineRule="auto"/>
              <w:ind w:left="0" w:right="0" w:firstLine="0"/>
              <w:rPr>
                <w:rFonts w:ascii="Calibri" w:hAnsi="Calibri" w:cs="Calibri"/>
                <w:b/>
                <w:bCs/>
                <w:kern w:val="0"/>
                <w:szCs w:val="22"/>
                <w:lang w:bidi="ar-SA"/>
                <w14:ligatures w14:val="none"/>
              </w:rPr>
            </w:pPr>
          </w:p>
          <w:p w14:paraId="00279253" w14:textId="3C1ED8F0" w:rsidR="00F259A6" w:rsidRPr="00F259A6" w:rsidRDefault="00F259A6" w:rsidP="00F259A6">
            <w:pPr>
              <w:spacing w:after="0" w:line="240" w:lineRule="auto"/>
              <w:ind w:left="0" w:right="0" w:firstLine="0"/>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All Other</w:t>
            </w:r>
          </w:p>
        </w:tc>
        <w:tc>
          <w:tcPr>
            <w:tcW w:w="1530" w:type="dxa"/>
            <w:gridSpan w:val="2"/>
            <w:tcBorders>
              <w:top w:val="nil"/>
              <w:left w:val="nil"/>
              <w:bottom w:val="single" w:sz="4" w:space="0" w:color="auto"/>
              <w:right w:val="nil"/>
            </w:tcBorders>
            <w:noWrap/>
            <w:vAlign w:val="bottom"/>
            <w:hideMark/>
          </w:tcPr>
          <w:p w14:paraId="092533DA"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254</w:t>
            </w:r>
          </w:p>
        </w:tc>
        <w:tc>
          <w:tcPr>
            <w:tcW w:w="1350" w:type="dxa"/>
            <w:gridSpan w:val="2"/>
            <w:tcBorders>
              <w:top w:val="nil"/>
              <w:left w:val="nil"/>
              <w:bottom w:val="single" w:sz="4" w:space="0" w:color="auto"/>
              <w:right w:val="nil"/>
            </w:tcBorders>
            <w:noWrap/>
            <w:vAlign w:val="bottom"/>
            <w:hideMark/>
          </w:tcPr>
          <w:p w14:paraId="7342E06D"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2</w:t>
            </w:r>
          </w:p>
        </w:tc>
        <w:tc>
          <w:tcPr>
            <w:tcW w:w="1440" w:type="dxa"/>
            <w:gridSpan w:val="2"/>
            <w:tcBorders>
              <w:top w:val="nil"/>
              <w:left w:val="nil"/>
              <w:bottom w:val="single" w:sz="4" w:space="0" w:color="auto"/>
              <w:right w:val="nil"/>
            </w:tcBorders>
            <w:noWrap/>
            <w:vAlign w:val="bottom"/>
            <w:hideMark/>
          </w:tcPr>
          <w:p w14:paraId="67A8A095"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0.9</w:t>
            </w:r>
          </w:p>
        </w:tc>
        <w:tc>
          <w:tcPr>
            <w:tcW w:w="1440" w:type="dxa"/>
            <w:gridSpan w:val="2"/>
            <w:tcBorders>
              <w:top w:val="nil"/>
              <w:left w:val="nil"/>
              <w:bottom w:val="single" w:sz="4" w:space="0" w:color="auto"/>
              <w:right w:val="nil"/>
            </w:tcBorders>
            <w:noWrap/>
            <w:vAlign w:val="bottom"/>
            <w:hideMark/>
          </w:tcPr>
          <w:p w14:paraId="4B2573E2"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776</w:t>
            </w:r>
          </w:p>
        </w:tc>
        <w:tc>
          <w:tcPr>
            <w:tcW w:w="1440" w:type="dxa"/>
            <w:gridSpan w:val="2"/>
            <w:tcBorders>
              <w:top w:val="nil"/>
              <w:left w:val="nil"/>
              <w:bottom w:val="single" w:sz="4" w:space="0" w:color="auto"/>
              <w:right w:val="nil"/>
            </w:tcBorders>
            <w:noWrap/>
            <w:vAlign w:val="bottom"/>
            <w:hideMark/>
          </w:tcPr>
          <w:p w14:paraId="76DB7353"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35</w:t>
            </w:r>
          </w:p>
        </w:tc>
        <w:tc>
          <w:tcPr>
            <w:tcW w:w="1260" w:type="dxa"/>
            <w:gridSpan w:val="2"/>
            <w:tcBorders>
              <w:top w:val="nil"/>
              <w:left w:val="nil"/>
              <w:bottom w:val="single" w:sz="4" w:space="0" w:color="auto"/>
              <w:right w:val="nil"/>
            </w:tcBorders>
            <w:noWrap/>
            <w:vAlign w:val="bottom"/>
            <w:hideMark/>
          </w:tcPr>
          <w:p w14:paraId="5BE42944"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4.7</w:t>
            </w:r>
          </w:p>
        </w:tc>
        <w:tc>
          <w:tcPr>
            <w:tcW w:w="1228" w:type="dxa"/>
            <w:gridSpan w:val="2"/>
            <w:tcBorders>
              <w:top w:val="nil"/>
              <w:left w:val="nil"/>
              <w:bottom w:val="single" w:sz="4" w:space="0" w:color="auto"/>
              <w:right w:val="nil"/>
            </w:tcBorders>
            <w:noWrap/>
            <w:vAlign w:val="bottom"/>
            <w:hideMark/>
          </w:tcPr>
          <w:p w14:paraId="5B10081E"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-17</w:t>
            </w:r>
          </w:p>
        </w:tc>
        <w:tc>
          <w:tcPr>
            <w:tcW w:w="1162" w:type="dxa"/>
            <w:tcBorders>
              <w:top w:val="nil"/>
              <w:left w:val="nil"/>
              <w:bottom w:val="single" w:sz="4" w:space="0" w:color="auto"/>
              <w:right w:val="nil"/>
            </w:tcBorders>
            <w:noWrap/>
            <w:vAlign w:val="bottom"/>
            <w:hideMark/>
          </w:tcPr>
          <w:p w14:paraId="11144EC1"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-2.2</w:t>
            </w:r>
          </w:p>
        </w:tc>
      </w:tr>
      <w:tr w:rsidR="003772E1" w:rsidRPr="00F259A6" w14:paraId="4D0325F6" w14:textId="77777777" w:rsidTr="00F04000">
        <w:trPr>
          <w:trHeight w:val="300"/>
          <w:jc w:val="center"/>
        </w:trPr>
        <w:tc>
          <w:tcPr>
            <w:tcW w:w="2970" w:type="dxa"/>
            <w:tcBorders>
              <w:top w:val="single" w:sz="4" w:space="0" w:color="auto"/>
              <w:left w:val="nil"/>
              <w:bottom w:val="single" w:sz="4" w:space="0" w:color="auto"/>
              <w:right w:val="nil"/>
            </w:tcBorders>
            <w:noWrap/>
            <w:vAlign w:val="bottom"/>
            <w:hideMark/>
          </w:tcPr>
          <w:p w14:paraId="3DF943D3" w14:textId="5CE3FEB0" w:rsidR="00F259A6" w:rsidRPr="00F259A6" w:rsidRDefault="00F259A6" w:rsidP="00F259A6">
            <w:pPr>
              <w:spacing w:after="0" w:line="240" w:lineRule="auto"/>
              <w:ind w:left="0" w:right="0" w:firstLine="0"/>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Total Tax Collections</w:t>
            </w:r>
          </w:p>
        </w:tc>
        <w:tc>
          <w:tcPr>
            <w:tcW w:w="1530" w:type="dxa"/>
            <w:gridSpan w:val="2"/>
            <w:tcBorders>
              <w:top w:val="single" w:sz="4" w:space="0" w:color="auto"/>
              <w:left w:val="nil"/>
              <w:bottom w:val="single" w:sz="4" w:space="0" w:color="auto"/>
              <w:right w:val="nil"/>
            </w:tcBorders>
            <w:noWrap/>
            <w:vAlign w:val="bottom"/>
            <w:hideMark/>
          </w:tcPr>
          <w:p w14:paraId="1EABBD36"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4187</w:t>
            </w:r>
          </w:p>
        </w:tc>
        <w:tc>
          <w:tcPr>
            <w:tcW w:w="1350" w:type="dxa"/>
            <w:gridSpan w:val="2"/>
            <w:tcBorders>
              <w:top w:val="single" w:sz="4" w:space="0" w:color="auto"/>
              <w:left w:val="nil"/>
              <w:bottom w:val="single" w:sz="4" w:space="0" w:color="auto"/>
              <w:right w:val="nil"/>
            </w:tcBorders>
            <w:noWrap/>
            <w:vAlign w:val="bottom"/>
            <w:hideMark/>
          </w:tcPr>
          <w:p w14:paraId="3D868600"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194</w:t>
            </w:r>
          </w:p>
        </w:tc>
        <w:tc>
          <w:tcPr>
            <w:tcW w:w="1440" w:type="dxa"/>
            <w:gridSpan w:val="2"/>
            <w:tcBorders>
              <w:top w:val="single" w:sz="4" w:space="0" w:color="auto"/>
              <w:left w:val="nil"/>
              <w:bottom w:val="single" w:sz="4" w:space="0" w:color="auto"/>
              <w:right w:val="nil"/>
            </w:tcBorders>
            <w:noWrap/>
            <w:vAlign w:val="bottom"/>
            <w:hideMark/>
          </w:tcPr>
          <w:p w14:paraId="6CCF8F7B"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4.9</w:t>
            </w:r>
          </w:p>
        </w:tc>
        <w:tc>
          <w:tcPr>
            <w:tcW w:w="1440" w:type="dxa"/>
            <w:gridSpan w:val="2"/>
            <w:tcBorders>
              <w:top w:val="single" w:sz="4" w:space="0" w:color="auto"/>
              <w:left w:val="nil"/>
              <w:bottom w:val="single" w:sz="4" w:space="0" w:color="auto"/>
              <w:right w:val="nil"/>
            </w:tcBorders>
            <w:noWrap/>
            <w:vAlign w:val="bottom"/>
            <w:hideMark/>
          </w:tcPr>
          <w:p w14:paraId="71C04795"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9194</w:t>
            </w:r>
          </w:p>
        </w:tc>
        <w:tc>
          <w:tcPr>
            <w:tcW w:w="1440" w:type="dxa"/>
            <w:gridSpan w:val="2"/>
            <w:tcBorders>
              <w:top w:val="single" w:sz="4" w:space="0" w:color="auto"/>
              <w:left w:val="nil"/>
              <w:bottom w:val="single" w:sz="4" w:space="0" w:color="auto"/>
              <w:right w:val="nil"/>
            </w:tcBorders>
            <w:noWrap/>
            <w:vAlign w:val="bottom"/>
            <w:hideMark/>
          </w:tcPr>
          <w:p w14:paraId="78872087"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443</w:t>
            </w:r>
          </w:p>
        </w:tc>
        <w:tc>
          <w:tcPr>
            <w:tcW w:w="1260" w:type="dxa"/>
            <w:gridSpan w:val="2"/>
            <w:tcBorders>
              <w:top w:val="single" w:sz="4" w:space="0" w:color="auto"/>
              <w:left w:val="nil"/>
              <w:bottom w:val="single" w:sz="4" w:space="0" w:color="auto"/>
              <w:right w:val="nil"/>
            </w:tcBorders>
            <w:noWrap/>
            <w:vAlign w:val="bottom"/>
            <w:hideMark/>
          </w:tcPr>
          <w:p w14:paraId="72F7CF8E"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5.1</w:t>
            </w:r>
          </w:p>
        </w:tc>
        <w:tc>
          <w:tcPr>
            <w:tcW w:w="1228" w:type="dxa"/>
            <w:gridSpan w:val="2"/>
            <w:tcBorders>
              <w:top w:val="single" w:sz="4" w:space="0" w:color="auto"/>
              <w:left w:val="nil"/>
              <w:bottom w:val="single" w:sz="4" w:space="0" w:color="auto"/>
              <w:right w:val="nil"/>
            </w:tcBorders>
            <w:noWrap/>
            <w:vAlign w:val="bottom"/>
            <w:hideMark/>
          </w:tcPr>
          <w:p w14:paraId="27E265CF"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224</w:t>
            </w:r>
          </w:p>
        </w:tc>
        <w:tc>
          <w:tcPr>
            <w:tcW w:w="1162" w:type="dxa"/>
            <w:tcBorders>
              <w:top w:val="single" w:sz="4" w:space="0" w:color="auto"/>
              <w:left w:val="nil"/>
              <w:bottom w:val="single" w:sz="4" w:space="0" w:color="auto"/>
              <w:right w:val="nil"/>
            </w:tcBorders>
            <w:noWrap/>
            <w:vAlign w:val="bottom"/>
            <w:hideMark/>
          </w:tcPr>
          <w:p w14:paraId="33688D58" w14:textId="77777777" w:rsidR="00F259A6" w:rsidRPr="00F259A6" w:rsidRDefault="00F259A6" w:rsidP="00F259A6">
            <w:pPr>
              <w:spacing w:after="0" w:line="240" w:lineRule="auto"/>
              <w:ind w:left="0" w:right="0" w:firstLine="0"/>
              <w:jc w:val="right"/>
              <w:rPr>
                <w:rFonts w:ascii="Calibri" w:hAnsi="Calibri" w:cs="Calibri"/>
                <w:b/>
                <w:bCs/>
                <w:kern w:val="0"/>
                <w:szCs w:val="22"/>
                <w:lang w:bidi="ar-SA"/>
                <w14:ligatures w14:val="none"/>
              </w:rPr>
            </w:pPr>
            <w:r w:rsidRPr="00F259A6">
              <w:rPr>
                <w:rFonts w:ascii="Calibri" w:hAnsi="Calibri" w:cs="Calibri"/>
                <w:b/>
                <w:bCs/>
                <w:kern w:val="0"/>
                <w:szCs w:val="22"/>
                <w:lang w:bidi="ar-SA"/>
                <w14:ligatures w14:val="none"/>
              </w:rPr>
              <w:t>2.5</w:t>
            </w:r>
          </w:p>
        </w:tc>
      </w:tr>
    </w:tbl>
    <w:p w14:paraId="73C38ABF" w14:textId="77777777" w:rsidR="003772E1" w:rsidRDefault="003772E1">
      <w:pPr>
        <w:spacing w:after="160" w:line="278" w:lineRule="auto"/>
        <w:ind w:left="0" w:right="0" w:firstLine="0"/>
      </w:pPr>
    </w:p>
    <w:p w14:paraId="5F6502AB" w14:textId="77777777" w:rsidR="004159BB" w:rsidRDefault="004159BB">
      <w:pPr>
        <w:spacing w:after="160" w:line="278" w:lineRule="auto"/>
        <w:ind w:left="0" w:right="0" w:firstLine="0"/>
      </w:pPr>
    </w:p>
    <w:p w14:paraId="2126C5C7" w14:textId="78C91893" w:rsidR="004159BB" w:rsidRDefault="004159BB">
      <w:pPr>
        <w:spacing w:after="160" w:line="278" w:lineRule="auto"/>
        <w:ind w:left="0" w:right="0" w:firstLine="0"/>
        <w:sectPr w:rsidR="004159BB" w:rsidSect="003772E1">
          <w:pgSz w:w="15840" w:h="12240" w:orient="landscape"/>
          <w:pgMar w:top="1219" w:right="1225" w:bottom="1280" w:left="806" w:header="720" w:footer="994" w:gutter="0"/>
          <w:cols w:space="720"/>
          <w:docGrid w:linePitch="299"/>
        </w:sectPr>
      </w:pPr>
      <w:r>
        <w:t xml:space="preserve">Narrative Summary: FY23 year-to-date tax revenue through September 2022 totals $9.194 billion, exceeding FY22 collections by $443 million (5.1 percent) and the FY23 benchmark by $224 million (2.5 percent). Income taxes and Sales and Use taxes account for </w:t>
      </w:r>
      <w:proofErr w:type="gramStart"/>
      <w:r>
        <w:t>the majority of</w:t>
      </w:r>
      <w:proofErr w:type="gramEnd"/>
      <w:r>
        <w:t xml:space="preserve"> collections. September 2022 total tax collections were $4.187 </w:t>
      </w:r>
      <w:proofErr w:type="gramStart"/>
      <w:r>
        <w:t>billion,</w:t>
      </w:r>
      <w:proofErr w:type="gramEnd"/>
      <w:r>
        <w:t xml:space="preserve"> an increase of 4.9 percent compared to September 2021.</w:t>
      </w:r>
    </w:p>
    <w:p w14:paraId="61638778" w14:textId="77777777" w:rsidR="004159BB" w:rsidRDefault="004159BB" w:rsidP="003772E1">
      <w:pPr>
        <w:spacing w:after="160" w:line="278" w:lineRule="auto"/>
        <w:ind w:left="0" w:right="0" w:firstLine="0"/>
      </w:pPr>
    </w:p>
    <w:p w14:paraId="5F0FA204" w14:textId="3582437B" w:rsidR="00C11BE1" w:rsidRDefault="00492A80" w:rsidP="003772E1">
      <w:pPr>
        <w:spacing w:after="160" w:line="278" w:lineRule="auto"/>
        <w:ind w:left="0" w:right="0" w:firstLine="0"/>
      </w:pPr>
      <w:r>
        <w:t xml:space="preserve">Ms. Connors noted that given what we are hearing everyday about volatility and a potential recession and what we are seeing as far as growth slowing down a bit, Ms. Connors asked if Mr. Ozyurt could talk about what he is hearing as far as what the global, national, and local economic outlook is for the near term. Mr. Ozyurt responded that the FY23 benchmark estimate projects a decline of 3.6% from FY22, so there is a cushion built into the forecast. Mr. Ozyurt noted that in terms of the economy, we are currently in a situation where inflation is rising, along with interest rates, and the level of recession risks are increasing. Right now, with respect to the economy, DOR works with two vendors that do a lot of economic projections. There is a great deal of uncertainty, especially when trying to predict the turning points in the economy. With respect to one of the vendors, Moody’s, they project that the economy’s growth will slow down to 1.6% in 2022, and 1.4% in 2023. Based on forecast scenarios, both vendors assume that the federal reserve will raise the rates, which has implications for the whole financial market by the end of this year but at the same time the impact of the pandemic will gradually disappear so things may normalize on that point as well. On the inflation front, they are optimistic and think it will go down in the middle of 2023.  </w:t>
      </w:r>
    </w:p>
    <w:p w14:paraId="75C74C8A" w14:textId="77777777" w:rsidR="00C11BE1" w:rsidRDefault="00492A80">
      <w:pPr>
        <w:spacing w:after="0" w:line="259" w:lineRule="auto"/>
        <w:ind w:left="0" w:right="0" w:firstLine="0"/>
      </w:pPr>
      <w:r>
        <w:t xml:space="preserve"> </w:t>
      </w:r>
    </w:p>
    <w:p w14:paraId="79D04935" w14:textId="77777777" w:rsidR="00C11BE1" w:rsidRDefault="00492A80">
      <w:pPr>
        <w:ind w:left="-5" w:right="0"/>
      </w:pPr>
      <w:r>
        <w:t xml:space="preserve">Ms. Connors then went over Massachusetts Credit Ratings and what we can do to improve them. Ms. Connors explained that since the last DAC meeting, all three rating agencies released new ratings report for the Commonwealth’s General Obligation Bonds. All ratings were affirmed, S&amp;P: AA, Moody’s: Aa1, and Fitch AA+. Ms. Connors pointed out that S&amp;P updated its credit outlook from stable to positive, noting that: “The positive outlook reflects our view that Massachusetts' underlying economy and currently very strong reserves could support a higher rating if sustained. We believe that there is a one-in-three chance that we could raise the rating over the next two years if future budgets show continued commitment to maintaining reserves at very strong levels and a goal of structural balance as it progresses to fully funding its pensions.”. Moody’s &amp; Fitch affirmed their stable outlooks. Ms. Connors then went over the 3 key takeaways, noting that while the 3 agencies take nuances approaches to assigning ratings, all methodologies align around 5 key credit factors: </w:t>
      </w:r>
    </w:p>
    <w:p w14:paraId="469578DB" w14:textId="77777777" w:rsidR="00C11BE1" w:rsidRDefault="00492A80">
      <w:pPr>
        <w:numPr>
          <w:ilvl w:val="0"/>
          <w:numId w:val="2"/>
        </w:numPr>
        <w:ind w:right="0" w:hanging="360"/>
      </w:pPr>
      <w:r>
        <w:t xml:space="preserve">Governance  </w:t>
      </w:r>
    </w:p>
    <w:p w14:paraId="6F4A341C" w14:textId="77777777" w:rsidR="00C11BE1" w:rsidRDefault="00492A80">
      <w:pPr>
        <w:numPr>
          <w:ilvl w:val="0"/>
          <w:numId w:val="2"/>
        </w:numPr>
        <w:ind w:right="0" w:hanging="360"/>
      </w:pPr>
      <w:r>
        <w:t xml:space="preserve">Economy </w:t>
      </w:r>
    </w:p>
    <w:p w14:paraId="0CBE0C1D" w14:textId="77777777" w:rsidR="00C11BE1" w:rsidRDefault="00492A80">
      <w:pPr>
        <w:numPr>
          <w:ilvl w:val="0"/>
          <w:numId w:val="2"/>
        </w:numPr>
        <w:ind w:right="0" w:hanging="360"/>
      </w:pPr>
      <w:r>
        <w:t xml:space="preserve">Financial position </w:t>
      </w:r>
    </w:p>
    <w:p w14:paraId="71E36469" w14:textId="77777777" w:rsidR="00C11BE1" w:rsidRDefault="00492A80">
      <w:pPr>
        <w:numPr>
          <w:ilvl w:val="0"/>
          <w:numId w:val="2"/>
        </w:numPr>
        <w:ind w:right="0" w:hanging="360"/>
      </w:pPr>
      <w:r>
        <w:t xml:space="preserve">Budgetary performance </w:t>
      </w:r>
    </w:p>
    <w:p w14:paraId="3B9012F8" w14:textId="77777777" w:rsidR="00C11BE1" w:rsidRDefault="00492A80">
      <w:pPr>
        <w:numPr>
          <w:ilvl w:val="0"/>
          <w:numId w:val="2"/>
        </w:numPr>
        <w:ind w:right="0" w:hanging="360"/>
      </w:pPr>
      <w:r>
        <w:t xml:space="preserve">Long term liabilities </w:t>
      </w:r>
    </w:p>
    <w:p w14:paraId="213493A1" w14:textId="77777777" w:rsidR="00C11BE1" w:rsidRDefault="00492A80">
      <w:pPr>
        <w:spacing w:after="0" w:line="259" w:lineRule="auto"/>
        <w:ind w:left="0" w:right="0" w:firstLine="0"/>
      </w:pPr>
      <w:r>
        <w:t xml:space="preserve"> </w:t>
      </w:r>
    </w:p>
    <w:p w14:paraId="791051AA" w14:textId="77777777" w:rsidR="00C11BE1" w:rsidRDefault="00492A80">
      <w:pPr>
        <w:ind w:left="-5" w:right="0"/>
      </w:pPr>
      <w:r>
        <w:t xml:space="preserve">Ms. Connors explained that the Commonwealth scores high in all areas, except long term liabilities, which includes outstanding debt and pensions. Ms. Connors explained that what this means for this group is that, when thinking about the final deck that lays out the things the Commonwealth could do to achieve a higher credit rating, they are pretty much limited because for most of categories (governance, economy, finance), they are at the top. The places where they can look to make some improvement relate to debt profile, and in some cases budget performance. Ms. Connors noted that the remainder of these slides goes through the five credit factors and shows what we have been doing over the past ten years to improve our credit ratings and areas to improve.  </w:t>
      </w:r>
    </w:p>
    <w:p w14:paraId="0219E038" w14:textId="77777777" w:rsidR="00C11BE1" w:rsidRDefault="00492A80">
      <w:pPr>
        <w:spacing w:after="0" w:line="259" w:lineRule="auto"/>
        <w:ind w:left="0" w:right="0" w:firstLine="0"/>
      </w:pPr>
      <w:r>
        <w:t xml:space="preserve"> </w:t>
      </w:r>
    </w:p>
    <w:p w14:paraId="35BB88C1" w14:textId="77777777" w:rsidR="00C11BE1" w:rsidRDefault="00492A80">
      <w:pPr>
        <w:ind w:left="-5" w:right="0"/>
      </w:pPr>
      <w:r>
        <w:t xml:space="preserve">Ms. Connors asked if members had any questions but noted the Committee would be talking about this more in upcoming meetings. No one had any further questions or comments.  </w:t>
      </w:r>
    </w:p>
    <w:p w14:paraId="767A27BC" w14:textId="77777777" w:rsidR="00C11BE1" w:rsidRDefault="00492A80">
      <w:pPr>
        <w:spacing w:after="0" w:line="259" w:lineRule="auto"/>
        <w:ind w:left="0" w:right="0" w:firstLine="0"/>
      </w:pPr>
      <w:r>
        <w:t xml:space="preserve"> </w:t>
      </w:r>
    </w:p>
    <w:p w14:paraId="47533D0D" w14:textId="77777777" w:rsidR="00C11BE1" w:rsidRDefault="00492A80">
      <w:pPr>
        <w:ind w:left="-5" w:right="0"/>
      </w:pPr>
      <w:r>
        <w:t>The next DAC meeting is scheduled for October 28</w:t>
      </w:r>
      <w:r>
        <w:rPr>
          <w:vertAlign w:val="superscript"/>
        </w:rPr>
        <w:t>th</w:t>
      </w:r>
      <w:r>
        <w:t xml:space="preserve">, 2022, at 1:00PM. The meeting was formally adjourned at 2:02PM. </w:t>
      </w:r>
    </w:p>
    <w:p w14:paraId="5F59E8F9" w14:textId="77777777" w:rsidR="00C11BE1" w:rsidRDefault="00492A80">
      <w:pPr>
        <w:spacing w:after="0" w:line="259" w:lineRule="auto"/>
        <w:ind w:left="0" w:right="0" w:firstLine="0"/>
        <w:jc w:val="both"/>
      </w:pPr>
      <w:r>
        <w:t xml:space="preserve"> </w:t>
      </w:r>
    </w:p>
    <w:sectPr w:rsidR="00C11BE1">
      <w:pgSz w:w="12240" w:h="15840"/>
      <w:pgMar w:top="806" w:right="1219" w:bottom="1225" w:left="1280" w:header="72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2F296" w14:textId="77777777" w:rsidR="002111DE" w:rsidRDefault="002111DE">
      <w:pPr>
        <w:spacing w:after="0" w:line="240" w:lineRule="auto"/>
      </w:pPr>
      <w:r>
        <w:separator/>
      </w:r>
    </w:p>
  </w:endnote>
  <w:endnote w:type="continuationSeparator" w:id="0">
    <w:p w14:paraId="0A9F0642" w14:textId="77777777" w:rsidR="002111DE" w:rsidRDefault="00211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D2AD" w14:textId="77777777" w:rsidR="00C11BE1" w:rsidRDefault="00492A80">
    <w:pPr>
      <w:tabs>
        <w:tab w:val="center" w:pos="4840"/>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21CC" w14:textId="77777777" w:rsidR="00C11BE1" w:rsidRDefault="00492A80">
    <w:pPr>
      <w:tabs>
        <w:tab w:val="center" w:pos="4840"/>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20EB" w14:textId="77777777" w:rsidR="00C11BE1" w:rsidRDefault="00492A80">
    <w:pPr>
      <w:tabs>
        <w:tab w:val="center" w:pos="4840"/>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1D162" w14:textId="77777777" w:rsidR="002111DE" w:rsidRDefault="002111DE">
      <w:pPr>
        <w:spacing w:after="0" w:line="240" w:lineRule="auto"/>
      </w:pPr>
      <w:r>
        <w:separator/>
      </w:r>
    </w:p>
  </w:footnote>
  <w:footnote w:type="continuationSeparator" w:id="0">
    <w:p w14:paraId="4A8D5F80" w14:textId="77777777" w:rsidR="002111DE" w:rsidRDefault="002111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807A1"/>
    <w:multiLevelType w:val="hybridMultilevel"/>
    <w:tmpl w:val="D20E0B68"/>
    <w:lvl w:ilvl="0" w:tplc="DC94D90C">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5093E2">
      <w:start w:val="1"/>
      <w:numFmt w:val="bullet"/>
      <w:lvlText w:val="o"/>
      <w:lvlJc w:val="left"/>
      <w:pPr>
        <w:ind w:left="1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3CA162">
      <w:start w:val="1"/>
      <w:numFmt w:val="bullet"/>
      <w:lvlText w:val="▪"/>
      <w:lvlJc w:val="left"/>
      <w:pPr>
        <w:ind w:left="2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A090D8">
      <w:start w:val="1"/>
      <w:numFmt w:val="bullet"/>
      <w:lvlText w:val="•"/>
      <w:lvlJc w:val="left"/>
      <w:pPr>
        <w:ind w:left="3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967512">
      <w:start w:val="1"/>
      <w:numFmt w:val="bullet"/>
      <w:lvlText w:val="o"/>
      <w:lvlJc w:val="left"/>
      <w:pPr>
        <w:ind w:left="40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16C14C">
      <w:start w:val="1"/>
      <w:numFmt w:val="bullet"/>
      <w:lvlText w:val="▪"/>
      <w:lvlJc w:val="left"/>
      <w:pPr>
        <w:ind w:left="4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E06D50">
      <w:start w:val="1"/>
      <w:numFmt w:val="bullet"/>
      <w:lvlText w:val="•"/>
      <w:lvlJc w:val="left"/>
      <w:pPr>
        <w:ind w:left="5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F60F38">
      <w:start w:val="1"/>
      <w:numFmt w:val="bullet"/>
      <w:lvlText w:val="o"/>
      <w:lvlJc w:val="left"/>
      <w:pPr>
        <w:ind w:left="6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A47CD0">
      <w:start w:val="1"/>
      <w:numFmt w:val="bullet"/>
      <w:lvlText w:val="▪"/>
      <w:lvlJc w:val="left"/>
      <w:pPr>
        <w:ind w:left="6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65739A3"/>
    <w:multiLevelType w:val="hybridMultilevel"/>
    <w:tmpl w:val="C1A806B8"/>
    <w:lvl w:ilvl="0" w:tplc="0074AF7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4E172E">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9E2B9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1C03F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A23E3C">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44ACD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28F46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3C58AE">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7AC20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05395995">
    <w:abstractNumId w:val="0"/>
  </w:num>
  <w:num w:numId="2" w16cid:durableId="729427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9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BE1"/>
    <w:rsid w:val="000F308A"/>
    <w:rsid w:val="002111DE"/>
    <w:rsid w:val="003772E1"/>
    <w:rsid w:val="0040412F"/>
    <w:rsid w:val="004159BB"/>
    <w:rsid w:val="0046077F"/>
    <w:rsid w:val="00492A80"/>
    <w:rsid w:val="005C0537"/>
    <w:rsid w:val="00684572"/>
    <w:rsid w:val="00750DCD"/>
    <w:rsid w:val="00C11BE1"/>
    <w:rsid w:val="00F04000"/>
    <w:rsid w:val="00F259A6"/>
    <w:rsid w:val="732F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FF06ED"/>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right="57" w:hanging="10"/>
    </w:pPr>
    <w:rPr>
      <w:rFonts w:ascii="Times New Roman" w:eastAsia="Times New Roman" w:hAnsi="Times New Roman" w:cs="Times New Roman"/>
      <w:color w:val="000000"/>
      <w:sz w:val="22"/>
      <w:lang w:bidi="en-US"/>
    </w:rPr>
  </w:style>
  <w:style w:type="paragraph" w:styleId="Heading2">
    <w:name w:val="heading 2"/>
    <w:basedOn w:val="Normal"/>
    <w:next w:val="Normal"/>
    <w:link w:val="Heading2Char"/>
    <w:uiPriority w:val="9"/>
    <w:unhideWhenUsed/>
    <w:qFormat/>
    <w:rsid w:val="004159BB"/>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rsid w:val="004159BB"/>
    <w:pPr>
      <w:spacing w:before="100" w:beforeAutospacing="1" w:after="100" w:afterAutospacing="1" w:line="240" w:lineRule="auto"/>
      <w:ind w:left="0" w:right="0" w:firstLine="0"/>
      <w:outlineLvl w:val="2"/>
    </w:pPr>
    <w:rPr>
      <w:b/>
      <w:bCs/>
      <w:color w:val="auto"/>
      <w:kern w:val="0"/>
      <w:sz w:val="27"/>
      <w:szCs w:val="27"/>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3772E1"/>
    <w:pPr>
      <w:spacing w:after="0" w:line="240" w:lineRule="auto"/>
    </w:pPr>
    <w:rPr>
      <w:rFonts w:ascii="Times New Roman" w:eastAsia="Times New Roman" w:hAnsi="Times New Roman" w:cs="Times New Roman"/>
      <w:color w:val="000000"/>
      <w:sz w:val="22"/>
      <w:lang w:bidi="en-US"/>
    </w:rPr>
  </w:style>
  <w:style w:type="character" w:customStyle="1" w:styleId="Heading3Char">
    <w:name w:val="Heading 3 Char"/>
    <w:basedOn w:val="DefaultParagraphFont"/>
    <w:link w:val="Heading3"/>
    <w:uiPriority w:val="9"/>
    <w:rsid w:val="004159BB"/>
    <w:rPr>
      <w:rFonts w:ascii="Times New Roman" w:eastAsia="Times New Roman" w:hAnsi="Times New Roman" w:cs="Times New Roman"/>
      <w:b/>
      <w:bCs/>
      <w:kern w:val="0"/>
      <w:sz w:val="27"/>
      <w:szCs w:val="27"/>
      <w14:ligatures w14:val="none"/>
    </w:rPr>
  </w:style>
  <w:style w:type="character" w:customStyle="1" w:styleId="Heading2Char">
    <w:name w:val="Heading 2 Char"/>
    <w:basedOn w:val="DefaultParagraphFont"/>
    <w:link w:val="Heading2"/>
    <w:uiPriority w:val="9"/>
    <w:rsid w:val="004159BB"/>
    <w:rPr>
      <w:rFonts w:asciiTheme="majorHAnsi" w:eastAsiaTheme="majorEastAsia" w:hAnsiTheme="majorHAnsi" w:cstheme="majorBidi"/>
      <w:color w:val="0F4761" w:themeColor="accent1" w:themeShade="BF"/>
      <w:sz w:val="26"/>
      <w:szCs w:val="26"/>
      <w:lang w:bidi="en-US"/>
    </w:rPr>
  </w:style>
  <w:style w:type="character" w:styleId="Strong">
    <w:name w:val="Strong"/>
    <w:basedOn w:val="DefaultParagraphFont"/>
    <w:uiPriority w:val="22"/>
    <w:qFormat/>
    <w:rsid w:val="004159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ass-gov-anf.zoom.us/j/89260050854?pwd=Tk9Mc3k2Zk01RDJmNlJHbGQ2ckVjUT09"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mass-gov-anf.zoom.us/j/89260050854?pwd=Tk9Mc3k2Zk01RDJmNlJHbGQ2ckVjUT0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ass-gov-anf.zoom.us/j/89260050854?pwd=Tk9Mc3k2Zk01RDJmNlJHbGQ2ckVjUT09" TargetMode="Externa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ss-gov-anf.zoom.us/j/89260050854?pwd=Tk9Mc3k2Zk01RDJmNlJHbGQ2ckVjUT09" TargetMode="External"/><Relationship Id="rId5" Type="http://schemas.openxmlformats.org/officeDocument/2006/relationships/styles" Target="styles.xml"/><Relationship Id="rId15" Type="http://schemas.openxmlformats.org/officeDocument/2006/relationships/hyperlink" Target="https://mass-gov-anf.zoom.us/j/89260050854?pwd=Tk9Mc3k2Zk01RDJmNlJHbGQ2ckVjUT09" TargetMode="Externa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ss-gov-anf.zoom.us/j/89260050854?pwd=Tk9Mc3k2Zk01RDJmNlJHbGQ2ckVjUT0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B9722-59B4-4AF4-A9DF-07EA005CD7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54EF53-F489-4D79-A652-00C38C932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56e52-0c62-46e1-89b3-8467673f0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FCF62-3997-4E2C-A3A5-A24A9B479F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2866</Words>
  <Characters>16338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Microsoft Word - DAC, Minutes (11.20.2020)(Draft until approved).doc</vt:lpstr>
    </vt:vector>
  </TitlesOfParts>
  <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DAC, Minutes (11.20.2020)(Draft until approved).doc</dc:title>
  <dc:subject/>
  <dc:creator>wbarchibald</dc:creator>
  <cp:keywords/>
  <cp:lastModifiedBy>Samantha Hammar</cp:lastModifiedBy>
  <cp:revision>3</cp:revision>
  <dcterms:created xsi:type="dcterms:W3CDTF">2026-02-12T16:20:00Z</dcterms:created>
  <dcterms:modified xsi:type="dcterms:W3CDTF">2026-02-12T17:43:00Z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