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3645F" w14:textId="77777777" w:rsidR="00C5683B" w:rsidRDefault="00C5683B">
      <w:pPr>
        <w:pStyle w:val="BodyText"/>
        <w:spacing w:before="10"/>
        <w:rPr>
          <w:sz w:val="24"/>
        </w:rPr>
      </w:pPr>
    </w:p>
    <w:p w14:paraId="69CE95CF" w14:textId="77777777" w:rsidR="00C5683B" w:rsidRDefault="00C5683B">
      <w:pPr>
        <w:rPr>
          <w:sz w:val="24"/>
        </w:rPr>
        <w:sectPr w:rsidR="00C5683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800" w:right="1220" w:bottom="1220" w:left="1280" w:header="0" w:footer="1040" w:gutter="0"/>
          <w:pgNumType w:start="1"/>
          <w:cols w:space="720"/>
        </w:sectPr>
      </w:pPr>
    </w:p>
    <w:p w14:paraId="3556056F" w14:textId="77777777" w:rsidR="00C5683B" w:rsidRDefault="002D3603">
      <w:pPr>
        <w:spacing w:before="92"/>
        <w:ind w:left="2265"/>
        <w:jc w:val="center"/>
        <w:rPr>
          <w:rFonts w:ascii="Arial"/>
          <w:sz w:val="21"/>
        </w:rPr>
      </w:pPr>
      <w:r>
        <w:rPr>
          <w:noProof/>
        </w:rPr>
        <w:drawing>
          <wp:anchor distT="0" distB="0" distL="0" distR="0" simplePos="0" relativeHeight="15728640" behindDoc="0" locked="0" layoutInCell="1" allowOverlap="1" wp14:anchorId="58D77758" wp14:editId="5D0A5451">
            <wp:simplePos x="0" y="0"/>
            <wp:positionH relativeFrom="page">
              <wp:posOffset>878951</wp:posOffset>
            </wp:positionH>
            <wp:positionV relativeFrom="paragraph">
              <wp:posOffset>-177406</wp:posOffset>
            </wp:positionV>
            <wp:extent cx="938988" cy="11649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938988" cy="1164945"/>
                    </a:xfrm>
                    <a:prstGeom prst="rect">
                      <a:avLst/>
                    </a:prstGeom>
                  </pic:spPr>
                </pic:pic>
              </a:graphicData>
            </a:graphic>
          </wp:anchor>
        </w:drawing>
      </w:r>
      <w:r>
        <w:rPr>
          <w:rFonts w:ascii="Arial"/>
          <w:spacing w:val="15"/>
          <w:sz w:val="26"/>
        </w:rPr>
        <w:t>T</w:t>
      </w:r>
      <w:r>
        <w:rPr>
          <w:rFonts w:ascii="Arial"/>
          <w:spacing w:val="15"/>
          <w:sz w:val="21"/>
        </w:rPr>
        <w:t>HE</w:t>
      </w:r>
      <w:r>
        <w:rPr>
          <w:rFonts w:ascii="Arial"/>
          <w:spacing w:val="52"/>
          <w:sz w:val="21"/>
        </w:rPr>
        <w:t xml:space="preserve"> </w:t>
      </w:r>
      <w:r>
        <w:rPr>
          <w:rFonts w:ascii="Arial"/>
          <w:spacing w:val="21"/>
          <w:sz w:val="26"/>
        </w:rPr>
        <w:t>C</w:t>
      </w:r>
      <w:r>
        <w:rPr>
          <w:rFonts w:ascii="Arial"/>
          <w:spacing w:val="21"/>
          <w:sz w:val="21"/>
        </w:rPr>
        <w:t>OMMONWEALTH</w:t>
      </w:r>
      <w:r>
        <w:rPr>
          <w:rFonts w:ascii="Arial"/>
          <w:spacing w:val="51"/>
          <w:sz w:val="21"/>
        </w:rPr>
        <w:t xml:space="preserve"> </w:t>
      </w:r>
      <w:r>
        <w:rPr>
          <w:rFonts w:ascii="Arial"/>
          <w:spacing w:val="12"/>
          <w:sz w:val="21"/>
        </w:rPr>
        <w:t>OF</w:t>
      </w:r>
      <w:r>
        <w:rPr>
          <w:rFonts w:ascii="Arial"/>
          <w:spacing w:val="51"/>
          <w:sz w:val="21"/>
        </w:rPr>
        <w:t xml:space="preserve"> </w:t>
      </w:r>
      <w:r>
        <w:rPr>
          <w:rFonts w:ascii="Arial"/>
          <w:spacing w:val="22"/>
          <w:sz w:val="26"/>
        </w:rPr>
        <w:t>M</w:t>
      </w:r>
      <w:r>
        <w:rPr>
          <w:rFonts w:ascii="Arial"/>
          <w:spacing w:val="22"/>
          <w:sz w:val="21"/>
        </w:rPr>
        <w:t>ASSACHUSETTS</w:t>
      </w:r>
      <w:r>
        <w:rPr>
          <w:rFonts w:ascii="Arial"/>
          <w:spacing w:val="-35"/>
          <w:sz w:val="21"/>
        </w:rPr>
        <w:t xml:space="preserve"> </w:t>
      </w:r>
    </w:p>
    <w:p w14:paraId="401B47FE" w14:textId="77777777" w:rsidR="00C5683B" w:rsidRDefault="002D3603">
      <w:pPr>
        <w:spacing w:before="121"/>
        <w:ind w:left="2266"/>
        <w:jc w:val="center"/>
        <w:rPr>
          <w:rFonts w:ascii="Arial"/>
          <w:sz w:val="18"/>
        </w:rPr>
      </w:pPr>
      <w:r>
        <w:rPr>
          <w:rFonts w:ascii="Arial"/>
          <w:spacing w:val="20"/>
        </w:rPr>
        <w:t>E</w:t>
      </w:r>
      <w:r>
        <w:rPr>
          <w:rFonts w:ascii="Arial"/>
          <w:spacing w:val="20"/>
          <w:sz w:val="18"/>
        </w:rPr>
        <w:t>XECUTIVE</w:t>
      </w:r>
      <w:r>
        <w:rPr>
          <w:rFonts w:ascii="Arial"/>
          <w:spacing w:val="50"/>
          <w:sz w:val="18"/>
        </w:rPr>
        <w:t xml:space="preserve"> </w:t>
      </w:r>
      <w:r>
        <w:rPr>
          <w:rFonts w:ascii="Arial"/>
          <w:spacing w:val="19"/>
        </w:rPr>
        <w:t>O</w:t>
      </w:r>
      <w:r>
        <w:rPr>
          <w:rFonts w:ascii="Arial"/>
          <w:spacing w:val="19"/>
          <w:sz w:val="18"/>
        </w:rPr>
        <w:t>FFICE</w:t>
      </w:r>
      <w:r>
        <w:rPr>
          <w:rFonts w:ascii="Arial"/>
          <w:spacing w:val="50"/>
          <w:sz w:val="18"/>
        </w:rPr>
        <w:t xml:space="preserve"> </w:t>
      </w:r>
      <w:r>
        <w:rPr>
          <w:rFonts w:ascii="Arial"/>
          <w:sz w:val="18"/>
        </w:rPr>
        <w:t>F</w:t>
      </w:r>
      <w:r>
        <w:rPr>
          <w:rFonts w:ascii="Arial"/>
          <w:spacing w:val="-25"/>
          <w:sz w:val="18"/>
        </w:rPr>
        <w:t xml:space="preserve"> </w:t>
      </w:r>
      <w:r>
        <w:rPr>
          <w:rFonts w:ascii="Arial"/>
          <w:spacing w:val="12"/>
          <w:sz w:val="18"/>
        </w:rPr>
        <w:t>OR</w:t>
      </w:r>
      <w:r>
        <w:rPr>
          <w:rFonts w:ascii="Arial"/>
          <w:spacing w:val="-26"/>
          <w:sz w:val="18"/>
        </w:rPr>
        <w:t xml:space="preserve"> </w:t>
      </w:r>
    </w:p>
    <w:p w14:paraId="71A5BEDA" w14:textId="77777777" w:rsidR="00C5683B" w:rsidRDefault="002D3603">
      <w:pPr>
        <w:tabs>
          <w:tab w:val="left" w:pos="4841"/>
          <w:tab w:val="left" w:pos="5111"/>
        </w:tabs>
        <w:spacing w:before="119" w:line="367" w:lineRule="auto"/>
        <w:ind w:left="3276" w:right="1012"/>
        <w:jc w:val="center"/>
        <w:rPr>
          <w:rFonts w:ascii="Arial" w:hAnsi="Arial"/>
          <w:sz w:val="18"/>
        </w:rPr>
      </w:pPr>
      <w:r>
        <w:rPr>
          <w:rFonts w:ascii="Arial" w:hAnsi="Arial"/>
          <w:spacing w:val="21"/>
        </w:rPr>
        <w:t>A</w:t>
      </w:r>
      <w:r>
        <w:rPr>
          <w:rFonts w:ascii="Arial" w:hAnsi="Arial"/>
          <w:spacing w:val="21"/>
          <w:sz w:val="18"/>
        </w:rPr>
        <w:t>DMINISTRATION</w:t>
      </w:r>
      <w:r>
        <w:rPr>
          <w:rFonts w:ascii="Arial" w:hAnsi="Arial"/>
          <w:spacing w:val="51"/>
          <w:sz w:val="18"/>
        </w:rPr>
        <w:t xml:space="preserve"> </w:t>
      </w:r>
      <w:r>
        <w:rPr>
          <w:rFonts w:ascii="Arial" w:hAnsi="Arial"/>
          <w:spacing w:val="16"/>
          <w:sz w:val="18"/>
        </w:rPr>
        <w:t>AND</w:t>
      </w:r>
      <w:r>
        <w:rPr>
          <w:rFonts w:ascii="Arial" w:hAnsi="Arial"/>
          <w:spacing w:val="53"/>
          <w:sz w:val="18"/>
        </w:rPr>
        <w:t xml:space="preserve"> </w:t>
      </w:r>
      <w:r>
        <w:rPr>
          <w:rFonts w:ascii="Arial" w:hAnsi="Arial"/>
          <w:spacing w:val="19"/>
        </w:rPr>
        <w:t>F</w:t>
      </w:r>
      <w:r>
        <w:rPr>
          <w:rFonts w:ascii="Arial" w:hAnsi="Arial"/>
          <w:spacing w:val="19"/>
          <w:sz w:val="18"/>
        </w:rPr>
        <w:t>INANCE</w:t>
      </w:r>
      <w:r>
        <w:rPr>
          <w:rFonts w:ascii="Arial" w:hAnsi="Arial"/>
          <w:spacing w:val="-47"/>
          <w:sz w:val="18"/>
        </w:rPr>
        <w:t xml:space="preserve"> </w:t>
      </w:r>
      <w:r>
        <w:rPr>
          <w:rFonts w:ascii="Arial" w:hAnsi="Arial"/>
          <w:sz w:val="18"/>
        </w:rPr>
        <w:t>STATE</w:t>
      </w:r>
      <w:r>
        <w:rPr>
          <w:rFonts w:ascii="Arial" w:hAnsi="Arial"/>
          <w:spacing w:val="34"/>
          <w:sz w:val="18"/>
        </w:rPr>
        <w:t xml:space="preserve"> </w:t>
      </w:r>
      <w:r>
        <w:rPr>
          <w:rFonts w:ascii="Arial" w:hAnsi="Arial"/>
          <w:sz w:val="18"/>
        </w:rPr>
        <w:t>HOUSE</w:t>
      </w:r>
      <w:r>
        <w:rPr>
          <w:rFonts w:ascii="Arial" w:hAnsi="Arial"/>
          <w:sz w:val="18"/>
        </w:rPr>
        <w:tab/>
      </w:r>
      <w:r>
        <w:rPr>
          <w:rFonts w:ascii="Arial" w:hAnsi="Arial"/>
          <w:b/>
          <w:sz w:val="18"/>
        </w:rPr>
        <w:t>▪</w:t>
      </w:r>
      <w:r>
        <w:rPr>
          <w:rFonts w:ascii="Arial" w:hAnsi="Arial"/>
          <w:b/>
          <w:sz w:val="18"/>
        </w:rPr>
        <w:tab/>
      </w:r>
      <w:r>
        <w:rPr>
          <w:rFonts w:ascii="Arial" w:hAnsi="Arial"/>
          <w:sz w:val="18"/>
        </w:rPr>
        <w:t>ROOM</w:t>
      </w:r>
      <w:r>
        <w:rPr>
          <w:rFonts w:ascii="Arial" w:hAnsi="Arial"/>
          <w:spacing w:val="11"/>
          <w:sz w:val="18"/>
        </w:rPr>
        <w:t xml:space="preserve"> </w:t>
      </w:r>
      <w:r>
        <w:rPr>
          <w:rFonts w:ascii="Arial" w:hAnsi="Arial"/>
          <w:sz w:val="18"/>
        </w:rPr>
        <w:t>373</w:t>
      </w:r>
      <w:r>
        <w:rPr>
          <w:rFonts w:ascii="Arial" w:hAnsi="Arial"/>
          <w:spacing w:val="1"/>
          <w:sz w:val="18"/>
        </w:rPr>
        <w:t xml:space="preserve"> </w:t>
      </w:r>
      <w:r>
        <w:rPr>
          <w:rFonts w:ascii="Arial" w:hAnsi="Arial"/>
          <w:sz w:val="18"/>
        </w:rPr>
        <w:t>BOSTON,</w:t>
      </w:r>
      <w:r>
        <w:rPr>
          <w:rFonts w:ascii="Arial" w:hAnsi="Arial"/>
          <w:spacing w:val="12"/>
          <w:sz w:val="18"/>
        </w:rPr>
        <w:t xml:space="preserve"> </w:t>
      </w:r>
      <w:r>
        <w:rPr>
          <w:rFonts w:ascii="Arial" w:hAnsi="Arial"/>
          <w:sz w:val="18"/>
        </w:rPr>
        <w:t>MA</w:t>
      </w:r>
      <w:r>
        <w:rPr>
          <w:rFonts w:ascii="Arial" w:hAnsi="Arial"/>
          <w:spacing w:val="16"/>
          <w:sz w:val="18"/>
        </w:rPr>
        <w:t xml:space="preserve"> </w:t>
      </w:r>
      <w:r>
        <w:rPr>
          <w:rFonts w:ascii="Arial" w:hAnsi="Arial"/>
          <w:sz w:val="18"/>
        </w:rPr>
        <w:t>02133</w:t>
      </w:r>
    </w:p>
    <w:p w14:paraId="7E979A64" w14:textId="77777777" w:rsidR="00C5683B" w:rsidRDefault="002D3603">
      <w:pPr>
        <w:rPr>
          <w:rFonts w:ascii="Arial"/>
          <w:sz w:val="20"/>
        </w:rPr>
      </w:pPr>
      <w:r>
        <w:br w:type="column"/>
      </w:r>
    </w:p>
    <w:p w14:paraId="190AEF6F" w14:textId="77777777" w:rsidR="00C5683B" w:rsidRDefault="00C5683B">
      <w:pPr>
        <w:pStyle w:val="BodyText"/>
        <w:rPr>
          <w:rFonts w:ascii="Arial"/>
          <w:sz w:val="20"/>
        </w:rPr>
      </w:pPr>
    </w:p>
    <w:p w14:paraId="5390279A" w14:textId="77777777" w:rsidR="00C5683B" w:rsidRDefault="00C5683B">
      <w:pPr>
        <w:pStyle w:val="BodyText"/>
        <w:rPr>
          <w:rFonts w:ascii="Arial"/>
          <w:sz w:val="20"/>
        </w:rPr>
      </w:pPr>
    </w:p>
    <w:p w14:paraId="5C4C1436" w14:textId="77777777" w:rsidR="00C5683B" w:rsidRDefault="00C5683B">
      <w:pPr>
        <w:pStyle w:val="BodyText"/>
        <w:rPr>
          <w:rFonts w:ascii="Arial"/>
          <w:sz w:val="20"/>
        </w:rPr>
      </w:pPr>
    </w:p>
    <w:p w14:paraId="6DB05094" w14:textId="77777777" w:rsidR="00C5683B" w:rsidRDefault="00C5683B">
      <w:pPr>
        <w:pStyle w:val="BodyText"/>
        <w:rPr>
          <w:rFonts w:ascii="Arial"/>
          <w:sz w:val="20"/>
        </w:rPr>
      </w:pPr>
    </w:p>
    <w:p w14:paraId="20102C5D" w14:textId="77777777" w:rsidR="00C5683B" w:rsidRDefault="00C5683B">
      <w:pPr>
        <w:pStyle w:val="BodyText"/>
        <w:rPr>
          <w:rFonts w:ascii="Arial"/>
          <w:sz w:val="20"/>
        </w:rPr>
      </w:pPr>
    </w:p>
    <w:p w14:paraId="2782A329" w14:textId="77777777" w:rsidR="00C5683B" w:rsidRDefault="00C5683B">
      <w:pPr>
        <w:pStyle w:val="BodyText"/>
        <w:rPr>
          <w:rFonts w:ascii="Arial"/>
          <w:sz w:val="20"/>
        </w:rPr>
      </w:pPr>
    </w:p>
    <w:p w14:paraId="59BA1849" w14:textId="77777777" w:rsidR="00C5683B" w:rsidRDefault="00C5683B">
      <w:pPr>
        <w:pStyle w:val="BodyText"/>
        <w:spacing w:before="5"/>
        <w:rPr>
          <w:rFonts w:ascii="Arial"/>
          <w:sz w:val="24"/>
        </w:rPr>
      </w:pPr>
    </w:p>
    <w:p w14:paraId="534291CB" w14:textId="77777777" w:rsidR="00C5683B" w:rsidRDefault="002D3603">
      <w:pPr>
        <w:ind w:left="48"/>
        <w:rPr>
          <w:rFonts w:ascii="Arial"/>
          <w:sz w:val="18"/>
        </w:rPr>
      </w:pPr>
      <w:r>
        <w:rPr>
          <w:rFonts w:ascii="Arial"/>
          <w:sz w:val="18"/>
        </w:rPr>
        <w:t>TEL:</w:t>
      </w:r>
      <w:proofErr w:type="gramStart"/>
      <w:r>
        <w:rPr>
          <w:rFonts w:ascii="Arial"/>
          <w:sz w:val="18"/>
        </w:rPr>
        <w:t xml:space="preserve">  </w:t>
      </w:r>
      <w:r>
        <w:rPr>
          <w:rFonts w:ascii="Arial"/>
          <w:spacing w:val="2"/>
          <w:sz w:val="18"/>
        </w:rPr>
        <w:t xml:space="preserve"> </w:t>
      </w:r>
      <w:r>
        <w:rPr>
          <w:rFonts w:ascii="Arial"/>
          <w:sz w:val="18"/>
        </w:rPr>
        <w:t>(</w:t>
      </w:r>
      <w:proofErr w:type="gramEnd"/>
      <w:r>
        <w:rPr>
          <w:rFonts w:ascii="Arial"/>
          <w:sz w:val="18"/>
        </w:rPr>
        <w:t>617)</w:t>
      </w:r>
      <w:r>
        <w:rPr>
          <w:rFonts w:ascii="Arial"/>
          <w:spacing w:val="-3"/>
          <w:sz w:val="18"/>
        </w:rPr>
        <w:t xml:space="preserve"> </w:t>
      </w:r>
      <w:r>
        <w:rPr>
          <w:rFonts w:ascii="Arial"/>
          <w:sz w:val="18"/>
        </w:rPr>
        <w:t>727-2040</w:t>
      </w:r>
    </w:p>
    <w:p w14:paraId="3BDFFA74" w14:textId="77777777" w:rsidR="00C5683B" w:rsidRDefault="002D3603">
      <w:pPr>
        <w:spacing w:before="1"/>
        <w:ind w:left="48"/>
        <w:rPr>
          <w:rFonts w:ascii="Arial"/>
          <w:sz w:val="18"/>
        </w:rPr>
      </w:pPr>
      <w:r>
        <w:rPr>
          <w:rFonts w:ascii="Arial"/>
          <w:sz w:val="18"/>
        </w:rPr>
        <w:t>FAX:</w:t>
      </w:r>
      <w:r>
        <w:rPr>
          <w:rFonts w:ascii="Arial"/>
          <w:spacing w:val="83"/>
          <w:sz w:val="18"/>
        </w:rPr>
        <w:t xml:space="preserve"> </w:t>
      </w:r>
      <w:r>
        <w:rPr>
          <w:rFonts w:ascii="Arial"/>
          <w:sz w:val="18"/>
        </w:rPr>
        <w:t>(617)</w:t>
      </w:r>
      <w:r>
        <w:rPr>
          <w:rFonts w:ascii="Arial"/>
          <w:spacing w:val="-3"/>
          <w:sz w:val="18"/>
        </w:rPr>
        <w:t xml:space="preserve"> </w:t>
      </w:r>
      <w:r>
        <w:rPr>
          <w:rFonts w:ascii="Arial"/>
          <w:sz w:val="18"/>
        </w:rPr>
        <w:t>727-2779</w:t>
      </w:r>
    </w:p>
    <w:p w14:paraId="558E312A" w14:textId="40DA8532" w:rsidR="00C5683B" w:rsidRDefault="001F20F0" w:rsidP="00570209">
      <w:pPr>
        <w:spacing w:before="1"/>
        <w:ind w:left="48"/>
        <w:rPr>
          <w:rFonts w:ascii="Arial"/>
          <w:sz w:val="18"/>
        </w:rPr>
        <w:sectPr w:rsidR="00C5683B">
          <w:type w:val="continuous"/>
          <w:pgSz w:w="12240" w:h="15840"/>
          <w:pgMar w:top="800" w:right="1220" w:bottom="1220" w:left="1280" w:header="0" w:footer="1040" w:gutter="0"/>
          <w:cols w:num="2" w:space="720" w:equalWidth="0">
            <w:col w:w="7776" w:space="40"/>
            <w:col w:w="1924"/>
          </w:cols>
        </w:sectPr>
      </w:pPr>
      <w:hyperlink r:id="rId18">
        <w:r w:rsidR="002D3603">
          <w:rPr>
            <w:rFonts w:ascii="Arial"/>
            <w:sz w:val="18"/>
          </w:rPr>
          <w:t>www.mass.gov/eoaf</w:t>
        </w:r>
      </w:hyperlink>
    </w:p>
    <w:p w14:paraId="4B010DD2" w14:textId="77777777" w:rsidR="00C5683B" w:rsidRDefault="00C5683B">
      <w:pPr>
        <w:pStyle w:val="BodyText"/>
        <w:rPr>
          <w:rFonts w:ascii="Arial"/>
          <w:sz w:val="20"/>
        </w:rPr>
      </w:pPr>
    </w:p>
    <w:p w14:paraId="027C0AE8" w14:textId="77777777" w:rsidR="00C5683B" w:rsidRDefault="00C5683B">
      <w:pPr>
        <w:pStyle w:val="BodyText"/>
        <w:rPr>
          <w:rFonts w:ascii="Arial"/>
          <w:sz w:val="20"/>
        </w:rPr>
      </w:pPr>
    </w:p>
    <w:p w14:paraId="6BBB230C" w14:textId="77777777" w:rsidR="00C5683B" w:rsidRDefault="00C5683B">
      <w:pPr>
        <w:pStyle w:val="BodyText"/>
        <w:rPr>
          <w:rFonts w:ascii="Arial"/>
          <w:sz w:val="20"/>
        </w:rPr>
      </w:pPr>
    </w:p>
    <w:p w14:paraId="053C691E" w14:textId="77777777" w:rsidR="00C5683B" w:rsidRDefault="00C5683B">
      <w:pPr>
        <w:pStyle w:val="BodyText"/>
        <w:spacing w:before="5"/>
        <w:rPr>
          <w:rFonts w:ascii="Arial"/>
          <w:sz w:val="23"/>
        </w:rPr>
      </w:pPr>
    </w:p>
    <w:p w14:paraId="799961B6" w14:textId="77777777" w:rsidR="00C5683B" w:rsidRDefault="002D3603">
      <w:pPr>
        <w:ind w:left="595" w:right="654"/>
        <w:jc w:val="center"/>
        <w:rPr>
          <w:b/>
        </w:rPr>
      </w:pPr>
      <w:r>
        <w:rPr>
          <w:b/>
          <w:u w:val="thick"/>
        </w:rPr>
        <w:t>Meeting</w:t>
      </w:r>
      <w:r>
        <w:rPr>
          <w:b/>
          <w:spacing w:val="-2"/>
          <w:u w:val="thick"/>
        </w:rPr>
        <w:t xml:space="preserve"> </w:t>
      </w:r>
      <w:r>
        <w:rPr>
          <w:b/>
          <w:u w:val="thick"/>
        </w:rPr>
        <w:t>Minutes</w:t>
      </w:r>
    </w:p>
    <w:p w14:paraId="0C467DB4" w14:textId="77777777" w:rsidR="00C5683B" w:rsidRDefault="00C5683B">
      <w:pPr>
        <w:pStyle w:val="BodyText"/>
        <w:spacing w:before="1"/>
        <w:rPr>
          <w:b/>
          <w:sz w:val="14"/>
        </w:rPr>
      </w:pPr>
    </w:p>
    <w:p w14:paraId="07511C2A" w14:textId="0E8DB9EB" w:rsidR="00C5683B" w:rsidRDefault="002D3603">
      <w:pPr>
        <w:spacing w:before="91"/>
        <w:ind w:left="3422" w:right="3481"/>
        <w:jc w:val="center"/>
        <w:rPr>
          <w:b/>
        </w:rPr>
      </w:pPr>
      <w:r>
        <w:rPr>
          <w:b/>
        </w:rPr>
        <w:t>Debt Affordability Committee</w:t>
      </w:r>
      <w:r>
        <w:rPr>
          <w:b/>
          <w:spacing w:val="-53"/>
        </w:rPr>
        <w:t xml:space="preserve"> </w:t>
      </w:r>
      <w:r w:rsidR="00491A8A">
        <w:rPr>
          <w:b/>
        </w:rPr>
        <w:t>October</w:t>
      </w:r>
      <w:r>
        <w:rPr>
          <w:b/>
          <w:spacing w:val="-2"/>
        </w:rPr>
        <w:t xml:space="preserve"> </w:t>
      </w:r>
      <w:r>
        <w:rPr>
          <w:b/>
        </w:rPr>
        <w:t>2</w:t>
      </w:r>
      <w:r w:rsidR="00491A8A">
        <w:rPr>
          <w:b/>
        </w:rPr>
        <w:t>2</w:t>
      </w:r>
      <w:r>
        <w:rPr>
          <w:b/>
        </w:rPr>
        <w:t>,</w:t>
      </w:r>
      <w:r>
        <w:rPr>
          <w:b/>
          <w:spacing w:val="-1"/>
        </w:rPr>
        <w:t xml:space="preserve"> </w:t>
      </w:r>
      <w:r>
        <w:rPr>
          <w:b/>
        </w:rPr>
        <w:t>202</w:t>
      </w:r>
      <w:r w:rsidR="00491A8A">
        <w:rPr>
          <w:b/>
        </w:rPr>
        <w:t>1</w:t>
      </w:r>
    </w:p>
    <w:p w14:paraId="4DB22C75" w14:textId="4B865E02" w:rsidR="00C5683B" w:rsidRDefault="002D3603">
      <w:pPr>
        <w:ind w:left="3422" w:right="3480"/>
        <w:jc w:val="center"/>
        <w:rPr>
          <w:b/>
        </w:rPr>
      </w:pPr>
      <w:r>
        <w:rPr>
          <w:b/>
        </w:rPr>
        <w:t>1:</w:t>
      </w:r>
      <w:r w:rsidR="00491A8A">
        <w:rPr>
          <w:b/>
        </w:rPr>
        <w:t>00</w:t>
      </w:r>
      <w:r>
        <w:rPr>
          <w:b/>
          <w:spacing w:val="-1"/>
        </w:rPr>
        <w:t xml:space="preserve"> </w:t>
      </w:r>
      <w:r>
        <w:rPr>
          <w:b/>
        </w:rPr>
        <w:t>pm</w:t>
      </w:r>
    </w:p>
    <w:p w14:paraId="47605CFE" w14:textId="77777777" w:rsidR="00C5683B" w:rsidRDefault="002D3603">
      <w:pPr>
        <w:ind w:left="2529" w:right="2587"/>
        <w:jc w:val="center"/>
        <w:rPr>
          <w:b/>
        </w:rPr>
      </w:pPr>
      <w:r>
        <w:rPr>
          <w:b/>
        </w:rPr>
        <w:t>Executive</w:t>
      </w:r>
      <w:r>
        <w:rPr>
          <w:b/>
          <w:spacing w:val="-2"/>
        </w:rPr>
        <w:t xml:space="preserve"> </w:t>
      </w:r>
      <w:r>
        <w:rPr>
          <w:b/>
        </w:rPr>
        <w:t>Office</w:t>
      </w:r>
      <w:r>
        <w:rPr>
          <w:b/>
          <w:spacing w:val="-1"/>
        </w:rPr>
        <w:t xml:space="preserve"> </w:t>
      </w:r>
      <w:r>
        <w:rPr>
          <w:b/>
        </w:rPr>
        <w:t>for</w:t>
      </w:r>
      <w:r>
        <w:rPr>
          <w:b/>
          <w:spacing w:val="-1"/>
        </w:rPr>
        <w:t xml:space="preserve"> </w:t>
      </w:r>
      <w:r>
        <w:rPr>
          <w:b/>
        </w:rPr>
        <w:t>Administration</w:t>
      </w:r>
      <w:r>
        <w:rPr>
          <w:b/>
          <w:spacing w:val="-1"/>
        </w:rPr>
        <w:t xml:space="preserve"> </w:t>
      </w:r>
      <w:r>
        <w:rPr>
          <w:b/>
        </w:rPr>
        <w:t>and</w:t>
      </w:r>
      <w:r>
        <w:rPr>
          <w:b/>
          <w:spacing w:val="-1"/>
        </w:rPr>
        <w:t xml:space="preserve"> </w:t>
      </w:r>
      <w:r>
        <w:rPr>
          <w:b/>
        </w:rPr>
        <w:t>Finance</w:t>
      </w:r>
    </w:p>
    <w:p w14:paraId="49600D60" w14:textId="77777777" w:rsidR="00491A8A" w:rsidRPr="00491A8A" w:rsidRDefault="00491A8A" w:rsidP="00491A8A">
      <w:pPr>
        <w:ind w:left="595" w:right="654"/>
        <w:jc w:val="center"/>
        <w:rPr>
          <w:b/>
        </w:rPr>
      </w:pPr>
      <w:r>
        <w:rPr>
          <w:b/>
        </w:rPr>
        <w:t xml:space="preserve">Zoom URL: </w:t>
      </w:r>
      <w:hyperlink r:id="rId19" w:history="1">
        <w:r w:rsidRPr="00491A8A">
          <w:rPr>
            <w:rStyle w:val="Hyperlink"/>
            <w:b/>
          </w:rPr>
          <w:t>https://mass-gov-anf.zoom.us/j/85814341378?pwd=SVA0K1cxRjRySW9LMWUzYWxEQi9QUT09</w:t>
        </w:r>
      </w:hyperlink>
      <w:r w:rsidRPr="00491A8A">
        <w:rPr>
          <w:b/>
        </w:rPr>
        <w:t xml:space="preserve"> </w:t>
      </w:r>
    </w:p>
    <w:p w14:paraId="56DC69F8" w14:textId="04EE035B" w:rsidR="00C5683B" w:rsidRDefault="002D3603">
      <w:pPr>
        <w:ind w:left="595" w:right="654"/>
        <w:jc w:val="center"/>
        <w:rPr>
          <w:b/>
        </w:rPr>
      </w:pPr>
      <w:r>
        <w:rPr>
          <w:b/>
        </w:rPr>
        <w:t>Password: DAC</w:t>
      </w:r>
      <w:r w:rsidR="00491A8A">
        <w:rPr>
          <w:b/>
        </w:rPr>
        <w:t xml:space="preserve">102221 </w:t>
      </w:r>
    </w:p>
    <w:p w14:paraId="06EFDB0D" w14:textId="77777777" w:rsidR="00491A8A" w:rsidRPr="00491A8A" w:rsidRDefault="00491A8A" w:rsidP="00491A8A">
      <w:pPr>
        <w:ind w:left="1440" w:firstLine="720"/>
        <w:rPr>
          <w:b/>
          <w:bCs/>
        </w:rPr>
      </w:pPr>
      <w:r w:rsidRPr="00491A8A">
        <w:rPr>
          <w:b/>
          <w:bCs/>
        </w:rPr>
        <w:t>Teleconference line: 713-353-7024; Conference code: 319738</w:t>
      </w:r>
    </w:p>
    <w:p w14:paraId="50BF3161" w14:textId="77777777" w:rsidR="00491A8A" w:rsidRDefault="00491A8A">
      <w:pPr>
        <w:ind w:left="595" w:right="654"/>
        <w:jc w:val="center"/>
        <w:rPr>
          <w:b/>
        </w:rPr>
      </w:pPr>
    </w:p>
    <w:p w14:paraId="60DA25EF" w14:textId="77777777" w:rsidR="00C5683B" w:rsidRDefault="00C5683B">
      <w:pPr>
        <w:pStyle w:val="BodyText"/>
        <w:rPr>
          <w:b/>
        </w:rPr>
      </w:pPr>
    </w:p>
    <w:p w14:paraId="2BEE2FAC" w14:textId="50E2456F" w:rsidR="00C5683B" w:rsidRDefault="002D3603">
      <w:pPr>
        <w:pStyle w:val="BodyText"/>
        <w:ind w:left="160" w:right="215"/>
        <w:jc w:val="both"/>
      </w:pPr>
      <w:r>
        <w:t xml:space="preserve">A meeting of the Debt Affordability Committee was held on </w:t>
      </w:r>
      <w:r w:rsidR="00491A8A">
        <w:t xml:space="preserve">October </w:t>
      </w:r>
      <w:r>
        <w:t>2</w:t>
      </w:r>
      <w:r w:rsidR="00491A8A">
        <w:t>2</w:t>
      </w:r>
      <w:r>
        <w:t>, 202</w:t>
      </w:r>
      <w:r w:rsidR="00491A8A">
        <w:t>1</w:t>
      </w:r>
      <w:r>
        <w:t>, pursuant to notice duly</w:t>
      </w:r>
      <w:r>
        <w:rPr>
          <w:spacing w:val="1"/>
        </w:rPr>
        <w:t xml:space="preserve"> </w:t>
      </w:r>
      <w:r>
        <w:t>given, and in accordance</w:t>
      </w:r>
      <w:r>
        <w:rPr>
          <w:spacing w:val="55"/>
        </w:rPr>
        <w:t xml:space="preserve"> </w:t>
      </w:r>
      <w:r>
        <w:t>with the Governor’s Executive Order Suspending Certain Provisions of the</w:t>
      </w:r>
      <w:r>
        <w:rPr>
          <w:spacing w:val="1"/>
        </w:rPr>
        <w:t xml:space="preserve"> </w:t>
      </w:r>
      <w:r>
        <w:t>Open Meeting Law, G.L. c. 30A, § 20, signed and dated March 12, 2020, was held via WebEx and</w:t>
      </w:r>
      <w:r>
        <w:rPr>
          <w:spacing w:val="1"/>
        </w:rPr>
        <w:t xml:space="preserve"> </w:t>
      </w:r>
      <w:r>
        <w:t>teleconference.</w:t>
      </w:r>
    </w:p>
    <w:p w14:paraId="6BA797E6" w14:textId="77777777" w:rsidR="00C5683B" w:rsidRDefault="00C5683B">
      <w:pPr>
        <w:pStyle w:val="BodyText"/>
      </w:pPr>
    </w:p>
    <w:p w14:paraId="177B3829" w14:textId="61109565" w:rsidR="00C5683B" w:rsidRDefault="002D3603">
      <w:pPr>
        <w:pStyle w:val="BodyText"/>
        <w:ind w:left="160"/>
        <w:jc w:val="both"/>
      </w:pPr>
      <w:r>
        <w:t>The</w:t>
      </w:r>
      <w:r>
        <w:rPr>
          <w:spacing w:val="-1"/>
        </w:rPr>
        <w:t xml:space="preserve"> </w:t>
      </w:r>
      <w:r>
        <w:t>meeting</w:t>
      </w:r>
      <w:r>
        <w:rPr>
          <w:spacing w:val="-1"/>
        </w:rPr>
        <w:t xml:space="preserve"> </w:t>
      </w:r>
      <w:r>
        <w:t>was</w:t>
      </w:r>
      <w:r>
        <w:rPr>
          <w:spacing w:val="-1"/>
        </w:rPr>
        <w:t xml:space="preserve"> </w:t>
      </w:r>
      <w:r>
        <w:t>called to</w:t>
      </w:r>
      <w:r>
        <w:rPr>
          <w:spacing w:val="-1"/>
        </w:rPr>
        <w:t xml:space="preserve"> </w:t>
      </w:r>
      <w:r>
        <w:t>order</w:t>
      </w:r>
      <w:r>
        <w:rPr>
          <w:spacing w:val="-1"/>
        </w:rPr>
        <w:t xml:space="preserve"> </w:t>
      </w:r>
      <w:r>
        <w:t xml:space="preserve">at </w:t>
      </w:r>
      <w:r w:rsidR="00BB4C75">
        <w:t>1:00</w:t>
      </w:r>
      <w:r w:rsidR="00570209">
        <w:t>PM</w:t>
      </w:r>
    </w:p>
    <w:p w14:paraId="6D263C0F" w14:textId="77777777" w:rsidR="00C5683B" w:rsidRDefault="00C5683B">
      <w:pPr>
        <w:pStyle w:val="BodyText"/>
      </w:pPr>
    </w:p>
    <w:p w14:paraId="6EDAEA02" w14:textId="77777777" w:rsidR="00C5683B" w:rsidRDefault="002D3603">
      <w:pPr>
        <w:ind w:left="160"/>
        <w:jc w:val="both"/>
        <w:rPr>
          <w:b/>
        </w:rPr>
      </w:pPr>
      <w:r>
        <w:rPr>
          <w:b/>
        </w:rPr>
        <w:t>Board</w:t>
      </w:r>
      <w:r>
        <w:rPr>
          <w:b/>
          <w:spacing w:val="-4"/>
        </w:rPr>
        <w:t xml:space="preserve"> </w:t>
      </w:r>
      <w:r>
        <w:rPr>
          <w:b/>
        </w:rPr>
        <w:t>members</w:t>
      </w:r>
      <w:r>
        <w:rPr>
          <w:b/>
          <w:spacing w:val="-3"/>
        </w:rPr>
        <w:t xml:space="preserve"> </w:t>
      </w:r>
      <w:r>
        <w:rPr>
          <w:b/>
        </w:rPr>
        <w:t>comprising</w:t>
      </w:r>
      <w:r>
        <w:rPr>
          <w:b/>
          <w:spacing w:val="-4"/>
        </w:rPr>
        <w:t xml:space="preserve"> </w:t>
      </w:r>
      <w:r>
        <w:rPr>
          <w:b/>
        </w:rPr>
        <w:t>a</w:t>
      </w:r>
      <w:r>
        <w:rPr>
          <w:b/>
          <w:spacing w:val="-3"/>
        </w:rPr>
        <w:t xml:space="preserve"> </w:t>
      </w:r>
      <w:r>
        <w:rPr>
          <w:b/>
        </w:rPr>
        <w:t>quorum:</w:t>
      </w:r>
    </w:p>
    <w:p w14:paraId="5F50318E" w14:textId="77777777" w:rsidR="00C5683B" w:rsidRDefault="00C5683B">
      <w:pPr>
        <w:pStyle w:val="BodyText"/>
        <w:spacing w:before="11"/>
        <w:rPr>
          <w:b/>
          <w:sz w:val="21"/>
        </w:rPr>
      </w:pPr>
    </w:p>
    <w:p w14:paraId="38719BAC" w14:textId="77777777" w:rsidR="00491A8A" w:rsidRPr="00AA0F17" w:rsidRDefault="00491A8A" w:rsidP="00491A8A">
      <w:pPr>
        <w:ind w:left="160"/>
        <w:jc w:val="both"/>
      </w:pPr>
      <w:r>
        <w:t>Kaitlyn Connors</w:t>
      </w:r>
      <w:r w:rsidRPr="00AA0F17">
        <w:t>, Executive Office for Administration &amp; Finance</w:t>
      </w:r>
    </w:p>
    <w:p w14:paraId="796DF5B0" w14:textId="77777777" w:rsidR="00491A8A" w:rsidRPr="00455F66" w:rsidRDefault="00491A8A" w:rsidP="00491A8A">
      <w:pPr>
        <w:ind w:left="160"/>
        <w:jc w:val="both"/>
      </w:pPr>
      <w:r w:rsidRPr="00455F66">
        <w:t>Sue Perez, Office of the Treasurer and Receiver-General</w:t>
      </w:r>
    </w:p>
    <w:p w14:paraId="2223E4D3" w14:textId="77777777" w:rsidR="00491A8A" w:rsidRPr="00455F66" w:rsidRDefault="00491A8A" w:rsidP="00491A8A">
      <w:pPr>
        <w:ind w:left="160"/>
        <w:jc w:val="both"/>
      </w:pPr>
      <w:r w:rsidRPr="00455F66">
        <w:t>Michael Butler, Treasurer’s Appointee</w:t>
      </w:r>
    </w:p>
    <w:p w14:paraId="560E4153" w14:textId="77777777" w:rsidR="00491A8A" w:rsidRPr="00455F66" w:rsidRDefault="00491A8A" w:rsidP="00491A8A">
      <w:pPr>
        <w:ind w:left="160"/>
        <w:jc w:val="both"/>
      </w:pPr>
      <w:r w:rsidRPr="00455F66">
        <w:t xml:space="preserve">Michelle Ho, Massachusetts Department of Transportation </w:t>
      </w:r>
    </w:p>
    <w:p w14:paraId="7BED02B6" w14:textId="77777777" w:rsidR="00491A8A" w:rsidRPr="009A2A8F" w:rsidRDefault="00491A8A" w:rsidP="00491A8A">
      <w:pPr>
        <w:ind w:left="160"/>
        <w:jc w:val="both"/>
      </w:pPr>
      <w:r w:rsidRPr="00455F66">
        <w:t>Pauline Lieu, Comptroller’s Appointee, Office of the Comptroller</w:t>
      </w:r>
    </w:p>
    <w:p w14:paraId="07FE50A9" w14:textId="77777777" w:rsidR="00C5683B" w:rsidRDefault="00C5683B" w:rsidP="00491A8A">
      <w:pPr>
        <w:pStyle w:val="BodyText"/>
        <w:spacing w:before="11"/>
        <w:ind w:left="160"/>
        <w:rPr>
          <w:sz w:val="21"/>
        </w:rPr>
      </w:pPr>
    </w:p>
    <w:p w14:paraId="527A3362" w14:textId="15262C2A" w:rsidR="00C5683B" w:rsidRDefault="002D3603" w:rsidP="00455F66">
      <w:pPr>
        <w:ind w:left="160"/>
      </w:pPr>
      <w:r>
        <w:rPr>
          <w:b/>
        </w:rPr>
        <w:t>Others</w:t>
      </w:r>
      <w:r>
        <w:rPr>
          <w:b/>
          <w:spacing w:val="-2"/>
        </w:rPr>
        <w:t xml:space="preserve"> </w:t>
      </w:r>
      <w:r>
        <w:rPr>
          <w:b/>
        </w:rPr>
        <w:t>in</w:t>
      </w:r>
      <w:r>
        <w:rPr>
          <w:b/>
          <w:spacing w:val="-1"/>
        </w:rPr>
        <w:t xml:space="preserve"> </w:t>
      </w:r>
      <w:r>
        <w:rPr>
          <w:b/>
        </w:rPr>
        <w:t>attendance</w:t>
      </w:r>
      <w:r>
        <w:t>:</w:t>
      </w:r>
    </w:p>
    <w:p w14:paraId="7478FA22" w14:textId="77777777" w:rsidR="00455F66" w:rsidRDefault="00455F66" w:rsidP="00455F66">
      <w:pPr>
        <w:ind w:left="160"/>
      </w:pPr>
    </w:p>
    <w:p w14:paraId="61B30447" w14:textId="7BE2ACB6" w:rsidR="00C5683B" w:rsidRDefault="00491A8A" w:rsidP="00491A8A">
      <w:pPr>
        <w:pStyle w:val="BodyText"/>
        <w:ind w:left="160"/>
      </w:pPr>
      <w:r>
        <w:t>Kelly Govoni, Executive Office for Administration and Finance</w:t>
      </w:r>
    </w:p>
    <w:p w14:paraId="65920FD8" w14:textId="77777777" w:rsidR="00570209" w:rsidRDefault="00570209" w:rsidP="00570209">
      <w:pPr>
        <w:pStyle w:val="BodyText"/>
        <w:ind w:left="160"/>
      </w:pPr>
      <w:r>
        <w:t>Timur Yontar, Executive Office for Administration and Finance</w:t>
      </w:r>
    </w:p>
    <w:p w14:paraId="4208C59E" w14:textId="4C1C6A2C" w:rsidR="00570209" w:rsidRDefault="00570209" w:rsidP="00570209">
      <w:pPr>
        <w:pStyle w:val="BodyText"/>
        <w:ind w:left="160"/>
      </w:pPr>
      <w:r>
        <w:t>Jimmy Cowdell, Executive Office for Administration and Finance</w:t>
      </w:r>
    </w:p>
    <w:p w14:paraId="77079E78" w14:textId="5A0CFCE4" w:rsidR="00491A8A" w:rsidRDefault="00AA5C44" w:rsidP="00AA5C44">
      <w:pPr>
        <w:pStyle w:val="BodyText"/>
        <w:ind w:left="160"/>
      </w:pPr>
      <w:r>
        <w:t xml:space="preserve">Kazim P. </w:t>
      </w:r>
      <w:proofErr w:type="spellStart"/>
      <w:r>
        <w:t>Özyurt</w:t>
      </w:r>
      <w:proofErr w:type="spellEnd"/>
      <w:r>
        <w:t>, Department of Revenue</w:t>
      </w:r>
    </w:p>
    <w:p w14:paraId="58C705A4" w14:textId="5397CD30" w:rsidR="00AA5C44" w:rsidRDefault="00455F66" w:rsidP="00AA5C44">
      <w:pPr>
        <w:pStyle w:val="BodyText"/>
        <w:ind w:left="160"/>
      </w:pPr>
      <w:r>
        <w:t xml:space="preserve">State Representative Danielle Gregoire </w:t>
      </w:r>
    </w:p>
    <w:p w14:paraId="619FCE33" w14:textId="6D1E8FB5" w:rsidR="00455F66" w:rsidRDefault="00455F66" w:rsidP="00AA5C44">
      <w:pPr>
        <w:pStyle w:val="BodyText"/>
        <w:ind w:left="160"/>
      </w:pPr>
      <w:r>
        <w:t xml:space="preserve">Jennifer </w:t>
      </w:r>
      <w:proofErr w:type="spellStart"/>
      <w:r>
        <w:t>Mercadante</w:t>
      </w:r>
      <w:proofErr w:type="spellEnd"/>
      <w:r>
        <w:t>, Office of State Representative Danielle Gregoire</w:t>
      </w:r>
    </w:p>
    <w:p w14:paraId="487C0D09" w14:textId="735EB693" w:rsidR="00455F66" w:rsidRDefault="00455F66" w:rsidP="00AA5C44">
      <w:pPr>
        <w:pStyle w:val="BodyText"/>
        <w:ind w:left="160"/>
      </w:pPr>
      <w:r>
        <w:t>Patrick Walsh, Office of State Representative Danielle Gregoire</w:t>
      </w:r>
    </w:p>
    <w:p w14:paraId="138F0D7B" w14:textId="19FFD066" w:rsidR="00455F66" w:rsidRDefault="00455F66" w:rsidP="00AA5C44">
      <w:pPr>
        <w:pStyle w:val="BodyText"/>
        <w:ind w:left="160"/>
      </w:pPr>
      <w:r>
        <w:t>Greg Denton, Office of Senator Patrick O’Connor</w:t>
      </w:r>
    </w:p>
    <w:p w14:paraId="05EAA0C4" w14:textId="77777777" w:rsidR="00455F66" w:rsidRDefault="00455F66" w:rsidP="00AA5C44">
      <w:pPr>
        <w:pStyle w:val="BodyText"/>
        <w:ind w:left="160"/>
      </w:pPr>
    </w:p>
    <w:p w14:paraId="0DB21CD4" w14:textId="77777777" w:rsidR="00FC314E" w:rsidRDefault="00FC314E">
      <w:pPr>
        <w:ind w:left="160"/>
        <w:rPr>
          <w:b/>
        </w:rPr>
      </w:pPr>
    </w:p>
    <w:p w14:paraId="2BB7FA53" w14:textId="5A15B448" w:rsidR="00C5683B" w:rsidRDefault="002D3603" w:rsidP="00FC314E">
      <w:pPr>
        <w:rPr>
          <w:b/>
        </w:rPr>
      </w:pPr>
      <w:r>
        <w:rPr>
          <w:b/>
        </w:rPr>
        <w:t>Minutes:</w:t>
      </w:r>
    </w:p>
    <w:p w14:paraId="4C0B1685" w14:textId="77777777" w:rsidR="00C5683B" w:rsidRDefault="00C5683B">
      <w:pPr>
        <w:pStyle w:val="BodyText"/>
        <w:rPr>
          <w:b/>
        </w:rPr>
      </w:pPr>
    </w:p>
    <w:p w14:paraId="606BDA62" w14:textId="2158CE76" w:rsidR="00C5683B" w:rsidRDefault="002D3603" w:rsidP="00570209">
      <w:r>
        <w:t>Ms.</w:t>
      </w:r>
      <w:r>
        <w:rPr>
          <w:spacing w:val="11"/>
        </w:rPr>
        <w:t xml:space="preserve"> </w:t>
      </w:r>
      <w:r>
        <w:t>Connors</w:t>
      </w:r>
      <w:r>
        <w:rPr>
          <w:spacing w:val="12"/>
        </w:rPr>
        <w:t xml:space="preserve"> </w:t>
      </w:r>
      <w:r>
        <w:t>called</w:t>
      </w:r>
      <w:r>
        <w:rPr>
          <w:spacing w:val="12"/>
        </w:rPr>
        <w:t xml:space="preserve"> </w:t>
      </w:r>
      <w:r>
        <w:t>the</w:t>
      </w:r>
      <w:r>
        <w:rPr>
          <w:spacing w:val="12"/>
        </w:rPr>
        <w:t xml:space="preserve"> </w:t>
      </w:r>
      <w:r>
        <w:t>meeting</w:t>
      </w:r>
      <w:r>
        <w:rPr>
          <w:spacing w:val="12"/>
        </w:rPr>
        <w:t xml:space="preserve"> </w:t>
      </w:r>
      <w:r>
        <w:t>to</w:t>
      </w:r>
      <w:r>
        <w:rPr>
          <w:spacing w:val="12"/>
        </w:rPr>
        <w:t xml:space="preserve"> </w:t>
      </w:r>
      <w:r>
        <w:t>order.</w:t>
      </w:r>
      <w:r>
        <w:rPr>
          <w:spacing w:val="11"/>
        </w:rPr>
        <w:t xml:space="preserve"> </w:t>
      </w:r>
      <w:r w:rsidR="00570209">
        <w:t xml:space="preserve">Ms. Connors noted for the record that Ms. Walsh is not present at this meeting. </w:t>
      </w:r>
      <w:r>
        <w:t>Upon</w:t>
      </w:r>
      <w:r>
        <w:rPr>
          <w:spacing w:val="12"/>
        </w:rPr>
        <w:t xml:space="preserve"> </w:t>
      </w:r>
      <w:r>
        <w:t>a</w:t>
      </w:r>
      <w:r>
        <w:rPr>
          <w:spacing w:val="12"/>
        </w:rPr>
        <w:t xml:space="preserve"> </w:t>
      </w:r>
      <w:r>
        <w:t>motion</w:t>
      </w:r>
      <w:r>
        <w:rPr>
          <w:spacing w:val="11"/>
        </w:rPr>
        <w:t xml:space="preserve"> </w:t>
      </w:r>
      <w:r>
        <w:t>by</w:t>
      </w:r>
      <w:r>
        <w:rPr>
          <w:spacing w:val="12"/>
        </w:rPr>
        <w:t xml:space="preserve"> </w:t>
      </w:r>
      <w:r w:rsidRPr="007E580B">
        <w:t>Ms.</w:t>
      </w:r>
      <w:r w:rsidRPr="007E580B">
        <w:rPr>
          <w:spacing w:val="12"/>
        </w:rPr>
        <w:t xml:space="preserve"> </w:t>
      </w:r>
      <w:r w:rsidRPr="007E580B">
        <w:t>Ho,</w:t>
      </w:r>
      <w:r w:rsidRPr="007E580B">
        <w:rPr>
          <w:spacing w:val="12"/>
        </w:rPr>
        <w:t xml:space="preserve"> </w:t>
      </w:r>
      <w:r w:rsidRPr="007E580B">
        <w:t>and</w:t>
      </w:r>
      <w:r>
        <w:rPr>
          <w:spacing w:val="11"/>
        </w:rPr>
        <w:t xml:space="preserve"> </w:t>
      </w:r>
      <w:r>
        <w:t>duly</w:t>
      </w:r>
      <w:r>
        <w:rPr>
          <w:spacing w:val="12"/>
        </w:rPr>
        <w:t xml:space="preserve"> </w:t>
      </w:r>
      <w:r>
        <w:t>seconded,</w:t>
      </w:r>
      <w:r>
        <w:rPr>
          <w:spacing w:val="12"/>
        </w:rPr>
        <w:t xml:space="preserve"> </w:t>
      </w:r>
      <w:r>
        <w:t>the</w:t>
      </w:r>
      <w:r>
        <w:rPr>
          <w:spacing w:val="11"/>
        </w:rPr>
        <w:t xml:space="preserve"> </w:t>
      </w:r>
      <w:proofErr w:type="gramStart"/>
      <w:r>
        <w:t>Committee</w:t>
      </w:r>
      <w:r w:rsidR="00570209">
        <w:t xml:space="preserve"> </w:t>
      </w:r>
      <w:r>
        <w:rPr>
          <w:spacing w:val="-52"/>
        </w:rPr>
        <w:t xml:space="preserve"> </w:t>
      </w:r>
      <w:r>
        <w:t>unanimously</w:t>
      </w:r>
      <w:proofErr w:type="gramEnd"/>
      <w:r w:rsidR="00570209">
        <w:t xml:space="preserve"> </w:t>
      </w:r>
      <w:r>
        <w:t>voted to adopt</w:t>
      </w:r>
      <w:r>
        <w:rPr>
          <w:spacing w:val="-1"/>
        </w:rPr>
        <w:t xml:space="preserve"> </w:t>
      </w:r>
      <w:r>
        <w:t>the minutes from the</w:t>
      </w:r>
      <w:r>
        <w:rPr>
          <w:spacing w:val="-1"/>
        </w:rPr>
        <w:t xml:space="preserve"> </w:t>
      </w:r>
      <w:r w:rsidR="00AA5C44">
        <w:t xml:space="preserve">September </w:t>
      </w:r>
      <w:r w:rsidR="00570209">
        <w:t>17,</w:t>
      </w:r>
      <w:r w:rsidR="00AA5C44">
        <w:rPr>
          <w:vertAlign w:val="superscript"/>
        </w:rPr>
        <w:t xml:space="preserve"> </w:t>
      </w:r>
      <w:r w:rsidR="00570209">
        <w:t>2021,</w:t>
      </w:r>
      <w:r w:rsidR="00AA5C44">
        <w:t xml:space="preserve"> meeting</w:t>
      </w:r>
      <w:r>
        <w:t>.</w:t>
      </w:r>
    </w:p>
    <w:p w14:paraId="43C55631" w14:textId="77777777" w:rsidR="006171AF" w:rsidRDefault="006171AF"/>
    <w:p w14:paraId="4CA1D878" w14:textId="76DDD8EC" w:rsidR="007E580B" w:rsidRDefault="007E580B">
      <w:r>
        <w:t>Moving on, Mr.</w:t>
      </w:r>
      <w:r w:rsidR="006171AF">
        <w:t xml:space="preserve"> </w:t>
      </w:r>
      <w:proofErr w:type="spellStart"/>
      <w:r>
        <w:t>Özyurt</w:t>
      </w:r>
      <w:proofErr w:type="spellEnd"/>
      <w:r>
        <w:t xml:space="preserve"> provided an overview of the MA state tax collections year-over-year changes by month. Starting with the year 2008, Mr. </w:t>
      </w:r>
      <w:proofErr w:type="spellStart"/>
      <w:r>
        <w:t>Özyurt</w:t>
      </w:r>
      <w:proofErr w:type="spellEnd"/>
      <w:r>
        <w:t xml:space="preserve"> explained the trends since then and noted we have seen positive</w:t>
      </w:r>
      <w:r w:rsidR="009547EF">
        <w:t xml:space="preserve"> state tax</w:t>
      </w:r>
      <w:r>
        <w:t xml:space="preserve"> trends. Mr. </w:t>
      </w:r>
      <w:proofErr w:type="spellStart"/>
      <w:r>
        <w:t>Özyurt</w:t>
      </w:r>
      <w:proofErr w:type="spellEnd"/>
      <w:r>
        <w:t xml:space="preserve"> also noted that during the pandemic, </w:t>
      </w:r>
      <w:r w:rsidR="000B01D3">
        <w:t>the Department of Revenue (DOR)</w:t>
      </w:r>
      <w:r>
        <w:t xml:space="preserve"> saw significant fluctuations due to </w:t>
      </w:r>
      <w:proofErr w:type="gramStart"/>
      <w:r>
        <w:t>COVID</w:t>
      </w:r>
      <w:proofErr w:type="gramEnd"/>
      <w:r>
        <w:t xml:space="preserve"> but overall revenues did pretty well. </w:t>
      </w:r>
      <w:r w:rsidR="000B01D3">
        <w:t xml:space="preserve">Mr. </w:t>
      </w:r>
      <w:proofErr w:type="spellStart"/>
      <w:r w:rsidR="000B01D3">
        <w:t>Özyurt</w:t>
      </w:r>
      <w:proofErr w:type="spellEnd"/>
      <w:r w:rsidR="000B01D3">
        <w:t xml:space="preserve"> then provided an overview of the FY21 revenue performance. The preliminary total for FY21 is $34.14 billion, which is 15.3% more than FY20 and $5.05 B above benchmark. Mr. </w:t>
      </w:r>
      <w:proofErr w:type="spellStart"/>
      <w:r w:rsidR="000B01D3">
        <w:t>Özyurt</w:t>
      </w:r>
      <w:proofErr w:type="spellEnd"/>
      <w:r w:rsidR="000B01D3">
        <w:t xml:space="preserve"> noted that these numbers reflect the impact of the ongoing economic recovery efforts, federal fiscal and monetary </w:t>
      </w:r>
      <w:r w:rsidR="00570209">
        <w:t>policies,</w:t>
      </w:r>
      <w:r w:rsidR="000B01D3">
        <w:t xml:space="preserve"> and the financial markets’ performance.  Furthermore, Mr. </w:t>
      </w:r>
      <w:proofErr w:type="spellStart"/>
      <w:r w:rsidR="000B01D3">
        <w:t>Özyurt</w:t>
      </w:r>
      <w:proofErr w:type="spellEnd"/>
      <w:r w:rsidR="000B01D3">
        <w:t xml:space="preserve"> </w:t>
      </w:r>
      <w:r w:rsidR="00570209">
        <w:t xml:space="preserve">noted that </w:t>
      </w:r>
      <w:r w:rsidR="00C1240B">
        <w:t xml:space="preserve">the major tax categories that performed well </w:t>
      </w:r>
      <w:proofErr w:type="gramStart"/>
      <w:r w:rsidR="00C1240B">
        <w:t>were:</w:t>
      </w:r>
      <w:proofErr w:type="gramEnd"/>
      <w:r w:rsidR="00C1240B">
        <w:t xml:space="preserve"> </w:t>
      </w:r>
      <w:r w:rsidR="00570209">
        <w:t>w</w:t>
      </w:r>
      <w:r w:rsidR="00C1240B" w:rsidRPr="00C1240B">
        <w:t xml:space="preserve">ithholding, </w:t>
      </w:r>
      <w:r w:rsidR="00570209">
        <w:t>n</w:t>
      </w:r>
      <w:r w:rsidR="00570209" w:rsidRPr="00C1240B">
        <w:t>on-withheld</w:t>
      </w:r>
      <w:r w:rsidR="00C1240B" w:rsidRPr="00C1240B">
        <w:t xml:space="preserve"> income </w:t>
      </w:r>
      <w:r w:rsidR="00570209" w:rsidRPr="00C1240B">
        <w:t>tax,</w:t>
      </w:r>
      <w:r w:rsidR="00C1240B" w:rsidRPr="00C1240B">
        <w:t xml:space="preserve"> corporate tax</w:t>
      </w:r>
      <w:r w:rsidR="00570209">
        <w:t>,</w:t>
      </w:r>
      <w:r w:rsidR="00C1240B" w:rsidRPr="00C1240B">
        <w:t xml:space="preserve"> estate tax, and sales tax</w:t>
      </w:r>
      <w:r w:rsidR="00C1240B">
        <w:t xml:space="preserve">. Each category performed </w:t>
      </w:r>
      <w:r w:rsidR="00B10634">
        <w:t>over benchmark</w:t>
      </w:r>
      <w:r w:rsidR="00D51000">
        <w:t xml:space="preserve"> as noted below</w:t>
      </w:r>
      <w:r w:rsidR="00B10634">
        <w:t xml:space="preserve">: </w:t>
      </w:r>
    </w:p>
    <w:p w14:paraId="7907161A" w14:textId="34C41645" w:rsidR="00B10634" w:rsidRDefault="00B10634" w:rsidP="00B10634"/>
    <w:p w14:paraId="1B26EAE2" w14:textId="6BA49808" w:rsidR="00B10634" w:rsidRDefault="00B10634" w:rsidP="00B10634">
      <w:pPr>
        <w:pStyle w:val="ListParagraph"/>
        <w:numPr>
          <w:ilvl w:val="0"/>
          <w:numId w:val="2"/>
        </w:numPr>
      </w:pPr>
      <w:r>
        <w:t>Withholding, $688M above benchmark</w:t>
      </w:r>
    </w:p>
    <w:p w14:paraId="091F6CB5" w14:textId="24696710" w:rsidR="00B10634" w:rsidRDefault="00B10634" w:rsidP="00B10634">
      <w:pPr>
        <w:pStyle w:val="ListParagraph"/>
        <w:numPr>
          <w:ilvl w:val="0"/>
          <w:numId w:val="2"/>
        </w:numPr>
      </w:pPr>
      <w:r>
        <w:t>Non withheld income tax, $2.23B above benchmark</w:t>
      </w:r>
    </w:p>
    <w:p w14:paraId="500B15D7" w14:textId="3C2BB217" w:rsidR="00B10634" w:rsidRDefault="00B10634" w:rsidP="00B10634">
      <w:pPr>
        <w:pStyle w:val="ListParagraph"/>
        <w:numPr>
          <w:ilvl w:val="0"/>
          <w:numId w:val="2"/>
        </w:numPr>
      </w:pPr>
      <w:r>
        <w:t>Corporate tax, $892M over benchmark</w:t>
      </w:r>
    </w:p>
    <w:p w14:paraId="5F644766" w14:textId="7AA3A9E6" w:rsidR="00B10634" w:rsidRDefault="00B10634" w:rsidP="00B10634">
      <w:pPr>
        <w:pStyle w:val="ListParagraph"/>
        <w:numPr>
          <w:ilvl w:val="0"/>
          <w:numId w:val="2"/>
        </w:numPr>
      </w:pPr>
      <w:r>
        <w:t>Sales tax, $660M over benchmark</w:t>
      </w:r>
    </w:p>
    <w:p w14:paraId="3FE00F7B" w14:textId="73B9DBA1" w:rsidR="00B10634" w:rsidRDefault="00B10634" w:rsidP="00B10634">
      <w:pPr>
        <w:pStyle w:val="ListParagraph"/>
        <w:numPr>
          <w:ilvl w:val="0"/>
          <w:numId w:val="2"/>
        </w:numPr>
      </w:pPr>
      <w:r>
        <w:t>All other, $582M over benchmark</w:t>
      </w:r>
    </w:p>
    <w:p w14:paraId="24172C67" w14:textId="711C7E5E" w:rsidR="006171AF" w:rsidRPr="00B10634" w:rsidRDefault="006171AF" w:rsidP="00B10634"/>
    <w:p w14:paraId="29BD9FB4" w14:textId="01EF71A7" w:rsidR="00B10634" w:rsidRDefault="00B10634" w:rsidP="00B10634">
      <w:pPr>
        <w:pStyle w:val="Default"/>
        <w:rPr>
          <w:rFonts w:ascii="Times New Roman" w:hAnsi="Times New Roman" w:cs="Times New Roman"/>
          <w:sz w:val="22"/>
          <w:szCs w:val="22"/>
        </w:rPr>
      </w:pPr>
      <w:r w:rsidRPr="00B10634">
        <w:rPr>
          <w:rFonts w:ascii="Times New Roman" w:hAnsi="Times New Roman" w:cs="Times New Roman"/>
          <w:sz w:val="22"/>
          <w:szCs w:val="22"/>
        </w:rPr>
        <w:t xml:space="preserve">Mr. </w:t>
      </w:r>
      <w:proofErr w:type="spellStart"/>
      <w:r w:rsidRPr="00B10634">
        <w:rPr>
          <w:rFonts w:ascii="Times New Roman" w:hAnsi="Times New Roman" w:cs="Times New Roman"/>
          <w:sz w:val="22"/>
          <w:szCs w:val="22"/>
        </w:rPr>
        <w:t>Özyurt</w:t>
      </w:r>
      <w:proofErr w:type="spellEnd"/>
      <w:r>
        <w:rPr>
          <w:rFonts w:ascii="Times New Roman" w:hAnsi="Times New Roman" w:cs="Times New Roman"/>
          <w:sz w:val="22"/>
          <w:szCs w:val="22"/>
        </w:rPr>
        <w:t xml:space="preserve"> then proceeded to provide an update on FY22 year-to-date (through September) tax collections. </w:t>
      </w:r>
      <w:r w:rsidRPr="00B10634">
        <w:rPr>
          <w:rFonts w:ascii="Times New Roman" w:hAnsi="Times New Roman" w:cs="Times New Roman"/>
          <w:sz w:val="22"/>
          <w:szCs w:val="22"/>
        </w:rPr>
        <w:t xml:space="preserve">Mr. </w:t>
      </w:r>
      <w:proofErr w:type="spellStart"/>
      <w:r w:rsidRPr="00B10634">
        <w:rPr>
          <w:rFonts w:ascii="Times New Roman" w:hAnsi="Times New Roman" w:cs="Times New Roman"/>
          <w:sz w:val="22"/>
          <w:szCs w:val="22"/>
        </w:rPr>
        <w:t>Özyurt</w:t>
      </w:r>
      <w:proofErr w:type="spellEnd"/>
      <w:r>
        <w:rPr>
          <w:rFonts w:ascii="Times New Roman" w:hAnsi="Times New Roman" w:cs="Times New Roman"/>
          <w:sz w:val="22"/>
          <w:szCs w:val="22"/>
        </w:rPr>
        <w:t xml:space="preserve"> noted that in general September is a significant month for revenues because many individuals and corporations are required to make estimated payments. For FY22 the year-to-date total is: $8.751 billion, which is </w:t>
      </w:r>
      <w:r w:rsidR="00FC314E">
        <w:rPr>
          <w:rFonts w:ascii="Times New Roman" w:hAnsi="Times New Roman" w:cs="Times New Roman"/>
          <w:sz w:val="22"/>
          <w:szCs w:val="22"/>
        </w:rPr>
        <w:t xml:space="preserve">an increase of $1.501 B from the same period in FY21 and $525 M above September’s year-to-date benchmark.  </w:t>
      </w:r>
      <w:r w:rsidR="00FC314E" w:rsidRPr="00B10634">
        <w:rPr>
          <w:rFonts w:ascii="Times New Roman" w:hAnsi="Times New Roman" w:cs="Times New Roman"/>
          <w:sz w:val="22"/>
          <w:szCs w:val="22"/>
        </w:rPr>
        <w:t xml:space="preserve">Mr. </w:t>
      </w:r>
      <w:proofErr w:type="spellStart"/>
      <w:r w:rsidR="00FC314E" w:rsidRPr="00B10634">
        <w:rPr>
          <w:rFonts w:ascii="Times New Roman" w:hAnsi="Times New Roman" w:cs="Times New Roman"/>
          <w:sz w:val="22"/>
          <w:szCs w:val="22"/>
        </w:rPr>
        <w:t>Özyurt</w:t>
      </w:r>
      <w:proofErr w:type="spellEnd"/>
      <w:r w:rsidR="00FC314E">
        <w:rPr>
          <w:rFonts w:ascii="Times New Roman" w:hAnsi="Times New Roman" w:cs="Times New Roman"/>
          <w:sz w:val="22"/>
          <w:szCs w:val="22"/>
        </w:rPr>
        <w:t xml:space="preserve"> explained that this increase is due to positive performances in income tax, corporate and business tax collections, and “all other” taxes, including motor fuels, cigarettes, alcohol, and deeds.</w:t>
      </w:r>
    </w:p>
    <w:p w14:paraId="40C4D46A" w14:textId="50F2B3F3" w:rsidR="00FC314E" w:rsidRDefault="00FC314E" w:rsidP="00B10634">
      <w:pPr>
        <w:pStyle w:val="Default"/>
        <w:rPr>
          <w:rFonts w:ascii="Times New Roman" w:hAnsi="Times New Roman" w:cs="Times New Roman"/>
          <w:sz w:val="22"/>
          <w:szCs w:val="22"/>
        </w:rPr>
      </w:pPr>
    </w:p>
    <w:p w14:paraId="09EE4F77" w14:textId="6A2FE4FB" w:rsidR="00FC314E" w:rsidRPr="00B10634" w:rsidRDefault="00FC314E" w:rsidP="00B10634">
      <w:pPr>
        <w:pStyle w:val="Default"/>
        <w:rPr>
          <w:rFonts w:ascii="Times New Roman" w:hAnsi="Times New Roman" w:cs="Times New Roman"/>
          <w:sz w:val="22"/>
          <w:szCs w:val="22"/>
        </w:rPr>
      </w:pPr>
      <w:r>
        <w:rPr>
          <w:rFonts w:ascii="Times New Roman" w:hAnsi="Times New Roman" w:cs="Times New Roman"/>
          <w:sz w:val="22"/>
          <w:szCs w:val="22"/>
        </w:rPr>
        <w:t xml:space="preserve">Ms. Connors thanked </w:t>
      </w:r>
      <w:r w:rsidRPr="00B10634">
        <w:rPr>
          <w:rFonts w:ascii="Times New Roman" w:hAnsi="Times New Roman" w:cs="Times New Roman"/>
          <w:sz w:val="22"/>
          <w:szCs w:val="22"/>
        </w:rPr>
        <w:t xml:space="preserve">Mr. </w:t>
      </w:r>
      <w:proofErr w:type="spellStart"/>
      <w:r w:rsidRPr="00B10634">
        <w:rPr>
          <w:rFonts w:ascii="Times New Roman" w:hAnsi="Times New Roman" w:cs="Times New Roman"/>
          <w:sz w:val="22"/>
          <w:szCs w:val="22"/>
        </w:rPr>
        <w:t>Özyurt</w:t>
      </w:r>
      <w:proofErr w:type="spellEnd"/>
      <w:r>
        <w:rPr>
          <w:rFonts w:ascii="Times New Roman" w:hAnsi="Times New Roman" w:cs="Times New Roman"/>
          <w:sz w:val="22"/>
          <w:szCs w:val="22"/>
        </w:rPr>
        <w:t xml:space="preserve"> and noted that his presentation is very helpful to the Committee</w:t>
      </w:r>
      <w:r w:rsidR="00A4672E">
        <w:rPr>
          <w:rFonts w:ascii="Times New Roman" w:hAnsi="Times New Roman" w:cs="Times New Roman"/>
          <w:sz w:val="22"/>
          <w:szCs w:val="22"/>
        </w:rPr>
        <w:t>’</w:t>
      </w:r>
      <w:r>
        <w:rPr>
          <w:rFonts w:ascii="Times New Roman" w:hAnsi="Times New Roman" w:cs="Times New Roman"/>
          <w:sz w:val="22"/>
          <w:szCs w:val="22"/>
        </w:rPr>
        <w:t xml:space="preserve">s work and asked if anyone had any questions. </w:t>
      </w:r>
    </w:p>
    <w:p w14:paraId="0234BE4C" w14:textId="05992AA1" w:rsidR="0070553E" w:rsidRDefault="0070553E"/>
    <w:p w14:paraId="1E04360C" w14:textId="6C540B30" w:rsidR="0070553E" w:rsidRDefault="00FC314E">
      <w:r>
        <w:t xml:space="preserve">Ms. Lieu asked what the FY22 threshold for capital gains is this year and what category capital gains are part of.  </w:t>
      </w:r>
      <w:r w:rsidRPr="00B10634">
        <w:t xml:space="preserve">Mr. </w:t>
      </w:r>
      <w:proofErr w:type="spellStart"/>
      <w:r w:rsidRPr="00B10634">
        <w:t>Özyurt</w:t>
      </w:r>
      <w:proofErr w:type="spellEnd"/>
      <w:r>
        <w:t xml:space="preserve"> explained that c</w:t>
      </w:r>
      <w:r w:rsidR="0070553E">
        <w:t xml:space="preserve">apital gain taxes show up in the non-withheld personal income tax category. </w:t>
      </w:r>
      <w:r w:rsidRPr="00B10634">
        <w:t xml:space="preserve">Mr. </w:t>
      </w:r>
      <w:proofErr w:type="spellStart"/>
      <w:r w:rsidRPr="00B10634">
        <w:t>Özyurt</w:t>
      </w:r>
      <w:proofErr w:type="spellEnd"/>
      <w:r>
        <w:t xml:space="preserve"> stated that the capital gains </w:t>
      </w:r>
      <w:r w:rsidR="009547EF">
        <w:t xml:space="preserve">threshold </w:t>
      </w:r>
      <w:r>
        <w:t>for FY22 is $</w:t>
      </w:r>
      <w:r w:rsidR="0070553E">
        <w:t>1</w:t>
      </w:r>
      <w:r w:rsidR="00D51000">
        <w:t>,</w:t>
      </w:r>
      <w:r w:rsidR="0070553E">
        <w:t>351</w:t>
      </w:r>
      <w:r w:rsidR="00D51000">
        <w:t>,</w:t>
      </w:r>
      <w:r w:rsidR="0070553E">
        <w:t>912</w:t>
      </w:r>
      <w:r w:rsidR="00D51000">
        <w:t>,</w:t>
      </w:r>
      <w:r w:rsidR="0070553E">
        <w:t>909</w:t>
      </w:r>
      <w:r w:rsidR="00761444">
        <w:t>;</w:t>
      </w:r>
      <w:r w:rsidR="0070553E">
        <w:t xml:space="preserve"> any exceeding amount </w:t>
      </w:r>
      <w:r w:rsidR="00761444">
        <w:t xml:space="preserve">would </w:t>
      </w:r>
      <w:r w:rsidR="0070553E">
        <w:t xml:space="preserve">go to the stabilization fund and other funds. </w:t>
      </w:r>
    </w:p>
    <w:p w14:paraId="49307C9E" w14:textId="64299A0E" w:rsidR="0070553E" w:rsidRDefault="0070553E"/>
    <w:p w14:paraId="2B07F111" w14:textId="4695AC06" w:rsidR="0070553E" w:rsidRDefault="00AB30FF">
      <w:r>
        <w:t xml:space="preserve">Mr. Butler then </w:t>
      </w:r>
      <w:r w:rsidR="00F95E9D">
        <w:t xml:space="preserve">asked what the FY22 budgeted revenue number is </w:t>
      </w:r>
      <w:r>
        <w:t xml:space="preserve">and </w:t>
      </w:r>
      <w:r w:rsidRPr="00B10634">
        <w:t xml:space="preserve">Mr. </w:t>
      </w:r>
      <w:proofErr w:type="spellStart"/>
      <w:r w:rsidRPr="00B10634">
        <w:t>Özyurt</w:t>
      </w:r>
      <w:proofErr w:type="spellEnd"/>
      <w:r>
        <w:t xml:space="preserve"> stated that it is $</w:t>
      </w:r>
      <w:r w:rsidR="00F95E9D">
        <w:t xml:space="preserve">34.401B. </w:t>
      </w:r>
    </w:p>
    <w:p w14:paraId="36F1E8CF" w14:textId="797D0E15" w:rsidR="00F95E9D" w:rsidRDefault="00F95E9D"/>
    <w:p w14:paraId="4D92475F" w14:textId="0F1EB9B1" w:rsidR="00F95E9D" w:rsidRDefault="00AB30FF">
      <w:r>
        <w:t>Ms. Ho asked how</w:t>
      </w:r>
      <w:r w:rsidR="00F95E9D">
        <w:t xml:space="preserve"> </w:t>
      </w:r>
      <w:r>
        <w:t>the Commonwealth</w:t>
      </w:r>
      <w:r w:rsidR="00F95E9D">
        <w:t xml:space="preserve"> compare</w:t>
      </w:r>
      <w:r>
        <w:t>s</w:t>
      </w:r>
      <w:r w:rsidR="00F95E9D">
        <w:t xml:space="preserve"> to FY19 and what year took the biggest hit from </w:t>
      </w:r>
      <w:r w:rsidR="00200DE6">
        <w:t>the pandemic</w:t>
      </w:r>
      <w:r>
        <w:t xml:space="preserve">. </w:t>
      </w:r>
      <w:r w:rsidRPr="00B10634">
        <w:t xml:space="preserve">Mr. </w:t>
      </w:r>
      <w:proofErr w:type="spellStart"/>
      <w:r w:rsidRPr="00B10634">
        <w:t>Özyurt</w:t>
      </w:r>
      <w:proofErr w:type="spellEnd"/>
      <w:r>
        <w:t xml:space="preserve"> noted that FY20 had flat growth but did reasonably well, noting that FY21 compared to FY19 is still significant growth. Mr. Butler noted that FY20 was -</w:t>
      </w:r>
      <w:r w:rsidR="00D51000">
        <w:t>0</w:t>
      </w:r>
      <w:r>
        <w:t xml:space="preserve">.3% down from FY19. </w:t>
      </w:r>
    </w:p>
    <w:p w14:paraId="5FDC35DA" w14:textId="1E0AD8EB" w:rsidR="00F95E9D" w:rsidRDefault="00F95E9D"/>
    <w:p w14:paraId="2130785A" w14:textId="2A12B901" w:rsidR="00F95E9D" w:rsidRDefault="00AB30FF">
      <w:r>
        <w:t xml:space="preserve">Mr. Yontar asked </w:t>
      </w:r>
      <w:r w:rsidRPr="00B10634">
        <w:t xml:space="preserve">Mr. </w:t>
      </w:r>
      <w:proofErr w:type="spellStart"/>
      <w:r w:rsidRPr="00B10634">
        <w:t>Özyurt</w:t>
      </w:r>
      <w:proofErr w:type="spellEnd"/>
      <w:r>
        <w:t xml:space="preserve"> to clarify what non-withholding revenue is. </w:t>
      </w:r>
      <w:r w:rsidRPr="00B10634">
        <w:t xml:space="preserve">Mr. </w:t>
      </w:r>
      <w:proofErr w:type="spellStart"/>
      <w:r w:rsidRPr="00B10634">
        <w:t>Özyurt</w:t>
      </w:r>
      <w:proofErr w:type="spellEnd"/>
      <w:r>
        <w:t xml:space="preserve"> noted that non- </w:t>
      </w:r>
      <w:r w:rsidR="00F95E9D">
        <w:t>withholding is any type of payment that are estimated payments</w:t>
      </w:r>
      <w:r>
        <w:t xml:space="preserve"> </w:t>
      </w:r>
      <w:r w:rsidR="00F95E9D">
        <w:t xml:space="preserve">like </w:t>
      </w:r>
      <w:r>
        <w:t>capital</w:t>
      </w:r>
      <w:r w:rsidR="00F95E9D">
        <w:t xml:space="preserve"> gain, investment income, return payments</w:t>
      </w:r>
      <w:r>
        <w:t xml:space="preserve"> and other blended </w:t>
      </w:r>
      <w:r w:rsidR="00F95E9D">
        <w:t xml:space="preserve">income other than wage and salary </w:t>
      </w:r>
    </w:p>
    <w:p w14:paraId="32DE9E04" w14:textId="77777777" w:rsidR="0070553E" w:rsidRDefault="0070553E"/>
    <w:p w14:paraId="58753C9D" w14:textId="33B1A13B" w:rsidR="006A2377" w:rsidRDefault="0070553E">
      <w:r>
        <w:t>Ms. Connors</w:t>
      </w:r>
      <w:r w:rsidR="00ED7D7F">
        <w:t xml:space="preserve"> asked </w:t>
      </w:r>
      <w:r w:rsidR="00ED7D7F" w:rsidRPr="00B10634">
        <w:t xml:space="preserve">Mr. </w:t>
      </w:r>
      <w:proofErr w:type="spellStart"/>
      <w:r w:rsidR="00ED7D7F" w:rsidRPr="00B10634">
        <w:t>Özyurt</w:t>
      </w:r>
      <w:proofErr w:type="spellEnd"/>
      <w:r w:rsidR="00ED7D7F">
        <w:t xml:space="preserve"> what he thought was the biggest driver of the growth and if we will continue to see similar growth patterns moving forward. </w:t>
      </w:r>
      <w:r w:rsidR="00ED7D7F" w:rsidRPr="00B10634">
        <w:t xml:space="preserve">Mr. </w:t>
      </w:r>
      <w:proofErr w:type="spellStart"/>
      <w:r w:rsidR="00ED7D7F" w:rsidRPr="00B10634">
        <w:t>Özyurt</w:t>
      </w:r>
      <w:proofErr w:type="spellEnd"/>
      <w:r w:rsidR="00ED7D7F">
        <w:t xml:space="preserve"> noted that in FY21 improvements in the economy,</w:t>
      </w:r>
      <w:r w:rsidR="00F95E9D">
        <w:t xml:space="preserve"> labor markets,</w:t>
      </w:r>
      <w:r w:rsidR="00ED7D7F">
        <w:t xml:space="preserve"> and</w:t>
      </w:r>
      <w:r w:rsidR="00F95E9D">
        <w:t xml:space="preserve"> </w:t>
      </w:r>
      <w:r w:rsidR="00ED7D7F">
        <w:t xml:space="preserve">increased </w:t>
      </w:r>
      <w:r w:rsidR="00F95E9D">
        <w:t>unemployment benefits</w:t>
      </w:r>
      <w:r w:rsidR="00ED7D7F">
        <w:t xml:space="preserve"> spurred growth in FY21. </w:t>
      </w:r>
      <w:r w:rsidR="00ED7D7F" w:rsidRPr="00B10634">
        <w:t xml:space="preserve">Mr. </w:t>
      </w:r>
      <w:proofErr w:type="spellStart"/>
      <w:r w:rsidR="00200DE6" w:rsidRPr="00B10634">
        <w:t>Özyurt</w:t>
      </w:r>
      <w:proofErr w:type="spellEnd"/>
      <w:r w:rsidR="00200DE6">
        <w:t xml:space="preserve"> noted</w:t>
      </w:r>
      <w:r w:rsidR="00ED7D7F">
        <w:t xml:space="preserve"> that t</w:t>
      </w:r>
      <w:r w:rsidR="006906E3">
        <w:t xml:space="preserve">hese trends are shown across the country and not just </w:t>
      </w:r>
      <w:r w:rsidR="00ED7D7F">
        <w:t>in Massachusetts</w:t>
      </w:r>
      <w:r w:rsidR="006906E3">
        <w:t xml:space="preserve">. </w:t>
      </w:r>
      <w:r w:rsidR="00ED7D7F" w:rsidRPr="00B10634">
        <w:t xml:space="preserve">Mr. </w:t>
      </w:r>
      <w:proofErr w:type="spellStart"/>
      <w:r w:rsidR="00ED7D7F" w:rsidRPr="00B10634">
        <w:t>Özyurt</w:t>
      </w:r>
      <w:proofErr w:type="spellEnd"/>
      <w:r w:rsidR="00ED7D7F">
        <w:t xml:space="preserve"> also noted that other components such as capital gains and the stock market had an impact as well but because no one can guarantee this moving forward, we should not place too much emphasis on these categories. </w:t>
      </w:r>
      <w:r w:rsidR="00ED7D7F" w:rsidRPr="00B10634">
        <w:t xml:space="preserve">Mr. </w:t>
      </w:r>
      <w:proofErr w:type="spellStart"/>
      <w:r w:rsidR="00ED7D7F" w:rsidRPr="00B10634">
        <w:t>Özyurt</w:t>
      </w:r>
      <w:proofErr w:type="spellEnd"/>
      <w:r w:rsidR="00ED7D7F">
        <w:t xml:space="preserve"> further noted that t</w:t>
      </w:r>
      <w:r w:rsidR="006906E3">
        <w:t xml:space="preserve">he growth we saw in FY21 is going to slow down a </w:t>
      </w:r>
      <w:r w:rsidR="00ED7D7F">
        <w:t>little,</w:t>
      </w:r>
      <w:r w:rsidR="006906E3">
        <w:t xml:space="preserve"> so we need to be cautious. </w:t>
      </w:r>
    </w:p>
    <w:p w14:paraId="26C053B9" w14:textId="77777777" w:rsidR="006A2377" w:rsidRDefault="006A2377"/>
    <w:p w14:paraId="5D1EFD01" w14:textId="4C6952F6" w:rsidR="006A2377" w:rsidRDefault="006A2377">
      <w:r>
        <w:t xml:space="preserve">Ms. Connors </w:t>
      </w:r>
      <w:r w:rsidR="002D3603">
        <w:t xml:space="preserve">thanked </w:t>
      </w:r>
      <w:r w:rsidR="002D3603" w:rsidRPr="00B10634">
        <w:t xml:space="preserve">Mr. </w:t>
      </w:r>
      <w:proofErr w:type="spellStart"/>
      <w:r w:rsidR="002D3603" w:rsidRPr="00B10634">
        <w:t>Özyurt</w:t>
      </w:r>
      <w:proofErr w:type="spellEnd"/>
      <w:r w:rsidR="002D3603">
        <w:t xml:space="preserve"> for his time and </w:t>
      </w:r>
      <w:r>
        <w:t>mov</w:t>
      </w:r>
      <w:r w:rsidR="002D3603">
        <w:t>ed o</w:t>
      </w:r>
      <w:r>
        <w:t>nto the next agenda item</w:t>
      </w:r>
      <w:r w:rsidR="002D3603">
        <w:t xml:space="preserve"> scheduled</w:t>
      </w:r>
      <w:r w:rsidR="00637CBA">
        <w:t xml:space="preserve">, the FY22 Capital Investment Plan (CIP) overview. </w:t>
      </w:r>
    </w:p>
    <w:p w14:paraId="7FA07A62" w14:textId="4A840BB2" w:rsidR="00637CBA" w:rsidRDefault="00637CBA"/>
    <w:p w14:paraId="141C0452" w14:textId="0808C1B6" w:rsidR="006A2377" w:rsidRDefault="00637CBA">
      <w:r>
        <w:t xml:space="preserve">Mr. Yontar explained that the FY22 CIP was published on June 14, 2021. The maintenance CIP focused on FY22 </w:t>
      </w:r>
      <w:r w:rsidR="00200DE6">
        <w:t>spending and</w:t>
      </w:r>
      <w:r>
        <w:t xml:space="preserve"> sought to maintain baseline levels of investment and preexisting levels of commitment, as well as funding key initiatives in response to the pandemic. </w:t>
      </w:r>
      <w:r w:rsidR="00200DE6">
        <w:t>Furthermore, the</w:t>
      </w:r>
      <w:r>
        <w:t xml:space="preserve"> plan spends a total of $2.655 B, exactly at the affordable level of spending that the Debt Affordability Committee (DAC) proposed. Mr. Yontar explained that this represents an $197 M increase over the FY21 plan. Mr. Yontar proceeded to outline FY22’s </w:t>
      </w:r>
      <w:r w:rsidR="00053EF9">
        <w:t>capital themes</w:t>
      </w:r>
      <w:r>
        <w:t xml:space="preserve">, which include Asset Stewardship, Climate Resiliency, Economic Opportunity, Value Optimization, Customer Orientation, </w:t>
      </w:r>
      <w:r w:rsidR="00053EF9">
        <w:t xml:space="preserve">and </w:t>
      </w:r>
      <w:r>
        <w:t>Supporting Communities</w:t>
      </w:r>
      <w:r w:rsidR="00053EF9">
        <w:t xml:space="preserve">. Mr. Yontar explained the budget summary for the Capital Fund FY22 plan, which are broken down </w:t>
      </w:r>
      <w:r w:rsidR="00200DE6">
        <w:t>below</w:t>
      </w:r>
      <w:r w:rsidR="00053EF9">
        <w:t>:</w:t>
      </w:r>
    </w:p>
    <w:p w14:paraId="4069C072" w14:textId="4E65E033" w:rsidR="00053EF9" w:rsidRDefault="00053EF9">
      <w:r>
        <w:t xml:space="preserve"> </w:t>
      </w:r>
    </w:p>
    <w:tbl>
      <w:tblPr>
        <w:tblStyle w:val="TableGrid"/>
        <w:tblW w:w="0" w:type="auto"/>
        <w:tblInd w:w="720" w:type="dxa"/>
        <w:tblLook w:val="04A0" w:firstRow="1" w:lastRow="0" w:firstColumn="1" w:lastColumn="0" w:noHBand="0" w:noVBand="1"/>
      </w:tblPr>
      <w:tblGrid>
        <w:gridCol w:w="4541"/>
        <w:gridCol w:w="4469"/>
      </w:tblGrid>
      <w:tr w:rsidR="00053EF9" w14:paraId="1F08E385" w14:textId="77777777" w:rsidTr="00053EF9">
        <w:tc>
          <w:tcPr>
            <w:tcW w:w="4978" w:type="dxa"/>
          </w:tcPr>
          <w:p w14:paraId="0E09B188" w14:textId="361E4E5E" w:rsidR="00053EF9" w:rsidRDefault="00053EF9" w:rsidP="00053EF9">
            <w:pPr>
              <w:pStyle w:val="ListParagraph"/>
              <w:ind w:left="0" w:firstLine="0"/>
            </w:pPr>
            <w:r>
              <w:t>Source</w:t>
            </w:r>
          </w:p>
        </w:tc>
        <w:tc>
          <w:tcPr>
            <w:tcW w:w="4978" w:type="dxa"/>
          </w:tcPr>
          <w:p w14:paraId="24EC79C9" w14:textId="147A9293" w:rsidR="00053EF9" w:rsidRDefault="00053EF9" w:rsidP="00053EF9">
            <w:pPr>
              <w:pStyle w:val="ListParagraph"/>
              <w:ind w:left="0" w:firstLine="0"/>
            </w:pPr>
            <w:r>
              <w:t>FY 22 (M)</w:t>
            </w:r>
          </w:p>
        </w:tc>
      </w:tr>
      <w:tr w:rsidR="00053EF9" w14:paraId="005E84EB" w14:textId="77777777" w:rsidTr="00053EF9">
        <w:tc>
          <w:tcPr>
            <w:tcW w:w="4978" w:type="dxa"/>
          </w:tcPr>
          <w:p w14:paraId="330D3471" w14:textId="690A68E9" w:rsidR="00053EF9" w:rsidRDefault="00053EF9" w:rsidP="00053EF9">
            <w:pPr>
              <w:pStyle w:val="ListParagraph"/>
              <w:ind w:left="0" w:firstLine="0"/>
            </w:pPr>
            <w:r>
              <w:t>General Obligation Bonds</w:t>
            </w:r>
          </w:p>
        </w:tc>
        <w:tc>
          <w:tcPr>
            <w:tcW w:w="4978" w:type="dxa"/>
          </w:tcPr>
          <w:p w14:paraId="1CA1A5B3" w14:textId="56D56F57" w:rsidR="00053EF9" w:rsidRDefault="00053EF9" w:rsidP="00053EF9">
            <w:pPr>
              <w:pStyle w:val="ListParagraph"/>
              <w:ind w:left="0" w:firstLine="0"/>
            </w:pPr>
            <w:r>
              <w:t>$2,655</w:t>
            </w:r>
          </w:p>
        </w:tc>
      </w:tr>
      <w:tr w:rsidR="00053EF9" w14:paraId="7F117BCC" w14:textId="77777777" w:rsidTr="00053EF9">
        <w:tc>
          <w:tcPr>
            <w:tcW w:w="4978" w:type="dxa"/>
          </w:tcPr>
          <w:p w14:paraId="451DEA63" w14:textId="08DAD763" w:rsidR="00053EF9" w:rsidRDefault="00053EF9" w:rsidP="00053EF9">
            <w:pPr>
              <w:pStyle w:val="ListParagraph"/>
              <w:ind w:left="0" w:firstLine="0"/>
            </w:pPr>
            <w:r>
              <w:t>Federal Funds</w:t>
            </w:r>
          </w:p>
        </w:tc>
        <w:tc>
          <w:tcPr>
            <w:tcW w:w="4978" w:type="dxa"/>
          </w:tcPr>
          <w:p w14:paraId="27B5A897" w14:textId="53165D25" w:rsidR="00053EF9" w:rsidRDefault="00053EF9" w:rsidP="00053EF9">
            <w:pPr>
              <w:pStyle w:val="ListParagraph"/>
              <w:ind w:left="0" w:firstLine="0"/>
            </w:pPr>
            <w:r>
              <w:t>$1,205</w:t>
            </w:r>
          </w:p>
        </w:tc>
      </w:tr>
      <w:tr w:rsidR="00053EF9" w14:paraId="60EEC629" w14:textId="77777777" w:rsidTr="00053EF9">
        <w:tc>
          <w:tcPr>
            <w:tcW w:w="4978" w:type="dxa"/>
          </w:tcPr>
          <w:p w14:paraId="5CC7443C" w14:textId="1A3A2DF5" w:rsidR="00053EF9" w:rsidRDefault="00053EF9" w:rsidP="00053EF9">
            <w:pPr>
              <w:pStyle w:val="ListParagraph"/>
              <w:ind w:left="0" w:firstLine="0"/>
            </w:pPr>
            <w:r>
              <w:t>Special Obligation (REP and ABP) Bonds</w:t>
            </w:r>
          </w:p>
        </w:tc>
        <w:tc>
          <w:tcPr>
            <w:tcW w:w="4978" w:type="dxa"/>
          </w:tcPr>
          <w:p w14:paraId="639186D7" w14:textId="70B87742" w:rsidR="00053EF9" w:rsidRDefault="00053EF9" w:rsidP="00053EF9">
            <w:pPr>
              <w:pStyle w:val="ListParagraph"/>
              <w:ind w:left="0" w:firstLine="0"/>
            </w:pPr>
            <w:r>
              <w:t>$560</w:t>
            </w:r>
          </w:p>
        </w:tc>
      </w:tr>
      <w:tr w:rsidR="00053EF9" w14:paraId="5F000C28" w14:textId="77777777" w:rsidTr="00053EF9">
        <w:tc>
          <w:tcPr>
            <w:tcW w:w="4978" w:type="dxa"/>
          </w:tcPr>
          <w:p w14:paraId="43350DDA" w14:textId="7C06FA99" w:rsidR="00053EF9" w:rsidRDefault="00053EF9" w:rsidP="00053EF9">
            <w:pPr>
              <w:pStyle w:val="ListParagraph"/>
              <w:ind w:left="0" w:firstLine="0"/>
            </w:pPr>
            <w:r>
              <w:t>Pay-as-you-go (PAYGO)</w:t>
            </w:r>
          </w:p>
        </w:tc>
        <w:tc>
          <w:tcPr>
            <w:tcW w:w="4978" w:type="dxa"/>
          </w:tcPr>
          <w:p w14:paraId="656140CE" w14:textId="2C57DC3E" w:rsidR="00053EF9" w:rsidRDefault="00053EF9" w:rsidP="0025692C">
            <w:pPr>
              <w:pStyle w:val="ListParagraph"/>
              <w:ind w:left="0" w:firstLine="0"/>
            </w:pPr>
            <w:r>
              <w:t>$260</w:t>
            </w:r>
          </w:p>
        </w:tc>
      </w:tr>
      <w:tr w:rsidR="00053EF9" w14:paraId="178CB3B3" w14:textId="77777777" w:rsidTr="00053EF9">
        <w:tc>
          <w:tcPr>
            <w:tcW w:w="4978" w:type="dxa"/>
          </w:tcPr>
          <w:p w14:paraId="1FDF34E6" w14:textId="22185662" w:rsidR="00053EF9" w:rsidRDefault="00053EF9" w:rsidP="00053EF9">
            <w:pPr>
              <w:pStyle w:val="ListParagraph"/>
              <w:ind w:left="0" w:firstLine="0"/>
            </w:pPr>
            <w:r>
              <w:t xml:space="preserve">Other contributions (match, private, </w:t>
            </w:r>
            <w:r w:rsidR="0025692C">
              <w:t>etc.</w:t>
            </w:r>
            <w:r>
              <w:t>)</w:t>
            </w:r>
          </w:p>
        </w:tc>
        <w:tc>
          <w:tcPr>
            <w:tcW w:w="4978" w:type="dxa"/>
          </w:tcPr>
          <w:p w14:paraId="50FD1147" w14:textId="610301E5" w:rsidR="00053EF9" w:rsidRDefault="0025692C" w:rsidP="00053EF9">
            <w:pPr>
              <w:pStyle w:val="ListParagraph"/>
              <w:ind w:left="0" w:firstLine="0"/>
            </w:pPr>
            <w:r>
              <w:t>$250</w:t>
            </w:r>
          </w:p>
        </w:tc>
      </w:tr>
      <w:tr w:rsidR="00053EF9" w14:paraId="7BD3094C" w14:textId="77777777" w:rsidTr="00053EF9">
        <w:tc>
          <w:tcPr>
            <w:tcW w:w="4978" w:type="dxa"/>
          </w:tcPr>
          <w:p w14:paraId="0BD6AAE1" w14:textId="63121366" w:rsidR="00053EF9" w:rsidRDefault="0025692C" w:rsidP="00053EF9">
            <w:pPr>
              <w:pStyle w:val="ListParagraph"/>
              <w:ind w:left="0" w:firstLine="0"/>
            </w:pPr>
            <w:r>
              <w:t>Project/ Self-Funded</w:t>
            </w:r>
          </w:p>
        </w:tc>
        <w:tc>
          <w:tcPr>
            <w:tcW w:w="4978" w:type="dxa"/>
          </w:tcPr>
          <w:p w14:paraId="45662CD7" w14:textId="01876F65" w:rsidR="00053EF9" w:rsidRDefault="0025692C" w:rsidP="00053EF9">
            <w:pPr>
              <w:pStyle w:val="ListParagraph"/>
              <w:ind w:left="0" w:firstLine="0"/>
            </w:pPr>
            <w:r>
              <w:t>$40</w:t>
            </w:r>
          </w:p>
        </w:tc>
      </w:tr>
      <w:tr w:rsidR="00053EF9" w14:paraId="2E2C24C2" w14:textId="77777777" w:rsidTr="00053EF9">
        <w:tc>
          <w:tcPr>
            <w:tcW w:w="4978" w:type="dxa"/>
          </w:tcPr>
          <w:p w14:paraId="6A18969A" w14:textId="685695A2" w:rsidR="00053EF9" w:rsidRDefault="0025692C" w:rsidP="00053EF9">
            <w:pPr>
              <w:pStyle w:val="ListParagraph"/>
              <w:ind w:left="0" w:firstLine="0"/>
            </w:pPr>
            <w:r>
              <w:t>Capital Investment Total</w:t>
            </w:r>
          </w:p>
        </w:tc>
        <w:tc>
          <w:tcPr>
            <w:tcW w:w="4978" w:type="dxa"/>
          </w:tcPr>
          <w:p w14:paraId="4C5684A9" w14:textId="23F0B11B" w:rsidR="00053EF9" w:rsidRDefault="0025692C" w:rsidP="00053EF9">
            <w:pPr>
              <w:pStyle w:val="ListParagraph"/>
              <w:ind w:left="0" w:firstLine="0"/>
            </w:pPr>
            <w:r>
              <w:t>$4,970</w:t>
            </w:r>
          </w:p>
        </w:tc>
      </w:tr>
    </w:tbl>
    <w:p w14:paraId="3556DAFF" w14:textId="77777777" w:rsidR="00053EF9" w:rsidRDefault="00053EF9" w:rsidP="00053EF9">
      <w:pPr>
        <w:pStyle w:val="ListParagraph"/>
        <w:ind w:left="720" w:firstLine="0"/>
      </w:pPr>
    </w:p>
    <w:p w14:paraId="06C038B0" w14:textId="03A1A211" w:rsidR="003F39CB" w:rsidRDefault="0025692C">
      <w:r>
        <w:t xml:space="preserve">Mr. Yontar then provided </w:t>
      </w:r>
      <w:r w:rsidR="001B67CB">
        <w:t>an overview of bond cap for FY21 and FY22</w:t>
      </w:r>
      <w:r>
        <w:t xml:space="preserve"> </w:t>
      </w:r>
      <w:r w:rsidR="001B67CB">
        <w:t>for each</w:t>
      </w:r>
      <w:r>
        <w:t xml:space="preserve"> agency</w:t>
      </w:r>
      <w:r w:rsidR="001B67CB">
        <w:t>.</w:t>
      </w:r>
      <w:r>
        <w:t xml:space="preserve"> </w:t>
      </w:r>
      <w:r w:rsidR="00200DE6">
        <w:t>Six</w:t>
      </w:r>
      <w:r>
        <w:t xml:space="preserve"> of the agencies</w:t>
      </w:r>
      <w:r w:rsidR="001B67CB">
        <w:t xml:space="preserve"> experienced an increase while one (</w:t>
      </w:r>
      <w:proofErr w:type="spellStart"/>
      <w:r w:rsidR="001B67CB">
        <w:t>MassDOT</w:t>
      </w:r>
      <w:proofErr w:type="spellEnd"/>
      <w:r w:rsidR="001B67CB">
        <w:t>) experienced a decrease</w:t>
      </w:r>
      <w:r>
        <w:t xml:space="preserve">. Mr. Yontar noted that </w:t>
      </w:r>
      <w:proofErr w:type="spellStart"/>
      <w:r>
        <w:t>MassDOT</w:t>
      </w:r>
      <w:proofErr w:type="spellEnd"/>
      <w:r>
        <w:t xml:space="preserve"> had a decrease from FY21 because of a scheduled reduction in bond cap spending for South Coast Rail. Mr. Yontar noted that this was partly offset by new plan items including Municipal Pavement, Shared Streets, Local Bottlenecks, and Cape Cod Bridge approaches. </w:t>
      </w:r>
      <w:r w:rsidR="001B67CB">
        <w:t xml:space="preserve">Mr. Yontar then provided a budget summary of </w:t>
      </w:r>
      <w:proofErr w:type="gramStart"/>
      <w:r w:rsidR="001B67CB">
        <w:t>all of</w:t>
      </w:r>
      <w:proofErr w:type="gramEnd"/>
      <w:r w:rsidR="001B67CB">
        <w:t xml:space="preserve"> the agencies, noting that the biggest piece of the Commonwealth’s capital plan is for transportation. Mr. Yontar also noted that together with Facilities (DCAMM), Housing and Economic Development, and Energy and Environmental, these categories compose nearly 90% of bond cap spending. </w:t>
      </w:r>
    </w:p>
    <w:p w14:paraId="41CF456A" w14:textId="77777777" w:rsidR="003F39CB" w:rsidRDefault="003F39CB"/>
    <w:p w14:paraId="31767503" w14:textId="598A859D" w:rsidR="001B67CB" w:rsidRDefault="001B67CB">
      <w:r>
        <w:t xml:space="preserve">My. Yontar then explained next steps for the Capital Plan FY22, which he laid out as follows: December 15, </w:t>
      </w:r>
      <w:r w:rsidR="00200DE6">
        <w:t>2021,</w:t>
      </w:r>
      <w:r>
        <w:t xml:space="preserve"> the DAC formally recommends an affordable level of spending, </w:t>
      </w:r>
      <w:r w:rsidR="00860FBD">
        <w:t>then Winter 2021-2022 agencies begin their Capital Plan recommendations and Spring 2022 A&amp;</w:t>
      </w:r>
      <w:proofErr w:type="gramStart"/>
      <w:r w:rsidR="00860FBD">
        <w:t>F</w:t>
      </w:r>
      <w:proofErr w:type="gramEnd"/>
      <w:r w:rsidR="00860FBD">
        <w:t xml:space="preserve"> and others consolidate </w:t>
      </w:r>
      <w:r w:rsidR="00200DE6">
        <w:t>recommendation and</w:t>
      </w:r>
      <w:r w:rsidR="00860FBD">
        <w:t xml:space="preserve"> publish the capital plan. Mr. Yontar then handed off the presentation to Ms. Ho for an update on </w:t>
      </w:r>
      <w:proofErr w:type="spellStart"/>
      <w:r w:rsidR="00860FBD">
        <w:t>MassDOT</w:t>
      </w:r>
      <w:proofErr w:type="spellEnd"/>
      <w:r w:rsidR="00860FBD">
        <w:t xml:space="preserve">/ MBTA’s CIP. </w:t>
      </w:r>
    </w:p>
    <w:p w14:paraId="395C6E37" w14:textId="29FD17A3" w:rsidR="00860FBD" w:rsidRDefault="00860FBD"/>
    <w:p w14:paraId="51413C76" w14:textId="6D38BA12" w:rsidR="00860FBD" w:rsidRDefault="00860FBD">
      <w:r>
        <w:t xml:space="preserve">Ms. Ho explained that the </w:t>
      </w:r>
      <w:proofErr w:type="spellStart"/>
      <w:r>
        <w:t>MassDOT</w:t>
      </w:r>
      <w:proofErr w:type="spellEnd"/>
      <w:r>
        <w:t xml:space="preserve">/MBTA portion of the State’s CIP does not include the entire MBTA capital plan except where MBTA projects are funded through state sources (Green Line Extension, Red Line/ Orange Line Vehicles &amp; Infrastructure and South Coast Rail). Ms. Ho then provided an outline of </w:t>
      </w:r>
      <w:proofErr w:type="spellStart"/>
      <w:r>
        <w:t>MassDOT</w:t>
      </w:r>
      <w:proofErr w:type="spellEnd"/>
      <w:r>
        <w:t xml:space="preserve">/ MBTA’s direction for FY22. Ms. Ho noted that in line with last year’s CIP, </w:t>
      </w:r>
      <w:proofErr w:type="spellStart"/>
      <w:r>
        <w:t>MassDOT</w:t>
      </w:r>
      <w:proofErr w:type="spellEnd"/>
      <w:r>
        <w:t xml:space="preserve">/ MBTA in coordination with the administration decided to continue with a “maintenance of effort” approach for the FY22 CIP. The CIP continues support for major ongoing capital programs, includes some targeted new investments to advance goals and priorities and emphasizes building a strong foundation for future funding opportunities.  Ms. Ho noted that the FY22 Plan maintains the priorities and strategies for </w:t>
      </w:r>
      <w:proofErr w:type="spellStart"/>
      <w:r>
        <w:t>MassDOT</w:t>
      </w:r>
      <w:proofErr w:type="spellEnd"/>
      <w:r>
        <w:t xml:space="preserve">/ MBTA to invest first in the reliability and modernization of the system with targeted investments in increasing capacity of the network and providing access to new transportation. </w:t>
      </w:r>
      <w:r w:rsidR="001E5CAE">
        <w:t xml:space="preserve">Ms. Ho noted that investments in reliability and modernization of the network account for approximately 72% of our programmed spending in FY22. </w:t>
      </w:r>
    </w:p>
    <w:p w14:paraId="34472FEA" w14:textId="2A05E2B9" w:rsidR="001E5CAE" w:rsidRDefault="001E5CAE"/>
    <w:p w14:paraId="3ED7AE52" w14:textId="61030C7F" w:rsidR="001E5CAE" w:rsidRDefault="001E5CAE">
      <w:r>
        <w:t xml:space="preserve">Ms. Ho then proceeded to provide an overview on the </w:t>
      </w:r>
      <w:proofErr w:type="spellStart"/>
      <w:r>
        <w:t>MassDOT</w:t>
      </w:r>
      <w:proofErr w:type="spellEnd"/>
      <w:r>
        <w:t>/ MBTA’s strategic investment focus. M</w:t>
      </w:r>
      <w:r w:rsidR="00A4672E">
        <w:t>s.</w:t>
      </w:r>
      <w:r>
        <w:t xml:space="preserve"> Ho explained that the plan, including federal, state toll revenues, new Grant </w:t>
      </w:r>
      <w:r w:rsidR="0017585F">
        <w:t>Anticipation</w:t>
      </w:r>
      <w:r>
        <w:t xml:space="preserve"> Notes, other MBTA funding maintains the focus on road</w:t>
      </w:r>
      <w:r w:rsidR="0017585F">
        <w:t xml:space="preserve">way assets in need of investment: roads/ </w:t>
      </w:r>
      <w:r w:rsidR="00F1617E">
        <w:t xml:space="preserve">pavement, bridges, the Metropolitan Highway System, and bicycle and pedestrian infrastructure; MBTA capital needs for reliability/ </w:t>
      </w:r>
      <w:r w:rsidR="00F1617E">
        <w:lastRenderedPageBreak/>
        <w:t xml:space="preserve">modernization, balanced with expansion investments; municipal needs addressed through existing reimbursement and grant programs such as Chapter 90, Complete Streets, and Municipal Bridge; and new programs authorized in the 2021 Transportation Bond Bill including Municipal Pavement, Shared Streets and Spaces, Local Bottleneck Reduction and Transit Infrastructure Partnership. The FY22 CIP projects $4.0 B in estimated spending and the break down is $2.0 B for </w:t>
      </w:r>
      <w:proofErr w:type="spellStart"/>
      <w:r w:rsidR="00F1617E">
        <w:t>MassDOT</w:t>
      </w:r>
      <w:proofErr w:type="spellEnd"/>
      <w:r w:rsidR="00F1617E">
        <w:t xml:space="preserve"> investments and $2.0 B for MBTA investments. </w:t>
      </w:r>
    </w:p>
    <w:p w14:paraId="799C8413" w14:textId="77777777" w:rsidR="001B67CB" w:rsidRDefault="001B67CB"/>
    <w:p w14:paraId="3AFB4263" w14:textId="68DBDBF9" w:rsidR="003F5D2B" w:rsidRDefault="00E163C8">
      <w:r>
        <w:t>Ms. Ho then explained the Capital Plan FY22 spending break down by priority. The three priorities are Reliability, Modernization, and Expansion. Ms. Ho</w:t>
      </w:r>
      <w:r w:rsidR="00E03946">
        <w:t xml:space="preserve"> then</w:t>
      </w:r>
      <w:r>
        <w:t xml:space="preserve"> provided an overview of </w:t>
      </w:r>
      <w:proofErr w:type="spellStart"/>
      <w:r>
        <w:t>MassDOT</w:t>
      </w:r>
      <w:proofErr w:type="spellEnd"/>
      <w:r>
        <w:t xml:space="preserve">/MBTA’s FY22 CIP spending by source, which are broken down </w:t>
      </w:r>
      <w:r w:rsidR="00E03946">
        <w:t>below:</w:t>
      </w:r>
    </w:p>
    <w:p w14:paraId="62B395CB" w14:textId="1E866B4F" w:rsidR="00E163C8" w:rsidRDefault="00E163C8"/>
    <w:tbl>
      <w:tblPr>
        <w:tblStyle w:val="TableGrid"/>
        <w:tblW w:w="0" w:type="auto"/>
        <w:tblLook w:val="04A0" w:firstRow="1" w:lastRow="0" w:firstColumn="1" w:lastColumn="0" w:noHBand="0" w:noVBand="1"/>
      </w:tblPr>
      <w:tblGrid>
        <w:gridCol w:w="4875"/>
        <w:gridCol w:w="4855"/>
      </w:tblGrid>
      <w:tr w:rsidR="00A57614" w14:paraId="4706A414" w14:textId="77777777" w:rsidTr="00A57614">
        <w:tc>
          <w:tcPr>
            <w:tcW w:w="4978" w:type="dxa"/>
          </w:tcPr>
          <w:p w14:paraId="782E6DC7" w14:textId="3CA8AC08" w:rsidR="00A57614" w:rsidRDefault="00A57614">
            <w:r>
              <w:t>Sources</w:t>
            </w:r>
          </w:p>
        </w:tc>
        <w:tc>
          <w:tcPr>
            <w:tcW w:w="4978" w:type="dxa"/>
          </w:tcPr>
          <w:p w14:paraId="28365279" w14:textId="79C8C5F3" w:rsidR="00A57614" w:rsidRDefault="00A57614">
            <w:r>
              <w:t>FY22 ($M)</w:t>
            </w:r>
          </w:p>
        </w:tc>
      </w:tr>
      <w:tr w:rsidR="00A57614" w14:paraId="4ED57D57" w14:textId="77777777" w:rsidTr="00A57614">
        <w:tc>
          <w:tcPr>
            <w:tcW w:w="4978" w:type="dxa"/>
          </w:tcPr>
          <w:p w14:paraId="64D16EFA" w14:textId="53F9F9C5" w:rsidR="00A57614" w:rsidRDefault="00A57614">
            <w:r>
              <w:t>General Obligation Bonds</w:t>
            </w:r>
          </w:p>
        </w:tc>
        <w:tc>
          <w:tcPr>
            <w:tcW w:w="4978" w:type="dxa"/>
          </w:tcPr>
          <w:p w14:paraId="519B533F" w14:textId="686266F0" w:rsidR="00A57614" w:rsidRDefault="00A57614">
            <w:r>
              <w:t>$1,040.1</w:t>
            </w:r>
          </w:p>
        </w:tc>
      </w:tr>
      <w:tr w:rsidR="00A57614" w14:paraId="14B453AA" w14:textId="77777777" w:rsidTr="00A57614">
        <w:tc>
          <w:tcPr>
            <w:tcW w:w="4978" w:type="dxa"/>
          </w:tcPr>
          <w:p w14:paraId="6F364A32" w14:textId="5AA864CF" w:rsidR="00A57614" w:rsidRDefault="00A57614">
            <w:r>
              <w:t>Federal Funds- Commonwealth</w:t>
            </w:r>
          </w:p>
        </w:tc>
        <w:tc>
          <w:tcPr>
            <w:tcW w:w="4978" w:type="dxa"/>
          </w:tcPr>
          <w:p w14:paraId="10C946F8" w14:textId="4C3C7D9F" w:rsidR="00A57614" w:rsidRDefault="00A57614">
            <w:r>
              <w:t>$825.6</w:t>
            </w:r>
          </w:p>
        </w:tc>
      </w:tr>
      <w:tr w:rsidR="00A57614" w14:paraId="1E449B5A" w14:textId="77777777" w:rsidTr="00A57614">
        <w:tc>
          <w:tcPr>
            <w:tcW w:w="4978" w:type="dxa"/>
          </w:tcPr>
          <w:p w14:paraId="64FA63BE" w14:textId="29D7FB06" w:rsidR="00A57614" w:rsidRDefault="00A57614">
            <w:r>
              <w:t>Special Obligation Bonds</w:t>
            </w:r>
          </w:p>
        </w:tc>
        <w:tc>
          <w:tcPr>
            <w:tcW w:w="4978" w:type="dxa"/>
          </w:tcPr>
          <w:p w14:paraId="74D158B2" w14:textId="30230503" w:rsidR="00A57614" w:rsidRDefault="00A57614">
            <w:r>
              <w:t>$507.9</w:t>
            </w:r>
          </w:p>
        </w:tc>
      </w:tr>
      <w:tr w:rsidR="00A57614" w14:paraId="36701A30" w14:textId="77777777" w:rsidTr="00A57614">
        <w:tc>
          <w:tcPr>
            <w:tcW w:w="4978" w:type="dxa"/>
          </w:tcPr>
          <w:p w14:paraId="49089ABF" w14:textId="04EA79B2" w:rsidR="00A57614" w:rsidRDefault="00A57614">
            <w:r>
              <w:t>Federal Funds- Non- Commonwealth</w:t>
            </w:r>
          </w:p>
        </w:tc>
        <w:tc>
          <w:tcPr>
            <w:tcW w:w="4978" w:type="dxa"/>
          </w:tcPr>
          <w:p w14:paraId="6A255D10" w14:textId="0F3E85A3" w:rsidR="00A57614" w:rsidRDefault="00A57614">
            <w:r>
              <w:t>$569.6</w:t>
            </w:r>
          </w:p>
        </w:tc>
      </w:tr>
      <w:tr w:rsidR="00A57614" w14:paraId="66862E4F" w14:textId="77777777" w:rsidTr="00A57614">
        <w:tc>
          <w:tcPr>
            <w:tcW w:w="4978" w:type="dxa"/>
          </w:tcPr>
          <w:p w14:paraId="05A96215" w14:textId="5AD27764" w:rsidR="00A57614" w:rsidRDefault="00A57614">
            <w:r>
              <w:t>MBTA Bonds</w:t>
            </w:r>
          </w:p>
        </w:tc>
        <w:tc>
          <w:tcPr>
            <w:tcW w:w="4978" w:type="dxa"/>
          </w:tcPr>
          <w:p w14:paraId="4E246D69" w14:textId="7A21D601" w:rsidR="00A57614" w:rsidRDefault="00A57614">
            <w:r>
              <w:t>$758.9</w:t>
            </w:r>
          </w:p>
        </w:tc>
      </w:tr>
      <w:tr w:rsidR="00A57614" w14:paraId="178634B3" w14:textId="77777777" w:rsidTr="00A57614">
        <w:tc>
          <w:tcPr>
            <w:tcW w:w="4978" w:type="dxa"/>
          </w:tcPr>
          <w:p w14:paraId="44AB6C62" w14:textId="0AE3AC53" w:rsidR="00A57614" w:rsidRDefault="00A57614">
            <w:r>
              <w:t>Project/ Self-Funded</w:t>
            </w:r>
          </w:p>
        </w:tc>
        <w:tc>
          <w:tcPr>
            <w:tcW w:w="4978" w:type="dxa"/>
          </w:tcPr>
          <w:p w14:paraId="7F69C3B7" w14:textId="7E6826D4" w:rsidR="00A57614" w:rsidRDefault="00A57614">
            <w:r>
              <w:t>$10.4</w:t>
            </w:r>
          </w:p>
        </w:tc>
      </w:tr>
      <w:tr w:rsidR="00A57614" w14:paraId="0892075C" w14:textId="77777777" w:rsidTr="00A57614">
        <w:tc>
          <w:tcPr>
            <w:tcW w:w="4978" w:type="dxa"/>
          </w:tcPr>
          <w:p w14:paraId="12A07C30" w14:textId="26D794E0" w:rsidR="00A57614" w:rsidRDefault="00A57614">
            <w:r>
              <w:t>Pay-Go- Commonwealth</w:t>
            </w:r>
          </w:p>
        </w:tc>
        <w:tc>
          <w:tcPr>
            <w:tcW w:w="4978" w:type="dxa"/>
          </w:tcPr>
          <w:p w14:paraId="31C90A04" w14:textId="279A003A" w:rsidR="00A57614" w:rsidRDefault="00A57614">
            <w:r>
              <w:t>$220.1</w:t>
            </w:r>
          </w:p>
        </w:tc>
      </w:tr>
      <w:tr w:rsidR="00A57614" w14:paraId="015F966B" w14:textId="77777777" w:rsidTr="00A57614">
        <w:tc>
          <w:tcPr>
            <w:tcW w:w="4978" w:type="dxa"/>
          </w:tcPr>
          <w:p w14:paraId="30A30A8D" w14:textId="2D7B40CD" w:rsidR="00A57614" w:rsidRDefault="00A57614">
            <w:r>
              <w:t>Pay-Go- MBTA</w:t>
            </w:r>
          </w:p>
        </w:tc>
        <w:tc>
          <w:tcPr>
            <w:tcW w:w="4978" w:type="dxa"/>
          </w:tcPr>
          <w:p w14:paraId="79D87DD0" w14:textId="714831F6" w:rsidR="00A57614" w:rsidRDefault="00A57614">
            <w:r>
              <w:t>$30.0</w:t>
            </w:r>
          </w:p>
        </w:tc>
      </w:tr>
      <w:tr w:rsidR="00A57614" w14:paraId="04582A94" w14:textId="77777777" w:rsidTr="00A57614">
        <w:tc>
          <w:tcPr>
            <w:tcW w:w="4978" w:type="dxa"/>
          </w:tcPr>
          <w:p w14:paraId="2E5FEE6A" w14:textId="40E631B7" w:rsidR="00A57614" w:rsidRDefault="00A57614">
            <w:r>
              <w:t>Other- Commonwealth</w:t>
            </w:r>
          </w:p>
        </w:tc>
        <w:tc>
          <w:tcPr>
            <w:tcW w:w="4978" w:type="dxa"/>
          </w:tcPr>
          <w:p w14:paraId="314A241D" w14:textId="4B8E0A2C" w:rsidR="00A57614" w:rsidRDefault="00A57614">
            <w:r>
              <w:t>$44.6</w:t>
            </w:r>
          </w:p>
        </w:tc>
      </w:tr>
      <w:tr w:rsidR="00A57614" w14:paraId="5D3FC4FF" w14:textId="77777777" w:rsidTr="00A57614">
        <w:tc>
          <w:tcPr>
            <w:tcW w:w="4978" w:type="dxa"/>
          </w:tcPr>
          <w:p w14:paraId="17B91AC2" w14:textId="56AC7B68" w:rsidR="00A57614" w:rsidRDefault="00A57614">
            <w:r>
              <w:t>Other (local, private, etc.)</w:t>
            </w:r>
          </w:p>
        </w:tc>
        <w:tc>
          <w:tcPr>
            <w:tcW w:w="4978" w:type="dxa"/>
          </w:tcPr>
          <w:p w14:paraId="3344460A" w14:textId="474F7FC4" w:rsidR="00A57614" w:rsidRDefault="00A57614">
            <w:r>
              <w:t>$6.6</w:t>
            </w:r>
          </w:p>
        </w:tc>
      </w:tr>
      <w:tr w:rsidR="00A57614" w14:paraId="70795D1E" w14:textId="77777777" w:rsidTr="00A57614">
        <w:tc>
          <w:tcPr>
            <w:tcW w:w="4978" w:type="dxa"/>
          </w:tcPr>
          <w:p w14:paraId="289B575F" w14:textId="726F3101" w:rsidR="00A57614" w:rsidRDefault="00A57614">
            <w:r>
              <w:t>Total</w:t>
            </w:r>
          </w:p>
        </w:tc>
        <w:tc>
          <w:tcPr>
            <w:tcW w:w="4978" w:type="dxa"/>
          </w:tcPr>
          <w:p w14:paraId="6A739DCB" w14:textId="49D03C61" w:rsidR="00A57614" w:rsidRDefault="00A57614">
            <w:r>
              <w:t>$4,013.7</w:t>
            </w:r>
          </w:p>
        </w:tc>
      </w:tr>
    </w:tbl>
    <w:p w14:paraId="25CF7205" w14:textId="77777777" w:rsidR="00E163C8" w:rsidRDefault="00E163C8"/>
    <w:p w14:paraId="4EC007EE" w14:textId="5C933464" w:rsidR="00017D9C" w:rsidRDefault="00A57614">
      <w:r>
        <w:t>Ms. Ho then provided an over</w:t>
      </w:r>
      <w:r w:rsidR="00E03946">
        <w:t>view</w:t>
      </w:r>
      <w:r>
        <w:t xml:space="preserve"> of the CIP and STIP alignment. Ms. Ho explained that STIP is dedicated to federal highway and transit funding and federal funded transportation projects and is subject to federal approval. </w:t>
      </w:r>
      <w:r w:rsidR="00017D9C">
        <w:t>Ms. Ho noted that it is comprised almost exclusively of roadway and public transit projects (</w:t>
      </w:r>
      <w:proofErr w:type="spellStart"/>
      <w:r w:rsidR="00017D9C">
        <w:t>MassDOT</w:t>
      </w:r>
      <w:proofErr w:type="spellEnd"/>
      <w:r w:rsidR="00017D9C">
        <w:t xml:space="preserve">, MBTA, RTA’s). Furthermore, it includes projects programmed by the 13 Metropolitan Planning Organizations (MPOs). Ms. Ho noted that the STIP is an “obligation” document of projected FHWA and FTA awards; the CIP on the other hand is a cash-flow document that depicts expenditures over time. Furthermore, the STIP makes use of the priorities/ programs/ project’s framework </w:t>
      </w:r>
      <w:proofErr w:type="gramStart"/>
      <w:r w:rsidR="00017D9C">
        <w:t>similar to</w:t>
      </w:r>
      <w:proofErr w:type="gramEnd"/>
      <w:r w:rsidR="00017D9C">
        <w:t xml:space="preserve"> the CIP framework. Ms. Ho went on to explain that the CIP identifies </w:t>
      </w:r>
      <w:proofErr w:type="gramStart"/>
      <w:r w:rsidR="00017D9C">
        <w:t>all of</w:t>
      </w:r>
      <w:proofErr w:type="gramEnd"/>
      <w:r w:rsidR="00017D9C">
        <w:t xml:space="preserve"> the sources and uses of transportation funding available and includes state capital funding for projects advanced by </w:t>
      </w:r>
      <w:proofErr w:type="spellStart"/>
      <w:r w:rsidR="00017D9C">
        <w:t>MassDOT</w:t>
      </w:r>
      <w:proofErr w:type="spellEnd"/>
      <w:r w:rsidR="00017D9C">
        <w:t xml:space="preserve">, and the MBTA, including Rail and Transit, Aeronautics Division, and the Registry of Motor Vehicles. </w:t>
      </w:r>
    </w:p>
    <w:p w14:paraId="0593A85E" w14:textId="77777777" w:rsidR="00017D9C" w:rsidRDefault="00017D9C"/>
    <w:p w14:paraId="32F1164D" w14:textId="41CCFD38" w:rsidR="00017D9C" w:rsidRDefault="00017D9C">
      <w:r>
        <w:t xml:space="preserve">Ms. Ho concluded her presentation and Ms. Connors thanked her for the information. </w:t>
      </w:r>
      <w:r w:rsidR="00347BE0">
        <w:t xml:space="preserve">Ms. Connors asked if anyone had any questions for Ms. Ho. There were no questions or comments. </w:t>
      </w:r>
    </w:p>
    <w:p w14:paraId="768A6E05" w14:textId="77777777" w:rsidR="00017D9C" w:rsidRDefault="00017D9C"/>
    <w:p w14:paraId="7BE7EC9F" w14:textId="77777777" w:rsidR="003F5D2B" w:rsidRDefault="00347BE0">
      <w:r>
        <w:t>Ms. Connors summarized her follow-up items and announced that the next meeting is scheduled for November 19</w:t>
      </w:r>
      <w:r w:rsidRPr="00347BE0">
        <w:rPr>
          <w:vertAlign w:val="superscript"/>
        </w:rPr>
        <w:t>th</w:t>
      </w:r>
      <w:r>
        <w:t xml:space="preserve"> at 1:00PM.</w:t>
      </w:r>
    </w:p>
    <w:p w14:paraId="79305106" w14:textId="77777777" w:rsidR="004C2293" w:rsidRDefault="004C2293"/>
    <w:p w14:paraId="24A5DB49" w14:textId="350C5F32" w:rsidR="004C2293" w:rsidRDefault="004C2293" w:rsidP="004C2293">
      <w:pPr>
        <w:pStyle w:val="BodyText"/>
        <w:spacing w:before="1" w:line="480" w:lineRule="auto"/>
        <w:ind w:right="5987"/>
        <w:sectPr w:rsidR="004C2293">
          <w:type w:val="continuous"/>
          <w:pgSz w:w="12240" w:h="15840"/>
          <w:pgMar w:top="800" w:right="1220" w:bottom="1220" w:left="1280" w:header="0" w:footer="1040" w:gutter="0"/>
          <w:cols w:space="720"/>
        </w:sectPr>
      </w:pPr>
      <w:r>
        <w:t>There were no further questions/matters.</w:t>
      </w:r>
      <w:r>
        <w:rPr>
          <w:spacing w:val="-53"/>
        </w:rPr>
        <w:t xml:space="preserve"> </w:t>
      </w:r>
      <w:r>
        <w:t>Meeting</w:t>
      </w:r>
      <w:r>
        <w:rPr>
          <w:spacing w:val="-1"/>
        </w:rPr>
        <w:t xml:space="preserve"> </w:t>
      </w:r>
      <w:r>
        <w:t>adjourned at 1:50PM.</w:t>
      </w:r>
    </w:p>
    <w:p w14:paraId="36078072" w14:textId="23CAC5A0" w:rsidR="00C5683B" w:rsidRDefault="00C5683B" w:rsidP="00347BE0">
      <w:pPr>
        <w:pStyle w:val="BodyText"/>
        <w:spacing w:before="1" w:line="480" w:lineRule="auto"/>
        <w:ind w:right="5987"/>
      </w:pPr>
    </w:p>
    <w:sectPr w:rsidR="00C5683B">
      <w:pgSz w:w="12240" w:h="15840"/>
      <w:pgMar w:top="1360" w:right="1220" w:bottom="1220" w:left="128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C646" w14:textId="77777777" w:rsidR="004423CA" w:rsidRDefault="002D3603">
      <w:r>
        <w:separator/>
      </w:r>
    </w:p>
  </w:endnote>
  <w:endnote w:type="continuationSeparator" w:id="0">
    <w:p w14:paraId="67336656" w14:textId="77777777" w:rsidR="004423CA" w:rsidRDefault="002D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412F" w14:textId="77777777" w:rsidR="007E580B" w:rsidRDefault="007E5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7C5C" w14:textId="7813BEAA" w:rsidR="00C5683B" w:rsidRDefault="00EC3010">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77817326" wp14:editId="71C39ABA">
              <wp:simplePos x="0" y="0"/>
              <wp:positionH relativeFrom="page">
                <wp:posOffset>3813175</wp:posOffset>
              </wp:positionH>
              <wp:positionV relativeFrom="page">
                <wp:posOffset>9258300</wp:posOffset>
              </wp:positionV>
              <wp:extent cx="158750" cy="18034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B7988" w14:textId="77777777" w:rsidR="00C5683B" w:rsidRDefault="002D3603">
                          <w:pPr>
                            <w:pStyle w:val="BodyText"/>
                            <w:spacing w:before="10"/>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17326" id="_x0000_t202" coordsize="21600,21600" o:spt="202" path="m,l,21600r21600,l21600,xe">
              <v:stroke joinstyle="miter"/>
              <v:path gradientshapeok="t" o:connecttype="rect"/>
            </v:shapetype>
            <v:shape id="docshape1" o:spid="_x0000_s1026" type="#_x0000_t202" style="position:absolute;margin-left:300.25pt;margin-top:729pt;width:12.5pt;height:1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" filled="f" stroked="f">
              <v:textbox inset="0,0,0,0">
                <w:txbxContent>
                  <w:p w14:paraId="3C2B7988" w14:textId="77777777" w:rsidR="00C5683B" w:rsidRDefault="002D3603">
                    <w:pPr>
                      <w:pStyle w:val="BodyText"/>
                      <w:spacing w:before="10"/>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3CC0" w14:textId="77777777" w:rsidR="007E580B" w:rsidRDefault="007E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19019" w14:textId="77777777" w:rsidR="004423CA" w:rsidRDefault="002D3603">
      <w:r>
        <w:separator/>
      </w:r>
    </w:p>
  </w:footnote>
  <w:footnote w:type="continuationSeparator" w:id="0">
    <w:p w14:paraId="4274259E" w14:textId="77777777" w:rsidR="004423CA" w:rsidRDefault="002D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8267" w14:textId="77777777" w:rsidR="007E580B" w:rsidRDefault="007E5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1F12" w14:textId="2AF8686F" w:rsidR="007E580B" w:rsidRDefault="007E5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6249" w14:textId="77777777" w:rsidR="007E580B" w:rsidRDefault="007E5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C6402"/>
    <w:multiLevelType w:val="hybridMultilevel"/>
    <w:tmpl w:val="DA8E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1B34F5"/>
    <w:multiLevelType w:val="hybridMultilevel"/>
    <w:tmpl w:val="B350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7579B6"/>
    <w:multiLevelType w:val="hybridMultilevel"/>
    <w:tmpl w:val="04BCF16C"/>
    <w:lvl w:ilvl="0" w:tplc="481E13E0">
      <w:start w:val="1"/>
      <w:numFmt w:val="decimal"/>
      <w:lvlText w:val="%1."/>
      <w:lvlJc w:val="left"/>
      <w:pPr>
        <w:ind w:left="880" w:hanging="360"/>
      </w:pPr>
      <w:rPr>
        <w:rFonts w:ascii="Times New Roman" w:eastAsia="Times New Roman" w:hAnsi="Times New Roman" w:cs="Times New Roman" w:hint="default"/>
        <w:b w:val="0"/>
        <w:bCs w:val="0"/>
        <w:i w:val="0"/>
        <w:iCs w:val="0"/>
        <w:w w:val="99"/>
        <w:sz w:val="22"/>
        <w:szCs w:val="22"/>
      </w:rPr>
    </w:lvl>
    <w:lvl w:ilvl="1" w:tplc="F4AAAB86">
      <w:numFmt w:val="bullet"/>
      <w:lvlText w:val="•"/>
      <w:lvlJc w:val="left"/>
      <w:pPr>
        <w:ind w:left="1766" w:hanging="360"/>
      </w:pPr>
      <w:rPr>
        <w:rFonts w:hint="default"/>
      </w:rPr>
    </w:lvl>
    <w:lvl w:ilvl="2" w:tplc="D702EB80">
      <w:numFmt w:val="bullet"/>
      <w:lvlText w:val="•"/>
      <w:lvlJc w:val="left"/>
      <w:pPr>
        <w:ind w:left="2652" w:hanging="360"/>
      </w:pPr>
      <w:rPr>
        <w:rFonts w:hint="default"/>
      </w:rPr>
    </w:lvl>
    <w:lvl w:ilvl="3" w:tplc="34C25A5E">
      <w:numFmt w:val="bullet"/>
      <w:lvlText w:val="•"/>
      <w:lvlJc w:val="left"/>
      <w:pPr>
        <w:ind w:left="3538" w:hanging="360"/>
      </w:pPr>
      <w:rPr>
        <w:rFonts w:hint="default"/>
      </w:rPr>
    </w:lvl>
    <w:lvl w:ilvl="4" w:tplc="391648CC">
      <w:numFmt w:val="bullet"/>
      <w:lvlText w:val="•"/>
      <w:lvlJc w:val="left"/>
      <w:pPr>
        <w:ind w:left="4424" w:hanging="360"/>
      </w:pPr>
      <w:rPr>
        <w:rFonts w:hint="default"/>
      </w:rPr>
    </w:lvl>
    <w:lvl w:ilvl="5" w:tplc="0C823CF6">
      <w:numFmt w:val="bullet"/>
      <w:lvlText w:val="•"/>
      <w:lvlJc w:val="left"/>
      <w:pPr>
        <w:ind w:left="5310" w:hanging="360"/>
      </w:pPr>
      <w:rPr>
        <w:rFonts w:hint="default"/>
      </w:rPr>
    </w:lvl>
    <w:lvl w:ilvl="6" w:tplc="FB2E9DE4">
      <w:numFmt w:val="bullet"/>
      <w:lvlText w:val="•"/>
      <w:lvlJc w:val="left"/>
      <w:pPr>
        <w:ind w:left="6196" w:hanging="360"/>
      </w:pPr>
      <w:rPr>
        <w:rFonts w:hint="default"/>
      </w:rPr>
    </w:lvl>
    <w:lvl w:ilvl="7" w:tplc="A2C6292E">
      <w:numFmt w:val="bullet"/>
      <w:lvlText w:val="•"/>
      <w:lvlJc w:val="left"/>
      <w:pPr>
        <w:ind w:left="7082" w:hanging="360"/>
      </w:pPr>
      <w:rPr>
        <w:rFonts w:hint="default"/>
      </w:rPr>
    </w:lvl>
    <w:lvl w:ilvl="8" w:tplc="2B32AA0E">
      <w:numFmt w:val="bullet"/>
      <w:lvlText w:val="•"/>
      <w:lvlJc w:val="left"/>
      <w:pPr>
        <w:ind w:left="7968"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3B"/>
    <w:rsid w:val="00017D9C"/>
    <w:rsid w:val="00053EF9"/>
    <w:rsid w:val="000B01D3"/>
    <w:rsid w:val="0017585F"/>
    <w:rsid w:val="001B67CB"/>
    <w:rsid w:val="001E5CAE"/>
    <w:rsid w:val="001F20F0"/>
    <w:rsid w:val="00200DE6"/>
    <w:rsid w:val="0025692C"/>
    <w:rsid w:val="002D3603"/>
    <w:rsid w:val="00347BE0"/>
    <w:rsid w:val="003F39CB"/>
    <w:rsid w:val="003F5D2B"/>
    <w:rsid w:val="00410B58"/>
    <w:rsid w:val="004423CA"/>
    <w:rsid w:val="00455F66"/>
    <w:rsid w:val="00483A40"/>
    <w:rsid w:val="00491A8A"/>
    <w:rsid w:val="004C2293"/>
    <w:rsid w:val="00570209"/>
    <w:rsid w:val="006171AF"/>
    <w:rsid w:val="00637CBA"/>
    <w:rsid w:val="006906E3"/>
    <w:rsid w:val="006A2377"/>
    <w:rsid w:val="0070553E"/>
    <w:rsid w:val="00761444"/>
    <w:rsid w:val="007E580B"/>
    <w:rsid w:val="00860FBD"/>
    <w:rsid w:val="009547EF"/>
    <w:rsid w:val="00A4672E"/>
    <w:rsid w:val="00A57614"/>
    <w:rsid w:val="00AA5C44"/>
    <w:rsid w:val="00AB30FF"/>
    <w:rsid w:val="00B07D4F"/>
    <w:rsid w:val="00B10634"/>
    <w:rsid w:val="00BB4C75"/>
    <w:rsid w:val="00C1240B"/>
    <w:rsid w:val="00C52B6B"/>
    <w:rsid w:val="00C5683B"/>
    <w:rsid w:val="00D51000"/>
    <w:rsid w:val="00E03946"/>
    <w:rsid w:val="00E163C8"/>
    <w:rsid w:val="00E23604"/>
    <w:rsid w:val="00EC3010"/>
    <w:rsid w:val="00ED7D7F"/>
    <w:rsid w:val="00F12C2A"/>
    <w:rsid w:val="00F1617E"/>
    <w:rsid w:val="00F95E9D"/>
    <w:rsid w:val="00FC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62B10"/>
  <w15:docId w15:val="{FB8D960C-7250-4489-AB1D-23FA48F8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0" w:right="216"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1A8A"/>
    <w:rPr>
      <w:color w:val="0000FF" w:themeColor="hyperlink"/>
      <w:u w:val="single"/>
    </w:rPr>
  </w:style>
  <w:style w:type="character" w:styleId="UnresolvedMention">
    <w:name w:val="Unresolved Mention"/>
    <w:basedOn w:val="DefaultParagraphFont"/>
    <w:uiPriority w:val="99"/>
    <w:semiHidden/>
    <w:unhideWhenUsed/>
    <w:rsid w:val="00491A8A"/>
    <w:rPr>
      <w:color w:val="605E5C"/>
      <w:shd w:val="clear" w:color="auto" w:fill="E1DFDD"/>
    </w:rPr>
  </w:style>
  <w:style w:type="paragraph" w:styleId="Header">
    <w:name w:val="header"/>
    <w:basedOn w:val="Normal"/>
    <w:link w:val="HeaderChar"/>
    <w:uiPriority w:val="99"/>
    <w:unhideWhenUsed/>
    <w:rsid w:val="007E580B"/>
    <w:pPr>
      <w:tabs>
        <w:tab w:val="center" w:pos="4680"/>
        <w:tab w:val="right" w:pos="9360"/>
      </w:tabs>
    </w:pPr>
  </w:style>
  <w:style w:type="character" w:customStyle="1" w:styleId="HeaderChar">
    <w:name w:val="Header Char"/>
    <w:basedOn w:val="DefaultParagraphFont"/>
    <w:link w:val="Header"/>
    <w:uiPriority w:val="99"/>
    <w:rsid w:val="007E580B"/>
    <w:rPr>
      <w:rFonts w:ascii="Times New Roman" w:eastAsia="Times New Roman" w:hAnsi="Times New Roman" w:cs="Times New Roman"/>
    </w:rPr>
  </w:style>
  <w:style w:type="paragraph" w:styleId="Footer">
    <w:name w:val="footer"/>
    <w:basedOn w:val="Normal"/>
    <w:link w:val="FooterChar"/>
    <w:uiPriority w:val="99"/>
    <w:unhideWhenUsed/>
    <w:rsid w:val="007E580B"/>
    <w:pPr>
      <w:tabs>
        <w:tab w:val="center" w:pos="4680"/>
        <w:tab w:val="right" w:pos="9360"/>
      </w:tabs>
    </w:pPr>
  </w:style>
  <w:style w:type="character" w:customStyle="1" w:styleId="FooterChar">
    <w:name w:val="Footer Char"/>
    <w:basedOn w:val="DefaultParagraphFont"/>
    <w:link w:val="Footer"/>
    <w:uiPriority w:val="99"/>
    <w:rsid w:val="007E580B"/>
    <w:rPr>
      <w:rFonts w:ascii="Times New Roman" w:eastAsia="Times New Roman" w:hAnsi="Times New Roman" w:cs="Times New Roman"/>
    </w:rPr>
  </w:style>
  <w:style w:type="paragraph" w:customStyle="1" w:styleId="Default">
    <w:name w:val="Default"/>
    <w:rsid w:val="00B10634"/>
    <w:pPr>
      <w:widowControl/>
      <w:adjustRightInd w:val="0"/>
    </w:pPr>
    <w:rPr>
      <w:rFonts w:ascii="Arial" w:hAnsi="Arial" w:cs="Arial"/>
      <w:color w:val="000000"/>
      <w:sz w:val="24"/>
      <w:szCs w:val="24"/>
    </w:rPr>
  </w:style>
  <w:style w:type="table" w:styleId="TableGrid">
    <w:name w:val="Table Grid"/>
    <w:basedOn w:val="TableNormal"/>
    <w:uiPriority w:val="39"/>
    <w:rsid w:val="00053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5247">
      <w:bodyDiv w:val="1"/>
      <w:marLeft w:val="0"/>
      <w:marRight w:val="0"/>
      <w:marTop w:val="0"/>
      <w:marBottom w:val="0"/>
      <w:divBdr>
        <w:top w:val="none" w:sz="0" w:space="0" w:color="auto"/>
        <w:left w:val="none" w:sz="0" w:space="0" w:color="auto"/>
        <w:bottom w:val="none" w:sz="0" w:space="0" w:color="auto"/>
        <w:right w:val="none" w:sz="0" w:space="0" w:color="auto"/>
      </w:divBdr>
    </w:div>
    <w:div w:id="912197616">
      <w:bodyDiv w:val="1"/>
      <w:marLeft w:val="0"/>
      <w:marRight w:val="0"/>
      <w:marTop w:val="0"/>
      <w:marBottom w:val="0"/>
      <w:divBdr>
        <w:top w:val="none" w:sz="0" w:space="0" w:color="auto"/>
        <w:left w:val="none" w:sz="0" w:space="0" w:color="auto"/>
        <w:bottom w:val="none" w:sz="0" w:space="0" w:color="auto"/>
        <w:right w:val="none" w:sz="0" w:space="0" w:color="auto"/>
      </w:divBdr>
    </w:div>
    <w:div w:id="1558974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ass.gov/eoa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mass-gov-anf.zoom.us/j/85814341378?pwd=SVA0K1cxRjRySW9LMWUzYWxEQi9QUT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B5BD6-2087-4ACD-A84C-BF0DFC8ECDD2}"/>
</file>

<file path=customXml/itemProps2.xml><?xml version="1.0" encoding="utf-8"?>
<ds:datastoreItem xmlns:ds="http://schemas.openxmlformats.org/officeDocument/2006/customXml" ds:itemID="{EA664D73-A3DF-4565-B67D-B8A733F8B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6CDA03-D37C-40FC-AE52-4917761FC9EE}">
  <ds:schemaRefs>
    <ds:schemaRef ds:uri="http://schemas.microsoft.com/sharepoint/v3/contenttype/forms"/>
  </ds:schemaRefs>
</ds:datastoreItem>
</file>

<file path=customXml/itemProps4.xml><?xml version="1.0" encoding="utf-8"?>
<ds:datastoreItem xmlns:ds="http://schemas.openxmlformats.org/officeDocument/2006/customXml" ds:itemID="{5F5BD0E1-11AB-441A-BA7B-815DEFC0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Microsoft Word - DAC, Minutes (11.20.2020)(Draft until approved).doc</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DAC, Minutes (11.20.2020)(Draft until approved).doc</dc:title>
  <dc:creator>wbarchibald</dc:creator>
  <cp:lastModifiedBy>Govoni, Kelly K (A&amp;F)</cp:lastModifiedBy>
  <cp:revision>2</cp:revision>
  <dcterms:created xsi:type="dcterms:W3CDTF">2022-08-19T16:34:00Z</dcterms:created>
  <dcterms:modified xsi:type="dcterms:W3CDTF">2022-08-19T16:34:00Z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PScript5.dll Version 5.2.2</vt:lpwstr>
  </property>
  <property fmtid="{D5CDD505-2E9C-101B-9397-08002B2CF9AE}" pid="4" name="LastSaved">
    <vt:filetime>2021-10-22T00:00:00Z</vt:filetime>
  </property>
  <property fmtid="{D5CDD505-2E9C-101B-9397-08002B2CF9AE}" pid="5" name="ContentTypeId">
    <vt:lpwstr>0x01010009328F3A7E452743868B232F99CA4711</vt:lpwstr>
  </property>
  <property fmtid="{D5CDD505-2E9C-101B-9397-08002B2CF9AE}" pid="6" name="Order">
    <vt:r8>2786000</vt:r8>
  </property>
</Properties>
</file>