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A4" w:rsidRPr="00D579A4" w:rsidRDefault="00D579A4" w:rsidP="00D579A4">
      <w:pPr>
        <w:jc w:val="center"/>
        <w:rPr>
          <w:b/>
          <w:sz w:val="28"/>
          <w:szCs w:val="28"/>
        </w:rPr>
      </w:pPr>
      <w:r w:rsidRPr="00D579A4">
        <w:rPr>
          <w:b/>
          <w:sz w:val="28"/>
          <w:szCs w:val="28"/>
        </w:rPr>
        <w:t>Massachusetts Department of Public Health</w:t>
      </w:r>
    </w:p>
    <w:p w:rsidR="00D579A4" w:rsidRPr="00D579A4" w:rsidRDefault="00D579A4" w:rsidP="00D579A4">
      <w:pPr>
        <w:jc w:val="center"/>
        <w:rPr>
          <w:b/>
          <w:sz w:val="28"/>
          <w:szCs w:val="28"/>
        </w:rPr>
      </w:pPr>
    </w:p>
    <w:p w:rsidR="004F3A9F" w:rsidRDefault="00D579A4" w:rsidP="005F5286">
      <w:pPr>
        <w:jc w:val="center"/>
        <w:rPr>
          <w:b/>
          <w:sz w:val="28"/>
          <w:szCs w:val="28"/>
        </w:rPr>
      </w:pPr>
      <w:r w:rsidRPr="00D579A4">
        <w:rPr>
          <w:b/>
          <w:sz w:val="28"/>
          <w:szCs w:val="28"/>
        </w:rPr>
        <w:t>Massachusetts Vaccine Purchasing Advisory Council (MVPAC) Meeting</w:t>
      </w:r>
    </w:p>
    <w:p w:rsidR="00F57254" w:rsidRPr="005F5286" w:rsidRDefault="00F57254" w:rsidP="005F5286">
      <w:pPr>
        <w:jc w:val="center"/>
        <w:rPr>
          <w:b/>
          <w:sz w:val="28"/>
          <w:szCs w:val="28"/>
        </w:rPr>
      </w:pPr>
    </w:p>
    <w:p w:rsidR="007224A5" w:rsidRDefault="00D579A4" w:rsidP="009A21CE">
      <w:pPr>
        <w:pStyle w:val="NormalWeb"/>
        <w:spacing w:before="0" w:beforeAutospacing="0" w:after="0" w:afterAutospacing="0"/>
        <w:rPr>
          <w:b/>
        </w:rPr>
      </w:pPr>
      <w:r>
        <w:rPr>
          <w:lang w:val="en"/>
        </w:rPr>
        <w:t xml:space="preserve">Date: </w:t>
      </w:r>
      <w:r w:rsidRPr="00D579A4">
        <w:rPr>
          <w:lang w:val="en"/>
        </w:rPr>
        <w:t xml:space="preserve">Thursday, </w:t>
      </w:r>
      <w:r w:rsidR="00B11A8F">
        <w:rPr>
          <w:lang w:val="en"/>
        </w:rPr>
        <w:t>October 5</w:t>
      </w:r>
      <w:r w:rsidR="009118FC">
        <w:rPr>
          <w:lang w:val="en"/>
        </w:rPr>
        <w:t>, 2017</w:t>
      </w:r>
      <w:r w:rsidRPr="00D579A4">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rsidR="009A21CE" w:rsidRDefault="009A21CE" w:rsidP="009A21CE">
      <w:pPr>
        <w:pStyle w:val="NormalWeb"/>
        <w:spacing w:before="0" w:beforeAutospacing="0" w:after="0" w:afterAutospacing="0"/>
        <w:rPr>
          <w:b/>
        </w:rPr>
      </w:pPr>
      <w:r>
        <w:rPr>
          <w:b/>
        </w:rPr>
        <w:t xml:space="preserve">Council Member </w:t>
      </w:r>
      <w:r w:rsidRPr="00E76FD1">
        <w:rPr>
          <w:b/>
        </w:rPr>
        <w:t>Attendees:</w:t>
      </w:r>
    </w:p>
    <w:p w:rsidR="00EA124A" w:rsidRDefault="00EA124A" w:rsidP="009A21CE">
      <w:pPr>
        <w:pStyle w:val="NormalWeb"/>
        <w:spacing w:before="0" w:beforeAutospacing="0" w:after="0" w:afterAutospacing="0"/>
        <w:rPr>
          <w:b/>
          <w:i/>
        </w:rPr>
        <w:sectPr w:rsidR="00EA124A" w:rsidSect="00AF45E4">
          <w:headerReference w:type="default" r:id="rId9"/>
          <w:footerReference w:type="default" r:id="rId10"/>
          <w:pgSz w:w="12240" w:h="15840"/>
          <w:pgMar w:top="1440" w:right="1440" w:bottom="1440" w:left="1440" w:header="720" w:footer="720" w:gutter="0"/>
          <w:cols w:space="720"/>
          <w:docGrid w:linePitch="360"/>
        </w:sectPr>
      </w:pPr>
    </w:p>
    <w:p w:rsidR="009A21CE" w:rsidRPr="00EA124A" w:rsidRDefault="009A21CE" w:rsidP="009A21CE">
      <w:pPr>
        <w:pStyle w:val="NormalWeb"/>
        <w:spacing w:before="0" w:beforeAutospacing="0" w:after="0" w:afterAutospacing="0"/>
      </w:pPr>
      <w:r w:rsidRPr="00EA124A">
        <w:lastRenderedPageBreak/>
        <w:t>Kevin Cranston, MDiv</w:t>
      </w:r>
    </w:p>
    <w:p w:rsidR="009A21CE" w:rsidRPr="00EA124A" w:rsidRDefault="009A21CE" w:rsidP="009A21CE">
      <w:r w:rsidRPr="00EA124A">
        <w:t>Lloyd Fisher, MD</w:t>
      </w:r>
    </w:p>
    <w:p w:rsidR="009A21CE" w:rsidRPr="00EA124A" w:rsidRDefault="009A21CE" w:rsidP="009A21CE">
      <w:r w:rsidRPr="00EA124A">
        <w:t>Thomas Hines, MD</w:t>
      </w:r>
    </w:p>
    <w:p w:rsidR="009A21CE" w:rsidRPr="00EA124A" w:rsidRDefault="009A21CE" w:rsidP="009A21CE">
      <w:r w:rsidRPr="00EA124A">
        <w:t>Susan Lett, MD, MPH</w:t>
      </w:r>
    </w:p>
    <w:p w:rsidR="009A21CE" w:rsidRPr="00EA124A" w:rsidRDefault="009A21CE" w:rsidP="009A21CE">
      <w:r w:rsidRPr="00EA124A">
        <w:t>H. Cody Meissner, MD</w:t>
      </w:r>
    </w:p>
    <w:p w:rsidR="009A21CE" w:rsidRPr="00EA124A" w:rsidRDefault="009A21CE" w:rsidP="009A21CE">
      <w:r w:rsidRPr="00EA124A">
        <w:lastRenderedPageBreak/>
        <w:t>David Norton, MD</w:t>
      </w:r>
    </w:p>
    <w:p w:rsidR="009A21CE" w:rsidRPr="00EA124A" w:rsidRDefault="009A21CE" w:rsidP="009A21CE">
      <w:r w:rsidRPr="00EA124A">
        <w:t>Sean Palfrey, MD</w:t>
      </w:r>
    </w:p>
    <w:p w:rsidR="009A21CE" w:rsidRPr="00EA124A" w:rsidRDefault="009A21CE" w:rsidP="009A21CE">
      <w:r w:rsidRPr="00EA124A">
        <w:t>Ron Samuels, MD, MPH</w:t>
      </w:r>
    </w:p>
    <w:p w:rsidR="009A21CE" w:rsidRPr="00EA124A" w:rsidRDefault="009A21CE" w:rsidP="009A21CE">
      <w:r w:rsidRPr="00EA124A">
        <w:t>Patricia Toro, MD, MPH</w:t>
      </w:r>
    </w:p>
    <w:p w:rsidR="009A21CE" w:rsidRPr="00EA124A" w:rsidRDefault="009A21CE" w:rsidP="009A21CE">
      <w:r w:rsidRPr="00EA124A">
        <w:t>Zi Zhang</w:t>
      </w:r>
      <w:r w:rsidR="00762185">
        <w:t xml:space="preserve">, </w:t>
      </w:r>
      <w:r w:rsidR="00FB3738">
        <w:t>PhD</w:t>
      </w:r>
      <w:bookmarkStart w:id="0" w:name="_GoBack"/>
      <w:bookmarkEnd w:id="0"/>
    </w:p>
    <w:p w:rsidR="00EA124A" w:rsidRDefault="00EA124A" w:rsidP="009A21CE">
      <w:pPr>
        <w:sectPr w:rsidR="00EA124A" w:rsidSect="00EA124A">
          <w:type w:val="continuous"/>
          <w:pgSz w:w="12240" w:h="15840"/>
          <w:pgMar w:top="1440" w:right="1440" w:bottom="1440" w:left="1440" w:header="720" w:footer="720" w:gutter="0"/>
          <w:cols w:num="2" w:space="720"/>
          <w:docGrid w:linePitch="360"/>
        </w:sectPr>
      </w:pPr>
    </w:p>
    <w:p w:rsidR="009A21CE" w:rsidRDefault="009A21CE" w:rsidP="009A21CE"/>
    <w:p w:rsidR="009A21CE" w:rsidRDefault="009A21CE" w:rsidP="009A21CE">
      <w:pPr>
        <w:rPr>
          <w:b/>
        </w:rPr>
      </w:pPr>
      <w:r w:rsidRPr="00186863">
        <w:rPr>
          <w:b/>
        </w:rPr>
        <w:t>Additional Attendees:</w:t>
      </w:r>
    </w:p>
    <w:p w:rsidR="004B5358" w:rsidRDefault="004B5358" w:rsidP="009A21CE">
      <w:pPr>
        <w:sectPr w:rsidR="004B5358" w:rsidSect="00EA124A">
          <w:type w:val="continuous"/>
          <w:pgSz w:w="12240" w:h="15840"/>
          <w:pgMar w:top="1440" w:right="1440" w:bottom="1440" w:left="1440" w:header="720" w:footer="720" w:gutter="0"/>
          <w:cols w:space="720"/>
          <w:docGrid w:linePitch="360"/>
        </w:sectPr>
      </w:pPr>
    </w:p>
    <w:p w:rsidR="004B5358" w:rsidRDefault="004B5358" w:rsidP="009A21CE">
      <w:r>
        <w:lastRenderedPageBreak/>
        <w:t xml:space="preserve">Pam </w:t>
      </w:r>
      <w:proofErr w:type="spellStart"/>
      <w:r>
        <w:t>DiPerrio</w:t>
      </w:r>
      <w:proofErr w:type="spellEnd"/>
    </w:p>
    <w:p w:rsidR="00B801F7" w:rsidRDefault="00B801F7" w:rsidP="009A21CE">
      <w:r>
        <w:t>Carol Fischer</w:t>
      </w:r>
    </w:p>
    <w:p w:rsidR="004B5358" w:rsidRDefault="00897593" w:rsidP="009A21CE">
      <w:r>
        <w:t xml:space="preserve">Michael </w:t>
      </w:r>
      <w:r w:rsidR="004B5358">
        <w:t>Goldstein</w:t>
      </w:r>
    </w:p>
    <w:p w:rsidR="00984712" w:rsidRDefault="00984712" w:rsidP="009A21CE">
      <w:r>
        <w:t>Larry Madoff, MD</w:t>
      </w:r>
    </w:p>
    <w:p w:rsidR="009A21CE" w:rsidRDefault="009A21CE" w:rsidP="009A21CE">
      <w:r>
        <w:lastRenderedPageBreak/>
        <w:t>Cynthia McReynolds</w:t>
      </w:r>
    </w:p>
    <w:p w:rsidR="00B801F7" w:rsidRDefault="00B801F7" w:rsidP="009A21CE">
      <w:r>
        <w:t xml:space="preserve">Sherry </w:t>
      </w:r>
      <w:proofErr w:type="spellStart"/>
      <w:r>
        <w:t>Schilb</w:t>
      </w:r>
      <w:proofErr w:type="spellEnd"/>
    </w:p>
    <w:p w:rsidR="004B5358" w:rsidRDefault="004B5358" w:rsidP="009A21CE">
      <w:r>
        <w:t>Sarah Tivnan</w:t>
      </w:r>
    </w:p>
    <w:p w:rsidR="009A21CE" w:rsidRDefault="009A21CE" w:rsidP="009A21CE">
      <w:r>
        <w:t>Pejman Talebian, MA, MPH</w:t>
      </w:r>
    </w:p>
    <w:p w:rsidR="004B5358" w:rsidRDefault="004B5358" w:rsidP="002769C5">
      <w:pPr>
        <w:rPr>
          <w:b/>
          <w:lang w:val="en"/>
        </w:rPr>
        <w:sectPr w:rsidR="004B5358" w:rsidSect="004B5358">
          <w:type w:val="continuous"/>
          <w:pgSz w:w="12240" w:h="15840"/>
          <w:pgMar w:top="1440" w:right="1440" w:bottom="1440" w:left="1440" w:header="720" w:footer="720" w:gutter="0"/>
          <w:cols w:num="2" w:space="720"/>
          <w:docGrid w:linePitch="360"/>
        </w:sectPr>
      </w:pPr>
    </w:p>
    <w:p w:rsidR="00816EBD" w:rsidRDefault="00816EBD" w:rsidP="002769C5">
      <w:pPr>
        <w:rPr>
          <w:b/>
          <w:lang w:val="en"/>
        </w:rPr>
      </w:pPr>
    </w:p>
    <w:p w:rsidR="00D44A17" w:rsidRDefault="00412D45" w:rsidP="002769C5">
      <w:pPr>
        <w:rPr>
          <w:b/>
          <w:lang w:val="en"/>
        </w:rPr>
      </w:pPr>
      <w:r w:rsidRPr="002769C5">
        <w:rPr>
          <w:b/>
          <w:lang w:val="en"/>
        </w:rPr>
        <w:t xml:space="preserve">DPH </w:t>
      </w:r>
      <w:r w:rsidR="00AD2CEC" w:rsidRPr="002769C5">
        <w:rPr>
          <w:b/>
          <w:lang w:val="en"/>
        </w:rPr>
        <w:t>Update</w:t>
      </w:r>
      <w:r w:rsidRPr="002769C5">
        <w:rPr>
          <w:b/>
          <w:lang w:val="en"/>
        </w:rPr>
        <w:t>s</w:t>
      </w:r>
      <w:r w:rsidR="0094516D" w:rsidRPr="002769C5">
        <w:rPr>
          <w:b/>
          <w:lang w:val="en"/>
        </w:rPr>
        <w:t xml:space="preserve"> </w:t>
      </w:r>
      <w:r w:rsidR="00D44A17" w:rsidRPr="002769C5">
        <w:rPr>
          <w:b/>
          <w:lang w:val="en"/>
        </w:rPr>
        <w:br/>
      </w:r>
    </w:p>
    <w:p w:rsidR="002769C5" w:rsidRDefault="00B95018" w:rsidP="002769C5">
      <w:pPr>
        <w:rPr>
          <w:lang w:val="en"/>
        </w:rPr>
      </w:pPr>
      <w:r w:rsidRPr="00B95018">
        <w:rPr>
          <w:lang w:val="en"/>
        </w:rPr>
        <w:t>Mr. Cranston opened the meeting and welcome</w:t>
      </w:r>
      <w:r w:rsidR="00EA124A">
        <w:rPr>
          <w:lang w:val="en"/>
        </w:rPr>
        <w:t>d</w:t>
      </w:r>
      <w:r w:rsidRPr="00B95018">
        <w:rPr>
          <w:lang w:val="en"/>
        </w:rPr>
        <w:t xml:space="preserve"> </w:t>
      </w:r>
      <w:r w:rsidR="00EA124A">
        <w:rPr>
          <w:lang w:val="en"/>
        </w:rPr>
        <w:t>attendees. He also welcomed new Council members, Lloyd Fisher and Zi Zhang.</w:t>
      </w:r>
    </w:p>
    <w:p w:rsidR="00EA124A" w:rsidRDefault="00EA124A" w:rsidP="002769C5">
      <w:pPr>
        <w:rPr>
          <w:lang w:val="en"/>
        </w:rPr>
      </w:pPr>
    </w:p>
    <w:p w:rsidR="00EA124A" w:rsidRDefault="00EA124A" w:rsidP="002769C5">
      <w:pPr>
        <w:rPr>
          <w:lang w:val="en"/>
        </w:rPr>
      </w:pPr>
      <w:r>
        <w:rPr>
          <w:lang w:val="en"/>
        </w:rPr>
        <w:t>Attendees introduced themselves.</w:t>
      </w:r>
    </w:p>
    <w:p w:rsidR="00EA124A" w:rsidRDefault="00EA124A" w:rsidP="002769C5">
      <w:pPr>
        <w:rPr>
          <w:lang w:val="en"/>
        </w:rPr>
      </w:pPr>
    </w:p>
    <w:p w:rsidR="00EA124A" w:rsidRDefault="00816EBD" w:rsidP="002769C5">
      <w:pPr>
        <w:rPr>
          <w:lang w:val="en"/>
        </w:rPr>
      </w:pPr>
      <w:r>
        <w:rPr>
          <w:lang w:val="en"/>
        </w:rPr>
        <w:t xml:space="preserve">Mr. Cranston </w:t>
      </w:r>
      <w:r w:rsidR="00EA124A">
        <w:rPr>
          <w:lang w:val="en"/>
        </w:rPr>
        <w:t>congratulated Dr. Lett on her 30</w:t>
      </w:r>
      <w:r w:rsidR="00EA124A" w:rsidRPr="00EA124A">
        <w:rPr>
          <w:vertAlign w:val="superscript"/>
          <w:lang w:val="en"/>
        </w:rPr>
        <w:t>th</w:t>
      </w:r>
      <w:r w:rsidR="00EA124A">
        <w:rPr>
          <w:lang w:val="en"/>
        </w:rPr>
        <w:t xml:space="preserve"> anniversary at DPH. He thanked her for her expertise and also </w:t>
      </w:r>
      <w:r>
        <w:rPr>
          <w:lang w:val="en"/>
        </w:rPr>
        <w:t xml:space="preserve">for </w:t>
      </w:r>
      <w:r w:rsidR="00EA124A">
        <w:rPr>
          <w:lang w:val="en"/>
        </w:rPr>
        <w:t>her commitment to public service.</w:t>
      </w:r>
    </w:p>
    <w:p w:rsidR="00EA124A" w:rsidRDefault="00EA124A" w:rsidP="002769C5">
      <w:pPr>
        <w:rPr>
          <w:lang w:val="en"/>
        </w:rPr>
      </w:pPr>
    </w:p>
    <w:p w:rsidR="00850A4C" w:rsidRDefault="00EA124A" w:rsidP="002769C5">
      <w:pPr>
        <w:rPr>
          <w:lang w:val="en"/>
        </w:rPr>
      </w:pPr>
      <w:r>
        <w:rPr>
          <w:lang w:val="en"/>
        </w:rPr>
        <w:t xml:space="preserve">Mr. Talebian noted the following Immunization Program </w:t>
      </w:r>
      <w:r w:rsidR="00492164">
        <w:rPr>
          <w:lang w:val="en"/>
        </w:rPr>
        <w:t>changes:</w:t>
      </w:r>
    </w:p>
    <w:p w:rsidR="00EA124A" w:rsidRDefault="00EA124A" w:rsidP="002769C5">
      <w:pPr>
        <w:rPr>
          <w:lang w:val="en"/>
        </w:rPr>
      </w:pPr>
    </w:p>
    <w:p w:rsidR="00EA124A" w:rsidRDefault="00EA124A" w:rsidP="002769C5">
      <w:pPr>
        <w:rPr>
          <w:lang w:val="en"/>
        </w:rPr>
      </w:pPr>
      <w:r>
        <w:rPr>
          <w:lang w:val="en"/>
        </w:rPr>
        <w:t>Ms. English, Immunization Program Associate Director, has moved on to another role at DPH.  DPH is currently seeking to fill this position.</w:t>
      </w:r>
    </w:p>
    <w:p w:rsidR="00EA124A" w:rsidRDefault="00EA124A" w:rsidP="002769C5">
      <w:pPr>
        <w:rPr>
          <w:lang w:val="en"/>
        </w:rPr>
      </w:pPr>
    </w:p>
    <w:p w:rsidR="00EA124A" w:rsidRDefault="00EA124A" w:rsidP="002769C5">
      <w:pPr>
        <w:rPr>
          <w:lang w:val="en"/>
        </w:rPr>
      </w:pPr>
      <w:r>
        <w:rPr>
          <w:lang w:val="en"/>
        </w:rPr>
        <w:t>The Vaccine Manager position has been vacant since Mr. Morrison retired in December 2016.  A candidate has been selected and will begin employment in November 2017.</w:t>
      </w:r>
    </w:p>
    <w:p w:rsidR="00D77523" w:rsidRDefault="00D77523" w:rsidP="002769C5">
      <w:pPr>
        <w:rPr>
          <w:lang w:val="en"/>
        </w:rPr>
      </w:pPr>
    </w:p>
    <w:p w:rsidR="00EA124A" w:rsidRPr="00EA124A" w:rsidRDefault="00EA124A" w:rsidP="002769C5">
      <w:pPr>
        <w:rPr>
          <w:b/>
          <w:lang w:val="en"/>
        </w:rPr>
      </w:pPr>
      <w:r w:rsidRPr="00EA124A">
        <w:rPr>
          <w:b/>
          <w:lang w:val="en"/>
        </w:rPr>
        <w:t>Influenza Update</w:t>
      </w:r>
    </w:p>
    <w:p w:rsidR="00EA124A" w:rsidRDefault="00EA124A" w:rsidP="002769C5">
      <w:pPr>
        <w:rPr>
          <w:lang w:val="en"/>
        </w:rPr>
      </w:pPr>
    </w:p>
    <w:p w:rsidR="00EA124A" w:rsidRDefault="00EA124A" w:rsidP="002769C5">
      <w:pPr>
        <w:rPr>
          <w:lang w:val="en"/>
        </w:rPr>
      </w:pPr>
      <w:r>
        <w:rPr>
          <w:lang w:val="en"/>
        </w:rPr>
        <w:t>Dr. Lett a provided 2016-2017 influenza season summary and reviewed the 2017-2018 influenza season recommendations.</w:t>
      </w:r>
    </w:p>
    <w:p w:rsidR="00492164" w:rsidRDefault="00492164" w:rsidP="002769C5">
      <w:pPr>
        <w:rPr>
          <w:lang w:val="en"/>
        </w:rPr>
      </w:pPr>
    </w:p>
    <w:p w:rsidR="00EA124A" w:rsidRDefault="00EA124A" w:rsidP="002769C5">
      <w:pPr>
        <w:rPr>
          <w:lang w:val="en"/>
        </w:rPr>
      </w:pPr>
      <w:r>
        <w:rPr>
          <w:lang w:val="en"/>
        </w:rPr>
        <w:t xml:space="preserve">The 2016-2017 influenza season was a moderate season with severity indicators within the range of what has been seen in a H3N2 season.  The peak was in February 2017, but there were </w:t>
      </w:r>
      <w:r>
        <w:rPr>
          <w:lang w:val="en"/>
        </w:rPr>
        <w:lastRenderedPageBreak/>
        <w:t xml:space="preserve">regional differences. A majority of the circulating strains were similar to those in the vaccine. Influenza A (H3N2) predominated in the US. </w:t>
      </w:r>
    </w:p>
    <w:p w:rsidR="00EA124A" w:rsidRDefault="00EA124A" w:rsidP="002769C5">
      <w:pPr>
        <w:rPr>
          <w:lang w:val="en"/>
        </w:rPr>
      </w:pPr>
    </w:p>
    <w:p w:rsidR="00EA124A" w:rsidRDefault="00EA124A" w:rsidP="002769C5">
      <w:pPr>
        <w:rPr>
          <w:lang w:val="en"/>
        </w:rPr>
      </w:pPr>
      <w:r>
        <w:rPr>
          <w:lang w:val="en"/>
        </w:rPr>
        <w:t>Overall influenza vaccine efficacy was 42%. Flu vaccination rates among children were steady at 59% despite a concern that loss of live attenuated influenza vaccine (LAIV) might affect rates. There was an increase to 43% in adults.</w:t>
      </w:r>
    </w:p>
    <w:p w:rsidR="00EA124A" w:rsidRDefault="00EA124A" w:rsidP="002769C5">
      <w:pPr>
        <w:rPr>
          <w:lang w:val="en"/>
        </w:rPr>
      </w:pPr>
    </w:p>
    <w:p w:rsidR="00EA124A" w:rsidRDefault="00EA124A" w:rsidP="002769C5">
      <w:pPr>
        <w:rPr>
          <w:lang w:val="en"/>
        </w:rPr>
      </w:pPr>
      <w:r>
        <w:rPr>
          <w:lang w:val="en"/>
        </w:rPr>
        <w:t xml:space="preserve">Dr. Lett noted that the 2017-2018 influenza recommendations were published in three </w:t>
      </w:r>
      <w:r w:rsidR="00512F8F">
        <w:rPr>
          <w:lang w:val="en"/>
        </w:rPr>
        <w:t>sections: the full recommendation</w:t>
      </w:r>
      <w:r>
        <w:rPr>
          <w:lang w:val="en"/>
        </w:rPr>
        <w:t xml:space="preserve"> in</w:t>
      </w:r>
      <w:r w:rsidR="00512F8F">
        <w:rPr>
          <w:lang w:val="en"/>
        </w:rPr>
        <w:t xml:space="preserve"> the</w:t>
      </w:r>
      <w:r>
        <w:rPr>
          <w:lang w:val="en"/>
        </w:rPr>
        <w:t xml:space="preserve"> MMWR, as a summary “job aid” and in a background document. These recommendations can be found on the CDC website at the following link: </w:t>
      </w:r>
      <w:hyperlink r:id="rId11" w:history="1">
        <w:r w:rsidRPr="00DC763B">
          <w:rPr>
            <w:rStyle w:val="Hyperlink"/>
            <w:lang w:val="en"/>
          </w:rPr>
          <w:t>https://www.cdc.gov/vaccines/hcp/acip-recs/vacc-specific/flu.html</w:t>
        </w:r>
      </w:hyperlink>
    </w:p>
    <w:p w:rsidR="00EA124A" w:rsidRDefault="00EA124A" w:rsidP="002769C5">
      <w:pPr>
        <w:rPr>
          <w:lang w:val="en"/>
        </w:rPr>
      </w:pPr>
    </w:p>
    <w:p w:rsidR="002D68E2" w:rsidRDefault="002D68E2" w:rsidP="002769C5">
      <w:pPr>
        <w:rPr>
          <w:lang w:val="en"/>
        </w:rPr>
      </w:pPr>
      <w:r>
        <w:rPr>
          <w:lang w:val="en"/>
        </w:rPr>
        <w:t>Dr. Lett reviewed the following key updates for the 2017-2018 influenza season:</w:t>
      </w:r>
    </w:p>
    <w:p w:rsidR="002D68E2" w:rsidRDefault="002D68E2" w:rsidP="002D68E2">
      <w:pPr>
        <w:pStyle w:val="ListParagraph"/>
        <w:numPr>
          <w:ilvl w:val="0"/>
          <w:numId w:val="7"/>
        </w:numPr>
        <w:rPr>
          <w:lang w:val="en"/>
        </w:rPr>
      </w:pPr>
      <w:r>
        <w:rPr>
          <w:lang w:val="en"/>
        </w:rPr>
        <w:t>Vaccine composition, including new strain;</w:t>
      </w:r>
    </w:p>
    <w:p w:rsidR="002D68E2" w:rsidRDefault="002D68E2" w:rsidP="002D68E2">
      <w:pPr>
        <w:pStyle w:val="ListParagraph"/>
        <w:numPr>
          <w:ilvl w:val="0"/>
          <w:numId w:val="7"/>
        </w:numPr>
        <w:rPr>
          <w:lang w:val="en"/>
        </w:rPr>
      </w:pPr>
      <w:r>
        <w:rPr>
          <w:lang w:val="en"/>
        </w:rPr>
        <w:t>LAIV is not recommended for use;</w:t>
      </w:r>
    </w:p>
    <w:p w:rsidR="002D68E2" w:rsidRDefault="002D68E2" w:rsidP="002D68E2">
      <w:pPr>
        <w:pStyle w:val="ListParagraph"/>
        <w:numPr>
          <w:ilvl w:val="0"/>
          <w:numId w:val="7"/>
        </w:numPr>
        <w:rPr>
          <w:lang w:val="en"/>
        </w:rPr>
      </w:pPr>
      <w:r>
        <w:rPr>
          <w:lang w:val="en"/>
        </w:rPr>
        <w:t xml:space="preserve">New vaccine approvals and licensures (Flublok,  Flulaval  and Afluria </w:t>
      </w:r>
      <w:r w:rsidR="00492164">
        <w:rPr>
          <w:lang w:val="en"/>
        </w:rPr>
        <w:t>q</w:t>
      </w:r>
      <w:r>
        <w:rPr>
          <w:lang w:val="en"/>
        </w:rPr>
        <w:t>uadrivalent influenza vaccines);</w:t>
      </w:r>
    </w:p>
    <w:p w:rsidR="002D68E2" w:rsidRPr="002D68E2" w:rsidRDefault="002D68E2" w:rsidP="002D68E2">
      <w:pPr>
        <w:pStyle w:val="ListParagraph"/>
        <w:numPr>
          <w:ilvl w:val="0"/>
          <w:numId w:val="7"/>
        </w:numPr>
        <w:rPr>
          <w:lang w:val="en"/>
        </w:rPr>
      </w:pPr>
      <w:r>
        <w:rPr>
          <w:lang w:val="en"/>
        </w:rPr>
        <w:t>Updated recommendations for influenza vaccination of pregnant women.</w:t>
      </w:r>
    </w:p>
    <w:p w:rsidR="00EA124A" w:rsidRDefault="00EA124A" w:rsidP="002769C5">
      <w:pPr>
        <w:rPr>
          <w:lang w:val="en"/>
        </w:rPr>
      </w:pPr>
    </w:p>
    <w:p w:rsidR="002D68E2" w:rsidRDefault="002D68E2" w:rsidP="002769C5">
      <w:pPr>
        <w:rPr>
          <w:lang w:val="en"/>
        </w:rPr>
      </w:pPr>
      <w:r>
        <w:rPr>
          <w:lang w:val="en"/>
        </w:rPr>
        <w:t>The manufacturer of LAIV will be presenting at the October 2017 meeting of the Advisory Committee on Immunization Practices (ACIP).</w:t>
      </w:r>
    </w:p>
    <w:p w:rsidR="002D68E2" w:rsidRDefault="002D68E2" w:rsidP="002769C5">
      <w:pPr>
        <w:rPr>
          <w:lang w:val="en"/>
        </w:rPr>
      </w:pPr>
    </w:p>
    <w:p w:rsidR="002D68E2" w:rsidRDefault="002D68E2" w:rsidP="002769C5">
      <w:pPr>
        <w:rPr>
          <w:lang w:val="en"/>
        </w:rPr>
      </w:pPr>
      <w:r>
        <w:rPr>
          <w:lang w:val="en"/>
        </w:rPr>
        <w:t xml:space="preserve">There have been a number of questions about the new label for age and dose recommendations for the Flulaval quadrivalent influenza vaccine. There have been questions about </w:t>
      </w:r>
      <w:r w:rsidR="00B31964">
        <w:rPr>
          <w:lang w:val="en"/>
        </w:rPr>
        <w:t xml:space="preserve">volume: </w:t>
      </w:r>
      <w:r>
        <w:rPr>
          <w:lang w:val="en"/>
        </w:rPr>
        <w:t xml:space="preserve">giving a </w:t>
      </w:r>
      <w:r w:rsidR="00512F8F">
        <w:rPr>
          <w:lang w:val="en"/>
        </w:rPr>
        <w:t>0</w:t>
      </w:r>
      <w:r>
        <w:rPr>
          <w:lang w:val="en"/>
        </w:rPr>
        <w:t xml:space="preserve">.50 mL dose, </w:t>
      </w:r>
      <w:r w:rsidR="00AC220F">
        <w:rPr>
          <w:lang w:val="en"/>
        </w:rPr>
        <w:t>whether two doses are needed as opposed to t</w:t>
      </w:r>
      <w:r>
        <w:rPr>
          <w:lang w:val="en"/>
        </w:rPr>
        <w:t>he</w:t>
      </w:r>
      <w:r w:rsidR="00492164">
        <w:rPr>
          <w:lang w:val="en"/>
        </w:rPr>
        <w:t xml:space="preserve"> Fluzone q</w:t>
      </w:r>
      <w:r>
        <w:rPr>
          <w:lang w:val="en"/>
        </w:rPr>
        <w:t>uadrivalent</w:t>
      </w:r>
      <w:r w:rsidR="00492164">
        <w:rPr>
          <w:lang w:val="en"/>
        </w:rPr>
        <w:t xml:space="preserve"> influenza vaccine </w:t>
      </w:r>
      <w:r w:rsidR="00AC220F">
        <w:rPr>
          <w:lang w:val="en"/>
        </w:rPr>
        <w:t>(</w:t>
      </w:r>
      <w:r w:rsidR="00512F8F">
        <w:rPr>
          <w:lang w:val="en"/>
        </w:rPr>
        <w:t>0</w:t>
      </w:r>
      <w:r>
        <w:rPr>
          <w:lang w:val="en"/>
        </w:rPr>
        <w:t>.25 mL dose</w:t>
      </w:r>
      <w:r w:rsidR="00AC220F">
        <w:rPr>
          <w:lang w:val="en"/>
        </w:rPr>
        <w:t>).</w:t>
      </w:r>
    </w:p>
    <w:p w:rsidR="002D68E2" w:rsidRDefault="002D68E2" w:rsidP="002769C5">
      <w:pPr>
        <w:rPr>
          <w:lang w:val="en"/>
        </w:rPr>
      </w:pPr>
    </w:p>
    <w:p w:rsidR="002D68E2" w:rsidRDefault="002D68E2" w:rsidP="002769C5">
      <w:pPr>
        <w:rPr>
          <w:lang w:val="en"/>
        </w:rPr>
      </w:pPr>
      <w:r>
        <w:rPr>
          <w:lang w:val="en"/>
        </w:rPr>
        <w:t xml:space="preserve">Afluria </w:t>
      </w:r>
      <w:r w:rsidR="00492164">
        <w:rPr>
          <w:lang w:val="en"/>
        </w:rPr>
        <w:t>q</w:t>
      </w:r>
      <w:r>
        <w:rPr>
          <w:lang w:val="en"/>
        </w:rPr>
        <w:t xml:space="preserve">uadrivalent </w:t>
      </w:r>
      <w:r w:rsidR="00492164">
        <w:rPr>
          <w:lang w:val="en"/>
        </w:rPr>
        <w:t xml:space="preserve">influenza vaccine </w:t>
      </w:r>
      <w:r>
        <w:rPr>
          <w:lang w:val="en"/>
        </w:rPr>
        <w:t>is now licensed down to 5 years of age. This vaccine is not state-supplied.</w:t>
      </w:r>
    </w:p>
    <w:p w:rsidR="002D68E2" w:rsidRDefault="002D68E2" w:rsidP="002769C5">
      <w:pPr>
        <w:rPr>
          <w:lang w:val="en"/>
        </w:rPr>
      </w:pPr>
    </w:p>
    <w:p w:rsidR="003E28C8" w:rsidRDefault="002D68E2" w:rsidP="00860A3E">
      <w:r>
        <w:rPr>
          <w:lang w:val="en"/>
        </w:rPr>
        <w:t xml:space="preserve">The </w:t>
      </w:r>
      <w:r w:rsidR="00492164">
        <w:rPr>
          <w:lang w:val="en"/>
        </w:rPr>
        <w:t>recommendation</w:t>
      </w:r>
      <w:r>
        <w:rPr>
          <w:lang w:val="en"/>
        </w:rPr>
        <w:t xml:space="preserve"> for vaccination of pregnant women has not changed; however, there may be confusion because of a recently published study</w:t>
      </w:r>
      <w:r w:rsidR="00860A3E">
        <w:rPr>
          <w:lang w:val="en"/>
        </w:rPr>
        <w:t xml:space="preserve"> in </w:t>
      </w:r>
      <w:r w:rsidR="00860A3E" w:rsidRPr="00860A3E">
        <w:rPr>
          <w:i/>
          <w:lang w:val="en"/>
        </w:rPr>
        <w:t>Vaccine</w:t>
      </w:r>
      <w:r>
        <w:rPr>
          <w:lang w:val="en"/>
        </w:rPr>
        <w:t xml:space="preserve">, </w:t>
      </w:r>
      <w:r w:rsidR="00860A3E">
        <w:rPr>
          <w:lang w:val="en"/>
        </w:rPr>
        <w:t>“Association of spontaneous abortion with receipt of inactivated influenza containing H1N1 pdm09 in 2010-2011 and 2011-2012</w:t>
      </w:r>
      <w:r w:rsidR="00492164">
        <w:rPr>
          <w:lang w:val="en"/>
        </w:rPr>
        <w:t>.</w:t>
      </w:r>
      <w:r w:rsidR="00860A3E">
        <w:rPr>
          <w:lang w:val="en"/>
        </w:rPr>
        <w:t xml:space="preserve">” </w:t>
      </w:r>
      <w:r w:rsidR="00492164">
        <w:rPr>
          <w:lang w:val="en"/>
        </w:rPr>
        <w:t xml:space="preserve"> </w:t>
      </w:r>
      <w:r w:rsidR="00860A3E">
        <w:rPr>
          <w:lang w:val="en"/>
        </w:rPr>
        <w:t>The study noted that w</w:t>
      </w:r>
      <w:r w:rsidR="004B5358" w:rsidRPr="002D68E2">
        <w:t xml:space="preserve">omen vaccinated with </w:t>
      </w:r>
      <w:r w:rsidR="00816EBD" w:rsidRPr="002D68E2">
        <w:t>a vaccine</w:t>
      </w:r>
      <w:r w:rsidR="004B5358" w:rsidRPr="002D68E2">
        <w:t xml:space="preserve"> containing the pandemic H1N1 (H1N1pdm09) component and who also had been vaccinated the prior season with that same component had an increased risk of miscarriage in the 28 days after vaccination. </w:t>
      </w:r>
    </w:p>
    <w:p w:rsidR="00860A3E" w:rsidRDefault="00860A3E" w:rsidP="00860A3E"/>
    <w:p w:rsidR="00492164" w:rsidRPr="002D68E2" w:rsidRDefault="00492164" w:rsidP="00492164">
      <w:r>
        <w:t xml:space="preserve">It was noted that </w:t>
      </w:r>
      <w:r w:rsidR="00860A3E">
        <w:t xml:space="preserve">this </w:t>
      </w:r>
      <w:r w:rsidR="004B5358" w:rsidRPr="002D68E2">
        <w:t>study d</w:t>
      </w:r>
      <w:r>
        <w:t xml:space="preserve">oes </w:t>
      </w:r>
      <w:r w:rsidR="004B5358" w:rsidRPr="002D68E2">
        <w:t xml:space="preserve">not quantify the risk of miscarriage and does not show that flu vaccine was the cause of the miscarriage. </w:t>
      </w:r>
      <w:r w:rsidR="00860A3E">
        <w:t xml:space="preserve"> There were w</w:t>
      </w:r>
      <w:r w:rsidR="004B5358" w:rsidRPr="002D68E2">
        <w:t xml:space="preserve">ide confidence intervals, the cases were older than </w:t>
      </w:r>
      <w:r>
        <w:t xml:space="preserve">the </w:t>
      </w:r>
      <w:r w:rsidR="004B5358" w:rsidRPr="002D68E2">
        <w:t xml:space="preserve">controls and more likely </w:t>
      </w:r>
      <w:r w:rsidR="00816EBD">
        <w:t xml:space="preserve">to be African-American, have a history </w:t>
      </w:r>
      <w:r w:rsidR="004B5358" w:rsidRPr="002D68E2">
        <w:t xml:space="preserve">of </w:t>
      </w:r>
      <w:r w:rsidR="004B5358" w:rsidRPr="002D68E2">
        <w:rPr>
          <w:u w:val="single"/>
        </w:rPr>
        <w:t>&gt;</w:t>
      </w:r>
      <w:r w:rsidR="004B5358" w:rsidRPr="002D68E2">
        <w:t xml:space="preserve">2 SABs and smoked during this pregnancy.  </w:t>
      </w:r>
      <w:r w:rsidR="00860A3E">
        <w:t xml:space="preserve">Additionally, there </w:t>
      </w:r>
      <w:r w:rsidR="004B5358" w:rsidRPr="002D68E2">
        <w:t xml:space="preserve">is </w:t>
      </w:r>
      <w:r w:rsidR="00860A3E">
        <w:t>a</w:t>
      </w:r>
      <w:r w:rsidR="004B5358" w:rsidRPr="002D68E2">
        <w:t xml:space="preserve"> long history of signals of increased miscarriages that have not proved tr</w:t>
      </w:r>
      <w:r w:rsidR="00860A3E">
        <w:t>ue upon completion of analysis.</w:t>
      </w:r>
      <w:r w:rsidRPr="00492164">
        <w:t xml:space="preserve"> </w:t>
      </w:r>
      <w:r w:rsidRPr="00860A3E">
        <w:t xml:space="preserve">There is an ongoing investigation to study this issue </w:t>
      </w:r>
      <w:r>
        <w:t>and the re</w:t>
      </w:r>
      <w:r w:rsidRPr="00860A3E">
        <w:t>sults are anticipated in late 2018 or 2019.</w:t>
      </w:r>
    </w:p>
    <w:p w:rsidR="003E28C8" w:rsidRDefault="003E28C8" w:rsidP="00860A3E"/>
    <w:p w:rsidR="00860A3E" w:rsidRPr="00860A3E" w:rsidRDefault="00492164" w:rsidP="00860A3E">
      <w:r>
        <w:lastRenderedPageBreak/>
        <w:t>It was also noted that i</w:t>
      </w:r>
      <w:r w:rsidR="00860A3E" w:rsidRPr="00860A3E">
        <w:t>nfluenza vaccines have a good safety record.</w:t>
      </w:r>
      <w:r w:rsidR="00860A3E">
        <w:t xml:space="preserve"> </w:t>
      </w:r>
      <w:r w:rsidR="00860A3E" w:rsidRPr="00860A3E">
        <w:t>Multiple studies have not found a link between flu vaccination and miscarriage.</w:t>
      </w:r>
      <w:r>
        <w:t xml:space="preserve"> At this time, the recommendation to vaccinate pregnant women is the same as for the 2016-2017 influenza season.</w:t>
      </w:r>
    </w:p>
    <w:p w:rsidR="002D68E2" w:rsidRDefault="002D68E2" w:rsidP="002769C5">
      <w:pPr>
        <w:rPr>
          <w:lang w:val="en"/>
        </w:rPr>
      </w:pPr>
    </w:p>
    <w:p w:rsidR="00825BAB" w:rsidRDefault="00860A3E" w:rsidP="002769C5">
      <w:pPr>
        <w:rPr>
          <w:lang w:val="en"/>
        </w:rPr>
      </w:pPr>
      <w:r>
        <w:rPr>
          <w:lang w:val="en"/>
        </w:rPr>
        <w:t>Dr. Lett also reviewed the influenza vaccine formulations for this season, and the recommendations regarding influenza vaccination of persons with egg allergy.</w:t>
      </w:r>
    </w:p>
    <w:p w:rsidR="003B3E5F" w:rsidRDefault="003B3E5F" w:rsidP="002769C5">
      <w:pPr>
        <w:rPr>
          <w:lang w:val="en"/>
        </w:rPr>
      </w:pPr>
    </w:p>
    <w:p w:rsidR="00E61A5F" w:rsidRDefault="00751B3D" w:rsidP="002769C5">
      <w:pPr>
        <w:rPr>
          <w:b/>
          <w:lang w:val="en"/>
        </w:rPr>
      </w:pPr>
      <w:r w:rsidRPr="002769C5">
        <w:rPr>
          <w:b/>
          <w:lang w:val="en"/>
        </w:rPr>
        <w:t>Discussion regarding flu vaccine formulations and distribution</w:t>
      </w:r>
      <w:r w:rsidR="009118FC" w:rsidRPr="002769C5">
        <w:rPr>
          <w:b/>
          <w:lang w:val="en"/>
        </w:rPr>
        <w:t xml:space="preserve"> </w:t>
      </w:r>
    </w:p>
    <w:p w:rsidR="00860A3E" w:rsidRDefault="00860A3E" w:rsidP="002769C5">
      <w:pPr>
        <w:rPr>
          <w:b/>
          <w:lang w:val="en"/>
        </w:rPr>
      </w:pPr>
    </w:p>
    <w:p w:rsidR="00860A3E" w:rsidRPr="00860A3E" w:rsidRDefault="00860A3E" w:rsidP="002769C5">
      <w:pPr>
        <w:rPr>
          <w:lang w:val="en"/>
        </w:rPr>
      </w:pPr>
      <w:r w:rsidRPr="00860A3E">
        <w:rPr>
          <w:lang w:val="en"/>
        </w:rPr>
        <w:t>Mr. Talebian noted that the Council requested information about the Department</w:t>
      </w:r>
      <w:r w:rsidR="00402D71">
        <w:rPr>
          <w:lang w:val="en"/>
        </w:rPr>
        <w:t>’</w:t>
      </w:r>
      <w:r w:rsidRPr="00860A3E">
        <w:rPr>
          <w:lang w:val="en"/>
        </w:rPr>
        <w:t>s influenza vaccine pre-booking and distribution process.</w:t>
      </w:r>
      <w:r w:rsidR="00402D71">
        <w:rPr>
          <w:lang w:val="en"/>
        </w:rPr>
        <w:t xml:space="preserve"> He referred attendees to the last two handouts on the right side of the meeting packet.</w:t>
      </w:r>
    </w:p>
    <w:p w:rsidR="00860A3E" w:rsidRDefault="00860A3E" w:rsidP="002769C5">
      <w:pPr>
        <w:rPr>
          <w:b/>
          <w:lang w:val="en"/>
        </w:rPr>
      </w:pPr>
    </w:p>
    <w:p w:rsidR="00402D71" w:rsidRPr="00402D71" w:rsidRDefault="00402D71" w:rsidP="002769C5">
      <w:pPr>
        <w:rPr>
          <w:lang w:val="en"/>
        </w:rPr>
      </w:pPr>
      <w:r w:rsidRPr="00402D71">
        <w:rPr>
          <w:lang w:val="en"/>
        </w:rPr>
        <w:t>Influenza</w:t>
      </w:r>
      <w:r>
        <w:rPr>
          <w:lang w:val="en"/>
        </w:rPr>
        <w:t xml:space="preserve"> vaccines are distributed seasonally, which is different from other vaccines. Twenty-one (21) </w:t>
      </w:r>
      <w:r w:rsidRPr="00402D71">
        <w:rPr>
          <w:lang w:val="en"/>
        </w:rPr>
        <w:t>currently-licensed formulations are available in the United States</w:t>
      </w:r>
      <w:r>
        <w:rPr>
          <w:lang w:val="en"/>
        </w:rPr>
        <w:t>. Of the 21 formulations, DPH currently supplies six (6) formulations.</w:t>
      </w:r>
    </w:p>
    <w:p w:rsidR="00860A3E" w:rsidRPr="002769C5" w:rsidRDefault="00860A3E" w:rsidP="002769C5">
      <w:pPr>
        <w:rPr>
          <w:b/>
          <w:lang w:val="en"/>
        </w:rPr>
      </w:pPr>
    </w:p>
    <w:p w:rsidR="00402D71" w:rsidRDefault="00402D71" w:rsidP="00402D71">
      <w:pPr>
        <w:rPr>
          <w:lang w:val="en"/>
        </w:rPr>
      </w:pPr>
      <w:r>
        <w:rPr>
          <w:lang w:val="en"/>
        </w:rPr>
        <w:t xml:space="preserve">DPH purchases vaccines through CDC contracts, which guarantees the lowest </w:t>
      </w:r>
      <w:r w:rsidR="00512F8F">
        <w:rPr>
          <w:lang w:val="en"/>
        </w:rPr>
        <w:t>prices. CDC usually communicates available formulations and</w:t>
      </w:r>
      <w:r>
        <w:rPr>
          <w:lang w:val="en"/>
        </w:rPr>
        <w:t xml:space="preserve"> pricing in mid-January. DPH takes th</w:t>
      </w:r>
      <w:r w:rsidR="005E2749">
        <w:rPr>
          <w:lang w:val="en"/>
        </w:rPr>
        <w:t>e</w:t>
      </w:r>
      <w:r>
        <w:rPr>
          <w:lang w:val="en"/>
        </w:rPr>
        <w:t xml:space="preserve"> list, looks at prior year usage and then sends a pre-book survey to MA providers.  DPH gives providers an order history from the previous season to help inform them on their decisions for the next season.</w:t>
      </w:r>
    </w:p>
    <w:p w:rsidR="00402D71" w:rsidRDefault="00402D71" w:rsidP="00402D71">
      <w:pPr>
        <w:rPr>
          <w:lang w:val="en"/>
        </w:rPr>
      </w:pPr>
    </w:p>
    <w:p w:rsidR="005E2749" w:rsidRDefault="00402D71" w:rsidP="00492164">
      <w:pPr>
        <w:rPr>
          <w:lang w:val="en"/>
        </w:rPr>
      </w:pPr>
      <w:r>
        <w:rPr>
          <w:lang w:val="en"/>
        </w:rPr>
        <w:t xml:space="preserve">There is a four-week turn-around for responding to CDC with the state order for the next influenza season. This </w:t>
      </w:r>
      <w:r w:rsidR="00492164">
        <w:rPr>
          <w:lang w:val="en"/>
        </w:rPr>
        <w:t xml:space="preserve">means that in the middle of </w:t>
      </w:r>
      <w:r>
        <w:rPr>
          <w:lang w:val="en"/>
        </w:rPr>
        <w:t>one influenza season, DPH is already pre-booking for the next influenza season. By late spring or early summer, DPH will send final allocation amounts to providers. This allocation is based on usage and intended supply.</w:t>
      </w:r>
      <w:r w:rsidR="00512F8F">
        <w:rPr>
          <w:lang w:val="en"/>
        </w:rPr>
        <w:t xml:space="preserve"> </w:t>
      </w:r>
      <w:r w:rsidR="005E2749">
        <w:rPr>
          <w:lang w:val="en"/>
        </w:rPr>
        <w:t xml:space="preserve">By late July or early August, manufacturers will begin to distribute vaccine to McKesson. </w:t>
      </w:r>
      <w:r w:rsidR="00492164">
        <w:rPr>
          <w:lang w:val="en"/>
        </w:rPr>
        <w:t>M</w:t>
      </w:r>
      <w:r w:rsidR="005E2749">
        <w:rPr>
          <w:lang w:val="en"/>
        </w:rPr>
        <w:t>cKesson generally continues to distribute vaccine through October.</w:t>
      </w:r>
    </w:p>
    <w:p w:rsidR="00492164" w:rsidRDefault="00492164" w:rsidP="005E2749">
      <w:pPr>
        <w:rPr>
          <w:lang w:val="en"/>
        </w:rPr>
      </w:pPr>
    </w:p>
    <w:p w:rsidR="005E2749" w:rsidRDefault="005E2749" w:rsidP="00492164">
      <w:pPr>
        <w:rPr>
          <w:lang w:val="en"/>
        </w:rPr>
      </w:pPr>
      <w:r>
        <w:rPr>
          <w:lang w:val="en"/>
        </w:rPr>
        <w:t xml:space="preserve">DPH typically sends initial doses to providers by allocation, for example, if 5,000 doses are expected for a season, providers will get initial doses after which they can order additional doses through the MIIS. Since </w:t>
      </w:r>
      <w:r w:rsidR="00492164">
        <w:rPr>
          <w:lang w:val="en"/>
        </w:rPr>
        <w:t xml:space="preserve">influenza vaccine </w:t>
      </w:r>
      <w:r>
        <w:rPr>
          <w:lang w:val="en"/>
        </w:rPr>
        <w:t xml:space="preserve">storage </w:t>
      </w:r>
      <w:r w:rsidR="00492164">
        <w:rPr>
          <w:lang w:val="en"/>
        </w:rPr>
        <w:t xml:space="preserve">can be </w:t>
      </w:r>
      <w:r>
        <w:rPr>
          <w:lang w:val="en"/>
        </w:rPr>
        <w:t>a challenge for providers, DPH does not “push out” too much vaccine at a time. DPH tries to be as flexible as possible.</w:t>
      </w:r>
    </w:p>
    <w:p w:rsidR="00492164" w:rsidRDefault="00492164" w:rsidP="00492164">
      <w:pPr>
        <w:rPr>
          <w:lang w:val="en"/>
        </w:rPr>
      </w:pPr>
    </w:p>
    <w:p w:rsidR="00825BAB" w:rsidRDefault="00825BAB" w:rsidP="00492164">
      <w:pPr>
        <w:rPr>
          <w:lang w:val="en"/>
        </w:rPr>
      </w:pPr>
      <w:r>
        <w:rPr>
          <w:lang w:val="en"/>
        </w:rPr>
        <w:t xml:space="preserve">How </w:t>
      </w:r>
      <w:r w:rsidR="005E2749">
        <w:rPr>
          <w:lang w:val="en"/>
        </w:rPr>
        <w:t xml:space="preserve">is the number of formulations supplied by DPH reduced from </w:t>
      </w:r>
      <w:r>
        <w:rPr>
          <w:lang w:val="en"/>
        </w:rPr>
        <w:t xml:space="preserve">21 to 6 </w:t>
      </w:r>
      <w:r w:rsidR="005E2749">
        <w:rPr>
          <w:lang w:val="en"/>
        </w:rPr>
        <w:t xml:space="preserve">formulations? </w:t>
      </w:r>
    </w:p>
    <w:p w:rsidR="00E253BE" w:rsidRDefault="005E2749" w:rsidP="005E2749">
      <w:pPr>
        <w:rPr>
          <w:lang w:val="en"/>
        </w:rPr>
      </w:pPr>
      <w:r>
        <w:rPr>
          <w:lang w:val="en"/>
        </w:rPr>
        <w:t>DPH only supplies influenza vaccine universally for children through age 18.  In addition, DPH supplies a limited amount of adult vaccine to uninsured adults through federally-qualified health centers. Because the vaccine is not universally supplied for adults, the number of formulations that are needed is reduced</w:t>
      </w:r>
      <w:r w:rsidR="00E253BE">
        <w:rPr>
          <w:lang w:val="en"/>
        </w:rPr>
        <w:t xml:space="preserve"> by 5 formulations</w:t>
      </w:r>
      <w:r>
        <w:rPr>
          <w:lang w:val="en"/>
        </w:rPr>
        <w:t xml:space="preserve">. Additionally, DPH supplies </w:t>
      </w:r>
      <w:proofErr w:type="spellStart"/>
      <w:r>
        <w:rPr>
          <w:lang w:val="en"/>
        </w:rPr>
        <w:t>quadrivalent</w:t>
      </w:r>
      <w:proofErr w:type="spellEnd"/>
      <w:r>
        <w:rPr>
          <w:lang w:val="en"/>
        </w:rPr>
        <w:t xml:space="preserve"> influenza vaccines</w:t>
      </w:r>
      <w:r w:rsidR="00512F8F">
        <w:rPr>
          <w:lang w:val="en"/>
        </w:rPr>
        <w:t xml:space="preserve"> exclusively</w:t>
      </w:r>
      <w:r>
        <w:rPr>
          <w:lang w:val="en"/>
        </w:rPr>
        <w:t>, which further reduces th</w:t>
      </w:r>
      <w:r w:rsidR="00E253BE">
        <w:rPr>
          <w:lang w:val="en"/>
        </w:rPr>
        <w:t>e number of needed formulations by five.</w:t>
      </w:r>
      <w:r w:rsidR="00512F8F">
        <w:rPr>
          <w:lang w:val="en"/>
        </w:rPr>
        <w:t xml:space="preserve">  Several a</w:t>
      </w:r>
      <w:r w:rsidR="00E253BE">
        <w:rPr>
          <w:lang w:val="en"/>
        </w:rPr>
        <w:t xml:space="preserve">dditional </w:t>
      </w:r>
      <w:r w:rsidR="00512F8F">
        <w:rPr>
          <w:lang w:val="en"/>
        </w:rPr>
        <w:t>f</w:t>
      </w:r>
      <w:r w:rsidR="00E253BE">
        <w:rPr>
          <w:lang w:val="en"/>
        </w:rPr>
        <w:t xml:space="preserve">ormulations are eliminated </w:t>
      </w:r>
      <w:r w:rsidR="00512F8F">
        <w:rPr>
          <w:lang w:val="en"/>
        </w:rPr>
        <w:t xml:space="preserve">due to the more restrictive age indications (i.e. 5 years and older) which can cause more errors in provider offices.  </w:t>
      </w:r>
      <w:proofErr w:type="gramStart"/>
      <w:r w:rsidR="00E253BE">
        <w:rPr>
          <w:lang w:val="en"/>
        </w:rPr>
        <w:t>because</w:t>
      </w:r>
      <w:proofErr w:type="gramEnd"/>
      <w:r w:rsidR="00E253BE">
        <w:rPr>
          <w:lang w:val="en"/>
        </w:rPr>
        <w:t xml:space="preserve"> they are available in multi-dose vials. </w:t>
      </w:r>
    </w:p>
    <w:p w:rsidR="00E253BE" w:rsidRDefault="00E253BE" w:rsidP="00492164">
      <w:pPr>
        <w:rPr>
          <w:lang w:val="en"/>
        </w:rPr>
      </w:pPr>
    </w:p>
    <w:p w:rsidR="00E253BE" w:rsidRDefault="00E253BE" w:rsidP="00512F8F">
      <w:pPr>
        <w:rPr>
          <w:lang w:val="en"/>
        </w:rPr>
      </w:pPr>
      <w:r>
        <w:rPr>
          <w:lang w:val="en"/>
        </w:rPr>
        <w:lastRenderedPageBreak/>
        <w:t>DPH is supplying Fluzone</w:t>
      </w:r>
      <w:r w:rsidR="00326707">
        <w:rPr>
          <w:lang w:val="en"/>
        </w:rPr>
        <w:t>, Flulaval and Flucelvax q</w:t>
      </w:r>
      <w:r>
        <w:rPr>
          <w:lang w:val="en"/>
        </w:rPr>
        <w:t xml:space="preserve">uadrivalent formulations for </w:t>
      </w:r>
      <w:r w:rsidR="00512F8F">
        <w:rPr>
          <w:lang w:val="en"/>
        </w:rPr>
        <w:t xml:space="preserve">the 2017-2018 influenza </w:t>
      </w:r>
      <w:proofErr w:type="gramStart"/>
      <w:r w:rsidR="00512F8F">
        <w:rPr>
          <w:lang w:val="en"/>
        </w:rPr>
        <w:t>season</w:t>
      </w:r>
      <w:proofErr w:type="gramEnd"/>
      <w:r w:rsidR="00512F8F">
        <w:rPr>
          <w:lang w:val="en"/>
        </w:rPr>
        <w:t xml:space="preserve"> and is ensuring there are formulations available in both multi-dose vials, pre-filled syringes, and single-dose vials.</w:t>
      </w:r>
    </w:p>
    <w:p w:rsidR="00492164" w:rsidRDefault="00492164" w:rsidP="00492164">
      <w:pPr>
        <w:rPr>
          <w:lang w:val="en"/>
        </w:rPr>
      </w:pPr>
    </w:p>
    <w:p w:rsidR="00492164" w:rsidRDefault="00492164" w:rsidP="00492164">
      <w:pPr>
        <w:rPr>
          <w:lang w:val="en"/>
        </w:rPr>
      </w:pPr>
      <w:r>
        <w:rPr>
          <w:lang w:val="en"/>
        </w:rPr>
        <w:t>While there is a balance between polypharmacy and hedging bets against supply issues, this process that DP</w:t>
      </w:r>
      <w:r w:rsidR="00512F8F">
        <w:rPr>
          <w:lang w:val="en"/>
        </w:rPr>
        <w:t>H uses seems to be working well and ensures providers’ needs are being adequately met.</w:t>
      </w:r>
    </w:p>
    <w:p w:rsidR="00E253BE" w:rsidRPr="00E253BE" w:rsidRDefault="00E253BE" w:rsidP="00E253BE">
      <w:pPr>
        <w:rPr>
          <w:b/>
          <w:lang w:val="en"/>
        </w:rPr>
      </w:pPr>
      <w:r>
        <w:rPr>
          <w:lang w:val="en"/>
        </w:rPr>
        <w:br/>
      </w:r>
      <w:r w:rsidRPr="00E253BE">
        <w:rPr>
          <w:b/>
          <w:lang w:val="en"/>
        </w:rPr>
        <w:t>Discussion</w:t>
      </w:r>
    </w:p>
    <w:p w:rsidR="00E253BE" w:rsidRDefault="00E253BE" w:rsidP="00E253BE">
      <w:pPr>
        <w:rPr>
          <w:lang w:val="en"/>
        </w:rPr>
      </w:pPr>
    </w:p>
    <w:p w:rsidR="00E253BE" w:rsidRDefault="00492164" w:rsidP="00E253BE">
      <w:pPr>
        <w:rPr>
          <w:lang w:val="en"/>
        </w:rPr>
      </w:pPr>
      <w:r>
        <w:rPr>
          <w:lang w:val="en"/>
        </w:rPr>
        <w:t xml:space="preserve">Local boards of health which </w:t>
      </w:r>
      <w:r w:rsidR="00E253BE">
        <w:rPr>
          <w:lang w:val="en"/>
        </w:rPr>
        <w:t>get adult vaccine and are holding mass vaccination clinics primarily receive mult</w:t>
      </w:r>
      <w:r w:rsidR="00F97BFC">
        <w:rPr>
          <w:lang w:val="en"/>
        </w:rPr>
        <w:t>i</w:t>
      </w:r>
      <w:r w:rsidR="00E253BE">
        <w:rPr>
          <w:lang w:val="en"/>
        </w:rPr>
        <w:t>-dose vials. Local boards of health private-purchase vaccine and work with Commonwealth Medicine, wh</w:t>
      </w:r>
      <w:r>
        <w:rPr>
          <w:lang w:val="en"/>
        </w:rPr>
        <w:t xml:space="preserve">ich </w:t>
      </w:r>
      <w:r w:rsidR="00E253BE">
        <w:rPr>
          <w:lang w:val="en"/>
        </w:rPr>
        <w:t xml:space="preserve">acts </w:t>
      </w:r>
      <w:r>
        <w:rPr>
          <w:lang w:val="en"/>
        </w:rPr>
        <w:t xml:space="preserve">as </w:t>
      </w:r>
      <w:r w:rsidR="00E253BE">
        <w:rPr>
          <w:lang w:val="en"/>
        </w:rPr>
        <w:t>a third-party assistant for reimbursement. 190 of 351 cities and town</w:t>
      </w:r>
      <w:r>
        <w:rPr>
          <w:lang w:val="en"/>
        </w:rPr>
        <w:t>s</w:t>
      </w:r>
      <w:r w:rsidR="00E253BE">
        <w:rPr>
          <w:lang w:val="en"/>
        </w:rPr>
        <w:t xml:space="preserve"> participate in private-purchase in the public sector.</w:t>
      </w:r>
    </w:p>
    <w:p w:rsidR="00F97BFC" w:rsidRDefault="00F97BFC" w:rsidP="00F97BFC">
      <w:pPr>
        <w:rPr>
          <w:lang w:val="en"/>
        </w:rPr>
      </w:pPr>
    </w:p>
    <w:p w:rsidR="00F97BFC" w:rsidRDefault="00F97BFC" w:rsidP="00F97BFC">
      <w:pPr>
        <w:rPr>
          <w:lang w:val="en"/>
        </w:rPr>
      </w:pPr>
      <w:r>
        <w:rPr>
          <w:lang w:val="en"/>
        </w:rPr>
        <w:t>A comment was made that the challenge is not necessarily the availability of vaccine, but convincing people to get vaccinated.</w:t>
      </w:r>
    </w:p>
    <w:p w:rsidR="00E253BE" w:rsidRDefault="00E253BE" w:rsidP="00F97BFC">
      <w:pPr>
        <w:rPr>
          <w:lang w:val="en"/>
        </w:rPr>
      </w:pPr>
    </w:p>
    <w:p w:rsidR="00DA6E61" w:rsidRDefault="00DA6E61" w:rsidP="00DA6E61">
      <w:pPr>
        <w:rPr>
          <w:lang w:val="en"/>
        </w:rPr>
      </w:pPr>
      <w:r>
        <w:rPr>
          <w:lang w:val="en"/>
        </w:rPr>
        <w:t>The group was queried as to whether the memorandum recently circulated to clarifying the law regarding administration of vaccines by medical assistants had been helpful. The consensus was that it was helpful.</w:t>
      </w:r>
    </w:p>
    <w:p w:rsidR="00DA6E61" w:rsidRDefault="00DA6E61" w:rsidP="00DA6E61">
      <w:pPr>
        <w:rPr>
          <w:lang w:val="en"/>
        </w:rPr>
      </w:pPr>
    </w:p>
    <w:p w:rsidR="00512F8F" w:rsidRPr="00512F8F" w:rsidRDefault="00512F8F" w:rsidP="00DA6E61">
      <w:pPr>
        <w:rPr>
          <w:b/>
          <w:lang w:val="en"/>
        </w:rPr>
      </w:pPr>
      <w:r w:rsidRPr="00512F8F">
        <w:rPr>
          <w:b/>
          <w:lang w:val="en"/>
        </w:rPr>
        <w:t>Future Meetings</w:t>
      </w:r>
    </w:p>
    <w:p w:rsidR="00512F8F" w:rsidRDefault="00512F8F" w:rsidP="00DA6E61">
      <w:pPr>
        <w:rPr>
          <w:lang w:val="en"/>
        </w:rPr>
      </w:pPr>
    </w:p>
    <w:p w:rsidR="0072662B" w:rsidRDefault="00DA6E61" w:rsidP="00860A3E">
      <w:pPr>
        <w:rPr>
          <w:lang w:val="en"/>
        </w:rPr>
      </w:pPr>
      <w:r>
        <w:rPr>
          <w:lang w:val="en"/>
        </w:rPr>
        <w:t>2018 meeting dates: M</w:t>
      </w:r>
      <w:r w:rsidR="00751B3D" w:rsidRPr="00751B3D">
        <w:rPr>
          <w:lang w:val="en"/>
        </w:rPr>
        <w:t>arch 8, 2018</w:t>
      </w:r>
      <w:r>
        <w:rPr>
          <w:lang w:val="en"/>
        </w:rPr>
        <w:t xml:space="preserve">; </w:t>
      </w:r>
      <w:r w:rsidR="00751B3D" w:rsidRPr="00751B3D">
        <w:rPr>
          <w:lang w:val="en"/>
        </w:rPr>
        <w:t>June 14, 2018</w:t>
      </w:r>
      <w:r>
        <w:rPr>
          <w:lang w:val="en"/>
        </w:rPr>
        <w:t xml:space="preserve">; and </w:t>
      </w:r>
      <w:r w:rsidR="00751B3D" w:rsidRPr="00751B3D">
        <w:rPr>
          <w:lang w:val="en"/>
        </w:rPr>
        <w:t>October, 11 2018</w:t>
      </w:r>
    </w:p>
    <w:p w:rsidR="00860A3E" w:rsidRDefault="00860A3E" w:rsidP="00860A3E">
      <w:pPr>
        <w:rPr>
          <w:lang w:val="en"/>
        </w:rPr>
      </w:pPr>
    </w:p>
    <w:p w:rsidR="00860A3E" w:rsidRDefault="00860A3E" w:rsidP="00860A3E">
      <w:pPr>
        <w:rPr>
          <w:lang w:val="en"/>
        </w:rPr>
      </w:pPr>
      <w:r>
        <w:rPr>
          <w:lang w:val="en"/>
        </w:rPr>
        <w:t>Mr. Talebian noted that Council members should email him with topics for future meetings.</w:t>
      </w:r>
    </w:p>
    <w:p w:rsidR="00860A3E" w:rsidRDefault="00860A3E" w:rsidP="005F5286">
      <w:pPr>
        <w:rPr>
          <w:lang w:val="en"/>
        </w:rPr>
      </w:pPr>
    </w:p>
    <w:p w:rsidR="00860A3E" w:rsidRDefault="00860A3E" w:rsidP="005F5286">
      <w:pPr>
        <w:rPr>
          <w:lang w:val="en"/>
        </w:rPr>
      </w:pPr>
      <w:r>
        <w:rPr>
          <w:lang w:val="en"/>
        </w:rPr>
        <w:t>At some point the Council may review recommendations it has made previously regarding state-supplied vaccines.</w:t>
      </w:r>
    </w:p>
    <w:p w:rsidR="00860A3E" w:rsidRDefault="00860A3E" w:rsidP="005F5286">
      <w:pPr>
        <w:rPr>
          <w:lang w:val="en"/>
        </w:rPr>
      </w:pPr>
    </w:p>
    <w:p w:rsidR="00860A3E" w:rsidRDefault="00860A3E" w:rsidP="005F5286">
      <w:pPr>
        <w:rPr>
          <w:lang w:val="en"/>
        </w:rPr>
      </w:pPr>
      <w:r>
        <w:rPr>
          <w:lang w:val="en"/>
        </w:rPr>
        <w:t>A request was made that if a future meeting agenda is shorter, consideration be given to starting the meeting a bit later than 4:00 p.m., to help those who are commuting to Waltham for the meeting.</w:t>
      </w:r>
    </w:p>
    <w:p w:rsidR="00860A3E" w:rsidRDefault="00860A3E" w:rsidP="005F5286">
      <w:pPr>
        <w:rPr>
          <w:lang w:val="en"/>
        </w:rPr>
      </w:pPr>
    </w:p>
    <w:p w:rsidR="00837692" w:rsidRDefault="008524F3" w:rsidP="005F5286">
      <w:pPr>
        <w:rPr>
          <w:lang w:val="en"/>
        </w:rPr>
      </w:pPr>
      <w:r>
        <w:rPr>
          <w:lang w:val="en"/>
        </w:rPr>
        <w:t>The meeting was adjourned.</w:t>
      </w:r>
    </w:p>
    <w:p w:rsidR="00860A3E" w:rsidRDefault="00860A3E" w:rsidP="005F5286">
      <w:pPr>
        <w:rPr>
          <w:lang w:val="en"/>
        </w:rPr>
      </w:pPr>
    </w:p>
    <w:p w:rsidR="00D579A4" w:rsidRDefault="00385950">
      <w:pPr>
        <w:rPr>
          <w:lang w:val="en"/>
        </w:rPr>
      </w:pPr>
      <w:r>
        <w:rPr>
          <w:lang w:val="en"/>
        </w:rPr>
        <w:t xml:space="preserve">MVPAC webpage: </w:t>
      </w:r>
    </w:p>
    <w:p w:rsidR="00D579A4" w:rsidRPr="00385950" w:rsidRDefault="00762185" w:rsidP="00385950">
      <w:pPr>
        <w:rPr>
          <w:lang w:val="en"/>
        </w:rPr>
      </w:pPr>
      <w:hyperlink r:id="rId12" w:history="1">
        <w:r w:rsidR="00385950" w:rsidRPr="00DD7D63">
          <w:rPr>
            <w:rStyle w:val="Hyperlink"/>
            <w:lang w:val="en"/>
          </w:rPr>
          <w:t>http://www.mass.gov/eohhs/gov/departments/dph/programs/id/immunization/mvpac.html</w:t>
        </w:r>
      </w:hyperlink>
      <w:r w:rsidR="00385950">
        <w:rPr>
          <w:lang w:val="en"/>
        </w:rPr>
        <w:t xml:space="preserve"> </w:t>
      </w:r>
    </w:p>
    <w:sectPr w:rsidR="00D579A4" w:rsidRPr="00385950" w:rsidSect="00EA12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3E" w:rsidRDefault="00D8423E">
      <w:r>
        <w:separator/>
      </w:r>
    </w:p>
  </w:endnote>
  <w:endnote w:type="continuationSeparator" w:id="0">
    <w:p w:rsidR="00D8423E" w:rsidRDefault="00D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461989"/>
      <w:docPartObj>
        <w:docPartGallery w:val="Page Numbers (Bottom of Page)"/>
        <w:docPartUnique/>
      </w:docPartObj>
    </w:sdtPr>
    <w:sdtEndPr>
      <w:rPr>
        <w:noProof/>
        <w:sz w:val="20"/>
        <w:szCs w:val="20"/>
      </w:rPr>
    </w:sdtEndPr>
    <w:sdtContent>
      <w:p w:rsidR="000E635D" w:rsidRPr="000E635D" w:rsidRDefault="000E635D" w:rsidP="000E635D">
        <w:pPr>
          <w:pStyle w:val="Footer"/>
          <w:rPr>
            <w:sz w:val="20"/>
            <w:szCs w:val="20"/>
          </w:rPr>
        </w:pPr>
        <w:r w:rsidRPr="000E635D">
          <w:rPr>
            <w:sz w:val="20"/>
            <w:szCs w:val="20"/>
          </w:rPr>
          <w:t>MVPAC Meeting Minutes, 10/5/17</w:t>
        </w:r>
        <w:r w:rsidRPr="000E635D">
          <w:rPr>
            <w:sz w:val="20"/>
            <w:szCs w:val="20"/>
          </w:rPr>
          <w:tab/>
        </w:r>
        <w:r w:rsidRPr="000E635D">
          <w:rPr>
            <w:sz w:val="20"/>
            <w:szCs w:val="20"/>
          </w:rPr>
          <w:tab/>
          <w:t xml:space="preserve">Page </w:t>
        </w:r>
        <w:r w:rsidRPr="000E635D">
          <w:rPr>
            <w:sz w:val="20"/>
            <w:szCs w:val="20"/>
          </w:rPr>
          <w:fldChar w:fldCharType="begin"/>
        </w:r>
        <w:r w:rsidRPr="000E635D">
          <w:rPr>
            <w:sz w:val="20"/>
            <w:szCs w:val="20"/>
          </w:rPr>
          <w:instrText xml:space="preserve"> PAGE   \* MERGEFORMAT </w:instrText>
        </w:r>
        <w:r w:rsidRPr="000E635D">
          <w:rPr>
            <w:sz w:val="20"/>
            <w:szCs w:val="20"/>
          </w:rPr>
          <w:fldChar w:fldCharType="separate"/>
        </w:r>
        <w:r w:rsidR="00762185">
          <w:rPr>
            <w:noProof/>
            <w:sz w:val="20"/>
            <w:szCs w:val="20"/>
          </w:rPr>
          <w:t>4</w:t>
        </w:r>
        <w:r w:rsidRPr="000E635D">
          <w:rPr>
            <w:noProof/>
            <w:sz w:val="20"/>
            <w:szCs w:val="20"/>
          </w:rPr>
          <w:fldChar w:fldCharType="end"/>
        </w:r>
      </w:p>
    </w:sdtContent>
  </w:sdt>
  <w:p w:rsidR="009F7041" w:rsidRDefault="009F7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3E" w:rsidRDefault="00D8423E">
      <w:r>
        <w:separator/>
      </w:r>
    </w:p>
  </w:footnote>
  <w:footnote w:type="continuationSeparator" w:id="0">
    <w:p w:rsidR="00D8423E" w:rsidRDefault="00D84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DD" w:rsidRPr="008D32DD" w:rsidRDefault="00412D45" w:rsidP="008D32DD">
    <w:pPr>
      <w:pStyle w:val="Header"/>
      <w:tabs>
        <w:tab w:val="clear" w:pos="4320"/>
        <w:tab w:val="clear" w:pos="8640"/>
        <w:tab w:val="center" w:pos="4680"/>
        <w:tab w:val="right" w:pos="9360"/>
      </w:tabs>
      <w:rPr>
        <w:b/>
        <w:sz w:val="32"/>
        <w:szCs w:val="32"/>
      </w:rPr>
    </w:pPr>
    <w:r>
      <w:rPr>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49A5"/>
    <w:multiLevelType w:val="hybridMultilevel"/>
    <w:tmpl w:val="25AEE456"/>
    <w:lvl w:ilvl="0" w:tplc="6100AD30">
      <w:start w:val="1"/>
      <w:numFmt w:val="bullet"/>
      <w:lvlText w:val=""/>
      <w:lvlJc w:val="left"/>
      <w:pPr>
        <w:tabs>
          <w:tab w:val="num" w:pos="720"/>
        </w:tabs>
        <w:ind w:left="720" w:hanging="360"/>
      </w:pPr>
      <w:rPr>
        <w:rFonts w:ascii="Wingdings" w:hAnsi="Wingdings" w:hint="default"/>
      </w:rPr>
    </w:lvl>
    <w:lvl w:ilvl="1" w:tplc="C0C85E34">
      <w:start w:val="60"/>
      <w:numFmt w:val="bullet"/>
      <w:lvlText w:val=""/>
      <w:lvlJc w:val="left"/>
      <w:pPr>
        <w:tabs>
          <w:tab w:val="num" w:pos="1440"/>
        </w:tabs>
        <w:ind w:left="1440" w:hanging="360"/>
      </w:pPr>
      <w:rPr>
        <w:rFonts w:ascii="Wingdings" w:hAnsi="Wingdings" w:hint="default"/>
      </w:rPr>
    </w:lvl>
    <w:lvl w:ilvl="2" w:tplc="75105902" w:tentative="1">
      <w:start w:val="1"/>
      <w:numFmt w:val="bullet"/>
      <w:lvlText w:val=""/>
      <w:lvlJc w:val="left"/>
      <w:pPr>
        <w:tabs>
          <w:tab w:val="num" w:pos="2160"/>
        </w:tabs>
        <w:ind w:left="2160" w:hanging="360"/>
      </w:pPr>
      <w:rPr>
        <w:rFonts w:ascii="Wingdings" w:hAnsi="Wingdings" w:hint="default"/>
      </w:rPr>
    </w:lvl>
    <w:lvl w:ilvl="3" w:tplc="38DA8BB4" w:tentative="1">
      <w:start w:val="1"/>
      <w:numFmt w:val="bullet"/>
      <w:lvlText w:val=""/>
      <w:lvlJc w:val="left"/>
      <w:pPr>
        <w:tabs>
          <w:tab w:val="num" w:pos="2880"/>
        </w:tabs>
        <w:ind w:left="2880" w:hanging="360"/>
      </w:pPr>
      <w:rPr>
        <w:rFonts w:ascii="Wingdings" w:hAnsi="Wingdings" w:hint="default"/>
      </w:rPr>
    </w:lvl>
    <w:lvl w:ilvl="4" w:tplc="0E4002D0" w:tentative="1">
      <w:start w:val="1"/>
      <w:numFmt w:val="bullet"/>
      <w:lvlText w:val=""/>
      <w:lvlJc w:val="left"/>
      <w:pPr>
        <w:tabs>
          <w:tab w:val="num" w:pos="3600"/>
        </w:tabs>
        <w:ind w:left="3600" w:hanging="360"/>
      </w:pPr>
      <w:rPr>
        <w:rFonts w:ascii="Wingdings" w:hAnsi="Wingdings" w:hint="default"/>
      </w:rPr>
    </w:lvl>
    <w:lvl w:ilvl="5" w:tplc="559E228E" w:tentative="1">
      <w:start w:val="1"/>
      <w:numFmt w:val="bullet"/>
      <w:lvlText w:val=""/>
      <w:lvlJc w:val="left"/>
      <w:pPr>
        <w:tabs>
          <w:tab w:val="num" w:pos="4320"/>
        </w:tabs>
        <w:ind w:left="4320" w:hanging="360"/>
      </w:pPr>
      <w:rPr>
        <w:rFonts w:ascii="Wingdings" w:hAnsi="Wingdings" w:hint="default"/>
      </w:rPr>
    </w:lvl>
    <w:lvl w:ilvl="6" w:tplc="E62A74F6" w:tentative="1">
      <w:start w:val="1"/>
      <w:numFmt w:val="bullet"/>
      <w:lvlText w:val=""/>
      <w:lvlJc w:val="left"/>
      <w:pPr>
        <w:tabs>
          <w:tab w:val="num" w:pos="5040"/>
        </w:tabs>
        <w:ind w:left="5040" w:hanging="360"/>
      </w:pPr>
      <w:rPr>
        <w:rFonts w:ascii="Wingdings" w:hAnsi="Wingdings" w:hint="default"/>
      </w:rPr>
    </w:lvl>
    <w:lvl w:ilvl="7" w:tplc="9702A746" w:tentative="1">
      <w:start w:val="1"/>
      <w:numFmt w:val="bullet"/>
      <w:lvlText w:val=""/>
      <w:lvlJc w:val="left"/>
      <w:pPr>
        <w:tabs>
          <w:tab w:val="num" w:pos="5760"/>
        </w:tabs>
        <w:ind w:left="5760" w:hanging="360"/>
      </w:pPr>
      <w:rPr>
        <w:rFonts w:ascii="Wingdings" w:hAnsi="Wingdings" w:hint="default"/>
      </w:rPr>
    </w:lvl>
    <w:lvl w:ilvl="8" w:tplc="D2AA5D14" w:tentative="1">
      <w:start w:val="1"/>
      <w:numFmt w:val="bullet"/>
      <w:lvlText w:val=""/>
      <w:lvlJc w:val="left"/>
      <w:pPr>
        <w:tabs>
          <w:tab w:val="num" w:pos="6480"/>
        </w:tabs>
        <w:ind w:left="6480" w:hanging="360"/>
      </w:pPr>
      <w:rPr>
        <w:rFonts w:ascii="Wingdings" w:hAnsi="Wingdings" w:hint="default"/>
      </w:rPr>
    </w:lvl>
  </w:abstractNum>
  <w:abstractNum w:abstractNumId="1">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961545C"/>
    <w:multiLevelType w:val="hybridMultilevel"/>
    <w:tmpl w:val="1BC6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2530C5"/>
    <w:multiLevelType w:val="hybridMultilevel"/>
    <w:tmpl w:val="53AECC10"/>
    <w:lvl w:ilvl="0" w:tplc="41C6CF64">
      <w:start w:val="1"/>
      <w:numFmt w:val="bullet"/>
      <w:lvlText w:val="•"/>
      <w:lvlJc w:val="left"/>
      <w:pPr>
        <w:tabs>
          <w:tab w:val="num" w:pos="720"/>
        </w:tabs>
        <w:ind w:left="720" w:hanging="360"/>
      </w:pPr>
      <w:rPr>
        <w:rFonts w:ascii="Arial" w:hAnsi="Arial" w:hint="default"/>
      </w:rPr>
    </w:lvl>
    <w:lvl w:ilvl="1" w:tplc="E35E3B76">
      <w:start w:val="1"/>
      <w:numFmt w:val="bullet"/>
      <w:lvlText w:val="•"/>
      <w:lvlJc w:val="left"/>
      <w:pPr>
        <w:tabs>
          <w:tab w:val="num" w:pos="1440"/>
        </w:tabs>
        <w:ind w:left="1440" w:hanging="360"/>
      </w:pPr>
      <w:rPr>
        <w:rFonts w:ascii="Arial" w:hAnsi="Arial" w:hint="default"/>
      </w:rPr>
    </w:lvl>
    <w:lvl w:ilvl="2" w:tplc="6FE65E42" w:tentative="1">
      <w:start w:val="1"/>
      <w:numFmt w:val="bullet"/>
      <w:lvlText w:val="•"/>
      <w:lvlJc w:val="left"/>
      <w:pPr>
        <w:tabs>
          <w:tab w:val="num" w:pos="2160"/>
        </w:tabs>
        <w:ind w:left="2160" w:hanging="360"/>
      </w:pPr>
      <w:rPr>
        <w:rFonts w:ascii="Arial" w:hAnsi="Arial" w:hint="default"/>
      </w:rPr>
    </w:lvl>
    <w:lvl w:ilvl="3" w:tplc="92764DB0" w:tentative="1">
      <w:start w:val="1"/>
      <w:numFmt w:val="bullet"/>
      <w:lvlText w:val="•"/>
      <w:lvlJc w:val="left"/>
      <w:pPr>
        <w:tabs>
          <w:tab w:val="num" w:pos="2880"/>
        </w:tabs>
        <w:ind w:left="2880" w:hanging="360"/>
      </w:pPr>
      <w:rPr>
        <w:rFonts w:ascii="Arial" w:hAnsi="Arial" w:hint="default"/>
      </w:rPr>
    </w:lvl>
    <w:lvl w:ilvl="4" w:tplc="BDF26D14" w:tentative="1">
      <w:start w:val="1"/>
      <w:numFmt w:val="bullet"/>
      <w:lvlText w:val="•"/>
      <w:lvlJc w:val="left"/>
      <w:pPr>
        <w:tabs>
          <w:tab w:val="num" w:pos="3600"/>
        </w:tabs>
        <w:ind w:left="3600" w:hanging="360"/>
      </w:pPr>
      <w:rPr>
        <w:rFonts w:ascii="Arial" w:hAnsi="Arial" w:hint="default"/>
      </w:rPr>
    </w:lvl>
    <w:lvl w:ilvl="5" w:tplc="FA286BAC" w:tentative="1">
      <w:start w:val="1"/>
      <w:numFmt w:val="bullet"/>
      <w:lvlText w:val="•"/>
      <w:lvlJc w:val="left"/>
      <w:pPr>
        <w:tabs>
          <w:tab w:val="num" w:pos="4320"/>
        </w:tabs>
        <w:ind w:left="4320" w:hanging="360"/>
      </w:pPr>
      <w:rPr>
        <w:rFonts w:ascii="Arial" w:hAnsi="Arial" w:hint="default"/>
      </w:rPr>
    </w:lvl>
    <w:lvl w:ilvl="6" w:tplc="45ECE212" w:tentative="1">
      <w:start w:val="1"/>
      <w:numFmt w:val="bullet"/>
      <w:lvlText w:val="•"/>
      <w:lvlJc w:val="left"/>
      <w:pPr>
        <w:tabs>
          <w:tab w:val="num" w:pos="5040"/>
        </w:tabs>
        <w:ind w:left="5040" w:hanging="360"/>
      </w:pPr>
      <w:rPr>
        <w:rFonts w:ascii="Arial" w:hAnsi="Arial" w:hint="default"/>
      </w:rPr>
    </w:lvl>
    <w:lvl w:ilvl="7" w:tplc="860E448E" w:tentative="1">
      <w:start w:val="1"/>
      <w:numFmt w:val="bullet"/>
      <w:lvlText w:val="•"/>
      <w:lvlJc w:val="left"/>
      <w:pPr>
        <w:tabs>
          <w:tab w:val="num" w:pos="5760"/>
        </w:tabs>
        <w:ind w:left="5760" w:hanging="360"/>
      </w:pPr>
      <w:rPr>
        <w:rFonts w:ascii="Arial" w:hAnsi="Arial" w:hint="default"/>
      </w:rPr>
    </w:lvl>
    <w:lvl w:ilvl="8" w:tplc="6E54EB62" w:tentative="1">
      <w:start w:val="1"/>
      <w:numFmt w:val="bullet"/>
      <w:lvlText w:val="•"/>
      <w:lvlJc w:val="left"/>
      <w:pPr>
        <w:tabs>
          <w:tab w:val="num" w:pos="6480"/>
        </w:tabs>
        <w:ind w:left="6480" w:hanging="360"/>
      </w:pPr>
      <w:rPr>
        <w:rFonts w:ascii="Arial" w:hAnsi="Arial" w:hint="default"/>
      </w:rPr>
    </w:lvl>
  </w:abstractNum>
  <w:abstractNum w:abstractNumId="7">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7D962E11"/>
    <w:multiLevelType w:val="hybridMultilevel"/>
    <w:tmpl w:val="FBBE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1"/>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A4"/>
    <w:rsid w:val="00034B9F"/>
    <w:rsid w:val="000506C3"/>
    <w:rsid w:val="000B527F"/>
    <w:rsid w:val="000C03F9"/>
    <w:rsid w:val="000D662B"/>
    <w:rsid w:val="000E635D"/>
    <w:rsid w:val="000F42A2"/>
    <w:rsid w:val="00106D16"/>
    <w:rsid w:val="0011557F"/>
    <w:rsid w:val="00120716"/>
    <w:rsid w:val="00123052"/>
    <w:rsid w:val="0015253A"/>
    <w:rsid w:val="001578EF"/>
    <w:rsid w:val="001771E4"/>
    <w:rsid w:val="001C1E47"/>
    <w:rsid w:val="001D6E83"/>
    <w:rsid w:val="00242675"/>
    <w:rsid w:val="002700BE"/>
    <w:rsid w:val="002769C5"/>
    <w:rsid w:val="002802E0"/>
    <w:rsid w:val="002B3ACC"/>
    <w:rsid w:val="002D3319"/>
    <w:rsid w:val="002D68E2"/>
    <w:rsid w:val="00303F3C"/>
    <w:rsid w:val="00321C53"/>
    <w:rsid w:val="00326707"/>
    <w:rsid w:val="00334A96"/>
    <w:rsid w:val="00385950"/>
    <w:rsid w:val="003902B7"/>
    <w:rsid w:val="003B2106"/>
    <w:rsid w:val="003B3E5F"/>
    <w:rsid w:val="003E28C8"/>
    <w:rsid w:val="003E428B"/>
    <w:rsid w:val="00400F3C"/>
    <w:rsid w:val="00402D71"/>
    <w:rsid w:val="00404B35"/>
    <w:rsid w:val="00412D45"/>
    <w:rsid w:val="00442D4C"/>
    <w:rsid w:val="004434AC"/>
    <w:rsid w:val="00472D39"/>
    <w:rsid w:val="00476053"/>
    <w:rsid w:val="0048675E"/>
    <w:rsid w:val="00492164"/>
    <w:rsid w:val="00493F29"/>
    <w:rsid w:val="004A2A38"/>
    <w:rsid w:val="004B5358"/>
    <w:rsid w:val="004F3A9F"/>
    <w:rsid w:val="005120C5"/>
    <w:rsid w:val="00512F8F"/>
    <w:rsid w:val="00525B6A"/>
    <w:rsid w:val="00543D84"/>
    <w:rsid w:val="00546815"/>
    <w:rsid w:val="00561C3C"/>
    <w:rsid w:val="005C71B2"/>
    <w:rsid w:val="005D046F"/>
    <w:rsid w:val="005D7EB6"/>
    <w:rsid w:val="005E2749"/>
    <w:rsid w:val="005E4275"/>
    <w:rsid w:val="005F017C"/>
    <w:rsid w:val="005F5286"/>
    <w:rsid w:val="00603775"/>
    <w:rsid w:val="006114F2"/>
    <w:rsid w:val="00621E94"/>
    <w:rsid w:val="00622C1B"/>
    <w:rsid w:val="006854F7"/>
    <w:rsid w:val="00696279"/>
    <w:rsid w:val="006C73D6"/>
    <w:rsid w:val="00721184"/>
    <w:rsid w:val="007224A5"/>
    <w:rsid w:val="0072662B"/>
    <w:rsid w:val="00751B3D"/>
    <w:rsid w:val="00754FCB"/>
    <w:rsid w:val="00762185"/>
    <w:rsid w:val="00763FF9"/>
    <w:rsid w:val="0077159C"/>
    <w:rsid w:val="00781412"/>
    <w:rsid w:val="007A309A"/>
    <w:rsid w:val="007E6BBD"/>
    <w:rsid w:val="007E6E78"/>
    <w:rsid w:val="007F0288"/>
    <w:rsid w:val="00816EBD"/>
    <w:rsid w:val="00825BAB"/>
    <w:rsid w:val="00837692"/>
    <w:rsid w:val="00850A4C"/>
    <w:rsid w:val="008524F3"/>
    <w:rsid w:val="00860A3E"/>
    <w:rsid w:val="00863F9B"/>
    <w:rsid w:val="00880E16"/>
    <w:rsid w:val="00897593"/>
    <w:rsid w:val="008C0D72"/>
    <w:rsid w:val="008D32DD"/>
    <w:rsid w:val="008F0ADC"/>
    <w:rsid w:val="009118FC"/>
    <w:rsid w:val="009334E3"/>
    <w:rsid w:val="00934AC1"/>
    <w:rsid w:val="0094516D"/>
    <w:rsid w:val="00953531"/>
    <w:rsid w:val="00974C99"/>
    <w:rsid w:val="00974FA6"/>
    <w:rsid w:val="00984712"/>
    <w:rsid w:val="009A21CE"/>
    <w:rsid w:val="009B400F"/>
    <w:rsid w:val="009B6C0C"/>
    <w:rsid w:val="009D4B3F"/>
    <w:rsid w:val="009F7041"/>
    <w:rsid w:val="00A10077"/>
    <w:rsid w:val="00A163F8"/>
    <w:rsid w:val="00A27ED0"/>
    <w:rsid w:val="00A514C3"/>
    <w:rsid w:val="00A6766B"/>
    <w:rsid w:val="00AB1ED3"/>
    <w:rsid w:val="00AC0866"/>
    <w:rsid w:val="00AC220F"/>
    <w:rsid w:val="00AD2CEC"/>
    <w:rsid w:val="00AF45E4"/>
    <w:rsid w:val="00AF4B96"/>
    <w:rsid w:val="00B11A8F"/>
    <w:rsid w:val="00B239FF"/>
    <w:rsid w:val="00B31964"/>
    <w:rsid w:val="00B57777"/>
    <w:rsid w:val="00B64DF7"/>
    <w:rsid w:val="00B7414B"/>
    <w:rsid w:val="00B801F7"/>
    <w:rsid w:val="00B90A0B"/>
    <w:rsid w:val="00B95018"/>
    <w:rsid w:val="00B95E8F"/>
    <w:rsid w:val="00BB5457"/>
    <w:rsid w:val="00BC1541"/>
    <w:rsid w:val="00BE5641"/>
    <w:rsid w:val="00C22CB3"/>
    <w:rsid w:val="00C32EFD"/>
    <w:rsid w:val="00C50C04"/>
    <w:rsid w:val="00CE57EA"/>
    <w:rsid w:val="00D23AB4"/>
    <w:rsid w:val="00D304CD"/>
    <w:rsid w:val="00D44A17"/>
    <w:rsid w:val="00D51A22"/>
    <w:rsid w:val="00D579A4"/>
    <w:rsid w:val="00D77523"/>
    <w:rsid w:val="00D8423E"/>
    <w:rsid w:val="00D92DBC"/>
    <w:rsid w:val="00DA4061"/>
    <w:rsid w:val="00DA6E61"/>
    <w:rsid w:val="00DA7E95"/>
    <w:rsid w:val="00DB1D60"/>
    <w:rsid w:val="00DB1F7A"/>
    <w:rsid w:val="00E253BE"/>
    <w:rsid w:val="00E33B80"/>
    <w:rsid w:val="00E40205"/>
    <w:rsid w:val="00E43BD7"/>
    <w:rsid w:val="00E4741B"/>
    <w:rsid w:val="00E61A5F"/>
    <w:rsid w:val="00EA124A"/>
    <w:rsid w:val="00EB5783"/>
    <w:rsid w:val="00EC252E"/>
    <w:rsid w:val="00EC4F47"/>
    <w:rsid w:val="00ED6776"/>
    <w:rsid w:val="00F114DF"/>
    <w:rsid w:val="00F3351A"/>
    <w:rsid w:val="00F3686D"/>
    <w:rsid w:val="00F57254"/>
    <w:rsid w:val="00F724DB"/>
    <w:rsid w:val="00F97BFC"/>
    <w:rsid w:val="00FB3738"/>
    <w:rsid w:val="00FC4742"/>
    <w:rsid w:val="00FD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customStyle="1" w:styleId="FooterChar">
    <w:name w:val="Footer Char"/>
    <w:link w:val="Footer"/>
    <w:uiPriority w:val="99"/>
    <w:rsid w:val="009A21CE"/>
    <w:rPr>
      <w:sz w:val="24"/>
      <w:szCs w:val="24"/>
    </w:rPr>
  </w:style>
  <w:style w:type="paragraph" w:styleId="ListParagraph">
    <w:name w:val="List Paragraph"/>
    <w:basedOn w:val="Normal"/>
    <w:uiPriority w:val="34"/>
    <w:qFormat/>
    <w:rsid w:val="002D6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customStyle="1" w:styleId="FooterChar">
    <w:name w:val="Footer Char"/>
    <w:link w:val="Footer"/>
    <w:uiPriority w:val="99"/>
    <w:rsid w:val="009A21CE"/>
    <w:rPr>
      <w:sz w:val="24"/>
      <w:szCs w:val="24"/>
    </w:rPr>
  </w:style>
  <w:style w:type="paragraph" w:styleId="ListParagraph">
    <w:name w:val="List Paragraph"/>
    <w:basedOn w:val="Normal"/>
    <w:uiPriority w:val="34"/>
    <w:qFormat/>
    <w:rsid w:val="002D6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4645">
      <w:bodyDiv w:val="1"/>
      <w:marLeft w:val="0"/>
      <w:marRight w:val="0"/>
      <w:marTop w:val="0"/>
      <w:marBottom w:val="0"/>
      <w:divBdr>
        <w:top w:val="none" w:sz="0" w:space="0" w:color="auto"/>
        <w:left w:val="none" w:sz="0" w:space="0" w:color="auto"/>
        <w:bottom w:val="none" w:sz="0" w:space="0" w:color="auto"/>
        <w:right w:val="none" w:sz="0" w:space="0" w:color="auto"/>
      </w:divBdr>
    </w:div>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0119">
      <w:bodyDiv w:val="1"/>
      <w:marLeft w:val="0"/>
      <w:marRight w:val="0"/>
      <w:marTop w:val="0"/>
      <w:marBottom w:val="0"/>
      <w:divBdr>
        <w:top w:val="none" w:sz="0" w:space="0" w:color="auto"/>
        <w:left w:val="none" w:sz="0" w:space="0" w:color="auto"/>
        <w:bottom w:val="none" w:sz="0" w:space="0" w:color="auto"/>
        <w:right w:val="none" w:sz="0" w:space="0" w:color="auto"/>
      </w:divBdr>
      <w:divsChild>
        <w:div w:id="1738818888">
          <w:marLeft w:val="1166"/>
          <w:marRight w:val="0"/>
          <w:marTop w:val="0"/>
          <w:marBottom w:val="0"/>
          <w:divBdr>
            <w:top w:val="none" w:sz="0" w:space="0" w:color="auto"/>
            <w:left w:val="none" w:sz="0" w:space="0" w:color="auto"/>
            <w:bottom w:val="none" w:sz="0" w:space="0" w:color="auto"/>
            <w:right w:val="none" w:sz="0" w:space="0" w:color="auto"/>
          </w:divBdr>
        </w:div>
        <w:div w:id="516968703">
          <w:marLeft w:val="1166"/>
          <w:marRight w:val="0"/>
          <w:marTop w:val="0"/>
          <w:marBottom w:val="0"/>
          <w:divBdr>
            <w:top w:val="none" w:sz="0" w:space="0" w:color="auto"/>
            <w:left w:val="none" w:sz="0" w:space="0" w:color="auto"/>
            <w:bottom w:val="none" w:sz="0" w:space="0" w:color="auto"/>
            <w:right w:val="none" w:sz="0" w:space="0" w:color="auto"/>
          </w:divBdr>
        </w:div>
        <w:div w:id="1533759907">
          <w:marLeft w:val="1166"/>
          <w:marRight w:val="0"/>
          <w:marTop w:val="0"/>
          <w:marBottom w:val="0"/>
          <w:divBdr>
            <w:top w:val="none" w:sz="0" w:space="0" w:color="auto"/>
            <w:left w:val="none" w:sz="0" w:space="0" w:color="auto"/>
            <w:bottom w:val="none" w:sz="0" w:space="0" w:color="auto"/>
            <w:right w:val="none" w:sz="0" w:space="0" w:color="auto"/>
          </w:divBdr>
        </w:div>
        <w:div w:id="60644059">
          <w:marLeft w:val="1166"/>
          <w:marRight w:val="0"/>
          <w:marTop w:val="0"/>
          <w:marBottom w:val="0"/>
          <w:divBdr>
            <w:top w:val="none" w:sz="0" w:space="0" w:color="auto"/>
            <w:left w:val="none" w:sz="0" w:space="0" w:color="auto"/>
            <w:bottom w:val="none" w:sz="0" w:space="0" w:color="auto"/>
            <w:right w:val="none" w:sz="0" w:space="0" w:color="auto"/>
          </w:divBdr>
        </w:div>
      </w:divsChild>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282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70">
          <w:marLeft w:val="533"/>
          <w:marRight w:val="0"/>
          <w:marTop w:val="86"/>
          <w:marBottom w:val="0"/>
          <w:divBdr>
            <w:top w:val="none" w:sz="0" w:space="0" w:color="auto"/>
            <w:left w:val="none" w:sz="0" w:space="0" w:color="auto"/>
            <w:bottom w:val="none" w:sz="0" w:space="0" w:color="auto"/>
            <w:right w:val="none" w:sz="0" w:space="0" w:color="auto"/>
          </w:divBdr>
        </w:div>
        <w:div w:id="459349494">
          <w:marLeft w:val="533"/>
          <w:marRight w:val="0"/>
          <w:marTop w:val="86"/>
          <w:marBottom w:val="0"/>
          <w:divBdr>
            <w:top w:val="none" w:sz="0" w:space="0" w:color="auto"/>
            <w:left w:val="none" w:sz="0" w:space="0" w:color="auto"/>
            <w:bottom w:val="none" w:sz="0" w:space="0" w:color="auto"/>
            <w:right w:val="none" w:sz="0" w:space="0" w:color="auto"/>
          </w:divBdr>
        </w:div>
        <w:div w:id="280575105">
          <w:marLeft w:val="533"/>
          <w:marRight w:val="0"/>
          <w:marTop w:val="86"/>
          <w:marBottom w:val="0"/>
          <w:divBdr>
            <w:top w:val="none" w:sz="0" w:space="0" w:color="auto"/>
            <w:left w:val="none" w:sz="0" w:space="0" w:color="auto"/>
            <w:bottom w:val="none" w:sz="0" w:space="0" w:color="auto"/>
            <w:right w:val="none" w:sz="0" w:space="0" w:color="auto"/>
          </w:divBdr>
        </w:div>
        <w:div w:id="1643272650">
          <w:marLeft w:val="1166"/>
          <w:marRight w:val="0"/>
          <w:marTop w:val="77"/>
          <w:marBottom w:val="0"/>
          <w:divBdr>
            <w:top w:val="none" w:sz="0" w:space="0" w:color="auto"/>
            <w:left w:val="none" w:sz="0" w:space="0" w:color="auto"/>
            <w:bottom w:val="none" w:sz="0" w:space="0" w:color="auto"/>
            <w:right w:val="none" w:sz="0" w:space="0" w:color="auto"/>
          </w:divBdr>
        </w:div>
        <w:div w:id="472722450">
          <w:marLeft w:val="533"/>
          <w:marRight w:val="0"/>
          <w:marTop w:val="86"/>
          <w:marBottom w:val="0"/>
          <w:divBdr>
            <w:top w:val="none" w:sz="0" w:space="0" w:color="auto"/>
            <w:left w:val="none" w:sz="0" w:space="0" w:color="auto"/>
            <w:bottom w:val="none" w:sz="0" w:space="0" w:color="auto"/>
            <w:right w:val="none" w:sz="0" w:space="0" w:color="auto"/>
          </w:divBdr>
        </w:div>
        <w:div w:id="1987466239">
          <w:marLeft w:val="533"/>
          <w:marRight w:val="0"/>
          <w:marTop w:val="86"/>
          <w:marBottom w:val="0"/>
          <w:divBdr>
            <w:top w:val="none" w:sz="0" w:space="0" w:color="auto"/>
            <w:left w:val="none" w:sz="0" w:space="0" w:color="auto"/>
            <w:bottom w:val="none" w:sz="0" w:space="0" w:color="auto"/>
            <w:right w:val="none" w:sz="0" w:space="0" w:color="auto"/>
          </w:divBdr>
        </w:div>
        <w:div w:id="464010228">
          <w:marLeft w:val="1166"/>
          <w:marRight w:val="0"/>
          <w:marTop w:val="77"/>
          <w:marBottom w:val="0"/>
          <w:divBdr>
            <w:top w:val="none" w:sz="0" w:space="0" w:color="auto"/>
            <w:left w:val="none" w:sz="0" w:space="0" w:color="auto"/>
            <w:bottom w:val="none" w:sz="0" w:space="0" w:color="auto"/>
            <w:right w:val="none" w:sz="0" w:space="0" w:color="auto"/>
          </w:divBdr>
        </w:div>
        <w:div w:id="92020533">
          <w:marLeft w:val="1166"/>
          <w:marRight w:val="0"/>
          <w:marTop w:val="77"/>
          <w:marBottom w:val="0"/>
          <w:divBdr>
            <w:top w:val="none" w:sz="0" w:space="0" w:color="auto"/>
            <w:left w:val="none" w:sz="0" w:space="0" w:color="auto"/>
            <w:bottom w:val="none" w:sz="0" w:space="0" w:color="auto"/>
            <w:right w:val="none" w:sz="0" w:space="0" w:color="auto"/>
          </w:divBdr>
        </w:div>
        <w:div w:id="1683119721">
          <w:marLeft w:val="533"/>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eohhs/gov/departments/dph/programs/id/immunization/mvpa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vaccines/hcp/acip-recs/vacc-specific/flu.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74CB-F9AE-459C-B7B7-B00E6582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9209</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 </cp:lastModifiedBy>
  <cp:revision>3</cp:revision>
  <dcterms:created xsi:type="dcterms:W3CDTF">2017-12-04T13:10:00Z</dcterms:created>
  <dcterms:modified xsi:type="dcterms:W3CDTF">2017-12-04T14:30:00Z</dcterms:modified>
</cp:coreProperties>
</file>