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FE13" w14:textId="46BDF0A3" w:rsidR="001A565A" w:rsidRDefault="00AA37C3">
      <w:r>
        <w:t>Massachusetts Department of Public Health</w:t>
      </w:r>
    </w:p>
    <w:p w14:paraId="56A8B7EB" w14:textId="6124DD7D" w:rsidR="00AA37C3" w:rsidRDefault="00AA37C3">
      <w:r>
        <w:t>Office of Oral Health – Updates</w:t>
      </w:r>
    </w:p>
    <w:p w14:paraId="2B7F8A7C" w14:textId="2E864BEE" w:rsidR="00AA37C3" w:rsidRDefault="00AA37C3">
      <w:r>
        <w:t>Fiscal Year 2023</w:t>
      </w:r>
    </w:p>
    <w:p w14:paraId="509918B9" w14:textId="30740ED9" w:rsidR="00AA37C3" w:rsidRDefault="00AA37C3">
      <w:r>
        <w:t>Matthew Horan, DMD, MPH</w:t>
      </w:r>
    </w:p>
    <w:p w14:paraId="5FC61647" w14:textId="18B87E19" w:rsidR="00AA37C3" w:rsidRDefault="00AA37C3">
      <w:r>
        <w:t>Dental Director</w:t>
      </w:r>
    </w:p>
    <w:p w14:paraId="024A27B8" w14:textId="71E268C6" w:rsidR="00AA37C3" w:rsidRDefault="00AA37C3">
      <w:r>
        <w:br w:type="page"/>
      </w:r>
    </w:p>
    <w:p w14:paraId="15DA7736" w14:textId="654238F0" w:rsidR="00AA37C3" w:rsidRDefault="00AA37C3">
      <w:r>
        <w:lastRenderedPageBreak/>
        <w:t>Office of Oral Health</w:t>
      </w:r>
    </w:p>
    <w:p w14:paraId="6BB7AE94" w14:textId="5B7F7B8A" w:rsidR="00AA37C3" w:rsidRDefault="00AA37C3">
      <w:r>
        <w:t>Vision: Oral health equity for all Massachusetts residents.</w:t>
      </w:r>
    </w:p>
    <w:p w14:paraId="2C02D811" w14:textId="03C4CB1B" w:rsidR="00AA37C3" w:rsidRDefault="00AA37C3">
      <w:r>
        <w:t xml:space="preserve">Mission: To ensure equitable </w:t>
      </w:r>
      <w:r w:rsidRPr="00AA37C3">
        <w:rPr>
          <w:u w:val="single"/>
        </w:rPr>
        <w:t>access</w:t>
      </w:r>
      <w:r>
        <w:t xml:space="preserve"> to oral health care for all Massachusetts residents while coordinating evidence-based </w:t>
      </w:r>
      <w:r w:rsidRPr="00AA37C3">
        <w:rPr>
          <w:u w:val="single"/>
        </w:rPr>
        <w:t>prevention</w:t>
      </w:r>
      <w:r>
        <w:t xml:space="preserve"> efforts, strengthening and diversifying the oral health </w:t>
      </w:r>
      <w:r w:rsidRPr="00AA37C3">
        <w:rPr>
          <w:u w:val="single"/>
        </w:rPr>
        <w:t>workforce</w:t>
      </w:r>
      <w:r>
        <w:t xml:space="preserve">, </w:t>
      </w:r>
      <w:r w:rsidRPr="00AA37C3">
        <w:rPr>
          <w:u w:val="single"/>
        </w:rPr>
        <w:t>integrating</w:t>
      </w:r>
      <w:r>
        <w:t xml:space="preserve"> oral health into overall health, and continuously </w:t>
      </w:r>
      <w:r w:rsidRPr="00AA37C3">
        <w:rPr>
          <w:u w:val="single"/>
        </w:rPr>
        <w:t>monitoring</w:t>
      </w:r>
      <w:r>
        <w:t xml:space="preserve"> and assessing oral health needs and trends.</w:t>
      </w:r>
    </w:p>
    <w:p w14:paraId="20990BD1" w14:textId="2A670441" w:rsidR="00AA37C3" w:rsidRDefault="00AA37C3">
      <w:r>
        <w:br w:type="page"/>
      </w:r>
    </w:p>
    <w:p w14:paraId="4D1AF559" w14:textId="63A7375F" w:rsidR="00AA37C3" w:rsidRDefault="00AA37C3">
      <w:r>
        <w:lastRenderedPageBreak/>
        <w:t>Office of Oral Health</w:t>
      </w:r>
    </w:p>
    <w:p w14:paraId="5B9318AE" w14:textId="77777777" w:rsidR="00AA37C3" w:rsidRDefault="00AA37C3" w:rsidP="00AA37C3">
      <w:r>
        <w:t>Values:</w:t>
      </w:r>
    </w:p>
    <w:p w14:paraId="3526B4F0" w14:textId="77777777" w:rsidR="00AA37C3" w:rsidRDefault="00AA37C3" w:rsidP="00AA37C3">
      <w:r>
        <w:t xml:space="preserve">• Applying </w:t>
      </w:r>
      <w:proofErr w:type="gramStart"/>
      <w:r>
        <w:t>a health</w:t>
      </w:r>
      <w:proofErr w:type="gramEnd"/>
      <w:r>
        <w:t xml:space="preserve"> equity and racial justice focus to our work.</w:t>
      </w:r>
    </w:p>
    <w:p w14:paraId="51096DE7" w14:textId="115DF3DC" w:rsidR="00AA37C3" w:rsidRDefault="00AA37C3" w:rsidP="00AA37C3">
      <w:r>
        <w:t>• Innovation and using health care quality improvement strategies to foster change.</w:t>
      </w:r>
    </w:p>
    <w:p w14:paraId="6E9BA389" w14:textId="23871C86" w:rsidR="00AA37C3" w:rsidRDefault="00AA37C3" w:rsidP="00AA37C3">
      <w:r>
        <w:t>• Making evidence-based and data-driven systematic improvements.</w:t>
      </w:r>
    </w:p>
    <w:p w14:paraId="4BA6B735" w14:textId="19B3D88B" w:rsidR="00AA37C3" w:rsidRDefault="00AA37C3" w:rsidP="00AA37C3">
      <w:r>
        <w:t>• Efficiency and transparency within our operations and collaborations with all partners.</w:t>
      </w:r>
    </w:p>
    <w:p w14:paraId="3414BBA0" w14:textId="5C60F4B8" w:rsidR="00AA37C3" w:rsidRDefault="00AA37C3" w:rsidP="00AA37C3">
      <w:r>
        <w:t xml:space="preserve">• Respecting and mobilizing our communities and </w:t>
      </w:r>
      <w:r>
        <w:t>s</w:t>
      </w:r>
      <w:r>
        <w:t>takeholders</w:t>
      </w:r>
      <w:r>
        <w:t>.</w:t>
      </w:r>
    </w:p>
    <w:p w14:paraId="2388FF93" w14:textId="77777777" w:rsidR="00AA37C3" w:rsidRDefault="00AA37C3" w:rsidP="00AA37C3"/>
    <w:p w14:paraId="6A3B5268" w14:textId="00D55F8A" w:rsidR="00AA37C3" w:rsidRDefault="00AA37C3">
      <w:r>
        <w:br w:type="page"/>
      </w:r>
    </w:p>
    <w:p w14:paraId="14BED8FF" w14:textId="68BE383F" w:rsidR="00AA37C3" w:rsidRDefault="00AA37C3" w:rsidP="00AA37C3">
      <w:r>
        <w:lastRenderedPageBreak/>
        <w:t>Office of Oral Health – Staffing:</w:t>
      </w:r>
    </w:p>
    <w:p w14:paraId="2C20D48E" w14:textId="77777777" w:rsidR="00AA37C3" w:rsidRDefault="00AA37C3" w:rsidP="00AA37C3">
      <w:r>
        <w:t xml:space="preserve">• Dental Director </w:t>
      </w:r>
    </w:p>
    <w:p w14:paraId="028725A7" w14:textId="77777777" w:rsidR="00AA37C3" w:rsidRDefault="00AA37C3" w:rsidP="00AA37C3">
      <w:r>
        <w:t xml:space="preserve">• Program Lead </w:t>
      </w:r>
    </w:p>
    <w:p w14:paraId="377679A8" w14:textId="76CA2656" w:rsidR="00AA37C3" w:rsidRDefault="00AA37C3" w:rsidP="00AA37C3">
      <w:r>
        <w:t>• Epidemiologist — shared within Workforce Innovation Center</w:t>
      </w:r>
    </w:p>
    <w:p w14:paraId="28B52BE3" w14:textId="49616241" w:rsidR="00AA37C3" w:rsidRDefault="00AA37C3">
      <w:r>
        <w:br w:type="page"/>
      </w:r>
    </w:p>
    <w:p w14:paraId="380339B2" w14:textId="2ADEB5AF" w:rsidR="00AA37C3" w:rsidRDefault="00AA37C3" w:rsidP="00AA37C3">
      <w:r>
        <w:lastRenderedPageBreak/>
        <w:t>Office of Oral Health – Fiscal Year 2023 Budget</w:t>
      </w:r>
    </w:p>
    <w:p w14:paraId="60E3631D" w14:textId="6DEAC3FE" w:rsidR="00AA37C3" w:rsidRDefault="00AA37C3" w:rsidP="00AA37C3">
      <w:r>
        <w:t>HRSA-Workforce Grant – No Cost Extension, $198,292, 8%</w:t>
      </w:r>
    </w:p>
    <w:p w14:paraId="29149602" w14:textId="43BB6CAB" w:rsidR="00AA37C3" w:rsidRDefault="00AA37C3" w:rsidP="00AA37C3">
      <w:r>
        <w:t>Offsetting Reimbursement for Behavior Management Code/IDD, $1,595,525, 66%</w:t>
      </w:r>
    </w:p>
    <w:p w14:paraId="50F99989" w14:textId="5EFF60A7" w:rsidR="00AA37C3" w:rsidRDefault="00AA37C3" w:rsidP="00AA37C3">
      <w:proofErr w:type="spellStart"/>
      <w:r>
        <w:t>ForsythKids</w:t>
      </w:r>
      <w:proofErr w:type="spellEnd"/>
      <w:r>
        <w:t xml:space="preserve"> Program, $475,000, 20%</w:t>
      </w:r>
    </w:p>
    <w:p w14:paraId="5A482D15" w14:textId="273EAEB3" w:rsidR="00AA37C3" w:rsidRDefault="00AA37C3" w:rsidP="00AA37C3">
      <w:r>
        <w:t>Office of Oral Health Funding, $141, 681, 6%</w:t>
      </w:r>
    </w:p>
    <w:p w14:paraId="42A44927" w14:textId="3397282C" w:rsidR="00AA37C3" w:rsidRDefault="00AA37C3">
      <w:r>
        <w:br w:type="page"/>
      </w:r>
    </w:p>
    <w:p w14:paraId="48ECF301" w14:textId="3A879943" w:rsidR="00AA37C3" w:rsidRDefault="00AA37C3" w:rsidP="00AA37C3">
      <w:r>
        <w:lastRenderedPageBreak/>
        <w:t>Office of Oral Health Goals:</w:t>
      </w:r>
    </w:p>
    <w:p w14:paraId="0E72395A" w14:textId="1A8B3ED4" w:rsidR="00AA37C3" w:rsidRDefault="00AA37C3" w:rsidP="00AA37C3">
      <w:pPr>
        <w:pStyle w:val="ListParagraph"/>
        <w:numPr>
          <w:ilvl w:val="0"/>
          <w:numId w:val="1"/>
        </w:numPr>
      </w:pPr>
      <w:r>
        <w:t xml:space="preserve">Establish and utilize a statewide oral health </w:t>
      </w:r>
      <w:r>
        <w:rPr>
          <w:u w:val="single"/>
        </w:rPr>
        <w:t xml:space="preserve">surveillance </w:t>
      </w:r>
      <w:r>
        <w:t>system and strategic partnerships to facilitate monitoring and communicating health changes over time.</w:t>
      </w:r>
    </w:p>
    <w:p w14:paraId="795F22E2" w14:textId="0D1E8055" w:rsidR="00AA37C3" w:rsidRDefault="00AA37C3" w:rsidP="00AA37C3">
      <w:pPr>
        <w:pStyle w:val="ListParagraph"/>
        <w:numPr>
          <w:ilvl w:val="0"/>
          <w:numId w:val="1"/>
        </w:numPr>
      </w:pPr>
      <w:r>
        <w:t xml:space="preserve">Implement and promote evidence-based </w:t>
      </w:r>
      <w:r>
        <w:rPr>
          <w:u w:val="single"/>
        </w:rPr>
        <w:t>prevention</w:t>
      </w:r>
      <w:r>
        <w:t xml:space="preserve"> practices to improve health.</w:t>
      </w:r>
    </w:p>
    <w:p w14:paraId="0CA116C4" w14:textId="353AB35E" w:rsidR="00AA37C3" w:rsidRDefault="00AA37C3" w:rsidP="00AA37C3">
      <w:pPr>
        <w:pStyle w:val="ListParagraph"/>
        <w:numPr>
          <w:ilvl w:val="0"/>
          <w:numId w:val="1"/>
        </w:numPr>
      </w:pPr>
      <w:r>
        <w:t xml:space="preserve">Expand coverage, services, and timeliness of </w:t>
      </w:r>
      <w:r>
        <w:rPr>
          <w:u w:val="single"/>
        </w:rPr>
        <w:t>access</w:t>
      </w:r>
      <w:r>
        <w:t xml:space="preserve"> to oral health treatment and care from a more robust, capable, qualified, and culturally competent oral health </w:t>
      </w:r>
      <w:r>
        <w:rPr>
          <w:u w:val="single"/>
        </w:rPr>
        <w:t>workforce.</w:t>
      </w:r>
    </w:p>
    <w:p w14:paraId="1ED61A90" w14:textId="166EF35E" w:rsidR="00AA37C3" w:rsidRDefault="00AA37C3" w:rsidP="00AA37C3">
      <w:pPr>
        <w:pStyle w:val="ListParagraph"/>
        <w:numPr>
          <w:ilvl w:val="0"/>
          <w:numId w:val="1"/>
        </w:numPr>
      </w:pPr>
      <w:r>
        <w:rPr>
          <w:u w:val="single"/>
        </w:rPr>
        <w:t>Integrate</w:t>
      </w:r>
      <w:r>
        <w:t xml:space="preserve"> oral health across health care </w:t>
      </w:r>
      <w:proofErr w:type="gramStart"/>
      <w:r>
        <w:t>system</w:t>
      </w:r>
      <w:proofErr w:type="gramEnd"/>
      <w:r>
        <w:t xml:space="preserve"> and in all care settings.</w:t>
      </w:r>
    </w:p>
    <w:p w14:paraId="439260C5" w14:textId="42F6179C" w:rsidR="00AA37C3" w:rsidRDefault="00AA37C3">
      <w:r>
        <w:br w:type="page"/>
      </w:r>
    </w:p>
    <w:p w14:paraId="75F49489" w14:textId="42532C97" w:rsidR="00AA37C3" w:rsidRDefault="00AA37C3" w:rsidP="00AA37C3">
      <w:r>
        <w:lastRenderedPageBreak/>
        <w:t>Goal 1 – Surveillance Highlights:</w:t>
      </w:r>
    </w:p>
    <w:p w14:paraId="47D5DAB7" w14:textId="467F0866" w:rsidR="00AA37C3" w:rsidRDefault="00AA37C3" w:rsidP="00AA37C3">
      <w:r>
        <w:t xml:space="preserve">• Association of State and Territorial Dental Directors (ASTDD) </w:t>
      </w:r>
    </w:p>
    <w:p w14:paraId="72347BC3" w14:textId="77777777" w:rsidR="00AA37C3" w:rsidRDefault="00AA37C3" w:rsidP="00AA37C3">
      <w:r>
        <w:t>• Massachusetts Oral Health Series (MOHS)</w:t>
      </w:r>
    </w:p>
    <w:p w14:paraId="627CED83" w14:textId="77777777" w:rsidR="00AA37C3" w:rsidRDefault="00AA37C3" w:rsidP="00AA37C3">
      <w:r>
        <w:t>• Office of Oral Health Advisory Committee (OOHAC)</w:t>
      </w:r>
    </w:p>
    <w:p w14:paraId="6DB0963A" w14:textId="77777777" w:rsidR="00AA37C3" w:rsidRDefault="00AA37C3" w:rsidP="00AA37C3">
      <w:r>
        <w:t>• Public Health Dental Hygienists’ data reporting (PHDH)</w:t>
      </w:r>
    </w:p>
    <w:p w14:paraId="2A800E88" w14:textId="77777777" w:rsidR="00AA37C3" w:rsidRDefault="00AA37C3" w:rsidP="00AA37C3">
      <w:r>
        <w:t>• Initial Medicaid claims-based data projects</w:t>
      </w:r>
    </w:p>
    <w:p w14:paraId="0DBA3AC5" w14:textId="77777777" w:rsidR="00AA37C3" w:rsidRDefault="00AA37C3" w:rsidP="00AA37C3">
      <w:r>
        <w:t>• Future potential projects/areas of interest:</w:t>
      </w:r>
    </w:p>
    <w:p w14:paraId="3C6D565B" w14:textId="77777777" w:rsidR="00AA37C3" w:rsidRDefault="00AA37C3" w:rsidP="00AA37C3">
      <w:pPr>
        <w:ind w:firstLine="720"/>
      </w:pPr>
      <w:r>
        <w:t>• Tableau-supported dashboard development</w:t>
      </w:r>
    </w:p>
    <w:p w14:paraId="4996C324" w14:textId="77777777" w:rsidR="00AA37C3" w:rsidRDefault="00AA37C3" w:rsidP="00AA37C3">
      <w:pPr>
        <w:ind w:firstLine="720"/>
      </w:pPr>
      <w:r>
        <w:t>• Expanded claims-based evaluations — include all payers claims</w:t>
      </w:r>
    </w:p>
    <w:p w14:paraId="08948BFD" w14:textId="1271F910" w:rsidR="00AA37C3" w:rsidRDefault="00AA37C3" w:rsidP="00AA37C3">
      <w:pPr>
        <w:ind w:firstLine="720"/>
      </w:pPr>
      <w:r>
        <w:t>• Pregnancy Risk Assessment Monitoring System (PRAMS) collaboration</w:t>
      </w:r>
    </w:p>
    <w:p w14:paraId="46650FAE" w14:textId="2E1766DF" w:rsidR="00AA37C3" w:rsidRDefault="00AA37C3">
      <w:r>
        <w:br w:type="page"/>
      </w:r>
    </w:p>
    <w:p w14:paraId="52D238A0" w14:textId="5D0A22D2" w:rsidR="00AA37C3" w:rsidRDefault="00AA37C3" w:rsidP="00AA37C3">
      <w:r>
        <w:lastRenderedPageBreak/>
        <w:t xml:space="preserve">Utilizing Claims Data as One Indicator for a Historically </w:t>
      </w:r>
      <w:r w:rsidRPr="00AA37C3">
        <w:t>Disadvantaged Priority Population's Access</w:t>
      </w:r>
    </w:p>
    <w:p w14:paraId="6D403B23" w14:textId="79FFB751" w:rsidR="00AA37C3" w:rsidRDefault="00AA37C3" w:rsidP="00AA37C3">
      <w:r>
        <w:t>The Frequency (bubble width) and Cost of the Behavioral Management Code for Dental Medicaid Members with Intellectual and Developmental Disabilities</w:t>
      </w:r>
    </w:p>
    <w:p w14:paraId="65644F63" w14:textId="54467F33" w:rsidR="00C76A94" w:rsidRDefault="00C76A94" w:rsidP="00AA37C3">
      <w:r>
        <w:t xml:space="preserve">On 10/1/18, the Medicaid reimbursement for this code was increased from $42 to $86. </w:t>
      </w:r>
    </w:p>
    <w:p w14:paraId="745DA00C" w14:textId="206AB3CE" w:rsidR="00AA37C3" w:rsidRDefault="00AA37C3" w:rsidP="00AA37C3">
      <w:r>
        <w:t>In 2022, the dental Medicaid program announced changes to reduce administrative burdens for obtaining pre-authorizations for this code.</w:t>
      </w:r>
    </w:p>
    <w:p w14:paraId="3A01D2AA" w14:textId="72FB9640" w:rsidR="00C76A94" w:rsidRDefault="00C76A94">
      <w:r>
        <w:br w:type="page"/>
      </w:r>
    </w:p>
    <w:p w14:paraId="38C014EE" w14:textId="0A6A2A48" w:rsidR="00C76A94" w:rsidRDefault="00C76A94" w:rsidP="00AA37C3">
      <w:r>
        <w:lastRenderedPageBreak/>
        <w:t>Goal 2 – Prevention Highlights:</w:t>
      </w:r>
    </w:p>
    <w:p w14:paraId="43BB039F" w14:textId="77777777" w:rsidR="00C76A94" w:rsidRDefault="00C76A94" w:rsidP="00C76A94">
      <w:r>
        <w:t>• Community Water Fluoridation</w:t>
      </w:r>
    </w:p>
    <w:p w14:paraId="7886C798" w14:textId="77777777" w:rsidR="00C76A94" w:rsidRDefault="00C76A94" w:rsidP="00C76A94">
      <w:r>
        <w:t>• Dental health care personnel as vaccinators</w:t>
      </w:r>
    </w:p>
    <w:p w14:paraId="65A41471" w14:textId="77777777" w:rsidR="00C76A94" w:rsidRDefault="00C76A94" w:rsidP="00C76A94">
      <w:r>
        <w:t>• Massachusetts Tobacco Cessation and Prevention Program</w:t>
      </w:r>
    </w:p>
    <w:p w14:paraId="62B12790" w14:textId="77777777" w:rsidR="00C76A94" w:rsidRDefault="00C76A94" w:rsidP="00C76A94">
      <w:r>
        <w:t>• Future potential projects/areas of interest:</w:t>
      </w:r>
    </w:p>
    <w:p w14:paraId="4147AA76" w14:textId="77777777" w:rsidR="00C76A94" w:rsidRDefault="00C76A94" w:rsidP="00C76A94">
      <w:pPr>
        <w:ind w:firstLine="720"/>
      </w:pPr>
      <w:r>
        <w:t>• Antibiotic stewardship activities</w:t>
      </w:r>
    </w:p>
    <w:p w14:paraId="756340F6" w14:textId="77777777" w:rsidR="00C76A94" w:rsidRDefault="00C76A94" w:rsidP="00C76A94">
      <w:pPr>
        <w:ind w:firstLine="720"/>
      </w:pPr>
      <w:r>
        <w:t>• Provider burnout prevention — workplace safety initiatives</w:t>
      </w:r>
    </w:p>
    <w:p w14:paraId="7BC0243C" w14:textId="77777777" w:rsidR="00C76A94" w:rsidRDefault="00C76A94" w:rsidP="00C76A94">
      <w:pPr>
        <w:ind w:firstLine="720"/>
      </w:pPr>
      <w:r>
        <w:t>• School-based prevention activities (and pre-K, Head Start)</w:t>
      </w:r>
    </w:p>
    <w:p w14:paraId="153B1034" w14:textId="77777777" w:rsidR="00C76A94" w:rsidRDefault="00C76A94" w:rsidP="00C76A94">
      <w:pPr>
        <w:ind w:firstLine="720"/>
      </w:pPr>
      <w:r>
        <w:t>• Reducing oral cancers</w:t>
      </w:r>
    </w:p>
    <w:p w14:paraId="15E95EDA" w14:textId="77777777" w:rsidR="00C76A94" w:rsidRDefault="00C76A94" w:rsidP="00C76A94">
      <w:pPr>
        <w:ind w:firstLine="720"/>
      </w:pPr>
      <w:r>
        <w:t>• Oral injury prevention</w:t>
      </w:r>
    </w:p>
    <w:p w14:paraId="34E8A15F" w14:textId="77777777" w:rsidR="00C76A94" w:rsidRDefault="00C76A94" w:rsidP="00C76A94">
      <w:pPr>
        <w:ind w:firstLine="720"/>
      </w:pPr>
      <w:r>
        <w:t>• Nutritional focus and collaborations</w:t>
      </w:r>
    </w:p>
    <w:p w14:paraId="569AD8DD" w14:textId="5B837AA0" w:rsidR="00C76A94" w:rsidRDefault="00C76A94" w:rsidP="00C76A94">
      <w:pPr>
        <w:ind w:firstLine="720"/>
      </w:pPr>
      <w:r>
        <w:t>• Priority and/or historically disadvantaged populations</w:t>
      </w:r>
    </w:p>
    <w:p w14:paraId="5F4E309E" w14:textId="55AC0972" w:rsidR="00C76A94" w:rsidRDefault="00C76A94">
      <w:r>
        <w:br w:type="page"/>
      </w:r>
    </w:p>
    <w:p w14:paraId="43F33168" w14:textId="5F8B2FA7" w:rsidR="00C76A94" w:rsidRDefault="00C76A94" w:rsidP="00C76A94">
      <w:r>
        <w:lastRenderedPageBreak/>
        <w:t>Goal 3 – Access and Workforce Highlights:</w:t>
      </w:r>
    </w:p>
    <w:p w14:paraId="62E9882A" w14:textId="77777777" w:rsidR="00C76A94" w:rsidRDefault="00C76A94" w:rsidP="00C76A94">
      <w:r>
        <w:t>• Dental Assistant On-the-Job Training Resource Guide</w:t>
      </w:r>
    </w:p>
    <w:p w14:paraId="3419927E" w14:textId="77777777" w:rsidR="00C76A94" w:rsidRDefault="00C76A94" w:rsidP="00C76A94">
      <w:r>
        <w:t>• Community Health Workers and Fluoride Varnish</w:t>
      </w:r>
    </w:p>
    <w:p w14:paraId="5415C071" w14:textId="77777777" w:rsidR="00C76A94" w:rsidRDefault="00C76A94" w:rsidP="00C76A94">
      <w:r>
        <w:t>• Vaccination Training Activities</w:t>
      </w:r>
    </w:p>
    <w:p w14:paraId="618492A1" w14:textId="77777777" w:rsidR="00C76A94" w:rsidRDefault="00C76A94" w:rsidP="00C76A94">
      <w:r>
        <w:t>• Future potential projects/areas of interest:</w:t>
      </w:r>
    </w:p>
    <w:p w14:paraId="35FA13B0" w14:textId="77777777" w:rsidR="00C76A94" w:rsidRDefault="00C76A94" w:rsidP="00C76A94">
      <w:pPr>
        <w:ind w:firstLine="720"/>
      </w:pPr>
      <w:r>
        <w:t xml:space="preserve">• Defining oral health access </w:t>
      </w:r>
    </w:p>
    <w:p w14:paraId="55D221AD" w14:textId="77777777" w:rsidR="00C76A94" w:rsidRDefault="00C76A94" w:rsidP="00C76A94">
      <w:pPr>
        <w:ind w:firstLine="720"/>
      </w:pPr>
      <w:r>
        <w:t>• Dental care coordination support</w:t>
      </w:r>
    </w:p>
    <w:p w14:paraId="7962C269" w14:textId="77777777" w:rsidR="00C76A94" w:rsidRDefault="00C76A94" w:rsidP="00C76A94">
      <w:pPr>
        <w:ind w:firstLine="720"/>
      </w:pPr>
      <w:r>
        <w:t xml:space="preserve">• Portable programs and </w:t>
      </w:r>
      <w:proofErr w:type="spellStart"/>
      <w:r>
        <w:t>teledentistry</w:t>
      </w:r>
      <w:proofErr w:type="spellEnd"/>
      <w:r>
        <w:t xml:space="preserve"> support </w:t>
      </w:r>
    </w:p>
    <w:p w14:paraId="5CC92ACE" w14:textId="77777777" w:rsidR="00C76A94" w:rsidRDefault="00C76A94" w:rsidP="00C76A94">
      <w:pPr>
        <w:ind w:firstLine="720"/>
      </w:pPr>
      <w:r>
        <w:t xml:space="preserve">• An update of workforce survey tools </w:t>
      </w:r>
    </w:p>
    <w:p w14:paraId="2C7C19FF" w14:textId="77777777" w:rsidR="00C76A94" w:rsidRDefault="00C76A94" w:rsidP="00C76A94">
      <w:pPr>
        <w:ind w:firstLine="720"/>
      </w:pPr>
      <w:r>
        <w:t>• Reporting on an overview of public health dental hygienists</w:t>
      </w:r>
    </w:p>
    <w:p w14:paraId="2FFE1A76" w14:textId="77777777" w:rsidR="00C76A94" w:rsidRDefault="00C76A94" w:rsidP="00C76A94">
      <w:pPr>
        <w:ind w:firstLine="720"/>
      </w:pPr>
      <w:r>
        <w:t xml:space="preserve">• Pediatric operating room case access monitoring </w:t>
      </w:r>
    </w:p>
    <w:p w14:paraId="4249FE01" w14:textId="77777777" w:rsidR="00C76A94" w:rsidRDefault="00C76A94" w:rsidP="00C76A94">
      <w:pPr>
        <w:ind w:firstLine="720"/>
      </w:pPr>
      <w:r>
        <w:t>• Enhanced public health exposure within training for dental health care personnel</w:t>
      </w:r>
    </w:p>
    <w:p w14:paraId="32C17F89" w14:textId="2BA23DBD" w:rsidR="00C76A94" w:rsidRDefault="00C76A94" w:rsidP="00C76A94">
      <w:pPr>
        <w:ind w:firstLine="720"/>
      </w:pPr>
      <w:r>
        <w:t>• Loan repayment improvements</w:t>
      </w:r>
    </w:p>
    <w:p w14:paraId="1DC9520F" w14:textId="4F5DD3B4" w:rsidR="00C76A94" w:rsidRDefault="00C76A94">
      <w:r>
        <w:br w:type="page"/>
      </w:r>
    </w:p>
    <w:p w14:paraId="5D8F7A74" w14:textId="101EF274" w:rsidR="00C76A94" w:rsidRDefault="00C76A94" w:rsidP="00C76A94">
      <w:r>
        <w:lastRenderedPageBreak/>
        <w:t>COVID Impact on Access to Dental Care within Medicaid</w:t>
      </w:r>
    </w:p>
    <w:p w14:paraId="7A79A9D4" w14:textId="6D72F8A3" w:rsidR="00C76A94" w:rsidRDefault="00C76A94" w:rsidP="00C76A94">
      <w:r>
        <w:t xml:space="preserve">Dental Medicaid Participating Providers by claims Paid </w:t>
      </w:r>
      <w:r w:rsidRPr="00C76A94">
        <w:rPr>
          <w:b/>
          <w:bCs/>
          <w:u w:val="single"/>
        </w:rPr>
        <w:t>“Pre-COVID”</w:t>
      </w:r>
      <w:r>
        <w:t xml:space="preserve"> (March 01, 2019-February 29, 2020)</w:t>
      </w:r>
    </w:p>
    <w:p w14:paraId="5C4C021F" w14:textId="5432C788" w:rsidR="00C76A94" w:rsidRDefault="00C76A94" w:rsidP="00C76A94">
      <w:r>
        <w:t xml:space="preserve">Dental Medicaid Participating Providers by Claims Paid </w:t>
      </w:r>
      <w:r w:rsidRPr="00C76A94">
        <w:rPr>
          <w:b/>
          <w:bCs/>
          <w:u w:val="single"/>
        </w:rPr>
        <w:t>“Recovery Year 1”</w:t>
      </w:r>
      <w:r>
        <w:t xml:space="preserve"> (March 01, 2023-February 28, 2022)</w:t>
      </w:r>
    </w:p>
    <w:p w14:paraId="7282D678" w14:textId="42D6DEA8" w:rsidR="00C76A94" w:rsidRDefault="00594EDF" w:rsidP="00AA37C3">
      <w:r>
        <w:t>The Medicaid dental provider network is stable with some lost providers in overall count, but important growth within the most active providers.</w:t>
      </w:r>
    </w:p>
    <w:p w14:paraId="58BC785E" w14:textId="516293C0" w:rsidR="00594EDF" w:rsidRDefault="00594EDF">
      <w:r>
        <w:br w:type="page"/>
      </w:r>
    </w:p>
    <w:p w14:paraId="4DCB1247" w14:textId="572D4413" w:rsidR="00594EDF" w:rsidRDefault="00594EDF" w:rsidP="00AA37C3">
      <w:r>
        <w:lastRenderedPageBreak/>
        <w:t>Dental Medicaid Provider Types by Paid Claims Amount March 1, 2021-February 28, 2022</w:t>
      </w:r>
    </w:p>
    <w:p w14:paraId="577F7792" w14:textId="34495691" w:rsidR="00594EDF" w:rsidRDefault="00594EDF" w:rsidP="00AA37C3">
      <w:r>
        <w:t xml:space="preserve">Composition of providers reimbursed </w:t>
      </w:r>
      <w:r>
        <w:rPr>
          <w:b/>
          <w:bCs/>
          <w:u w:val="single"/>
        </w:rPr>
        <w:t>&gt;$50,000</w:t>
      </w:r>
      <w:r>
        <w:t>, by 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4EDF" w14:paraId="26FEA7A2" w14:textId="77777777" w:rsidTr="00594EDF">
        <w:tc>
          <w:tcPr>
            <w:tcW w:w="4675" w:type="dxa"/>
          </w:tcPr>
          <w:p w14:paraId="4FB80775" w14:textId="7468F396" w:rsidR="00594EDF" w:rsidRDefault="00594EDF" w:rsidP="00AA37C3">
            <w:r>
              <w:t>Dentists</w:t>
            </w:r>
          </w:p>
        </w:tc>
        <w:tc>
          <w:tcPr>
            <w:tcW w:w="4675" w:type="dxa"/>
          </w:tcPr>
          <w:p w14:paraId="6202F85B" w14:textId="64F9F2DA" w:rsidR="00594EDF" w:rsidRDefault="00594EDF" w:rsidP="00AA37C3">
            <w:r>
              <w:t>1288</w:t>
            </w:r>
          </w:p>
        </w:tc>
      </w:tr>
      <w:tr w:rsidR="00594EDF" w14:paraId="379226C9" w14:textId="77777777" w:rsidTr="00594EDF">
        <w:tc>
          <w:tcPr>
            <w:tcW w:w="4675" w:type="dxa"/>
          </w:tcPr>
          <w:p w14:paraId="1271ACE6" w14:textId="148FD85E" w:rsidR="00594EDF" w:rsidRDefault="00594EDF" w:rsidP="00AA37C3">
            <w:r>
              <w:t>CHCS (including hospital licensed clinics)</w:t>
            </w:r>
          </w:p>
        </w:tc>
        <w:tc>
          <w:tcPr>
            <w:tcW w:w="4675" w:type="dxa"/>
          </w:tcPr>
          <w:p w14:paraId="2E02AC21" w14:textId="6CBCAD31" w:rsidR="00594EDF" w:rsidRDefault="00594EDF" w:rsidP="00AA37C3">
            <w:r>
              <w:t>48</w:t>
            </w:r>
          </w:p>
        </w:tc>
      </w:tr>
      <w:tr w:rsidR="00594EDF" w14:paraId="296C1953" w14:textId="77777777" w:rsidTr="00594EDF">
        <w:tc>
          <w:tcPr>
            <w:tcW w:w="4675" w:type="dxa"/>
          </w:tcPr>
          <w:p w14:paraId="7CE6BAB7" w14:textId="345845B2" w:rsidR="00594EDF" w:rsidRDefault="00594EDF" w:rsidP="00AA37C3">
            <w:r>
              <w:t>Hospitals and physicians</w:t>
            </w:r>
          </w:p>
        </w:tc>
        <w:tc>
          <w:tcPr>
            <w:tcW w:w="4675" w:type="dxa"/>
          </w:tcPr>
          <w:p w14:paraId="3A960C8C" w14:textId="12CAA221" w:rsidR="00594EDF" w:rsidRDefault="00594EDF" w:rsidP="00AA37C3">
            <w:r>
              <w:t>10</w:t>
            </w:r>
          </w:p>
        </w:tc>
      </w:tr>
      <w:tr w:rsidR="00594EDF" w14:paraId="2DDD47D6" w14:textId="77777777" w:rsidTr="00594EDF">
        <w:tc>
          <w:tcPr>
            <w:tcW w:w="4675" w:type="dxa"/>
          </w:tcPr>
          <w:p w14:paraId="33143D0D" w14:textId="6F5ED629" w:rsidR="00594EDF" w:rsidRDefault="00594EDF" w:rsidP="00AA37C3">
            <w:r>
              <w:t>Schools and other clinics</w:t>
            </w:r>
          </w:p>
        </w:tc>
        <w:tc>
          <w:tcPr>
            <w:tcW w:w="4675" w:type="dxa"/>
          </w:tcPr>
          <w:p w14:paraId="2A76E288" w14:textId="1CBC1402" w:rsidR="00594EDF" w:rsidRDefault="00594EDF" w:rsidP="00AA37C3">
            <w:r>
              <w:t>15</w:t>
            </w:r>
          </w:p>
        </w:tc>
      </w:tr>
      <w:tr w:rsidR="00594EDF" w14:paraId="0EAA098A" w14:textId="77777777" w:rsidTr="00594EDF">
        <w:tc>
          <w:tcPr>
            <w:tcW w:w="4675" w:type="dxa"/>
          </w:tcPr>
          <w:p w14:paraId="1D199AB6" w14:textId="14979DD3" w:rsidR="00594EDF" w:rsidRDefault="00594EDF" w:rsidP="00AA37C3">
            <w:r>
              <w:t>Group Practice Organizations</w:t>
            </w:r>
          </w:p>
        </w:tc>
        <w:tc>
          <w:tcPr>
            <w:tcW w:w="4675" w:type="dxa"/>
          </w:tcPr>
          <w:p w14:paraId="7A50F3E8" w14:textId="4BAC8E43" w:rsidR="00594EDF" w:rsidRDefault="00594EDF" w:rsidP="00AA37C3">
            <w:r>
              <w:t>12</w:t>
            </w:r>
          </w:p>
        </w:tc>
      </w:tr>
    </w:tbl>
    <w:p w14:paraId="75395DEF" w14:textId="77777777" w:rsidR="00594EDF" w:rsidRPr="00594EDF" w:rsidRDefault="00594EDF" w:rsidP="00AA37C3"/>
    <w:p w14:paraId="686D23BE" w14:textId="0D4FDA4D" w:rsidR="00AA37C3" w:rsidRDefault="00594EDF" w:rsidP="00AA37C3">
      <w:r>
        <w:t xml:space="preserve">Composition of providers reimbursed </w:t>
      </w:r>
      <w:r>
        <w:rPr>
          <w:b/>
          <w:bCs/>
          <w:u w:val="single"/>
        </w:rPr>
        <w:t>&gt;$250,000</w:t>
      </w:r>
      <w:r>
        <w:t>, by 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4EDF" w14:paraId="5F368F9F" w14:textId="77777777" w:rsidTr="002D29D3">
        <w:tc>
          <w:tcPr>
            <w:tcW w:w="4675" w:type="dxa"/>
          </w:tcPr>
          <w:p w14:paraId="1E58167C" w14:textId="77777777" w:rsidR="00594EDF" w:rsidRDefault="00594EDF" w:rsidP="002D29D3">
            <w:r>
              <w:t>Dentists</w:t>
            </w:r>
          </w:p>
        </w:tc>
        <w:tc>
          <w:tcPr>
            <w:tcW w:w="4675" w:type="dxa"/>
          </w:tcPr>
          <w:p w14:paraId="3463440E" w14:textId="05C2005E" w:rsidR="00594EDF" w:rsidRDefault="00594EDF" w:rsidP="002D29D3">
            <w:r>
              <w:t>543</w:t>
            </w:r>
          </w:p>
        </w:tc>
      </w:tr>
      <w:tr w:rsidR="00594EDF" w14:paraId="1449372C" w14:textId="77777777" w:rsidTr="002D29D3">
        <w:tc>
          <w:tcPr>
            <w:tcW w:w="4675" w:type="dxa"/>
          </w:tcPr>
          <w:p w14:paraId="4B30ABFD" w14:textId="77777777" w:rsidR="00594EDF" w:rsidRDefault="00594EDF" w:rsidP="002D29D3">
            <w:r>
              <w:t>CHCS (including hospital licensed clinics)</w:t>
            </w:r>
          </w:p>
        </w:tc>
        <w:tc>
          <w:tcPr>
            <w:tcW w:w="4675" w:type="dxa"/>
          </w:tcPr>
          <w:p w14:paraId="2542F1F6" w14:textId="784377DA" w:rsidR="00594EDF" w:rsidRDefault="00594EDF" w:rsidP="002D29D3">
            <w:r>
              <w:t>39</w:t>
            </w:r>
          </w:p>
        </w:tc>
      </w:tr>
      <w:tr w:rsidR="00594EDF" w14:paraId="6EB5755A" w14:textId="77777777" w:rsidTr="002D29D3">
        <w:tc>
          <w:tcPr>
            <w:tcW w:w="4675" w:type="dxa"/>
          </w:tcPr>
          <w:p w14:paraId="57D64D6D" w14:textId="77777777" w:rsidR="00594EDF" w:rsidRDefault="00594EDF" w:rsidP="002D29D3">
            <w:r>
              <w:t>Hospitals and physicians</w:t>
            </w:r>
          </w:p>
        </w:tc>
        <w:tc>
          <w:tcPr>
            <w:tcW w:w="4675" w:type="dxa"/>
          </w:tcPr>
          <w:p w14:paraId="53654283" w14:textId="0E5E099C" w:rsidR="00594EDF" w:rsidRDefault="00594EDF" w:rsidP="002D29D3">
            <w:r>
              <w:t>5</w:t>
            </w:r>
          </w:p>
        </w:tc>
      </w:tr>
      <w:tr w:rsidR="00594EDF" w14:paraId="31D7066B" w14:textId="77777777" w:rsidTr="002D29D3">
        <w:tc>
          <w:tcPr>
            <w:tcW w:w="4675" w:type="dxa"/>
          </w:tcPr>
          <w:p w14:paraId="4263EEC3" w14:textId="77777777" w:rsidR="00594EDF" w:rsidRDefault="00594EDF" w:rsidP="002D29D3">
            <w:r>
              <w:t>Schools and other clinics</w:t>
            </w:r>
          </w:p>
        </w:tc>
        <w:tc>
          <w:tcPr>
            <w:tcW w:w="4675" w:type="dxa"/>
          </w:tcPr>
          <w:p w14:paraId="0ECB8C6E" w14:textId="60CB0DC4" w:rsidR="00594EDF" w:rsidRDefault="00594EDF" w:rsidP="002D29D3">
            <w:r>
              <w:t>12</w:t>
            </w:r>
          </w:p>
        </w:tc>
      </w:tr>
      <w:tr w:rsidR="00594EDF" w14:paraId="20A6F734" w14:textId="77777777" w:rsidTr="002D29D3">
        <w:tc>
          <w:tcPr>
            <w:tcW w:w="4675" w:type="dxa"/>
          </w:tcPr>
          <w:p w14:paraId="211E0207" w14:textId="77777777" w:rsidR="00594EDF" w:rsidRDefault="00594EDF" w:rsidP="002D29D3">
            <w:r>
              <w:t>Group Practice Organizations</w:t>
            </w:r>
          </w:p>
        </w:tc>
        <w:tc>
          <w:tcPr>
            <w:tcW w:w="4675" w:type="dxa"/>
          </w:tcPr>
          <w:p w14:paraId="17408124" w14:textId="31ED87F4" w:rsidR="00594EDF" w:rsidRDefault="00594EDF" w:rsidP="002D29D3">
            <w:r>
              <w:t>8</w:t>
            </w:r>
          </w:p>
        </w:tc>
      </w:tr>
    </w:tbl>
    <w:p w14:paraId="19A70010" w14:textId="77777777" w:rsidR="00594EDF" w:rsidRDefault="00594EDF" w:rsidP="00AA37C3"/>
    <w:p w14:paraId="16D9D0D2" w14:textId="40D069DC" w:rsidR="00594EDF" w:rsidRDefault="00594EDF" w:rsidP="00AA37C3">
      <w:r>
        <w:t xml:space="preserve">Composition of providers reimbursed </w:t>
      </w:r>
      <w:r>
        <w:rPr>
          <w:b/>
          <w:bCs/>
          <w:u w:val="single"/>
        </w:rPr>
        <w:t>&gt;$500,000</w:t>
      </w:r>
      <w:r>
        <w:t>, by 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4EDF" w14:paraId="38A1EAE2" w14:textId="77777777" w:rsidTr="002D29D3">
        <w:tc>
          <w:tcPr>
            <w:tcW w:w="4675" w:type="dxa"/>
          </w:tcPr>
          <w:p w14:paraId="34990D81" w14:textId="77777777" w:rsidR="00594EDF" w:rsidRDefault="00594EDF" w:rsidP="002D29D3">
            <w:r>
              <w:t>Dentists</w:t>
            </w:r>
          </w:p>
        </w:tc>
        <w:tc>
          <w:tcPr>
            <w:tcW w:w="4675" w:type="dxa"/>
          </w:tcPr>
          <w:p w14:paraId="6EA7DBA3" w14:textId="3D089FD2" w:rsidR="00594EDF" w:rsidRDefault="00594EDF" w:rsidP="002D29D3">
            <w:r>
              <w:t>216</w:t>
            </w:r>
          </w:p>
        </w:tc>
      </w:tr>
      <w:tr w:rsidR="00594EDF" w14:paraId="7940DC21" w14:textId="77777777" w:rsidTr="002D29D3">
        <w:tc>
          <w:tcPr>
            <w:tcW w:w="4675" w:type="dxa"/>
          </w:tcPr>
          <w:p w14:paraId="36BCC4E2" w14:textId="77777777" w:rsidR="00594EDF" w:rsidRDefault="00594EDF" w:rsidP="002D29D3">
            <w:r>
              <w:t>CHCS (including hospital licensed clinics)</w:t>
            </w:r>
          </w:p>
        </w:tc>
        <w:tc>
          <w:tcPr>
            <w:tcW w:w="4675" w:type="dxa"/>
          </w:tcPr>
          <w:p w14:paraId="02D9D158" w14:textId="0507D233" w:rsidR="00594EDF" w:rsidRDefault="00594EDF" w:rsidP="002D29D3">
            <w:r>
              <w:t>25</w:t>
            </w:r>
          </w:p>
        </w:tc>
      </w:tr>
      <w:tr w:rsidR="00594EDF" w14:paraId="033695A1" w14:textId="77777777" w:rsidTr="002D29D3">
        <w:tc>
          <w:tcPr>
            <w:tcW w:w="4675" w:type="dxa"/>
          </w:tcPr>
          <w:p w14:paraId="4849E2EA" w14:textId="77777777" w:rsidR="00594EDF" w:rsidRDefault="00594EDF" w:rsidP="002D29D3">
            <w:r>
              <w:t>Hospitals and physicians</w:t>
            </w:r>
          </w:p>
        </w:tc>
        <w:tc>
          <w:tcPr>
            <w:tcW w:w="4675" w:type="dxa"/>
          </w:tcPr>
          <w:p w14:paraId="5592FE67" w14:textId="5FBFBA3D" w:rsidR="00594EDF" w:rsidRDefault="00594EDF" w:rsidP="002D29D3">
            <w:r>
              <w:t>4</w:t>
            </w:r>
          </w:p>
        </w:tc>
      </w:tr>
      <w:tr w:rsidR="00594EDF" w14:paraId="49E65021" w14:textId="77777777" w:rsidTr="002D29D3">
        <w:tc>
          <w:tcPr>
            <w:tcW w:w="4675" w:type="dxa"/>
          </w:tcPr>
          <w:p w14:paraId="6016FDA7" w14:textId="77777777" w:rsidR="00594EDF" w:rsidRDefault="00594EDF" w:rsidP="002D29D3">
            <w:r>
              <w:t>Schools and other clinics</w:t>
            </w:r>
          </w:p>
        </w:tc>
        <w:tc>
          <w:tcPr>
            <w:tcW w:w="4675" w:type="dxa"/>
          </w:tcPr>
          <w:p w14:paraId="6D0DEA67" w14:textId="36E0D2EE" w:rsidR="00594EDF" w:rsidRDefault="00594EDF" w:rsidP="002D29D3">
            <w:r>
              <w:t>5</w:t>
            </w:r>
          </w:p>
        </w:tc>
      </w:tr>
      <w:tr w:rsidR="00594EDF" w14:paraId="283EA112" w14:textId="77777777" w:rsidTr="002D29D3">
        <w:tc>
          <w:tcPr>
            <w:tcW w:w="4675" w:type="dxa"/>
          </w:tcPr>
          <w:p w14:paraId="239CCC3F" w14:textId="77777777" w:rsidR="00594EDF" w:rsidRDefault="00594EDF" w:rsidP="002D29D3">
            <w:r>
              <w:t>Group Practice Organizations</w:t>
            </w:r>
          </w:p>
        </w:tc>
        <w:tc>
          <w:tcPr>
            <w:tcW w:w="4675" w:type="dxa"/>
          </w:tcPr>
          <w:p w14:paraId="51544096" w14:textId="6D63C2B7" w:rsidR="00594EDF" w:rsidRDefault="00594EDF" w:rsidP="002D29D3">
            <w:r>
              <w:t>4</w:t>
            </w:r>
          </w:p>
        </w:tc>
      </w:tr>
    </w:tbl>
    <w:p w14:paraId="5DAC4327" w14:textId="77777777" w:rsidR="00594EDF" w:rsidRDefault="00594EDF" w:rsidP="00AA37C3"/>
    <w:p w14:paraId="3BA3106A" w14:textId="3A2A18B1" w:rsidR="00594EDF" w:rsidRDefault="00594EDF" w:rsidP="00AA37C3">
      <w:r>
        <w:t xml:space="preserve">Composition of providers reimbursed </w:t>
      </w:r>
      <w:r>
        <w:rPr>
          <w:b/>
          <w:bCs/>
          <w:u w:val="single"/>
        </w:rPr>
        <w:t>&gt;$1,000,000</w:t>
      </w:r>
      <w:r>
        <w:t>, by 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4EDF" w14:paraId="4616FEA6" w14:textId="77777777" w:rsidTr="002D29D3">
        <w:tc>
          <w:tcPr>
            <w:tcW w:w="4675" w:type="dxa"/>
          </w:tcPr>
          <w:p w14:paraId="2B73F4BA" w14:textId="77777777" w:rsidR="00594EDF" w:rsidRDefault="00594EDF" w:rsidP="002D29D3">
            <w:r>
              <w:t>Dentists</w:t>
            </w:r>
          </w:p>
        </w:tc>
        <w:tc>
          <w:tcPr>
            <w:tcW w:w="4675" w:type="dxa"/>
          </w:tcPr>
          <w:p w14:paraId="1A804656" w14:textId="17A2073A" w:rsidR="00594EDF" w:rsidRDefault="00594EDF" w:rsidP="002D29D3">
            <w:r>
              <w:t>26</w:t>
            </w:r>
          </w:p>
        </w:tc>
      </w:tr>
      <w:tr w:rsidR="00594EDF" w14:paraId="28D2B2C6" w14:textId="77777777" w:rsidTr="002D29D3">
        <w:tc>
          <w:tcPr>
            <w:tcW w:w="4675" w:type="dxa"/>
          </w:tcPr>
          <w:p w14:paraId="7B3402FD" w14:textId="77777777" w:rsidR="00594EDF" w:rsidRDefault="00594EDF" w:rsidP="002D29D3">
            <w:r>
              <w:t>CHCS (including hospital licensed clinics)</w:t>
            </w:r>
          </w:p>
        </w:tc>
        <w:tc>
          <w:tcPr>
            <w:tcW w:w="4675" w:type="dxa"/>
          </w:tcPr>
          <w:p w14:paraId="15639834" w14:textId="0635931F" w:rsidR="00594EDF" w:rsidRDefault="00594EDF" w:rsidP="002D29D3">
            <w:r>
              <w:t>9</w:t>
            </w:r>
          </w:p>
        </w:tc>
      </w:tr>
      <w:tr w:rsidR="00594EDF" w14:paraId="59EF31B4" w14:textId="77777777" w:rsidTr="002D29D3">
        <w:tc>
          <w:tcPr>
            <w:tcW w:w="4675" w:type="dxa"/>
          </w:tcPr>
          <w:p w14:paraId="36210C07" w14:textId="77777777" w:rsidR="00594EDF" w:rsidRDefault="00594EDF" w:rsidP="002D29D3">
            <w:r>
              <w:t>Hospitals and physicians</w:t>
            </w:r>
          </w:p>
        </w:tc>
        <w:tc>
          <w:tcPr>
            <w:tcW w:w="4675" w:type="dxa"/>
          </w:tcPr>
          <w:p w14:paraId="2CD747EE" w14:textId="1C405CCD" w:rsidR="00594EDF" w:rsidRDefault="00594EDF" w:rsidP="002D29D3">
            <w:r>
              <w:t>3</w:t>
            </w:r>
          </w:p>
        </w:tc>
      </w:tr>
      <w:tr w:rsidR="00594EDF" w14:paraId="6F853002" w14:textId="77777777" w:rsidTr="002D29D3">
        <w:tc>
          <w:tcPr>
            <w:tcW w:w="4675" w:type="dxa"/>
          </w:tcPr>
          <w:p w14:paraId="4852A1BA" w14:textId="77777777" w:rsidR="00594EDF" w:rsidRDefault="00594EDF" w:rsidP="002D29D3">
            <w:r>
              <w:t>Schools and other clinics</w:t>
            </w:r>
          </w:p>
        </w:tc>
        <w:tc>
          <w:tcPr>
            <w:tcW w:w="4675" w:type="dxa"/>
          </w:tcPr>
          <w:p w14:paraId="25134685" w14:textId="4704A0A2" w:rsidR="00594EDF" w:rsidRDefault="00594EDF" w:rsidP="002D29D3">
            <w:r>
              <w:t>4</w:t>
            </w:r>
          </w:p>
        </w:tc>
      </w:tr>
      <w:tr w:rsidR="00594EDF" w14:paraId="0A9CD9C2" w14:textId="77777777" w:rsidTr="002D29D3">
        <w:tc>
          <w:tcPr>
            <w:tcW w:w="4675" w:type="dxa"/>
          </w:tcPr>
          <w:p w14:paraId="638FB8CE" w14:textId="77777777" w:rsidR="00594EDF" w:rsidRDefault="00594EDF" w:rsidP="002D29D3">
            <w:r>
              <w:t>Group Practice Organizations</w:t>
            </w:r>
          </w:p>
        </w:tc>
        <w:tc>
          <w:tcPr>
            <w:tcW w:w="4675" w:type="dxa"/>
          </w:tcPr>
          <w:p w14:paraId="1BB1AF40" w14:textId="066DA041" w:rsidR="00594EDF" w:rsidRDefault="00594EDF" w:rsidP="002D29D3">
            <w:r>
              <w:t>3</w:t>
            </w:r>
          </w:p>
        </w:tc>
      </w:tr>
    </w:tbl>
    <w:p w14:paraId="76A1778B" w14:textId="77777777" w:rsidR="00594EDF" w:rsidRDefault="00594EDF" w:rsidP="00AA37C3"/>
    <w:p w14:paraId="2166BA15" w14:textId="36ACEF06" w:rsidR="00594EDF" w:rsidRDefault="00594EDF" w:rsidP="00AA37C3">
      <w:r>
        <w:t>As provider participation intensity increases, measured by total paid claims, non-individual dentists play an increasingly significant role toward overall access to care for dental Medicaid members.</w:t>
      </w:r>
    </w:p>
    <w:p w14:paraId="60F88454" w14:textId="38F973DE" w:rsidR="00594EDF" w:rsidRDefault="00594EDF">
      <w:r>
        <w:br w:type="page"/>
      </w:r>
    </w:p>
    <w:p w14:paraId="54DECDF6" w14:textId="07238923" w:rsidR="00594EDF" w:rsidRDefault="00594EDF" w:rsidP="00AA37C3">
      <w:r>
        <w:lastRenderedPageBreak/>
        <w:t>Goal 4 – Integration Highlights:</w:t>
      </w:r>
    </w:p>
    <w:p w14:paraId="68164240" w14:textId="77777777" w:rsidR="00594EDF" w:rsidRDefault="00594EDF" w:rsidP="00594EDF">
      <w:r>
        <w:t>• Substance use disorder and trauma-informed care trainings</w:t>
      </w:r>
    </w:p>
    <w:p w14:paraId="38F86DDD" w14:textId="77777777" w:rsidR="00594EDF" w:rsidRDefault="00594EDF" w:rsidP="00594EDF">
      <w:r>
        <w:t>• Fluoride varnish</w:t>
      </w:r>
    </w:p>
    <w:p w14:paraId="2D9B7E3E" w14:textId="77777777" w:rsidR="00594EDF" w:rsidRDefault="00594EDF" w:rsidP="00594EDF">
      <w:r>
        <w:t>• Vaccines</w:t>
      </w:r>
    </w:p>
    <w:p w14:paraId="4146EAE3" w14:textId="77777777" w:rsidR="00594EDF" w:rsidRDefault="00594EDF" w:rsidP="00594EDF">
      <w:r>
        <w:t>• Future potential projects/areas of interest:</w:t>
      </w:r>
    </w:p>
    <w:p w14:paraId="58ADE28D" w14:textId="77777777" w:rsidR="00594EDF" w:rsidRDefault="00594EDF" w:rsidP="00594EDF">
      <w:pPr>
        <w:ind w:firstLine="720"/>
      </w:pPr>
      <w:r>
        <w:t>• Expansion of vaccine efforts</w:t>
      </w:r>
    </w:p>
    <w:p w14:paraId="21D91E21" w14:textId="77777777" w:rsidR="00594EDF" w:rsidRDefault="00594EDF" w:rsidP="00594EDF">
      <w:pPr>
        <w:ind w:firstLine="720"/>
      </w:pPr>
      <w:r>
        <w:t xml:space="preserve">• Diagnostic coding </w:t>
      </w:r>
    </w:p>
    <w:p w14:paraId="540AF335" w14:textId="3801D47F" w:rsidR="00594EDF" w:rsidRDefault="00594EDF" w:rsidP="00594EDF">
      <w:pPr>
        <w:ind w:firstLine="720"/>
      </w:pPr>
      <w:r>
        <w:t xml:space="preserve">• Point-of-care testing — HIV rapid testing, Hemoglobin A1c testing </w:t>
      </w:r>
    </w:p>
    <w:p w14:paraId="43210D73" w14:textId="77777777" w:rsidR="00594EDF" w:rsidRDefault="00594EDF" w:rsidP="00594EDF">
      <w:pPr>
        <w:ind w:firstLine="720"/>
      </w:pPr>
      <w:r>
        <w:t xml:space="preserve">• A dental nurse role </w:t>
      </w:r>
    </w:p>
    <w:p w14:paraId="29E994F5" w14:textId="660DBC68" w:rsidR="00594EDF" w:rsidRDefault="00594EDF" w:rsidP="00594EDF">
      <w:pPr>
        <w:ind w:firstLine="720"/>
      </w:pPr>
      <w:r>
        <w:t>• Emergency department diversion</w:t>
      </w:r>
    </w:p>
    <w:p w14:paraId="30A7936A" w14:textId="27CF2107" w:rsidR="00594EDF" w:rsidRDefault="00594EDF">
      <w:r>
        <w:br w:type="page"/>
      </w:r>
    </w:p>
    <w:p w14:paraId="5032C303" w14:textId="7B1BA1CC" w:rsidR="00594EDF" w:rsidRDefault="00594EDF" w:rsidP="00594EDF">
      <w:r>
        <w:lastRenderedPageBreak/>
        <w:t>Office of Oral Health</w:t>
      </w:r>
    </w:p>
    <w:p w14:paraId="7CE557CD" w14:textId="77777777" w:rsidR="00594EDF" w:rsidRDefault="00594EDF" w:rsidP="00594EDF">
      <w:r>
        <w:t xml:space="preserve">Visit our web page: </w:t>
      </w:r>
    </w:p>
    <w:p w14:paraId="402976AA" w14:textId="0EB7EB26" w:rsidR="00594EDF" w:rsidRDefault="00594EDF" w:rsidP="00594EDF">
      <w:pPr>
        <w:ind w:firstLine="720"/>
      </w:pPr>
      <w:r>
        <w:t xml:space="preserve">• </w:t>
      </w:r>
      <w:hyperlink r:id="rId5" w:history="1">
        <w:r w:rsidRPr="00594EDF">
          <w:rPr>
            <w:rStyle w:val="Hyperlink"/>
          </w:rPr>
          <w:t>mass.gov/orgs/office-of-oral-health</w:t>
        </w:r>
      </w:hyperlink>
      <w:r>
        <w:t xml:space="preserve"> </w:t>
      </w:r>
    </w:p>
    <w:p w14:paraId="3110151B" w14:textId="77777777" w:rsidR="00594EDF" w:rsidRDefault="00594EDF" w:rsidP="00594EDF">
      <w:r>
        <w:t xml:space="preserve">For general inquiries, contact us at: </w:t>
      </w:r>
    </w:p>
    <w:p w14:paraId="6722A483" w14:textId="3D94A470" w:rsidR="00594EDF" w:rsidRDefault="00594EDF" w:rsidP="00594EDF">
      <w:pPr>
        <w:ind w:firstLine="720"/>
      </w:pPr>
      <w:r>
        <w:t xml:space="preserve">• </w:t>
      </w:r>
      <w:hyperlink r:id="rId6" w:history="1">
        <w:r w:rsidRPr="00594EDF">
          <w:rPr>
            <w:rStyle w:val="Hyperlink"/>
          </w:rPr>
          <w:t>mailto:oral.health@mass.gov</w:t>
        </w:r>
      </w:hyperlink>
    </w:p>
    <w:p w14:paraId="4C8EB82A" w14:textId="1A3C033E" w:rsidR="00594EDF" w:rsidRDefault="00594EDF">
      <w:r>
        <w:br w:type="page"/>
      </w:r>
    </w:p>
    <w:p w14:paraId="0B552F27" w14:textId="3C97C5A0" w:rsidR="00594EDF" w:rsidRDefault="00594EDF" w:rsidP="00594EDF">
      <w:r>
        <w:lastRenderedPageBreak/>
        <w:t>Connect with DPH</w:t>
      </w:r>
    </w:p>
    <w:p w14:paraId="09540B59" w14:textId="73C37949" w:rsidR="00594EDF" w:rsidRDefault="00594EDF" w:rsidP="00594EDF">
      <w:r>
        <w:t>X @MassDPH</w:t>
      </w:r>
    </w:p>
    <w:p w14:paraId="7C0D5EBE" w14:textId="42897510" w:rsidR="00594EDF" w:rsidRDefault="00594EDF" w:rsidP="00594EDF">
      <w:r>
        <w:t>LinkedIn | Massachusetts Department of Public Health</w:t>
      </w:r>
    </w:p>
    <w:p w14:paraId="38B91BF8" w14:textId="3EB489E7" w:rsidR="00594EDF" w:rsidRPr="00594EDF" w:rsidRDefault="00594EDF" w:rsidP="00594EDF">
      <w:r>
        <w:t>Mass.gov/</w:t>
      </w:r>
      <w:proofErr w:type="spellStart"/>
      <w:r>
        <w:t>dph</w:t>
      </w:r>
      <w:proofErr w:type="spellEnd"/>
    </w:p>
    <w:sectPr w:rsidR="00594EDF" w:rsidRPr="0059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6264"/>
    <w:multiLevelType w:val="hybridMultilevel"/>
    <w:tmpl w:val="C862C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C3"/>
    <w:rsid w:val="001A565A"/>
    <w:rsid w:val="00594EDF"/>
    <w:rsid w:val="00AA37C3"/>
    <w:rsid w:val="00C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44E7"/>
  <w15:chartTrackingRefBased/>
  <w15:docId w15:val="{F209132D-27C8-419C-A1D1-EB083771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7C3"/>
    <w:pPr>
      <w:ind w:left="720"/>
      <w:contextualSpacing/>
    </w:pPr>
  </w:style>
  <w:style w:type="table" w:styleId="TableGrid">
    <w:name w:val="Table Grid"/>
    <w:basedOn w:val="TableNormal"/>
    <w:uiPriority w:val="39"/>
    <w:rsid w:val="005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l.health@mass.gov" TargetMode="External"/><Relationship Id="rId5" Type="http://schemas.openxmlformats.org/officeDocument/2006/relationships/hyperlink" Target="https://www.mass.gov/orgs/office-of-oral-heal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Konuk, Olivia T (DPH)</dc:creator>
  <cp:keywords/>
  <dc:description/>
  <cp:lastModifiedBy>Konuk, Olivia T (DPH)</cp:lastModifiedBy>
  <cp:revision>1</cp:revision>
  <dcterms:created xsi:type="dcterms:W3CDTF">2023-11-30T15:22:00Z</dcterms:created>
  <dcterms:modified xsi:type="dcterms:W3CDTF">2023-11-30T15:50:00Z</dcterms:modified>
</cp:coreProperties>
</file>