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DE" w:rsidRPr="00281063" w:rsidRDefault="00851FDE" w:rsidP="00911ABA">
      <w:pPr>
        <w:tabs>
          <w:tab w:val="left" w:pos="720"/>
        </w:tabs>
        <w:outlineLvl w:val="0"/>
      </w:pPr>
      <w:bookmarkStart w:id="0" w:name="_GoBack"/>
      <w:bookmarkEnd w:id="0"/>
    </w:p>
    <w:p w:rsidR="00851FDE" w:rsidRPr="00580923" w:rsidRDefault="00851FDE" w:rsidP="00D248BC">
      <w:pPr>
        <w:jc w:val="center"/>
        <w:rPr>
          <w:b/>
          <w:sz w:val="32"/>
        </w:rPr>
      </w:pPr>
      <w:r w:rsidRPr="00580923">
        <w:rPr>
          <w:b/>
          <w:sz w:val="32"/>
        </w:rPr>
        <w:t>Addendum to Contract Between</w:t>
      </w:r>
    </w:p>
    <w:p w:rsidR="00851FDE" w:rsidRPr="00580923" w:rsidRDefault="00851FDE" w:rsidP="00D248BC">
      <w:pPr>
        <w:jc w:val="center"/>
        <w:rPr>
          <w:b/>
        </w:rPr>
      </w:pPr>
    </w:p>
    <w:p w:rsidR="00851FDE" w:rsidRPr="00580923" w:rsidRDefault="00851FDE" w:rsidP="00D248BC">
      <w:pPr>
        <w:jc w:val="center"/>
        <w:rPr>
          <w:b/>
        </w:rPr>
      </w:pPr>
    </w:p>
    <w:p w:rsidR="00851FDE" w:rsidRPr="00580923" w:rsidRDefault="00851FDE" w:rsidP="00D248BC">
      <w:pPr>
        <w:jc w:val="center"/>
        <w:rPr>
          <w:b/>
        </w:rPr>
      </w:pPr>
    </w:p>
    <w:p w:rsidR="00851FDE" w:rsidRPr="00580923" w:rsidRDefault="00851FDE" w:rsidP="00D248BC">
      <w:pPr>
        <w:jc w:val="center"/>
        <w:rPr>
          <w:b/>
        </w:rPr>
      </w:pPr>
    </w:p>
    <w:p w:rsidR="00851FDE" w:rsidRPr="00580923" w:rsidRDefault="00851FDE" w:rsidP="00D248BC">
      <w:pPr>
        <w:jc w:val="center"/>
        <w:rPr>
          <w:b/>
          <w:sz w:val="28"/>
        </w:rPr>
      </w:pPr>
      <w:r w:rsidRPr="00580923">
        <w:rPr>
          <w:b/>
          <w:sz w:val="28"/>
        </w:rPr>
        <w:t>United States Department of Health and Human Services</w:t>
      </w:r>
    </w:p>
    <w:p w:rsidR="00851FDE" w:rsidRPr="00580923" w:rsidRDefault="00851FDE" w:rsidP="00D248BC">
      <w:pPr>
        <w:jc w:val="center"/>
        <w:rPr>
          <w:b/>
          <w:sz w:val="28"/>
        </w:rPr>
      </w:pPr>
      <w:r w:rsidRPr="00580923">
        <w:rPr>
          <w:b/>
          <w:sz w:val="28"/>
        </w:rPr>
        <w:t>Centers for Medicare &amp; Medicaid Services</w:t>
      </w:r>
    </w:p>
    <w:p w:rsidR="00851FDE" w:rsidRPr="00580923" w:rsidRDefault="00851FDE" w:rsidP="00D248BC">
      <w:pPr>
        <w:jc w:val="center"/>
        <w:rPr>
          <w:b/>
          <w:caps/>
          <w:sz w:val="28"/>
        </w:rPr>
      </w:pPr>
    </w:p>
    <w:p w:rsidR="00851FDE" w:rsidRPr="00580923" w:rsidRDefault="00851FDE" w:rsidP="00D248BC">
      <w:pPr>
        <w:jc w:val="center"/>
        <w:rPr>
          <w:b/>
          <w:sz w:val="28"/>
        </w:rPr>
      </w:pPr>
      <w:r w:rsidRPr="00580923">
        <w:rPr>
          <w:b/>
          <w:sz w:val="28"/>
        </w:rPr>
        <w:t>In Partnership with</w:t>
      </w:r>
    </w:p>
    <w:p w:rsidR="00851FDE" w:rsidRPr="00580923" w:rsidRDefault="00851FDE" w:rsidP="00D248BC">
      <w:pPr>
        <w:jc w:val="center"/>
        <w:rPr>
          <w:b/>
          <w:sz w:val="28"/>
        </w:rPr>
      </w:pPr>
    </w:p>
    <w:p w:rsidR="00851FDE" w:rsidRPr="00580923" w:rsidRDefault="00851FDE" w:rsidP="00D248BC">
      <w:pPr>
        <w:jc w:val="center"/>
        <w:rPr>
          <w:b/>
          <w:sz w:val="28"/>
        </w:rPr>
      </w:pPr>
      <w:r w:rsidRPr="00580923">
        <w:rPr>
          <w:b/>
          <w:sz w:val="28"/>
        </w:rPr>
        <w:t xml:space="preserve">The </w:t>
      </w:r>
      <w:smartTag w:uri="urn:schemas-microsoft-com:office:smarttags" w:element="PlaceName">
        <w:smartTag w:uri="urn:schemas-microsoft-com:office:smarttags" w:element="PlaceType">
          <w:smartTag w:uri="urn:schemas-microsoft-com:office:smarttags" w:element="PlaceType">
            <w:smartTag w:uri="urn:schemas-microsoft-com:office:smarttags" w:element="place">
              <w:r w:rsidRPr="00580923">
                <w:rPr>
                  <w:b/>
                  <w:sz w:val="28"/>
                </w:rPr>
                <w:t>Commonwealth</w:t>
              </w:r>
            </w:smartTag>
          </w:smartTag>
          <w:r w:rsidRPr="00580923">
            <w:rPr>
              <w:b/>
              <w:sz w:val="28"/>
            </w:rPr>
            <w:t xml:space="preserve"> of </w:t>
          </w:r>
          <w:smartTag w:uri="urn:schemas-microsoft-com:office:smarttags" w:element="PlaceName">
            <w:r w:rsidRPr="00580923">
              <w:rPr>
                <w:b/>
                <w:sz w:val="28"/>
              </w:rPr>
              <w:t>Massachusetts</w:t>
            </w:r>
          </w:smartTag>
        </w:smartTag>
      </w:smartTag>
    </w:p>
    <w:p w:rsidR="00851FDE" w:rsidRPr="00580923" w:rsidRDefault="00851FDE" w:rsidP="00D248BC">
      <w:pPr>
        <w:jc w:val="center"/>
        <w:rPr>
          <w:b/>
          <w:sz w:val="28"/>
        </w:rPr>
      </w:pPr>
    </w:p>
    <w:p w:rsidR="00851FDE" w:rsidRPr="00580923" w:rsidRDefault="00851FDE" w:rsidP="00D248BC">
      <w:pPr>
        <w:jc w:val="center"/>
        <w:rPr>
          <w:b/>
          <w:sz w:val="28"/>
        </w:rPr>
      </w:pPr>
    </w:p>
    <w:p w:rsidR="00851FDE" w:rsidRPr="00580923" w:rsidRDefault="00851FDE" w:rsidP="00D248BC">
      <w:pPr>
        <w:jc w:val="center"/>
        <w:rPr>
          <w:b/>
          <w:sz w:val="28"/>
        </w:rPr>
      </w:pPr>
      <w:bookmarkStart w:id="1" w:name="_Toc493394882"/>
      <w:bookmarkStart w:id="2" w:name="_Toc493395003"/>
      <w:r w:rsidRPr="00580923">
        <w:rPr>
          <w:b/>
          <w:sz w:val="28"/>
        </w:rPr>
        <w:t>and</w:t>
      </w:r>
      <w:bookmarkEnd w:id="1"/>
      <w:bookmarkEnd w:id="2"/>
    </w:p>
    <w:p w:rsidR="00851FDE" w:rsidRPr="00580923" w:rsidRDefault="00851FDE" w:rsidP="00D248BC">
      <w:pPr>
        <w:jc w:val="center"/>
        <w:rPr>
          <w:b/>
          <w:sz w:val="28"/>
        </w:rPr>
      </w:pPr>
    </w:p>
    <w:p w:rsidR="00851FDE" w:rsidRPr="00580923" w:rsidRDefault="00851FDE" w:rsidP="00D248BC">
      <w:pPr>
        <w:jc w:val="center"/>
        <w:rPr>
          <w:b/>
          <w:sz w:val="28"/>
        </w:rPr>
      </w:pPr>
    </w:p>
    <w:p w:rsidR="005A5368" w:rsidRPr="0049442B" w:rsidRDefault="005A5368" w:rsidP="005A5368">
      <w:pPr>
        <w:jc w:val="center"/>
        <w:rPr>
          <w:b/>
          <w:sz w:val="28"/>
        </w:rPr>
      </w:pPr>
      <w:r w:rsidRPr="0049442B">
        <w:rPr>
          <w:b/>
          <w:sz w:val="28"/>
        </w:rPr>
        <w:t>Commonwealth Care Alliance, Inc.</w:t>
      </w:r>
    </w:p>
    <w:p w:rsidR="005A5368" w:rsidRDefault="005A5368" w:rsidP="005A5368">
      <w:pPr>
        <w:pStyle w:val="Footer"/>
        <w:jc w:val="center"/>
        <w:rPr>
          <w:b/>
          <w:sz w:val="28"/>
        </w:rPr>
      </w:pPr>
      <w:r w:rsidRPr="00B27A9E">
        <w:rPr>
          <w:b/>
          <w:sz w:val="28"/>
        </w:rPr>
        <w:t>Fallon Total Care, Inc.</w:t>
      </w:r>
    </w:p>
    <w:p w:rsidR="005A5368" w:rsidRPr="00281063" w:rsidRDefault="005A5368" w:rsidP="005A5368">
      <w:pPr>
        <w:jc w:val="center"/>
        <w:rPr>
          <w:b/>
          <w:sz w:val="28"/>
        </w:rPr>
      </w:pPr>
      <w:r>
        <w:rPr>
          <w:b/>
          <w:sz w:val="28"/>
        </w:rPr>
        <w:t>Tufts Health Public Plans, Inc.</w:t>
      </w:r>
    </w:p>
    <w:p w:rsidR="00851FDE" w:rsidRPr="00580923" w:rsidRDefault="005A5368" w:rsidP="005A5368">
      <w:pPr>
        <w:pStyle w:val="Footer"/>
        <w:jc w:val="center"/>
        <w:rPr>
          <w:b/>
          <w:sz w:val="28"/>
        </w:rPr>
      </w:pPr>
      <w:r w:rsidDel="005A5368">
        <w:rPr>
          <w:b/>
          <w:sz w:val="28"/>
        </w:rPr>
        <w:t xml:space="preserve"> </w:t>
      </w:r>
    </w:p>
    <w:p w:rsidR="00851FDE" w:rsidRPr="00580923" w:rsidRDefault="00851FDE" w:rsidP="00D248BC">
      <w:pPr>
        <w:pStyle w:val="Footer"/>
        <w:jc w:val="center"/>
        <w:rPr>
          <w:b/>
          <w:sz w:val="28"/>
        </w:rPr>
      </w:pPr>
    </w:p>
    <w:p w:rsidR="00851FDE" w:rsidRDefault="00851FDE" w:rsidP="00D248BC">
      <w:pPr>
        <w:pStyle w:val="Footer"/>
        <w:jc w:val="center"/>
        <w:rPr>
          <w:b/>
          <w:sz w:val="28"/>
        </w:rPr>
      </w:pPr>
      <w:r w:rsidRPr="00580923">
        <w:rPr>
          <w:b/>
          <w:sz w:val="28"/>
        </w:rPr>
        <w:t xml:space="preserve">Issued: </w:t>
      </w:r>
      <w:r w:rsidR="001F55CD">
        <w:rPr>
          <w:b/>
          <w:sz w:val="28"/>
        </w:rPr>
        <w:t>December 9, 2014</w:t>
      </w:r>
    </w:p>
    <w:p w:rsidR="005C1541" w:rsidRDefault="005C1541" w:rsidP="00D248BC">
      <w:pPr>
        <w:pStyle w:val="Footer"/>
        <w:jc w:val="center"/>
        <w:rPr>
          <w:b/>
          <w:sz w:val="28"/>
        </w:rPr>
      </w:pPr>
    </w:p>
    <w:p w:rsidR="00851FDE" w:rsidRPr="00580923" w:rsidRDefault="00851FDE" w:rsidP="00911ABA">
      <w:pPr>
        <w:tabs>
          <w:tab w:val="left" w:pos="720"/>
        </w:tabs>
        <w:outlineLvl w:val="0"/>
      </w:pPr>
    </w:p>
    <w:p w:rsidR="00851FDE" w:rsidRPr="00580923" w:rsidRDefault="00851FDE" w:rsidP="00911ABA">
      <w:pPr>
        <w:pStyle w:val="Contract2ndLevelHeading"/>
        <w:rPr>
          <w:rFonts w:ascii="Book Antiqua" w:hAnsi="Book Antiqua"/>
          <w:b w:val="0"/>
        </w:rPr>
      </w:pPr>
      <w:bookmarkStart w:id="3" w:name="_Toc360020571"/>
    </w:p>
    <w:p w:rsidR="00851FDE" w:rsidRPr="00580923" w:rsidRDefault="00851FDE" w:rsidP="00911ABA">
      <w:pPr>
        <w:pStyle w:val="Contract2ndLevelHeading"/>
        <w:rPr>
          <w:rFonts w:ascii="Book Antiqua" w:hAnsi="Book Antiqua"/>
          <w:b w:val="0"/>
        </w:rPr>
      </w:pPr>
    </w:p>
    <w:p w:rsidR="00851FDE" w:rsidRPr="00580923" w:rsidRDefault="00851FDE" w:rsidP="00580923">
      <w:pPr>
        <w:autoSpaceDE w:val="0"/>
        <w:autoSpaceDN w:val="0"/>
        <w:adjustRightInd w:val="0"/>
        <w:rPr>
          <w:rFonts w:cs="Book Antiqua"/>
          <w:szCs w:val="24"/>
        </w:rPr>
      </w:pPr>
      <w:r w:rsidRPr="00580923">
        <w:rPr>
          <w:b/>
        </w:rPr>
        <w:br w:type="page"/>
      </w:r>
      <w:r w:rsidRPr="00580923">
        <w:rPr>
          <w:szCs w:val="24"/>
        </w:rPr>
        <w:lastRenderedPageBreak/>
        <w:t xml:space="preserve">This is an Addendum to the Contract between the United States Department of Health and Human Services Centers for Medicare &amp; Medicaid Services in Partnership with The Commonwealth of Massachusetts and </w:t>
      </w:r>
      <w:r w:rsidR="005A5368">
        <w:rPr>
          <w:szCs w:val="24"/>
        </w:rPr>
        <w:t>_____________________ (the Contractor)</w:t>
      </w:r>
      <w:r w:rsidRPr="00580923">
        <w:rPr>
          <w:szCs w:val="24"/>
        </w:rPr>
        <w:t xml:space="preserve">.  </w:t>
      </w:r>
      <w:r w:rsidRPr="00580923">
        <w:rPr>
          <w:rFonts w:cs="Book Antiqua"/>
          <w:szCs w:val="24"/>
        </w:rPr>
        <w:t xml:space="preserve">The Contractor's principal place of business is </w:t>
      </w:r>
      <w:r w:rsidR="005A5368">
        <w:rPr>
          <w:rFonts w:cs="Book Antiqua"/>
          <w:szCs w:val="24"/>
        </w:rPr>
        <w:t>_______________________.</w:t>
      </w:r>
      <w:r w:rsidR="005A5368" w:rsidDel="005A5368">
        <w:rPr>
          <w:rFonts w:cs="Book Antiqua"/>
          <w:szCs w:val="24"/>
        </w:rPr>
        <w:t xml:space="preserve"> </w:t>
      </w:r>
      <w:r w:rsidRPr="00580923">
        <w:rPr>
          <w:rFonts w:cs="Book Antiqua"/>
          <w:szCs w:val="24"/>
        </w:rPr>
        <w:t xml:space="preserve"> </w:t>
      </w:r>
    </w:p>
    <w:p w:rsidR="00851FDE" w:rsidRPr="00580923" w:rsidRDefault="00851FDE">
      <w:pPr>
        <w:pStyle w:val="PlainText"/>
        <w:tabs>
          <w:tab w:val="left" w:pos="720"/>
          <w:tab w:val="left" w:pos="1080"/>
          <w:tab w:val="left" w:pos="1440"/>
          <w:tab w:val="left" w:pos="1800"/>
          <w:tab w:val="left" w:pos="2160"/>
        </w:tabs>
        <w:rPr>
          <w:rFonts w:ascii="Book Antiqua" w:hAnsi="Book Antiqua"/>
          <w:b/>
          <w:sz w:val="24"/>
          <w:szCs w:val="24"/>
        </w:rPr>
      </w:pPr>
    </w:p>
    <w:p w:rsidR="00851FDE" w:rsidRPr="00580923" w:rsidRDefault="00851FDE" w:rsidP="00FE6DA9">
      <w:pPr>
        <w:rPr>
          <w:snapToGrid w:val="0"/>
          <w:szCs w:val="24"/>
        </w:rPr>
      </w:pPr>
      <w:r w:rsidRPr="00580923">
        <w:rPr>
          <w:b/>
          <w:szCs w:val="24"/>
        </w:rPr>
        <w:t>WHEREAS</w:t>
      </w:r>
      <w:r w:rsidRPr="00580923">
        <w:rPr>
          <w:szCs w:val="24"/>
        </w:rPr>
        <w:t>, the United States Department of Health and Human Services, acting by and through the Centers for Medicare &amp; Medicaid Services (CMS), the Commonwealth of Massachusetts, acting by and through the Executive Office of Health and Human Services (EOHHS)</w:t>
      </w:r>
      <w:r w:rsidRPr="00580923">
        <w:rPr>
          <w:snapToGrid w:val="0"/>
          <w:szCs w:val="24"/>
        </w:rPr>
        <w:t xml:space="preserve">, and </w:t>
      </w:r>
      <w:r w:rsidR="005A5368">
        <w:rPr>
          <w:rFonts w:cs="Book Antiqua"/>
          <w:szCs w:val="24"/>
        </w:rPr>
        <w:t>_______________________</w:t>
      </w:r>
      <w:r w:rsidRPr="00580923">
        <w:rPr>
          <w:szCs w:val="24"/>
        </w:rPr>
        <w:t xml:space="preserve"> (Contractor)</w:t>
      </w:r>
      <w:r w:rsidRPr="00580923">
        <w:rPr>
          <w:snapToGrid w:val="0"/>
          <w:szCs w:val="24"/>
        </w:rPr>
        <w:t xml:space="preserve"> entered into the Contract with an effective date of July 16, 2013 to</w:t>
      </w:r>
      <w:r w:rsidRPr="00580923">
        <w:rPr>
          <w:szCs w:val="24"/>
        </w:rPr>
        <w:t xml:space="preserve"> provide medical services for the Massachusetts </w:t>
      </w:r>
      <w:r w:rsidRPr="00580923">
        <w:rPr>
          <w:bCs/>
          <w:szCs w:val="24"/>
        </w:rPr>
        <w:t>Capitated Financial Alignment Model (also known as the</w:t>
      </w:r>
      <w:r w:rsidRPr="00580923">
        <w:rPr>
          <w:b/>
          <w:bCs/>
          <w:szCs w:val="24"/>
        </w:rPr>
        <w:t xml:space="preserve"> </w:t>
      </w:r>
      <w:r w:rsidRPr="00580923">
        <w:rPr>
          <w:szCs w:val="24"/>
        </w:rPr>
        <w:t>One Care program)</w:t>
      </w:r>
      <w:r>
        <w:rPr>
          <w:szCs w:val="24"/>
        </w:rPr>
        <w:t xml:space="preserve">, and </w:t>
      </w:r>
      <w:r w:rsidRPr="00CB31C2">
        <w:rPr>
          <w:szCs w:val="24"/>
        </w:rPr>
        <w:t>executed an addendum</w:t>
      </w:r>
      <w:r w:rsidRPr="00DB67AD">
        <w:rPr>
          <w:rFonts w:ascii="Times New Roman" w:hAnsi="Times New Roman"/>
          <w:szCs w:val="24"/>
        </w:rPr>
        <w:t xml:space="preserve"> </w:t>
      </w:r>
      <w:r>
        <w:rPr>
          <w:szCs w:val="24"/>
        </w:rPr>
        <w:t>to that Contract with an effective date of September 10, 2014</w:t>
      </w:r>
      <w:r w:rsidRPr="00580923">
        <w:rPr>
          <w:snapToGrid w:val="0"/>
          <w:szCs w:val="24"/>
        </w:rPr>
        <w:t xml:space="preserve">; </w:t>
      </w:r>
      <w:r>
        <w:rPr>
          <w:snapToGrid w:val="0"/>
          <w:szCs w:val="24"/>
        </w:rPr>
        <w:t>and</w:t>
      </w:r>
    </w:p>
    <w:p w:rsidR="00851FDE" w:rsidRPr="00580923" w:rsidRDefault="00851FDE" w:rsidP="00FE6DA9">
      <w:pPr>
        <w:rPr>
          <w:snapToGrid w:val="0"/>
          <w:szCs w:val="24"/>
        </w:rPr>
      </w:pPr>
    </w:p>
    <w:p w:rsidR="00851FDE" w:rsidRPr="00580923" w:rsidRDefault="00851FDE" w:rsidP="00FE6DA9">
      <w:pPr>
        <w:rPr>
          <w:snapToGrid w:val="0"/>
          <w:szCs w:val="24"/>
        </w:rPr>
      </w:pPr>
      <w:r w:rsidRPr="00580923">
        <w:rPr>
          <w:b/>
          <w:snapToGrid w:val="0"/>
          <w:szCs w:val="24"/>
        </w:rPr>
        <w:t>WHEREAS</w:t>
      </w:r>
      <w:r w:rsidRPr="00580923">
        <w:rPr>
          <w:snapToGrid w:val="0"/>
          <w:szCs w:val="24"/>
        </w:rPr>
        <w:t xml:space="preserve">, CMS, EOHHS and the Contractor (collectively, the parties) desire to </w:t>
      </w:r>
      <w:r>
        <w:rPr>
          <w:snapToGrid w:val="0"/>
          <w:szCs w:val="24"/>
        </w:rPr>
        <w:t xml:space="preserve">adjust the savings percentages for Demonstration Years 2 and 3, </w:t>
      </w:r>
      <w:r>
        <w:t xml:space="preserve">eliminate the High Cost Risk Pools in Demonstration Year 1, and </w:t>
      </w:r>
      <w:r>
        <w:rPr>
          <w:snapToGrid w:val="0"/>
          <w:szCs w:val="24"/>
        </w:rPr>
        <w:t>modify</w:t>
      </w:r>
      <w:r w:rsidRPr="00580923">
        <w:rPr>
          <w:snapToGrid w:val="0"/>
          <w:szCs w:val="24"/>
        </w:rPr>
        <w:t xml:space="preserve"> </w:t>
      </w:r>
      <w:r>
        <w:rPr>
          <w:snapToGrid w:val="0"/>
          <w:szCs w:val="24"/>
        </w:rPr>
        <w:t>the r</w:t>
      </w:r>
      <w:r w:rsidRPr="00580923">
        <w:rPr>
          <w:snapToGrid w:val="0"/>
          <w:szCs w:val="24"/>
        </w:rPr>
        <w:t xml:space="preserve">isk </w:t>
      </w:r>
      <w:r>
        <w:rPr>
          <w:snapToGrid w:val="0"/>
          <w:szCs w:val="24"/>
        </w:rPr>
        <w:t>c</w:t>
      </w:r>
      <w:r w:rsidRPr="00580923">
        <w:rPr>
          <w:snapToGrid w:val="0"/>
          <w:szCs w:val="24"/>
        </w:rPr>
        <w:t xml:space="preserve">orridors </w:t>
      </w:r>
      <w:r>
        <w:rPr>
          <w:snapToGrid w:val="0"/>
          <w:szCs w:val="24"/>
        </w:rPr>
        <w:t>for Demonstration Year 1</w:t>
      </w:r>
      <w:r w:rsidRPr="00580923">
        <w:rPr>
          <w:snapToGrid w:val="0"/>
          <w:szCs w:val="24"/>
        </w:rPr>
        <w:t xml:space="preserve">; </w:t>
      </w:r>
    </w:p>
    <w:p w:rsidR="00851FDE" w:rsidRPr="00580923" w:rsidRDefault="00851FDE">
      <w:pPr>
        <w:pStyle w:val="PlainText"/>
        <w:tabs>
          <w:tab w:val="left" w:pos="720"/>
          <w:tab w:val="left" w:pos="1080"/>
          <w:tab w:val="left" w:pos="1440"/>
          <w:tab w:val="left" w:pos="1800"/>
          <w:tab w:val="left" w:pos="2160"/>
        </w:tabs>
        <w:rPr>
          <w:rFonts w:ascii="Book Antiqua" w:hAnsi="Book Antiqua"/>
          <w:b/>
          <w:sz w:val="24"/>
          <w:szCs w:val="24"/>
        </w:rPr>
      </w:pPr>
    </w:p>
    <w:p w:rsidR="00851FDE" w:rsidRPr="00580923" w:rsidRDefault="00851FDE">
      <w:pPr>
        <w:pStyle w:val="PlainText"/>
        <w:tabs>
          <w:tab w:val="left" w:pos="720"/>
          <w:tab w:val="left" w:pos="1080"/>
          <w:tab w:val="left" w:pos="1440"/>
          <w:tab w:val="left" w:pos="1800"/>
          <w:tab w:val="left" w:pos="2160"/>
        </w:tabs>
        <w:rPr>
          <w:rFonts w:ascii="Book Antiqua" w:hAnsi="Book Antiqua"/>
          <w:sz w:val="24"/>
          <w:szCs w:val="24"/>
        </w:rPr>
      </w:pPr>
      <w:r w:rsidRPr="00580923">
        <w:rPr>
          <w:rFonts w:ascii="Book Antiqua" w:hAnsi="Book Antiqua"/>
          <w:b/>
          <w:sz w:val="24"/>
          <w:szCs w:val="24"/>
        </w:rPr>
        <w:t>NOW, THEREFORE</w:t>
      </w:r>
      <w:r w:rsidRPr="00580923">
        <w:rPr>
          <w:rFonts w:ascii="Book Antiqua" w:hAnsi="Book Antiqua"/>
          <w:sz w:val="24"/>
          <w:szCs w:val="24"/>
        </w:rPr>
        <w:t>, in consideration of the mutual promises set forth in this Contract, the parties agree as follows:</w:t>
      </w:r>
    </w:p>
    <w:p w:rsidR="00851FDE" w:rsidRPr="00580923" w:rsidRDefault="00851FDE" w:rsidP="00EF4050">
      <w:pPr>
        <w:pStyle w:val="Contract2ndLevelHeading"/>
        <w:rPr>
          <w:rFonts w:ascii="Book Antiqua" w:hAnsi="Book Antiqua"/>
          <w:b w:val="0"/>
          <w:sz w:val="24"/>
          <w:szCs w:val="24"/>
        </w:rPr>
      </w:pPr>
    </w:p>
    <w:p w:rsidR="00851FDE" w:rsidRPr="00580923" w:rsidRDefault="00851FDE" w:rsidP="00EF4050">
      <w:pPr>
        <w:pStyle w:val="Contract2ndLevelHeading"/>
        <w:rPr>
          <w:rFonts w:ascii="Book Antiqua" w:hAnsi="Book Antiqua"/>
          <w:b w:val="0"/>
          <w:sz w:val="24"/>
          <w:szCs w:val="24"/>
        </w:rPr>
      </w:pPr>
    </w:p>
    <w:p w:rsidR="00851FDE" w:rsidRPr="002172B2" w:rsidRDefault="00851FDE" w:rsidP="00EC6EEE">
      <w:pPr>
        <w:pStyle w:val="Contract2ndLevelHeading"/>
        <w:numPr>
          <w:ilvl w:val="0"/>
          <w:numId w:val="5"/>
        </w:numPr>
        <w:rPr>
          <w:rFonts w:ascii="Book Antiqua" w:hAnsi="Book Antiqua"/>
          <w:b w:val="0"/>
          <w:sz w:val="24"/>
          <w:szCs w:val="24"/>
        </w:rPr>
      </w:pPr>
      <w:r w:rsidRPr="002172B2">
        <w:rPr>
          <w:rFonts w:ascii="Book Antiqua" w:hAnsi="Book Antiqua"/>
          <w:b w:val="0"/>
          <w:sz w:val="24"/>
          <w:szCs w:val="24"/>
        </w:rPr>
        <w:t xml:space="preserve">This Addendum deletes </w:t>
      </w:r>
      <w:r>
        <w:rPr>
          <w:rFonts w:ascii="Book Antiqua" w:hAnsi="Book Antiqua"/>
          <w:b w:val="0"/>
          <w:sz w:val="24"/>
          <w:szCs w:val="24"/>
        </w:rPr>
        <w:t>Section</w:t>
      </w:r>
      <w:r w:rsidRPr="002172B2">
        <w:rPr>
          <w:rFonts w:ascii="Book Antiqua" w:hAnsi="Book Antiqua"/>
          <w:b w:val="0"/>
          <w:sz w:val="24"/>
          <w:szCs w:val="24"/>
        </w:rPr>
        <w:t xml:space="preserve"> </w:t>
      </w:r>
      <w:r>
        <w:rPr>
          <w:rFonts w:ascii="Book Antiqua" w:hAnsi="Book Antiqua"/>
          <w:b w:val="0"/>
          <w:sz w:val="24"/>
          <w:szCs w:val="24"/>
        </w:rPr>
        <w:t>4.2.C.1</w:t>
      </w:r>
      <w:r w:rsidRPr="002172B2">
        <w:rPr>
          <w:rFonts w:ascii="Book Antiqua" w:hAnsi="Book Antiqua"/>
          <w:b w:val="0"/>
          <w:sz w:val="24"/>
          <w:szCs w:val="24"/>
        </w:rPr>
        <w:t xml:space="preserve"> and replaces it with the following</w:t>
      </w:r>
      <w:r w:rsidRPr="002172B2">
        <w:rPr>
          <w:b w:val="0"/>
          <w:szCs w:val="24"/>
        </w:rPr>
        <w:t xml:space="preserve"> </w:t>
      </w:r>
      <w:r>
        <w:rPr>
          <w:rFonts w:ascii="Book Antiqua" w:hAnsi="Book Antiqua"/>
          <w:b w:val="0"/>
          <w:sz w:val="24"/>
          <w:szCs w:val="24"/>
        </w:rPr>
        <w:t>Section</w:t>
      </w:r>
      <w:r w:rsidRPr="002172B2">
        <w:rPr>
          <w:rFonts w:ascii="Book Antiqua" w:hAnsi="Book Antiqua"/>
          <w:b w:val="0"/>
          <w:sz w:val="24"/>
          <w:szCs w:val="24"/>
        </w:rPr>
        <w:t xml:space="preserve"> </w:t>
      </w:r>
      <w:r>
        <w:rPr>
          <w:rFonts w:ascii="Book Antiqua" w:hAnsi="Book Antiqua"/>
          <w:b w:val="0"/>
          <w:sz w:val="24"/>
          <w:szCs w:val="24"/>
        </w:rPr>
        <w:t>4.2.C.1</w:t>
      </w:r>
      <w:r w:rsidRPr="002172B2">
        <w:rPr>
          <w:rFonts w:ascii="Book Antiqua" w:hAnsi="Book Antiqua"/>
          <w:b w:val="0"/>
          <w:sz w:val="24"/>
          <w:szCs w:val="24"/>
        </w:rPr>
        <w:t>:</w:t>
      </w:r>
    </w:p>
    <w:p w:rsidR="00851FDE" w:rsidRPr="002172B2" w:rsidRDefault="00851FDE" w:rsidP="00EC6EEE">
      <w:pPr>
        <w:pStyle w:val="Contract2ndLevelHeading"/>
        <w:rPr>
          <w:rFonts w:ascii="Book Antiqua" w:hAnsi="Book Antiqua"/>
          <w:b w:val="0"/>
          <w:sz w:val="24"/>
          <w:szCs w:val="24"/>
        </w:rPr>
      </w:pPr>
    </w:p>
    <w:p w:rsidR="00851FDE" w:rsidRPr="002172B2" w:rsidRDefault="00851FDE" w:rsidP="008E0E6C">
      <w:pPr>
        <w:pStyle w:val="Contract3rdLevelHeading"/>
        <w:numPr>
          <w:ilvl w:val="0"/>
          <w:numId w:val="0"/>
        </w:numPr>
        <w:ind w:left="1440" w:hanging="720"/>
      </w:pPr>
      <w:bookmarkStart w:id="4" w:name="_Toc360020551"/>
      <w:r>
        <w:t xml:space="preserve">C. </w:t>
      </w:r>
      <w:r>
        <w:tab/>
      </w:r>
      <w:r w:rsidRPr="00281063">
        <w:t>Aggregate Savings Percentages</w:t>
      </w:r>
      <w:bookmarkEnd w:id="4"/>
    </w:p>
    <w:p w:rsidR="00851FDE" w:rsidRPr="00281063" w:rsidRDefault="00851FDE" w:rsidP="002172B2">
      <w:pPr>
        <w:numPr>
          <w:ilvl w:val="0"/>
          <w:numId w:val="9"/>
        </w:numPr>
        <w:outlineLvl w:val="2"/>
        <w:rPr>
          <w:szCs w:val="24"/>
        </w:rPr>
      </w:pPr>
      <w:r w:rsidRPr="00281063">
        <w:rPr>
          <w:szCs w:val="24"/>
        </w:rPr>
        <w:t xml:space="preserve">Aggregate savings percentages will be applied equally, as follows, to the baseline spending amounts for the Medicare Parts A/B Component and the MassHealth Component of the capitated rate, provided that such savings percentages may be adjusted in accordance with </w:t>
      </w:r>
      <w:r w:rsidRPr="00281063">
        <w:rPr>
          <w:b/>
        </w:rPr>
        <w:t>Section 4.3.C.3</w:t>
      </w:r>
      <w:r w:rsidRPr="00281063">
        <w:rPr>
          <w:szCs w:val="24"/>
        </w:rPr>
        <w:t>.</w:t>
      </w:r>
    </w:p>
    <w:p w:rsidR="00851FDE" w:rsidRPr="00281063" w:rsidRDefault="00851FDE" w:rsidP="002172B2">
      <w:pPr>
        <w:rPr>
          <w:szCs w:val="24"/>
        </w:rPr>
      </w:pPr>
    </w:p>
    <w:p w:rsidR="00851FDE" w:rsidRPr="00281063" w:rsidRDefault="00851FDE" w:rsidP="002172B2">
      <w:pPr>
        <w:numPr>
          <w:ilvl w:val="0"/>
          <w:numId w:val="10"/>
        </w:numPr>
        <w:contextualSpacing/>
        <w:rPr>
          <w:szCs w:val="24"/>
        </w:rPr>
      </w:pPr>
      <w:r w:rsidRPr="00281063">
        <w:rPr>
          <w:szCs w:val="24"/>
        </w:rPr>
        <w:t xml:space="preserve">Demonstration Year 1, as divided into the following two time periods: </w:t>
      </w:r>
    </w:p>
    <w:p w:rsidR="00851FDE" w:rsidRPr="00281063" w:rsidRDefault="00851FDE" w:rsidP="002172B2">
      <w:pPr>
        <w:ind w:left="1890"/>
        <w:contextualSpacing/>
        <w:rPr>
          <w:szCs w:val="24"/>
        </w:rPr>
      </w:pPr>
    </w:p>
    <w:p w:rsidR="00851FDE" w:rsidRPr="00281063" w:rsidRDefault="00851FDE" w:rsidP="002172B2">
      <w:pPr>
        <w:ind w:left="1440" w:firstLine="360"/>
        <w:contextualSpacing/>
        <w:rPr>
          <w:szCs w:val="24"/>
        </w:rPr>
      </w:pPr>
      <w:r w:rsidRPr="00281063">
        <w:rPr>
          <w:szCs w:val="24"/>
        </w:rPr>
        <w:t xml:space="preserve">(1) </w:t>
      </w:r>
      <w:r w:rsidRPr="00281063">
        <w:rPr>
          <w:szCs w:val="24"/>
        </w:rPr>
        <w:tab/>
        <w:t>First six months following the first Effective Enrollment Date: 0%</w:t>
      </w:r>
    </w:p>
    <w:p w:rsidR="00851FDE" w:rsidRPr="00281063" w:rsidRDefault="00851FDE" w:rsidP="002172B2">
      <w:pPr>
        <w:ind w:left="1440" w:firstLine="360"/>
        <w:contextualSpacing/>
        <w:rPr>
          <w:szCs w:val="24"/>
        </w:rPr>
      </w:pPr>
    </w:p>
    <w:p w:rsidR="00851FDE" w:rsidRPr="00281063" w:rsidRDefault="00851FDE" w:rsidP="002172B2">
      <w:pPr>
        <w:ind w:left="2160" w:hanging="360"/>
        <w:contextualSpacing/>
        <w:rPr>
          <w:szCs w:val="24"/>
        </w:rPr>
      </w:pPr>
      <w:r w:rsidRPr="00281063">
        <w:rPr>
          <w:szCs w:val="24"/>
        </w:rPr>
        <w:t xml:space="preserve">(2) After the first six months following the first Effective Enrollment Date through December 31, 2014: 1% </w:t>
      </w:r>
    </w:p>
    <w:p w:rsidR="00851FDE" w:rsidRPr="00281063" w:rsidRDefault="00851FDE" w:rsidP="002172B2">
      <w:pPr>
        <w:ind w:left="1890"/>
        <w:contextualSpacing/>
        <w:rPr>
          <w:szCs w:val="24"/>
        </w:rPr>
      </w:pPr>
    </w:p>
    <w:p w:rsidR="00851FDE" w:rsidRPr="00281063" w:rsidRDefault="00851FDE" w:rsidP="002172B2">
      <w:pPr>
        <w:numPr>
          <w:ilvl w:val="0"/>
          <w:numId w:val="10"/>
        </w:numPr>
        <w:contextualSpacing/>
        <w:rPr>
          <w:szCs w:val="24"/>
        </w:rPr>
      </w:pPr>
      <w:r w:rsidRPr="00281063">
        <w:rPr>
          <w:szCs w:val="24"/>
        </w:rPr>
        <w:t xml:space="preserve">Demonstration Year 2:  </w:t>
      </w:r>
      <w:r>
        <w:rPr>
          <w:szCs w:val="24"/>
        </w:rPr>
        <w:t>0.5%</w:t>
      </w:r>
    </w:p>
    <w:p w:rsidR="00851FDE" w:rsidRPr="00281063" w:rsidRDefault="00851FDE" w:rsidP="002172B2">
      <w:pPr>
        <w:ind w:left="1080"/>
        <w:contextualSpacing/>
        <w:rPr>
          <w:szCs w:val="24"/>
        </w:rPr>
      </w:pPr>
    </w:p>
    <w:p w:rsidR="00851FDE" w:rsidRPr="00281063" w:rsidRDefault="00851FDE" w:rsidP="002172B2">
      <w:pPr>
        <w:numPr>
          <w:ilvl w:val="0"/>
          <w:numId w:val="10"/>
        </w:numPr>
        <w:contextualSpacing/>
        <w:rPr>
          <w:szCs w:val="24"/>
        </w:rPr>
      </w:pPr>
      <w:r w:rsidRPr="00281063">
        <w:rPr>
          <w:szCs w:val="24"/>
        </w:rPr>
        <w:t xml:space="preserve">Demonstration Year 3:  </w:t>
      </w:r>
      <w:r>
        <w:rPr>
          <w:szCs w:val="24"/>
        </w:rPr>
        <w:t>2%</w:t>
      </w:r>
    </w:p>
    <w:p w:rsidR="00851FDE" w:rsidRDefault="00851FDE" w:rsidP="00CB31C2">
      <w:pPr>
        <w:contextualSpacing/>
        <w:rPr>
          <w:szCs w:val="24"/>
        </w:rPr>
      </w:pPr>
    </w:p>
    <w:p w:rsidR="00851FDE" w:rsidRPr="00281063" w:rsidRDefault="00851FDE" w:rsidP="002172B2">
      <w:pPr>
        <w:ind w:left="1890"/>
        <w:contextualSpacing/>
        <w:rPr>
          <w:szCs w:val="24"/>
        </w:rPr>
      </w:pPr>
    </w:p>
    <w:p w:rsidR="00851FDE" w:rsidRDefault="00851FDE" w:rsidP="00502A05">
      <w:pPr>
        <w:numPr>
          <w:ilvl w:val="0"/>
          <w:numId w:val="5"/>
        </w:numPr>
        <w:autoSpaceDE w:val="0"/>
        <w:autoSpaceDN w:val="0"/>
        <w:adjustRightInd w:val="0"/>
      </w:pPr>
      <w:r>
        <w:t xml:space="preserve">This Addendum deletes </w:t>
      </w:r>
      <w:r w:rsidRPr="00CB31C2">
        <w:rPr>
          <w:b/>
        </w:rPr>
        <w:t>Section 4.2.D.3</w:t>
      </w:r>
      <w:r>
        <w:t xml:space="preserve"> and replaces it with the following language:</w:t>
      </w:r>
    </w:p>
    <w:p w:rsidR="00851FDE" w:rsidRDefault="00851FDE" w:rsidP="00502A05"/>
    <w:p w:rsidR="00851FDE" w:rsidRPr="00281063" w:rsidRDefault="00851FDE" w:rsidP="00502A05">
      <w:pPr>
        <w:ind w:left="1440"/>
        <w:outlineLvl w:val="2"/>
      </w:pPr>
      <w:r w:rsidRPr="00281063">
        <w:t xml:space="preserve">Medicaid: For the MassHealth Component of the capitated rate, EOHHS will rely on Rating Categories described in </w:t>
      </w:r>
      <w:r w:rsidRPr="00281063">
        <w:rPr>
          <w:b/>
        </w:rPr>
        <w:t>Section 4.2.A</w:t>
      </w:r>
      <w:r w:rsidRPr="00281063">
        <w:t xml:space="preserve"> and</w:t>
      </w:r>
      <w:r>
        <w:t xml:space="preserve"> in Demonstration Years 2 and 3,</w:t>
      </w:r>
      <w:r w:rsidRPr="00281063">
        <w:t xml:space="preserve"> </w:t>
      </w:r>
      <w:r>
        <w:t xml:space="preserve">may </w:t>
      </w:r>
      <w:r w:rsidRPr="00281063">
        <w:t xml:space="preserve">use High-Cost Risk Pools (HCRPs) for certain RCs, described in </w:t>
      </w:r>
      <w:r w:rsidRPr="00281063">
        <w:rPr>
          <w:b/>
        </w:rPr>
        <w:t>Section 4.2.E</w:t>
      </w:r>
      <w:r w:rsidRPr="00281063">
        <w:t xml:space="preserve">, to account for differences in risk among the eligible population.  </w:t>
      </w:r>
    </w:p>
    <w:p w:rsidR="00851FDE" w:rsidRDefault="00851FDE" w:rsidP="00502A05"/>
    <w:p w:rsidR="00851FDE" w:rsidRDefault="00851FDE" w:rsidP="00502A05">
      <w:pPr>
        <w:numPr>
          <w:ilvl w:val="0"/>
          <w:numId w:val="5"/>
        </w:numPr>
        <w:autoSpaceDE w:val="0"/>
        <w:autoSpaceDN w:val="0"/>
        <w:adjustRightInd w:val="0"/>
      </w:pPr>
      <w:r>
        <w:t xml:space="preserve">This Addendum deletes Section </w:t>
      </w:r>
      <w:r w:rsidRPr="00CB31C2">
        <w:rPr>
          <w:b/>
        </w:rPr>
        <w:t>4.2.E.1</w:t>
      </w:r>
      <w:r>
        <w:t xml:space="preserve"> and replaces it with the following language:</w:t>
      </w:r>
    </w:p>
    <w:p w:rsidR="00851FDE" w:rsidRDefault="00851FDE" w:rsidP="00502A05">
      <w:pPr>
        <w:autoSpaceDE w:val="0"/>
        <w:autoSpaceDN w:val="0"/>
        <w:adjustRightInd w:val="0"/>
        <w:ind w:left="1440"/>
      </w:pPr>
    </w:p>
    <w:p w:rsidR="00851FDE" w:rsidRDefault="00851FDE" w:rsidP="00502A05">
      <w:pPr>
        <w:autoSpaceDE w:val="0"/>
        <w:autoSpaceDN w:val="0"/>
        <w:adjustRightInd w:val="0"/>
        <w:ind w:left="1440"/>
      </w:pPr>
      <w:r>
        <w:t xml:space="preserve">In Demonstration Years 2 and 3, </w:t>
      </w:r>
      <w:r w:rsidRPr="00281063">
        <w:t xml:space="preserve">EOHHS </w:t>
      </w:r>
      <w:r>
        <w:t>may</w:t>
      </w:r>
      <w:r w:rsidRPr="00281063">
        <w:t xml:space="preserve"> establish High-Cost Risk Pools (HCRPs) to account for enrollment of high-cost beneficiaries, defined based on spending for select MassHealth Long-Term Services and Supports and services above a defined threshold within MassHealth RCs across ICOs.  For each RC with an HCRP, a portion of the base MassHealth Component </w:t>
      </w:r>
      <w:r>
        <w:t>would</w:t>
      </w:r>
      <w:r w:rsidRPr="00281063">
        <w:t xml:space="preserve"> be withheld from all ICOs into a risk pool.  The risk pool </w:t>
      </w:r>
      <w:r>
        <w:t>would</w:t>
      </w:r>
      <w:r w:rsidRPr="00281063">
        <w:t xml:space="preserve"> be divided across ICOs based on their percent of the total costs above the per Enrollee threshold amount associated with the high-cost beneficiaries.</w:t>
      </w:r>
      <w:r>
        <w:t xml:space="preserve">  Any sums withheld for a High Cost Risk Pool during Demonstration Year 1 will be refunded to the Contractor by approximately January 30, 2015.</w:t>
      </w:r>
    </w:p>
    <w:p w:rsidR="00851FDE" w:rsidRDefault="00851FDE" w:rsidP="00502A05">
      <w:pPr>
        <w:pStyle w:val="Contract2ndLevelHeading"/>
        <w:ind w:left="720"/>
        <w:rPr>
          <w:rFonts w:ascii="Book Antiqua" w:hAnsi="Book Antiqua"/>
          <w:b w:val="0"/>
          <w:sz w:val="24"/>
          <w:szCs w:val="24"/>
        </w:rPr>
      </w:pPr>
    </w:p>
    <w:p w:rsidR="00851FDE" w:rsidRPr="00580923" w:rsidRDefault="00851FDE" w:rsidP="00911ABA">
      <w:pPr>
        <w:pStyle w:val="Contract2ndLevelHeading"/>
        <w:numPr>
          <w:ilvl w:val="0"/>
          <w:numId w:val="5"/>
        </w:numPr>
        <w:rPr>
          <w:rFonts w:ascii="Book Antiqua" w:hAnsi="Book Antiqua"/>
          <w:b w:val="0"/>
          <w:sz w:val="24"/>
          <w:szCs w:val="24"/>
        </w:rPr>
      </w:pPr>
      <w:r w:rsidRPr="00580923">
        <w:rPr>
          <w:rFonts w:ascii="Book Antiqua" w:hAnsi="Book Antiqua"/>
          <w:b w:val="0"/>
          <w:sz w:val="24"/>
          <w:szCs w:val="24"/>
        </w:rPr>
        <w:t xml:space="preserve">This Addendum deletes </w:t>
      </w:r>
      <w:r>
        <w:rPr>
          <w:rFonts w:ascii="Book Antiqua" w:hAnsi="Book Antiqua"/>
          <w:b w:val="0"/>
          <w:sz w:val="24"/>
          <w:szCs w:val="24"/>
        </w:rPr>
        <w:t xml:space="preserve">Section </w:t>
      </w:r>
      <w:r w:rsidRPr="00580923">
        <w:rPr>
          <w:rFonts w:ascii="Book Antiqua" w:hAnsi="Book Antiqua"/>
          <w:b w:val="0"/>
          <w:sz w:val="24"/>
          <w:szCs w:val="24"/>
        </w:rPr>
        <w:t>4.6 and replaces it with the following</w:t>
      </w:r>
      <w:r>
        <w:rPr>
          <w:rFonts w:ascii="Book Antiqua" w:hAnsi="Book Antiqua"/>
          <w:b w:val="0"/>
          <w:sz w:val="24"/>
          <w:szCs w:val="24"/>
        </w:rPr>
        <w:t xml:space="preserve"> Section 4.6</w:t>
      </w:r>
      <w:r w:rsidRPr="00580923">
        <w:rPr>
          <w:rFonts w:ascii="Book Antiqua" w:hAnsi="Book Antiqua"/>
          <w:b w:val="0"/>
          <w:sz w:val="24"/>
          <w:szCs w:val="24"/>
        </w:rPr>
        <w:t>:</w:t>
      </w:r>
    </w:p>
    <w:p w:rsidR="00851FDE" w:rsidRPr="00580923" w:rsidRDefault="00851FDE" w:rsidP="00911ABA">
      <w:pPr>
        <w:pStyle w:val="Contract2ndLevelHeading"/>
        <w:rPr>
          <w:rFonts w:ascii="Book Antiqua" w:hAnsi="Book Antiqua"/>
          <w:b w:val="0"/>
          <w:sz w:val="24"/>
          <w:szCs w:val="24"/>
        </w:rPr>
      </w:pPr>
    </w:p>
    <w:p w:rsidR="00851FDE" w:rsidRPr="00580923" w:rsidRDefault="00851FDE" w:rsidP="00911ABA">
      <w:pPr>
        <w:pStyle w:val="Contract2ndLevelHeading"/>
        <w:rPr>
          <w:rFonts w:ascii="Book Antiqua" w:hAnsi="Book Antiqua"/>
          <w:b w:val="0"/>
          <w:sz w:val="24"/>
          <w:szCs w:val="24"/>
        </w:rPr>
      </w:pPr>
      <w:r w:rsidRPr="00580923">
        <w:rPr>
          <w:rFonts w:ascii="Book Antiqua" w:hAnsi="Book Antiqua"/>
          <w:b w:val="0"/>
          <w:sz w:val="24"/>
          <w:szCs w:val="24"/>
        </w:rPr>
        <w:t>4.6</w:t>
      </w:r>
      <w:r w:rsidRPr="00580923">
        <w:rPr>
          <w:rFonts w:ascii="Book Antiqua" w:hAnsi="Book Antiqua"/>
          <w:b w:val="0"/>
          <w:sz w:val="24"/>
          <w:szCs w:val="24"/>
        </w:rPr>
        <w:tab/>
      </w:r>
      <w:r w:rsidRPr="00580923">
        <w:rPr>
          <w:rFonts w:ascii="Book Antiqua" w:hAnsi="Book Antiqua"/>
          <w:sz w:val="24"/>
          <w:szCs w:val="24"/>
        </w:rPr>
        <w:t>Risk</w:t>
      </w:r>
      <w:r w:rsidRPr="00580923">
        <w:rPr>
          <w:rFonts w:ascii="Book Antiqua" w:hAnsi="Book Antiqua"/>
          <w:b w:val="0"/>
          <w:sz w:val="24"/>
          <w:szCs w:val="24"/>
        </w:rPr>
        <w:t xml:space="preserve"> </w:t>
      </w:r>
      <w:r w:rsidRPr="00580923">
        <w:rPr>
          <w:rFonts w:ascii="Book Antiqua" w:hAnsi="Book Antiqua"/>
          <w:sz w:val="24"/>
          <w:szCs w:val="24"/>
        </w:rPr>
        <w:t>Corridors</w:t>
      </w:r>
      <w:bookmarkEnd w:id="3"/>
    </w:p>
    <w:p w:rsidR="00851FDE" w:rsidRPr="00580923" w:rsidRDefault="00851FDE" w:rsidP="00911ABA">
      <w:pPr>
        <w:tabs>
          <w:tab w:val="left" w:pos="720"/>
        </w:tabs>
        <w:outlineLvl w:val="1"/>
        <w:rPr>
          <w:b/>
          <w:szCs w:val="24"/>
        </w:rPr>
      </w:pPr>
    </w:p>
    <w:p w:rsidR="00851FDE" w:rsidRPr="00580923" w:rsidRDefault="00851FDE" w:rsidP="00911ABA">
      <w:pPr>
        <w:ind w:left="720"/>
        <w:outlineLvl w:val="2"/>
        <w:rPr>
          <w:szCs w:val="24"/>
        </w:rPr>
      </w:pPr>
      <w:r w:rsidRPr="00580923">
        <w:rPr>
          <w:szCs w:val="24"/>
        </w:rPr>
        <w:t xml:space="preserve">Risk corridors will be established for Demonstration Years 1, 2, and 3.  </w:t>
      </w:r>
    </w:p>
    <w:p w:rsidR="00851FDE" w:rsidRPr="00580923" w:rsidRDefault="00851FDE" w:rsidP="00911ABA">
      <w:pPr>
        <w:ind w:left="1080"/>
        <w:outlineLvl w:val="2"/>
        <w:rPr>
          <w:szCs w:val="24"/>
        </w:rPr>
      </w:pPr>
    </w:p>
    <w:p w:rsidR="00851FDE" w:rsidRPr="00580923" w:rsidRDefault="00851FDE" w:rsidP="002172B2">
      <w:pPr>
        <w:pStyle w:val="Contract3rdLevelHeading"/>
        <w:numPr>
          <w:ilvl w:val="0"/>
          <w:numId w:val="12"/>
        </w:numPr>
        <w:ind w:hanging="720"/>
        <w:rPr>
          <w:b w:val="0"/>
        </w:rPr>
      </w:pPr>
      <w:bookmarkStart w:id="5" w:name="_Toc360020572"/>
      <w:r w:rsidRPr="00580923">
        <w:t>General</w:t>
      </w:r>
      <w:r w:rsidRPr="00580923">
        <w:rPr>
          <w:b w:val="0"/>
        </w:rPr>
        <w:t xml:space="preserve"> </w:t>
      </w:r>
      <w:r w:rsidRPr="00580923">
        <w:t>Provisions</w:t>
      </w:r>
      <w:bookmarkEnd w:id="5"/>
    </w:p>
    <w:p w:rsidR="00851FDE" w:rsidRPr="00580923" w:rsidRDefault="00851FDE" w:rsidP="00911ABA">
      <w:pPr>
        <w:ind w:left="720"/>
        <w:outlineLvl w:val="2"/>
        <w:rPr>
          <w:b/>
          <w:szCs w:val="24"/>
        </w:rPr>
      </w:pPr>
    </w:p>
    <w:p w:rsidR="00851FDE" w:rsidRPr="00580923" w:rsidRDefault="00851FDE" w:rsidP="00911ABA">
      <w:pPr>
        <w:ind w:left="720" w:firstLine="360"/>
        <w:outlineLvl w:val="2"/>
        <w:rPr>
          <w:szCs w:val="24"/>
        </w:rPr>
      </w:pPr>
      <w:r w:rsidRPr="00580923">
        <w:rPr>
          <w:szCs w:val="24"/>
        </w:rPr>
        <w:t>1.</w:t>
      </w:r>
      <w:r w:rsidRPr="00580923">
        <w:rPr>
          <w:szCs w:val="24"/>
        </w:rPr>
        <w:tab/>
        <w:t>Calculation of Gains and Losses</w:t>
      </w:r>
    </w:p>
    <w:p w:rsidR="00851FDE" w:rsidRPr="00580923" w:rsidRDefault="00851FDE" w:rsidP="00911ABA">
      <w:pPr>
        <w:ind w:left="720"/>
        <w:outlineLvl w:val="2"/>
        <w:rPr>
          <w:b/>
          <w:szCs w:val="24"/>
        </w:rPr>
      </w:pPr>
    </w:p>
    <w:p w:rsidR="00851FDE" w:rsidRPr="00580923" w:rsidRDefault="00851FDE" w:rsidP="00911ABA">
      <w:pPr>
        <w:ind w:left="1440"/>
        <w:outlineLvl w:val="2"/>
        <w:rPr>
          <w:szCs w:val="24"/>
        </w:rPr>
      </w:pPr>
      <w:r w:rsidRPr="00580923">
        <w:rPr>
          <w:szCs w:val="24"/>
        </w:rPr>
        <w:t>The risk-sharing arrangement described in this section of the Contract may result in payment by EOHHS and CMS to the Contractor or by the Contractor to EOHHS and CMS.</w:t>
      </w:r>
    </w:p>
    <w:p w:rsidR="00851FDE" w:rsidRPr="00580923" w:rsidRDefault="00851FDE" w:rsidP="00911ABA">
      <w:pPr>
        <w:ind w:left="720"/>
        <w:outlineLvl w:val="2"/>
        <w:rPr>
          <w:szCs w:val="24"/>
        </w:rPr>
      </w:pPr>
    </w:p>
    <w:p w:rsidR="00851FDE" w:rsidRPr="00580923" w:rsidRDefault="00851FDE" w:rsidP="00911ABA">
      <w:pPr>
        <w:tabs>
          <w:tab w:val="left" w:pos="1800"/>
        </w:tabs>
        <w:ind w:left="1800" w:hanging="360"/>
        <w:outlineLvl w:val="2"/>
        <w:rPr>
          <w:szCs w:val="24"/>
        </w:rPr>
      </w:pPr>
      <w:r w:rsidRPr="00580923">
        <w:rPr>
          <w:szCs w:val="24"/>
        </w:rPr>
        <w:t xml:space="preserve">a.   All payments to be made by EOHHS and CMS to the Contractor or by the Contractor to EOHHS and CMS will be calculated and determined jointly by EOHHS and CMS.  </w:t>
      </w:r>
    </w:p>
    <w:p w:rsidR="00851FDE" w:rsidRPr="00580923" w:rsidRDefault="00851FDE" w:rsidP="00911ABA">
      <w:pPr>
        <w:tabs>
          <w:tab w:val="left" w:pos="1800"/>
        </w:tabs>
        <w:ind w:left="1800" w:hanging="360"/>
        <w:outlineLvl w:val="2"/>
        <w:rPr>
          <w:szCs w:val="24"/>
        </w:rPr>
      </w:pPr>
    </w:p>
    <w:p w:rsidR="00851FDE" w:rsidRPr="00580923" w:rsidRDefault="00851FDE" w:rsidP="00911ABA">
      <w:pPr>
        <w:tabs>
          <w:tab w:val="left" w:pos="1800"/>
        </w:tabs>
        <w:ind w:left="1800" w:hanging="360"/>
        <w:outlineLvl w:val="2"/>
        <w:rPr>
          <w:szCs w:val="24"/>
        </w:rPr>
      </w:pPr>
      <w:r w:rsidRPr="00580923">
        <w:rPr>
          <w:szCs w:val="24"/>
        </w:rPr>
        <w:t>b.</w:t>
      </w:r>
      <w:r w:rsidRPr="00580923">
        <w:rPr>
          <w:szCs w:val="24"/>
        </w:rPr>
        <w:tab/>
        <w:t xml:space="preserve">All calculations, determined jointly by EOHHS and CMS, will be based on the Contractor’s reporting of Actual and Adjusted Service and Non-Service Expenditures, as required in </w:t>
      </w:r>
      <w:r w:rsidRPr="00580923">
        <w:rPr>
          <w:b/>
          <w:szCs w:val="24"/>
        </w:rPr>
        <w:t>Section 4.6.B.4</w:t>
      </w:r>
      <w:r w:rsidRPr="00580923">
        <w:rPr>
          <w:bCs/>
          <w:szCs w:val="24"/>
        </w:rPr>
        <w:t xml:space="preserve"> </w:t>
      </w:r>
      <w:r w:rsidRPr="00580923">
        <w:rPr>
          <w:szCs w:val="24"/>
        </w:rPr>
        <w:t>below.  All financial reporting will be subject to review and/or audit at EOHHS’ and CMS’ discretion.</w:t>
      </w:r>
    </w:p>
    <w:p w:rsidR="00851FDE" w:rsidRPr="00580923" w:rsidRDefault="00851FDE" w:rsidP="00911ABA">
      <w:pPr>
        <w:tabs>
          <w:tab w:val="left" w:pos="1800"/>
        </w:tabs>
        <w:ind w:left="1800" w:hanging="360"/>
        <w:outlineLvl w:val="2"/>
        <w:rPr>
          <w:szCs w:val="24"/>
        </w:rPr>
      </w:pPr>
    </w:p>
    <w:p w:rsidR="00851FDE" w:rsidRPr="00580923" w:rsidRDefault="00851FDE" w:rsidP="00911ABA">
      <w:pPr>
        <w:tabs>
          <w:tab w:val="left" w:pos="1800"/>
        </w:tabs>
        <w:ind w:left="1800" w:hanging="360"/>
        <w:outlineLvl w:val="2"/>
        <w:rPr>
          <w:szCs w:val="24"/>
        </w:rPr>
      </w:pPr>
      <w:r w:rsidRPr="00580923">
        <w:rPr>
          <w:szCs w:val="24"/>
        </w:rPr>
        <w:t>c.</w:t>
      </w:r>
      <w:r w:rsidRPr="00580923">
        <w:rPr>
          <w:szCs w:val="24"/>
        </w:rPr>
        <w:tab/>
        <w:t xml:space="preserve">CMS and EOHHS will perform interim and final settlements of the payments made by the Contractor to CMS and EOHHS, or by CMS and EOHHS to the Contractor, as described in </w:t>
      </w:r>
      <w:r w:rsidRPr="00580923">
        <w:rPr>
          <w:b/>
          <w:szCs w:val="24"/>
        </w:rPr>
        <w:t>Section 4.6.B.4</w:t>
      </w:r>
      <w:r w:rsidRPr="00580923">
        <w:rPr>
          <w:bCs/>
          <w:szCs w:val="24"/>
        </w:rPr>
        <w:t xml:space="preserve"> </w:t>
      </w:r>
      <w:r w:rsidRPr="00580923">
        <w:rPr>
          <w:szCs w:val="24"/>
        </w:rPr>
        <w:t>below.</w:t>
      </w:r>
    </w:p>
    <w:p w:rsidR="00851FDE" w:rsidRPr="00580923" w:rsidRDefault="00851FDE" w:rsidP="00911ABA">
      <w:pPr>
        <w:ind w:left="720"/>
        <w:outlineLvl w:val="2"/>
        <w:rPr>
          <w:b/>
          <w:i/>
          <w:szCs w:val="24"/>
        </w:rPr>
      </w:pPr>
    </w:p>
    <w:p w:rsidR="00851FDE" w:rsidRPr="00580923" w:rsidRDefault="00851FDE" w:rsidP="00911ABA">
      <w:pPr>
        <w:ind w:left="720" w:firstLine="360"/>
        <w:outlineLvl w:val="2"/>
        <w:rPr>
          <w:szCs w:val="24"/>
        </w:rPr>
      </w:pPr>
      <w:r w:rsidRPr="00580923">
        <w:rPr>
          <w:szCs w:val="24"/>
        </w:rPr>
        <w:t>2.</w:t>
      </w:r>
      <w:r w:rsidRPr="00580923">
        <w:rPr>
          <w:szCs w:val="24"/>
        </w:rPr>
        <w:tab/>
        <w:t xml:space="preserve">Allowable Expenditures </w:t>
      </w:r>
    </w:p>
    <w:p w:rsidR="00851FDE" w:rsidRPr="00580923" w:rsidRDefault="00851FDE" w:rsidP="00911ABA">
      <w:pPr>
        <w:rPr>
          <w:szCs w:val="24"/>
        </w:rPr>
      </w:pPr>
    </w:p>
    <w:p w:rsidR="00851FDE" w:rsidRPr="00580923" w:rsidRDefault="00851FDE" w:rsidP="00911ABA">
      <w:pPr>
        <w:tabs>
          <w:tab w:val="left" w:pos="1800"/>
        </w:tabs>
        <w:ind w:left="1800" w:hanging="360"/>
        <w:outlineLvl w:val="2"/>
        <w:rPr>
          <w:szCs w:val="24"/>
        </w:rPr>
      </w:pPr>
      <w:r w:rsidRPr="00580923">
        <w:rPr>
          <w:szCs w:val="24"/>
        </w:rPr>
        <w:t xml:space="preserve">a.  </w:t>
      </w:r>
      <w:r w:rsidRPr="00580923">
        <w:rPr>
          <w:szCs w:val="24"/>
        </w:rPr>
        <w:tab/>
        <w:t xml:space="preserve">CMS and EOHHS shall jointly determine the Adjusted Service Expenditures and the Adjusted Non-Service Expenditures, based on encounter data, cost data, and financial reporting data submitted by the Contractor (as required by </w:t>
      </w:r>
      <w:r w:rsidRPr="00580923">
        <w:rPr>
          <w:b/>
          <w:szCs w:val="24"/>
        </w:rPr>
        <w:t>Section 4.6.B.4 below, and Section 2.15-2.17</w:t>
      </w:r>
      <w:r w:rsidRPr="00580923">
        <w:rPr>
          <w:szCs w:val="24"/>
        </w:rPr>
        <w:t xml:space="preserve"> of this Contract).  CMS and EOHHS reserve the right to audit Actual and Adjusted Service and Non-Service Expenditure data. </w:t>
      </w:r>
    </w:p>
    <w:p w:rsidR="00851FDE" w:rsidRPr="00580923" w:rsidRDefault="00851FDE" w:rsidP="00911ABA">
      <w:pPr>
        <w:ind w:left="720"/>
        <w:outlineLvl w:val="2"/>
        <w:rPr>
          <w:szCs w:val="24"/>
        </w:rPr>
      </w:pPr>
    </w:p>
    <w:p w:rsidR="00851FDE" w:rsidRPr="00580923" w:rsidRDefault="00851FDE" w:rsidP="00911ABA">
      <w:pPr>
        <w:ind w:left="1800" w:hanging="360"/>
        <w:outlineLvl w:val="2"/>
        <w:rPr>
          <w:szCs w:val="24"/>
        </w:rPr>
      </w:pPr>
      <w:r w:rsidRPr="00580923">
        <w:rPr>
          <w:szCs w:val="24"/>
        </w:rPr>
        <w:t>b.   CMS, EOHHS, and the Contractor agree that to the extent there are differences in expenditure data reported across various sources, including the encounter, cost, financial reporting, or other data submitted by the Contractor, CMS, EOHHS and the Contractor will confer and make a good faith effort to reconcile those differences before the calculation of the interim and final settlements.</w:t>
      </w:r>
    </w:p>
    <w:p w:rsidR="00851FDE" w:rsidRPr="00580923" w:rsidRDefault="00851FDE" w:rsidP="00911ABA">
      <w:pPr>
        <w:ind w:left="1800"/>
        <w:outlineLvl w:val="2"/>
        <w:rPr>
          <w:szCs w:val="24"/>
        </w:rPr>
      </w:pPr>
    </w:p>
    <w:p w:rsidR="00851FDE" w:rsidRPr="00580923" w:rsidRDefault="00851FDE" w:rsidP="00911ABA">
      <w:pPr>
        <w:ind w:left="1800"/>
        <w:outlineLvl w:val="2"/>
        <w:rPr>
          <w:szCs w:val="24"/>
        </w:rPr>
      </w:pPr>
      <w:r w:rsidRPr="00580923">
        <w:rPr>
          <w:szCs w:val="24"/>
        </w:rPr>
        <w:t xml:space="preserve">The review procedures may include a review of the Contractor’s encounter data and/or audit, to be performed by the CMS and/or EOHHS, or either party’s authorized agents, to verify that all paid claims for Enrollees by the Contractor are for Covered Services and/or that provider reimbursement is not excessive. </w:t>
      </w:r>
    </w:p>
    <w:p w:rsidR="00851FDE" w:rsidRPr="00580923" w:rsidRDefault="00851FDE" w:rsidP="00911ABA">
      <w:pPr>
        <w:ind w:left="1800"/>
        <w:outlineLvl w:val="2"/>
        <w:rPr>
          <w:szCs w:val="24"/>
        </w:rPr>
      </w:pPr>
    </w:p>
    <w:p w:rsidR="00851FDE" w:rsidRPr="00580923" w:rsidRDefault="00851FDE" w:rsidP="00911ABA">
      <w:pPr>
        <w:ind w:left="1800" w:hanging="360"/>
        <w:outlineLvl w:val="2"/>
        <w:rPr>
          <w:szCs w:val="24"/>
        </w:rPr>
      </w:pPr>
      <w:r w:rsidRPr="00580923">
        <w:rPr>
          <w:szCs w:val="24"/>
        </w:rPr>
        <w:t>c.   EOHHS and CMS reserve the right to adjust expenditures for services that are reimbursed at more than 5% above the average reimbursement rate of all ICOs.  Notwithstanding any contractual provision or legal right to the contrary, the Contractor agrees that there shall be no redress against CMS or EOHHS for a determination to adjust or a failure to adjust expenditures for services of any ICO.</w:t>
      </w:r>
    </w:p>
    <w:p w:rsidR="00851FDE" w:rsidRPr="00580923" w:rsidRDefault="00851FDE" w:rsidP="00911ABA">
      <w:pPr>
        <w:ind w:left="720"/>
        <w:outlineLvl w:val="2"/>
        <w:rPr>
          <w:b/>
          <w:szCs w:val="24"/>
        </w:rPr>
      </w:pPr>
    </w:p>
    <w:p w:rsidR="00851FDE" w:rsidRPr="00580923" w:rsidRDefault="00851FDE" w:rsidP="008B0F9B">
      <w:pPr>
        <w:pStyle w:val="Contract3rdLevelHeading"/>
        <w:numPr>
          <w:ilvl w:val="0"/>
          <w:numId w:val="12"/>
        </w:numPr>
        <w:ind w:hanging="720"/>
        <w:rPr>
          <w:b w:val="0"/>
        </w:rPr>
      </w:pPr>
      <w:bookmarkStart w:id="6" w:name="_Toc360020573"/>
      <w:r w:rsidRPr="00580923">
        <w:t>Aggregate</w:t>
      </w:r>
      <w:r w:rsidRPr="00580923">
        <w:rPr>
          <w:b w:val="0"/>
        </w:rPr>
        <w:t xml:space="preserve"> </w:t>
      </w:r>
      <w:r w:rsidRPr="00580923">
        <w:t>Risk Sharing Corridors</w:t>
      </w:r>
      <w:bookmarkEnd w:id="6"/>
    </w:p>
    <w:p w:rsidR="00851FDE" w:rsidRPr="00580923" w:rsidRDefault="00851FDE" w:rsidP="00911ABA">
      <w:pPr>
        <w:ind w:left="720"/>
        <w:outlineLvl w:val="2"/>
        <w:rPr>
          <w:b/>
          <w:szCs w:val="24"/>
        </w:rPr>
      </w:pPr>
    </w:p>
    <w:p w:rsidR="00851FDE" w:rsidRPr="00580923" w:rsidRDefault="00851FDE" w:rsidP="00911ABA">
      <w:pPr>
        <w:tabs>
          <w:tab w:val="left" w:pos="1080"/>
        </w:tabs>
        <w:ind w:left="1080"/>
        <w:outlineLvl w:val="2"/>
        <w:rPr>
          <w:szCs w:val="24"/>
        </w:rPr>
      </w:pPr>
      <w:r w:rsidRPr="00580923">
        <w:rPr>
          <w:szCs w:val="24"/>
        </w:rPr>
        <w:lastRenderedPageBreak/>
        <w:t xml:space="preserve">The Demonstration will utilize a tiered Contractor-level symmetrical risk corridor to include all Medicare A/B and Medicaid eligible Adjusted Service and Non-Service Expenditures.  The risk corridors will be reconciled after application of any HCRP or risk adjustment methodologies (e.g. CMS-HCC), and as if all Contractors had received the full quality withhold payment. </w:t>
      </w:r>
    </w:p>
    <w:p w:rsidR="00851FDE" w:rsidRPr="00580923" w:rsidRDefault="00851FDE" w:rsidP="00911ABA">
      <w:pPr>
        <w:ind w:left="720"/>
        <w:outlineLvl w:val="2"/>
        <w:rPr>
          <w:szCs w:val="24"/>
        </w:rPr>
      </w:pPr>
    </w:p>
    <w:p w:rsidR="00851FDE" w:rsidRPr="00580923" w:rsidRDefault="00851FDE" w:rsidP="00911ABA">
      <w:pPr>
        <w:numPr>
          <w:ilvl w:val="0"/>
          <w:numId w:val="1"/>
        </w:numPr>
        <w:outlineLvl w:val="2"/>
        <w:rPr>
          <w:szCs w:val="24"/>
        </w:rPr>
      </w:pPr>
      <w:r w:rsidRPr="00580923">
        <w:rPr>
          <w:szCs w:val="24"/>
        </w:rPr>
        <w:t>Risk Corridor Share</w:t>
      </w:r>
    </w:p>
    <w:p w:rsidR="00851FDE" w:rsidRPr="00580923" w:rsidRDefault="00851FDE" w:rsidP="00911ABA">
      <w:pPr>
        <w:ind w:left="720"/>
        <w:outlineLvl w:val="2"/>
        <w:rPr>
          <w:szCs w:val="24"/>
        </w:rPr>
      </w:pPr>
    </w:p>
    <w:p w:rsidR="00851FDE" w:rsidRPr="00580923" w:rsidRDefault="00851FDE" w:rsidP="00911ABA">
      <w:pPr>
        <w:ind w:left="1440"/>
        <w:outlineLvl w:val="2"/>
        <w:rPr>
          <w:szCs w:val="24"/>
        </w:rPr>
      </w:pPr>
      <w:r w:rsidRPr="00580923">
        <w:rPr>
          <w:szCs w:val="24"/>
        </w:rPr>
        <w:t xml:space="preserve">The Medicare and Medicaid contributions to risk corridor payments or recoupments will be in proportion to their contributions to the Adjusted Capitation Rate Revenue. Losses and gains will be determined using the Risk Corridor Percentage. </w:t>
      </w:r>
    </w:p>
    <w:p w:rsidR="00851FDE" w:rsidRPr="00580923" w:rsidRDefault="00851FDE" w:rsidP="00911ABA">
      <w:pPr>
        <w:ind w:left="720"/>
        <w:outlineLvl w:val="2"/>
        <w:rPr>
          <w:szCs w:val="24"/>
        </w:rPr>
      </w:pPr>
      <w:r w:rsidRPr="00580923">
        <w:rPr>
          <w:szCs w:val="24"/>
        </w:rPr>
        <w:t xml:space="preserve"> </w:t>
      </w:r>
    </w:p>
    <w:p w:rsidR="00851FDE" w:rsidRPr="00580923" w:rsidRDefault="00851FDE" w:rsidP="00911ABA">
      <w:pPr>
        <w:ind w:left="1080"/>
        <w:outlineLvl w:val="2"/>
        <w:rPr>
          <w:b/>
          <w:i/>
          <w:szCs w:val="24"/>
        </w:rPr>
      </w:pPr>
      <w:r w:rsidRPr="00580923">
        <w:rPr>
          <w:szCs w:val="24"/>
        </w:rPr>
        <w:t>2.</w:t>
      </w:r>
      <w:r w:rsidRPr="00580923">
        <w:rPr>
          <w:szCs w:val="24"/>
        </w:rPr>
        <w:tab/>
        <w:t>Risk Corridor Percentage and Payment/Recoupment</w:t>
      </w:r>
      <w:r w:rsidRPr="00580923">
        <w:rPr>
          <w:b/>
          <w:i/>
          <w:szCs w:val="24"/>
        </w:rPr>
        <w:t xml:space="preserve"> </w:t>
      </w:r>
      <w:r w:rsidRPr="00580923">
        <w:rPr>
          <w:b/>
          <w:i/>
          <w:szCs w:val="24"/>
        </w:rPr>
        <w:br/>
      </w:r>
    </w:p>
    <w:p w:rsidR="00851FDE" w:rsidRPr="00580923" w:rsidRDefault="00851FDE" w:rsidP="003645E1">
      <w:pPr>
        <w:ind w:left="1800" w:hanging="360"/>
        <w:outlineLvl w:val="2"/>
        <w:rPr>
          <w:szCs w:val="24"/>
        </w:rPr>
      </w:pPr>
      <w:r w:rsidRPr="00580923">
        <w:rPr>
          <w:szCs w:val="24"/>
        </w:rPr>
        <w:t xml:space="preserve">a. </w:t>
      </w:r>
      <w:r w:rsidRPr="00580923">
        <w:rPr>
          <w:szCs w:val="24"/>
        </w:rPr>
        <w:tab/>
        <w:t>Demonstration Year 1</w:t>
      </w:r>
      <w:r>
        <w:rPr>
          <w:szCs w:val="24"/>
        </w:rPr>
        <w:t xml:space="preserve"> - If the Contractor participates in the Demonstration </w:t>
      </w:r>
      <w:r w:rsidRPr="001676BB">
        <w:rPr>
          <w:szCs w:val="24"/>
        </w:rPr>
        <w:t>at least through June 30, 2015</w:t>
      </w:r>
      <w:r>
        <w:rPr>
          <w:szCs w:val="24"/>
        </w:rPr>
        <w:t>, the following risk corridors apply for the experience during Demonstration Year 1:</w:t>
      </w:r>
    </w:p>
    <w:p w:rsidR="00851FDE" w:rsidRPr="00580923" w:rsidRDefault="00851FDE" w:rsidP="00911ABA">
      <w:pPr>
        <w:ind w:left="1080"/>
        <w:outlineLvl w:val="2"/>
        <w:rPr>
          <w:b/>
          <w:i/>
          <w:szCs w:val="24"/>
        </w:rPr>
      </w:pPr>
    </w:p>
    <w:p w:rsidR="00851FDE" w:rsidRPr="00580923" w:rsidRDefault="00851FDE" w:rsidP="00DD674E">
      <w:pPr>
        <w:pStyle w:val="RFR-Level6-1"/>
        <w:rPr>
          <w:szCs w:val="24"/>
        </w:rPr>
      </w:pPr>
      <w:r w:rsidRPr="00580923">
        <w:rPr>
          <w:szCs w:val="24"/>
        </w:rPr>
        <w:t>(1)</w:t>
      </w:r>
      <w:r w:rsidRPr="00580923">
        <w:rPr>
          <w:szCs w:val="24"/>
        </w:rPr>
        <w:tab/>
        <w:t xml:space="preserve">For the portion of gains and/or losses of 0 through 1.0%, the Contractor bears 100% of the gain/loss. For the portion of gains and/or losses of 1.1% through </w:t>
      </w:r>
      <w:r>
        <w:rPr>
          <w:szCs w:val="24"/>
        </w:rPr>
        <w:t>10</w:t>
      </w:r>
      <w:r w:rsidRPr="00580923">
        <w:rPr>
          <w:szCs w:val="24"/>
        </w:rPr>
        <w:t xml:space="preserve">.0%, the Contractor bears 10% of the gain/loss and EOHHS and CMS share in the other 90%, as described in </w:t>
      </w:r>
      <w:r w:rsidRPr="00580923">
        <w:rPr>
          <w:b/>
          <w:szCs w:val="24"/>
        </w:rPr>
        <w:t>Section 4.6.B.1</w:t>
      </w:r>
      <w:r w:rsidRPr="00580923">
        <w:rPr>
          <w:szCs w:val="24"/>
        </w:rPr>
        <w:t>.  For the portion of gains and/or losses of</w:t>
      </w:r>
      <w:r>
        <w:rPr>
          <w:szCs w:val="24"/>
        </w:rPr>
        <w:t xml:space="preserve"> 10.1%</w:t>
      </w:r>
      <w:r w:rsidRPr="00580923">
        <w:rPr>
          <w:szCs w:val="24"/>
        </w:rPr>
        <w:t xml:space="preserve"> through 20.0%, the Contractor bears 50% of the gain/loss and EOHHS and CMS share in the other 50%, as described in </w:t>
      </w:r>
      <w:r w:rsidRPr="00580923">
        <w:rPr>
          <w:b/>
          <w:szCs w:val="24"/>
        </w:rPr>
        <w:t>Section 4.6.B.1</w:t>
      </w:r>
      <w:r w:rsidRPr="00580923">
        <w:rPr>
          <w:szCs w:val="24"/>
        </w:rPr>
        <w:t xml:space="preserve">. As further described in </w:t>
      </w:r>
      <w:r w:rsidRPr="00580923">
        <w:rPr>
          <w:b/>
          <w:szCs w:val="24"/>
        </w:rPr>
        <w:t>Section 4.6.B.2.a.(2) and 4.6.B.2.a.(</w:t>
      </w:r>
      <w:r w:rsidRPr="003B655A">
        <w:rPr>
          <w:b/>
          <w:szCs w:val="24"/>
        </w:rPr>
        <w:t>8</w:t>
      </w:r>
      <w:r w:rsidRPr="00580923">
        <w:rPr>
          <w:b/>
          <w:szCs w:val="24"/>
        </w:rPr>
        <w:t>)</w:t>
      </w:r>
      <w:r w:rsidRPr="00580923">
        <w:rPr>
          <w:szCs w:val="24"/>
        </w:rPr>
        <w:t xml:space="preserve"> below, for the portion of gains and/or losses of greater than 20.0%, the Contractor bears 100% of the gain/loss.</w:t>
      </w:r>
    </w:p>
    <w:p w:rsidR="00851FDE" w:rsidRPr="00580923" w:rsidRDefault="00851FDE" w:rsidP="00911ABA">
      <w:pPr>
        <w:ind w:left="720"/>
        <w:outlineLvl w:val="2"/>
        <w:rPr>
          <w:szCs w:val="24"/>
        </w:rPr>
      </w:pPr>
    </w:p>
    <w:p w:rsidR="00851FDE" w:rsidRDefault="00851FDE" w:rsidP="00DD674E">
      <w:pPr>
        <w:ind w:left="2160" w:hanging="360"/>
        <w:outlineLvl w:val="2"/>
        <w:rPr>
          <w:szCs w:val="24"/>
        </w:rPr>
      </w:pPr>
      <w:r>
        <w:rPr>
          <w:szCs w:val="24"/>
        </w:rPr>
        <w:t>(2)</w:t>
      </w:r>
      <w:r w:rsidRPr="00580923">
        <w:rPr>
          <w:szCs w:val="24"/>
        </w:rPr>
        <w:t xml:space="preserve"> </w:t>
      </w:r>
      <w:r w:rsidRPr="00580923">
        <w:rPr>
          <w:szCs w:val="24"/>
        </w:rPr>
        <w:tab/>
        <w:t xml:space="preserve">For Risk Corridor Percentages greater than 120.0%, EOHHS and CMS will make payment to the Contractor of </w:t>
      </w:r>
      <w:r>
        <w:rPr>
          <w:szCs w:val="24"/>
        </w:rPr>
        <w:t>13.1%</w:t>
      </w:r>
      <w:r w:rsidRPr="00580923">
        <w:rPr>
          <w:szCs w:val="24"/>
        </w:rPr>
        <w:t xml:space="preserve"> of the Adjusted Capitation Rate Revenue, with the share of the payment made by EOHHS and CMS as described in </w:t>
      </w:r>
      <w:r w:rsidRPr="00580923">
        <w:rPr>
          <w:b/>
          <w:szCs w:val="24"/>
        </w:rPr>
        <w:t>Section 4.6.B.1</w:t>
      </w:r>
      <w:r w:rsidRPr="00580923">
        <w:rPr>
          <w:szCs w:val="24"/>
        </w:rPr>
        <w:t xml:space="preserve"> above. The Contractor is at full financial risk for amounts greater than 120.0%. </w:t>
      </w:r>
      <w:r w:rsidRPr="00580923">
        <w:rPr>
          <w:szCs w:val="24"/>
        </w:rPr>
        <w:tab/>
      </w:r>
    </w:p>
    <w:p w:rsidR="00851FDE" w:rsidRDefault="00851FDE" w:rsidP="00DD674E">
      <w:pPr>
        <w:ind w:left="2160" w:hanging="360"/>
        <w:outlineLvl w:val="2"/>
        <w:rPr>
          <w:szCs w:val="24"/>
        </w:rPr>
      </w:pPr>
    </w:p>
    <w:p w:rsidR="00851FDE" w:rsidRPr="00580923" w:rsidRDefault="00851FDE" w:rsidP="00342DDB">
      <w:pPr>
        <w:ind w:left="2160" w:hanging="360"/>
        <w:outlineLvl w:val="2"/>
        <w:rPr>
          <w:szCs w:val="24"/>
        </w:rPr>
      </w:pPr>
      <w:r>
        <w:rPr>
          <w:szCs w:val="24"/>
        </w:rPr>
        <w:t xml:space="preserve">(3)  </w:t>
      </w:r>
      <w:r w:rsidRPr="00580923">
        <w:rPr>
          <w:szCs w:val="24"/>
        </w:rPr>
        <w:t xml:space="preserve">For Risk Corridor Percentages of </w:t>
      </w:r>
      <w:r>
        <w:rPr>
          <w:szCs w:val="24"/>
        </w:rPr>
        <w:t>110.1</w:t>
      </w:r>
      <w:r w:rsidRPr="00580923">
        <w:rPr>
          <w:szCs w:val="24"/>
        </w:rPr>
        <w:t xml:space="preserve">% through 120.0% , EOHHS and CMS will make payment to the Contractor equaling the Adjusted Capitation Rate Revenue multiplied by 50% of [Risk Corridor Percentage minus </w:t>
      </w:r>
      <w:r>
        <w:rPr>
          <w:szCs w:val="24"/>
        </w:rPr>
        <w:t>110.0</w:t>
      </w:r>
      <w:r w:rsidRPr="00580923">
        <w:rPr>
          <w:szCs w:val="24"/>
        </w:rPr>
        <w:t xml:space="preserve">%], plus the amount described in Section </w:t>
      </w:r>
      <w:r w:rsidRPr="00580923">
        <w:rPr>
          <w:b/>
          <w:szCs w:val="24"/>
        </w:rPr>
        <w:t>4.6.B.2.a(4)</w:t>
      </w:r>
      <w:r w:rsidRPr="00580923">
        <w:rPr>
          <w:szCs w:val="24"/>
        </w:rPr>
        <w:t xml:space="preserve">, with the share of the payment made by EOHHS and CMS as described in </w:t>
      </w:r>
      <w:r w:rsidRPr="00580923">
        <w:rPr>
          <w:b/>
          <w:szCs w:val="24"/>
        </w:rPr>
        <w:t>Section 4.6.B.1</w:t>
      </w:r>
      <w:r w:rsidRPr="00580923">
        <w:rPr>
          <w:szCs w:val="24"/>
        </w:rPr>
        <w:t xml:space="preserve"> above. </w:t>
      </w:r>
    </w:p>
    <w:p w:rsidR="00851FDE" w:rsidRPr="00580923" w:rsidRDefault="00851FDE" w:rsidP="00DD674E">
      <w:pPr>
        <w:ind w:left="2160" w:hanging="360"/>
        <w:outlineLvl w:val="2"/>
        <w:rPr>
          <w:szCs w:val="24"/>
        </w:rPr>
      </w:pPr>
    </w:p>
    <w:p w:rsidR="00851FDE" w:rsidRPr="00580923" w:rsidRDefault="00851FDE" w:rsidP="00DD674E">
      <w:pPr>
        <w:ind w:left="2160" w:hanging="360"/>
        <w:outlineLvl w:val="2"/>
        <w:rPr>
          <w:szCs w:val="24"/>
        </w:rPr>
      </w:pPr>
      <w:r>
        <w:rPr>
          <w:szCs w:val="24"/>
        </w:rPr>
        <w:lastRenderedPageBreak/>
        <w:t>(4)</w:t>
      </w:r>
      <w:r w:rsidRPr="00580923">
        <w:rPr>
          <w:szCs w:val="24"/>
        </w:rPr>
        <w:t xml:space="preserve"> </w:t>
      </w:r>
      <w:r w:rsidRPr="00580923">
        <w:rPr>
          <w:szCs w:val="24"/>
        </w:rPr>
        <w:tab/>
        <w:t xml:space="preserve">For Risk Corridor Percentages of 101.1% through </w:t>
      </w:r>
      <w:r>
        <w:rPr>
          <w:szCs w:val="24"/>
        </w:rPr>
        <w:t>110.0%</w:t>
      </w:r>
      <w:r w:rsidRPr="00580923">
        <w:rPr>
          <w:szCs w:val="24"/>
        </w:rPr>
        <w:t xml:space="preserve">, EOHHS and CMS will make payment to the Contractor equaling the Adjusted Capitation Rate Revenue multiplied by 90% of [Risk Corridor Percentage minus 101.0%], with the share of the payment made by EOHHS and CMS as described in </w:t>
      </w:r>
      <w:r w:rsidRPr="00580923">
        <w:rPr>
          <w:b/>
          <w:szCs w:val="24"/>
        </w:rPr>
        <w:t>Section 4.6.B.1</w:t>
      </w:r>
      <w:r w:rsidRPr="00580923">
        <w:rPr>
          <w:szCs w:val="24"/>
        </w:rPr>
        <w:t xml:space="preserve"> above.</w:t>
      </w:r>
    </w:p>
    <w:p w:rsidR="00851FDE" w:rsidRPr="00580923" w:rsidRDefault="00851FDE" w:rsidP="00DD674E">
      <w:pPr>
        <w:ind w:left="2160" w:hanging="360"/>
        <w:outlineLvl w:val="2"/>
        <w:rPr>
          <w:szCs w:val="24"/>
        </w:rPr>
      </w:pPr>
    </w:p>
    <w:p w:rsidR="00851FDE" w:rsidRPr="00580923" w:rsidRDefault="00851FDE" w:rsidP="00DD674E">
      <w:pPr>
        <w:ind w:left="2160" w:hanging="360"/>
        <w:outlineLvl w:val="2"/>
        <w:rPr>
          <w:szCs w:val="24"/>
        </w:rPr>
      </w:pPr>
      <w:r>
        <w:rPr>
          <w:szCs w:val="24"/>
        </w:rPr>
        <w:t>(5)</w:t>
      </w:r>
      <w:r w:rsidRPr="00580923">
        <w:rPr>
          <w:szCs w:val="24"/>
        </w:rPr>
        <w:t xml:space="preserve">  For Risk Corridor Percentages of 99.0% through 101.0%, no payment will be made by EOHHS and CMS to the Contractor, or by the Contractor to EOHHS and CMS. </w:t>
      </w:r>
    </w:p>
    <w:p w:rsidR="00851FDE" w:rsidRDefault="00851FDE" w:rsidP="00DD674E">
      <w:pPr>
        <w:ind w:left="2160" w:hanging="360"/>
        <w:outlineLvl w:val="2"/>
        <w:rPr>
          <w:szCs w:val="24"/>
        </w:rPr>
      </w:pPr>
    </w:p>
    <w:p w:rsidR="00851FDE" w:rsidRPr="00580923" w:rsidRDefault="00851FDE" w:rsidP="001B3BF6">
      <w:pPr>
        <w:ind w:left="2160" w:hanging="360"/>
        <w:outlineLvl w:val="2"/>
        <w:rPr>
          <w:szCs w:val="24"/>
        </w:rPr>
      </w:pPr>
      <w:r>
        <w:rPr>
          <w:szCs w:val="24"/>
        </w:rPr>
        <w:t>(6)</w:t>
      </w:r>
      <w:r w:rsidRPr="00580923">
        <w:rPr>
          <w:szCs w:val="24"/>
        </w:rPr>
        <w:t xml:space="preserve"> </w:t>
      </w:r>
      <w:r w:rsidRPr="00580923">
        <w:rPr>
          <w:szCs w:val="24"/>
        </w:rPr>
        <w:tab/>
        <w:t xml:space="preserve">For Risk Corridor Percentages of </w:t>
      </w:r>
      <w:r>
        <w:rPr>
          <w:szCs w:val="24"/>
        </w:rPr>
        <w:t>90.0</w:t>
      </w:r>
      <w:r w:rsidRPr="00580923">
        <w:rPr>
          <w:szCs w:val="24"/>
        </w:rPr>
        <w:t xml:space="preserve">% through </w:t>
      </w:r>
      <w:r>
        <w:rPr>
          <w:szCs w:val="24"/>
        </w:rPr>
        <w:t>98.9%</w:t>
      </w:r>
      <w:r w:rsidRPr="00580923">
        <w:rPr>
          <w:szCs w:val="24"/>
        </w:rPr>
        <w:t xml:space="preserve">, </w:t>
      </w:r>
      <w:r>
        <w:rPr>
          <w:szCs w:val="24"/>
        </w:rPr>
        <w:t>the Contractor</w:t>
      </w:r>
      <w:r w:rsidRPr="00580923">
        <w:rPr>
          <w:szCs w:val="24"/>
        </w:rPr>
        <w:t xml:space="preserve"> will make payment to </w:t>
      </w:r>
      <w:r>
        <w:rPr>
          <w:szCs w:val="24"/>
        </w:rPr>
        <w:t xml:space="preserve">EOHHS and CMS </w:t>
      </w:r>
      <w:r w:rsidRPr="00580923">
        <w:rPr>
          <w:szCs w:val="24"/>
        </w:rPr>
        <w:t xml:space="preserve">equaling the Adjusted Capitation Rate Revenue multiplied by 90% of [Risk Corridor Percentage minus </w:t>
      </w:r>
      <w:r>
        <w:rPr>
          <w:szCs w:val="24"/>
        </w:rPr>
        <w:t>89.9</w:t>
      </w:r>
      <w:r w:rsidRPr="00580923">
        <w:rPr>
          <w:szCs w:val="24"/>
        </w:rPr>
        <w:t xml:space="preserve">%], with the share of the payment made </w:t>
      </w:r>
      <w:r>
        <w:rPr>
          <w:szCs w:val="24"/>
        </w:rPr>
        <w:t>to</w:t>
      </w:r>
      <w:r w:rsidRPr="00580923">
        <w:rPr>
          <w:szCs w:val="24"/>
        </w:rPr>
        <w:t xml:space="preserve"> EOHHS and CMS as described in </w:t>
      </w:r>
      <w:r w:rsidRPr="00580923">
        <w:rPr>
          <w:b/>
          <w:szCs w:val="24"/>
        </w:rPr>
        <w:t>Section 4.6.B.1</w:t>
      </w:r>
      <w:r w:rsidRPr="00580923">
        <w:rPr>
          <w:szCs w:val="24"/>
        </w:rPr>
        <w:t xml:space="preserve"> above.</w:t>
      </w:r>
    </w:p>
    <w:p w:rsidR="00851FDE" w:rsidRPr="00580923" w:rsidRDefault="00851FDE" w:rsidP="00DD674E">
      <w:pPr>
        <w:ind w:left="2160" w:hanging="360"/>
        <w:outlineLvl w:val="2"/>
        <w:rPr>
          <w:szCs w:val="24"/>
        </w:rPr>
      </w:pPr>
    </w:p>
    <w:p w:rsidR="00851FDE" w:rsidRPr="00580923" w:rsidRDefault="00851FDE" w:rsidP="00523A75">
      <w:pPr>
        <w:ind w:left="2160" w:hanging="360"/>
        <w:outlineLvl w:val="2"/>
        <w:rPr>
          <w:szCs w:val="24"/>
        </w:rPr>
      </w:pPr>
      <w:r>
        <w:rPr>
          <w:szCs w:val="24"/>
        </w:rPr>
        <w:t xml:space="preserve">(7)  </w:t>
      </w:r>
      <w:r w:rsidRPr="00580923">
        <w:rPr>
          <w:szCs w:val="24"/>
        </w:rPr>
        <w:t xml:space="preserve">For Risk Corridor Percentages of </w:t>
      </w:r>
      <w:r>
        <w:rPr>
          <w:szCs w:val="24"/>
        </w:rPr>
        <w:t>80.0</w:t>
      </w:r>
      <w:r w:rsidRPr="00580923">
        <w:rPr>
          <w:szCs w:val="24"/>
        </w:rPr>
        <w:t xml:space="preserve">% through </w:t>
      </w:r>
      <w:r>
        <w:rPr>
          <w:szCs w:val="24"/>
        </w:rPr>
        <w:t>89.9%</w:t>
      </w:r>
      <w:r w:rsidRPr="00580923">
        <w:rPr>
          <w:szCs w:val="24"/>
        </w:rPr>
        <w:t xml:space="preserve">, </w:t>
      </w:r>
      <w:r>
        <w:rPr>
          <w:szCs w:val="24"/>
        </w:rPr>
        <w:t>the Contractor</w:t>
      </w:r>
      <w:r w:rsidRPr="00580923">
        <w:rPr>
          <w:szCs w:val="24"/>
        </w:rPr>
        <w:t xml:space="preserve"> will make payment to </w:t>
      </w:r>
      <w:r>
        <w:rPr>
          <w:szCs w:val="24"/>
        </w:rPr>
        <w:t xml:space="preserve">EOHHS and CMS </w:t>
      </w:r>
      <w:r w:rsidRPr="00580923">
        <w:rPr>
          <w:szCs w:val="24"/>
        </w:rPr>
        <w:t xml:space="preserve">equaling the Adjusted Capitation Rate Revenue multiplied by 50% of [Risk Corridor Percentage minus </w:t>
      </w:r>
      <w:r>
        <w:rPr>
          <w:szCs w:val="24"/>
        </w:rPr>
        <w:t>79.9</w:t>
      </w:r>
      <w:r w:rsidRPr="00580923">
        <w:rPr>
          <w:szCs w:val="24"/>
        </w:rPr>
        <w:t xml:space="preserve">%], plus the amount described in Section </w:t>
      </w:r>
      <w:r w:rsidRPr="00580923">
        <w:rPr>
          <w:b/>
          <w:szCs w:val="24"/>
        </w:rPr>
        <w:t>4.6.B.2.a(</w:t>
      </w:r>
      <w:r>
        <w:rPr>
          <w:b/>
          <w:szCs w:val="24"/>
        </w:rPr>
        <w:t>6</w:t>
      </w:r>
      <w:r w:rsidRPr="00580923">
        <w:rPr>
          <w:b/>
          <w:szCs w:val="24"/>
        </w:rPr>
        <w:t>)</w:t>
      </w:r>
      <w:r w:rsidRPr="00580923">
        <w:rPr>
          <w:szCs w:val="24"/>
        </w:rPr>
        <w:t xml:space="preserve">, with the share of the payment made </w:t>
      </w:r>
      <w:r>
        <w:rPr>
          <w:szCs w:val="24"/>
        </w:rPr>
        <w:t>to</w:t>
      </w:r>
      <w:r w:rsidRPr="00580923">
        <w:rPr>
          <w:szCs w:val="24"/>
        </w:rPr>
        <w:t xml:space="preserve"> EOHHS and CMS as described in </w:t>
      </w:r>
      <w:r w:rsidRPr="00580923">
        <w:rPr>
          <w:b/>
          <w:szCs w:val="24"/>
        </w:rPr>
        <w:t>Section 4.6.B.1</w:t>
      </w:r>
      <w:r w:rsidRPr="00580923">
        <w:rPr>
          <w:szCs w:val="24"/>
        </w:rPr>
        <w:t xml:space="preserve"> above. </w:t>
      </w:r>
    </w:p>
    <w:p w:rsidR="00851FDE" w:rsidRDefault="00851FDE" w:rsidP="00DD674E">
      <w:pPr>
        <w:ind w:left="2160" w:hanging="360"/>
        <w:outlineLvl w:val="2"/>
        <w:rPr>
          <w:szCs w:val="24"/>
        </w:rPr>
      </w:pPr>
    </w:p>
    <w:p w:rsidR="00851FDE" w:rsidRDefault="00851FDE" w:rsidP="00DD674E">
      <w:pPr>
        <w:ind w:left="2160" w:hanging="360"/>
        <w:outlineLvl w:val="2"/>
        <w:rPr>
          <w:szCs w:val="24"/>
        </w:rPr>
      </w:pPr>
      <w:r w:rsidRPr="00580923">
        <w:rPr>
          <w:szCs w:val="24"/>
        </w:rPr>
        <w:t xml:space="preserve">(8) </w:t>
      </w:r>
      <w:r w:rsidRPr="00580923">
        <w:rPr>
          <w:szCs w:val="24"/>
        </w:rPr>
        <w:tab/>
        <w:t>For Risk Corridor Percentages less than 80.0%, the Contractor will make payment to EOHHS</w:t>
      </w:r>
      <w:r>
        <w:rPr>
          <w:szCs w:val="24"/>
        </w:rPr>
        <w:t xml:space="preserve"> and CMS</w:t>
      </w:r>
      <w:r w:rsidRPr="00580923">
        <w:rPr>
          <w:szCs w:val="24"/>
        </w:rPr>
        <w:t xml:space="preserve"> of </w:t>
      </w:r>
      <w:r>
        <w:rPr>
          <w:szCs w:val="24"/>
        </w:rPr>
        <w:t>13.1%</w:t>
      </w:r>
      <w:r w:rsidRPr="00580923">
        <w:rPr>
          <w:szCs w:val="24"/>
        </w:rPr>
        <w:t xml:space="preserve"> of the Adjusted Capitation Rate Revenue, with the share of the payment made </w:t>
      </w:r>
      <w:r>
        <w:rPr>
          <w:szCs w:val="24"/>
        </w:rPr>
        <w:t>to</w:t>
      </w:r>
      <w:r w:rsidRPr="00580923">
        <w:rPr>
          <w:szCs w:val="24"/>
        </w:rPr>
        <w:t xml:space="preserve"> EOHHS and CMS as described in </w:t>
      </w:r>
      <w:r w:rsidRPr="00580923">
        <w:rPr>
          <w:b/>
          <w:szCs w:val="24"/>
        </w:rPr>
        <w:t xml:space="preserve">Section 4.6.B.1 </w:t>
      </w:r>
      <w:r w:rsidRPr="00580923">
        <w:rPr>
          <w:szCs w:val="24"/>
        </w:rPr>
        <w:t>above. The Contractor is not obligated to make any additional payment for amounts below 80.0%.</w:t>
      </w:r>
    </w:p>
    <w:p w:rsidR="00851FDE" w:rsidRPr="00580923" w:rsidRDefault="00851FDE" w:rsidP="00DD674E">
      <w:pPr>
        <w:ind w:left="2160" w:hanging="360"/>
        <w:outlineLvl w:val="2"/>
        <w:rPr>
          <w:szCs w:val="24"/>
        </w:rPr>
      </w:pPr>
    </w:p>
    <w:p w:rsidR="00851FDE" w:rsidRPr="00580923" w:rsidRDefault="00851FDE" w:rsidP="005768EA">
      <w:pPr>
        <w:ind w:left="1800" w:hanging="360"/>
        <w:outlineLvl w:val="2"/>
        <w:rPr>
          <w:szCs w:val="24"/>
        </w:rPr>
      </w:pPr>
      <w:r w:rsidRPr="00580923">
        <w:rPr>
          <w:szCs w:val="24"/>
        </w:rPr>
        <w:t xml:space="preserve">b. </w:t>
      </w:r>
      <w:r w:rsidRPr="00580923">
        <w:rPr>
          <w:szCs w:val="24"/>
        </w:rPr>
        <w:tab/>
        <w:t>Demonstration Year 2</w:t>
      </w:r>
    </w:p>
    <w:p w:rsidR="00851FDE" w:rsidRPr="00580923" w:rsidRDefault="00851FDE" w:rsidP="005768EA">
      <w:pPr>
        <w:ind w:left="1080"/>
        <w:outlineLvl w:val="2"/>
        <w:rPr>
          <w:b/>
          <w:i/>
          <w:szCs w:val="24"/>
        </w:rPr>
      </w:pPr>
    </w:p>
    <w:p w:rsidR="00851FDE" w:rsidRPr="00580923" w:rsidRDefault="00851FDE" w:rsidP="005768EA">
      <w:pPr>
        <w:pStyle w:val="RFR-Level6-1"/>
        <w:rPr>
          <w:szCs w:val="24"/>
        </w:rPr>
      </w:pPr>
      <w:r w:rsidRPr="00580923">
        <w:rPr>
          <w:szCs w:val="24"/>
        </w:rPr>
        <w:t>(1)</w:t>
      </w:r>
      <w:r w:rsidRPr="00580923">
        <w:rPr>
          <w:szCs w:val="24"/>
        </w:rPr>
        <w:tab/>
        <w:t xml:space="preserve">For the portion of gains and/or losses of 0 through 3.0%, the Contractor bears 100% of the gain/loss. For the portion of gains and/or losses of 3.1% through 10.0%, the Contractor bears 50% of the gain/loss and EOHHS and CMS share in the other 50%, as described in </w:t>
      </w:r>
      <w:r w:rsidRPr="00580923">
        <w:rPr>
          <w:b/>
          <w:szCs w:val="24"/>
        </w:rPr>
        <w:t>Section 4.6.B.1</w:t>
      </w:r>
      <w:r w:rsidRPr="00580923">
        <w:rPr>
          <w:szCs w:val="24"/>
        </w:rPr>
        <w:t>.  For the portion of gains and/or losses of 10.1% and greater, the Contractor bears 100% of the gain/loss.</w:t>
      </w:r>
    </w:p>
    <w:p w:rsidR="00851FDE" w:rsidRPr="00580923" w:rsidRDefault="00851FDE" w:rsidP="005768EA">
      <w:pPr>
        <w:ind w:left="720"/>
        <w:outlineLvl w:val="2"/>
        <w:rPr>
          <w:szCs w:val="24"/>
        </w:rPr>
      </w:pPr>
    </w:p>
    <w:p w:rsidR="00851FDE" w:rsidRPr="00580923" w:rsidRDefault="00851FDE" w:rsidP="005768EA">
      <w:pPr>
        <w:ind w:left="2160" w:hanging="360"/>
        <w:outlineLvl w:val="2"/>
        <w:rPr>
          <w:szCs w:val="24"/>
        </w:rPr>
      </w:pPr>
      <w:r w:rsidRPr="00580923">
        <w:rPr>
          <w:szCs w:val="24"/>
        </w:rPr>
        <w:t xml:space="preserve">(2) </w:t>
      </w:r>
      <w:r w:rsidRPr="00580923">
        <w:rPr>
          <w:szCs w:val="24"/>
        </w:rPr>
        <w:tab/>
        <w:t xml:space="preserve">For Risk Corridor Percentages greater than 110.0%, EOHHS and CMS will make payment to the Contractor of 3.5% of the Adjusted Capitation Rate Revenue, with the share of the payment made by </w:t>
      </w:r>
      <w:r w:rsidRPr="00580923">
        <w:rPr>
          <w:szCs w:val="24"/>
        </w:rPr>
        <w:lastRenderedPageBreak/>
        <w:t xml:space="preserve">EOHHS and CMS as described in </w:t>
      </w:r>
      <w:r w:rsidRPr="00580923">
        <w:rPr>
          <w:b/>
          <w:szCs w:val="24"/>
        </w:rPr>
        <w:t>Section 4.6.B.1</w:t>
      </w:r>
      <w:r w:rsidRPr="00580923">
        <w:rPr>
          <w:szCs w:val="24"/>
        </w:rPr>
        <w:t xml:space="preserve"> above. The Contractor is at full financial risk for amounts greater than 110.0%.</w:t>
      </w:r>
    </w:p>
    <w:p w:rsidR="00851FDE" w:rsidRPr="00580923" w:rsidRDefault="00851FDE" w:rsidP="005768EA">
      <w:pPr>
        <w:ind w:left="2160" w:hanging="360"/>
        <w:outlineLvl w:val="2"/>
        <w:rPr>
          <w:szCs w:val="24"/>
        </w:rPr>
      </w:pPr>
    </w:p>
    <w:p w:rsidR="00851FDE" w:rsidRPr="00580923" w:rsidRDefault="00851FDE" w:rsidP="00880043">
      <w:pPr>
        <w:ind w:left="2160" w:hanging="360"/>
        <w:outlineLvl w:val="2"/>
        <w:rPr>
          <w:szCs w:val="24"/>
        </w:rPr>
      </w:pPr>
      <w:r w:rsidRPr="00580923">
        <w:rPr>
          <w:szCs w:val="24"/>
        </w:rPr>
        <w:t xml:space="preserve">(3) </w:t>
      </w:r>
      <w:r w:rsidRPr="00580923">
        <w:rPr>
          <w:szCs w:val="24"/>
        </w:rPr>
        <w:tab/>
        <w:t xml:space="preserve">For Risk Corridor Percentages of 103.1 through 110.0%, EOHHS and CMS will make payment to the Contractor equaling the Adjusted Capitation Rate Revenue multiplied by 50% of [Risk Corridor Percentage minus 103.0%], with the share of the payment made by EOHHS and CMS as described in </w:t>
      </w:r>
      <w:r w:rsidRPr="00580923">
        <w:rPr>
          <w:b/>
          <w:szCs w:val="24"/>
        </w:rPr>
        <w:t>Section 4.6.B.1</w:t>
      </w:r>
      <w:r w:rsidRPr="00580923">
        <w:rPr>
          <w:szCs w:val="24"/>
        </w:rPr>
        <w:t xml:space="preserve"> above.</w:t>
      </w:r>
    </w:p>
    <w:p w:rsidR="00851FDE" w:rsidRPr="00580923" w:rsidRDefault="00851FDE" w:rsidP="005768EA">
      <w:pPr>
        <w:ind w:left="2160" w:hanging="360"/>
        <w:outlineLvl w:val="2"/>
        <w:rPr>
          <w:szCs w:val="24"/>
        </w:rPr>
      </w:pPr>
    </w:p>
    <w:p w:rsidR="00851FDE" w:rsidRPr="00580923" w:rsidRDefault="00851FDE" w:rsidP="005768EA">
      <w:pPr>
        <w:ind w:left="2160" w:hanging="360"/>
        <w:outlineLvl w:val="2"/>
        <w:rPr>
          <w:szCs w:val="24"/>
        </w:rPr>
      </w:pPr>
      <w:r w:rsidRPr="00580923">
        <w:rPr>
          <w:szCs w:val="24"/>
        </w:rPr>
        <w:t xml:space="preserve">(4)  For Risk Corridor Percentages of 97.0% through 103.0%, no payment will be made by EOHHS and CMS to the Contractor, or by the Contractor to EOHHS and CMS. </w:t>
      </w:r>
    </w:p>
    <w:p w:rsidR="00851FDE" w:rsidRPr="00580923" w:rsidRDefault="00851FDE" w:rsidP="005768EA">
      <w:pPr>
        <w:ind w:left="2160" w:hanging="360"/>
        <w:outlineLvl w:val="2"/>
        <w:rPr>
          <w:szCs w:val="24"/>
        </w:rPr>
      </w:pPr>
    </w:p>
    <w:p w:rsidR="00851FDE" w:rsidRPr="00580923" w:rsidRDefault="00851FDE" w:rsidP="005768EA">
      <w:pPr>
        <w:ind w:left="2160" w:hanging="360"/>
        <w:outlineLvl w:val="2"/>
        <w:rPr>
          <w:szCs w:val="24"/>
        </w:rPr>
      </w:pPr>
      <w:r w:rsidRPr="00580923">
        <w:rPr>
          <w:szCs w:val="24"/>
        </w:rPr>
        <w:t>(5)</w:t>
      </w:r>
      <w:r w:rsidRPr="00580923">
        <w:rPr>
          <w:szCs w:val="24"/>
        </w:rPr>
        <w:tab/>
        <w:t xml:space="preserve">For Risk Corridor Percentages of 96.9% through 90.0%, the Contractor will make payment to EOHHS and CMS equaling the Adjusted Capitation Rate Revenue multiplied by 50% of [97.0% minus the Risk Corridor Percentage], with the share of the payment made by EOHHS and CMS as described in </w:t>
      </w:r>
      <w:r w:rsidRPr="00580923">
        <w:rPr>
          <w:b/>
          <w:szCs w:val="24"/>
        </w:rPr>
        <w:t>Section 4.6.B.1</w:t>
      </w:r>
      <w:r w:rsidRPr="00580923">
        <w:rPr>
          <w:szCs w:val="24"/>
        </w:rPr>
        <w:t xml:space="preserve"> above. </w:t>
      </w:r>
    </w:p>
    <w:p w:rsidR="00851FDE" w:rsidRPr="00580923" w:rsidRDefault="00851FDE" w:rsidP="005768EA">
      <w:pPr>
        <w:ind w:left="2160" w:hanging="360"/>
        <w:outlineLvl w:val="2"/>
        <w:rPr>
          <w:szCs w:val="24"/>
        </w:rPr>
      </w:pPr>
    </w:p>
    <w:p w:rsidR="00851FDE" w:rsidRPr="00580923" w:rsidRDefault="00851FDE" w:rsidP="005768EA">
      <w:pPr>
        <w:ind w:left="2160" w:hanging="360"/>
        <w:outlineLvl w:val="2"/>
        <w:rPr>
          <w:szCs w:val="24"/>
        </w:rPr>
      </w:pPr>
      <w:r w:rsidRPr="00580923">
        <w:rPr>
          <w:szCs w:val="24"/>
        </w:rPr>
        <w:t xml:space="preserve">(6) </w:t>
      </w:r>
      <w:r w:rsidRPr="00580923">
        <w:rPr>
          <w:szCs w:val="24"/>
        </w:rPr>
        <w:tab/>
        <w:t xml:space="preserve">For Risk Corridor Percentages less than 90.0%, the Contractor will make payment to CMS and EOHHS of 3.5% of the Adjusted Capitation Rate Revenue, with the share of the payment made by EOHHS and CMS as described in </w:t>
      </w:r>
      <w:r w:rsidRPr="00580923">
        <w:rPr>
          <w:b/>
          <w:szCs w:val="24"/>
        </w:rPr>
        <w:t>Section 4.6.B.1</w:t>
      </w:r>
      <w:r w:rsidRPr="00580923">
        <w:rPr>
          <w:szCs w:val="24"/>
        </w:rPr>
        <w:t xml:space="preserve"> above. The Contractor is not obligated to make any additional payment for amounts below 90.0%.</w:t>
      </w:r>
    </w:p>
    <w:p w:rsidR="00851FDE" w:rsidRPr="00580923" w:rsidRDefault="00851FDE" w:rsidP="00A3089C">
      <w:pPr>
        <w:ind w:left="2160" w:hanging="360"/>
        <w:outlineLvl w:val="2"/>
        <w:rPr>
          <w:szCs w:val="24"/>
        </w:rPr>
      </w:pPr>
    </w:p>
    <w:p w:rsidR="00851FDE" w:rsidRPr="00580923" w:rsidRDefault="00851FDE" w:rsidP="006850BE">
      <w:pPr>
        <w:ind w:left="1800" w:hanging="360"/>
        <w:outlineLvl w:val="2"/>
        <w:rPr>
          <w:szCs w:val="24"/>
        </w:rPr>
      </w:pPr>
      <w:r w:rsidRPr="00580923">
        <w:rPr>
          <w:szCs w:val="24"/>
        </w:rPr>
        <w:t xml:space="preserve">c. </w:t>
      </w:r>
      <w:r w:rsidRPr="00580923">
        <w:rPr>
          <w:szCs w:val="24"/>
        </w:rPr>
        <w:tab/>
        <w:t>Demonstration Year 3</w:t>
      </w:r>
    </w:p>
    <w:p w:rsidR="00851FDE" w:rsidRPr="00580923" w:rsidRDefault="00851FDE" w:rsidP="006850BE">
      <w:pPr>
        <w:ind w:left="1080"/>
        <w:outlineLvl w:val="2"/>
        <w:rPr>
          <w:b/>
          <w:i/>
          <w:szCs w:val="24"/>
        </w:rPr>
      </w:pPr>
    </w:p>
    <w:p w:rsidR="00851FDE" w:rsidRPr="00580923" w:rsidRDefault="00851FDE" w:rsidP="006850BE">
      <w:pPr>
        <w:pStyle w:val="RFR-Level6-1"/>
        <w:rPr>
          <w:szCs w:val="24"/>
        </w:rPr>
      </w:pPr>
      <w:r w:rsidRPr="00580923">
        <w:rPr>
          <w:szCs w:val="24"/>
        </w:rPr>
        <w:t>(1)</w:t>
      </w:r>
      <w:r w:rsidRPr="00580923">
        <w:rPr>
          <w:szCs w:val="24"/>
        </w:rPr>
        <w:tab/>
        <w:t xml:space="preserve">For the portion of gains and/or losses of 0 through 4.0%, the Contractor bears 100% of the gain/loss. For the portion of gains and/or losses of 4.1% through 8.0%, the Contractor bears 50% of the gain/loss and EOHHS and CMS share in the other 50%, as described in </w:t>
      </w:r>
      <w:r w:rsidRPr="00580923">
        <w:rPr>
          <w:b/>
          <w:szCs w:val="24"/>
        </w:rPr>
        <w:t>Section 4.6.B.1</w:t>
      </w:r>
      <w:r w:rsidRPr="00580923">
        <w:rPr>
          <w:szCs w:val="24"/>
        </w:rPr>
        <w:t>.  For the portion of gains and/or losses of 8.1% and greater, the Contractor bears 100% of the gain/loss.</w:t>
      </w:r>
    </w:p>
    <w:p w:rsidR="00851FDE" w:rsidRPr="00580923" w:rsidRDefault="00851FDE" w:rsidP="006850BE">
      <w:pPr>
        <w:ind w:left="720"/>
        <w:outlineLvl w:val="2"/>
        <w:rPr>
          <w:szCs w:val="24"/>
        </w:rPr>
      </w:pPr>
    </w:p>
    <w:p w:rsidR="00851FDE" w:rsidRPr="00580923" w:rsidRDefault="00851FDE" w:rsidP="006850BE">
      <w:pPr>
        <w:ind w:left="2160" w:hanging="360"/>
        <w:outlineLvl w:val="2"/>
        <w:rPr>
          <w:szCs w:val="24"/>
        </w:rPr>
      </w:pPr>
      <w:r w:rsidRPr="00580923">
        <w:rPr>
          <w:szCs w:val="24"/>
        </w:rPr>
        <w:t xml:space="preserve">(2) </w:t>
      </w:r>
      <w:r w:rsidRPr="00580923">
        <w:rPr>
          <w:szCs w:val="24"/>
        </w:rPr>
        <w:tab/>
        <w:t xml:space="preserve">For Risk Corridor Percentages greater than 108.0%, EOHHS and CMS will make payment to the Contractor of 2.0% of the Adjusted Capitation Rate Revenue, with the share of the payment made by EOHHS and CMS as described in </w:t>
      </w:r>
      <w:r w:rsidRPr="00580923">
        <w:rPr>
          <w:b/>
          <w:szCs w:val="24"/>
        </w:rPr>
        <w:t>Section 4.6.B.1</w:t>
      </w:r>
      <w:r w:rsidRPr="00580923">
        <w:rPr>
          <w:szCs w:val="24"/>
        </w:rPr>
        <w:t xml:space="preserve"> above. The Contractor is at full financial risk for amounts greater than 108.0%.</w:t>
      </w:r>
    </w:p>
    <w:p w:rsidR="00851FDE" w:rsidRPr="00580923" w:rsidRDefault="00851FDE" w:rsidP="006850BE">
      <w:pPr>
        <w:ind w:left="2160" w:hanging="360"/>
        <w:outlineLvl w:val="2"/>
        <w:rPr>
          <w:szCs w:val="24"/>
        </w:rPr>
      </w:pPr>
    </w:p>
    <w:p w:rsidR="00851FDE" w:rsidRPr="00580923" w:rsidRDefault="00851FDE" w:rsidP="00880043">
      <w:pPr>
        <w:ind w:left="2160" w:hanging="360"/>
        <w:outlineLvl w:val="2"/>
        <w:rPr>
          <w:szCs w:val="24"/>
        </w:rPr>
      </w:pPr>
      <w:r w:rsidRPr="00580923">
        <w:rPr>
          <w:szCs w:val="24"/>
        </w:rPr>
        <w:t xml:space="preserve">(3) </w:t>
      </w:r>
      <w:r w:rsidRPr="00580923">
        <w:rPr>
          <w:szCs w:val="24"/>
        </w:rPr>
        <w:tab/>
        <w:t xml:space="preserve">For Risk Corridor Percentages of 104.1 through 108.0%, EOHHS and CMS will make payment to the Contractor equaling the </w:t>
      </w:r>
      <w:r w:rsidRPr="00580923">
        <w:rPr>
          <w:szCs w:val="24"/>
        </w:rPr>
        <w:lastRenderedPageBreak/>
        <w:t xml:space="preserve">Adjusted Capitation Rate Revenue multiplied by 50% of [Risk Corridor Percentage minus 104.0%], with the share of the payment made by EOHHS and CMS as described in </w:t>
      </w:r>
      <w:r w:rsidRPr="00580923">
        <w:rPr>
          <w:b/>
          <w:szCs w:val="24"/>
        </w:rPr>
        <w:t>Section 4.6.B.1</w:t>
      </w:r>
      <w:r w:rsidRPr="00580923">
        <w:rPr>
          <w:szCs w:val="24"/>
        </w:rPr>
        <w:t xml:space="preserve"> above.</w:t>
      </w:r>
    </w:p>
    <w:p w:rsidR="00851FDE" w:rsidRPr="00580923" w:rsidRDefault="00851FDE" w:rsidP="006850BE">
      <w:pPr>
        <w:ind w:left="2160" w:hanging="360"/>
        <w:outlineLvl w:val="2"/>
        <w:rPr>
          <w:szCs w:val="24"/>
        </w:rPr>
      </w:pPr>
    </w:p>
    <w:p w:rsidR="00851FDE" w:rsidRPr="00580923" w:rsidRDefault="00851FDE" w:rsidP="006850BE">
      <w:pPr>
        <w:ind w:left="2160" w:hanging="360"/>
        <w:outlineLvl w:val="2"/>
        <w:rPr>
          <w:szCs w:val="24"/>
        </w:rPr>
      </w:pPr>
      <w:r w:rsidRPr="00580923">
        <w:rPr>
          <w:szCs w:val="24"/>
        </w:rPr>
        <w:t xml:space="preserve">(4)  For Risk Corridor Percentages of 96.0% through 104.0%, no payment will be made by EOHHS and CMS to the Contractor, or by the Contractor to EOHHS and CMS. </w:t>
      </w:r>
    </w:p>
    <w:p w:rsidR="00851FDE" w:rsidRPr="00580923" w:rsidRDefault="00851FDE" w:rsidP="006850BE">
      <w:pPr>
        <w:ind w:left="2160" w:hanging="360"/>
        <w:outlineLvl w:val="2"/>
        <w:rPr>
          <w:szCs w:val="24"/>
        </w:rPr>
      </w:pPr>
    </w:p>
    <w:p w:rsidR="00851FDE" w:rsidRPr="00580923" w:rsidRDefault="00851FDE" w:rsidP="006850BE">
      <w:pPr>
        <w:ind w:left="2160" w:hanging="360"/>
        <w:outlineLvl w:val="2"/>
        <w:rPr>
          <w:szCs w:val="24"/>
        </w:rPr>
      </w:pPr>
      <w:r w:rsidRPr="00580923">
        <w:rPr>
          <w:szCs w:val="24"/>
        </w:rPr>
        <w:t>(5)</w:t>
      </w:r>
      <w:r w:rsidRPr="00580923">
        <w:rPr>
          <w:szCs w:val="24"/>
        </w:rPr>
        <w:tab/>
        <w:t xml:space="preserve">For Risk Corridor Percentages of 95.9% through 92.0%, the Contractor will make payment to EOHHS and CMS equaling the Adjusted Capitation Rate Revenue multiplied by 50% of [96.0% minus the Risk Corridor Percentage], with the share of the payment made by EOHHS and CMS as described in </w:t>
      </w:r>
      <w:r w:rsidRPr="00580923">
        <w:rPr>
          <w:b/>
          <w:szCs w:val="24"/>
        </w:rPr>
        <w:t>Section 4.6.B.1</w:t>
      </w:r>
      <w:r w:rsidRPr="00580923">
        <w:rPr>
          <w:szCs w:val="24"/>
        </w:rPr>
        <w:t xml:space="preserve"> above. </w:t>
      </w:r>
    </w:p>
    <w:p w:rsidR="00851FDE" w:rsidRPr="00580923" w:rsidRDefault="00851FDE" w:rsidP="006850BE">
      <w:pPr>
        <w:ind w:left="2160" w:hanging="360"/>
        <w:outlineLvl w:val="2"/>
        <w:rPr>
          <w:szCs w:val="24"/>
        </w:rPr>
      </w:pPr>
    </w:p>
    <w:p w:rsidR="00851FDE" w:rsidRDefault="00851FDE" w:rsidP="006850BE">
      <w:pPr>
        <w:ind w:left="2160" w:hanging="360"/>
        <w:outlineLvl w:val="2"/>
        <w:rPr>
          <w:szCs w:val="24"/>
        </w:rPr>
      </w:pPr>
      <w:r w:rsidRPr="00580923">
        <w:rPr>
          <w:szCs w:val="24"/>
        </w:rPr>
        <w:t xml:space="preserve">(6) </w:t>
      </w:r>
      <w:r w:rsidRPr="00580923">
        <w:rPr>
          <w:szCs w:val="24"/>
        </w:rPr>
        <w:tab/>
        <w:t xml:space="preserve">For Risk Corridor Percentages less than 92.0%, the Contractor will make payment to CMS and EOHHS of 2.0% of the Adjusted Capitation Rate Revenue, with the share of the payment made by EOHHS and CMS as described in </w:t>
      </w:r>
      <w:r w:rsidRPr="00580923">
        <w:rPr>
          <w:b/>
          <w:szCs w:val="24"/>
        </w:rPr>
        <w:t>Section 4.6.B.1</w:t>
      </w:r>
      <w:r w:rsidRPr="00580923">
        <w:rPr>
          <w:szCs w:val="24"/>
        </w:rPr>
        <w:t xml:space="preserve"> above. The Contractor is not obligated to make any additional payment for amounts below 92.0%.</w:t>
      </w:r>
    </w:p>
    <w:p w:rsidR="00851FDE" w:rsidRDefault="00851FDE" w:rsidP="00971A41">
      <w:pPr>
        <w:ind w:left="1800" w:hanging="360"/>
        <w:outlineLvl w:val="2"/>
        <w:rPr>
          <w:szCs w:val="24"/>
        </w:rPr>
      </w:pPr>
    </w:p>
    <w:p w:rsidR="00851FDE" w:rsidRPr="00580923" w:rsidRDefault="00851FDE" w:rsidP="00971A41">
      <w:pPr>
        <w:ind w:left="1800" w:hanging="360"/>
        <w:outlineLvl w:val="2"/>
        <w:rPr>
          <w:szCs w:val="24"/>
        </w:rPr>
      </w:pPr>
      <w:r>
        <w:rPr>
          <w:szCs w:val="24"/>
        </w:rPr>
        <w:t>d.</w:t>
      </w:r>
      <w:r>
        <w:rPr>
          <w:szCs w:val="24"/>
        </w:rPr>
        <w:tab/>
      </w:r>
      <w:r w:rsidRPr="00580923">
        <w:rPr>
          <w:szCs w:val="24"/>
        </w:rPr>
        <w:t>Demonstration Year 1</w:t>
      </w:r>
      <w:r>
        <w:rPr>
          <w:szCs w:val="24"/>
        </w:rPr>
        <w:t xml:space="preserve"> - If the Contractor does not participate in the </w:t>
      </w:r>
      <w:r w:rsidRPr="001676BB">
        <w:rPr>
          <w:szCs w:val="24"/>
        </w:rPr>
        <w:t>Demonstration at least through June 30, 2015, the following risk corridors apply for the experience during</w:t>
      </w:r>
      <w:r>
        <w:rPr>
          <w:szCs w:val="24"/>
        </w:rPr>
        <w:t xml:space="preserve"> DY1:</w:t>
      </w:r>
      <w:r w:rsidDel="00B05D8D">
        <w:rPr>
          <w:szCs w:val="24"/>
        </w:rPr>
        <w:t xml:space="preserve"> </w:t>
      </w:r>
    </w:p>
    <w:p w:rsidR="00851FDE" w:rsidRPr="00580923" w:rsidRDefault="00851FDE" w:rsidP="00CB31C2">
      <w:pPr>
        <w:ind w:left="1800" w:hanging="360"/>
        <w:outlineLvl w:val="2"/>
        <w:rPr>
          <w:b/>
          <w:i/>
          <w:szCs w:val="24"/>
        </w:rPr>
      </w:pPr>
    </w:p>
    <w:p w:rsidR="00851FDE" w:rsidRPr="00580923" w:rsidRDefault="00851FDE" w:rsidP="00971A41">
      <w:pPr>
        <w:pStyle w:val="RFR-Level6-1"/>
        <w:rPr>
          <w:szCs w:val="24"/>
        </w:rPr>
      </w:pPr>
      <w:r w:rsidRPr="00580923">
        <w:rPr>
          <w:szCs w:val="24"/>
        </w:rPr>
        <w:t>(1)</w:t>
      </w:r>
      <w:r w:rsidRPr="00580923">
        <w:rPr>
          <w:szCs w:val="24"/>
        </w:rPr>
        <w:tab/>
        <w:t xml:space="preserve">For the portion of gains and/or losses of 0 through 1.0%, the Contractor bears 100% of the gain/loss. For the portion of gains and/or losses of 1.1% through </w:t>
      </w:r>
      <w:r>
        <w:rPr>
          <w:szCs w:val="24"/>
        </w:rPr>
        <w:t>3</w:t>
      </w:r>
      <w:r w:rsidRPr="00580923">
        <w:rPr>
          <w:szCs w:val="24"/>
        </w:rPr>
        <w:t xml:space="preserve">.0%, the Contractor bears 10% of the gain/loss and EOHHS and CMS share in the other 90%, as described in </w:t>
      </w:r>
      <w:r w:rsidRPr="00580923">
        <w:rPr>
          <w:b/>
          <w:szCs w:val="24"/>
        </w:rPr>
        <w:t>Section 4.6.B.1</w:t>
      </w:r>
      <w:r w:rsidRPr="00580923">
        <w:rPr>
          <w:szCs w:val="24"/>
        </w:rPr>
        <w:t>.  For the portion of gains and/or losses of</w:t>
      </w:r>
      <w:r>
        <w:rPr>
          <w:szCs w:val="24"/>
        </w:rPr>
        <w:t xml:space="preserve"> 3.1%</w:t>
      </w:r>
      <w:r w:rsidRPr="00580923">
        <w:rPr>
          <w:szCs w:val="24"/>
        </w:rPr>
        <w:t xml:space="preserve"> through 20.0%, the Contractor bears 50% of the gain/loss and EOHHS and CMS share in the other 50%, as described in </w:t>
      </w:r>
      <w:r w:rsidRPr="00580923">
        <w:rPr>
          <w:b/>
          <w:szCs w:val="24"/>
        </w:rPr>
        <w:t>Section 4.6.B.1</w:t>
      </w:r>
      <w:r w:rsidRPr="00580923">
        <w:rPr>
          <w:szCs w:val="24"/>
        </w:rPr>
        <w:t xml:space="preserve">. As further described in </w:t>
      </w:r>
      <w:r w:rsidRPr="00580923">
        <w:rPr>
          <w:b/>
          <w:szCs w:val="24"/>
        </w:rPr>
        <w:t>Section 4.6.B.2.</w:t>
      </w:r>
      <w:r>
        <w:rPr>
          <w:b/>
          <w:szCs w:val="24"/>
        </w:rPr>
        <w:t>d</w:t>
      </w:r>
      <w:r w:rsidRPr="00580923">
        <w:rPr>
          <w:b/>
          <w:szCs w:val="24"/>
        </w:rPr>
        <w:t>.(2) and 4.6.B.2.</w:t>
      </w:r>
      <w:r>
        <w:rPr>
          <w:b/>
          <w:szCs w:val="24"/>
        </w:rPr>
        <w:t>d</w:t>
      </w:r>
      <w:r w:rsidRPr="00580923">
        <w:rPr>
          <w:b/>
          <w:szCs w:val="24"/>
        </w:rPr>
        <w:t>.(</w:t>
      </w:r>
      <w:r w:rsidRPr="003B655A">
        <w:rPr>
          <w:b/>
          <w:szCs w:val="24"/>
        </w:rPr>
        <w:t>8</w:t>
      </w:r>
      <w:r w:rsidRPr="00580923">
        <w:rPr>
          <w:b/>
          <w:szCs w:val="24"/>
        </w:rPr>
        <w:t>)</w:t>
      </w:r>
      <w:r w:rsidRPr="00580923">
        <w:rPr>
          <w:szCs w:val="24"/>
        </w:rPr>
        <w:t xml:space="preserve"> below, for the portion of gains and/or losses of greater than 20.0%, the Contractor bears 100% of the gain/loss.</w:t>
      </w:r>
    </w:p>
    <w:p w:rsidR="00851FDE" w:rsidRPr="00580923" w:rsidRDefault="00851FDE" w:rsidP="00971A41">
      <w:pPr>
        <w:ind w:left="720"/>
        <w:outlineLvl w:val="2"/>
        <w:rPr>
          <w:szCs w:val="24"/>
        </w:rPr>
      </w:pPr>
    </w:p>
    <w:p w:rsidR="00851FDE" w:rsidRDefault="00851FDE" w:rsidP="00971A41">
      <w:pPr>
        <w:ind w:left="2160" w:hanging="360"/>
        <w:outlineLvl w:val="2"/>
        <w:rPr>
          <w:szCs w:val="24"/>
        </w:rPr>
      </w:pPr>
      <w:r>
        <w:rPr>
          <w:szCs w:val="24"/>
        </w:rPr>
        <w:t>(2)</w:t>
      </w:r>
      <w:r w:rsidRPr="00580923">
        <w:rPr>
          <w:szCs w:val="24"/>
        </w:rPr>
        <w:t xml:space="preserve"> </w:t>
      </w:r>
      <w:r w:rsidRPr="00580923">
        <w:rPr>
          <w:szCs w:val="24"/>
        </w:rPr>
        <w:tab/>
        <w:t xml:space="preserve">For Risk Corridor Percentages greater than 120.0%, EOHHS and CMS will make payment to the Contractor of </w:t>
      </w:r>
      <w:r>
        <w:rPr>
          <w:szCs w:val="24"/>
        </w:rPr>
        <w:t>10.3%</w:t>
      </w:r>
      <w:r w:rsidRPr="00580923">
        <w:rPr>
          <w:szCs w:val="24"/>
        </w:rPr>
        <w:t xml:space="preserve"> of the Adjusted Capitation Rate Revenue, with the share of the payment made by EOHHS and CMS as described in </w:t>
      </w:r>
      <w:r w:rsidRPr="00580923">
        <w:rPr>
          <w:b/>
          <w:szCs w:val="24"/>
        </w:rPr>
        <w:t>Section 4.6.B.1</w:t>
      </w:r>
      <w:r w:rsidRPr="00580923">
        <w:rPr>
          <w:szCs w:val="24"/>
        </w:rPr>
        <w:t xml:space="preserve"> above. The Contractor is at full financial risk for amounts greater than 120.0%. </w:t>
      </w:r>
      <w:r w:rsidRPr="00580923">
        <w:rPr>
          <w:szCs w:val="24"/>
        </w:rPr>
        <w:tab/>
      </w:r>
    </w:p>
    <w:p w:rsidR="00851FDE" w:rsidRDefault="00851FDE" w:rsidP="00971A41">
      <w:pPr>
        <w:ind w:left="2160" w:hanging="360"/>
        <w:outlineLvl w:val="2"/>
        <w:rPr>
          <w:szCs w:val="24"/>
        </w:rPr>
      </w:pPr>
    </w:p>
    <w:p w:rsidR="00851FDE" w:rsidRPr="00580923" w:rsidRDefault="00851FDE" w:rsidP="00971A41">
      <w:pPr>
        <w:ind w:left="2160" w:hanging="360"/>
        <w:outlineLvl w:val="2"/>
        <w:rPr>
          <w:szCs w:val="24"/>
        </w:rPr>
      </w:pPr>
      <w:r>
        <w:rPr>
          <w:szCs w:val="24"/>
        </w:rPr>
        <w:lastRenderedPageBreak/>
        <w:t xml:space="preserve">(3)  </w:t>
      </w:r>
      <w:r w:rsidRPr="00580923">
        <w:rPr>
          <w:szCs w:val="24"/>
        </w:rPr>
        <w:t xml:space="preserve">For Risk Corridor Percentages of </w:t>
      </w:r>
      <w:r>
        <w:rPr>
          <w:szCs w:val="24"/>
        </w:rPr>
        <w:t>103.1</w:t>
      </w:r>
      <w:r w:rsidRPr="00580923">
        <w:rPr>
          <w:szCs w:val="24"/>
        </w:rPr>
        <w:t xml:space="preserve">% through 120.0% , EOHHS and CMS will make payment to the Contractor equaling the Adjusted Capitation Rate Revenue multiplied by 50% of [Risk Corridor Percentage minus </w:t>
      </w:r>
      <w:r>
        <w:rPr>
          <w:szCs w:val="24"/>
        </w:rPr>
        <w:t>103.1</w:t>
      </w:r>
      <w:r w:rsidRPr="00580923">
        <w:rPr>
          <w:szCs w:val="24"/>
        </w:rPr>
        <w:t xml:space="preserve">%], plus the amount described in Section </w:t>
      </w:r>
      <w:r>
        <w:rPr>
          <w:b/>
          <w:szCs w:val="24"/>
        </w:rPr>
        <w:t>4.6.B.2.d</w:t>
      </w:r>
      <w:r w:rsidRPr="00580923">
        <w:rPr>
          <w:b/>
          <w:szCs w:val="24"/>
        </w:rPr>
        <w:t>(4)</w:t>
      </w:r>
      <w:r w:rsidRPr="00580923">
        <w:rPr>
          <w:szCs w:val="24"/>
        </w:rPr>
        <w:t xml:space="preserve">, with the share of the payment made by EOHHS and CMS as described in </w:t>
      </w:r>
      <w:r w:rsidRPr="00580923">
        <w:rPr>
          <w:b/>
          <w:szCs w:val="24"/>
        </w:rPr>
        <w:t>Section 4.6.B.1</w:t>
      </w:r>
      <w:r w:rsidRPr="00580923">
        <w:rPr>
          <w:szCs w:val="24"/>
        </w:rPr>
        <w:t xml:space="preserve"> above. </w:t>
      </w:r>
    </w:p>
    <w:p w:rsidR="00851FDE" w:rsidRPr="00580923" w:rsidRDefault="00851FDE" w:rsidP="00971A41">
      <w:pPr>
        <w:ind w:left="2160" w:hanging="360"/>
        <w:outlineLvl w:val="2"/>
        <w:rPr>
          <w:szCs w:val="24"/>
        </w:rPr>
      </w:pPr>
    </w:p>
    <w:p w:rsidR="00851FDE" w:rsidRPr="00580923" w:rsidRDefault="00851FDE" w:rsidP="00971A41">
      <w:pPr>
        <w:ind w:left="2160" w:hanging="360"/>
        <w:outlineLvl w:val="2"/>
        <w:rPr>
          <w:szCs w:val="24"/>
        </w:rPr>
      </w:pPr>
      <w:r>
        <w:rPr>
          <w:szCs w:val="24"/>
        </w:rPr>
        <w:t>(4)</w:t>
      </w:r>
      <w:r w:rsidRPr="00580923">
        <w:rPr>
          <w:szCs w:val="24"/>
        </w:rPr>
        <w:t xml:space="preserve"> </w:t>
      </w:r>
      <w:r w:rsidRPr="00580923">
        <w:rPr>
          <w:szCs w:val="24"/>
        </w:rPr>
        <w:tab/>
        <w:t xml:space="preserve">For Risk Corridor Percentages of 101.1% through </w:t>
      </w:r>
      <w:r>
        <w:rPr>
          <w:szCs w:val="24"/>
        </w:rPr>
        <w:t>103.1%</w:t>
      </w:r>
      <w:r w:rsidRPr="00580923">
        <w:rPr>
          <w:szCs w:val="24"/>
        </w:rPr>
        <w:t xml:space="preserve">, EOHHS and CMS will make payment to the Contractor equaling the Adjusted Capitation Rate Revenue multiplied by 90% of [Risk Corridor Percentage minus 101.0%], with the share of the payment made by EOHHS and CMS as described in </w:t>
      </w:r>
      <w:r w:rsidRPr="00580923">
        <w:rPr>
          <w:b/>
          <w:szCs w:val="24"/>
        </w:rPr>
        <w:t>Section 4.6.B.1</w:t>
      </w:r>
      <w:r w:rsidRPr="00580923">
        <w:rPr>
          <w:szCs w:val="24"/>
        </w:rPr>
        <w:t xml:space="preserve"> above.</w:t>
      </w:r>
    </w:p>
    <w:p w:rsidR="00851FDE" w:rsidRPr="00580923" w:rsidRDefault="00851FDE" w:rsidP="00971A41">
      <w:pPr>
        <w:ind w:left="2160" w:hanging="360"/>
        <w:outlineLvl w:val="2"/>
        <w:rPr>
          <w:szCs w:val="24"/>
        </w:rPr>
      </w:pPr>
    </w:p>
    <w:p w:rsidR="00851FDE" w:rsidRPr="00580923" w:rsidRDefault="00851FDE" w:rsidP="00971A41">
      <w:pPr>
        <w:ind w:left="2160" w:hanging="360"/>
        <w:outlineLvl w:val="2"/>
        <w:rPr>
          <w:szCs w:val="24"/>
        </w:rPr>
      </w:pPr>
      <w:r>
        <w:rPr>
          <w:szCs w:val="24"/>
        </w:rPr>
        <w:t>(5)</w:t>
      </w:r>
      <w:r w:rsidRPr="00580923">
        <w:rPr>
          <w:szCs w:val="24"/>
        </w:rPr>
        <w:t xml:space="preserve">  For Risk Corridor Percentages of 99.0% through 101.0%, no payment will be made by EOHHS and CMS to the Contractor, or by the Contractor to EOHHS and CMS. </w:t>
      </w:r>
    </w:p>
    <w:p w:rsidR="00851FDE" w:rsidRDefault="00851FDE" w:rsidP="00971A41">
      <w:pPr>
        <w:ind w:left="2160" w:hanging="360"/>
        <w:outlineLvl w:val="2"/>
        <w:rPr>
          <w:szCs w:val="24"/>
        </w:rPr>
      </w:pPr>
    </w:p>
    <w:p w:rsidR="00851FDE" w:rsidRPr="00580923" w:rsidRDefault="00851FDE" w:rsidP="00971A41">
      <w:pPr>
        <w:ind w:left="2160" w:hanging="360"/>
        <w:outlineLvl w:val="2"/>
        <w:rPr>
          <w:szCs w:val="24"/>
        </w:rPr>
      </w:pPr>
      <w:r>
        <w:rPr>
          <w:szCs w:val="24"/>
        </w:rPr>
        <w:t>(6)</w:t>
      </w:r>
      <w:r w:rsidRPr="00580923">
        <w:rPr>
          <w:szCs w:val="24"/>
        </w:rPr>
        <w:t xml:space="preserve"> </w:t>
      </w:r>
      <w:r w:rsidRPr="00580923">
        <w:rPr>
          <w:szCs w:val="24"/>
        </w:rPr>
        <w:tab/>
        <w:t xml:space="preserve">For Risk Corridor Percentages of </w:t>
      </w:r>
      <w:r>
        <w:rPr>
          <w:szCs w:val="24"/>
        </w:rPr>
        <w:t>97.0</w:t>
      </w:r>
      <w:r w:rsidRPr="00580923">
        <w:rPr>
          <w:szCs w:val="24"/>
        </w:rPr>
        <w:t xml:space="preserve">% through </w:t>
      </w:r>
      <w:r>
        <w:rPr>
          <w:szCs w:val="24"/>
        </w:rPr>
        <w:t>98.9%</w:t>
      </w:r>
      <w:r w:rsidRPr="00580923">
        <w:rPr>
          <w:szCs w:val="24"/>
        </w:rPr>
        <w:t xml:space="preserve">, </w:t>
      </w:r>
      <w:r>
        <w:rPr>
          <w:szCs w:val="24"/>
        </w:rPr>
        <w:t>the Contractor</w:t>
      </w:r>
      <w:r w:rsidRPr="00580923">
        <w:rPr>
          <w:szCs w:val="24"/>
        </w:rPr>
        <w:t xml:space="preserve"> will make payment to </w:t>
      </w:r>
      <w:r>
        <w:rPr>
          <w:szCs w:val="24"/>
        </w:rPr>
        <w:t xml:space="preserve">EOHHS and CMS </w:t>
      </w:r>
      <w:r w:rsidRPr="00580923">
        <w:rPr>
          <w:szCs w:val="24"/>
        </w:rPr>
        <w:t xml:space="preserve">equaling the Adjusted Capitation Rate Revenue multiplied by 90% of [Risk Corridor Percentage </w:t>
      </w:r>
      <w:r w:rsidRPr="009A4556">
        <w:rPr>
          <w:szCs w:val="24"/>
        </w:rPr>
        <w:t>minus 99.0%], with</w:t>
      </w:r>
      <w:r w:rsidRPr="00580923">
        <w:rPr>
          <w:szCs w:val="24"/>
        </w:rPr>
        <w:t xml:space="preserve"> the share of the payment made </w:t>
      </w:r>
      <w:r>
        <w:rPr>
          <w:szCs w:val="24"/>
        </w:rPr>
        <w:t>to</w:t>
      </w:r>
      <w:r w:rsidRPr="00580923">
        <w:rPr>
          <w:szCs w:val="24"/>
        </w:rPr>
        <w:t xml:space="preserve"> EOHHS and CMS as described in </w:t>
      </w:r>
      <w:r w:rsidRPr="00580923">
        <w:rPr>
          <w:b/>
          <w:szCs w:val="24"/>
        </w:rPr>
        <w:t>Section 4.6.B.1</w:t>
      </w:r>
      <w:r w:rsidRPr="00580923">
        <w:rPr>
          <w:szCs w:val="24"/>
        </w:rPr>
        <w:t xml:space="preserve"> above.</w:t>
      </w:r>
    </w:p>
    <w:p w:rsidR="00851FDE" w:rsidRPr="00580923" w:rsidRDefault="00851FDE" w:rsidP="00971A41">
      <w:pPr>
        <w:ind w:left="2160" w:hanging="360"/>
        <w:outlineLvl w:val="2"/>
        <w:rPr>
          <w:szCs w:val="24"/>
        </w:rPr>
      </w:pPr>
    </w:p>
    <w:p w:rsidR="00851FDE" w:rsidRPr="00580923" w:rsidRDefault="00851FDE" w:rsidP="00971A41">
      <w:pPr>
        <w:ind w:left="2160" w:hanging="360"/>
        <w:outlineLvl w:val="2"/>
        <w:rPr>
          <w:szCs w:val="24"/>
        </w:rPr>
      </w:pPr>
      <w:r>
        <w:rPr>
          <w:szCs w:val="24"/>
        </w:rPr>
        <w:t xml:space="preserve">(7)  </w:t>
      </w:r>
      <w:r w:rsidRPr="00580923">
        <w:rPr>
          <w:szCs w:val="24"/>
        </w:rPr>
        <w:t xml:space="preserve">For Risk Corridor Percentages of </w:t>
      </w:r>
      <w:r>
        <w:rPr>
          <w:szCs w:val="24"/>
        </w:rPr>
        <w:t>80.0</w:t>
      </w:r>
      <w:r w:rsidRPr="00580923">
        <w:rPr>
          <w:szCs w:val="24"/>
        </w:rPr>
        <w:t xml:space="preserve">% through </w:t>
      </w:r>
      <w:r>
        <w:rPr>
          <w:szCs w:val="24"/>
        </w:rPr>
        <w:t>96.9%</w:t>
      </w:r>
      <w:r w:rsidRPr="00580923">
        <w:rPr>
          <w:szCs w:val="24"/>
        </w:rPr>
        <w:t xml:space="preserve">, </w:t>
      </w:r>
      <w:r>
        <w:rPr>
          <w:szCs w:val="24"/>
        </w:rPr>
        <w:t>the Contractor</w:t>
      </w:r>
      <w:r w:rsidRPr="00580923">
        <w:rPr>
          <w:szCs w:val="24"/>
        </w:rPr>
        <w:t xml:space="preserve"> will make payment to </w:t>
      </w:r>
      <w:r>
        <w:rPr>
          <w:szCs w:val="24"/>
        </w:rPr>
        <w:t xml:space="preserve">EOHHS and CMS </w:t>
      </w:r>
      <w:r w:rsidRPr="00580923">
        <w:rPr>
          <w:szCs w:val="24"/>
        </w:rPr>
        <w:t xml:space="preserve">equaling the Adjusted Capitation Rate Revenue multiplied by 50% of [Risk Corridor Percentage minus </w:t>
      </w:r>
      <w:r>
        <w:rPr>
          <w:szCs w:val="24"/>
        </w:rPr>
        <w:t>97.0</w:t>
      </w:r>
      <w:r w:rsidRPr="00580923">
        <w:rPr>
          <w:szCs w:val="24"/>
        </w:rPr>
        <w:t xml:space="preserve">%], plus the amount described in Section </w:t>
      </w:r>
      <w:r w:rsidRPr="00580923">
        <w:rPr>
          <w:b/>
          <w:szCs w:val="24"/>
        </w:rPr>
        <w:t>4.6.B.2.</w:t>
      </w:r>
      <w:r>
        <w:rPr>
          <w:b/>
          <w:szCs w:val="24"/>
        </w:rPr>
        <w:t>d</w:t>
      </w:r>
      <w:r w:rsidRPr="00580923">
        <w:rPr>
          <w:b/>
          <w:szCs w:val="24"/>
        </w:rPr>
        <w:t>(</w:t>
      </w:r>
      <w:r>
        <w:rPr>
          <w:b/>
          <w:szCs w:val="24"/>
        </w:rPr>
        <w:t>6</w:t>
      </w:r>
      <w:r w:rsidRPr="00580923">
        <w:rPr>
          <w:b/>
          <w:szCs w:val="24"/>
        </w:rPr>
        <w:t>)</w:t>
      </w:r>
      <w:r w:rsidRPr="00580923">
        <w:rPr>
          <w:szCs w:val="24"/>
        </w:rPr>
        <w:t xml:space="preserve">, with the share of the payment made </w:t>
      </w:r>
      <w:r>
        <w:rPr>
          <w:szCs w:val="24"/>
        </w:rPr>
        <w:t>to</w:t>
      </w:r>
      <w:r w:rsidRPr="00580923">
        <w:rPr>
          <w:szCs w:val="24"/>
        </w:rPr>
        <w:t xml:space="preserve"> EOHHS and CMS as described in </w:t>
      </w:r>
      <w:r w:rsidRPr="00580923">
        <w:rPr>
          <w:b/>
          <w:szCs w:val="24"/>
        </w:rPr>
        <w:t>Section 4.6.B.1</w:t>
      </w:r>
      <w:r w:rsidRPr="00580923">
        <w:rPr>
          <w:szCs w:val="24"/>
        </w:rPr>
        <w:t xml:space="preserve"> above. </w:t>
      </w:r>
    </w:p>
    <w:p w:rsidR="00851FDE" w:rsidRDefault="00851FDE" w:rsidP="00971A41">
      <w:pPr>
        <w:ind w:left="2160" w:hanging="360"/>
        <w:outlineLvl w:val="2"/>
        <w:rPr>
          <w:szCs w:val="24"/>
        </w:rPr>
      </w:pPr>
    </w:p>
    <w:p w:rsidR="00851FDE" w:rsidRPr="00580923" w:rsidRDefault="00851FDE" w:rsidP="00BC2773">
      <w:pPr>
        <w:ind w:left="2160" w:hanging="360"/>
        <w:outlineLvl w:val="2"/>
        <w:rPr>
          <w:szCs w:val="24"/>
        </w:rPr>
      </w:pPr>
      <w:r w:rsidRPr="00580923">
        <w:rPr>
          <w:szCs w:val="24"/>
        </w:rPr>
        <w:t xml:space="preserve">(8) </w:t>
      </w:r>
      <w:r w:rsidRPr="00580923">
        <w:rPr>
          <w:szCs w:val="24"/>
        </w:rPr>
        <w:tab/>
        <w:t>For Risk Corridor Percentages less than 80.0%, the Contractor will make payment to EOHHS</w:t>
      </w:r>
      <w:r>
        <w:rPr>
          <w:szCs w:val="24"/>
        </w:rPr>
        <w:t xml:space="preserve"> and CMS</w:t>
      </w:r>
      <w:r w:rsidRPr="00580923">
        <w:rPr>
          <w:szCs w:val="24"/>
        </w:rPr>
        <w:t xml:space="preserve"> of </w:t>
      </w:r>
      <w:r>
        <w:rPr>
          <w:szCs w:val="24"/>
        </w:rPr>
        <w:t>10.3%</w:t>
      </w:r>
      <w:r w:rsidRPr="00580923">
        <w:rPr>
          <w:szCs w:val="24"/>
        </w:rPr>
        <w:t xml:space="preserve"> of the Adjusted Capitation Rate Revenue, with the share of the payment made </w:t>
      </w:r>
      <w:r>
        <w:rPr>
          <w:szCs w:val="24"/>
        </w:rPr>
        <w:t>to</w:t>
      </w:r>
      <w:r w:rsidRPr="00580923">
        <w:rPr>
          <w:szCs w:val="24"/>
        </w:rPr>
        <w:t xml:space="preserve"> EOHHS and CMS as described in </w:t>
      </w:r>
      <w:r w:rsidRPr="00580923">
        <w:rPr>
          <w:b/>
          <w:szCs w:val="24"/>
        </w:rPr>
        <w:t xml:space="preserve">Section 4.6.B.1 </w:t>
      </w:r>
      <w:r w:rsidRPr="00580923">
        <w:rPr>
          <w:szCs w:val="24"/>
        </w:rPr>
        <w:t>above. The Contractor is not obligated to make any additional payment for amounts below 80.0%.</w:t>
      </w:r>
    </w:p>
    <w:p w:rsidR="00851FDE" w:rsidRPr="00580923" w:rsidRDefault="00851FDE" w:rsidP="006850BE">
      <w:pPr>
        <w:ind w:left="2160" w:hanging="360"/>
        <w:outlineLvl w:val="2"/>
        <w:rPr>
          <w:szCs w:val="24"/>
        </w:rPr>
      </w:pPr>
    </w:p>
    <w:p w:rsidR="00851FDE" w:rsidRPr="00580923" w:rsidRDefault="00851FDE" w:rsidP="00911ABA">
      <w:pPr>
        <w:ind w:left="720"/>
        <w:outlineLvl w:val="2"/>
        <w:rPr>
          <w:szCs w:val="24"/>
        </w:rPr>
      </w:pPr>
    </w:p>
    <w:p w:rsidR="00851FDE" w:rsidRPr="00580923" w:rsidRDefault="00851FDE" w:rsidP="00911ABA">
      <w:pPr>
        <w:ind w:left="1440" w:hanging="360"/>
        <w:outlineLvl w:val="2"/>
        <w:rPr>
          <w:szCs w:val="24"/>
        </w:rPr>
      </w:pPr>
      <w:r w:rsidRPr="00580923">
        <w:rPr>
          <w:szCs w:val="24"/>
        </w:rPr>
        <w:t>3.</w:t>
      </w:r>
      <w:r w:rsidRPr="00580923">
        <w:rPr>
          <w:szCs w:val="24"/>
        </w:rPr>
        <w:tab/>
        <w:t>Risk Sharing Corridor Tables: (for illustrative purposes only)</w:t>
      </w:r>
    </w:p>
    <w:p w:rsidR="00851FDE" w:rsidRPr="00580923" w:rsidRDefault="00851FDE" w:rsidP="00911ABA">
      <w:pPr>
        <w:ind w:left="720"/>
        <w:outlineLvl w:val="2"/>
        <w:rPr>
          <w:szCs w:val="24"/>
        </w:rPr>
      </w:pPr>
    </w:p>
    <w:p w:rsidR="00851FDE" w:rsidRPr="00580923" w:rsidRDefault="00851FDE" w:rsidP="005768EA">
      <w:pPr>
        <w:ind w:left="1800" w:hanging="360"/>
        <w:outlineLvl w:val="2"/>
        <w:rPr>
          <w:szCs w:val="24"/>
        </w:rPr>
      </w:pPr>
      <w:r w:rsidRPr="00580923">
        <w:rPr>
          <w:szCs w:val="24"/>
        </w:rPr>
        <w:t xml:space="preserve">a. </w:t>
      </w:r>
      <w:r w:rsidRPr="00580923">
        <w:rPr>
          <w:szCs w:val="24"/>
        </w:rPr>
        <w:tab/>
        <w:t>Demonstration Year 1</w:t>
      </w:r>
      <w:r>
        <w:rPr>
          <w:szCs w:val="24"/>
        </w:rPr>
        <w:t xml:space="preserve">, if the </w:t>
      </w:r>
      <w:r w:rsidRPr="001676BB">
        <w:rPr>
          <w:szCs w:val="24"/>
        </w:rPr>
        <w:t>Contractor participates in the Demonstration at least through June</w:t>
      </w:r>
      <w:r>
        <w:rPr>
          <w:szCs w:val="24"/>
        </w:rPr>
        <w:t xml:space="preserve"> 30, 2015:</w:t>
      </w:r>
    </w:p>
    <w:p w:rsidR="00851FDE" w:rsidRPr="00580923" w:rsidRDefault="00851FDE" w:rsidP="00911ABA">
      <w:pPr>
        <w:ind w:left="720"/>
        <w:outlineLvl w:val="2"/>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851FDE" w:rsidRPr="00580923" w:rsidTr="00BA28D1">
        <w:tc>
          <w:tcPr>
            <w:tcW w:w="1530" w:type="dxa"/>
          </w:tcPr>
          <w:p w:rsidR="00851FDE" w:rsidRPr="00580923" w:rsidRDefault="00851FDE" w:rsidP="00BA28D1">
            <w:pPr>
              <w:ind w:hanging="18"/>
              <w:jc w:val="center"/>
              <w:outlineLvl w:val="2"/>
              <w:rPr>
                <w:b/>
                <w:szCs w:val="24"/>
              </w:rPr>
            </w:pPr>
            <w:r w:rsidRPr="00580923">
              <w:rPr>
                <w:b/>
                <w:szCs w:val="24"/>
              </w:rPr>
              <w:lastRenderedPageBreak/>
              <w:t>Incremental Loss or Gain (as % of Total Adjusted Capitation Rate Revenue)</w:t>
            </w:r>
            <w:r w:rsidRPr="00580923">
              <w:rPr>
                <w:b/>
                <w:szCs w:val="24"/>
                <w:vertAlign w:val="superscript"/>
              </w:rPr>
              <w:t>1</w:t>
            </w:r>
          </w:p>
        </w:tc>
        <w:tc>
          <w:tcPr>
            <w:tcW w:w="1620" w:type="dxa"/>
          </w:tcPr>
          <w:p w:rsidR="00851FDE" w:rsidRPr="00580923" w:rsidRDefault="00851FDE" w:rsidP="00BA28D1">
            <w:pPr>
              <w:jc w:val="center"/>
              <w:outlineLvl w:val="2"/>
              <w:rPr>
                <w:b/>
                <w:szCs w:val="24"/>
              </w:rPr>
            </w:pPr>
            <w:r w:rsidRPr="00580923">
              <w:rPr>
                <w:b/>
                <w:szCs w:val="24"/>
              </w:rPr>
              <w:t>Corresponding Risk Corridor Percentage</w:t>
            </w:r>
          </w:p>
        </w:tc>
        <w:tc>
          <w:tcPr>
            <w:tcW w:w="1440" w:type="dxa"/>
          </w:tcPr>
          <w:p w:rsidR="00851FDE" w:rsidRPr="00580923" w:rsidRDefault="00851FDE" w:rsidP="00BA28D1">
            <w:pPr>
              <w:jc w:val="center"/>
              <w:outlineLvl w:val="2"/>
              <w:rPr>
                <w:b/>
                <w:szCs w:val="24"/>
              </w:rPr>
            </w:pPr>
            <w:r w:rsidRPr="00580923">
              <w:rPr>
                <w:b/>
                <w:szCs w:val="24"/>
              </w:rPr>
              <w:t>% Contractor Risk Sharing</w:t>
            </w:r>
          </w:p>
        </w:tc>
        <w:tc>
          <w:tcPr>
            <w:tcW w:w="1710" w:type="dxa"/>
          </w:tcPr>
          <w:p w:rsidR="00851FDE" w:rsidRPr="00580923" w:rsidRDefault="00851FDE" w:rsidP="00BA28D1">
            <w:pPr>
              <w:jc w:val="center"/>
              <w:outlineLvl w:val="2"/>
              <w:rPr>
                <w:b/>
                <w:szCs w:val="24"/>
              </w:rPr>
            </w:pPr>
            <w:r w:rsidRPr="00580923">
              <w:rPr>
                <w:b/>
                <w:szCs w:val="24"/>
              </w:rPr>
              <w:t>% EOHHS &amp; CMS Risk Sharing</w:t>
            </w:r>
          </w:p>
        </w:tc>
        <w:tc>
          <w:tcPr>
            <w:tcW w:w="1440" w:type="dxa"/>
          </w:tcPr>
          <w:p w:rsidR="00851FDE" w:rsidRPr="00580923" w:rsidRDefault="00851FDE" w:rsidP="00D42B89">
            <w:pPr>
              <w:jc w:val="center"/>
              <w:outlineLvl w:val="2"/>
              <w:rPr>
                <w:b/>
                <w:szCs w:val="24"/>
              </w:rPr>
            </w:pPr>
            <w:r w:rsidRPr="00580923">
              <w:rPr>
                <w:b/>
                <w:szCs w:val="24"/>
              </w:rPr>
              <w:t>% CMS Risk Sharing</w:t>
            </w:r>
          </w:p>
        </w:tc>
        <w:tc>
          <w:tcPr>
            <w:tcW w:w="1728" w:type="dxa"/>
          </w:tcPr>
          <w:p w:rsidR="00851FDE" w:rsidRPr="00580923" w:rsidRDefault="00851FDE" w:rsidP="00BA28D1">
            <w:pPr>
              <w:ind w:hanging="18"/>
              <w:jc w:val="center"/>
              <w:outlineLvl w:val="2"/>
              <w:rPr>
                <w:b/>
                <w:szCs w:val="24"/>
              </w:rPr>
            </w:pPr>
            <w:r w:rsidRPr="00580923">
              <w:rPr>
                <w:b/>
                <w:szCs w:val="24"/>
              </w:rPr>
              <w:t>% EOHHS Risk Sharing</w:t>
            </w:r>
            <w:r>
              <w:rPr>
                <w:b/>
                <w:szCs w:val="24"/>
                <w:vertAlign w:val="superscript"/>
              </w:rPr>
              <w:t>2</w:t>
            </w:r>
          </w:p>
        </w:tc>
      </w:tr>
      <w:tr w:rsidR="00851FDE" w:rsidRPr="00580923" w:rsidTr="00BA28D1">
        <w:tc>
          <w:tcPr>
            <w:tcW w:w="1530" w:type="dxa"/>
          </w:tcPr>
          <w:p w:rsidR="00851FDE" w:rsidRPr="00580923" w:rsidRDefault="00851FDE" w:rsidP="00FB01D1">
            <w:pPr>
              <w:ind w:left="180"/>
              <w:jc w:val="center"/>
              <w:outlineLvl w:val="2"/>
              <w:rPr>
                <w:szCs w:val="24"/>
              </w:rPr>
            </w:pPr>
            <w:r w:rsidRPr="00580923">
              <w:rPr>
                <w:szCs w:val="24"/>
              </w:rPr>
              <w:t>Loss &gt;20%</w:t>
            </w:r>
          </w:p>
        </w:tc>
        <w:tc>
          <w:tcPr>
            <w:tcW w:w="1620" w:type="dxa"/>
          </w:tcPr>
          <w:p w:rsidR="00851FDE" w:rsidRPr="00580923" w:rsidRDefault="00851FDE" w:rsidP="00523A75">
            <w:pPr>
              <w:ind w:left="180"/>
              <w:jc w:val="center"/>
              <w:outlineLvl w:val="2"/>
              <w:rPr>
                <w:szCs w:val="24"/>
              </w:rPr>
            </w:pPr>
            <w:r w:rsidRPr="00580923">
              <w:rPr>
                <w:szCs w:val="24"/>
              </w:rPr>
              <w:t>&gt;120.0%</w:t>
            </w:r>
          </w:p>
        </w:tc>
        <w:tc>
          <w:tcPr>
            <w:tcW w:w="1440" w:type="dxa"/>
          </w:tcPr>
          <w:p w:rsidR="00851FDE" w:rsidRPr="00580923" w:rsidRDefault="00851FDE" w:rsidP="00523A75">
            <w:pPr>
              <w:ind w:left="180"/>
              <w:jc w:val="center"/>
              <w:outlineLvl w:val="2"/>
              <w:rPr>
                <w:szCs w:val="24"/>
              </w:rPr>
            </w:pPr>
            <w:r w:rsidRPr="00580923">
              <w:rPr>
                <w:szCs w:val="24"/>
              </w:rPr>
              <w:t>100%</w:t>
            </w:r>
          </w:p>
        </w:tc>
        <w:tc>
          <w:tcPr>
            <w:tcW w:w="1710" w:type="dxa"/>
          </w:tcPr>
          <w:p w:rsidR="00851FDE" w:rsidRPr="00580923" w:rsidRDefault="00851FDE" w:rsidP="00523A75">
            <w:pPr>
              <w:ind w:left="72"/>
              <w:jc w:val="center"/>
              <w:outlineLvl w:val="2"/>
              <w:rPr>
                <w:szCs w:val="24"/>
              </w:rPr>
            </w:pPr>
            <w:r w:rsidRPr="00580923">
              <w:rPr>
                <w:szCs w:val="24"/>
              </w:rPr>
              <w:t>0%</w:t>
            </w:r>
          </w:p>
        </w:tc>
        <w:tc>
          <w:tcPr>
            <w:tcW w:w="1440" w:type="dxa"/>
          </w:tcPr>
          <w:p w:rsidR="00851FDE" w:rsidRPr="00580923" w:rsidRDefault="00851FDE" w:rsidP="00FB01D1">
            <w:pPr>
              <w:ind w:left="72"/>
              <w:jc w:val="center"/>
              <w:outlineLvl w:val="2"/>
              <w:rPr>
                <w:szCs w:val="24"/>
              </w:rPr>
            </w:pPr>
            <w:r w:rsidRPr="00580923">
              <w:rPr>
                <w:szCs w:val="24"/>
              </w:rPr>
              <w:t>0%</w:t>
            </w:r>
          </w:p>
        </w:tc>
        <w:tc>
          <w:tcPr>
            <w:tcW w:w="1728" w:type="dxa"/>
          </w:tcPr>
          <w:p w:rsidR="00851FDE" w:rsidRPr="00580923" w:rsidRDefault="00851FDE" w:rsidP="00BA28D1">
            <w:pPr>
              <w:ind w:left="180"/>
              <w:jc w:val="center"/>
              <w:outlineLvl w:val="2"/>
              <w:rPr>
                <w:szCs w:val="24"/>
              </w:rPr>
            </w:pPr>
            <w:r w:rsidRPr="00580923">
              <w:rPr>
                <w:szCs w:val="24"/>
              </w:rPr>
              <w:t>0%</w:t>
            </w:r>
          </w:p>
        </w:tc>
      </w:tr>
      <w:tr w:rsidR="00851FDE" w:rsidRPr="00580923" w:rsidTr="00BA28D1">
        <w:tc>
          <w:tcPr>
            <w:tcW w:w="1530" w:type="dxa"/>
          </w:tcPr>
          <w:p w:rsidR="00851FDE" w:rsidRPr="00580923" w:rsidRDefault="00851FDE" w:rsidP="00C1269F">
            <w:pPr>
              <w:ind w:left="180"/>
              <w:jc w:val="center"/>
              <w:outlineLvl w:val="2"/>
              <w:rPr>
                <w:szCs w:val="24"/>
              </w:rPr>
            </w:pPr>
            <w:r w:rsidRPr="00580923">
              <w:rPr>
                <w:szCs w:val="24"/>
              </w:rPr>
              <w:t>Loss &gt;</w:t>
            </w:r>
            <w:r>
              <w:rPr>
                <w:szCs w:val="24"/>
              </w:rPr>
              <w:t>10%</w:t>
            </w:r>
            <w:r w:rsidRPr="00580923">
              <w:rPr>
                <w:szCs w:val="24"/>
              </w:rPr>
              <w:t xml:space="preserve"> and ≤ </w:t>
            </w:r>
            <w:r>
              <w:rPr>
                <w:szCs w:val="24"/>
              </w:rPr>
              <w:t>20%</w:t>
            </w:r>
          </w:p>
        </w:tc>
        <w:tc>
          <w:tcPr>
            <w:tcW w:w="1620" w:type="dxa"/>
          </w:tcPr>
          <w:p w:rsidR="00851FDE" w:rsidRPr="00580923" w:rsidRDefault="00851FDE" w:rsidP="00BA28D1">
            <w:pPr>
              <w:ind w:left="180"/>
              <w:jc w:val="center"/>
              <w:outlineLvl w:val="2"/>
              <w:rPr>
                <w:szCs w:val="24"/>
              </w:rPr>
            </w:pPr>
            <w:r>
              <w:rPr>
                <w:szCs w:val="24"/>
              </w:rPr>
              <w:t xml:space="preserve">110.1% </w:t>
            </w:r>
            <w:r w:rsidRPr="00580923">
              <w:rPr>
                <w:szCs w:val="24"/>
              </w:rPr>
              <w:t>to 120.0%</w:t>
            </w:r>
          </w:p>
          <w:p w:rsidR="00851FDE" w:rsidRPr="00580923" w:rsidRDefault="00851FDE" w:rsidP="00BA28D1">
            <w:pPr>
              <w:ind w:left="180"/>
              <w:jc w:val="center"/>
              <w:outlineLvl w:val="2"/>
              <w:rPr>
                <w:szCs w:val="24"/>
              </w:rPr>
            </w:pPr>
          </w:p>
        </w:tc>
        <w:tc>
          <w:tcPr>
            <w:tcW w:w="1440" w:type="dxa"/>
          </w:tcPr>
          <w:p w:rsidR="00851FDE" w:rsidRPr="00580923" w:rsidRDefault="00851FDE" w:rsidP="00C1269F">
            <w:pPr>
              <w:ind w:left="180"/>
              <w:jc w:val="center"/>
              <w:outlineLvl w:val="2"/>
              <w:rPr>
                <w:szCs w:val="24"/>
              </w:rPr>
            </w:pPr>
            <w:r w:rsidRPr="00580923">
              <w:rPr>
                <w:szCs w:val="24"/>
              </w:rPr>
              <w:t>50%</w:t>
            </w:r>
          </w:p>
        </w:tc>
        <w:tc>
          <w:tcPr>
            <w:tcW w:w="1710" w:type="dxa"/>
          </w:tcPr>
          <w:p w:rsidR="00851FDE" w:rsidRPr="00580923" w:rsidRDefault="00851FDE" w:rsidP="00C1269F">
            <w:pPr>
              <w:ind w:left="180"/>
              <w:jc w:val="center"/>
              <w:outlineLvl w:val="2"/>
              <w:rPr>
                <w:szCs w:val="24"/>
              </w:rPr>
            </w:pPr>
            <w:r w:rsidRPr="00580923">
              <w:rPr>
                <w:szCs w:val="24"/>
              </w:rPr>
              <w:t>50%</w:t>
            </w:r>
          </w:p>
        </w:tc>
        <w:tc>
          <w:tcPr>
            <w:tcW w:w="1440" w:type="dxa"/>
          </w:tcPr>
          <w:p w:rsidR="00851FDE" w:rsidRPr="00580923" w:rsidRDefault="00851FDE" w:rsidP="00C1269F">
            <w:pPr>
              <w:ind w:left="72"/>
              <w:jc w:val="center"/>
              <w:outlineLvl w:val="2"/>
              <w:rPr>
                <w:szCs w:val="24"/>
              </w:rPr>
            </w:pPr>
            <w:r w:rsidRPr="00580923">
              <w:rPr>
                <w:szCs w:val="24"/>
              </w:rPr>
              <w:t>(50%) * (Medicare A/B Percent of Rate)</w:t>
            </w:r>
          </w:p>
        </w:tc>
        <w:tc>
          <w:tcPr>
            <w:tcW w:w="1728" w:type="dxa"/>
          </w:tcPr>
          <w:p w:rsidR="00851FDE" w:rsidRPr="00580923" w:rsidRDefault="00851FDE" w:rsidP="00BA28D1">
            <w:pPr>
              <w:ind w:left="-18"/>
              <w:jc w:val="center"/>
              <w:outlineLvl w:val="2"/>
              <w:rPr>
                <w:szCs w:val="24"/>
              </w:rPr>
            </w:pPr>
            <w:r w:rsidRPr="00580923">
              <w:rPr>
                <w:szCs w:val="24"/>
              </w:rPr>
              <w:t>(50%)*</w:t>
            </w:r>
            <w:r>
              <w:rPr>
                <w:szCs w:val="24"/>
              </w:rPr>
              <w:t xml:space="preserve"> </w:t>
            </w:r>
            <w:r w:rsidRPr="00580923">
              <w:rPr>
                <w:szCs w:val="24"/>
              </w:rPr>
              <w:t>(Medicaid Percent of Rate)</w:t>
            </w:r>
          </w:p>
          <w:p w:rsidR="00851FDE" w:rsidRPr="00580923" w:rsidRDefault="00851FDE" w:rsidP="00BA28D1">
            <w:pPr>
              <w:ind w:left="-18"/>
              <w:jc w:val="center"/>
              <w:outlineLvl w:val="2"/>
              <w:rPr>
                <w:szCs w:val="24"/>
              </w:rPr>
            </w:pPr>
          </w:p>
        </w:tc>
      </w:tr>
      <w:tr w:rsidR="00851FDE" w:rsidRPr="00580923" w:rsidTr="00BA28D1">
        <w:tc>
          <w:tcPr>
            <w:tcW w:w="1530" w:type="dxa"/>
          </w:tcPr>
          <w:p w:rsidR="00851FDE" w:rsidRPr="00580923" w:rsidRDefault="00851FDE" w:rsidP="00BA28D1">
            <w:pPr>
              <w:ind w:left="180"/>
              <w:jc w:val="center"/>
              <w:outlineLvl w:val="2"/>
              <w:rPr>
                <w:szCs w:val="24"/>
              </w:rPr>
            </w:pPr>
            <w:r w:rsidRPr="00580923">
              <w:rPr>
                <w:szCs w:val="24"/>
              </w:rPr>
              <w:t>Loss &gt;</w:t>
            </w:r>
            <w:r>
              <w:rPr>
                <w:szCs w:val="24"/>
              </w:rPr>
              <w:t>1%</w:t>
            </w:r>
            <w:r w:rsidRPr="00580923">
              <w:rPr>
                <w:szCs w:val="24"/>
              </w:rPr>
              <w:t xml:space="preserve"> and ≤ </w:t>
            </w:r>
            <w:r>
              <w:rPr>
                <w:szCs w:val="24"/>
              </w:rPr>
              <w:t>10%</w:t>
            </w:r>
          </w:p>
        </w:tc>
        <w:tc>
          <w:tcPr>
            <w:tcW w:w="1620" w:type="dxa"/>
          </w:tcPr>
          <w:p w:rsidR="00851FDE" w:rsidRPr="00580923" w:rsidRDefault="00851FDE" w:rsidP="00C1269F">
            <w:pPr>
              <w:ind w:left="180"/>
              <w:jc w:val="center"/>
              <w:outlineLvl w:val="2"/>
              <w:rPr>
                <w:szCs w:val="24"/>
              </w:rPr>
            </w:pPr>
            <w:r w:rsidRPr="00580923">
              <w:rPr>
                <w:szCs w:val="24"/>
              </w:rPr>
              <w:t xml:space="preserve">101.1% to </w:t>
            </w:r>
            <w:r>
              <w:rPr>
                <w:szCs w:val="24"/>
              </w:rPr>
              <w:t>110.0%</w:t>
            </w:r>
          </w:p>
        </w:tc>
        <w:tc>
          <w:tcPr>
            <w:tcW w:w="1440" w:type="dxa"/>
          </w:tcPr>
          <w:p w:rsidR="00851FDE" w:rsidRPr="00580923" w:rsidRDefault="00851FDE" w:rsidP="00BA28D1">
            <w:pPr>
              <w:ind w:left="180"/>
              <w:jc w:val="center"/>
              <w:outlineLvl w:val="2"/>
              <w:rPr>
                <w:szCs w:val="24"/>
              </w:rPr>
            </w:pPr>
            <w:r w:rsidRPr="00580923">
              <w:rPr>
                <w:szCs w:val="24"/>
              </w:rPr>
              <w:t>10%</w:t>
            </w:r>
          </w:p>
        </w:tc>
        <w:tc>
          <w:tcPr>
            <w:tcW w:w="1710" w:type="dxa"/>
          </w:tcPr>
          <w:p w:rsidR="00851FDE" w:rsidRPr="00580923" w:rsidRDefault="00851FDE" w:rsidP="00BA28D1">
            <w:pPr>
              <w:ind w:left="180"/>
              <w:jc w:val="center"/>
              <w:outlineLvl w:val="2"/>
              <w:rPr>
                <w:szCs w:val="24"/>
              </w:rPr>
            </w:pPr>
            <w:r w:rsidRPr="00580923">
              <w:rPr>
                <w:szCs w:val="24"/>
              </w:rPr>
              <w:t>90%</w:t>
            </w:r>
          </w:p>
        </w:tc>
        <w:tc>
          <w:tcPr>
            <w:tcW w:w="1440" w:type="dxa"/>
          </w:tcPr>
          <w:p w:rsidR="00851FDE" w:rsidRPr="00580923" w:rsidRDefault="00851FDE" w:rsidP="00BA28D1">
            <w:pPr>
              <w:ind w:left="72"/>
              <w:jc w:val="center"/>
              <w:outlineLvl w:val="2"/>
              <w:rPr>
                <w:szCs w:val="24"/>
              </w:rPr>
            </w:pPr>
            <w:r w:rsidRPr="00580923">
              <w:rPr>
                <w:szCs w:val="24"/>
              </w:rPr>
              <w:t>(90%) * (Medicare A/B Percent of Rate)</w:t>
            </w:r>
          </w:p>
        </w:tc>
        <w:tc>
          <w:tcPr>
            <w:tcW w:w="1728" w:type="dxa"/>
          </w:tcPr>
          <w:p w:rsidR="00851FDE" w:rsidRPr="00580923" w:rsidRDefault="00851FDE" w:rsidP="00BA28D1">
            <w:pPr>
              <w:ind w:left="-18"/>
              <w:jc w:val="center"/>
              <w:outlineLvl w:val="2"/>
              <w:rPr>
                <w:szCs w:val="24"/>
              </w:rPr>
            </w:pPr>
            <w:r w:rsidRPr="00580923">
              <w:rPr>
                <w:szCs w:val="24"/>
              </w:rPr>
              <w:t>(90%)*</w:t>
            </w:r>
            <w:r>
              <w:rPr>
                <w:szCs w:val="24"/>
              </w:rPr>
              <w:t xml:space="preserve"> </w:t>
            </w:r>
            <w:r w:rsidRPr="00580923">
              <w:rPr>
                <w:szCs w:val="24"/>
              </w:rPr>
              <w:t>(Medicaid Percent of Rate)</w:t>
            </w:r>
          </w:p>
          <w:p w:rsidR="00851FDE" w:rsidRPr="00580923" w:rsidRDefault="00851FDE" w:rsidP="00BA28D1">
            <w:pPr>
              <w:ind w:left="-18"/>
              <w:jc w:val="center"/>
              <w:outlineLvl w:val="2"/>
              <w:rPr>
                <w:szCs w:val="24"/>
              </w:rPr>
            </w:pPr>
          </w:p>
        </w:tc>
      </w:tr>
      <w:tr w:rsidR="00851FDE" w:rsidRPr="00580923" w:rsidTr="00BA28D1">
        <w:tc>
          <w:tcPr>
            <w:tcW w:w="1530" w:type="dxa"/>
          </w:tcPr>
          <w:p w:rsidR="00851FDE" w:rsidRPr="00580923" w:rsidRDefault="00851FDE" w:rsidP="00BA28D1">
            <w:pPr>
              <w:ind w:left="180"/>
              <w:jc w:val="center"/>
              <w:outlineLvl w:val="2"/>
              <w:rPr>
                <w:szCs w:val="24"/>
              </w:rPr>
            </w:pPr>
            <w:r w:rsidRPr="00580923">
              <w:rPr>
                <w:szCs w:val="24"/>
              </w:rPr>
              <w:t>Loss or Gain ≤ 1%</w:t>
            </w:r>
          </w:p>
        </w:tc>
        <w:tc>
          <w:tcPr>
            <w:tcW w:w="1620" w:type="dxa"/>
          </w:tcPr>
          <w:p w:rsidR="00851FDE" w:rsidRPr="00580923" w:rsidRDefault="00851FDE" w:rsidP="00BA28D1">
            <w:pPr>
              <w:ind w:left="180"/>
              <w:jc w:val="center"/>
              <w:outlineLvl w:val="2"/>
              <w:rPr>
                <w:szCs w:val="24"/>
              </w:rPr>
            </w:pPr>
            <w:r w:rsidRPr="00580923">
              <w:rPr>
                <w:szCs w:val="24"/>
              </w:rPr>
              <w:t xml:space="preserve"> 99.0% to 101.0%</w:t>
            </w:r>
          </w:p>
        </w:tc>
        <w:tc>
          <w:tcPr>
            <w:tcW w:w="1440" w:type="dxa"/>
          </w:tcPr>
          <w:p w:rsidR="00851FDE" w:rsidRPr="00580923" w:rsidRDefault="00851FDE" w:rsidP="00BA28D1">
            <w:pPr>
              <w:ind w:left="180"/>
              <w:jc w:val="center"/>
              <w:outlineLvl w:val="2"/>
              <w:rPr>
                <w:szCs w:val="24"/>
              </w:rPr>
            </w:pPr>
            <w:r w:rsidRPr="00580923">
              <w:rPr>
                <w:szCs w:val="24"/>
              </w:rPr>
              <w:t>100%</w:t>
            </w:r>
          </w:p>
        </w:tc>
        <w:tc>
          <w:tcPr>
            <w:tcW w:w="1710" w:type="dxa"/>
          </w:tcPr>
          <w:p w:rsidR="00851FDE" w:rsidRPr="00580923" w:rsidRDefault="00851FDE" w:rsidP="00BA28D1">
            <w:pPr>
              <w:ind w:left="180"/>
              <w:jc w:val="center"/>
              <w:outlineLvl w:val="2"/>
              <w:rPr>
                <w:szCs w:val="24"/>
              </w:rPr>
            </w:pPr>
            <w:r w:rsidRPr="00580923">
              <w:rPr>
                <w:szCs w:val="24"/>
              </w:rPr>
              <w:t>0%</w:t>
            </w:r>
          </w:p>
        </w:tc>
        <w:tc>
          <w:tcPr>
            <w:tcW w:w="1440" w:type="dxa"/>
          </w:tcPr>
          <w:p w:rsidR="00851FDE" w:rsidRPr="00580923" w:rsidRDefault="00851FDE" w:rsidP="00BA28D1">
            <w:pPr>
              <w:ind w:left="72"/>
              <w:jc w:val="center"/>
              <w:outlineLvl w:val="2"/>
              <w:rPr>
                <w:szCs w:val="24"/>
              </w:rPr>
            </w:pPr>
            <w:r w:rsidRPr="00580923">
              <w:rPr>
                <w:szCs w:val="24"/>
              </w:rPr>
              <w:t>0%</w:t>
            </w:r>
          </w:p>
        </w:tc>
        <w:tc>
          <w:tcPr>
            <w:tcW w:w="1728" w:type="dxa"/>
          </w:tcPr>
          <w:p w:rsidR="00851FDE" w:rsidRPr="00580923" w:rsidRDefault="00851FDE" w:rsidP="00BA28D1">
            <w:pPr>
              <w:ind w:left="-18"/>
              <w:jc w:val="center"/>
              <w:outlineLvl w:val="2"/>
              <w:rPr>
                <w:szCs w:val="24"/>
              </w:rPr>
            </w:pPr>
            <w:r w:rsidRPr="00580923">
              <w:rPr>
                <w:szCs w:val="24"/>
              </w:rPr>
              <w:t>0%</w:t>
            </w:r>
          </w:p>
        </w:tc>
      </w:tr>
      <w:tr w:rsidR="00851FDE" w:rsidRPr="00580923" w:rsidTr="00BA28D1">
        <w:tc>
          <w:tcPr>
            <w:tcW w:w="1530" w:type="dxa"/>
          </w:tcPr>
          <w:p w:rsidR="00851FDE" w:rsidRPr="00580923" w:rsidRDefault="00851FDE" w:rsidP="00C1269F">
            <w:pPr>
              <w:ind w:left="180"/>
              <w:jc w:val="center"/>
              <w:outlineLvl w:val="2"/>
              <w:rPr>
                <w:szCs w:val="24"/>
              </w:rPr>
            </w:pPr>
            <w:r w:rsidRPr="00580923">
              <w:rPr>
                <w:szCs w:val="24"/>
              </w:rPr>
              <w:t xml:space="preserve">Gain &gt;1% and ≤ </w:t>
            </w:r>
            <w:r>
              <w:rPr>
                <w:szCs w:val="24"/>
              </w:rPr>
              <w:t>10</w:t>
            </w:r>
            <w:r w:rsidRPr="00580923">
              <w:rPr>
                <w:szCs w:val="24"/>
              </w:rPr>
              <w:t>%</w:t>
            </w:r>
          </w:p>
        </w:tc>
        <w:tc>
          <w:tcPr>
            <w:tcW w:w="1620" w:type="dxa"/>
          </w:tcPr>
          <w:p w:rsidR="00851FDE" w:rsidRPr="00580923" w:rsidRDefault="00851FDE" w:rsidP="00BA28D1">
            <w:pPr>
              <w:ind w:left="180"/>
              <w:jc w:val="center"/>
              <w:outlineLvl w:val="2"/>
              <w:rPr>
                <w:szCs w:val="24"/>
              </w:rPr>
            </w:pPr>
            <w:r>
              <w:rPr>
                <w:szCs w:val="24"/>
              </w:rPr>
              <w:t>90.0</w:t>
            </w:r>
            <w:r w:rsidRPr="00580923">
              <w:rPr>
                <w:szCs w:val="24"/>
              </w:rPr>
              <w:t>% to 98.9%</w:t>
            </w:r>
          </w:p>
        </w:tc>
        <w:tc>
          <w:tcPr>
            <w:tcW w:w="1440" w:type="dxa"/>
          </w:tcPr>
          <w:p w:rsidR="00851FDE" w:rsidRPr="00580923" w:rsidRDefault="00851FDE" w:rsidP="00BA28D1">
            <w:pPr>
              <w:ind w:left="180"/>
              <w:jc w:val="center"/>
              <w:outlineLvl w:val="2"/>
              <w:rPr>
                <w:szCs w:val="24"/>
              </w:rPr>
            </w:pPr>
            <w:r w:rsidRPr="00580923">
              <w:rPr>
                <w:szCs w:val="24"/>
              </w:rPr>
              <w:t>10%</w:t>
            </w:r>
          </w:p>
        </w:tc>
        <w:tc>
          <w:tcPr>
            <w:tcW w:w="1710" w:type="dxa"/>
          </w:tcPr>
          <w:p w:rsidR="00851FDE" w:rsidRPr="00580923" w:rsidRDefault="00851FDE" w:rsidP="00BA28D1">
            <w:pPr>
              <w:ind w:left="180"/>
              <w:jc w:val="center"/>
              <w:outlineLvl w:val="2"/>
              <w:rPr>
                <w:szCs w:val="24"/>
              </w:rPr>
            </w:pPr>
            <w:r w:rsidRPr="00580923">
              <w:rPr>
                <w:szCs w:val="24"/>
              </w:rPr>
              <w:t>90%</w:t>
            </w:r>
          </w:p>
        </w:tc>
        <w:tc>
          <w:tcPr>
            <w:tcW w:w="1440" w:type="dxa"/>
          </w:tcPr>
          <w:p w:rsidR="00851FDE" w:rsidRPr="00580923" w:rsidRDefault="00851FDE" w:rsidP="00BA28D1">
            <w:pPr>
              <w:ind w:left="72"/>
              <w:jc w:val="center"/>
              <w:outlineLvl w:val="2"/>
              <w:rPr>
                <w:szCs w:val="24"/>
              </w:rPr>
            </w:pPr>
            <w:r w:rsidRPr="00580923">
              <w:rPr>
                <w:szCs w:val="24"/>
              </w:rPr>
              <w:t>(90%) * (Medicare A/B Percent of Rate)</w:t>
            </w:r>
          </w:p>
        </w:tc>
        <w:tc>
          <w:tcPr>
            <w:tcW w:w="1728" w:type="dxa"/>
          </w:tcPr>
          <w:p w:rsidR="00851FDE" w:rsidRPr="00580923" w:rsidRDefault="00851FDE" w:rsidP="00BA28D1">
            <w:pPr>
              <w:ind w:left="-18"/>
              <w:jc w:val="center"/>
              <w:outlineLvl w:val="2"/>
              <w:rPr>
                <w:szCs w:val="24"/>
              </w:rPr>
            </w:pPr>
            <w:r w:rsidRPr="00580923">
              <w:rPr>
                <w:szCs w:val="24"/>
              </w:rPr>
              <w:t>(90%)*</w:t>
            </w:r>
            <w:r>
              <w:rPr>
                <w:szCs w:val="24"/>
              </w:rPr>
              <w:t xml:space="preserve"> </w:t>
            </w:r>
            <w:r w:rsidRPr="00580923">
              <w:rPr>
                <w:szCs w:val="24"/>
              </w:rPr>
              <w:t>(Medicaid Percent of Rate)</w:t>
            </w:r>
          </w:p>
          <w:p w:rsidR="00851FDE" w:rsidRPr="00580923" w:rsidRDefault="00851FDE" w:rsidP="00BA28D1">
            <w:pPr>
              <w:ind w:left="-18"/>
              <w:jc w:val="center"/>
              <w:outlineLvl w:val="2"/>
              <w:rPr>
                <w:szCs w:val="24"/>
              </w:rPr>
            </w:pPr>
          </w:p>
        </w:tc>
      </w:tr>
      <w:tr w:rsidR="00851FDE" w:rsidRPr="00580923" w:rsidTr="00BA28D1">
        <w:tc>
          <w:tcPr>
            <w:tcW w:w="1530" w:type="dxa"/>
          </w:tcPr>
          <w:p w:rsidR="00851FDE" w:rsidRPr="00580923" w:rsidRDefault="00851FDE" w:rsidP="00B85763">
            <w:pPr>
              <w:ind w:left="180"/>
              <w:outlineLvl w:val="2"/>
              <w:rPr>
                <w:szCs w:val="24"/>
              </w:rPr>
            </w:pPr>
            <w:r w:rsidRPr="00580923">
              <w:rPr>
                <w:szCs w:val="24"/>
              </w:rPr>
              <w:t>Gain &gt;</w:t>
            </w:r>
            <w:r>
              <w:rPr>
                <w:szCs w:val="24"/>
              </w:rPr>
              <w:t>10%</w:t>
            </w:r>
            <w:r w:rsidRPr="00580923">
              <w:rPr>
                <w:szCs w:val="24"/>
              </w:rPr>
              <w:t xml:space="preserve"> and ≤ 20%</w:t>
            </w:r>
          </w:p>
        </w:tc>
        <w:tc>
          <w:tcPr>
            <w:tcW w:w="1620" w:type="dxa"/>
          </w:tcPr>
          <w:p w:rsidR="00851FDE" w:rsidRPr="00580923" w:rsidRDefault="00851FDE" w:rsidP="00C1269F">
            <w:pPr>
              <w:ind w:left="180"/>
              <w:jc w:val="center"/>
              <w:outlineLvl w:val="2"/>
              <w:rPr>
                <w:szCs w:val="24"/>
              </w:rPr>
            </w:pPr>
            <w:r w:rsidRPr="00580923">
              <w:rPr>
                <w:szCs w:val="24"/>
              </w:rPr>
              <w:t xml:space="preserve">80.0% to </w:t>
            </w:r>
            <w:r>
              <w:rPr>
                <w:szCs w:val="24"/>
              </w:rPr>
              <w:t>89.9%</w:t>
            </w:r>
          </w:p>
        </w:tc>
        <w:tc>
          <w:tcPr>
            <w:tcW w:w="1440" w:type="dxa"/>
          </w:tcPr>
          <w:p w:rsidR="00851FDE" w:rsidRPr="00580923" w:rsidRDefault="00851FDE" w:rsidP="00BA28D1">
            <w:pPr>
              <w:ind w:left="180"/>
              <w:jc w:val="center"/>
              <w:outlineLvl w:val="2"/>
              <w:rPr>
                <w:szCs w:val="24"/>
              </w:rPr>
            </w:pPr>
            <w:r w:rsidRPr="00580923">
              <w:rPr>
                <w:szCs w:val="24"/>
              </w:rPr>
              <w:t>50%</w:t>
            </w:r>
          </w:p>
        </w:tc>
        <w:tc>
          <w:tcPr>
            <w:tcW w:w="1710" w:type="dxa"/>
          </w:tcPr>
          <w:p w:rsidR="00851FDE" w:rsidRPr="00580923" w:rsidRDefault="00851FDE" w:rsidP="00C1269F">
            <w:pPr>
              <w:ind w:left="180"/>
              <w:jc w:val="center"/>
              <w:outlineLvl w:val="2"/>
              <w:rPr>
                <w:szCs w:val="24"/>
              </w:rPr>
            </w:pPr>
            <w:r w:rsidRPr="00580923">
              <w:rPr>
                <w:szCs w:val="24"/>
              </w:rPr>
              <w:t>50%</w:t>
            </w:r>
          </w:p>
        </w:tc>
        <w:tc>
          <w:tcPr>
            <w:tcW w:w="1440" w:type="dxa"/>
          </w:tcPr>
          <w:p w:rsidR="00851FDE" w:rsidRPr="00580923" w:rsidRDefault="00851FDE" w:rsidP="00C1269F">
            <w:pPr>
              <w:ind w:left="72"/>
              <w:jc w:val="center"/>
              <w:outlineLvl w:val="2"/>
              <w:rPr>
                <w:szCs w:val="24"/>
              </w:rPr>
            </w:pPr>
            <w:r w:rsidRPr="00580923">
              <w:rPr>
                <w:szCs w:val="24"/>
              </w:rPr>
              <w:t>(50%) * (Medicare A/B Percent of Rate)</w:t>
            </w:r>
          </w:p>
        </w:tc>
        <w:tc>
          <w:tcPr>
            <w:tcW w:w="1728" w:type="dxa"/>
          </w:tcPr>
          <w:p w:rsidR="00851FDE" w:rsidRPr="00580923" w:rsidRDefault="00851FDE" w:rsidP="00BA28D1">
            <w:pPr>
              <w:ind w:left="-18"/>
              <w:jc w:val="center"/>
              <w:outlineLvl w:val="2"/>
              <w:rPr>
                <w:szCs w:val="24"/>
              </w:rPr>
            </w:pPr>
            <w:r w:rsidRPr="00580923">
              <w:rPr>
                <w:szCs w:val="24"/>
              </w:rPr>
              <w:t>(50%)*</w:t>
            </w:r>
            <w:r>
              <w:rPr>
                <w:szCs w:val="24"/>
              </w:rPr>
              <w:t xml:space="preserve"> </w:t>
            </w:r>
            <w:r w:rsidRPr="00580923">
              <w:rPr>
                <w:szCs w:val="24"/>
              </w:rPr>
              <w:t>(Medicaid Percent of Rate)</w:t>
            </w:r>
          </w:p>
          <w:p w:rsidR="00851FDE" w:rsidRPr="00580923" w:rsidRDefault="00851FDE" w:rsidP="00BA28D1">
            <w:pPr>
              <w:ind w:left="-18"/>
              <w:jc w:val="center"/>
              <w:outlineLvl w:val="2"/>
              <w:rPr>
                <w:szCs w:val="24"/>
              </w:rPr>
            </w:pPr>
          </w:p>
        </w:tc>
      </w:tr>
      <w:tr w:rsidR="00851FDE" w:rsidRPr="00580923" w:rsidTr="00BA28D1">
        <w:tc>
          <w:tcPr>
            <w:tcW w:w="1530" w:type="dxa"/>
          </w:tcPr>
          <w:p w:rsidR="00851FDE" w:rsidRPr="00580923" w:rsidRDefault="00851FDE" w:rsidP="00C1269F">
            <w:pPr>
              <w:ind w:left="720" w:hanging="720"/>
              <w:jc w:val="center"/>
              <w:outlineLvl w:val="2"/>
              <w:rPr>
                <w:szCs w:val="24"/>
              </w:rPr>
            </w:pPr>
            <w:r w:rsidRPr="00580923">
              <w:rPr>
                <w:szCs w:val="24"/>
              </w:rPr>
              <w:t>Gain &gt;20%</w:t>
            </w:r>
          </w:p>
        </w:tc>
        <w:tc>
          <w:tcPr>
            <w:tcW w:w="1620" w:type="dxa"/>
          </w:tcPr>
          <w:p w:rsidR="00851FDE" w:rsidRPr="00580923" w:rsidRDefault="00851FDE" w:rsidP="00C1269F">
            <w:pPr>
              <w:ind w:left="720" w:hanging="720"/>
              <w:jc w:val="center"/>
              <w:outlineLvl w:val="2"/>
              <w:rPr>
                <w:szCs w:val="24"/>
              </w:rPr>
            </w:pPr>
            <w:r w:rsidRPr="00580923">
              <w:rPr>
                <w:szCs w:val="24"/>
              </w:rPr>
              <w:t>&lt; 80.0%</w:t>
            </w:r>
          </w:p>
        </w:tc>
        <w:tc>
          <w:tcPr>
            <w:tcW w:w="1440" w:type="dxa"/>
          </w:tcPr>
          <w:p w:rsidR="00851FDE" w:rsidRPr="00580923" w:rsidRDefault="00851FDE" w:rsidP="00C1269F">
            <w:pPr>
              <w:ind w:left="720" w:hanging="720"/>
              <w:jc w:val="center"/>
              <w:outlineLvl w:val="2"/>
              <w:rPr>
                <w:szCs w:val="24"/>
              </w:rPr>
            </w:pPr>
            <w:r w:rsidRPr="00580923">
              <w:rPr>
                <w:szCs w:val="24"/>
              </w:rPr>
              <w:t>100%</w:t>
            </w:r>
          </w:p>
        </w:tc>
        <w:tc>
          <w:tcPr>
            <w:tcW w:w="1710" w:type="dxa"/>
          </w:tcPr>
          <w:p w:rsidR="00851FDE" w:rsidRPr="00580923" w:rsidRDefault="00851FDE" w:rsidP="00C1269F">
            <w:pPr>
              <w:ind w:left="720" w:hanging="720"/>
              <w:jc w:val="center"/>
              <w:outlineLvl w:val="2"/>
              <w:rPr>
                <w:szCs w:val="24"/>
              </w:rPr>
            </w:pPr>
            <w:r w:rsidRPr="00580923">
              <w:rPr>
                <w:szCs w:val="24"/>
              </w:rPr>
              <w:t>0%</w:t>
            </w:r>
          </w:p>
        </w:tc>
        <w:tc>
          <w:tcPr>
            <w:tcW w:w="1440" w:type="dxa"/>
          </w:tcPr>
          <w:p w:rsidR="00851FDE" w:rsidRPr="00580923" w:rsidRDefault="00851FDE" w:rsidP="00B85763">
            <w:pPr>
              <w:ind w:left="72"/>
              <w:jc w:val="center"/>
              <w:outlineLvl w:val="2"/>
              <w:rPr>
                <w:szCs w:val="24"/>
              </w:rPr>
            </w:pPr>
            <w:r w:rsidRPr="00580923">
              <w:rPr>
                <w:szCs w:val="24"/>
              </w:rPr>
              <w:t>0%</w:t>
            </w:r>
          </w:p>
        </w:tc>
        <w:tc>
          <w:tcPr>
            <w:tcW w:w="1728" w:type="dxa"/>
          </w:tcPr>
          <w:p w:rsidR="00851FDE" w:rsidRPr="00580923" w:rsidRDefault="00851FDE" w:rsidP="00BA28D1">
            <w:pPr>
              <w:ind w:left="720" w:hanging="720"/>
              <w:jc w:val="center"/>
              <w:outlineLvl w:val="2"/>
              <w:rPr>
                <w:szCs w:val="24"/>
              </w:rPr>
            </w:pPr>
            <w:r w:rsidRPr="00580923">
              <w:rPr>
                <w:szCs w:val="24"/>
              </w:rPr>
              <w:t>0%</w:t>
            </w:r>
          </w:p>
        </w:tc>
      </w:tr>
    </w:tbl>
    <w:p w:rsidR="00851FDE" w:rsidRPr="00580923" w:rsidRDefault="00851FDE" w:rsidP="00911ABA">
      <w:pPr>
        <w:ind w:left="540" w:hanging="180"/>
        <w:outlineLvl w:val="2"/>
        <w:rPr>
          <w:szCs w:val="24"/>
        </w:rPr>
      </w:pPr>
      <w:r w:rsidRPr="00580923">
        <w:rPr>
          <w:szCs w:val="24"/>
          <w:vertAlign w:val="superscript"/>
        </w:rPr>
        <w:t xml:space="preserve">1  </w:t>
      </w:r>
      <w:r w:rsidRPr="00580923">
        <w:rPr>
          <w:szCs w:val="24"/>
        </w:rPr>
        <w:t>Loss and gain reflected on an incremental basis, rounded to the nearest one tenth of a percent.  Loss or gain &gt;20.0% still results in risk sharing reconciliation for the loss or gain between 1.1% and 20.0%.</w:t>
      </w:r>
    </w:p>
    <w:p w:rsidR="00851FDE" w:rsidRPr="00580923" w:rsidRDefault="00851FDE" w:rsidP="00911ABA">
      <w:pPr>
        <w:ind w:left="540" w:hanging="180"/>
        <w:rPr>
          <w:szCs w:val="24"/>
        </w:rPr>
      </w:pPr>
    </w:p>
    <w:p w:rsidR="00851FDE" w:rsidRPr="00580923" w:rsidRDefault="00851FDE" w:rsidP="00911ABA">
      <w:pPr>
        <w:ind w:left="540" w:hanging="180"/>
        <w:outlineLvl w:val="2"/>
        <w:rPr>
          <w:szCs w:val="24"/>
        </w:rPr>
      </w:pPr>
      <w:r>
        <w:rPr>
          <w:szCs w:val="24"/>
          <w:vertAlign w:val="superscript"/>
        </w:rPr>
        <w:t>2</w:t>
      </w:r>
      <w:r w:rsidRPr="00580923">
        <w:rPr>
          <w:szCs w:val="24"/>
          <w:vertAlign w:val="superscript"/>
        </w:rPr>
        <w:t xml:space="preserve">  </w:t>
      </w:r>
      <w:r w:rsidRPr="00580923">
        <w:rPr>
          <w:szCs w:val="24"/>
        </w:rPr>
        <w:t xml:space="preserve">All EOHHS Risk Sharing shall be treated as Medicaid expenditures eligible for FMAP.  </w:t>
      </w:r>
    </w:p>
    <w:p w:rsidR="00851FDE" w:rsidRPr="00580923" w:rsidRDefault="00851FDE" w:rsidP="00911ABA">
      <w:pPr>
        <w:ind w:left="540" w:hanging="180"/>
        <w:outlineLvl w:val="2"/>
        <w:rPr>
          <w:szCs w:val="24"/>
        </w:rPr>
      </w:pPr>
    </w:p>
    <w:p w:rsidR="00851FDE" w:rsidRPr="00580923" w:rsidRDefault="00851FDE" w:rsidP="00D82DD9">
      <w:pPr>
        <w:ind w:left="1800" w:hanging="360"/>
        <w:outlineLvl w:val="2"/>
        <w:rPr>
          <w:szCs w:val="24"/>
        </w:rPr>
      </w:pPr>
      <w:r w:rsidRPr="00580923">
        <w:rPr>
          <w:szCs w:val="24"/>
        </w:rPr>
        <w:t xml:space="preserve">b. </w:t>
      </w:r>
      <w:r w:rsidRPr="00580923">
        <w:rPr>
          <w:szCs w:val="24"/>
        </w:rPr>
        <w:tab/>
        <w:t>Demonstration Year 2</w:t>
      </w:r>
    </w:p>
    <w:p w:rsidR="00851FDE" w:rsidRPr="00580923" w:rsidRDefault="00851FDE" w:rsidP="00D82DD9">
      <w:pPr>
        <w:ind w:left="1800" w:hanging="360"/>
        <w:outlineLvl w:val="2"/>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851FDE" w:rsidRPr="00580923" w:rsidTr="00BA28D1">
        <w:tc>
          <w:tcPr>
            <w:tcW w:w="1530" w:type="dxa"/>
          </w:tcPr>
          <w:p w:rsidR="00851FDE" w:rsidRPr="00580923" w:rsidRDefault="00851FDE" w:rsidP="00BA28D1">
            <w:pPr>
              <w:ind w:hanging="18"/>
              <w:jc w:val="center"/>
              <w:outlineLvl w:val="2"/>
              <w:rPr>
                <w:b/>
                <w:szCs w:val="24"/>
              </w:rPr>
            </w:pPr>
            <w:r w:rsidRPr="00580923">
              <w:rPr>
                <w:b/>
                <w:szCs w:val="24"/>
              </w:rPr>
              <w:t xml:space="preserve">Incremental Loss or </w:t>
            </w:r>
            <w:r w:rsidRPr="00580923">
              <w:rPr>
                <w:b/>
                <w:szCs w:val="24"/>
              </w:rPr>
              <w:lastRenderedPageBreak/>
              <w:t>Gain (as % of Total Adjusted Capitation Rate Revenue)</w:t>
            </w:r>
            <w:r w:rsidRPr="00580923">
              <w:rPr>
                <w:b/>
                <w:szCs w:val="24"/>
                <w:vertAlign w:val="superscript"/>
              </w:rPr>
              <w:t>1</w:t>
            </w:r>
          </w:p>
        </w:tc>
        <w:tc>
          <w:tcPr>
            <w:tcW w:w="1620" w:type="dxa"/>
          </w:tcPr>
          <w:p w:rsidR="00851FDE" w:rsidRPr="00580923" w:rsidRDefault="00851FDE" w:rsidP="00BA28D1">
            <w:pPr>
              <w:jc w:val="center"/>
              <w:outlineLvl w:val="2"/>
              <w:rPr>
                <w:b/>
                <w:szCs w:val="24"/>
              </w:rPr>
            </w:pPr>
            <w:r w:rsidRPr="00580923">
              <w:rPr>
                <w:b/>
                <w:szCs w:val="24"/>
              </w:rPr>
              <w:lastRenderedPageBreak/>
              <w:t xml:space="preserve">Corresponding Risk </w:t>
            </w:r>
            <w:r w:rsidRPr="00580923">
              <w:rPr>
                <w:b/>
                <w:szCs w:val="24"/>
              </w:rPr>
              <w:lastRenderedPageBreak/>
              <w:t>Corridor Percentage</w:t>
            </w:r>
          </w:p>
        </w:tc>
        <w:tc>
          <w:tcPr>
            <w:tcW w:w="1440" w:type="dxa"/>
          </w:tcPr>
          <w:p w:rsidR="00851FDE" w:rsidRPr="00580923" w:rsidRDefault="00851FDE" w:rsidP="00BA28D1">
            <w:pPr>
              <w:jc w:val="center"/>
              <w:outlineLvl w:val="2"/>
              <w:rPr>
                <w:b/>
                <w:szCs w:val="24"/>
              </w:rPr>
            </w:pPr>
            <w:r w:rsidRPr="00580923">
              <w:rPr>
                <w:b/>
                <w:szCs w:val="24"/>
              </w:rPr>
              <w:lastRenderedPageBreak/>
              <w:t xml:space="preserve">% Contractor </w:t>
            </w:r>
            <w:r w:rsidRPr="00580923">
              <w:rPr>
                <w:b/>
                <w:szCs w:val="24"/>
              </w:rPr>
              <w:lastRenderedPageBreak/>
              <w:t>Risk Sharing</w:t>
            </w:r>
          </w:p>
        </w:tc>
        <w:tc>
          <w:tcPr>
            <w:tcW w:w="1710" w:type="dxa"/>
          </w:tcPr>
          <w:p w:rsidR="00851FDE" w:rsidRPr="00580923" w:rsidRDefault="00851FDE" w:rsidP="00BA28D1">
            <w:pPr>
              <w:jc w:val="center"/>
              <w:outlineLvl w:val="2"/>
              <w:rPr>
                <w:b/>
                <w:szCs w:val="24"/>
              </w:rPr>
            </w:pPr>
            <w:r w:rsidRPr="00580923">
              <w:rPr>
                <w:b/>
                <w:szCs w:val="24"/>
              </w:rPr>
              <w:lastRenderedPageBreak/>
              <w:t xml:space="preserve">% EOHHS &amp; CMS Risk </w:t>
            </w:r>
            <w:r w:rsidRPr="00580923">
              <w:rPr>
                <w:b/>
                <w:szCs w:val="24"/>
              </w:rPr>
              <w:lastRenderedPageBreak/>
              <w:t>Sharing</w:t>
            </w:r>
          </w:p>
        </w:tc>
        <w:tc>
          <w:tcPr>
            <w:tcW w:w="1440" w:type="dxa"/>
          </w:tcPr>
          <w:p w:rsidR="00851FDE" w:rsidRPr="00580923" w:rsidRDefault="00851FDE" w:rsidP="00D82DD9">
            <w:pPr>
              <w:jc w:val="center"/>
              <w:outlineLvl w:val="2"/>
              <w:rPr>
                <w:b/>
                <w:szCs w:val="24"/>
              </w:rPr>
            </w:pPr>
            <w:r w:rsidRPr="00580923">
              <w:rPr>
                <w:b/>
                <w:szCs w:val="24"/>
              </w:rPr>
              <w:lastRenderedPageBreak/>
              <w:t xml:space="preserve">% CMS Risk </w:t>
            </w:r>
            <w:r w:rsidRPr="00580923">
              <w:rPr>
                <w:b/>
                <w:szCs w:val="24"/>
              </w:rPr>
              <w:lastRenderedPageBreak/>
              <w:t>Sharing</w:t>
            </w:r>
          </w:p>
        </w:tc>
        <w:tc>
          <w:tcPr>
            <w:tcW w:w="1728" w:type="dxa"/>
          </w:tcPr>
          <w:p w:rsidR="00851FDE" w:rsidRPr="00580923" w:rsidRDefault="00851FDE" w:rsidP="00BA28D1">
            <w:pPr>
              <w:ind w:hanging="18"/>
              <w:jc w:val="center"/>
              <w:outlineLvl w:val="2"/>
              <w:rPr>
                <w:b/>
                <w:szCs w:val="24"/>
              </w:rPr>
            </w:pPr>
            <w:r w:rsidRPr="00580923">
              <w:rPr>
                <w:b/>
                <w:szCs w:val="24"/>
              </w:rPr>
              <w:lastRenderedPageBreak/>
              <w:t xml:space="preserve">% EOHHS Risk </w:t>
            </w:r>
            <w:r w:rsidRPr="00580923">
              <w:rPr>
                <w:b/>
                <w:szCs w:val="24"/>
              </w:rPr>
              <w:lastRenderedPageBreak/>
              <w:t>Sharing</w:t>
            </w:r>
            <w:r w:rsidRPr="00580923">
              <w:rPr>
                <w:b/>
                <w:szCs w:val="24"/>
                <w:vertAlign w:val="superscript"/>
              </w:rPr>
              <w:t>2</w:t>
            </w:r>
          </w:p>
        </w:tc>
      </w:tr>
      <w:tr w:rsidR="00851FDE" w:rsidRPr="00580923" w:rsidTr="00BA28D1">
        <w:tc>
          <w:tcPr>
            <w:tcW w:w="1530" w:type="dxa"/>
          </w:tcPr>
          <w:p w:rsidR="00851FDE" w:rsidRPr="00580923" w:rsidRDefault="00851FDE" w:rsidP="00D82DD9">
            <w:pPr>
              <w:ind w:left="180"/>
              <w:jc w:val="center"/>
              <w:outlineLvl w:val="2"/>
              <w:rPr>
                <w:szCs w:val="24"/>
              </w:rPr>
            </w:pPr>
            <w:r w:rsidRPr="00580923">
              <w:rPr>
                <w:szCs w:val="24"/>
              </w:rPr>
              <w:lastRenderedPageBreak/>
              <w:t>Loss &gt;10%</w:t>
            </w:r>
          </w:p>
        </w:tc>
        <w:tc>
          <w:tcPr>
            <w:tcW w:w="1620" w:type="dxa"/>
          </w:tcPr>
          <w:p w:rsidR="00851FDE" w:rsidRPr="00580923" w:rsidRDefault="00851FDE" w:rsidP="00D82DD9">
            <w:pPr>
              <w:ind w:left="180"/>
              <w:jc w:val="center"/>
              <w:outlineLvl w:val="2"/>
              <w:rPr>
                <w:szCs w:val="24"/>
              </w:rPr>
            </w:pPr>
            <w:r w:rsidRPr="00580923">
              <w:rPr>
                <w:szCs w:val="24"/>
              </w:rPr>
              <w:t>&gt;110.0%</w:t>
            </w:r>
          </w:p>
        </w:tc>
        <w:tc>
          <w:tcPr>
            <w:tcW w:w="1440" w:type="dxa"/>
          </w:tcPr>
          <w:p w:rsidR="00851FDE" w:rsidRPr="00580923" w:rsidRDefault="00851FDE" w:rsidP="00BA28D1">
            <w:pPr>
              <w:ind w:left="180"/>
              <w:jc w:val="center"/>
              <w:outlineLvl w:val="2"/>
              <w:rPr>
                <w:szCs w:val="24"/>
              </w:rPr>
            </w:pPr>
            <w:r w:rsidRPr="00580923">
              <w:rPr>
                <w:szCs w:val="24"/>
              </w:rPr>
              <w:t>100%</w:t>
            </w:r>
          </w:p>
        </w:tc>
        <w:tc>
          <w:tcPr>
            <w:tcW w:w="1710" w:type="dxa"/>
          </w:tcPr>
          <w:p w:rsidR="00851FDE" w:rsidRPr="00580923" w:rsidRDefault="00851FDE" w:rsidP="00BA28D1">
            <w:pPr>
              <w:ind w:left="180"/>
              <w:jc w:val="center"/>
              <w:outlineLvl w:val="2"/>
              <w:rPr>
                <w:szCs w:val="24"/>
              </w:rPr>
            </w:pPr>
            <w:r w:rsidRPr="00580923">
              <w:rPr>
                <w:szCs w:val="24"/>
              </w:rPr>
              <w:t>0%</w:t>
            </w:r>
          </w:p>
        </w:tc>
        <w:tc>
          <w:tcPr>
            <w:tcW w:w="1440" w:type="dxa"/>
          </w:tcPr>
          <w:p w:rsidR="00851FDE" w:rsidRPr="00580923" w:rsidRDefault="00851FDE" w:rsidP="00BA28D1">
            <w:pPr>
              <w:ind w:left="180"/>
              <w:jc w:val="center"/>
              <w:outlineLvl w:val="2"/>
              <w:rPr>
                <w:szCs w:val="24"/>
              </w:rPr>
            </w:pPr>
            <w:r w:rsidRPr="00580923">
              <w:rPr>
                <w:szCs w:val="24"/>
              </w:rPr>
              <w:t>0%</w:t>
            </w:r>
          </w:p>
        </w:tc>
        <w:tc>
          <w:tcPr>
            <w:tcW w:w="1728" w:type="dxa"/>
          </w:tcPr>
          <w:p w:rsidR="00851FDE" w:rsidRPr="00580923" w:rsidRDefault="00851FDE" w:rsidP="00BA28D1">
            <w:pPr>
              <w:ind w:left="180"/>
              <w:jc w:val="center"/>
              <w:outlineLvl w:val="2"/>
              <w:rPr>
                <w:szCs w:val="24"/>
              </w:rPr>
            </w:pPr>
            <w:r w:rsidRPr="00580923">
              <w:rPr>
                <w:szCs w:val="24"/>
              </w:rPr>
              <w:t>0%</w:t>
            </w:r>
          </w:p>
        </w:tc>
      </w:tr>
      <w:tr w:rsidR="00851FDE" w:rsidRPr="00580923" w:rsidTr="00BA28D1">
        <w:tc>
          <w:tcPr>
            <w:tcW w:w="1530" w:type="dxa"/>
          </w:tcPr>
          <w:p w:rsidR="00851FDE" w:rsidRPr="00580923" w:rsidRDefault="00851FDE" w:rsidP="00D82DD9">
            <w:pPr>
              <w:ind w:left="180"/>
              <w:jc w:val="center"/>
              <w:outlineLvl w:val="2"/>
              <w:rPr>
                <w:szCs w:val="24"/>
              </w:rPr>
            </w:pPr>
            <w:r w:rsidRPr="00580923">
              <w:rPr>
                <w:szCs w:val="24"/>
              </w:rPr>
              <w:t>Loss &gt;3% and ≤ 10%</w:t>
            </w:r>
          </w:p>
        </w:tc>
        <w:tc>
          <w:tcPr>
            <w:tcW w:w="1620" w:type="dxa"/>
          </w:tcPr>
          <w:p w:rsidR="00851FDE" w:rsidRPr="00580923" w:rsidRDefault="00851FDE" w:rsidP="00BA28D1">
            <w:pPr>
              <w:ind w:left="180"/>
              <w:jc w:val="center"/>
              <w:outlineLvl w:val="2"/>
              <w:rPr>
                <w:szCs w:val="24"/>
              </w:rPr>
            </w:pPr>
            <w:r w:rsidRPr="00580923">
              <w:rPr>
                <w:szCs w:val="24"/>
              </w:rPr>
              <w:t>103.1% to 110.0%</w:t>
            </w:r>
          </w:p>
          <w:p w:rsidR="00851FDE" w:rsidRPr="00580923" w:rsidRDefault="00851FDE" w:rsidP="00BA28D1">
            <w:pPr>
              <w:ind w:left="180"/>
              <w:jc w:val="center"/>
              <w:outlineLvl w:val="2"/>
              <w:rPr>
                <w:szCs w:val="24"/>
              </w:rPr>
            </w:pPr>
          </w:p>
        </w:tc>
        <w:tc>
          <w:tcPr>
            <w:tcW w:w="1440" w:type="dxa"/>
          </w:tcPr>
          <w:p w:rsidR="00851FDE" w:rsidRPr="00580923" w:rsidRDefault="00851FDE" w:rsidP="00BA28D1">
            <w:pPr>
              <w:ind w:left="180"/>
              <w:jc w:val="center"/>
              <w:outlineLvl w:val="2"/>
              <w:rPr>
                <w:szCs w:val="24"/>
              </w:rPr>
            </w:pPr>
            <w:r w:rsidRPr="00580923">
              <w:rPr>
                <w:szCs w:val="24"/>
              </w:rPr>
              <w:t>50%</w:t>
            </w:r>
          </w:p>
        </w:tc>
        <w:tc>
          <w:tcPr>
            <w:tcW w:w="1710" w:type="dxa"/>
          </w:tcPr>
          <w:p w:rsidR="00851FDE" w:rsidRPr="00580923" w:rsidRDefault="00851FDE" w:rsidP="00BA28D1">
            <w:pPr>
              <w:ind w:left="180"/>
              <w:jc w:val="center"/>
              <w:outlineLvl w:val="2"/>
              <w:rPr>
                <w:szCs w:val="24"/>
              </w:rPr>
            </w:pPr>
            <w:r w:rsidRPr="00580923">
              <w:rPr>
                <w:szCs w:val="24"/>
              </w:rPr>
              <w:t>50%</w:t>
            </w:r>
          </w:p>
        </w:tc>
        <w:tc>
          <w:tcPr>
            <w:tcW w:w="1440" w:type="dxa"/>
          </w:tcPr>
          <w:p w:rsidR="00851FDE" w:rsidRPr="00580923" w:rsidRDefault="00851FDE" w:rsidP="00BA28D1">
            <w:pPr>
              <w:ind w:left="72"/>
              <w:jc w:val="center"/>
              <w:outlineLvl w:val="2"/>
              <w:rPr>
                <w:szCs w:val="24"/>
              </w:rPr>
            </w:pPr>
            <w:r w:rsidRPr="00580923">
              <w:rPr>
                <w:szCs w:val="24"/>
              </w:rPr>
              <w:t>(50%) * (Medicare A/B Percent of Rate)</w:t>
            </w:r>
          </w:p>
        </w:tc>
        <w:tc>
          <w:tcPr>
            <w:tcW w:w="1728" w:type="dxa"/>
          </w:tcPr>
          <w:p w:rsidR="00851FDE" w:rsidRPr="00580923" w:rsidRDefault="00851FDE" w:rsidP="00BA28D1">
            <w:pPr>
              <w:ind w:left="-18"/>
              <w:jc w:val="center"/>
              <w:outlineLvl w:val="2"/>
              <w:rPr>
                <w:szCs w:val="24"/>
              </w:rPr>
            </w:pPr>
            <w:r w:rsidRPr="00580923">
              <w:rPr>
                <w:szCs w:val="24"/>
              </w:rPr>
              <w:t>(50%)*</w:t>
            </w:r>
            <w:r>
              <w:rPr>
                <w:szCs w:val="24"/>
              </w:rPr>
              <w:t xml:space="preserve"> </w:t>
            </w:r>
            <w:r w:rsidRPr="00580923">
              <w:rPr>
                <w:szCs w:val="24"/>
              </w:rPr>
              <w:t>(Medicaid Percent of Rate)</w:t>
            </w:r>
          </w:p>
          <w:p w:rsidR="00851FDE" w:rsidRPr="00580923" w:rsidRDefault="00851FDE" w:rsidP="00BA28D1">
            <w:pPr>
              <w:ind w:left="-18"/>
              <w:jc w:val="center"/>
              <w:outlineLvl w:val="2"/>
              <w:rPr>
                <w:szCs w:val="24"/>
              </w:rPr>
            </w:pPr>
          </w:p>
        </w:tc>
      </w:tr>
      <w:tr w:rsidR="00851FDE" w:rsidRPr="00580923" w:rsidTr="00BA28D1">
        <w:tc>
          <w:tcPr>
            <w:tcW w:w="1530" w:type="dxa"/>
          </w:tcPr>
          <w:p w:rsidR="00851FDE" w:rsidRPr="00580923" w:rsidRDefault="00851FDE" w:rsidP="00880043">
            <w:pPr>
              <w:ind w:left="180"/>
              <w:jc w:val="center"/>
              <w:outlineLvl w:val="2"/>
              <w:rPr>
                <w:szCs w:val="24"/>
              </w:rPr>
            </w:pPr>
            <w:r w:rsidRPr="00580923">
              <w:rPr>
                <w:szCs w:val="24"/>
              </w:rPr>
              <w:t>Loss or Gain ≤ 3%</w:t>
            </w:r>
          </w:p>
        </w:tc>
        <w:tc>
          <w:tcPr>
            <w:tcW w:w="1620" w:type="dxa"/>
          </w:tcPr>
          <w:p w:rsidR="00851FDE" w:rsidRPr="00580923" w:rsidRDefault="00851FDE" w:rsidP="005B4A4C">
            <w:pPr>
              <w:ind w:left="180"/>
              <w:jc w:val="center"/>
              <w:outlineLvl w:val="2"/>
              <w:rPr>
                <w:szCs w:val="24"/>
              </w:rPr>
            </w:pPr>
            <w:r w:rsidRPr="00580923">
              <w:rPr>
                <w:szCs w:val="24"/>
              </w:rPr>
              <w:t xml:space="preserve"> 97.0% to 103.0%</w:t>
            </w:r>
          </w:p>
        </w:tc>
        <w:tc>
          <w:tcPr>
            <w:tcW w:w="1440" w:type="dxa"/>
          </w:tcPr>
          <w:p w:rsidR="00851FDE" w:rsidRPr="00580923" w:rsidRDefault="00851FDE" w:rsidP="00BA28D1">
            <w:pPr>
              <w:ind w:left="180"/>
              <w:jc w:val="center"/>
              <w:outlineLvl w:val="2"/>
              <w:rPr>
                <w:szCs w:val="24"/>
              </w:rPr>
            </w:pPr>
            <w:r w:rsidRPr="00580923">
              <w:rPr>
                <w:szCs w:val="24"/>
              </w:rPr>
              <w:t>100%</w:t>
            </w:r>
          </w:p>
        </w:tc>
        <w:tc>
          <w:tcPr>
            <w:tcW w:w="1710" w:type="dxa"/>
          </w:tcPr>
          <w:p w:rsidR="00851FDE" w:rsidRPr="00580923" w:rsidRDefault="00851FDE" w:rsidP="00BA28D1">
            <w:pPr>
              <w:ind w:left="180"/>
              <w:jc w:val="center"/>
              <w:outlineLvl w:val="2"/>
              <w:rPr>
                <w:szCs w:val="24"/>
              </w:rPr>
            </w:pPr>
            <w:r w:rsidRPr="00580923">
              <w:rPr>
                <w:szCs w:val="24"/>
              </w:rPr>
              <w:t>0%</w:t>
            </w:r>
          </w:p>
        </w:tc>
        <w:tc>
          <w:tcPr>
            <w:tcW w:w="1440" w:type="dxa"/>
          </w:tcPr>
          <w:p w:rsidR="00851FDE" w:rsidRPr="00580923" w:rsidRDefault="00851FDE" w:rsidP="00BA28D1">
            <w:pPr>
              <w:ind w:left="72"/>
              <w:jc w:val="center"/>
              <w:outlineLvl w:val="2"/>
              <w:rPr>
                <w:szCs w:val="24"/>
              </w:rPr>
            </w:pPr>
            <w:r w:rsidRPr="00580923">
              <w:rPr>
                <w:szCs w:val="24"/>
              </w:rPr>
              <w:t>0%</w:t>
            </w:r>
          </w:p>
        </w:tc>
        <w:tc>
          <w:tcPr>
            <w:tcW w:w="1728" w:type="dxa"/>
          </w:tcPr>
          <w:p w:rsidR="00851FDE" w:rsidRPr="00580923" w:rsidRDefault="00851FDE" w:rsidP="00BA28D1">
            <w:pPr>
              <w:ind w:left="-18"/>
              <w:jc w:val="center"/>
              <w:outlineLvl w:val="2"/>
              <w:rPr>
                <w:szCs w:val="24"/>
              </w:rPr>
            </w:pPr>
            <w:r w:rsidRPr="00580923">
              <w:rPr>
                <w:szCs w:val="24"/>
              </w:rPr>
              <w:t>0%</w:t>
            </w:r>
          </w:p>
        </w:tc>
      </w:tr>
      <w:tr w:rsidR="00851FDE" w:rsidRPr="00580923" w:rsidTr="00BA28D1">
        <w:tc>
          <w:tcPr>
            <w:tcW w:w="1530" w:type="dxa"/>
          </w:tcPr>
          <w:p w:rsidR="00851FDE" w:rsidRPr="00580923" w:rsidRDefault="00851FDE" w:rsidP="005B4A4C">
            <w:pPr>
              <w:ind w:left="180"/>
              <w:jc w:val="center"/>
              <w:outlineLvl w:val="2"/>
              <w:rPr>
                <w:szCs w:val="24"/>
              </w:rPr>
            </w:pPr>
            <w:r w:rsidRPr="00580923">
              <w:rPr>
                <w:szCs w:val="24"/>
              </w:rPr>
              <w:t>Gain &gt;3% and ≤ 10%</w:t>
            </w:r>
          </w:p>
        </w:tc>
        <w:tc>
          <w:tcPr>
            <w:tcW w:w="1620" w:type="dxa"/>
          </w:tcPr>
          <w:p w:rsidR="00851FDE" w:rsidRPr="00580923" w:rsidRDefault="00851FDE" w:rsidP="00BA28D1">
            <w:pPr>
              <w:ind w:left="180"/>
              <w:jc w:val="center"/>
              <w:outlineLvl w:val="2"/>
              <w:rPr>
                <w:szCs w:val="24"/>
              </w:rPr>
            </w:pPr>
            <w:r w:rsidRPr="00580923">
              <w:rPr>
                <w:szCs w:val="24"/>
              </w:rPr>
              <w:t>96.9% to 90.0%</w:t>
            </w:r>
          </w:p>
        </w:tc>
        <w:tc>
          <w:tcPr>
            <w:tcW w:w="1440" w:type="dxa"/>
          </w:tcPr>
          <w:p w:rsidR="00851FDE" w:rsidRPr="00580923" w:rsidRDefault="00851FDE" w:rsidP="00BA28D1">
            <w:pPr>
              <w:ind w:left="180"/>
              <w:jc w:val="center"/>
              <w:outlineLvl w:val="2"/>
              <w:rPr>
                <w:szCs w:val="24"/>
              </w:rPr>
            </w:pPr>
            <w:r w:rsidRPr="00580923">
              <w:rPr>
                <w:szCs w:val="24"/>
              </w:rPr>
              <w:t>50%</w:t>
            </w:r>
          </w:p>
        </w:tc>
        <w:tc>
          <w:tcPr>
            <w:tcW w:w="1710" w:type="dxa"/>
          </w:tcPr>
          <w:p w:rsidR="00851FDE" w:rsidRPr="00580923" w:rsidRDefault="00851FDE" w:rsidP="00BA28D1">
            <w:pPr>
              <w:ind w:left="180"/>
              <w:jc w:val="center"/>
              <w:outlineLvl w:val="2"/>
              <w:rPr>
                <w:szCs w:val="24"/>
              </w:rPr>
            </w:pPr>
            <w:r w:rsidRPr="00580923">
              <w:rPr>
                <w:szCs w:val="24"/>
              </w:rPr>
              <w:t>50%</w:t>
            </w:r>
          </w:p>
        </w:tc>
        <w:tc>
          <w:tcPr>
            <w:tcW w:w="1440" w:type="dxa"/>
          </w:tcPr>
          <w:p w:rsidR="00851FDE" w:rsidRPr="00580923" w:rsidRDefault="00851FDE" w:rsidP="005B4A4C">
            <w:pPr>
              <w:ind w:left="72"/>
              <w:jc w:val="center"/>
              <w:outlineLvl w:val="2"/>
              <w:rPr>
                <w:szCs w:val="24"/>
              </w:rPr>
            </w:pPr>
            <w:r w:rsidRPr="00580923">
              <w:rPr>
                <w:szCs w:val="24"/>
              </w:rPr>
              <w:t>(50%) * (Medicare A/B Percent of Rate)</w:t>
            </w:r>
          </w:p>
        </w:tc>
        <w:tc>
          <w:tcPr>
            <w:tcW w:w="1728" w:type="dxa"/>
          </w:tcPr>
          <w:p w:rsidR="00851FDE" w:rsidRPr="00580923" w:rsidRDefault="00851FDE" w:rsidP="00BA28D1">
            <w:pPr>
              <w:ind w:left="-18"/>
              <w:jc w:val="center"/>
              <w:outlineLvl w:val="2"/>
              <w:rPr>
                <w:szCs w:val="24"/>
              </w:rPr>
            </w:pPr>
            <w:r w:rsidRPr="00580923">
              <w:rPr>
                <w:szCs w:val="24"/>
              </w:rPr>
              <w:t>(50%)*(Medicaid Percent of Rate)</w:t>
            </w:r>
          </w:p>
          <w:p w:rsidR="00851FDE" w:rsidRPr="00580923" w:rsidRDefault="00851FDE" w:rsidP="00BA28D1">
            <w:pPr>
              <w:ind w:left="-18"/>
              <w:jc w:val="center"/>
              <w:outlineLvl w:val="2"/>
              <w:rPr>
                <w:szCs w:val="24"/>
              </w:rPr>
            </w:pPr>
          </w:p>
        </w:tc>
      </w:tr>
      <w:tr w:rsidR="00851FDE" w:rsidRPr="00580923" w:rsidTr="00BA28D1">
        <w:tc>
          <w:tcPr>
            <w:tcW w:w="1530" w:type="dxa"/>
          </w:tcPr>
          <w:p w:rsidR="00851FDE" w:rsidRPr="00580923" w:rsidRDefault="00851FDE" w:rsidP="005B4A4C">
            <w:pPr>
              <w:ind w:left="720" w:hanging="720"/>
              <w:jc w:val="center"/>
              <w:outlineLvl w:val="2"/>
              <w:rPr>
                <w:szCs w:val="24"/>
              </w:rPr>
            </w:pPr>
            <w:r w:rsidRPr="00580923">
              <w:rPr>
                <w:szCs w:val="24"/>
              </w:rPr>
              <w:t>Gain &gt;10%</w:t>
            </w:r>
          </w:p>
        </w:tc>
        <w:tc>
          <w:tcPr>
            <w:tcW w:w="1620" w:type="dxa"/>
          </w:tcPr>
          <w:p w:rsidR="00851FDE" w:rsidRPr="00580923" w:rsidRDefault="00851FDE" w:rsidP="00BA28D1">
            <w:pPr>
              <w:ind w:left="720" w:hanging="720"/>
              <w:jc w:val="center"/>
              <w:outlineLvl w:val="2"/>
              <w:rPr>
                <w:szCs w:val="24"/>
              </w:rPr>
            </w:pPr>
            <w:r w:rsidRPr="00580923">
              <w:rPr>
                <w:szCs w:val="24"/>
              </w:rPr>
              <w:t>&lt; 90.0%</w:t>
            </w:r>
          </w:p>
        </w:tc>
        <w:tc>
          <w:tcPr>
            <w:tcW w:w="1440" w:type="dxa"/>
          </w:tcPr>
          <w:p w:rsidR="00851FDE" w:rsidRPr="00580923" w:rsidRDefault="00851FDE" w:rsidP="00BA28D1">
            <w:pPr>
              <w:ind w:left="720" w:hanging="720"/>
              <w:jc w:val="center"/>
              <w:outlineLvl w:val="2"/>
              <w:rPr>
                <w:szCs w:val="24"/>
              </w:rPr>
            </w:pPr>
            <w:r w:rsidRPr="00580923">
              <w:rPr>
                <w:szCs w:val="24"/>
              </w:rPr>
              <w:t>100%</w:t>
            </w:r>
          </w:p>
        </w:tc>
        <w:tc>
          <w:tcPr>
            <w:tcW w:w="1710" w:type="dxa"/>
          </w:tcPr>
          <w:p w:rsidR="00851FDE" w:rsidRPr="00580923" w:rsidRDefault="00851FDE" w:rsidP="00BA28D1">
            <w:pPr>
              <w:ind w:left="720" w:hanging="720"/>
              <w:jc w:val="center"/>
              <w:outlineLvl w:val="2"/>
              <w:rPr>
                <w:szCs w:val="24"/>
              </w:rPr>
            </w:pPr>
            <w:r w:rsidRPr="00580923">
              <w:rPr>
                <w:szCs w:val="24"/>
              </w:rPr>
              <w:t>0%</w:t>
            </w:r>
          </w:p>
        </w:tc>
        <w:tc>
          <w:tcPr>
            <w:tcW w:w="1440" w:type="dxa"/>
          </w:tcPr>
          <w:p w:rsidR="00851FDE" w:rsidRPr="00580923" w:rsidRDefault="00851FDE" w:rsidP="00BA28D1">
            <w:pPr>
              <w:ind w:left="720" w:hanging="720"/>
              <w:jc w:val="center"/>
              <w:outlineLvl w:val="2"/>
              <w:rPr>
                <w:szCs w:val="24"/>
              </w:rPr>
            </w:pPr>
            <w:r w:rsidRPr="00580923">
              <w:rPr>
                <w:szCs w:val="24"/>
              </w:rPr>
              <w:t>0%</w:t>
            </w:r>
          </w:p>
        </w:tc>
        <w:tc>
          <w:tcPr>
            <w:tcW w:w="1728" w:type="dxa"/>
          </w:tcPr>
          <w:p w:rsidR="00851FDE" w:rsidRPr="00580923" w:rsidRDefault="00851FDE" w:rsidP="00BA28D1">
            <w:pPr>
              <w:ind w:left="720" w:hanging="720"/>
              <w:jc w:val="center"/>
              <w:outlineLvl w:val="2"/>
              <w:rPr>
                <w:szCs w:val="24"/>
              </w:rPr>
            </w:pPr>
            <w:r w:rsidRPr="00580923">
              <w:rPr>
                <w:szCs w:val="24"/>
              </w:rPr>
              <w:t>0%</w:t>
            </w:r>
          </w:p>
        </w:tc>
      </w:tr>
    </w:tbl>
    <w:p w:rsidR="00851FDE" w:rsidRPr="00580923" w:rsidRDefault="00851FDE" w:rsidP="00D82DD9">
      <w:pPr>
        <w:ind w:left="540" w:hanging="180"/>
        <w:outlineLvl w:val="2"/>
        <w:rPr>
          <w:szCs w:val="24"/>
        </w:rPr>
      </w:pPr>
      <w:r w:rsidRPr="00580923">
        <w:rPr>
          <w:szCs w:val="24"/>
          <w:vertAlign w:val="superscript"/>
        </w:rPr>
        <w:t xml:space="preserve">1  </w:t>
      </w:r>
      <w:r w:rsidRPr="00580923">
        <w:rPr>
          <w:szCs w:val="24"/>
        </w:rPr>
        <w:t>Loss and gain reflected on an incremental basis, rounded to the nearest one tenth of a percent.  Loss or gain &gt;10.0% still results in risk sharing reconciliation for the loss or gain between 3.1% and 10.0%.</w:t>
      </w:r>
    </w:p>
    <w:p w:rsidR="00851FDE" w:rsidRPr="00580923" w:rsidRDefault="00851FDE" w:rsidP="00D82DD9">
      <w:pPr>
        <w:ind w:left="540" w:hanging="180"/>
        <w:rPr>
          <w:szCs w:val="24"/>
        </w:rPr>
      </w:pPr>
    </w:p>
    <w:p w:rsidR="00851FDE" w:rsidRPr="00580923" w:rsidRDefault="00851FDE" w:rsidP="00D82DD9">
      <w:pPr>
        <w:ind w:left="540" w:hanging="180"/>
        <w:outlineLvl w:val="2"/>
        <w:rPr>
          <w:szCs w:val="24"/>
        </w:rPr>
      </w:pPr>
      <w:r w:rsidRPr="00580923">
        <w:rPr>
          <w:szCs w:val="24"/>
          <w:vertAlign w:val="superscript"/>
        </w:rPr>
        <w:t xml:space="preserve">2  </w:t>
      </w:r>
      <w:r w:rsidRPr="00580923">
        <w:rPr>
          <w:szCs w:val="24"/>
        </w:rPr>
        <w:t xml:space="preserve">All EOHHS Risk Sharing shall be treated as Medicaid expenditures eligible for FMAP.  </w:t>
      </w:r>
    </w:p>
    <w:p w:rsidR="00851FDE" w:rsidRPr="00580923" w:rsidRDefault="00851FDE" w:rsidP="00D82DD9">
      <w:pPr>
        <w:ind w:left="1800" w:hanging="360"/>
        <w:outlineLvl w:val="2"/>
        <w:rPr>
          <w:szCs w:val="24"/>
        </w:rPr>
      </w:pPr>
    </w:p>
    <w:p w:rsidR="00851FDE" w:rsidRPr="00580923" w:rsidRDefault="00851FDE" w:rsidP="00D82DD9">
      <w:pPr>
        <w:ind w:left="1800" w:hanging="360"/>
        <w:outlineLvl w:val="2"/>
        <w:rPr>
          <w:szCs w:val="24"/>
        </w:rPr>
      </w:pPr>
      <w:r w:rsidRPr="00580923">
        <w:rPr>
          <w:szCs w:val="24"/>
        </w:rPr>
        <w:t xml:space="preserve">c. </w:t>
      </w:r>
      <w:r w:rsidRPr="00580923">
        <w:rPr>
          <w:szCs w:val="24"/>
        </w:rPr>
        <w:tab/>
        <w:t>Demonstration Year 3</w:t>
      </w:r>
    </w:p>
    <w:p w:rsidR="00851FDE" w:rsidRPr="00580923" w:rsidRDefault="00851FDE" w:rsidP="00911ABA">
      <w:pPr>
        <w:ind w:left="540" w:hanging="180"/>
        <w:outlineLvl w:val="2"/>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851FDE" w:rsidRPr="00580923" w:rsidTr="00BA28D1">
        <w:tc>
          <w:tcPr>
            <w:tcW w:w="1530" w:type="dxa"/>
          </w:tcPr>
          <w:p w:rsidR="00851FDE" w:rsidRPr="00580923" w:rsidRDefault="00851FDE" w:rsidP="00BA28D1">
            <w:pPr>
              <w:ind w:hanging="18"/>
              <w:jc w:val="center"/>
              <w:outlineLvl w:val="2"/>
              <w:rPr>
                <w:b/>
                <w:szCs w:val="24"/>
              </w:rPr>
            </w:pPr>
            <w:r w:rsidRPr="00580923">
              <w:rPr>
                <w:b/>
                <w:szCs w:val="24"/>
              </w:rPr>
              <w:t>Incremental Loss or Gain (as % of Total Adjusted Capitation Rate Revenue)</w:t>
            </w:r>
            <w:r w:rsidRPr="00580923">
              <w:rPr>
                <w:b/>
                <w:szCs w:val="24"/>
                <w:vertAlign w:val="superscript"/>
              </w:rPr>
              <w:t>1</w:t>
            </w:r>
          </w:p>
        </w:tc>
        <w:tc>
          <w:tcPr>
            <w:tcW w:w="1620" w:type="dxa"/>
          </w:tcPr>
          <w:p w:rsidR="00851FDE" w:rsidRPr="00580923" w:rsidRDefault="00851FDE" w:rsidP="00BA28D1">
            <w:pPr>
              <w:jc w:val="center"/>
              <w:outlineLvl w:val="2"/>
              <w:rPr>
                <w:b/>
                <w:szCs w:val="24"/>
              </w:rPr>
            </w:pPr>
            <w:r w:rsidRPr="00580923">
              <w:rPr>
                <w:b/>
                <w:szCs w:val="24"/>
              </w:rPr>
              <w:t>Corresponding Risk Corridor Percentage</w:t>
            </w:r>
          </w:p>
        </w:tc>
        <w:tc>
          <w:tcPr>
            <w:tcW w:w="1440" w:type="dxa"/>
          </w:tcPr>
          <w:p w:rsidR="00851FDE" w:rsidRPr="00580923" w:rsidRDefault="00851FDE" w:rsidP="00BA28D1">
            <w:pPr>
              <w:jc w:val="center"/>
              <w:outlineLvl w:val="2"/>
              <w:rPr>
                <w:b/>
                <w:szCs w:val="24"/>
              </w:rPr>
            </w:pPr>
            <w:r w:rsidRPr="00580923">
              <w:rPr>
                <w:b/>
                <w:szCs w:val="24"/>
              </w:rPr>
              <w:t>% Contractor Risk Sharing</w:t>
            </w:r>
          </w:p>
        </w:tc>
        <w:tc>
          <w:tcPr>
            <w:tcW w:w="1710" w:type="dxa"/>
          </w:tcPr>
          <w:p w:rsidR="00851FDE" w:rsidRPr="00580923" w:rsidRDefault="00851FDE" w:rsidP="00BA28D1">
            <w:pPr>
              <w:jc w:val="center"/>
              <w:outlineLvl w:val="2"/>
              <w:rPr>
                <w:b/>
                <w:szCs w:val="24"/>
              </w:rPr>
            </w:pPr>
            <w:r w:rsidRPr="00580923">
              <w:rPr>
                <w:b/>
                <w:szCs w:val="24"/>
              </w:rPr>
              <w:t>% EOHHS &amp; CMS Risk Sharing</w:t>
            </w:r>
          </w:p>
        </w:tc>
        <w:tc>
          <w:tcPr>
            <w:tcW w:w="1440" w:type="dxa"/>
          </w:tcPr>
          <w:p w:rsidR="00851FDE" w:rsidRPr="00580923" w:rsidRDefault="00851FDE" w:rsidP="00BA28D1">
            <w:pPr>
              <w:jc w:val="center"/>
              <w:outlineLvl w:val="2"/>
              <w:rPr>
                <w:b/>
                <w:szCs w:val="24"/>
              </w:rPr>
            </w:pPr>
            <w:r w:rsidRPr="00580923">
              <w:rPr>
                <w:b/>
                <w:szCs w:val="24"/>
              </w:rPr>
              <w:t>% CMS Risk Sharing</w:t>
            </w:r>
          </w:p>
        </w:tc>
        <w:tc>
          <w:tcPr>
            <w:tcW w:w="1728" w:type="dxa"/>
          </w:tcPr>
          <w:p w:rsidR="00851FDE" w:rsidRPr="00580923" w:rsidRDefault="00851FDE" w:rsidP="00BA28D1">
            <w:pPr>
              <w:ind w:hanging="18"/>
              <w:jc w:val="center"/>
              <w:outlineLvl w:val="2"/>
              <w:rPr>
                <w:b/>
                <w:szCs w:val="24"/>
              </w:rPr>
            </w:pPr>
            <w:r w:rsidRPr="00580923">
              <w:rPr>
                <w:b/>
                <w:szCs w:val="24"/>
              </w:rPr>
              <w:t>% EOHHS Risk Sharing</w:t>
            </w:r>
            <w:r w:rsidRPr="00580923">
              <w:rPr>
                <w:b/>
                <w:szCs w:val="24"/>
                <w:vertAlign w:val="superscript"/>
              </w:rPr>
              <w:t>2</w:t>
            </w:r>
          </w:p>
        </w:tc>
      </w:tr>
      <w:tr w:rsidR="00851FDE" w:rsidRPr="00580923" w:rsidTr="00BA28D1">
        <w:tc>
          <w:tcPr>
            <w:tcW w:w="1530" w:type="dxa"/>
          </w:tcPr>
          <w:p w:rsidR="00851FDE" w:rsidRPr="00580923" w:rsidRDefault="00851FDE" w:rsidP="00BA28D1">
            <w:pPr>
              <w:ind w:left="180"/>
              <w:jc w:val="center"/>
              <w:outlineLvl w:val="2"/>
              <w:rPr>
                <w:szCs w:val="24"/>
              </w:rPr>
            </w:pPr>
            <w:r w:rsidRPr="00580923">
              <w:rPr>
                <w:szCs w:val="24"/>
              </w:rPr>
              <w:t>Loss &gt;8%</w:t>
            </w:r>
          </w:p>
        </w:tc>
        <w:tc>
          <w:tcPr>
            <w:tcW w:w="1620" w:type="dxa"/>
          </w:tcPr>
          <w:p w:rsidR="00851FDE" w:rsidRPr="00580923" w:rsidRDefault="00851FDE" w:rsidP="00BA28D1">
            <w:pPr>
              <w:ind w:left="180"/>
              <w:jc w:val="center"/>
              <w:outlineLvl w:val="2"/>
              <w:rPr>
                <w:szCs w:val="24"/>
              </w:rPr>
            </w:pPr>
            <w:r w:rsidRPr="00580923">
              <w:rPr>
                <w:szCs w:val="24"/>
              </w:rPr>
              <w:t>&gt;108.0%</w:t>
            </w:r>
          </w:p>
        </w:tc>
        <w:tc>
          <w:tcPr>
            <w:tcW w:w="1440" w:type="dxa"/>
          </w:tcPr>
          <w:p w:rsidR="00851FDE" w:rsidRPr="00580923" w:rsidRDefault="00851FDE" w:rsidP="00BA28D1">
            <w:pPr>
              <w:ind w:left="180"/>
              <w:jc w:val="center"/>
              <w:outlineLvl w:val="2"/>
              <w:rPr>
                <w:szCs w:val="24"/>
              </w:rPr>
            </w:pPr>
            <w:r w:rsidRPr="00580923">
              <w:rPr>
                <w:szCs w:val="24"/>
              </w:rPr>
              <w:t>100%</w:t>
            </w:r>
          </w:p>
        </w:tc>
        <w:tc>
          <w:tcPr>
            <w:tcW w:w="1710" w:type="dxa"/>
          </w:tcPr>
          <w:p w:rsidR="00851FDE" w:rsidRPr="00580923" w:rsidRDefault="00851FDE" w:rsidP="00BA28D1">
            <w:pPr>
              <w:ind w:left="180"/>
              <w:jc w:val="center"/>
              <w:outlineLvl w:val="2"/>
              <w:rPr>
                <w:szCs w:val="24"/>
              </w:rPr>
            </w:pPr>
            <w:r w:rsidRPr="00580923">
              <w:rPr>
                <w:szCs w:val="24"/>
              </w:rPr>
              <w:t>0%</w:t>
            </w:r>
          </w:p>
        </w:tc>
        <w:tc>
          <w:tcPr>
            <w:tcW w:w="1440" w:type="dxa"/>
          </w:tcPr>
          <w:p w:rsidR="00851FDE" w:rsidRPr="00580923" w:rsidRDefault="00851FDE" w:rsidP="00BA28D1">
            <w:pPr>
              <w:ind w:left="180"/>
              <w:jc w:val="center"/>
              <w:outlineLvl w:val="2"/>
              <w:rPr>
                <w:szCs w:val="24"/>
              </w:rPr>
            </w:pPr>
            <w:r w:rsidRPr="00580923">
              <w:rPr>
                <w:szCs w:val="24"/>
              </w:rPr>
              <w:t>0%</w:t>
            </w:r>
          </w:p>
        </w:tc>
        <w:tc>
          <w:tcPr>
            <w:tcW w:w="1728" w:type="dxa"/>
          </w:tcPr>
          <w:p w:rsidR="00851FDE" w:rsidRPr="00580923" w:rsidRDefault="00851FDE" w:rsidP="00BA28D1">
            <w:pPr>
              <w:ind w:left="180"/>
              <w:jc w:val="center"/>
              <w:outlineLvl w:val="2"/>
              <w:rPr>
                <w:szCs w:val="24"/>
              </w:rPr>
            </w:pPr>
            <w:r w:rsidRPr="00580923">
              <w:rPr>
                <w:szCs w:val="24"/>
              </w:rPr>
              <w:t>0%</w:t>
            </w:r>
          </w:p>
        </w:tc>
      </w:tr>
      <w:tr w:rsidR="00851FDE" w:rsidRPr="00580923" w:rsidTr="00BA28D1">
        <w:tc>
          <w:tcPr>
            <w:tcW w:w="1530" w:type="dxa"/>
          </w:tcPr>
          <w:p w:rsidR="00851FDE" w:rsidRPr="00580923" w:rsidRDefault="00851FDE" w:rsidP="00BA28D1">
            <w:pPr>
              <w:ind w:left="180"/>
              <w:jc w:val="center"/>
              <w:outlineLvl w:val="2"/>
              <w:rPr>
                <w:szCs w:val="24"/>
              </w:rPr>
            </w:pPr>
            <w:r w:rsidRPr="00580923">
              <w:rPr>
                <w:szCs w:val="24"/>
              </w:rPr>
              <w:t>Loss &gt;4% and ≤ 8%</w:t>
            </w:r>
          </w:p>
        </w:tc>
        <w:tc>
          <w:tcPr>
            <w:tcW w:w="1620" w:type="dxa"/>
          </w:tcPr>
          <w:p w:rsidR="00851FDE" w:rsidRPr="00580923" w:rsidRDefault="00851FDE" w:rsidP="00BA28D1">
            <w:pPr>
              <w:ind w:left="180"/>
              <w:jc w:val="center"/>
              <w:outlineLvl w:val="2"/>
              <w:rPr>
                <w:szCs w:val="24"/>
              </w:rPr>
            </w:pPr>
            <w:r w:rsidRPr="00580923">
              <w:rPr>
                <w:szCs w:val="24"/>
              </w:rPr>
              <w:t>104.1% to 108.0%</w:t>
            </w:r>
          </w:p>
          <w:p w:rsidR="00851FDE" w:rsidRPr="00580923" w:rsidRDefault="00851FDE" w:rsidP="00BA28D1">
            <w:pPr>
              <w:ind w:left="180"/>
              <w:jc w:val="center"/>
              <w:outlineLvl w:val="2"/>
              <w:rPr>
                <w:szCs w:val="24"/>
              </w:rPr>
            </w:pPr>
          </w:p>
        </w:tc>
        <w:tc>
          <w:tcPr>
            <w:tcW w:w="1440" w:type="dxa"/>
          </w:tcPr>
          <w:p w:rsidR="00851FDE" w:rsidRPr="00580923" w:rsidRDefault="00851FDE" w:rsidP="00BA28D1">
            <w:pPr>
              <w:ind w:left="180"/>
              <w:jc w:val="center"/>
              <w:outlineLvl w:val="2"/>
              <w:rPr>
                <w:szCs w:val="24"/>
              </w:rPr>
            </w:pPr>
            <w:r w:rsidRPr="00580923">
              <w:rPr>
                <w:szCs w:val="24"/>
              </w:rPr>
              <w:t>50%</w:t>
            </w:r>
          </w:p>
        </w:tc>
        <w:tc>
          <w:tcPr>
            <w:tcW w:w="1710" w:type="dxa"/>
          </w:tcPr>
          <w:p w:rsidR="00851FDE" w:rsidRPr="00580923" w:rsidRDefault="00851FDE" w:rsidP="00BA28D1">
            <w:pPr>
              <w:ind w:left="180"/>
              <w:jc w:val="center"/>
              <w:outlineLvl w:val="2"/>
              <w:rPr>
                <w:szCs w:val="24"/>
              </w:rPr>
            </w:pPr>
            <w:r w:rsidRPr="00580923">
              <w:rPr>
                <w:szCs w:val="24"/>
              </w:rPr>
              <w:t>50%</w:t>
            </w:r>
          </w:p>
        </w:tc>
        <w:tc>
          <w:tcPr>
            <w:tcW w:w="1440" w:type="dxa"/>
          </w:tcPr>
          <w:p w:rsidR="00851FDE" w:rsidRPr="00580923" w:rsidRDefault="00851FDE" w:rsidP="00BA28D1">
            <w:pPr>
              <w:ind w:left="72"/>
              <w:jc w:val="center"/>
              <w:outlineLvl w:val="2"/>
              <w:rPr>
                <w:szCs w:val="24"/>
              </w:rPr>
            </w:pPr>
            <w:r w:rsidRPr="00580923">
              <w:rPr>
                <w:szCs w:val="24"/>
              </w:rPr>
              <w:t>(50%) * (Medicare A/B Percent of Rate)</w:t>
            </w:r>
          </w:p>
        </w:tc>
        <w:tc>
          <w:tcPr>
            <w:tcW w:w="1728" w:type="dxa"/>
          </w:tcPr>
          <w:p w:rsidR="00851FDE" w:rsidRPr="00580923" w:rsidRDefault="00851FDE" w:rsidP="00BA28D1">
            <w:pPr>
              <w:ind w:left="-18"/>
              <w:jc w:val="center"/>
              <w:outlineLvl w:val="2"/>
              <w:rPr>
                <w:szCs w:val="24"/>
              </w:rPr>
            </w:pPr>
            <w:r w:rsidRPr="00580923">
              <w:rPr>
                <w:szCs w:val="24"/>
              </w:rPr>
              <w:t>(50%)*</w:t>
            </w:r>
            <w:r>
              <w:rPr>
                <w:szCs w:val="24"/>
              </w:rPr>
              <w:t xml:space="preserve"> </w:t>
            </w:r>
            <w:r w:rsidRPr="00580923">
              <w:rPr>
                <w:szCs w:val="24"/>
              </w:rPr>
              <w:t>(Medicaid Percent of Rate)</w:t>
            </w:r>
          </w:p>
          <w:p w:rsidR="00851FDE" w:rsidRPr="00580923" w:rsidRDefault="00851FDE" w:rsidP="00BA28D1">
            <w:pPr>
              <w:ind w:left="-18"/>
              <w:jc w:val="center"/>
              <w:outlineLvl w:val="2"/>
              <w:rPr>
                <w:szCs w:val="24"/>
              </w:rPr>
            </w:pPr>
          </w:p>
        </w:tc>
      </w:tr>
      <w:tr w:rsidR="00851FDE" w:rsidRPr="00580923" w:rsidTr="00BA28D1">
        <w:tc>
          <w:tcPr>
            <w:tcW w:w="1530" w:type="dxa"/>
          </w:tcPr>
          <w:p w:rsidR="00851FDE" w:rsidRPr="00580923" w:rsidRDefault="00851FDE" w:rsidP="00BA28D1">
            <w:pPr>
              <w:ind w:left="180"/>
              <w:jc w:val="center"/>
              <w:outlineLvl w:val="2"/>
              <w:rPr>
                <w:szCs w:val="24"/>
              </w:rPr>
            </w:pPr>
            <w:r w:rsidRPr="00580923">
              <w:rPr>
                <w:szCs w:val="24"/>
              </w:rPr>
              <w:lastRenderedPageBreak/>
              <w:t>Loss or Gain ≤ 4%</w:t>
            </w:r>
          </w:p>
        </w:tc>
        <w:tc>
          <w:tcPr>
            <w:tcW w:w="1620" w:type="dxa"/>
          </w:tcPr>
          <w:p w:rsidR="00851FDE" w:rsidRPr="00580923" w:rsidRDefault="00851FDE" w:rsidP="00BA28D1">
            <w:pPr>
              <w:ind w:left="180"/>
              <w:jc w:val="center"/>
              <w:outlineLvl w:val="2"/>
              <w:rPr>
                <w:szCs w:val="24"/>
              </w:rPr>
            </w:pPr>
            <w:r w:rsidRPr="00580923">
              <w:rPr>
                <w:szCs w:val="24"/>
              </w:rPr>
              <w:t xml:space="preserve"> 96.0% to 104.0%</w:t>
            </w:r>
          </w:p>
        </w:tc>
        <w:tc>
          <w:tcPr>
            <w:tcW w:w="1440" w:type="dxa"/>
          </w:tcPr>
          <w:p w:rsidR="00851FDE" w:rsidRPr="00580923" w:rsidRDefault="00851FDE" w:rsidP="00BA28D1">
            <w:pPr>
              <w:ind w:left="180"/>
              <w:jc w:val="center"/>
              <w:outlineLvl w:val="2"/>
              <w:rPr>
                <w:szCs w:val="24"/>
              </w:rPr>
            </w:pPr>
            <w:r w:rsidRPr="00580923">
              <w:rPr>
                <w:szCs w:val="24"/>
              </w:rPr>
              <w:t>100%</w:t>
            </w:r>
          </w:p>
        </w:tc>
        <w:tc>
          <w:tcPr>
            <w:tcW w:w="1710" w:type="dxa"/>
          </w:tcPr>
          <w:p w:rsidR="00851FDE" w:rsidRPr="00580923" w:rsidRDefault="00851FDE" w:rsidP="00BA28D1">
            <w:pPr>
              <w:ind w:left="180"/>
              <w:jc w:val="center"/>
              <w:outlineLvl w:val="2"/>
              <w:rPr>
                <w:szCs w:val="24"/>
              </w:rPr>
            </w:pPr>
            <w:r w:rsidRPr="00580923">
              <w:rPr>
                <w:szCs w:val="24"/>
              </w:rPr>
              <w:t>0%</w:t>
            </w:r>
          </w:p>
        </w:tc>
        <w:tc>
          <w:tcPr>
            <w:tcW w:w="1440" w:type="dxa"/>
          </w:tcPr>
          <w:p w:rsidR="00851FDE" w:rsidRPr="00580923" w:rsidRDefault="00851FDE" w:rsidP="00BA28D1">
            <w:pPr>
              <w:ind w:left="72"/>
              <w:jc w:val="center"/>
              <w:outlineLvl w:val="2"/>
              <w:rPr>
                <w:szCs w:val="24"/>
              </w:rPr>
            </w:pPr>
            <w:r w:rsidRPr="00580923">
              <w:rPr>
                <w:szCs w:val="24"/>
              </w:rPr>
              <w:t>0%</w:t>
            </w:r>
          </w:p>
        </w:tc>
        <w:tc>
          <w:tcPr>
            <w:tcW w:w="1728" w:type="dxa"/>
          </w:tcPr>
          <w:p w:rsidR="00851FDE" w:rsidRPr="00580923" w:rsidRDefault="00851FDE" w:rsidP="00BA28D1">
            <w:pPr>
              <w:ind w:left="-18"/>
              <w:jc w:val="center"/>
              <w:outlineLvl w:val="2"/>
              <w:rPr>
                <w:szCs w:val="24"/>
              </w:rPr>
            </w:pPr>
            <w:r w:rsidRPr="00580923">
              <w:rPr>
                <w:szCs w:val="24"/>
              </w:rPr>
              <w:t>0%</w:t>
            </w:r>
          </w:p>
        </w:tc>
      </w:tr>
      <w:tr w:rsidR="00851FDE" w:rsidRPr="00580923" w:rsidTr="00BA28D1">
        <w:tc>
          <w:tcPr>
            <w:tcW w:w="1530" w:type="dxa"/>
          </w:tcPr>
          <w:p w:rsidR="00851FDE" w:rsidRPr="00580923" w:rsidRDefault="00851FDE" w:rsidP="00BA28D1">
            <w:pPr>
              <w:ind w:left="180"/>
              <w:jc w:val="center"/>
              <w:outlineLvl w:val="2"/>
              <w:rPr>
                <w:szCs w:val="24"/>
              </w:rPr>
            </w:pPr>
            <w:r w:rsidRPr="00580923">
              <w:rPr>
                <w:szCs w:val="24"/>
              </w:rPr>
              <w:t>Gain &gt;4% and ≤ 8%</w:t>
            </w:r>
          </w:p>
        </w:tc>
        <w:tc>
          <w:tcPr>
            <w:tcW w:w="1620" w:type="dxa"/>
          </w:tcPr>
          <w:p w:rsidR="00851FDE" w:rsidRPr="00580923" w:rsidRDefault="00851FDE" w:rsidP="00BA28D1">
            <w:pPr>
              <w:ind w:left="180"/>
              <w:jc w:val="center"/>
              <w:outlineLvl w:val="2"/>
              <w:rPr>
                <w:szCs w:val="24"/>
              </w:rPr>
            </w:pPr>
            <w:r w:rsidRPr="00580923">
              <w:rPr>
                <w:szCs w:val="24"/>
              </w:rPr>
              <w:t>95.9% to 92.0%</w:t>
            </w:r>
          </w:p>
        </w:tc>
        <w:tc>
          <w:tcPr>
            <w:tcW w:w="1440" w:type="dxa"/>
          </w:tcPr>
          <w:p w:rsidR="00851FDE" w:rsidRPr="00580923" w:rsidRDefault="00851FDE" w:rsidP="00BA28D1">
            <w:pPr>
              <w:ind w:left="180"/>
              <w:jc w:val="center"/>
              <w:outlineLvl w:val="2"/>
              <w:rPr>
                <w:szCs w:val="24"/>
              </w:rPr>
            </w:pPr>
            <w:r w:rsidRPr="00580923">
              <w:rPr>
                <w:szCs w:val="24"/>
              </w:rPr>
              <w:t>50%</w:t>
            </w:r>
          </w:p>
        </w:tc>
        <w:tc>
          <w:tcPr>
            <w:tcW w:w="1710" w:type="dxa"/>
          </w:tcPr>
          <w:p w:rsidR="00851FDE" w:rsidRPr="00580923" w:rsidRDefault="00851FDE" w:rsidP="00BA28D1">
            <w:pPr>
              <w:ind w:left="180"/>
              <w:jc w:val="center"/>
              <w:outlineLvl w:val="2"/>
              <w:rPr>
                <w:szCs w:val="24"/>
              </w:rPr>
            </w:pPr>
            <w:r w:rsidRPr="00580923">
              <w:rPr>
                <w:szCs w:val="24"/>
              </w:rPr>
              <w:t>50%</w:t>
            </w:r>
          </w:p>
        </w:tc>
        <w:tc>
          <w:tcPr>
            <w:tcW w:w="1440" w:type="dxa"/>
          </w:tcPr>
          <w:p w:rsidR="00851FDE" w:rsidRPr="00580923" w:rsidRDefault="00851FDE" w:rsidP="00BA28D1">
            <w:pPr>
              <w:ind w:left="72"/>
              <w:jc w:val="center"/>
              <w:outlineLvl w:val="2"/>
              <w:rPr>
                <w:szCs w:val="24"/>
              </w:rPr>
            </w:pPr>
            <w:r w:rsidRPr="00580923">
              <w:rPr>
                <w:szCs w:val="24"/>
              </w:rPr>
              <w:t>(50%) * (Medicare A/B Percent of Rate)</w:t>
            </w:r>
          </w:p>
        </w:tc>
        <w:tc>
          <w:tcPr>
            <w:tcW w:w="1728" w:type="dxa"/>
          </w:tcPr>
          <w:p w:rsidR="00851FDE" w:rsidRPr="00580923" w:rsidRDefault="00851FDE" w:rsidP="00BA28D1">
            <w:pPr>
              <w:ind w:left="-18"/>
              <w:jc w:val="center"/>
              <w:outlineLvl w:val="2"/>
              <w:rPr>
                <w:szCs w:val="24"/>
              </w:rPr>
            </w:pPr>
            <w:r w:rsidRPr="00580923">
              <w:rPr>
                <w:szCs w:val="24"/>
              </w:rPr>
              <w:t>(50%)*</w:t>
            </w:r>
            <w:r>
              <w:rPr>
                <w:szCs w:val="24"/>
              </w:rPr>
              <w:t xml:space="preserve"> </w:t>
            </w:r>
            <w:r w:rsidRPr="00580923">
              <w:rPr>
                <w:szCs w:val="24"/>
              </w:rPr>
              <w:t>(Medicaid Percent of Rate)</w:t>
            </w:r>
          </w:p>
          <w:p w:rsidR="00851FDE" w:rsidRPr="00580923" w:rsidRDefault="00851FDE" w:rsidP="00BA28D1">
            <w:pPr>
              <w:ind w:left="-18"/>
              <w:jc w:val="center"/>
              <w:outlineLvl w:val="2"/>
              <w:rPr>
                <w:szCs w:val="24"/>
              </w:rPr>
            </w:pPr>
          </w:p>
        </w:tc>
      </w:tr>
      <w:tr w:rsidR="00851FDE" w:rsidRPr="00580923" w:rsidTr="00BA28D1">
        <w:tc>
          <w:tcPr>
            <w:tcW w:w="1530" w:type="dxa"/>
          </w:tcPr>
          <w:p w:rsidR="00851FDE" w:rsidRPr="00580923" w:rsidRDefault="00851FDE" w:rsidP="00BA28D1">
            <w:pPr>
              <w:ind w:left="720" w:hanging="720"/>
              <w:jc w:val="center"/>
              <w:outlineLvl w:val="2"/>
              <w:rPr>
                <w:szCs w:val="24"/>
              </w:rPr>
            </w:pPr>
            <w:r w:rsidRPr="00580923">
              <w:rPr>
                <w:szCs w:val="24"/>
              </w:rPr>
              <w:t>Gain &gt;8%</w:t>
            </w:r>
          </w:p>
        </w:tc>
        <w:tc>
          <w:tcPr>
            <w:tcW w:w="1620" w:type="dxa"/>
          </w:tcPr>
          <w:p w:rsidR="00851FDE" w:rsidRPr="00580923" w:rsidRDefault="00851FDE" w:rsidP="00BA28D1">
            <w:pPr>
              <w:ind w:left="720" w:hanging="720"/>
              <w:jc w:val="center"/>
              <w:outlineLvl w:val="2"/>
              <w:rPr>
                <w:szCs w:val="24"/>
              </w:rPr>
            </w:pPr>
            <w:r w:rsidRPr="00580923">
              <w:rPr>
                <w:szCs w:val="24"/>
              </w:rPr>
              <w:t>&lt; 92.0%</w:t>
            </w:r>
          </w:p>
        </w:tc>
        <w:tc>
          <w:tcPr>
            <w:tcW w:w="1440" w:type="dxa"/>
          </w:tcPr>
          <w:p w:rsidR="00851FDE" w:rsidRPr="00580923" w:rsidRDefault="00851FDE" w:rsidP="00BA28D1">
            <w:pPr>
              <w:ind w:left="720" w:hanging="720"/>
              <w:jc w:val="center"/>
              <w:outlineLvl w:val="2"/>
              <w:rPr>
                <w:szCs w:val="24"/>
              </w:rPr>
            </w:pPr>
            <w:r w:rsidRPr="00580923">
              <w:rPr>
                <w:szCs w:val="24"/>
              </w:rPr>
              <w:t>100%</w:t>
            </w:r>
          </w:p>
        </w:tc>
        <w:tc>
          <w:tcPr>
            <w:tcW w:w="1710" w:type="dxa"/>
          </w:tcPr>
          <w:p w:rsidR="00851FDE" w:rsidRPr="00580923" w:rsidRDefault="00851FDE" w:rsidP="00BA28D1">
            <w:pPr>
              <w:ind w:left="720" w:hanging="720"/>
              <w:jc w:val="center"/>
              <w:outlineLvl w:val="2"/>
              <w:rPr>
                <w:szCs w:val="24"/>
              </w:rPr>
            </w:pPr>
            <w:r w:rsidRPr="00580923">
              <w:rPr>
                <w:szCs w:val="24"/>
              </w:rPr>
              <w:t>0%</w:t>
            </w:r>
          </w:p>
        </w:tc>
        <w:tc>
          <w:tcPr>
            <w:tcW w:w="1440" w:type="dxa"/>
          </w:tcPr>
          <w:p w:rsidR="00851FDE" w:rsidRPr="00580923" w:rsidRDefault="00851FDE" w:rsidP="00BA28D1">
            <w:pPr>
              <w:ind w:left="720" w:hanging="720"/>
              <w:jc w:val="center"/>
              <w:outlineLvl w:val="2"/>
              <w:rPr>
                <w:szCs w:val="24"/>
              </w:rPr>
            </w:pPr>
            <w:r w:rsidRPr="00580923">
              <w:rPr>
                <w:szCs w:val="24"/>
              </w:rPr>
              <w:t>0%</w:t>
            </w:r>
          </w:p>
        </w:tc>
        <w:tc>
          <w:tcPr>
            <w:tcW w:w="1728" w:type="dxa"/>
          </w:tcPr>
          <w:p w:rsidR="00851FDE" w:rsidRPr="00580923" w:rsidRDefault="00851FDE" w:rsidP="00BA28D1">
            <w:pPr>
              <w:ind w:left="720" w:hanging="720"/>
              <w:jc w:val="center"/>
              <w:outlineLvl w:val="2"/>
              <w:rPr>
                <w:szCs w:val="24"/>
              </w:rPr>
            </w:pPr>
            <w:r w:rsidRPr="00580923">
              <w:rPr>
                <w:szCs w:val="24"/>
              </w:rPr>
              <w:t>0%</w:t>
            </w:r>
          </w:p>
        </w:tc>
      </w:tr>
    </w:tbl>
    <w:p w:rsidR="00851FDE" w:rsidRPr="00580923" w:rsidRDefault="00851FDE" w:rsidP="001A0F5F">
      <w:pPr>
        <w:ind w:left="540" w:hanging="180"/>
        <w:outlineLvl w:val="2"/>
        <w:rPr>
          <w:szCs w:val="24"/>
        </w:rPr>
      </w:pPr>
      <w:r w:rsidRPr="00580923">
        <w:rPr>
          <w:szCs w:val="24"/>
          <w:vertAlign w:val="superscript"/>
        </w:rPr>
        <w:t xml:space="preserve">1  </w:t>
      </w:r>
      <w:r w:rsidRPr="00580923">
        <w:rPr>
          <w:szCs w:val="24"/>
        </w:rPr>
        <w:t>Loss and gain reflected on an incremental basis, rounded to the nearest one tenth of a percent.  Loss or gain &gt;8.0% still results in risk sharing reconciliation for the loss or gain between 4.1% and 8.0%.</w:t>
      </w:r>
    </w:p>
    <w:p w:rsidR="00851FDE" w:rsidRPr="00580923" w:rsidRDefault="00851FDE" w:rsidP="001A0F5F">
      <w:pPr>
        <w:ind w:left="540" w:hanging="180"/>
        <w:rPr>
          <w:szCs w:val="24"/>
        </w:rPr>
      </w:pPr>
    </w:p>
    <w:p w:rsidR="00851FDE" w:rsidRDefault="00851FDE" w:rsidP="001A0F5F">
      <w:pPr>
        <w:ind w:left="540" w:hanging="180"/>
        <w:outlineLvl w:val="2"/>
        <w:rPr>
          <w:szCs w:val="24"/>
        </w:rPr>
      </w:pPr>
      <w:r w:rsidRPr="00580923">
        <w:rPr>
          <w:szCs w:val="24"/>
          <w:vertAlign w:val="superscript"/>
        </w:rPr>
        <w:t xml:space="preserve">2  </w:t>
      </w:r>
      <w:r w:rsidRPr="00580923">
        <w:rPr>
          <w:szCs w:val="24"/>
        </w:rPr>
        <w:t xml:space="preserve">All EOHHS Risk Sharing shall be treated as Medicaid expenditures eligible for FMAP.  </w:t>
      </w:r>
    </w:p>
    <w:p w:rsidR="00851FDE" w:rsidRPr="00580923" w:rsidRDefault="00851FDE" w:rsidP="001A0F5F">
      <w:pPr>
        <w:ind w:left="540" w:hanging="180"/>
        <w:outlineLvl w:val="2"/>
        <w:rPr>
          <w:szCs w:val="24"/>
        </w:rPr>
      </w:pPr>
    </w:p>
    <w:p w:rsidR="00851FDE" w:rsidRPr="00580923" w:rsidRDefault="00851FDE" w:rsidP="00780E4D">
      <w:pPr>
        <w:ind w:left="1800" w:hanging="360"/>
        <w:outlineLvl w:val="2"/>
        <w:rPr>
          <w:szCs w:val="24"/>
        </w:rPr>
      </w:pPr>
      <w:r>
        <w:rPr>
          <w:szCs w:val="24"/>
        </w:rPr>
        <w:t>d</w:t>
      </w:r>
      <w:r w:rsidRPr="00580923">
        <w:rPr>
          <w:szCs w:val="24"/>
        </w:rPr>
        <w:t xml:space="preserve">. </w:t>
      </w:r>
      <w:r w:rsidRPr="00580923">
        <w:rPr>
          <w:szCs w:val="24"/>
        </w:rPr>
        <w:tab/>
        <w:t>Demonstration Year 1</w:t>
      </w:r>
      <w:r>
        <w:rPr>
          <w:szCs w:val="24"/>
        </w:rPr>
        <w:t xml:space="preserve">, if the Contract is </w:t>
      </w:r>
      <w:r w:rsidRPr="001676BB">
        <w:rPr>
          <w:szCs w:val="24"/>
        </w:rPr>
        <w:t>terminated prior to June 30, 2015:</w:t>
      </w:r>
    </w:p>
    <w:p w:rsidR="00851FDE" w:rsidRPr="00580923" w:rsidRDefault="00851FDE" w:rsidP="00780E4D">
      <w:pPr>
        <w:ind w:left="720"/>
        <w:outlineLvl w:val="2"/>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851FDE" w:rsidRPr="00580923" w:rsidTr="0089583E">
        <w:tc>
          <w:tcPr>
            <w:tcW w:w="1530" w:type="dxa"/>
          </w:tcPr>
          <w:p w:rsidR="00851FDE" w:rsidRPr="00580923" w:rsidRDefault="00851FDE" w:rsidP="0089583E">
            <w:pPr>
              <w:ind w:hanging="18"/>
              <w:jc w:val="center"/>
              <w:outlineLvl w:val="2"/>
              <w:rPr>
                <w:b/>
                <w:szCs w:val="24"/>
              </w:rPr>
            </w:pPr>
            <w:r w:rsidRPr="00580923">
              <w:rPr>
                <w:b/>
                <w:szCs w:val="24"/>
              </w:rPr>
              <w:t>Incremental Loss or Gain (as % of Total Adjusted Capitation Rate Revenue)</w:t>
            </w:r>
            <w:r w:rsidRPr="00580923">
              <w:rPr>
                <w:b/>
                <w:szCs w:val="24"/>
                <w:vertAlign w:val="superscript"/>
              </w:rPr>
              <w:t>1</w:t>
            </w:r>
          </w:p>
        </w:tc>
        <w:tc>
          <w:tcPr>
            <w:tcW w:w="1620" w:type="dxa"/>
          </w:tcPr>
          <w:p w:rsidR="00851FDE" w:rsidRPr="00580923" w:rsidRDefault="00851FDE" w:rsidP="0089583E">
            <w:pPr>
              <w:jc w:val="center"/>
              <w:outlineLvl w:val="2"/>
              <w:rPr>
                <w:b/>
                <w:szCs w:val="24"/>
              </w:rPr>
            </w:pPr>
            <w:r w:rsidRPr="00580923">
              <w:rPr>
                <w:b/>
                <w:szCs w:val="24"/>
              </w:rPr>
              <w:t>Corresponding Risk Corridor Percentage</w:t>
            </w:r>
          </w:p>
        </w:tc>
        <w:tc>
          <w:tcPr>
            <w:tcW w:w="1440" w:type="dxa"/>
          </w:tcPr>
          <w:p w:rsidR="00851FDE" w:rsidRPr="00580923" w:rsidRDefault="00851FDE" w:rsidP="0089583E">
            <w:pPr>
              <w:jc w:val="center"/>
              <w:outlineLvl w:val="2"/>
              <w:rPr>
                <w:b/>
                <w:szCs w:val="24"/>
              </w:rPr>
            </w:pPr>
            <w:r w:rsidRPr="00580923">
              <w:rPr>
                <w:b/>
                <w:szCs w:val="24"/>
              </w:rPr>
              <w:t>% Contractor Risk Sharing</w:t>
            </w:r>
          </w:p>
        </w:tc>
        <w:tc>
          <w:tcPr>
            <w:tcW w:w="1710" w:type="dxa"/>
          </w:tcPr>
          <w:p w:rsidR="00851FDE" w:rsidRPr="00580923" w:rsidRDefault="00851FDE" w:rsidP="0089583E">
            <w:pPr>
              <w:jc w:val="center"/>
              <w:outlineLvl w:val="2"/>
              <w:rPr>
                <w:b/>
                <w:szCs w:val="24"/>
              </w:rPr>
            </w:pPr>
            <w:r w:rsidRPr="00580923">
              <w:rPr>
                <w:b/>
                <w:szCs w:val="24"/>
              </w:rPr>
              <w:t>% EOHHS &amp; CMS Risk Sharing</w:t>
            </w:r>
          </w:p>
        </w:tc>
        <w:tc>
          <w:tcPr>
            <w:tcW w:w="1440" w:type="dxa"/>
          </w:tcPr>
          <w:p w:rsidR="00851FDE" w:rsidRPr="00580923" w:rsidRDefault="00851FDE" w:rsidP="0089583E">
            <w:pPr>
              <w:jc w:val="center"/>
              <w:outlineLvl w:val="2"/>
              <w:rPr>
                <w:b/>
                <w:szCs w:val="24"/>
              </w:rPr>
            </w:pPr>
            <w:r w:rsidRPr="00580923">
              <w:rPr>
                <w:b/>
                <w:szCs w:val="24"/>
              </w:rPr>
              <w:t>% CMS Risk Sharing</w:t>
            </w:r>
          </w:p>
        </w:tc>
        <w:tc>
          <w:tcPr>
            <w:tcW w:w="1728" w:type="dxa"/>
          </w:tcPr>
          <w:p w:rsidR="00851FDE" w:rsidRPr="00580923" w:rsidRDefault="00851FDE" w:rsidP="0089583E">
            <w:pPr>
              <w:ind w:hanging="18"/>
              <w:jc w:val="center"/>
              <w:outlineLvl w:val="2"/>
              <w:rPr>
                <w:b/>
                <w:szCs w:val="24"/>
              </w:rPr>
            </w:pPr>
            <w:r w:rsidRPr="00580923">
              <w:rPr>
                <w:b/>
                <w:szCs w:val="24"/>
              </w:rPr>
              <w:t>% EOHHS Risk Sharing</w:t>
            </w:r>
            <w:r>
              <w:rPr>
                <w:b/>
                <w:szCs w:val="24"/>
                <w:vertAlign w:val="superscript"/>
              </w:rPr>
              <w:t>2</w:t>
            </w:r>
          </w:p>
        </w:tc>
      </w:tr>
      <w:tr w:rsidR="00851FDE" w:rsidRPr="00580923" w:rsidTr="0089583E">
        <w:tc>
          <w:tcPr>
            <w:tcW w:w="1530" w:type="dxa"/>
          </w:tcPr>
          <w:p w:rsidR="00851FDE" w:rsidRPr="00580923" w:rsidRDefault="00851FDE" w:rsidP="0089583E">
            <w:pPr>
              <w:ind w:left="180"/>
              <w:jc w:val="center"/>
              <w:outlineLvl w:val="2"/>
              <w:rPr>
                <w:szCs w:val="24"/>
              </w:rPr>
            </w:pPr>
            <w:r w:rsidRPr="00580923">
              <w:rPr>
                <w:szCs w:val="24"/>
              </w:rPr>
              <w:t>Loss &gt;20%</w:t>
            </w:r>
          </w:p>
        </w:tc>
        <w:tc>
          <w:tcPr>
            <w:tcW w:w="1620" w:type="dxa"/>
          </w:tcPr>
          <w:p w:rsidR="00851FDE" w:rsidRPr="00580923" w:rsidRDefault="00851FDE" w:rsidP="0089583E">
            <w:pPr>
              <w:ind w:left="180"/>
              <w:jc w:val="center"/>
              <w:outlineLvl w:val="2"/>
              <w:rPr>
                <w:szCs w:val="24"/>
              </w:rPr>
            </w:pPr>
            <w:r w:rsidRPr="00580923">
              <w:rPr>
                <w:szCs w:val="24"/>
              </w:rPr>
              <w:t>&gt;120.0%</w:t>
            </w:r>
          </w:p>
        </w:tc>
        <w:tc>
          <w:tcPr>
            <w:tcW w:w="1440" w:type="dxa"/>
          </w:tcPr>
          <w:p w:rsidR="00851FDE" w:rsidRPr="00580923" w:rsidRDefault="00851FDE" w:rsidP="0089583E">
            <w:pPr>
              <w:ind w:left="180"/>
              <w:jc w:val="center"/>
              <w:outlineLvl w:val="2"/>
              <w:rPr>
                <w:szCs w:val="24"/>
              </w:rPr>
            </w:pPr>
            <w:r w:rsidRPr="00580923">
              <w:rPr>
                <w:szCs w:val="24"/>
              </w:rPr>
              <w:t>100%</w:t>
            </w:r>
          </w:p>
        </w:tc>
        <w:tc>
          <w:tcPr>
            <w:tcW w:w="1710" w:type="dxa"/>
          </w:tcPr>
          <w:p w:rsidR="00851FDE" w:rsidRPr="00580923" w:rsidRDefault="00851FDE" w:rsidP="0089583E">
            <w:pPr>
              <w:ind w:left="72"/>
              <w:jc w:val="center"/>
              <w:outlineLvl w:val="2"/>
              <w:rPr>
                <w:szCs w:val="24"/>
              </w:rPr>
            </w:pPr>
            <w:r w:rsidRPr="00580923">
              <w:rPr>
                <w:szCs w:val="24"/>
              </w:rPr>
              <w:t>0%</w:t>
            </w:r>
          </w:p>
        </w:tc>
        <w:tc>
          <w:tcPr>
            <w:tcW w:w="1440" w:type="dxa"/>
          </w:tcPr>
          <w:p w:rsidR="00851FDE" w:rsidRPr="00580923" w:rsidRDefault="00851FDE" w:rsidP="0089583E">
            <w:pPr>
              <w:ind w:left="72"/>
              <w:jc w:val="center"/>
              <w:outlineLvl w:val="2"/>
              <w:rPr>
                <w:szCs w:val="24"/>
              </w:rPr>
            </w:pPr>
            <w:r w:rsidRPr="00580923">
              <w:rPr>
                <w:szCs w:val="24"/>
              </w:rPr>
              <w:t>0%</w:t>
            </w:r>
          </w:p>
        </w:tc>
        <w:tc>
          <w:tcPr>
            <w:tcW w:w="1728" w:type="dxa"/>
          </w:tcPr>
          <w:p w:rsidR="00851FDE" w:rsidRPr="00580923" w:rsidRDefault="00851FDE" w:rsidP="0089583E">
            <w:pPr>
              <w:ind w:left="180"/>
              <w:jc w:val="center"/>
              <w:outlineLvl w:val="2"/>
              <w:rPr>
                <w:szCs w:val="24"/>
              </w:rPr>
            </w:pPr>
            <w:r w:rsidRPr="00580923">
              <w:rPr>
                <w:szCs w:val="24"/>
              </w:rPr>
              <w:t>0%</w:t>
            </w:r>
          </w:p>
        </w:tc>
      </w:tr>
      <w:tr w:rsidR="00851FDE" w:rsidRPr="00580923" w:rsidTr="0089583E">
        <w:tc>
          <w:tcPr>
            <w:tcW w:w="1530" w:type="dxa"/>
          </w:tcPr>
          <w:p w:rsidR="00851FDE" w:rsidRPr="00580923" w:rsidRDefault="00851FDE" w:rsidP="0089583E">
            <w:pPr>
              <w:ind w:left="180"/>
              <w:jc w:val="center"/>
              <w:outlineLvl w:val="2"/>
              <w:rPr>
                <w:szCs w:val="24"/>
              </w:rPr>
            </w:pPr>
            <w:r w:rsidRPr="00580923">
              <w:rPr>
                <w:szCs w:val="24"/>
              </w:rPr>
              <w:t>Loss &gt;</w:t>
            </w:r>
            <w:r>
              <w:rPr>
                <w:szCs w:val="24"/>
              </w:rPr>
              <w:t xml:space="preserve"> 3%</w:t>
            </w:r>
            <w:r w:rsidRPr="00580923">
              <w:rPr>
                <w:szCs w:val="24"/>
              </w:rPr>
              <w:t xml:space="preserve"> and ≤ </w:t>
            </w:r>
            <w:r>
              <w:rPr>
                <w:szCs w:val="24"/>
              </w:rPr>
              <w:t>20%</w:t>
            </w:r>
          </w:p>
        </w:tc>
        <w:tc>
          <w:tcPr>
            <w:tcW w:w="1620" w:type="dxa"/>
          </w:tcPr>
          <w:p w:rsidR="00851FDE" w:rsidRPr="00580923" w:rsidRDefault="00851FDE" w:rsidP="0089583E">
            <w:pPr>
              <w:ind w:left="180"/>
              <w:jc w:val="center"/>
              <w:outlineLvl w:val="2"/>
              <w:rPr>
                <w:szCs w:val="24"/>
              </w:rPr>
            </w:pPr>
            <w:r>
              <w:rPr>
                <w:szCs w:val="24"/>
              </w:rPr>
              <w:t xml:space="preserve">103.1% </w:t>
            </w:r>
            <w:r w:rsidRPr="00580923">
              <w:rPr>
                <w:szCs w:val="24"/>
              </w:rPr>
              <w:t>to 120.0%</w:t>
            </w:r>
          </w:p>
          <w:p w:rsidR="00851FDE" w:rsidRPr="00580923" w:rsidRDefault="00851FDE" w:rsidP="0089583E">
            <w:pPr>
              <w:ind w:left="180"/>
              <w:jc w:val="center"/>
              <w:outlineLvl w:val="2"/>
              <w:rPr>
                <w:szCs w:val="24"/>
              </w:rPr>
            </w:pPr>
          </w:p>
        </w:tc>
        <w:tc>
          <w:tcPr>
            <w:tcW w:w="1440" w:type="dxa"/>
          </w:tcPr>
          <w:p w:rsidR="00851FDE" w:rsidRPr="00580923" w:rsidRDefault="00851FDE" w:rsidP="0089583E">
            <w:pPr>
              <w:ind w:left="180"/>
              <w:jc w:val="center"/>
              <w:outlineLvl w:val="2"/>
              <w:rPr>
                <w:szCs w:val="24"/>
              </w:rPr>
            </w:pPr>
            <w:r w:rsidRPr="00580923">
              <w:rPr>
                <w:szCs w:val="24"/>
              </w:rPr>
              <w:t>50%</w:t>
            </w:r>
          </w:p>
        </w:tc>
        <w:tc>
          <w:tcPr>
            <w:tcW w:w="1710" w:type="dxa"/>
          </w:tcPr>
          <w:p w:rsidR="00851FDE" w:rsidRPr="00580923" w:rsidRDefault="00851FDE" w:rsidP="0089583E">
            <w:pPr>
              <w:ind w:left="180"/>
              <w:jc w:val="center"/>
              <w:outlineLvl w:val="2"/>
              <w:rPr>
                <w:szCs w:val="24"/>
              </w:rPr>
            </w:pPr>
            <w:r w:rsidRPr="00580923">
              <w:rPr>
                <w:szCs w:val="24"/>
              </w:rPr>
              <w:t>50%</w:t>
            </w:r>
          </w:p>
        </w:tc>
        <w:tc>
          <w:tcPr>
            <w:tcW w:w="1440" w:type="dxa"/>
          </w:tcPr>
          <w:p w:rsidR="00851FDE" w:rsidRPr="00580923" w:rsidRDefault="00851FDE" w:rsidP="0089583E">
            <w:pPr>
              <w:ind w:left="72"/>
              <w:jc w:val="center"/>
              <w:outlineLvl w:val="2"/>
              <w:rPr>
                <w:szCs w:val="24"/>
              </w:rPr>
            </w:pPr>
            <w:r w:rsidRPr="00580923">
              <w:rPr>
                <w:szCs w:val="24"/>
              </w:rPr>
              <w:t>(50%) * (Medicare A/B Percent of Rate)</w:t>
            </w:r>
          </w:p>
        </w:tc>
        <w:tc>
          <w:tcPr>
            <w:tcW w:w="1728" w:type="dxa"/>
          </w:tcPr>
          <w:p w:rsidR="00851FDE" w:rsidRPr="00580923" w:rsidRDefault="00851FDE" w:rsidP="0089583E">
            <w:pPr>
              <w:ind w:left="-18"/>
              <w:jc w:val="center"/>
              <w:outlineLvl w:val="2"/>
              <w:rPr>
                <w:szCs w:val="24"/>
              </w:rPr>
            </w:pPr>
            <w:r w:rsidRPr="00580923">
              <w:rPr>
                <w:szCs w:val="24"/>
              </w:rPr>
              <w:t>(50%)*</w:t>
            </w:r>
            <w:r>
              <w:rPr>
                <w:szCs w:val="24"/>
              </w:rPr>
              <w:t xml:space="preserve"> </w:t>
            </w:r>
            <w:r w:rsidRPr="00580923">
              <w:rPr>
                <w:szCs w:val="24"/>
              </w:rPr>
              <w:t>(Medicaid Percent of Rate)</w:t>
            </w:r>
          </w:p>
          <w:p w:rsidR="00851FDE" w:rsidRPr="00580923" w:rsidRDefault="00851FDE" w:rsidP="0089583E">
            <w:pPr>
              <w:ind w:left="-18"/>
              <w:jc w:val="center"/>
              <w:outlineLvl w:val="2"/>
              <w:rPr>
                <w:szCs w:val="24"/>
              </w:rPr>
            </w:pPr>
          </w:p>
        </w:tc>
      </w:tr>
      <w:tr w:rsidR="00851FDE" w:rsidRPr="00580923" w:rsidTr="0089583E">
        <w:tc>
          <w:tcPr>
            <w:tcW w:w="1530" w:type="dxa"/>
          </w:tcPr>
          <w:p w:rsidR="00851FDE" w:rsidRPr="00580923" w:rsidRDefault="00851FDE" w:rsidP="0089583E">
            <w:pPr>
              <w:ind w:left="180"/>
              <w:jc w:val="center"/>
              <w:outlineLvl w:val="2"/>
              <w:rPr>
                <w:szCs w:val="24"/>
              </w:rPr>
            </w:pPr>
            <w:r w:rsidRPr="00580923">
              <w:rPr>
                <w:szCs w:val="24"/>
              </w:rPr>
              <w:t>Loss &gt;</w:t>
            </w:r>
            <w:r>
              <w:rPr>
                <w:szCs w:val="24"/>
              </w:rPr>
              <w:t>1%</w:t>
            </w:r>
            <w:r w:rsidRPr="00580923">
              <w:rPr>
                <w:szCs w:val="24"/>
              </w:rPr>
              <w:t xml:space="preserve"> and ≤ </w:t>
            </w:r>
            <w:r>
              <w:rPr>
                <w:szCs w:val="24"/>
              </w:rPr>
              <w:t>3%</w:t>
            </w:r>
          </w:p>
        </w:tc>
        <w:tc>
          <w:tcPr>
            <w:tcW w:w="1620" w:type="dxa"/>
          </w:tcPr>
          <w:p w:rsidR="00851FDE" w:rsidRPr="00580923" w:rsidRDefault="00851FDE" w:rsidP="0089583E">
            <w:pPr>
              <w:ind w:left="180"/>
              <w:jc w:val="center"/>
              <w:outlineLvl w:val="2"/>
              <w:rPr>
                <w:szCs w:val="24"/>
              </w:rPr>
            </w:pPr>
            <w:r w:rsidRPr="00580923">
              <w:rPr>
                <w:szCs w:val="24"/>
              </w:rPr>
              <w:t xml:space="preserve">101.1% to </w:t>
            </w:r>
            <w:r>
              <w:rPr>
                <w:szCs w:val="24"/>
              </w:rPr>
              <w:t>103.0%</w:t>
            </w:r>
          </w:p>
        </w:tc>
        <w:tc>
          <w:tcPr>
            <w:tcW w:w="1440" w:type="dxa"/>
          </w:tcPr>
          <w:p w:rsidR="00851FDE" w:rsidRPr="00580923" w:rsidRDefault="00851FDE" w:rsidP="0089583E">
            <w:pPr>
              <w:ind w:left="180"/>
              <w:jc w:val="center"/>
              <w:outlineLvl w:val="2"/>
              <w:rPr>
                <w:szCs w:val="24"/>
              </w:rPr>
            </w:pPr>
            <w:r w:rsidRPr="00580923">
              <w:rPr>
                <w:szCs w:val="24"/>
              </w:rPr>
              <w:t>10%</w:t>
            </w:r>
          </w:p>
        </w:tc>
        <w:tc>
          <w:tcPr>
            <w:tcW w:w="1710" w:type="dxa"/>
          </w:tcPr>
          <w:p w:rsidR="00851FDE" w:rsidRPr="00580923" w:rsidRDefault="00851FDE" w:rsidP="0089583E">
            <w:pPr>
              <w:ind w:left="180"/>
              <w:jc w:val="center"/>
              <w:outlineLvl w:val="2"/>
              <w:rPr>
                <w:szCs w:val="24"/>
              </w:rPr>
            </w:pPr>
            <w:r w:rsidRPr="00580923">
              <w:rPr>
                <w:szCs w:val="24"/>
              </w:rPr>
              <w:t>90%</w:t>
            </w:r>
          </w:p>
        </w:tc>
        <w:tc>
          <w:tcPr>
            <w:tcW w:w="1440" w:type="dxa"/>
          </w:tcPr>
          <w:p w:rsidR="00851FDE" w:rsidRPr="00580923" w:rsidRDefault="00851FDE" w:rsidP="0089583E">
            <w:pPr>
              <w:ind w:left="72"/>
              <w:jc w:val="center"/>
              <w:outlineLvl w:val="2"/>
              <w:rPr>
                <w:szCs w:val="24"/>
              </w:rPr>
            </w:pPr>
            <w:r w:rsidRPr="00580923">
              <w:rPr>
                <w:szCs w:val="24"/>
              </w:rPr>
              <w:t>(90%) * (Medicare A/B Percent of Rate)</w:t>
            </w:r>
          </w:p>
        </w:tc>
        <w:tc>
          <w:tcPr>
            <w:tcW w:w="1728" w:type="dxa"/>
          </w:tcPr>
          <w:p w:rsidR="00851FDE" w:rsidRPr="00580923" w:rsidRDefault="00851FDE" w:rsidP="0089583E">
            <w:pPr>
              <w:ind w:left="-18"/>
              <w:jc w:val="center"/>
              <w:outlineLvl w:val="2"/>
              <w:rPr>
                <w:szCs w:val="24"/>
              </w:rPr>
            </w:pPr>
            <w:r w:rsidRPr="00580923">
              <w:rPr>
                <w:szCs w:val="24"/>
              </w:rPr>
              <w:t>(90%)*</w:t>
            </w:r>
            <w:r>
              <w:rPr>
                <w:szCs w:val="24"/>
              </w:rPr>
              <w:t xml:space="preserve"> </w:t>
            </w:r>
            <w:r w:rsidRPr="00580923">
              <w:rPr>
                <w:szCs w:val="24"/>
              </w:rPr>
              <w:t>(Medicaid Percent of Rate)</w:t>
            </w:r>
          </w:p>
          <w:p w:rsidR="00851FDE" w:rsidRPr="00580923" w:rsidRDefault="00851FDE" w:rsidP="0089583E">
            <w:pPr>
              <w:ind w:left="-18"/>
              <w:jc w:val="center"/>
              <w:outlineLvl w:val="2"/>
              <w:rPr>
                <w:szCs w:val="24"/>
              </w:rPr>
            </w:pPr>
          </w:p>
        </w:tc>
      </w:tr>
      <w:tr w:rsidR="00851FDE" w:rsidRPr="00580923" w:rsidTr="0089583E">
        <w:tc>
          <w:tcPr>
            <w:tcW w:w="1530" w:type="dxa"/>
          </w:tcPr>
          <w:p w:rsidR="00851FDE" w:rsidRPr="00580923" w:rsidRDefault="00851FDE" w:rsidP="0089583E">
            <w:pPr>
              <w:ind w:left="180"/>
              <w:jc w:val="center"/>
              <w:outlineLvl w:val="2"/>
              <w:rPr>
                <w:szCs w:val="24"/>
              </w:rPr>
            </w:pPr>
            <w:r w:rsidRPr="00580923">
              <w:rPr>
                <w:szCs w:val="24"/>
              </w:rPr>
              <w:t>Loss or Gain ≤ 1%</w:t>
            </w:r>
          </w:p>
        </w:tc>
        <w:tc>
          <w:tcPr>
            <w:tcW w:w="1620" w:type="dxa"/>
          </w:tcPr>
          <w:p w:rsidR="00851FDE" w:rsidRPr="00580923" w:rsidRDefault="00851FDE" w:rsidP="0089583E">
            <w:pPr>
              <w:ind w:left="180"/>
              <w:jc w:val="center"/>
              <w:outlineLvl w:val="2"/>
              <w:rPr>
                <w:szCs w:val="24"/>
              </w:rPr>
            </w:pPr>
            <w:r w:rsidRPr="00580923">
              <w:rPr>
                <w:szCs w:val="24"/>
              </w:rPr>
              <w:t xml:space="preserve"> 99.0% to 101.0%</w:t>
            </w:r>
          </w:p>
        </w:tc>
        <w:tc>
          <w:tcPr>
            <w:tcW w:w="1440" w:type="dxa"/>
          </w:tcPr>
          <w:p w:rsidR="00851FDE" w:rsidRPr="00580923" w:rsidRDefault="00851FDE" w:rsidP="0089583E">
            <w:pPr>
              <w:ind w:left="180"/>
              <w:jc w:val="center"/>
              <w:outlineLvl w:val="2"/>
              <w:rPr>
                <w:szCs w:val="24"/>
              </w:rPr>
            </w:pPr>
            <w:r w:rsidRPr="00580923">
              <w:rPr>
                <w:szCs w:val="24"/>
              </w:rPr>
              <w:t>100%</w:t>
            </w:r>
          </w:p>
        </w:tc>
        <w:tc>
          <w:tcPr>
            <w:tcW w:w="1710" w:type="dxa"/>
          </w:tcPr>
          <w:p w:rsidR="00851FDE" w:rsidRPr="00580923" w:rsidRDefault="00851FDE" w:rsidP="0089583E">
            <w:pPr>
              <w:ind w:left="180"/>
              <w:jc w:val="center"/>
              <w:outlineLvl w:val="2"/>
              <w:rPr>
                <w:szCs w:val="24"/>
              </w:rPr>
            </w:pPr>
            <w:r w:rsidRPr="00580923">
              <w:rPr>
                <w:szCs w:val="24"/>
              </w:rPr>
              <w:t>0%</w:t>
            </w:r>
          </w:p>
        </w:tc>
        <w:tc>
          <w:tcPr>
            <w:tcW w:w="1440" w:type="dxa"/>
          </w:tcPr>
          <w:p w:rsidR="00851FDE" w:rsidRPr="00580923" w:rsidRDefault="00851FDE" w:rsidP="0089583E">
            <w:pPr>
              <w:ind w:left="72"/>
              <w:jc w:val="center"/>
              <w:outlineLvl w:val="2"/>
              <w:rPr>
                <w:szCs w:val="24"/>
              </w:rPr>
            </w:pPr>
            <w:r w:rsidRPr="00580923">
              <w:rPr>
                <w:szCs w:val="24"/>
              </w:rPr>
              <w:t>0%</w:t>
            </w:r>
          </w:p>
        </w:tc>
        <w:tc>
          <w:tcPr>
            <w:tcW w:w="1728" w:type="dxa"/>
          </w:tcPr>
          <w:p w:rsidR="00851FDE" w:rsidRPr="00580923" w:rsidRDefault="00851FDE" w:rsidP="0089583E">
            <w:pPr>
              <w:ind w:left="-18"/>
              <w:jc w:val="center"/>
              <w:outlineLvl w:val="2"/>
              <w:rPr>
                <w:szCs w:val="24"/>
              </w:rPr>
            </w:pPr>
            <w:r w:rsidRPr="00580923">
              <w:rPr>
                <w:szCs w:val="24"/>
              </w:rPr>
              <w:t>0%</w:t>
            </w:r>
          </w:p>
        </w:tc>
      </w:tr>
      <w:tr w:rsidR="00851FDE" w:rsidRPr="00580923" w:rsidTr="0089583E">
        <w:tc>
          <w:tcPr>
            <w:tcW w:w="1530" w:type="dxa"/>
          </w:tcPr>
          <w:p w:rsidR="00851FDE" w:rsidRPr="00580923" w:rsidRDefault="00851FDE" w:rsidP="0089583E">
            <w:pPr>
              <w:ind w:left="180"/>
              <w:jc w:val="center"/>
              <w:outlineLvl w:val="2"/>
              <w:rPr>
                <w:szCs w:val="24"/>
              </w:rPr>
            </w:pPr>
            <w:r w:rsidRPr="00580923">
              <w:rPr>
                <w:szCs w:val="24"/>
              </w:rPr>
              <w:t xml:space="preserve">Gain &gt;1% and ≤ </w:t>
            </w:r>
            <w:r>
              <w:rPr>
                <w:szCs w:val="24"/>
              </w:rPr>
              <w:t>3</w:t>
            </w:r>
            <w:r w:rsidRPr="00580923">
              <w:rPr>
                <w:szCs w:val="24"/>
              </w:rPr>
              <w:t>%</w:t>
            </w:r>
          </w:p>
        </w:tc>
        <w:tc>
          <w:tcPr>
            <w:tcW w:w="1620" w:type="dxa"/>
          </w:tcPr>
          <w:p w:rsidR="00851FDE" w:rsidRPr="00580923" w:rsidRDefault="00851FDE" w:rsidP="0089583E">
            <w:pPr>
              <w:ind w:left="180"/>
              <w:jc w:val="center"/>
              <w:outlineLvl w:val="2"/>
              <w:rPr>
                <w:szCs w:val="24"/>
              </w:rPr>
            </w:pPr>
            <w:r>
              <w:rPr>
                <w:szCs w:val="24"/>
              </w:rPr>
              <w:t>97.0</w:t>
            </w:r>
            <w:r w:rsidRPr="00580923">
              <w:rPr>
                <w:szCs w:val="24"/>
              </w:rPr>
              <w:t>% to 98.9%</w:t>
            </w:r>
          </w:p>
        </w:tc>
        <w:tc>
          <w:tcPr>
            <w:tcW w:w="1440" w:type="dxa"/>
          </w:tcPr>
          <w:p w:rsidR="00851FDE" w:rsidRPr="00580923" w:rsidRDefault="00851FDE" w:rsidP="0089583E">
            <w:pPr>
              <w:ind w:left="180"/>
              <w:jc w:val="center"/>
              <w:outlineLvl w:val="2"/>
              <w:rPr>
                <w:szCs w:val="24"/>
              </w:rPr>
            </w:pPr>
            <w:r w:rsidRPr="00580923">
              <w:rPr>
                <w:szCs w:val="24"/>
              </w:rPr>
              <w:t>10%</w:t>
            </w:r>
          </w:p>
        </w:tc>
        <w:tc>
          <w:tcPr>
            <w:tcW w:w="1710" w:type="dxa"/>
          </w:tcPr>
          <w:p w:rsidR="00851FDE" w:rsidRPr="00580923" w:rsidRDefault="00851FDE" w:rsidP="0089583E">
            <w:pPr>
              <w:ind w:left="180"/>
              <w:jc w:val="center"/>
              <w:outlineLvl w:val="2"/>
              <w:rPr>
                <w:szCs w:val="24"/>
              </w:rPr>
            </w:pPr>
            <w:r w:rsidRPr="00580923">
              <w:rPr>
                <w:szCs w:val="24"/>
              </w:rPr>
              <w:t>90%</w:t>
            </w:r>
          </w:p>
        </w:tc>
        <w:tc>
          <w:tcPr>
            <w:tcW w:w="1440" w:type="dxa"/>
          </w:tcPr>
          <w:p w:rsidR="00851FDE" w:rsidRPr="00580923" w:rsidRDefault="00851FDE" w:rsidP="0089583E">
            <w:pPr>
              <w:ind w:left="72"/>
              <w:jc w:val="center"/>
              <w:outlineLvl w:val="2"/>
              <w:rPr>
                <w:szCs w:val="24"/>
              </w:rPr>
            </w:pPr>
            <w:r w:rsidRPr="00580923">
              <w:rPr>
                <w:szCs w:val="24"/>
              </w:rPr>
              <w:t xml:space="preserve">(90%) * (Medicare A/B Percent of </w:t>
            </w:r>
            <w:r w:rsidRPr="00580923">
              <w:rPr>
                <w:szCs w:val="24"/>
              </w:rPr>
              <w:lastRenderedPageBreak/>
              <w:t>Rate)</w:t>
            </w:r>
          </w:p>
        </w:tc>
        <w:tc>
          <w:tcPr>
            <w:tcW w:w="1728" w:type="dxa"/>
          </w:tcPr>
          <w:p w:rsidR="00851FDE" w:rsidRPr="00580923" w:rsidRDefault="00851FDE" w:rsidP="0089583E">
            <w:pPr>
              <w:ind w:left="-18"/>
              <w:jc w:val="center"/>
              <w:outlineLvl w:val="2"/>
              <w:rPr>
                <w:szCs w:val="24"/>
              </w:rPr>
            </w:pPr>
            <w:r w:rsidRPr="00580923">
              <w:rPr>
                <w:szCs w:val="24"/>
              </w:rPr>
              <w:lastRenderedPageBreak/>
              <w:t>(90%)*</w:t>
            </w:r>
            <w:r>
              <w:rPr>
                <w:szCs w:val="24"/>
              </w:rPr>
              <w:t xml:space="preserve"> </w:t>
            </w:r>
            <w:r w:rsidRPr="00580923">
              <w:rPr>
                <w:szCs w:val="24"/>
              </w:rPr>
              <w:t>(Medicaid Percent of Rate)</w:t>
            </w:r>
          </w:p>
          <w:p w:rsidR="00851FDE" w:rsidRPr="00580923" w:rsidRDefault="00851FDE" w:rsidP="0089583E">
            <w:pPr>
              <w:ind w:left="-18"/>
              <w:jc w:val="center"/>
              <w:outlineLvl w:val="2"/>
              <w:rPr>
                <w:szCs w:val="24"/>
              </w:rPr>
            </w:pPr>
          </w:p>
        </w:tc>
      </w:tr>
      <w:tr w:rsidR="00851FDE" w:rsidRPr="00580923" w:rsidTr="0089583E">
        <w:tc>
          <w:tcPr>
            <w:tcW w:w="1530" w:type="dxa"/>
          </w:tcPr>
          <w:p w:rsidR="00851FDE" w:rsidRPr="00580923" w:rsidRDefault="00851FDE" w:rsidP="0089583E">
            <w:pPr>
              <w:ind w:left="180"/>
              <w:outlineLvl w:val="2"/>
              <w:rPr>
                <w:szCs w:val="24"/>
              </w:rPr>
            </w:pPr>
            <w:r w:rsidRPr="00580923">
              <w:rPr>
                <w:szCs w:val="24"/>
              </w:rPr>
              <w:lastRenderedPageBreak/>
              <w:t>Gain &gt;</w:t>
            </w:r>
            <w:r>
              <w:rPr>
                <w:szCs w:val="24"/>
              </w:rPr>
              <w:t xml:space="preserve"> 3%</w:t>
            </w:r>
            <w:r w:rsidRPr="00580923">
              <w:rPr>
                <w:szCs w:val="24"/>
              </w:rPr>
              <w:t xml:space="preserve"> and ≤ 20%</w:t>
            </w:r>
          </w:p>
        </w:tc>
        <w:tc>
          <w:tcPr>
            <w:tcW w:w="1620" w:type="dxa"/>
          </w:tcPr>
          <w:p w:rsidR="00851FDE" w:rsidRPr="00580923" w:rsidRDefault="00851FDE" w:rsidP="0089583E">
            <w:pPr>
              <w:ind w:left="180"/>
              <w:jc w:val="center"/>
              <w:outlineLvl w:val="2"/>
              <w:rPr>
                <w:szCs w:val="24"/>
              </w:rPr>
            </w:pPr>
            <w:r w:rsidRPr="00580923">
              <w:rPr>
                <w:szCs w:val="24"/>
              </w:rPr>
              <w:t xml:space="preserve">80.0% to </w:t>
            </w:r>
            <w:r>
              <w:rPr>
                <w:szCs w:val="24"/>
              </w:rPr>
              <w:t>96.9%</w:t>
            </w:r>
          </w:p>
        </w:tc>
        <w:tc>
          <w:tcPr>
            <w:tcW w:w="1440" w:type="dxa"/>
          </w:tcPr>
          <w:p w:rsidR="00851FDE" w:rsidRPr="00580923" w:rsidRDefault="00851FDE" w:rsidP="0089583E">
            <w:pPr>
              <w:ind w:left="180"/>
              <w:jc w:val="center"/>
              <w:outlineLvl w:val="2"/>
              <w:rPr>
                <w:szCs w:val="24"/>
              </w:rPr>
            </w:pPr>
            <w:r w:rsidRPr="00580923">
              <w:rPr>
                <w:szCs w:val="24"/>
              </w:rPr>
              <w:t>50%</w:t>
            </w:r>
          </w:p>
        </w:tc>
        <w:tc>
          <w:tcPr>
            <w:tcW w:w="1710" w:type="dxa"/>
          </w:tcPr>
          <w:p w:rsidR="00851FDE" w:rsidRPr="00580923" w:rsidRDefault="00851FDE" w:rsidP="0089583E">
            <w:pPr>
              <w:ind w:left="180"/>
              <w:jc w:val="center"/>
              <w:outlineLvl w:val="2"/>
              <w:rPr>
                <w:szCs w:val="24"/>
              </w:rPr>
            </w:pPr>
            <w:r w:rsidRPr="00580923">
              <w:rPr>
                <w:szCs w:val="24"/>
              </w:rPr>
              <w:t>50%</w:t>
            </w:r>
          </w:p>
        </w:tc>
        <w:tc>
          <w:tcPr>
            <w:tcW w:w="1440" w:type="dxa"/>
          </w:tcPr>
          <w:p w:rsidR="00851FDE" w:rsidRPr="00580923" w:rsidRDefault="00851FDE" w:rsidP="0089583E">
            <w:pPr>
              <w:ind w:left="72"/>
              <w:jc w:val="center"/>
              <w:outlineLvl w:val="2"/>
              <w:rPr>
                <w:szCs w:val="24"/>
              </w:rPr>
            </w:pPr>
            <w:r w:rsidRPr="00580923">
              <w:rPr>
                <w:szCs w:val="24"/>
              </w:rPr>
              <w:t>(50%) * (Medicare A/B Percent of Rate)</w:t>
            </w:r>
          </w:p>
        </w:tc>
        <w:tc>
          <w:tcPr>
            <w:tcW w:w="1728" w:type="dxa"/>
          </w:tcPr>
          <w:p w:rsidR="00851FDE" w:rsidRPr="00580923" w:rsidRDefault="00851FDE" w:rsidP="0089583E">
            <w:pPr>
              <w:ind w:left="-18"/>
              <w:jc w:val="center"/>
              <w:outlineLvl w:val="2"/>
              <w:rPr>
                <w:szCs w:val="24"/>
              </w:rPr>
            </w:pPr>
            <w:r w:rsidRPr="00580923">
              <w:rPr>
                <w:szCs w:val="24"/>
              </w:rPr>
              <w:t>(50%)*</w:t>
            </w:r>
            <w:r>
              <w:rPr>
                <w:szCs w:val="24"/>
              </w:rPr>
              <w:t xml:space="preserve"> </w:t>
            </w:r>
            <w:r w:rsidRPr="00580923">
              <w:rPr>
                <w:szCs w:val="24"/>
              </w:rPr>
              <w:t>(Medicaid Percent of Rate)</w:t>
            </w:r>
          </w:p>
          <w:p w:rsidR="00851FDE" w:rsidRPr="00580923" w:rsidRDefault="00851FDE" w:rsidP="0089583E">
            <w:pPr>
              <w:ind w:left="-18"/>
              <w:jc w:val="center"/>
              <w:outlineLvl w:val="2"/>
              <w:rPr>
                <w:szCs w:val="24"/>
              </w:rPr>
            </w:pPr>
          </w:p>
        </w:tc>
      </w:tr>
      <w:tr w:rsidR="00851FDE" w:rsidRPr="00580923" w:rsidTr="0089583E">
        <w:tc>
          <w:tcPr>
            <w:tcW w:w="1530" w:type="dxa"/>
          </w:tcPr>
          <w:p w:rsidR="00851FDE" w:rsidRPr="00580923" w:rsidRDefault="00851FDE" w:rsidP="0089583E">
            <w:pPr>
              <w:ind w:left="720" w:hanging="720"/>
              <w:jc w:val="center"/>
              <w:outlineLvl w:val="2"/>
              <w:rPr>
                <w:szCs w:val="24"/>
              </w:rPr>
            </w:pPr>
            <w:r w:rsidRPr="00580923">
              <w:rPr>
                <w:szCs w:val="24"/>
              </w:rPr>
              <w:t>Gain &gt;20%</w:t>
            </w:r>
          </w:p>
        </w:tc>
        <w:tc>
          <w:tcPr>
            <w:tcW w:w="1620" w:type="dxa"/>
          </w:tcPr>
          <w:p w:rsidR="00851FDE" w:rsidRPr="00580923" w:rsidRDefault="00851FDE" w:rsidP="0089583E">
            <w:pPr>
              <w:ind w:left="720" w:hanging="720"/>
              <w:jc w:val="center"/>
              <w:outlineLvl w:val="2"/>
              <w:rPr>
                <w:szCs w:val="24"/>
              </w:rPr>
            </w:pPr>
            <w:r w:rsidRPr="00580923">
              <w:rPr>
                <w:szCs w:val="24"/>
              </w:rPr>
              <w:t>&lt; 80.0%</w:t>
            </w:r>
          </w:p>
        </w:tc>
        <w:tc>
          <w:tcPr>
            <w:tcW w:w="1440" w:type="dxa"/>
          </w:tcPr>
          <w:p w:rsidR="00851FDE" w:rsidRPr="00580923" w:rsidRDefault="00851FDE" w:rsidP="0089583E">
            <w:pPr>
              <w:ind w:left="720" w:hanging="720"/>
              <w:jc w:val="center"/>
              <w:outlineLvl w:val="2"/>
              <w:rPr>
                <w:szCs w:val="24"/>
              </w:rPr>
            </w:pPr>
            <w:r w:rsidRPr="00580923">
              <w:rPr>
                <w:szCs w:val="24"/>
              </w:rPr>
              <w:t>100%</w:t>
            </w:r>
          </w:p>
        </w:tc>
        <w:tc>
          <w:tcPr>
            <w:tcW w:w="1710" w:type="dxa"/>
          </w:tcPr>
          <w:p w:rsidR="00851FDE" w:rsidRPr="00580923" w:rsidRDefault="00851FDE" w:rsidP="0089583E">
            <w:pPr>
              <w:ind w:left="720" w:hanging="720"/>
              <w:jc w:val="center"/>
              <w:outlineLvl w:val="2"/>
              <w:rPr>
                <w:szCs w:val="24"/>
              </w:rPr>
            </w:pPr>
            <w:r w:rsidRPr="00580923">
              <w:rPr>
                <w:szCs w:val="24"/>
              </w:rPr>
              <w:t>0%</w:t>
            </w:r>
          </w:p>
        </w:tc>
        <w:tc>
          <w:tcPr>
            <w:tcW w:w="1440" w:type="dxa"/>
          </w:tcPr>
          <w:p w:rsidR="00851FDE" w:rsidRPr="00580923" w:rsidRDefault="00851FDE" w:rsidP="0089583E">
            <w:pPr>
              <w:ind w:left="72"/>
              <w:jc w:val="center"/>
              <w:outlineLvl w:val="2"/>
              <w:rPr>
                <w:szCs w:val="24"/>
              </w:rPr>
            </w:pPr>
            <w:r w:rsidRPr="00580923">
              <w:rPr>
                <w:szCs w:val="24"/>
              </w:rPr>
              <w:t>0%</w:t>
            </w:r>
          </w:p>
        </w:tc>
        <w:tc>
          <w:tcPr>
            <w:tcW w:w="1728" w:type="dxa"/>
          </w:tcPr>
          <w:p w:rsidR="00851FDE" w:rsidRPr="00580923" w:rsidRDefault="00851FDE" w:rsidP="0089583E">
            <w:pPr>
              <w:ind w:left="720" w:hanging="720"/>
              <w:jc w:val="center"/>
              <w:outlineLvl w:val="2"/>
              <w:rPr>
                <w:szCs w:val="24"/>
              </w:rPr>
            </w:pPr>
            <w:r w:rsidRPr="00580923">
              <w:rPr>
                <w:szCs w:val="24"/>
              </w:rPr>
              <w:t>0%</w:t>
            </w:r>
          </w:p>
        </w:tc>
      </w:tr>
    </w:tbl>
    <w:p w:rsidR="00851FDE" w:rsidRPr="00580923" w:rsidRDefault="00851FDE" w:rsidP="00780E4D">
      <w:pPr>
        <w:ind w:left="540" w:hanging="180"/>
        <w:outlineLvl w:val="2"/>
        <w:rPr>
          <w:szCs w:val="24"/>
        </w:rPr>
      </w:pPr>
      <w:r w:rsidRPr="00580923">
        <w:rPr>
          <w:szCs w:val="24"/>
          <w:vertAlign w:val="superscript"/>
        </w:rPr>
        <w:t xml:space="preserve">1  </w:t>
      </w:r>
      <w:r w:rsidRPr="00580923">
        <w:rPr>
          <w:szCs w:val="24"/>
        </w:rPr>
        <w:t>Loss and gain reflected on an incremental basis, rounded to the nearest one tenth of a percent.  Loss or gain &gt;20.0% still results in risk sharing reconciliation for the loss or gain between 1.1% and 20.0%.</w:t>
      </w:r>
    </w:p>
    <w:p w:rsidR="00851FDE" w:rsidRPr="00580923" w:rsidRDefault="00851FDE" w:rsidP="00780E4D">
      <w:pPr>
        <w:ind w:left="540" w:hanging="180"/>
        <w:rPr>
          <w:szCs w:val="24"/>
        </w:rPr>
      </w:pPr>
    </w:p>
    <w:p w:rsidR="00851FDE" w:rsidRPr="00580923" w:rsidRDefault="00851FDE" w:rsidP="00780E4D">
      <w:pPr>
        <w:ind w:left="540" w:hanging="180"/>
        <w:outlineLvl w:val="2"/>
        <w:rPr>
          <w:szCs w:val="24"/>
        </w:rPr>
      </w:pPr>
      <w:r>
        <w:rPr>
          <w:szCs w:val="24"/>
          <w:vertAlign w:val="superscript"/>
        </w:rPr>
        <w:t>2</w:t>
      </w:r>
      <w:r w:rsidRPr="00580923">
        <w:rPr>
          <w:szCs w:val="24"/>
          <w:vertAlign w:val="superscript"/>
        </w:rPr>
        <w:t xml:space="preserve">  </w:t>
      </w:r>
      <w:r w:rsidRPr="00580923">
        <w:rPr>
          <w:szCs w:val="24"/>
        </w:rPr>
        <w:t xml:space="preserve">All EOHHS Risk Sharing shall be treated as Medicaid expenditures eligible for FMAP.  </w:t>
      </w:r>
    </w:p>
    <w:p w:rsidR="00851FDE" w:rsidRPr="00580923" w:rsidRDefault="00851FDE" w:rsidP="00911ABA">
      <w:pPr>
        <w:ind w:left="540" w:hanging="180"/>
        <w:outlineLvl w:val="2"/>
        <w:rPr>
          <w:szCs w:val="24"/>
        </w:rPr>
      </w:pPr>
    </w:p>
    <w:p w:rsidR="00851FDE" w:rsidRPr="00580923" w:rsidRDefault="00851FDE" w:rsidP="00911ABA">
      <w:pPr>
        <w:ind w:left="1440" w:hanging="360"/>
        <w:outlineLvl w:val="2"/>
        <w:rPr>
          <w:szCs w:val="24"/>
        </w:rPr>
      </w:pPr>
      <w:r w:rsidRPr="00580923">
        <w:rPr>
          <w:szCs w:val="24"/>
        </w:rPr>
        <w:t xml:space="preserve">4.   Risk Sharing Settlement:  </w:t>
      </w:r>
    </w:p>
    <w:p w:rsidR="00851FDE" w:rsidRPr="00580923" w:rsidRDefault="00851FDE" w:rsidP="00911ABA">
      <w:pPr>
        <w:ind w:left="720"/>
        <w:outlineLvl w:val="2"/>
        <w:rPr>
          <w:szCs w:val="24"/>
        </w:rPr>
      </w:pPr>
    </w:p>
    <w:p w:rsidR="00851FDE" w:rsidRDefault="00851FDE" w:rsidP="00911ABA">
      <w:pPr>
        <w:ind w:left="1440"/>
        <w:outlineLvl w:val="2"/>
        <w:rPr>
          <w:szCs w:val="24"/>
        </w:rPr>
      </w:pPr>
      <w:r w:rsidRPr="00580923">
        <w:rPr>
          <w:szCs w:val="24"/>
        </w:rPr>
        <w:t xml:space="preserve">CMS and EOHHS shall determine interim and final settlements of payments made by the Contractor to CMS and EOHHS or by CMS and EOHHS to the Contractor under this section. Interim and final settlement amounts shall be calculated for each Demonstration Year; however, </w:t>
      </w:r>
      <w:r>
        <w:rPr>
          <w:szCs w:val="24"/>
        </w:rPr>
        <w:t xml:space="preserve">the Risk Corridor for </w:t>
      </w:r>
      <w:r w:rsidRPr="001676BB">
        <w:rPr>
          <w:szCs w:val="24"/>
        </w:rPr>
        <w:t xml:space="preserve">Demonstration Year 1 as described in </w:t>
      </w:r>
      <w:r w:rsidRPr="001676BB">
        <w:rPr>
          <w:b/>
          <w:szCs w:val="24"/>
        </w:rPr>
        <w:t>Section 4.6.B.2.a</w:t>
      </w:r>
      <w:r w:rsidRPr="001676BB">
        <w:rPr>
          <w:szCs w:val="24"/>
        </w:rPr>
        <w:t xml:space="preserve"> shall be contingent upon Contractor participation in the Demonstration at least through June 30, 2015, unless otherwise permitted by CMS and MassHealth; and Demonstration Year 2 payment shall be contingent upon Contractor participation in the Demonstration at least through March 31, 2016, unless otherwise permitted by CMS and MassHealth.  If the Contract is terminated prior to June 30, 2015, the risk corridor</w:t>
      </w:r>
      <w:r>
        <w:rPr>
          <w:szCs w:val="24"/>
        </w:rPr>
        <w:t xml:space="preserve"> shall be calculated in accordance with </w:t>
      </w:r>
      <w:r>
        <w:rPr>
          <w:b/>
          <w:szCs w:val="24"/>
        </w:rPr>
        <w:t>Section</w:t>
      </w:r>
      <w:r w:rsidRPr="00CB31C2">
        <w:rPr>
          <w:b/>
          <w:szCs w:val="24"/>
        </w:rPr>
        <w:t xml:space="preserve"> 4.6.B.2.d</w:t>
      </w:r>
      <w:r>
        <w:rPr>
          <w:szCs w:val="24"/>
        </w:rPr>
        <w:t>.</w:t>
      </w:r>
    </w:p>
    <w:p w:rsidR="00851FDE" w:rsidRDefault="00851FDE" w:rsidP="00911ABA">
      <w:pPr>
        <w:ind w:left="1440"/>
        <w:outlineLvl w:val="2"/>
        <w:rPr>
          <w:szCs w:val="24"/>
        </w:rPr>
      </w:pPr>
      <w:r>
        <w:rPr>
          <w:szCs w:val="24"/>
        </w:rPr>
        <w:t xml:space="preserve"> </w:t>
      </w:r>
    </w:p>
    <w:p w:rsidR="00851FDE" w:rsidRPr="00580923" w:rsidRDefault="00851FDE" w:rsidP="00911ABA">
      <w:pPr>
        <w:ind w:left="1800" w:hanging="360"/>
        <w:outlineLvl w:val="2"/>
        <w:rPr>
          <w:szCs w:val="24"/>
        </w:rPr>
      </w:pPr>
      <w:r w:rsidRPr="00580923">
        <w:rPr>
          <w:szCs w:val="24"/>
        </w:rPr>
        <w:t xml:space="preserve">a.   Interim Settlement: CMS and EOHHS shall determine an interim settlement based on 3 months of claims run-out beyond the end of each Demonstration Year and an incurred but not reported (IBNR) estimate. </w:t>
      </w:r>
      <w:r>
        <w:rPr>
          <w:szCs w:val="24"/>
        </w:rPr>
        <w:t xml:space="preserve"> </w:t>
      </w:r>
    </w:p>
    <w:p w:rsidR="00851FDE" w:rsidRPr="00580923" w:rsidRDefault="00851FDE" w:rsidP="00911ABA">
      <w:pPr>
        <w:ind w:left="720"/>
        <w:outlineLvl w:val="2"/>
        <w:rPr>
          <w:szCs w:val="24"/>
        </w:rPr>
      </w:pPr>
    </w:p>
    <w:p w:rsidR="00851FDE" w:rsidRPr="00580923" w:rsidRDefault="00851FDE" w:rsidP="00911ABA">
      <w:pPr>
        <w:ind w:left="2160" w:hanging="360"/>
        <w:outlineLvl w:val="2"/>
        <w:rPr>
          <w:szCs w:val="24"/>
        </w:rPr>
      </w:pPr>
      <w:r w:rsidRPr="00580923">
        <w:rPr>
          <w:szCs w:val="24"/>
        </w:rPr>
        <w:t>(1) For the purpose of the interim settlement, the Contractor will jointly provide to CMS and EOHHS the following within 120 calendar days following the end of each Demonstration Year:</w:t>
      </w:r>
    </w:p>
    <w:p w:rsidR="00851FDE" w:rsidRPr="00580923" w:rsidRDefault="00851FDE" w:rsidP="00911ABA">
      <w:pPr>
        <w:ind w:left="2520" w:hanging="360"/>
        <w:outlineLvl w:val="2"/>
        <w:rPr>
          <w:szCs w:val="24"/>
        </w:rPr>
      </w:pPr>
    </w:p>
    <w:p w:rsidR="00851FDE" w:rsidRPr="00580923" w:rsidRDefault="00851FDE" w:rsidP="00911ABA">
      <w:pPr>
        <w:ind w:left="2520" w:hanging="360"/>
        <w:outlineLvl w:val="2"/>
        <w:rPr>
          <w:szCs w:val="24"/>
        </w:rPr>
      </w:pPr>
      <w:r w:rsidRPr="00580923">
        <w:rPr>
          <w:szCs w:val="24"/>
        </w:rPr>
        <w:t>(A) A complete and accurate report of Actual Non-Service Expenditures for Enrollees in the Demonstration Year;</w:t>
      </w:r>
    </w:p>
    <w:p w:rsidR="00851FDE" w:rsidRPr="00580923" w:rsidRDefault="00851FDE" w:rsidP="00911ABA">
      <w:pPr>
        <w:rPr>
          <w:szCs w:val="24"/>
        </w:rPr>
      </w:pPr>
    </w:p>
    <w:p w:rsidR="00851FDE" w:rsidRPr="00580923" w:rsidRDefault="00851FDE" w:rsidP="00911ABA">
      <w:pPr>
        <w:ind w:left="2520" w:hanging="360"/>
        <w:outlineLvl w:val="2"/>
        <w:rPr>
          <w:szCs w:val="24"/>
        </w:rPr>
      </w:pPr>
      <w:r w:rsidRPr="00580923">
        <w:rPr>
          <w:szCs w:val="24"/>
        </w:rPr>
        <w:t xml:space="preserve">(B) A complete and accurate report of Actual Service Expenditures, based on category of services, for Enrollees based on claims </w:t>
      </w:r>
      <w:r w:rsidRPr="00580923">
        <w:rPr>
          <w:szCs w:val="24"/>
        </w:rPr>
        <w:lastRenderedPageBreak/>
        <w:t>incurred for the Demonstration Year, including 3 months of claims run-out;</w:t>
      </w:r>
    </w:p>
    <w:p w:rsidR="00851FDE" w:rsidRPr="00580923" w:rsidRDefault="00851FDE" w:rsidP="00911ABA">
      <w:pPr>
        <w:rPr>
          <w:szCs w:val="24"/>
        </w:rPr>
      </w:pPr>
    </w:p>
    <w:p w:rsidR="00851FDE" w:rsidRPr="00580923" w:rsidRDefault="00851FDE" w:rsidP="00911ABA">
      <w:pPr>
        <w:ind w:left="2520" w:hanging="360"/>
        <w:outlineLvl w:val="2"/>
        <w:rPr>
          <w:szCs w:val="24"/>
        </w:rPr>
      </w:pPr>
      <w:r w:rsidRPr="00580923">
        <w:rPr>
          <w:szCs w:val="24"/>
        </w:rPr>
        <w:t xml:space="preserve">(C) The Contractor’s best estimate of any claims incurred but not reported (IBNR) for claims run-out beyond 3 months and any IBNR completion factors by category of service; </w:t>
      </w:r>
    </w:p>
    <w:p w:rsidR="00851FDE" w:rsidRPr="00580923" w:rsidRDefault="00851FDE" w:rsidP="00911ABA">
      <w:pPr>
        <w:rPr>
          <w:szCs w:val="24"/>
        </w:rPr>
      </w:pPr>
    </w:p>
    <w:p w:rsidR="00851FDE" w:rsidRPr="00580923" w:rsidRDefault="00851FDE" w:rsidP="00911ABA">
      <w:pPr>
        <w:ind w:left="2520" w:hanging="360"/>
        <w:outlineLvl w:val="2"/>
        <w:rPr>
          <w:szCs w:val="24"/>
        </w:rPr>
      </w:pPr>
      <w:r w:rsidRPr="00580923">
        <w:rPr>
          <w:szCs w:val="24"/>
        </w:rPr>
        <w:t>(D) A complete and accurate report of Part D revenue and expenditure, as required under 42 C.F.R. 423.514(a)(1);</w:t>
      </w:r>
    </w:p>
    <w:p w:rsidR="00851FDE" w:rsidRPr="00580923" w:rsidRDefault="00851FDE" w:rsidP="00911ABA">
      <w:pPr>
        <w:rPr>
          <w:szCs w:val="24"/>
        </w:rPr>
      </w:pPr>
    </w:p>
    <w:p w:rsidR="00851FDE" w:rsidRPr="00580923" w:rsidRDefault="00851FDE" w:rsidP="00911ABA">
      <w:pPr>
        <w:ind w:left="2520" w:hanging="360"/>
        <w:outlineLvl w:val="2"/>
        <w:rPr>
          <w:szCs w:val="24"/>
        </w:rPr>
      </w:pPr>
      <w:r w:rsidRPr="00580923">
        <w:rPr>
          <w:szCs w:val="24"/>
        </w:rPr>
        <w:t xml:space="preserve">(E) 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580923">
        <w:rPr>
          <w:b/>
          <w:szCs w:val="24"/>
        </w:rPr>
        <w:t>Section 4.3.B</w:t>
      </w:r>
      <w:r w:rsidRPr="00580923">
        <w:rPr>
          <w:szCs w:val="24"/>
        </w:rPr>
        <w:t>);</w:t>
      </w:r>
    </w:p>
    <w:p w:rsidR="00851FDE" w:rsidRPr="00580923" w:rsidRDefault="00851FDE" w:rsidP="00911ABA">
      <w:pPr>
        <w:rPr>
          <w:szCs w:val="24"/>
        </w:rPr>
      </w:pPr>
    </w:p>
    <w:p w:rsidR="00851FDE" w:rsidRPr="00580923" w:rsidRDefault="00851FDE" w:rsidP="00911ABA">
      <w:pPr>
        <w:ind w:left="2520" w:hanging="360"/>
        <w:rPr>
          <w:szCs w:val="24"/>
        </w:rPr>
      </w:pPr>
      <w:r w:rsidRPr="00580923">
        <w:rPr>
          <w:szCs w:val="24"/>
        </w:rPr>
        <w:t xml:space="preserve">(F) A complete and accurate report of net reinsurance costs that are included in the reported Actual Non-Service Expenditures; </w:t>
      </w:r>
    </w:p>
    <w:p w:rsidR="00851FDE" w:rsidRPr="00580923" w:rsidRDefault="00851FDE" w:rsidP="00911ABA">
      <w:pPr>
        <w:rPr>
          <w:szCs w:val="24"/>
        </w:rPr>
      </w:pPr>
    </w:p>
    <w:p w:rsidR="00851FDE" w:rsidRDefault="00851FDE" w:rsidP="00911ABA">
      <w:pPr>
        <w:ind w:left="2520" w:hanging="360"/>
        <w:outlineLvl w:val="2"/>
        <w:rPr>
          <w:szCs w:val="24"/>
        </w:rPr>
      </w:pPr>
      <w:r w:rsidRPr="00580923">
        <w:rPr>
          <w:szCs w:val="24"/>
        </w:rPr>
        <w:t xml:space="preserve">(G) Encounter data, as required under </w:t>
      </w:r>
      <w:r w:rsidRPr="00580923">
        <w:rPr>
          <w:b/>
          <w:szCs w:val="24"/>
        </w:rPr>
        <w:t>Section 2.17</w:t>
      </w:r>
      <w:r w:rsidRPr="00580923">
        <w:rPr>
          <w:szCs w:val="24"/>
        </w:rPr>
        <w:t xml:space="preserve"> of this Contract</w:t>
      </w:r>
      <w:r>
        <w:rPr>
          <w:szCs w:val="24"/>
        </w:rPr>
        <w:t xml:space="preserve">, unless otherwise permitted by CMS and MassHealth; and </w:t>
      </w:r>
    </w:p>
    <w:p w:rsidR="00851FDE" w:rsidRDefault="00851FDE" w:rsidP="00911ABA">
      <w:pPr>
        <w:ind w:left="2520" w:hanging="360"/>
        <w:outlineLvl w:val="2"/>
        <w:rPr>
          <w:szCs w:val="24"/>
        </w:rPr>
      </w:pPr>
    </w:p>
    <w:p w:rsidR="00851FDE" w:rsidRPr="00580923" w:rsidRDefault="00851FDE" w:rsidP="00911ABA">
      <w:pPr>
        <w:ind w:left="2520" w:hanging="360"/>
        <w:outlineLvl w:val="2"/>
        <w:rPr>
          <w:szCs w:val="24"/>
        </w:rPr>
      </w:pPr>
      <w:r>
        <w:rPr>
          <w:szCs w:val="24"/>
        </w:rPr>
        <w:t xml:space="preserve">(H) A completed electronic funds transfer authorization agreement. </w:t>
      </w:r>
      <w:r w:rsidRPr="00580923">
        <w:rPr>
          <w:szCs w:val="24"/>
        </w:rPr>
        <w:t xml:space="preserve">  </w:t>
      </w:r>
    </w:p>
    <w:p w:rsidR="00851FDE" w:rsidRPr="00580923" w:rsidRDefault="00851FDE" w:rsidP="00911ABA">
      <w:pPr>
        <w:ind w:left="720"/>
        <w:outlineLvl w:val="2"/>
        <w:rPr>
          <w:szCs w:val="24"/>
        </w:rPr>
      </w:pPr>
    </w:p>
    <w:p w:rsidR="00851FDE" w:rsidRPr="00580923" w:rsidRDefault="00851FDE" w:rsidP="00911ABA">
      <w:pPr>
        <w:ind w:left="2160" w:hanging="360"/>
        <w:outlineLvl w:val="2"/>
        <w:rPr>
          <w:szCs w:val="24"/>
        </w:rPr>
      </w:pPr>
      <w:r w:rsidRPr="00580923">
        <w:rPr>
          <w:szCs w:val="24"/>
        </w:rPr>
        <w:t xml:space="preserve">(2) CMS and EOHHS shall provide the Contractor with an interim reconciliation under the risk corridor arrangement within 150 calendar days following the end of each Demonstration Year, unless otherwise permitted by CMS and EOHHS.  Any balance due between the Contractor and CMS and EOHHS shall be paid within 60 days of the Contractor receiving the interim reconciliation from CMS and EOHHS. </w:t>
      </w:r>
      <w:r w:rsidRPr="00580923">
        <w:rPr>
          <w:szCs w:val="24"/>
        </w:rPr>
        <w:br/>
      </w:r>
    </w:p>
    <w:p w:rsidR="00851FDE" w:rsidRDefault="00851FDE" w:rsidP="00911ABA">
      <w:pPr>
        <w:ind w:left="2160" w:hanging="360"/>
        <w:outlineLvl w:val="2"/>
        <w:rPr>
          <w:szCs w:val="24"/>
        </w:rPr>
      </w:pPr>
      <w:r w:rsidRPr="00580923">
        <w:rPr>
          <w:szCs w:val="24"/>
        </w:rPr>
        <w:t>(3) The Contractor shall provide any additional information upon request from CMS and EOHHS necessary to calculate Total Adjusted Expenditures.</w:t>
      </w:r>
    </w:p>
    <w:p w:rsidR="00851FDE" w:rsidRDefault="00851FDE" w:rsidP="00911ABA">
      <w:pPr>
        <w:ind w:left="2160" w:hanging="360"/>
        <w:outlineLvl w:val="2"/>
        <w:rPr>
          <w:szCs w:val="24"/>
        </w:rPr>
      </w:pPr>
    </w:p>
    <w:p w:rsidR="00851FDE" w:rsidRPr="000404EF" w:rsidRDefault="00851FDE" w:rsidP="00911ABA">
      <w:pPr>
        <w:ind w:left="2160" w:hanging="360"/>
        <w:outlineLvl w:val="2"/>
        <w:rPr>
          <w:szCs w:val="24"/>
        </w:rPr>
      </w:pPr>
      <w:r>
        <w:rPr>
          <w:szCs w:val="24"/>
        </w:rPr>
        <w:t xml:space="preserve">(4) The Contractor may request an earlier, additional interim settlement.  CMS or EOHHS, at their sole discretion, may choose to make the additional settlement. If such an additional interim settlement is made, for subsequent interim and final settlements, </w:t>
      </w:r>
      <w:r>
        <w:rPr>
          <w:szCs w:val="24"/>
        </w:rPr>
        <w:lastRenderedPageBreak/>
        <w:t xml:space="preserve">the parties must still comply with the requirements in this </w:t>
      </w:r>
      <w:r>
        <w:rPr>
          <w:b/>
          <w:szCs w:val="24"/>
        </w:rPr>
        <w:t>Section</w:t>
      </w:r>
      <w:r w:rsidRPr="00740D7E">
        <w:rPr>
          <w:b/>
          <w:szCs w:val="24"/>
        </w:rPr>
        <w:t xml:space="preserve"> 4.6.B.</w:t>
      </w:r>
      <w:r>
        <w:rPr>
          <w:b/>
          <w:szCs w:val="24"/>
        </w:rPr>
        <w:t>4</w:t>
      </w:r>
      <w:r>
        <w:rPr>
          <w:szCs w:val="24"/>
        </w:rPr>
        <w:t>.</w:t>
      </w:r>
    </w:p>
    <w:p w:rsidR="00851FDE" w:rsidRPr="00580923" w:rsidRDefault="00851FDE" w:rsidP="00911ABA">
      <w:pPr>
        <w:ind w:left="720"/>
        <w:outlineLvl w:val="2"/>
        <w:rPr>
          <w:szCs w:val="24"/>
        </w:rPr>
      </w:pPr>
    </w:p>
    <w:p w:rsidR="00851FDE" w:rsidRPr="00580923" w:rsidRDefault="00851FDE" w:rsidP="00911ABA">
      <w:pPr>
        <w:ind w:left="1800" w:hanging="360"/>
        <w:outlineLvl w:val="2"/>
        <w:rPr>
          <w:szCs w:val="24"/>
        </w:rPr>
      </w:pPr>
      <w:r w:rsidRPr="00580923">
        <w:rPr>
          <w:szCs w:val="24"/>
        </w:rPr>
        <w:t>b.   Final Settlement: CMS and EOHHS shall determine a final settlement based on 15 months of claims run-out and an IBNR estimate.</w:t>
      </w:r>
    </w:p>
    <w:p w:rsidR="00851FDE" w:rsidRPr="00580923" w:rsidRDefault="00851FDE" w:rsidP="00911ABA">
      <w:pPr>
        <w:ind w:left="720"/>
        <w:outlineLvl w:val="2"/>
        <w:rPr>
          <w:szCs w:val="24"/>
        </w:rPr>
      </w:pPr>
    </w:p>
    <w:p w:rsidR="00851FDE" w:rsidRPr="00580923" w:rsidRDefault="00851FDE" w:rsidP="00911ABA">
      <w:pPr>
        <w:ind w:left="2160" w:hanging="360"/>
        <w:outlineLvl w:val="2"/>
        <w:rPr>
          <w:szCs w:val="24"/>
        </w:rPr>
      </w:pPr>
      <w:r w:rsidRPr="00580923">
        <w:rPr>
          <w:szCs w:val="24"/>
        </w:rPr>
        <w:t>(1) For the purpose of the final settlement, the Contractor will jointly provide to CMS and EOHHS the following within 480 calendar days following the end of each Demonstration Year:</w:t>
      </w:r>
    </w:p>
    <w:p w:rsidR="00851FDE" w:rsidRPr="00580923" w:rsidRDefault="00851FDE" w:rsidP="00911ABA">
      <w:pPr>
        <w:rPr>
          <w:szCs w:val="24"/>
        </w:rPr>
      </w:pPr>
    </w:p>
    <w:p w:rsidR="00851FDE" w:rsidRPr="00580923" w:rsidRDefault="00851FDE" w:rsidP="00911ABA">
      <w:pPr>
        <w:ind w:left="2520" w:hanging="360"/>
        <w:outlineLvl w:val="2"/>
        <w:rPr>
          <w:szCs w:val="24"/>
        </w:rPr>
      </w:pPr>
      <w:r w:rsidRPr="00580923">
        <w:rPr>
          <w:szCs w:val="24"/>
        </w:rPr>
        <w:t>(A) A complete and accurate report of Actual Non-Service Expenditures for Enrollees in the Demonstration Year;</w:t>
      </w:r>
    </w:p>
    <w:p w:rsidR="00851FDE" w:rsidRPr="00580923" w:rsidRDefault="00851FDE" w:rsidP="00911ABA">
      <w:pPr>
        <w:ind w:left="2520" w:hanging="360"/>
        <w:outlineLvl w:val="2"/>
        <w:rPr>
          <w:szCs w:val="24"/>
        </w:rPr>
      </w:pPr>
    </w:p>
    <w:p w:rsidR="00851FDE" w:rsidRPr="00580923" w:rsidRDefault="00851FDE" w:rsidP="00911ABA">
      <w:pPr>
        <w:ind w:left="2520" w:hanging="360"/>
        <w:outlineLvl w:val="2"/>
        <w:rPr>
          <w:szCs w:val="24"/>
        </w:rPr>
      </w:pPr>
      <w:r w:rsidRPr="00580923">
        <w:rPr>
          <w:szCs w:val="24"/>
        </w:rPr>
        <w:t xml:space="preserve">(B) A complete and accurate report of Actual Service Expenditures, based on category of services, for Enrollees based on claims incurred for the Demonstration Year, including 15 months of claims run-out; </w:t>
      </w:r>
    </w:p>
    <w:p w:rsidR="00851FDE" w:rsidRPr="00580923" w:rsidRDefault="00851FDE" w:rsidP="00911ABA">
      <w:pPr>
        <w:ind w:left="2520" w:hanging="360"/>
        <w:outlineLvl w:val="2"/>
        <w:rPr>
          <w:szCs w:val="24"/>
        </w:rPr>
      </w:pPr>
    </w:p>
    <w:p w:rsidR="00851FDE" w:rsidRPr="00580923" w:rsidRDefault="00851FDE" w:rsidP="00911ABA">
      <w:pPr>
        <w:ind w:left="2520" w:hanging="360"/>
        <w:outlineLvl w:val="2"/>
        <w:rPr>
          <w:szCs w:val="24"/>
        </w:rPr>
      </w:pPr>
      <w:r w:rsidRPr="00580923">
        <w:rPr>
          <w:szCs w:val="24"/>
        </w:rPr>
        <w:t xml:space="preserve">(C) The Contractor’s best estimate of any claims incurred but not reported for claims run-out beyond 15 months and any IBNR completion factors by category of service; </w:t>
      </w:r>
    </w:p>
    <w:p w:rsidR="00851FDE" w:rsidRPr="00580923" w:rsidRDefault="00851FDE" w:rsidP="00911ABA">
      <w:pPr>
        <w:ind w:left="2520" w:hanging="360"/>
        <w:outlineLvl w:val="2"/>
        <w:rPr>
          <w:szCs w:val="24"/>
        </w:rPr>
      </w:pPr>
    </w:p>
    <w:p w:rsidR="00851FDE" w:rsidRPr="00580923" w:rsidRDefault="00851FDE" w:rsidP="00911ABA">
      <w:pPr>
        <w:ind w:left="2520" w:hanging="360"/>
        <w:outlineLvl w:val="2"/>
        <w:rPr>
          <w:szCs w:val="24"/>
        </w:rPr>
      </w:pPr>
      <w:r w:rsidRPr="00580923">
        <w:rPr>
          <w:szCs w:val="24"/>
        </w:rPr>
        <w:t>(D) A complete and accurate report of Part D revenue and expenditure, as required under 42 CFR 423.514(a)(1) of this Contract;</w:t>
      </w:r>
    </w:p>
    <w:p w:rsidR="00851FDE" w:rsidRPr="00580923" w:rsidRDefault="00851FDE" w:rsidP="00911ABA">
      <w:pPr>
        <w:ind w:left="2520" w:hanging="360"/>
        <w:outlineLvl w:val="2"/>
        <w:rPr>
          <w:szCs w:val="24"/>
        </w:rPr>
      </w:pPr>
    </w:p>
    <w:p w:rsidR="00851FDE" w:rsidRPr="00580923" w:rsidRDefault="00851FDE" w:rsidP="00911ABA">
      <w:pPr>
        <w:ind w:left="2520" w:hanging="360"/>
        <w:outlineLvl w:val="2"/>
        <w:rPr>
          <w:szCs w:val="24"/>
        </w:rPr>
      </w:pPr>
      <w:r w:rsidRPr="00580923">
        <w:rPr>
          <w:szCs w:val="24"/>
        </w:rPr>
        <w:t xml:space="preserve">(E) 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580923">
        <w:rPr>
          <w:b/>
          <w:szCs w:val="24"/>
        </w:rPr>
        <w:t>Section 4.3.B</w:t>
      </w:r>
      <w:r w:rsidRPr="00580923">
        <w:rPr>
          <w:szCs w:val="24"/>
        </w:rPr>
        <w:t>);</w:t>
      </w:r>
    </w:p>
    <w:p w:rsidR="00851FDE" w:rsidRPr="00580923" w:rsidRDefault="00851FDE" w:rsidP="00911ABA">
      <w:pPr>
        <w:rPr>
          <w:szCs w:val="24"/>
        </w:rPr>
      </w:pPr>
    </w:p>
    <w:p w:rsidR="00851FDE" w:rsidRPr="00580923" w:rsidRDefault="00851FDE" w:rsidP="00911ABA">
      <w:pPr>
        <w:ind w:left="2520" w:hanging="360"/>
        <w:rPr>
          <w:szCs w:val="24"/>
        </w:rPr>
      </w:pPr>
      <w:r w:rsidRPr="00580923">
        <w:rPr>
          <w:szCs w:val="24"/>
        </w:rPr>
        <w:t>(F) A complete and accurate report of net reinsurance costs that are included in the reported Actual Non-Service Expenditures;</w:t>
      </w:r>
    </w:p>
    <w:p w:rsidR="00851FDE" w:rsidRPr="00580923" w:rsidRDefault="00851FDE" w:rsidP="00911ABA">
      <w:pPr>
        <w:rPr>
          <w:szCs w:val="24"/>
        </w:rPr>
      </w:pPr>
    </w:p>
    <w:p w:rsidR="00851FDE" w:rsidRPr="00580923" w:rsidRDefault="00851FDE" w:rsidP="00911ABA">
      <w:pPr>
        <w:ind w:left="2520" w:hanging="360"/>
        <w:outlineLvl w:val="2"/>
        <w:rPr>
          <w:szCs w:val="24"/>
        </w:rPr>
      </w:pPr>
      <w:r w:rsidRPr="00580923">
        <w:rPr>
          <w:szCs w:val="24"/>
        </w:rPr>
        <w:t xml:space="preserve">(G) Financial Reports; </w:t>
      </w:r>
    </w:p>
    <w:p w:rsidR="00851FDE" w:rsidRPr="00580923" w:rsidRDefault="00851FDE" w:rsidP="00911ABA">
      <w:pPr>
        <w:ind w:left="2520" w:hanging="360"/>
        <w:outlineLvl w:val="2"/>
        <w:rPr>
          <w:szCs w:val="24"/>
        </w:rPr>
      </w:pPr>
    </w:p>
    <w:p w:rsidR="00851FDE" w:rsidRPr="00580923" w:rsidRDefault="00851FDE" w:rsidP="00911ABA">
      <w:pPr>
        <w:ind w:left="2520" w:hanging="360"/>
        <w:outlineLvl w:val="2"/>
        <w:rPr>
          <w:szCs w:val="24"/>
        </w:rPr>
      </w:pPr>
      <w:r w:rsidRPr="00580923">
        <w:rPr>
          <w:szCs w:val="24"/>
        </w:rPr>
        <w:t xml:space="preserve">(H) Encounter data, as required under </w:t>
      </w:r>
      <w:r w:rsidRPr="00580923">
        <w:rPr>
          <w:b/>
          <w:szCs w:val="24"/>
        </w:rPr>
        <w:t>Section 2.17</w:t>
      </w:r>
      <w:r w:rsidRPr="00580923">
        <w:rPr>
          <w:szCs w:val="24"/>
        </w:rPr>
        <w:t xml:space="preserve"> of this Contract</w:t>
      </w:r>
      <w:r>
        <w:rPr>
          <w:szCs w:val="24"/>
        </w:rPr>
        <w:t>, unless otherwise permitted by CMS and MassHealth</w:t>
      </w:r>
      <w:r w:rsidRPr="00580923">
        <w:rPr>
          <w:szCs w:val="24"/>
        </w:rPr>
        <w:t xml:space="preserve">; </w:t>
      </w:r>
      <w:r>
        <w:rPr>
          <w:szCs w:val="24"/>
        </w:rPr>
        <w:t>and</w:t>
      </w:r>
      <w:r w:rsidRPr="00580923">
        <w:rPr>
          <w:szCs w:val="24"/>
        </w:rPr>
        <w:t xml:space="preserve"> </w:t>
      </w:r>
    </w:p>
    <w:p w:rsidR="00851FDE" w:rsidRPr="00580923" w:rsidRDefault="00851FDE" w:rsidP="00911ABA">
      <w:pPr>
        <w:ind w:left="2520" w:hanging="360"/>
        <w:outlineLvl w:val="2"/>
        <w:rPr>
          <w:szCs w:val="24"/>
        </w:rPr>
      </w:pPr>
      <w:r w:rsidRPr="00580923">
        <w:rPr>
          <w:szCs w:val="24"/>
        </w:rPr>
        <w:t xml:space="preserve"> </w:t>
      </w:r>
    </w:p>
    <w:p w:rsidR="00851FDE" w:rsidRPr="00580923" w:rsidRDefault="00851FDE" w:rsidP="00911ABA">
      <w:pPr>
        <w:tabs>
          <w:tab w:val="left" w:pos="2970"/>
        </w:tabs>
        <w:ind w:left="2520" w:hanging="360"/>
        <w:outlineLvl w:val="2"/>
        <w:rPr>
          <w:szCs w:val="24"/>
        </w:rPr>
      </w:pPr>
      <w:r w:rsidRPr="00580923">
        <w:rPr>
          <w:szCs w:val="24"/>
        </w:rPr>
        <w:lastRenderedPageBreak/>
        <w:t xml:space="preserve">(J)  </w:t>
      </w:r>
      <w:r>
        <w:rPr>
          <w:szCs w:val="24"/>
        </w:rPr>
        <w:t>A</w:t>
      </w:r>
      <w:r w:rsidRPr="00580923">
        <w:rPr>
          <w:szCs w:val="24"/>
        </w:rPr>
        <w:t>ny additional information upon request from CMS and EOHHS necessary to calculate Total Adjusted Expenditures.</w:t>
      </w:r>
    </w:p>
    <w:p w:rsidR="00851FDE" w:rsidRDefault="00851FDE">
      <w:pPr>
        <w:rPr>
          <w:szCs w:val="24"/>
        </w:rPr>
      </w:pPr>
    </w:p>
    <w:p w:rsidR="00851FDE" w:rsidRDefault="00851FDE" w:rsidP="00556755">
      <w:pPr>
        <w:ind w:left="2160" w:hanging="360"/>
        <w:rPr>
          <w:szCs w:val="24"/>
        </w:rPr>
      </w:pPr>
      <w:r w:rsidRPr="00580923">
        <w:rPr>
          <w:szCs w:val="24"/>
        </w:rPr>
        <w:t>(</w:t>
      </w:r>
      <w:r>
        <w:rPr>
          <w:szCs w:val="24"/>
        </w:rPr>
        <w:t>2</w:t>
      </w:r>
      <w:r w:rsidRPr="00580923">
        <w:rPr>
          <w:szCs w:val="24"/>
        </w:rPr>
        <w:t>)  CMS and EOHHS shall provide the Contractor with a final reconciliation under the risk corridor arrangement within 510 calendar days following the end of each Demonstration Year, unless otherwise permitted by CMS and EOHHS.  Any balance due between the Contractor and CMS and EOHHS, net of any payments made for the interim settlement, shall be paid within 60 days of the Contractor receiving the final reconciliation from CMS and EOHHS</w:t>
      </w:r>
      <w:r>
        <w:rPr>
          <w:szCs w:val="24"/>
        </w:rPr>
        <w:t>.</w:t>
      </w:r>
    </w:p>
    <w:p w:rsidR="00851FDE" w:rsidRDefault="00851FDE" w:rsidP="00556755">
      <w:pPr>
        <w:ind w:left="2160" w:hanging="360"/>
        <w:rPr>
          <w:szCs w:val="24"/>
        </w:rPr>
      </w:pPr>
    </w:p>
    <w:p w:rsidR="00851FDE" w:rsidRPr="00580923" w:rsidRDefault="00851FDE" w:rsidP="00556755">
      <w:pPr>
        <w:ind w:left="2160" w:hanging="360"/>
        <w:rPr>
          <w:szCs w:val="24"/>
        </w:rPr>
      </w:pPr>
    </w:p>
    <w:p w:rsidR="00851FDE" w:rsidRDefault="00851FDE" w:rsidP="003F0B5C">
      <w:pPr>
        <w:pStyle w:val="Contract2ndLevelHeading"/>
        <w:numPr>
          <w:ilvl w:val="0"/>
          <w:numId w:val="5"/>
        </w:numPr>
        <w:rPr>
          <w:rFonts w:ascii="Book Antiqua" w:hAnsi="Book Antiqua"/>
          <w:b w:val="0"/>
          <w:sz w:val="24"/>
          <w:szCs w:val="24"/>
        </w:rPr>
      </w:pPr>
      <w:r w:rsidRPr="00580923">
        <w:rPr>
          <w:rFonts w:ascii="Book Antiqua" w:hAnsi="Book Antiqua"/>
          <w:b w:val="0"/>
          <w:sz w:val="24"/>
          <w:szCs w:val="24"/>
        </w:rPr>
        <w:t xml:space="preserve">This Addendum deletes </w:t>
      </w:r>
      <w:r>
        <w:rPr>
          <w:rFonts w:ascii="Book Antiqua" w:hAnsi="Book Antiqua"/>
          <w:b w:val="0"/>
          <w:sz w:val="24"/>
          <w:szCs w:val="24"/>
        </w:rPr>
        <w:t>Section</w:t>
      </w:r>
      <w:r w:rsidRPr="00580923">
        <w:rPr>
          <w:rFonts w:ascii="Book Antiqua" w:hAnsi="Book Antiqua"/>
          <w:b w:val="0"/>
          <w:sz w:val="24"/>
          <w:szCs w:val="24"/>
        </w:rPr>
        <w:t xml:space="preserve"> </w:t>
      </w:r>
      <w:r>
        <w:rPr>
          <w:rFonts w:ascii="Book Antiqua" w:hAnsi="Book Antiqua"/>
          <w:b w:val="0"/>
          <w:sz w:val="24"/>
          <w:szCs w:val="24"/>
        </w:rPr>
        <w:t>5.5.B</w:t>
      </w:r>
      <w:r w:rsidRPr="00580923">
        <w:rPr>
          <w:rFonts w:ascii="Book Antiqua" w:hAnsi="Book Antiqua"/>
          <w:b w:val="0"/>
          <w:sz w:val="24"/>
          <w:szCs w:val="24"/>
        </w:rPr>
        <w:t xml:space="preserve"> and replaces it with the following</w:t>
      </w:r>
      <w:r>
        <w:rPr>
          <w:rFonts w:ascii="Book Antiqua" w:hAnsi="Book Antiqua"/>
          <w:b w:val="0"/>
          <w:sz w:val="24"/>
          <w:szCs w:val="24"/>
        </w:rPr>
        <w:t xml:space="preserve"> Section 5.5.B</w:t>
      </w:r>
      <w:r w:rsidRPr="00580923">
        <w:rPr>
          <w:rFonts w:ascii="Book Antiqua" w:hAnsi="Book Antiqua"/>
          <w:b w:val="0"/>
          <w:sz w:val="24"/>
          <w:szCs w:val="24"/>
        </w:rPr>
        <w:t>:</w:t>
      </w:r>
    </w:p>
    <w:p w:rsidR="00851FDE" w:rsidRDefault="00851FDE" w:rsidP="003F0B5C">
      <w:pPr>
        <w:pStyle w:val="Contract2ndLevelHeading"/>
        <w:ind w:left="720"/>
        <w:rPr>
          <w:rFonts w:ascii="Book Antiqua" w:hAnsi="Book Antiqua"/>
          <w:b w:val="0"/>
          <w:sz w:val="24"/>
          <w:szCs w:val="24"/>
        </w:rPr>
      </w:pPr>
    </w:p>
    <w:p w:rsidR="00851FDE" w:rsidRDefault="00851FDE" w:rsidP="003F0B5C">
      <w:pPr>
        <w:pStyle w:val="Contract2ndLevelHeading"/>
        <w:ind w:left="720"/>
        <w:rPr>
          <w:rFonts w:ascii="Book Antiqua" w:hAnsi="Book Antiqua"/>
          <w:b w:val="0"/>
          <w:sz w:val="24"/>
          <w:szCs w:val="24"/>
        </w:rPr>
      </w:pPr>
    </w:p>
    <w:p w:rsidR="00851FDE" w:rsidRPr="00281063" w:rsidRDefault="00851FDE" w:rsidP="003F0B5C">
      <w:pPr>
        <w:pStyle w:val="Contract3rdLevelHeading"/>
        <w:spacing w:before="0" w:after="0"/>
      </w:pPr>
      <w:bookmarkStart w:id="7" w:name="_Toc55282044"/>
      <w:bookmarkStart w:id="8" w:name="_Toc350852506"/>
      <w:bookmarkStart w:id="9" w:name="_Toc360020621"/>
      <w:r w:rsidRPr="00281063">
        <w:t>B.</w:t>
      </w:r>
      <w:r w:rsidRPr="00281063">
        <w:tab/>
        <w:t>Termination with Prior Notice</w:t>
      </w:r>
      <w:bookmarkEnd w:id="7"/>
      <w:bookmarkEnd w:id="8"/>
      <w:bookmarkEnd w:id="9"/>
    </w:p>
    <w:p w:rsidR="00851FDE" w:rsidRPr="00281063" w:rsidRDefault="00851FDE" w:rsidP="003F0B5C">
      <w:pPr>
        <w:pStyle w:val="Contract3rdLevelHeading"/>
        <w:spacing w:before="0" w:after="0"/>
      </w:pPr>
    </w:p>
    <w:p w:rsidR="00851FDE" w:rsidRPr="00281063" w:rsidRDefault="00851FDE" w:rsidP="003F0B5C">
      <w:pPr>
        <w:tabs>
          <w:tab w:val="left" w:pos="1440"/>
        </w:tabs>
        <w:ind w:left="1440" w:hanging="360"/>
      </w:pPr>
      <w:r w:rsidRPr="00281063">
        <w:t xml:space="preserve">1.   CMS or EOHHS may terminate this Contract without cause upon no less than 90 days prior written notice to the other party specifying the termination date, unless applicable law requires otherwise.  Per </w:t>
      </w:r>
      <w:r w:rsidRPr="00281063">
        <w:rPr>
          <w:b/>
          <w:bCs/>
        </w:rPr>
        <w:t>Section 5.7</w:t>
      </w:r>
      <w:r w:rsidRPr="00281063">
        <w:t xml:space="preserve">, the Contractor may choose to non-renew prior to the end of each term pursuant to 42 C.F.R. § 422.506(a), except that in Demonstration Year 1 the Contractor may choose to non-renew before August 1 and may terminate the contract by mutual consent of CMS and EOHHS at any time pursuant to 42 C.F.R. </w:t>
      </w:r>
      <w:r w:rsidRPr="00281063">
        <w:rPr>
          <w:szCs w:val="24"/>
        </w:rPr>
        <w:t xml:space="preserve">§ </w:t>
      </w:r>
      <w:r w:rsidRPr="00281063">
        <w:t xml:space="preserve">422.508. In considering requests for termination under 42 C.F.R. </w:t>
      </w:r>
      <w:r w:rsidRPr="00281063">
        <w:rPr>
          <w:szCs w:val="24"/>
        </w:rPr>
        <w:t xml:space="preserve">§ </w:t>
      </w:r>
      <w:r w:rsidRPr="00281063">
        <w:t xml:space="preserve">422.508, CMS and EOHHS will consider, among other factors, financial performance under this Contract in granting consent for termination. Any written communications or oral scripts developed to implement the requirements of 42 C.F.R. </w:t>
      </w:r>
      <w:r w:rsidRPr="00281063">
        <w:rPr>
          <w:szCs w:val="24"/>
        </w:rPr>
        <w:t xml:space="preserve">§ </w:t>
      </w:r>
      <w:r w:rsidRPr="00281063">
        <w:t>422.506(a) must be submitted to and approved by CMS and EOHHS prior to their use.</w:t>
      </w:r>
    </w:p>
    <w:p w:rsidR="00851FDE" w:rsidRPr="00281063" w:rsidRDefault="00851FDE" w:rsidP="003F0B5C">
      <w:pPr>
        <w:tabs>
          <w:tab w:val="left" w:pos="1440"/>
        </w:tabs>
        <w:ind w:left="1440" w:hanging="360"/>
      </w:pPr>
    </w:p>
    <w:p w:rsidR="00851FDE" w:rsidRDefault="00851FDE" w:rsidP="003F0B5C">
      <w:pPr>
        <w:tabs>
          <w:tab w:val="left" w:pos="1440"/>
        </w:tabs>
        <w:ind w:left="1440" w:hanging="360"/>
      </w:pPr>
      <w:r w:rsidRPr="00281063">
        <w:t xml:space="preserve">2.   Pursuant to 42 C.F.R. </w:t>
      </w:r>
      <w:r w:rsidRPr="00281063">
        <w:rPr>
          <w:szCs w:val="24"/>
        </w:rPr>
        <w:t xml:space="preserve">§§ 422.506(a)(4) and </w:t>
      </w:r>
      <w:r w:rsidRPr="00281063">
        <w:t xml:space="preserve">422.508(c), CMS considers Contractor termination of this Contract with prior notice as described in paragraph </w:t>
      </w:r>
      <w:r w:rsidRPr="00281063">
        <w:rPr>
          <w:b/>
        </w:rPr>
        <w:t>5.5.B.1</w:t>
      </w:r>
      <w:r w:rsidRPr="00281063">
        <w:t xml:space="preserve"> and non-renewal of this Contract as described in </w:t>
      </w:r>
      <w:r w:rsidRPr="00281063">
        <w:rPr>
          <w:b/>
        </w:rPr>
        <w:t>Section 5.7</w:t>
      </w:r>
      <w:r w:rsidRPr="00281063">
        <w:t xml:space="preserve"> to be circumstances warranting special consideration, and will not prohibit the Contractor from applying for new Medicare Advantage contracts or Service Area expansions for a period of two years due to termination.</w:t>
      </w:r>
    </w:p>
    <w:p w:rsidR="00851FDE" w:rsidRDefault="00851FDE" w:rsidP="003F0B5C">
      <w:pPr>
        <w:tabs>
          <w:tab w:val="left" w:pos="1440"/>
        </w:tabs>
        <w:ind w:left="1440" w:hanging="360"/>
      </w:pPr>
    </w:p>
    <w:p w:rsidR="00851FDE" w:rsidRPr="00580923" w:rsidRDefault="00851FDE" w:rsidP="003F0B5C">
      <w:pPr>
        <w:ind w:left="1440" w:hanging="360"/>
        <w:rPr>
          <w:b/>
          <w:szCs w:val="24"/>
        </w:rPr>
      </w:pPr>
      <w:r>
        <w:t xml:space="preserve">3.   In the </w:t>
      </w:r>
      <w:r w:rsidRPr="003F0B5C">
        <w:rPr>
          <w:szCs w:val="24"/>
        </w:rPr>
        <w:t>event that this Contract is terminated</w:t>
      </w:r>
      <w:r>
        <w:rPr>
          <w:szCs w:val="24"/>
        </w:rPr>
        <w:t xml:space="preserve"> with prior notice</w:t>
      </w:r>
      <w:r w:rsidRPr="003F0B5C">
        <w:rPr>
          <w:szCs w:val="24"/>
        </w:rPr>
        <w:t xml:space="preserve"> </w:t>
      </w:r>
      <w:r>
        <w:rPr>
          <w:szCs w:val="24"/>
        </w:rPr>
        <w:t xml:space="preserve">per this </w:t>
      </w:r>
      <w:r w:rsidRPr="003F0B5C">
        <w:rPr>
          <w:b/>
          <w:szCs w:val="24"/>
        </w:rPr>
        <w:t>Section 5.5.B</w:t>
      </w:r>
      <w:r w:rsidRPr="003F0B5C">
        <w:rPr>
          <w:szCs w:val="24"/>
        </w:rPr>
        <w:t xml:space="preserve">, the Contractor shall report </w:t>
      </w:r>
      <w:r>
        <w:rPr>
          <w:szCs w:val="24"/>
        </w:rPr>
        <w:t xml:space="preserve">encounter data and </w:t>
      </w:r>
      <w:r w:rsidRPr="003F0B5C">
        <w:rPr>
          <w:szCs w:val="24"/>
        </w:rPr>
        <w:t xml:space="preserve">performance </w:t>
      </w:r>
      <w:r w:rsidRPr="003F0B5C">
        <w:rPr>
          <w:szCs w:val="24"/>
        </w:rPr>
        <w:lastRenderedPageBreak/>
        <w:t>measurement results through the effective termination date of the Contract, including but not limited to HEDIS, HOS, and CAHPS, as outlined in Section 2.13.C.1.a.</w:t>
      </w:r>
      <w:r>
        <w:rPr>
          <w:szCs w:val="24"/>
        </w:rPr>
        <w:t>, unless otherwise permitted by CMS and MassHealth.</w:t>
      </w:r>
    </w:p>
    <w:p w:rsidR="00851FDE" w:rsidRPr="00580923" w:rsidRDefault="00851FDE" w:rsidP="003F0B5C">
      <w:pPr>
        <w:ind w:left="1440"/>
        <w:outlineLvl w:val="2"/>
        <w:rPr>
          <w:szCs w:val="24"/>
        </w:rPr>
      </w:pPr>
      <w:r w:rsidRPr="00580923">
        <w:rPr>
          <w:szCs w:val="24"/>
        </w:rPr>
        <w:br w:type="page"/>
      </w:r>
    </w:p>
    <w:p w:rsidR="00851FDE" w:rsidRPr="00580923" w:rsidRDefault="00851FDE" w:rsidP="00EF4050">
      <w:pPr>
        <w:spacing w:after="200" w:line="276" w:lineRule="auto"/>
        <w:rPr>
          <w:szCs w:val="24"/>
        </w:rPr>
      </w:pPr>
    </w:p>
    <w:p w:rsidR="00851FDE" w:rsidRPr="00580923" w:rsidRDefault="00851FDE" w:rsidP="004320AB">
      <w:pPr>
        <w:pStyle w:val="RFR-Level3-A"/>
        <w:ind w:left="0" w:firstLine="0"/>
        <w:rPr>
          <w:szCs w:val="24"/>
        </w:rPr>
      </w:pPr>
      <w:r w:rsidRPr="00580923">
        <w:rPr>
          <w:szCs w:val="24"/>
        </w:rPr>
        <w:t>In Witness Whereof, CMS, EOHHS, and the Contractor have caused this Agreement to be executed by their respective authorized officers:</w:t>
      </w:r>
    </w:p>
    <w:p w:rsidR="00851FDE" w:rsidRPr="00580923" w:rsidRDefault="00851FDE" w:rsidP="004320AB">
      <w:pPr>
        <w:pStyle w:val="RFR-Level3-A"/>
        <w:ind w:left="0" w:firstLine="0"/>
        <w:rPr>
          <w:szCs w:val="24"/>
        </w:rPr>
      </w:pPr>
    </w:p>
    <w:p w:rsidR="00851FDE" w:rsidRPr="00580923" w:rsidRDefault="00851FDE" w:rsidP="004320AB">
      <w:pPr>
        <w:pStyle w:val="RFR-Level3-A"/>
        <w:ind w:left="0" w:firstLine="0"/>
        <w:rPr>
          <w:szCs w:val="24"/>
        </w:rPr>
      </w:pPr>
    </w:p>
    <w:p w:rsidR="00851FDE" w:rsidRPr="00580923" w:rsidRDefault="00851FDE" w:rsidP="004320AB">
      <w:pPr>
        <w:pStyle w:val="RFR-Level3-A"/>
        <w:tabs>
          <w:tab w:val="left" w:pos="4680"/>
          <w:tab w:val="left" w:pos="5400"/>
          <w:tab w:val="left" w:pos="9180"/>
        </w:tabs>
        <w:ind w:left="0" w:firstLine="0"/>
        <w:rPr>
          <w:szCs w:val="24"/>
        </w:rPr>
      </w:pPr>
    </w:p>
    <w:p w:rsidR="00851FDE" w:rsidRPr="00580923" w:rsidRDefault="00851FDE" w:rsidP="004320AB">
      <w:pPr>
        <w:pStyle w:val="RFR-Level3-A"/>
        <w:tabs>
          <w:tab w:val="left" w:pos="4680"/>
          <w:tab w:val="left" w:pos="5400"/>
          <w:tab w:val="left" w:pos="9180"/>
        </w:tabs>
        <w:ind w:left="0" w:firstLine="0"/>
        <w:rPr>
          <w:szCs w:val="24"/>
          <w:u w:val="single"/>
        </w:rPr>
      </w:pPr>
      <w:r w:rsidRPr="00580923">
        <w:rPr>
          <w:szCs w:val="24"/>
          <w:u w:val="single"/>
        </w:rPr>
        <w:tab/>
      </w:r>
      <w:r w:rsidRPr="00580923">
        <w:rPr>
          <w:szCs w:val="24"/>
        </w:rPr>
        <w:tab/>
      </w:r>
      <w:r w:rsidRPr="00580923">
        <w:rPr>
          <w:szCs w:val="24"/>
          <w:u w:val="single"/>
        </w:rPr>
        <w:tab/>
      </w:r>
    </w:p>
    <w:p w:rsidR="00851FDE" w:rsidRPr="00580923" w:rsidRDefault="00851FDE" w:rsidP="004320AB">
      <w:pPr>
        <w:pStyle w:val="RFR-Level3-A"/>
        <w:tabs>
          <w:tab w:val="left" w:pos="4680"/>
          <w:tab w:val="left" w:pos="5400"/>
          <w:tab w:val="left" w:pos="9180"/>
        </w:tabs>
        <w:ind w:left="0" w:firstLine="0"/>
        <w:rPr>
          <w:szCs w:val="24"/>
        </w:rPr>
      </w:pPr>
      <w:r w:rsidRPr="00580923">
        <w:rPr>
          <w:szCs w:val="24"/>
        </w:rPr>
        <w:t>(</w:t>
      </w:r>
      <w:r w:rsidRPr="00B234EA">
        <w:rPr>
          <w:szCs w:val="24"/>
        </w:rPr>
        <w:t>Insert Contractor Signatory Name and Title</w:t>
      </w:r>
      <w:r w:rsidRPr="00807287">
        <w:rPr>
          <w:szCs w:val="24"/>
        </w:rPr>
        <w:t>)</w:t>
      </w:r>
      <w:r w:rsidRPr="00580923">
        <w:rPr>
          <w:szCs w:val="24"/>
        </w:rPr>
        <w:t xml:space="preserve">   </w:t>
      </w:r>
      <w:r>
        <w:rPr>
          <w:szCs w:val="24"/>
        </w:rPr>
        <w:tab/>
      </w:r>
      <w:r w:rsidRPr="00580923">
        <w:rPr>
          <w:szCs w:val="24"/>
        </w:rPr>
        <w:t>(Date)</w:t>
      </w:r>
    </w:p>
    <w:p w:rsidR="00851FDE" w:rsidRPr="00580923" w:rsidRDefault="00851FDE" w:rsidP="004320AB">
      <w:pPr>
        <w:pStyle w:val="RFR-Level3-A"/>
        <w:tabs>
          <w:tab w:val="left" w:pos="4680"/>
          <w:tab w:val="left" w:pos="5400"/>
          <w:tab w:val="left" w:pos="9180"/>
        </w:tabs>
        <w:ind w:left="0" w:firstLine="0"/>
        <w:rPr>
          <w:szCs w:val="24"/>
        </w:rPr>
      </w:pPr>
    </w:p>
    <w:p w:rsidR="00851FDE" w:rsidRPr="00580923" w:rsidRDefault="00851FDE" w:rsidP="004320AB">
      <w:pPr>
        <w:pStyle w:val="RFR-Level3-A"/>
        <w:tabs>
          <w:tab w:val="left" w:pos="4680"/>
          <w:tab w:val="left" w:pos="5400"/>
          <w:tab w:val="left" w:pos="9180"/>
        </w:tabs>
        <w:ind w:left="0" w:firstLine="0"/>
        <w:rPr>
          <w:szCs w:val="24"/>
        </w:rPr>
      </w:pPr>
    </w:p>
    <w:p w:rsidR="00851FDE" w:rsidRPr="00580923" w:rsidRDefault="00851FDE">
      <w:pPr>
        <w:spacing w:after="200" w:line="276" w:lineRule="auto"/>
        <w:rPr>
          <w:szCs w:val="24"/>
        </w:rPr>
      </w:pPr>
      <w:r w:rsidRPr="00580923">
        <w:rPr>
          <w:szCs w:val="24"/>
        </w:rPr>
        <w:br w:type="page"/>
      </w:r>
    </w:p>
    <w:p w:rsidR="00851FDE" w:rsidRPr="0070046F" w:rsidRDefault="00851FDE" w:rsidP="0070046F">
      <w:pPr>
        <w:pStyle w:val="RFR-Level3-A"/>
        <w:tabs>
          <w:tab w:val="left" w:pos="4680"/>
          <w:tab w:val="left" w:pos="5400"/>
          <w:tab w:val="left" w:pos="9180"/>
        </w:tabs>
        <w:ind w:left="0" w:firstLine="0"/>
        <w:jc w:val="center"/>
        <w:rPr>
          <w:smallCaps/>
          <w:szCs w:val="24"/>
        </w:rPr>
      </w:pPr>
      <w:r w:rsidRPr="0070046F">
        <w:rPr>
          <w:smallCaps/>
          <w:szCs w:val="24"/>
        </w:rPr>
        <w:lastRenderedPageBreak/>
        <w:t>This page intentionally left blank.</w:t>
      </w:r>
    </w:p>
    <w:p w:rsidR="00851FDE" w:rsidRDefault="00851FDE">
      <w:pPr>
        <w:rPr>
          <w:szCs w:val="24"/>
        </w:rPr>
      </w:pPr>
      <w:r>
        <w:rPr>
          <w:szCs w:val="24"/>
        </w:rPr>
        <w:br w:type="page"/>
      </w:r>
    </w:p>
    <w:p w:rsidR="00851FDE" w:rsidRPr="00580923" w:rsidRDefault="00851FDE" w:rsidP="004320AB">
      <w:pPr>
        <w:pStyle w:val="RFR-Level3-A"/>
        <w:tabs>
          <w:tab w:val="left" w:pos="4680"/>
          <w:tab w:val="left" w:pos="5400"/>
          <w:tab w:val="left" w:pos="9180"/>
        </w:tabs>
        <w:ind w:left="0" w:firstLine="0"/>
        <w:rPr>
          <w:szCs w:val="24"/>
        </w:rPr>
      </w:pPr>
      <w:r>
        <w:rPr>
          <w:sz w:val="23"/>
          <w:szCs w:val="23"/>
        </w:rPr>
        <w:lastRenderedPageBreak/>
        <w:t xml:space="preserve">In Witness Whereof, CMS, EOHHS, and the Contractor have caused this Agreement to be executed by their respective authorized officers: </w:t>
      </w:r>
    </w:p>
    <w:p w:rsidR="00851FDE" w:rsidRPr="00580923" w:rsidRDefault="00851FDE" w:rsidP="004320AB">
      <w:pPr>
        <w:pStyle w:val="RFR-Level3-A"/>
        <w:tabs>
          <w:tab w:val="left" w:pos="4680"/>
          <w:tab w:val="left" w:pos="5400"/>
          <w:tab w:val="left" w:pos="9180"/>
        </w:tabs>
        <w:ind w:left="0" w:firstLine="0"/>
        <w:rPr>
          <w:szCs w:val="24"/>
        </w:rPr>
      </w:pPr>
    </w:p>
    <w:p w:rsidR="00770CEB" w:rsidRPr="00580923" w:rsidRDefault="00770CEB" w:rsidP="00770CEB">
      <w:pPr>
        <w:pStyle w:val="RFR-Level3-A"/>
        <w:tabs>
          <w:tab w:val="left" w:pos="4680"/>
          <w:tab w:val="left" w:pos="5400"/>
          <w:tab w:val="left" w:pos="9180"/>
        </w:tabs>
        <w:ind w:left="0" w:firstLine="0"/>
        <w:rPr>
          <w:szCs w:val="24"/>
          <w:u w:val="single"/>
        </w:rPr>
      </w:pPr>
      <w:r w:rsidRPr="00580923">
        <w:rPr>
          <w:szCs w:val="24"/>
          <w:u w:val="single"/>
        </w:rPr>
        <w:tab/>
      </w:r>
      <w:r w:rsidRPr="00580923">
        <w:rPr>
          <w:szCs w:val="24"/>
        </w:rPr>
        <w:tab/>
      </w:r>
      <w:r w:rsidRPr="00580923">
        <w:rPr>
          <w:szCs w:val="24"/>
          <w:u w:val="single"/>
        </w:rPr>
        <w:tab/>
      </w:r>
    </w:p>
    <w:p w:rsidR="00770CEB" w:rsidRPr="00580923" w:rsidRDefault="00770CEB" w:rsidP="00770CEB">
      <w:pPr>
        <w:pStyle w:val="RFR-Level3-A"/>
        <w:tabs>
          <w:tab w:val="left" w:pos="4680"/>
          <w:tab w:val="left" w:pos="5400"/>
          <w:tab w:val="left" w:pos="9180"/>
        </w:tabs>
        <w:ind w:left="0" w:firstLine="0"/>
        <w:rPr>
          <w:szCs w:val="24"/>
        </w:rPr>
      </w:pPr>
      <w:r>
        <w:rPr>
          <w:szCs w:val="24"/>
        </w:rPr>
        <w:t>(Authorized Signatory)</w:t>
      </w:r>
      <w:r w:rsidRPr="00580923">
        <w:rPr>
          <w:szCs w:val="24"/>
        </w:rPr>
        <w:t xml:space="preserve">                                                           (Date)</w:t>
      </w:r>
    </w:p>
    <w:p w:rsidR="00770CEB" w:rsidRDefault="00770CEB" w:rsidP="00770CEB">
      <w:pPr>
        <w:pStyle w:val="RFR-Level3-A"/>
        <w:tabs>
          <w:tab w:val="left" w:pos="4680"/>
          <w:tab w:val="left" w:pos="5400"/>
          <w:tab w:val="left" w:pos="9180"/>
        </w:tabs>
        <w:ind w:left="0" w:firstLine="0"/>
        <w:rPr>
          <w:szCs w:val="24"/>
        </w:rPr>
      </w:pPr>
      <w:r>
        <w:rPr>
          <w:szCs w:val="24"/>
        </w:rPr>
        <w:t>(Title)</w:t>
      </w:r>
    </w:p>
    <w:p w:rsidR="00770CEB" w:rsidRDefault="00770CEB" w:rsidP="00770CEB">
      <w:pPr>
        <w:pStyle w:val="RFR-Level3-A-Text"/>
      </w:pPr>
    </w:p>
    <w:p w:rsidR="00770CEB" w:rsidRDefault="00770CEB" w:rsidP="00770CEB"/>
    <w:p w:rsidR="00770CEB" w:rsidRPr="00054D3C" w:rsidRDefault="00770CEB" w:rsidP="00770CEB"/>
    <w:p w:rsidR="00770CEB" w:rsidRPr="00580923" w:rsidRDefault="00770CEB" w:rsidP="00770CEB">
      <w:pPr>
        <w:pStyle w:val="RFR-Level3-A"/>
        <w:tabs>
          <w:tab w:val="left" w:pos="4680"/>
          <w:tab w:val="left" w:pos="5400"/>
          <w:tab w:val="left" w:pos="9180"/>
        </w:tabs>
        <w:ind w:left="0" w:firstLine="0"/>
        <w:rPr>
          <w:szCs w:val="24"/>
          <w:u w:val="single"/>
        </w:rPr>
      </w:pPr>
      <w:r w:rsidRPr="00580923">
        <w:rPr>
          <w:szCs w:val="24"/>
          <w:u w:val="single"/>
        </w:rPr>
        <w:tab/>
      </w:r>
      <w:r w:rsidRPr="00580923">
        <w:rPr>
          <w:szCs w:val="24"/>
        </w:rPr>
        <w:tab/>
      </w:r>
      <w:r w:rsidRPr="00580923">
        <w:rPr>
          <w:szCs w:val="24"/>
          <w:u w:val="single"/>
        </w:rPr>
        <w:tab/>
      </w:r>
    </w:p>
    <w:sdt>
      <w:sdtPr>
        <w:rPr>
          <w:rFonts w:ascii="Calibri" w:hAnsi="Calibri"/>
          <w:sz w:val="22"/>
          <w:szCs w:val="24"/>
        </w:rPr>
        <w:id w:val="440887763"/>
      </w:sdtPr>
      <w:sdtEndPr/>
      <w:sdtContent>
        <w:p w:rsidR="00770CEB" w:rsidRPr="00580923" w:rsidRDefault="00770CEB" w:rsidP="00770CEB">
          <w:pPr>
            <w:pStyle w:val="RFR-Level3-A"/>
            <w:tabs>
              <w:tab w:val="left" w:pos="4680"/>
              <w:tab w:val="left" w:pos="5400"/>
              <w:tab w:val="left" w:pos="9180"/>
            </w:tabs>
            <w:ind w:left="0" w:firstLine="0"/>
            <w:rPr>
              <w:szCs w:val="24"/>
            </w:rPr>
          </w:pPr>
          <w:r>
            <w:rPr>
              <w:szCs w:val="24"/>
            </w:rPr>
            <w:t>(Authorized Signatory)</w:t>
          </w:r>
          <w:r w:rsidRPr="00580923">
            <w:rPr>
              <w:szCs w:val="24"/>
            </w:rPr>
            <w:t xml:space="preserve">                                                           (Date)</w:t>
          </w:r>
        </w:p>
        <w:p w:rsidR="00770CEB" w:rsidRDefault="00770CEB" w:rsidP="00770CEB">
          <w:pPr>
            <w:pStyle w:val="RFR-Level3-A"/>
            <w:tabs>
              <w:tab w:val="left" w:pos="4680"/>
              <w:tab w:val="left" w:pos="5400"/>
              <w:tab w:val="left" w:pos="9180"/>
            </w:tabs>
            <w:ind w:left="0" w:firstLine="0"/>
            <w:rPr>
              <w:szCs w:val="24"/>
            </w:rPr>
          </w:pPr>
          <w:r>
            <w:rPr>
              <w:szCs w:val="24"/>
            </w:rPr>
            <w:t>(Title)</w:t>
          </w:r>
        </w:p>
        <w:p w:rsidR="00851FDE" w:rsidRPr="00580923" w:rsidRDefault="00B126F6" w:rsidP="00770CEB">
          <w:pPr>
            <w:pStyle w:val="RFR-Level3-A"/>
            <w:tabs>
              <w:tab w:val="left" w:pos="4680"/>
              <w:tab w:val="left" w:pos="5400"/>
              <w:tab w:val="left" w:pos="9180"/>
            </w:tabs>
            <w:ind w:left="0" w:firstLine="0"/>
            <w:rPr>
              <w:szCs w:val="24"/>
            </w:rPr>
          </w:pPr>
        </w:p>
      </w:sdtContent>
    </w:sdt>
    <w:p w:rsidR="00851FDE" w:rsidRPr="00580923" w:rsidRDefault="00851FDE" w:rsidP="004320AB">
      <w:pPr>
        <w:pStyle w:val="RFR-Level3-A"/>
        <w:tabs>
          <w:tab w:val="left" w:pos="4680"/>
          <w:tab w:val="left" w:pos="5400"/>
          <w:tab w:val="left" w:pos="9180"/>
        </w:tabs>
        <w:ind w:left="0" w:firstLine="0"/>
        <w:rPr>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230682" w:rsidRDefault="00230682" w:rsidP="00054D3C">
      <w:pPr>
        <w:pStyle w:val="RFR-Level3-A"/>
        <w:tabs>
          <w:tab w:val="left" w:pos="4680"/>
          <w:tab w:val="left" w:pos="5400"/>
          <w:tab w:val="left" w:pos="9180"/>
        </w:tabs>
        <w:ind w:left="0" w:firstLine="0"/>
        <w:jc w:val="center"/>
        <w:rPr>
          <w:smallCaps/>
          <w:szCs w:val="24"/>
        </w:rPr>
      </w:pPr>
    </w:p>
    <w:p w:rsidR="00851FDE" w:rsidRPr="00783CCE" w:rsidRDefault="00851FDE" w:rsidP="00054D3C">
      <w:pPr>
        <w:pStyle w:val="RFR-Level3-A"/>
        <w:tabs>
          <w:tab w:val="left" w:pos="4680"/>
          <w:tab w:val="left" w:pos="5400"/>
          <w:tab w:val="left" w:pos="9180"/>
        </w:tabs>
        <w:ind w:left="0" w:firstLine="0"/>
        <w:jc w:val="center"/>
        <w:rPr>
          <w:smallCaps/>
          <w:szCs w:val="24"/>
        </w:rPr>
      </w:pPr>
      <w:r w:rsidRPr="00783CCE">
        <w:rPr>
          <w:smallCaps/>
          <w:szCs w:val="24"/>
        </w:rPr>
        <w:lastRenderedPageBreak/>
        <w:t>This page intentionally left blank.</w:t>
      </w:r>
    </w:p>
    <w:p w:rsidR="00851FDE" w:rsidRDefault="00851FDE">
      <w:pPr>
        <w:rPr>
          <w:szCs w:val="24"/>
        </w:rPr>
      </w:pPr>
    </w:p>
    <w:p w:rsidR="00851FDE" w:rsidRDefault="00851FDE">
      <w:pPr>
        <w:rPr>
          <w:szCs w:val="24"/>
        </w:rPr>
      </w:pPr>
      <w:r>
        <w:rPr>
          <w:szCs w:val="24"/>
        </w:rPr>
        <w:br w:type="page"/>
      </w:r>
    </w:p>
    <w:p w:rsidR="00851FDE" w:rsidRPr="00580923" w:rsidRDefault="00851FDE" w:rsidP="00E8230E">
      <w:pPr>
        <w:rPr>
          <w:szCs w:val="24"/>
        </w:rPr>
      </w:pPr>
      <w:r>
        <w:rPr>
          <w:sz w:val="23"/>
          <w:szCs w:val="23"/>
        </w:rPr>
        <w:lastRenderedPageBreak/>
        <w:t xml:space="preserve">In Witness Whereof, CMS, EOHHS, and the Contractor have caused this Agreement to be executed by their respective authorized officers: </w:t>
      </w:r>
    </w:p>
    <w:p w:rsidR="00851FDE" w:rsidRPr="00580923" w:rsidRDefault="00851FDE" w:rsidP="004320AB">
      <w:pPr>
        <w:pStyle w:val="RFR-Level3-A"/>
        <w:tabs>
          <w:tab w:val="left" w:pos="4680"/>
          <w:tab w:val="left" w:pos="5400"/>
          <w:tab w:val="left" w:pos="9180"/>
        </w:tabs>
        <w:ind w:left="0" w:firstLine="0"/>
        <w:rPr>
          <w:szCs w:val="24"/>
        </w:rPr>
      </w:pPr>
    </w:p>
    <w:p w:rsidR="00770CEB" w:rsidRPr="00580923" w:rsidRDefault="00770CEB" w:rsidP="00770CEB">
      <w:pPr>
        <w:pStyle w:val="RFR-Level3-A"/>
        <w:tabs>
          <w:tab w:val="left" w:pos="4680"/>
          <w:tab w:val="left" w:pos="5400"/>
          <w:tab w:val="left" w:pos="9180"/>
        </w:tabs>
        <w:ind w:left="0" w:firstLine="0"/>
        <w:rPr>
          <w:szCs w:val="24"/>
          <w:u w:val="single"/>
        </w:rPr>
      </w:pPr>
      <w:r w:rsidRPr="00580923">
        <w:rPr>
          <w:szCs w:val="24"/>
          <w:u w:val="single"/>
        </w:rPr>
        <w:tab/>
      </w:r>
      <w:r w:rsidRPr="00580923">
        <w:rPr>
          <w:szCs w:val="24"/>
        </w:rPr>
        <w:tab/>
      </w:r>
      <w:r w:rsidRPr="00580923">
        <w:rPr>
          <w:szCs w:val="24"/>
          <w:u w:val="single"/>
        </w:rPr>
        <w:tab/>
      </w:r>
    </w:p>
    <w:p w:rsidR="00770CEB" w:rsidRPr="00580923" w:rsidRDefault="00770CEB" w:rsidP="00770CEB">
      <w:pPr>
        <w:pStyle w:val="RFR-Level3-A"/>
        <w:tabs>
          <w:tab w:val="left" w:pos="4680"/>
          <w:tab w:val="left" w:pos="5400"/>
          <w:tab w:val="left" w:pos="9180"/>
        </w:tabs>
        <w:ind w:left="0" w:firstLine="0"/>
        <w:rPr>
          <w:szCs w:val="24"/>
        </w:rPr>
      </w:pPr>
      <w:r>
        <w:rPr>
          <w:szCs w:val="24"/>
        </w:rPr>
        <w:t>(Authorized Signatory)</w:t>
      </w:r>
      <w:r w:rsidRPr="00580923">
        <w:rPr>
          <w:szCs w:val="24"/>
        </w:rPr>
        <w:t xml:space="preserve">                                                           (Date)</w:t>
      </w:r>
    </w:p>
    <w:p w:rsidR="00770CEB" w:rsidRDefault="00770CEB" w:rsidP="00770CEB">
      <w:pPr>
        <w:pStyle w:val="RFR-Level3-A"/>
        <w:tabs>
          <w:tab w:val="left" w:pos="4680"/>
          <w:tab w:val="left" w:pos="5400"/>
          <w:tab w:val="left" w:pos="9180"/>
        </w:tabs>
        <w:ind w:left="0" w:firstLine="0"/>
        <w:rPr>
          <w:szCs w:val="24"/>
        </w:rPr>
      </w:pPr>
      <w:r>
        <w:rPr>
          <w:szCs w:val="24"/>
        </w:rPr>
        <w:t>(Title)</w:t>
      </w:r>
    </w:p>
    <w:p w:rsidR="00851FDE" w:rsidRPr="00580923" w:rsidRDefault="00851FDE" w:rsidP="00CA04FA"/>
    <w:p w:rsidR="00230682" w:rsidRDefault="00230682" w:rsidP="00CA04FA">
      <w:pPr>
        <w:pStyle w:val="RFR-Level3-A-Text"/>
      </w:pPr>
    </w:p>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Default="00230682" w:rsidP="00CA04FA"/>
    <w:p w:rsidR="00230682" w:rsidRPr="00CA04FA" w:rsidRDefault="00230682" w:rsidP="00CA04FA"/>
    <w:p w:rsidR="00851FDE" w:rsidRPr="00783CCE" w:rsidRDefault="00851FDE" w:rsidP="00054D3C">
      <w:pPr>
        <w:pStyle w:val="RFR-Level3-A"/>
        <w:tabs>
          <w:tab w:val="left" w:pos="4680"/>
          <w:tab w:val="left" w:pos="5400"/>
          <w:tab w:val="left" w:pos="9180"/>
        </w:tabs>
        <w:ind w:left="0" w:firstLine="0"/>
        <w:jc w:val="center"/>
        <w:rPr>
          <w:smallCaps/>
          <w:szCs w:val="24"/>
        </w:rPr>
      </w:pPr>
      <w:r w:rsidRPr="00783CCE">
        <w:rPr>
          <w:smallCaps/>
          <w:szCs w:val="24"/>
        </w:rPr>
        <w:lastRenderedPageBreak/>
        <w:t>This page intentionally left blank.</w:t>
      </w:r>
    </w:p>
    <w:p w:rsidR="00851FDE" w:rsidRDefault="00851FDE" w:rsidP="00A070BF">
      <w:pPr>
        <w:pStyle w:val="RFR-Level3-A"/>
        <w:tabs>
          <w:tab w:val="left" w:pos="4680"/>
          <w:tab w:val="left" w:pos="5400"/>
          <w:tab w:val="left" w:pos="9180"/>
        </w:tabs>
        <w:ind w:left="0" w:firstLine="0"/>
        <w:rPr>
          <w:szCs w:val="24"/>
        </w:rPr>
      </w:pPr>
    </w:p>
    <w:sectPr w:rsidR="00851FDE" w:rsidSect="008D5C9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6F6" w:rsidRDefault="00B126F6" w:rsidP="00D248BC">
      <w:r>
        <w:separator/>
      </w:r>
    </w:p>
  </w:endnote>
  <w:endnote w:type="continuationSeparator" w:id="0">
    <w:p w:rsidR="00B126F6" w:rsidRDefault="00B126F6" w:rsidP="00D248BC">
      <w:r>
        <w:continuationSeparator/>
      </w:r>
    </w:p>
  </w:endnote>
  <w:endnote w:type="continuationNotice" w:id="1">
    <w:p w:rsidR="00B126F6" w:rsidRDefault="00B12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DE" w:rsidRDefault="00E10096">
    <w:pPr>
      <w:pStyle w:val="Footer"/>
      <w:jc w:val="right"/>
    </w:pPr>
    <w:r>
      <w:fldChar w:fldCharType="begin"/>
    </w:r>
    <w:r>
      <w:instrText xml:space="preserve"> PAGE   \* MERGEFORMAT </w:instrText>
    </w:r>
    <w:r>
      <w:fldChar w:fldCharType="separate"/>
    </w:r>
    <w:r w:rsidR="007367DC">
      <w:rPr>
        <w:noProof/>
      </w:rPr>
      <w:t>1</w:t>
    </w:r>
    <w:r>
      <w:rPr>
        <w:noProof/>
      </w:rPr>
      <w:fldChar w:fldCharType="end"/>
    </w:r>
  </w:p>
  <w:p w:rsidR="00851FDE" w:rsidRDefault="00851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6F6" w:rsidRDefault="00B126F6" w:rsidP="00D248BC">
      <w:r>
        <w:separator/>
      </w:r>
    </w:p>
  </w:footnote>
  <w:footnote w:type="continuationSeparator" w:id="0">
    <w:p w:rsidR="00B126F6" w:rsidRDefault="00B126F6" w:rsidP="00D248BC">
      <w:r>
        <w:continuationSeparator/>
      </w:r>
    </w:p>
  </w:footnote>
  <w:footnote w:type="continuationNotice" w:id="1">
    <w:p w:rsidR="00B126F6" w:rsidRDefault="00B126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DE" w:rsidRDefault="00851FDE" w:rsidP="005C1541">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FDC"/>
    <w:multiLevelType w:val="hybridMultilevel"/>
    <w:tmpl w:val="E5404B48"/>
    <w:lvl w:ilvl="0" w:tplc="5F40B196">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03A35FB"/>
    <w:multiLevelType w:val="hybridMultilevel"/>
    <w:tmpl w:val="1C8230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E0674F4"/>
    <w:multiLevelType w:val="hybridMultilevel"/>
    <w:tmpl w:val="B888E070"/>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E6CA92E2">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7C6A56"/>
    <w:multiLevelType w:val="hybridMultilevel"/>
    <w:tmpl w:val="9E7EAF94"/>
    <w:lvl w:ilvl="0" w:tplc="70282602">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88A753D"/>
    <w:multiLevelType w:val="multilevel"/>
    <w:tmpl w:val="1C82300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9D5CFB"/>
    <w:multiLevelType w:val="hybridMultilevel"/>
    <w:tmpl w:val="AC96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BB2A87"/>
    <w:multiLevelType w:val="hybridMultilevel"/>
    <w:tmpl w:val="73948796"/>
    <w:lvl w:ilvl="0" w:tplc="5C08F67A">
      <w:start w:val="1"/>
      <w:numFmt w:val="decimal"/>
      <w:lvlText w:val="%1."/>
      <w:lvlJc w:val="left"/>
      <w:pPr>
        <w:ind w:left="144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7">
    <w:nsid w:val="40775529"/>
    <w:multiLevelType w:val="hybridMultilevel"/>
    <w:tmpl w:val="AAE6B4DC"/>
    <w:lvl w:ilvl="0" w:tplc="CAC8E4B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9D94A87"/>
    <w:multiLevelType w:val="hybridMultilevel"/>
    <w:tmpl w:val="C590B3AA"/>
    <w:lvl w:ilvl="0" w:tplc="7324B766">
      <w:start w:val="1"/>
      <w:numFmt w:val="lowerLetter"/>
      <w:lvlText w:val="%1."/>
      <w:lvlJc w:val="left"/>
      <w:pPr>
        <w:ind w:left="18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A5201FD"/>
    <w:multiLevelType w:val="hybridMultilevel"/>
    <w:tmpl w:val="CA06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D3651F"/>
    <w:multiLevelType w:val="hybridMultilevel"/>
    <w:tmpl w:val="68EA2EFC"/>
    <w:lvl w:ilvl="0" w:tplc="0409000F">
      <w:start w:val="1"/>
      <w:numFmt w:val="decimal"/>
      <w:lvlText w:val="%1."/>
      <w:lvlJc w:val="left"/>
      <w:pPr>
        <w:tabs>
          <w:tab w:val="num" w:pos="720"/>
        </w:tabs>
        <w:ind w:left="720" w:hanging="360"/>
      </w:pPr>
      <w:rPr>
        <w:rFonts w:cs="Times New Roman"/>
      </w:rPr>
    </w:lvl>
    <w:lvl w:ilvl="1" w:tplc="E722B0A6">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D5C54A5"/>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nsid w:val="66DB1E3F"/>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76B25D32"/>
    <w:multiLevelType w:val="hybridMultilevel"/>
    <w:tmpl w:val="965247E4"/>
    <w:lvl w:ilvl="0" w:tplc="7324B766">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4">
    <w:nsid w:val="79BE43B7"/>
    <w:multiLevelType w:val="hybridMultilevel"/>
    <w:tmpl w:val="630C60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2"/>
  </w:num>
  <w:num w:numId="3">
    <w:abstractNumId w:val="7"/>
  </w:num>
  <w:num w:numId="4">
    <w:abstractNumId w:val="2"/>
  </w:num>
  <w:num w:numId="5">
    <w:abstractNumId w:val="10"/>
  </w:num>
  <w:num w:numId="6">
    <w:abstractNumId w:val="1"/>
  </w:num>
  <w:num w:numId="7">
    <w:abstractNumId w:val="4"/>
  </w:num>
  <w:num w:numId="8">
    <w:abstractNumId w:val="9"/>
  </w:num>
  <w:num w:numId="9">
    <w:abstractNumId w:val="11"/>
  </w:num>
  <w:num w:numId="10">
    <w:abstractNumId w:val="13"/>
  </w:num>
  <w:num w:numId="11">
    <w:abstractNumId w:val="0"/>
  </w:num>
  <w:num w:numId="12">
    <w:abstractNumId w:val="3"/>
  </w:num>
  <w:num w:numId="13">
    <w:abstractNumId w:val="5"/>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BA"/>
    <w:rsid w:val="00007252"/>
    <w:rsid w:val="00030C43"/>
    <w:rsid w:val="000333BE"/>
    <w:rsid w:val="000404EF"/>
    <w:rsid w:val="00045654"/>
    <w:rsid w:val="00054D3C"/>
    <w:rsid w:val="000610E0"/>
    <w:rsid w:val="00081B05"/>
    <w:rsid w:val="00085338"/>
    <w:rsid w:val="00092C0A"/>
    <w:rsid w:val="000D04B6"/>
    <w:rsid w:val="000F07A1"/>
    <w:rsid w:val="000F1FB2"/>
    <w:rsid w:val="000F5ADA"/>
    <w:rsid w:val="00103854"/>
    <w:rsid w:val="001346D7"/>
    <w:rsid w:val="00134A03"/>
    <w:rsid w:val="00141B19"/>
    <w:rsid w:val="001665BB"/>
    <w:rsid w:val="001676BB"/>
    <w:rsid w:val="0017182A"/>
    <w:rsid w:val="00185B1F"/>
    <w:rsid w:val="001A0F5F"/>
    <w:rsid w:val="001A69A7"/>
    <w:rsid w:val="001B1857"/>
    <w:rsid w:val="001B3BF6"/>
    <w:rsid w:val="001D15C9"/>
    <w:rsid w:val="001D1EC8"/>
    <w:rsid w:val="001E7D13"/>
    <w:rsid w:val="001F55CD"/>
    <w:rsid w:val="00205594"/>
    <w:rsid w:val="002143DC"/>
    <w:rsid w:val="002172B2"/>
    <w:rsid w:val="00230682"/>
    <w:rsid w:val="00230BCE"/>
    <w:rsid w:val="002401E8"/>
    <w:rsid w:val="00247E64"/>
    <w:rsid w:val="00252FBD"/>
    <w:rsid w:val="002670FD"/>
    <w:rsid w:val="00281063"/>
    <w:rsid w:val="0029504C"/>
    <w:rsid w:val="002B3DD5"/>
    <w:rsid w:val="002D5DF5"/>
    <w:rsid w:val="003101FF"/>
    <w:rsid w:val="003333DE"/>
    <w:rsid w:val="00342DDB"/>
    <w:rsid w:val="00351E9F"/>
    <w:rsid w:val="0035377F"/>
    <w:rsid w:val="00362572"/>
    <w:rsid w:val="003645E1"/>
    <w:rsid w:val="0037709D"/>
    <w:rsid w:val="0038086F"/>
    <w:rsid w:val="003814CC"/>
    <w:rsid w:val="00390755"/>
    <w:rsid w:val="003A78BC"/>
    <w:rsid w:val="003B655A"/>
    <w:rsid w:val="003C2174"/>
    <w:rsid w:val="003E5429"/>
    <w:rsid w:val="003F0B5C"/>
    <w:rsid w:val="003F240B"/>
    <w:rsid w:val="003F75F1"/>
    <w:rsid w:val="00400255"/>
    <w:rsid w:val="00406001"/>
    <w:rsid w:val="0041586B"/>
    <w:rsid w:val="004320AB"/>
    <w:rsid w:val="00445FC3"/>
    <w:rsid w:val="004608A5"/>
    <w:rsid w:val="00462532"/>
    <w:rsid w:val="00495508"/>
    <w:rsid w:val="004A284F"/>
    <w:rsid w:val="004B4D77"/>
    <w:rsid w:val="004D231E"/>
    <w:rsid w:val="00502A05"/>
    <w:rsid w:val="00523A75"/>
    <w:rsid w:val="00537E53"/>
    <w:rsid w:val="00556755"/>
    <w:rsid w:val="0055713A"/>
    <w:rsid w:val="0056530D"/>
    <w:rsid w:val="00575E85"/>
    <w:rsid w:val="005768EA"/>
    <w:rsid w:val="00580923"/>
    <w:rsid w:val="005969E8"/>
    <w:rsid w:val="00596F76"/>
    <w:rsid w:val="00597EE3"/>
    <w:rsid w:val="005A5368"/>
    <w:rsid w:val="005A7841"/>
    <w:rsid w:val="005B4A4C"/>
    <w:rsid w:val="005C1541"/>
    <w:rsid w:val="005D3CCD"/>
    <w:rsid w:val="005D60B2"/>
    <w:rsid w:val="005F6443"/>
    <w:rsid w:val="00603609"/>
    <w:rsid w:val="00625559"/>
    <w:rsid w:val="006604C6"/>
    <w:rsid w:val="00672BE7"/>
    <w:rsid w:val="0067768E"/>
    <w:rsid w:val="0068069C"/>
    <w:rsid w:val="006850BE"/>
    <w:rsid w:val="00692E98"/>
    <w:rsid w:val="006A536A"/>
    <w:rsid w:val="006A6284"/>
    <w:rsid w:val="006B10DB"/>
    <w:rsid w:val="006B3773"/>
    <w:rsid w:val="006C30C5"/>
    <w:rsid w:val="006E0548"/>
    <w:rsid w:val="006F2222"/>
    <w:rsid w:val="006F6039"/>
    <w:rsid w:val="006F7C0B"/>
    <w:rsid w:val="0070046F"/>
    <w:rsid w:val="00704E1A"/>
    <w:rsid w:val="0071160C"/>
    <w:rsid w:val="007367DC"/>
    <w:rsid w:val="00740D7E"/>
    <w:rsid w:val="00740FF1"/>
    <w:rsid w:val="0074177D"/>
    <w:rsid w:val="00742024"/>
    <w:rsid w:val="007514D0"/>
    <w:rsid w:val="007538F4"/>
    <w:rsid w:val="0075784D"/>
    <w:rsid w:val="00770CEB"/>
    <w:rsid w:val="00780E4D"/>
    <w:rsid w:val="0078332B"/>
    <w:rsid w:val="00783CCE"/>
    <w:rsid w:val="007B053C"/>
    <w:rsid w:val="007C3324"/>
    <w:rsid w:val="007C7965"/>
    <w:rsid w:val="007E39AF"/>
    <w:rsid w:val="007F5F6D"/>
    <w:rsid w:val="00807287"/>
    <w:rsid w:val="008133C9"/>
    <w:rsid w:val="008316FD"/>
    <w:rsid w:val="008335DC"/>
    <w:rsid w:val="00851EFF"/>
    <w:rsid w:val="00851FDE"/>
    <w:rsid w:val="008636F9"/>
    <w:rsid w:val="008773D5"/>
    <w:rsid w:val="00880043"/>
    <w:rsid w:val="008908F3"/>
    <w:rsid w:val="00894676"/>
    <w:rsid w:val="0089583E"/>
    <w:rsid w:val="008A5991"/>
    <w:rsid w:val="008B0F9B"/>
    <w:rsid w:val="008C6AF2"/>
    <w:rsid w:val="008D3EEB"/>
    <w:rsid w:val="008D5C9B"/>
    <w:rsid w:val="008E0E6C"/>
    <w:rsid w:val="008E16A8"/>
    <w:rsid w:val="00911ABA"/>
    <w:rsid w:val="0092109A"/>
    <w:rsid w:val="0092228C"/>
    <w:rsid w:val="00941992"/>
    <w:rsid w:val="00943813"/>
    <w:rsid w:val="00957E90"/>
    <w:rsid w:val="00967E49"/>
    <w:rsid w:val="00971A41"/>
    <w:rsid w:val="00991E08"/>
    <w:rsid w:val="0099319C"/>
    <w:rsid w:val="009A30C6"/>
    <w:rsid w:val="009A4556"/>
    <w:rsid w:val="009D2D5C"/>
    <w:rsid w:val="009F049C"/>
    <w:rsid w:val="00A057F1"/>
    <w:rsid w:val="00A070BF"/>
    <w:rsid w:val="00A3089C"/>
    <w:rsid w:val="00A44B08"/>
    <w:rsid w:val="00A45EF4"/>
    <w:rsid w:val="00A47D89"/>
    <w:rsid w:val="00A517DC"/>
    <w:rsid w:val="00A53712"/>
    <w:rsid w:val="00A64A13"/>
    <w:rsid w:val="00A700B5"/>
    <w:rsid w:val="00A71996"/>
    <w:rsid w:val="00A871FD"/>
    <w:rsid w:val="00A87875"/>
    <w:rsid w:val="00A927ED"/>
    <w:rsid w:val="00A94036"/>
    <w:rsid w:val="00AA27FF"/>
    <w:rsid w:val="00AB6A8E"/>
    <w:rsid w:val="00AC09B6"/>
    <w:rsid w:val="00AC7308"/>
    <w:rsid w:val="00AD18D6"/>
    <w:rsid w:val="00AE789D"/>
    <w:rsid w:val="00B032D5"/>
    <w:rsid w:val="00B05D8D"/>
    <w:rsid w:val="00B063DA"/>
    <w:rsid w:val="00B126F6"/>
    <w:rsid w:val="00B234EA"/>
    <w:rsid w:val="00B85763"/>
    <w:rsid w:val="00BA28D1"/>
    <w:rsid w:val="00BA2DFD"/>
    <w:rsid w:val="00BC2773"/>
    <w:rsid w:val="00BD00D6"/>
    <w:rsid w:val="00BE3B4D"/>
    <w:rsid w:val="00BE70F0"/>
    <w:rsid w:val="00BF7897"/>
    <w:rsid w:val="00C03124"/>
    <w:rsid w:val="00C1269F"/>
    <w:rsid w:val="00C14019"/>
    <w:rsid w:val="00C15E04"/>
    <w:rsid w:val="00C600A4"/>
    <w:rsid w:val="00C66F57"/>
    <w:rsid w:val="00C95BB2"/>
    <w:rsid w:val="00CA04FA"/>
    <w:rsid w:val="00CA4321"/>
    <w:rsid w:val="00CA479C"/>
    <w:rsid w:val="00CB31C2"/>
    <w:rsid w:val="00CD13DF"/>
    <w:rsid w:val="00CF62A0"/>
    <w:rsid w:val="00D07606"/>
    <w:rsid w:val="00D248BC"/>
    <w:rsid w:val="00D31FA6"/>
    <w:rsid w:val="00D42B89"/>
    <w:rsid w:val="00D50017"/>
    <w:rsid w:val="00D529F0"/>
    <w:rsid w:val="00D53CBB"/>
    <w:rsid w:val="00D65FEC"/>
    <w:rsid w:val="00D77BCF"/>
    <w:rsid w:val="00D819F8"/>
    <w:rsid w:val="00D82DD9"/>
    <w:rsid w:val="00DA3328"/>
    <w:rsid w:val="00DB18DB"/>
    <w:rsid w:val="00DB67AD"/>
    <w:rsid w:val="00DD2A63"/>
    <w:rsid w:val="00DD4A12"/>
    <w:rsid w:val="00DD674E"/>
    <w:rsid w:val="00DE643B"/>
    <w:rsid w:val="00DF522D"/>
    <w:rsid w:val="00E0357B"/>
    <w:rsid w:val="00E10096"/>
    <w:rsid w:val="00E12F69"/>
    <w:rsid w:val="00E161D6"/>
    <w:rsid w:val="00E233FF"/>
    <w:rsid w:val="00E47855"/>
    <w:rsid w:val="00E8230E"/>
    <w:rsid w:val="00E82EA7"/>
    <w:rsid w:val="00EA4178"/>
    <w:rsid w:val="00EA4ACB"/>
    <w:rsid w:val="00EA53EB"/>
    <w:rsid w:val="00EB2791"/>
    <w:rsid w:val="00EB2ABF"/>
    <w:rsid w:val="00EC1DA7"/>
    <w:rsid w:val="00EC6EEE"/>
    <w:rsid w:val="00ED6468"/>
    <w:rsid w:val="00EE6E0E"/>
    <w:rsid w:val="00EF13D8"/>
    <w:rsid w:val="00EF4050"/>
    <w:rsid w:val="00EF42A0"/>
    <w:rsid w:val="00F05B3A"/>
    <w:rsid w:val="00F06432"/>
    <w:rsid w:val="00F24140"/>
    <w:rsid w:val="00F502B2"/>
    <w:rsid w:val="00F51F58"/>
    <w:rsid w:val="00F77404"/>
    <w:rsid w:val="00F83C2C"/>
    <w:rsid w:val="00F92720"/>
    <w:rsid w:val="00FA6B6C"/>
    <w:rsid w:val="00FB01D1"/>
    <w:rsid w:val="00FC4B22"/>
    <w:rsid w:val="00FC7F4C"/>
    <w:rsid w:val="00FC7F56"/>
    <w:rsid w:val="00FE6DA9"/>
    <w:rsid w:val="00FF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BA"/>
    <w:rPr>
      <w:rFonts w:ascii="Book Antiqua" w:eastAsia="Times New Roman" w:hAnsi="Book Antiqua"/>
      <w:sz w:val="24"/>
      <w:szCs w:val="20"/>
    </w:rPr>
  </w:style>
  <w:style w:type="paragraph" w:styleId="Heading1">
    <w:name w:val="heading 1"/>
    <w:basedOn w:val="Normal"/>
    <w:next w:val="Normal"/>
    <w:link w:val="Heading1Char"/>
    <w:uiPriority w:val="99"/>
    <w:qFormat/>
    <w:rsid w:val="00DD674E"/>
    <w:pPr>
      <w:keepNext/>
      <w:keepLines/>
      <w:spacing w:before="480"/>
      <w:outlineLvl w:val="0"/>
    </w:pPr>
    <w:rPr>
      <w:rFonts w:ascii="Cambria" w:eastAsia="MS Gothic" w:hAnsi="Cambria"/>
      <w:b/>
      <w:bCs/>
      <w:color w:val="365F91"/>
      <w:sz w:val="28"/>
      <w:szCs w:val="28"/>
    </w:rPr>
  </w:style>
  <w:style w:type="paragraph" w:styleId="Heading3">
    <w:name w:val="heading 3"/>
    <w:basedOn w:val="Normal"/>
    <w:next w:val="Normal"/>
    <w:link w:val="Heading3Char"/>
    <w:uiPriority w:val="99"/>
    <w:qFormat/>
    <w:rsid w:val="00911ABA"/>
    <w:pPr>
      <w:keepNext/>
      <w:keepLines/>
      <w:spacing w:before="20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ABA"/>
    <w:rPr>
      <w:rFonts w:ascii="Cambria" w:eastAsia="MS Gothic"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911ABA"/>
    <w:rPr>
      <w:rFonts w:ascii="Cambria" w:eastAsia="MS Gothic" w:hAnsi="Cambria" w:cs="Times New Roman"/>
      <w:b/>
      <w:bCs/>
      <w:color w:val="4F81BD"/>
      <w:sz w:val="20"/>
      <w:szCs w:val="20"/>
    </w:rPr>
  </w:style>
  <w:style w:type="paragraph" w:styleId="BalloonText">
    <w:name w:val="Balloon Text"/>
    <w:basedOn w:val="Normal"/>
    <w:link w:val="BalloonTextChar"/>
    <w:uiPriority w:val="99"/>
    <w:semiHidden/>
    <w:rsid w:val="002B3D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3DD5"/>
    <w:rPr>
      <w:rFonts w:ascii="Tahoma" w:hAnsi="Tahoma" w:cs="Tahoma"/>
      <w:sz w:val="16"/>
      <w:szCs w:val="16"/>
    </w:rPr>
  </w:style>
  <w:style w:type="paragraph" w:customStyle="1" w:styleId="Contract2ndLevelHeading">
    <w:name w:val="Contract 2nd Level Heading"/>
    <w:basedOn w:val="Heading1"/>
    <w:link w:val="Contract2ndLevelHeadingChar"/>
    <w:uiPriority w:val="99"/>
    <w:rsid w:val="00911ABA"/>
    <w:pPr>
      <w:keepLines w:val="0"/>
      <w:spacing w:before="0"/>
    </w:pPr>
    <w:rPr>
      <w:rFonts w:eastAsia="Calibri"/>
      <w:bCs w:val="0"/>
      <w:color w:val="auto"/>
      <w:kern w:val="32"/>
      <w:sz w:val="20"/>
      <w:szCs w:val="20"/>
      <w:lang w:eastAsia="ja-JP"/>
    </w:rPr>
  </w:style>
  <w:style w:type="paragraph" w:customStyle="1" w:styleId="Contract3rdLevelHeading">
    <w:name w:val="Contract 3rd Level Heading"/>
    <w:basedOn w:val="Heading3"/>
    <w:link w:val="Contract3rdLevelHeadingChar"/>
    <w:uiPriority w:val="99"/>
    <w:rsid w:val="00911ABA"/>
    <w:pPr>
      <w:keepNext w:val="0"/>
      <w:keepLines w:val="0"/>
      <w:numPr>
        <w:ilvl w:val="2"/>
      </w:numPr>
      <w:tabs>
        <w:tab w:val="num" w:pos="360"/>
      </w:tabs>
      <w:spacing w:before="120" w:after="240"/>
      <w:ind w:left="1080" w:hanging="360"/>
    </w:pPr>
    <w:rPr>
      <w:rFonts w:ascii="Book Antiqua" w:eastAsia="Calibri" w:hAnsi="Book Antiqua"/>
      <w:bCs w:val="0"/>
      <w:color w:val="auto"/>
      <w:lang w:eastAsia="ja-JP"/>
    </w:rPr>
  </w:style>
  <w:style w:type="character" w:customStyle="1" w:styleId="Contract2ndLevelHeadingChar">
    <w:name w:val="Contract 2nd Level Heading Char"/>
    <w:link w:val="Contract2ndLevelHeading"/>
    <w:uiPriority w:val="99"/>
    <w:locked/>
    <w:rsid w:val="00911ABA"/>
    <w:rPr>
      <w:rFonts w:ascii="Cambria" w:hAnsi="Cambria"/>
      <w:b/>
      <w:kern w:val="32"/>
      <w:sz w:val="20"/>
      <w:lang w:eastAsia="ja-JP"/>
    </w:rPr>
  </w:style>
  <w:style w:type="character" w:customStyle="1" w:styleId="Contract3rdLevelHeadingChar">
    <w:name w:val="Contract 3rd Level Heading Char"/>
    <w:link w:val="Contract3rdLevelHeading"/>
    <w:uiPriority w:val="99"/>
    <w:locked/>
    <w:rsid w:val="00911ABA"/>
    <w:rPr>
      <w:rFonts w:ascii="Book Antiqua" w:hAnsi="Book Antiqua"/>
      <w:b/>
      <w:sz w:val="24"/>
      <w:lang w:eastAsia="ja-JP"/>
    </w:rPr>
  </w:style>
  <w:style w:type="paragraph" w:styleId="Header">
    <w:name w:val="header"/>
    <w:basedOn w:val="Normal"/>
    <w:link w:val="HeaderChar"/>
    <w:uiPriority w:val="99"/>
    <w:rsid w:val="00D248BC"/>
    <w:pPr>
      <w:tabs>
        <w:tab w:val="center" w:pos="4680"/>
        <w:tab w:val="right" w:pos="9360"/>
      </w:tabs>
    </w:pPr>
  </w:style>
  <w:style w:type="character" w:customStyle="1" w:styleId="HeaderChar">
    <w:name w:val="Header Char"/>
    <w:basedOn w:val="DefaultParagraphFont"/>
    <w:link w:val="Header"/>
    <w:uiPriority w:val="99"/>
    <w:locked/>
    <w:rsid w:val="00D248BC"/>
    <w:rPr>
      <w:rFonts w:ascii="Book Antiqua" w:hAnsi="Book Antiqua" w:cs="Times New Roman"/>
      <w:sz w:val="20"/>
      <w:szCs w:val="20"/>
    </w:rPr>
  </w:style>
  <w:style w:type="paragraph" w:styleId="Footer">
    <w:name w:val="footer"/>
    <w:basedOn w:val="Normal"/>
    <w:link w:val="FooterChar"/>
    <w:uiPriority w:val="99"/>
    <w:rsid w:val="00D248BC"/>
    <w:pPr>
      <w:tabs>
        <w:tab w:val="center" w:pos="4680"/>
        <w:tab w:val="right" w:pos="9360"/>
      </w:tabs>
    </w:pPr>
  </w:style>
  <w:style w:type="character" w:customStyle="1" w:styleId="FooterChar">
    <w:name w:val="Footer Char"/>
    <w:basedOn w:val="DefaultParagraphFont"/>
    <w:link w:val="Footer"/>
    <w:uiPriority w:val="99"/>
    <w:locked/>
    <w:rsid w:val="00D248BC"/>
    <w:rPr>
      <w:rFonts w:ascii="Book Antiqua" w:hAnsi="Book Antiqua" w:cs="Times New Roman"/>
      <w:sz w:val="20"/>
      <w:szCs w:val="20"/>
    </w:rPr>
  </w:style>
  <w:style w:type="character" w:customStyle="1" w:styleId="FooterChar1">
    <w:name w:val="Footer Char1"/>
    <w:uiPriority w:val="99"/>
    <w:semiHidden/>
    <w:locked/>
    <w:rsid w:val="00D248BC"/>
    <w:rPr>
      <w:rFonts w:ascii="Book Antiqua" w:hAnsi="Book Antiqua"/>
      <w:sz w:val="20"/>
    </w:rPr>
  </w:style>
  <w:style w:type="character" w:styleId="CommentReference">
    <w:name w:val="annotation reference"/>
    <w:basedOn w:val="DefaultParagraphFont"/>
    <w:uiPriority w:val="99"/>
    <w:semiHidden/>
    <w:rsid w:val="002B3DD5"/>
    <w:rPr>
      <w:rFonts w:cs="Times New Roman"/>
      <w:sz w:val="16"/>
      <w:szCs w:val="16"/>
    </w:rPr>
  </w:style>
  <w:style w:type="paragraph" w:styleId="CommentText">
    <w:name w:val="annotation text"/>
    <w:basedOn w:val="Normal"/>
    <w:link w:val="CommentTextChar"/>
    <w:uiPriority w:val="99"/>
    <w:semiHidden/>
    <w:rsid w:val="002B3DD5"/>
    <w:rPr>
      <w:sz w:val="20"/>
    </w:rPr>
  </w:style>
  <w:style w:type="character" w:customStyle="1" w:styleId="CommentTextChar">
    <w:name w:val="Comment Text Char"/>
    <w:basedOn w:val="DefaultParagraphFont"/>
    <w:link w:val="CommentText"/>
    <w:uiPriority w:val="99"/>
    <w:semiHidden/>
    <w:locked/>
    <w:rsid w:val="002B3DD5"/>
    <w:rPr>
      <w:rFonts w:ascii="Book Antiqua" w:hAnsi="Book Antiqua" w:cs="Times New Roman"/>
      <w:sz w:val="20"/>
      <w:szCs w:val="20"/>
    </w:rPr>
  </w:style>
  <w:style w:type="paragraph" w:styleId="CommentSubject">
    <w:name w:val="annotation subject"/>
    <w:basedOn w:val="CommentText"/>
    <w:next w:val="CommentText"/>
    <w:link w:val="CommentSubjectChar"/>
    <w:uiPriority w:val="99"/>
    <w:semiHidden/>
    <w:rsid w:val="002B3DD5"/>
    <w:rPr>
      <w:b/>
      <w:bCs/>
    </w:rPr>
  </w:style>
  <w:style w:type="character" w:customStyle="1" w:styleId="CommentSubjectChar">
    <w:name w:val="Comment Subject Char"/>
    <w:basedOn w:val="CommentTextChar"/>
    <w:link w:val="CommentSubject"/>
    <w:uiPriority w:val="99"/>
    <w:semiHidden/>
    <w:locked/>
    <w:rsid w:val="002B3DD5"/>
    <w:rPr>
      <w:rFonts w:ascii="Book Antiqua" w:hAnsi="Book Antiqua" w:cs="Times New Roman"/>
      <w:b/>
      <w:bCs/>
      <w:sz w:val="20"/>
      <w:szCs w:val="20"/>
    </w:rPr>
  </w:style>
  <w:style w:type="paragraph" w:customStyle="1" w:styleId="RFR-Level6-1">
    <w:name w:val="RFR-Level6 - (1)"/>
    <w:basedOn w:val="Normal"/>
    <w:uiPriority w:val="99"/>
    <w:rsid w:val="003645E1"/>
    <w:pPr>
      <w:ind w:left="2160" w:hanging="360"/>
      <w:outlineLvl w:val="5"/>
    </w:pPr>
  </w:style>
  <w:style w:type="paragraph" w:customStyle="1" w:styleId="RFR-Level3-A-Text">
    <w:name w:val="RFR-Level3 - A - Text"/>
    <w:basedOn w:val="Normal"/>
    <w:next w:val="Normal"/>
    <w:uiPriority w:val="99"/>
    <w:rsid w:val="004320AB"/>
    <w:pPr>
      <w:ind w:left="1080"/>
      <w:outlineLvl w:val="2"/>
    </w:pPr>
  </w:style>
  <w:style w:type="paragraph" w:customStyle="1" w:styleId="RFR-Level3-A">
    <w:name w:val="RFR-Level3 - A."/>
    <w:basedOn w:val="Normal"/>
    <w:next w:val="RFR-Level3-A-Text"/>
    <w:uiPriority w:val="99"/>
    <w:rsid w:val="004320AB"/>
    <w:pPr>
      <w:ind w:left="1080" w:hanging="360"/>
      <w:outlineLvl w:val="2"/>
    </w:pPr>
  </w:style>
  <w:style w:type="paragraph" w:styleId="PlainText">
    <w:name w:val="Plain Text"/>
    <w:basedOn w:val="Normal"/>
    <w:link w:val="PlainTextChar"/>
    <w:uiPriority w:val="99"/>
    <w:semiHidden/>
    <w:rsid w:val="00EF4050"/>
    <w:rPr>
      <w:rFonts w:ascii="Calibri" w:eastAsia="Calibri" w:hAnsi="Calibri" w:cs="Calibri"/>
      <w:sz w:val="22"/>
      <w:szCs w:val="22"/>
    </w:rPr>
  </w:style>
  <w:style w:type="character" w:customStyle="1" w:styleId="PlainTextChar">
    <w:name w:val="Plain Text Char"/>
    <w:basedOn w:val="DefaultParagraphFont"/>
    <w:link w:val="PlainText"/>
    <w:uiPriority w:val="99"/>
    <w:semiHidden/>
    <w:locked/>
    <w:rsid w:val="00EF4050"/>
    <w:rPr>
      <w:rFonts w:ascii="Calibri" w:hAnsi="Calibri" w:cs="Calibri"/>
    </w:rPr>
  </w:style>
  <w:style w:type="paragraph" w:styleId="ListParagraph">
    <w:name w:val="List Paragraph"/>
    <w:basedOn w:val="Normal"/>
    <w:uiPriority w:val="99"/>
    <w:qFormat/>
    <w:rsid w:val="00EF4050"/>
    <w:pPr>
      <w:ind w:left="720"/>
    </w:pPr>
    <w:rPr>
      <w:rFonts w:ascii="Calibri" w:eastAsia="Calibri" w:hAnsi="Calibri" w:cs="Calibri"/>
      <w:sz w:val="22"/>
      <w:szCs w:val="22"/>
    </w:rPr>
  </w:style>
  <w:style w:type="paragraph" w:customStyle="1" w:styleId="Default">
    <w:name w:val="Default"/>
    <w:uiPriority w:val="99"/>
    <w:rsid w:val="00EF4050"/>
    <w:pPr>
      <w:autoSpaceDE w:val="0"/>
      <w:autoSpaceDN w:val="0"/>
      <w:adjustRightInd w:val="0"/>
    </w:pPr>
    <w:rPr>
      <w:rFonts w:ascii="Book Antiqua" w:eastAsia="Times New Roman" w:hAnsi="Book Antiqua" w:cs="Book Antiqua"/>
      <w:color w:val="000000"/>
      <w:sz w:val="24"/>
      <w:szCs w:val="24"/>
    </w:rPr>
  </w:style>
  <w:style w:type="paragraph" w:styleId="Revision">
    <w:name w:val="Revision"/>
    <w:hidden/>
    <w:uiPriority w:val="99"/>
    <w:semiHidden/>
    <w:rsid w:val="00E47855"/>
    <w:rPr>
      <w:rFonts w:ascii="Book Antiqua" w:eastAsia="Times New Roman" w:hAnsi="Book Antiqu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BA"/>
    <w:rPr>
      <w:rFonts w:ascii="Book Antiqua" w:eastAsia="Times New Roman" w:hAnsi="Book Antiqua"/>
      <w:sz w:val="24"/>
      <w:szCs w:val="20"/>
    </w:rPr>
  </w:style>
  <w:style w:type="paragraph" w:styleId="Heading1">
    <w:name w:val="heading 1"/>
    <w:basedOn w:val="Normal"/>
    <w:next w:val="Normal"/>
    <w:link w:val="Heading1Char"/>
    <w:uiPriority w:val="99"/>
    <w:qFormat/>
    <w:rsid w:val="00DD674E"/>
    <w:pPr>
      <w:keepNext/>
      <w:keepLines/>
      <w:spacing w:before="480"/>
      <w:outlineLvl w:val="0"/>
    </w:pPr>
    <w:rPr>
      <w:rFonts w:ascii="Cambria" w:eastAsia="MS Gothic" w:hAnsi="Cambria"/>
      <w:b/>
      <w:bCs/>
      <w:color w:val="365F91"/>
      <w:sz w:val="28"/>
      <w:szCs w:val="28"/>
    </w:rPr>
  </w:style>
  <w:style w:type="paragraph" w:styleId="Heading3">
    <w:name w:val="heading 3"/>
    <w:basedOn w:val="Normal"/>
    <w:next w:val="Normal"/>
    <w:link w:val="Heading3Char"/>
    <w:uiPriority w:val="99"/>
    <w:qFormat/>
    <w:rsid w:val="00911ABA"/>
    <w:pPr>
      <w:keepNext/>
      <w:keepLines/>
      <w:spacing w:before="20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ABA"/>
    <w:rPr>
      <w:rFonts w:ascii="Cambria" w:eastAsia="MS Gothic"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911ABA"/>
    <w:rPr>
      <w:rFonts w:ascii="Cambria" w:eastAsia="MS Gothic" w:hAnsi="Cambria" w:cs="Times New Roman"/>
      <w:b/>
      <w:bCs/>
      <w:color w:val="4F81BD"/>
      <w:sz w:val="20"/>
      <w:szCs w:val="20"/>
    </w:rPr>
  </w:style>
  <w:style w:type="paragraph" w:styleId="BalloonText">
    <w:name w:val="Balloon Text"/>
    <w:basedOn w:val="Normal"/>
    <w:link w:val="BalloonTextChar"/>
    <w:uiPriority w:val="99"/>
    <w:semiHidden/>
    <w:rsid w:val="002B3D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3DD5"/>
    <w:rPr>
      <w:rFonts w:ascii="Tahoma" w:hAnsi="Tahoma" w:cs="Tahoma"/>
      <w:sz w:val="16"/>
      <w:szCs w:val="16"/>
    </w:rPr>
  </w:style>
  <w:style w:type="paragraph" w:customStyle="1" w:styleId="Contract2ndLevelHeading">
    <w:name w:val="Contract 2nd Level Heading"/>
    <w:basedOn w:val="Heading1"/>
    <w:link w:val="Contract2ndLevelHeadingChar"/>
    <w:uiPriority w:val="99"/>
    <w:rsid w:val="00911ABA"/>
    <w:pPr>
      <w:keepLines w:val="0"/>
      <w:spacing w:before="0"/>
    </w:pPr>
    <w:rPr>
      <w:rFonts w:eastAsia="Calibri"/>
      <w:bCs w:val="0"/>
      <w:color w:val="auto"/>
      <w:kern w:val="32"/>
      <w:sz w:val="20"/>
      <w:szCs w:val="20"/>
      <w:lang w:eastAsia="ja-JP"/>
    </w:rPr>
  </w:style>
  <w:style w:type="paragraph" w:customStyle="1" w:styleId="Contract3rdLevelHeading">
    <w:name w:val="Contract 3rd Level Heading"/>
    <w:basedOn w:val="Heading3"/>
    <w:link w:val="Contract3rdLevelHeadingChar"/>
    <w:uiPriority w:val="99"/>
    <w:rsid w:val="00911ABA"/>
    <w:pPr>
      <w:keepNext w:val="0"/>
      <w:keepLines w:val="0"/>
      <w:numPr>
        <w:ilvl w:val="2"/>
      </w:numPr>
      <w:tabs>
        <w:tab w:val="num" w:pos="360"/>
      </w:tabs>
      <w:spacing w:before="120" w:after="240"/>
      <w:ind w:left="1080" w:hanging="360"/>
    </w:pPr>
    <w:rPr>
      <w:rFonts w:ascii="Book Antiqua" w:eastAsia="Calibri" w:hAnsi="Book Antiqua"/>
      <w:bCs w:val="0"/>
      <w:color w:val="auto"/>
      <w:lang w:eastAsia="ja-JP"/>
    </w:rPr>
  </w:style>
  <w:style w:type="character" w:customStyle="1" w:styleId="Contract2ndLevelHeadingChar">
    <w:name w:val="Contract 2nd Level Heading Char"/>
    <w:link w:val="Contract2ndLevelHeading"/>
    <w:uiPriority w:val="99"/>
    <w:locked/>
    <w:rsid w:val="00911ABA"/>
    <w:rPr>
      <w:rFonts w:ascii="Cambria" w:hAnsi="Cambria"/>
      <w:b/>
      <w:kern w:val="32"/>
      <w:sz w:val="20"/>
      <w:lang w:eastAsia="ja-JP"/>
    </w:rPr>
  </w:style>
  <w:style w:type="character" w:customStyle="1" w:styleId="Contract3rdLevelHeadingChar">
    <w:name w:val="Contract 3rd Level Heading Char"/>
    <w:link w:val="Contract3rdLevelHeading"/>
    <w:uiPriority w:val="99"/>
    <w:locked/>
    <w:rsid w:val="00911ABA"/>
    <w:rPr>
      <w:rFonts w:ascii="Book Antiqua" w:hAnsi="Book Antiqua"/>
      <w:b/>
      <w:sz w:val="24"/>
      <w:lang w:eastAsia="ja-JP"/>
    </w:rPr>
  </w:style>
  <w:style w:type="paragraph" w:styleId="Header">
    <w:name w:val="header"/>
    <w:basedOn w:val="Normal"/>
    <w:link w:val="HeaderChar"/>
    <w:uiPriority w:val="99"/>
    <w:rsid w:val="00D248BC"/>
    <w:pPr>
      <w:tabs>
        <w:tab w:val="center" w:pos="4680"/>
        <w:tab w:val="right" w:pos="9360"/>
      </w:tabs>
    </w:pPr>
  </w:style>
  <w:style w:type="character" w:customStyle="1" w:styleId="HeaderChar">
    <w:name w:val="Header Char"/>
    <w:basedOn w:val="DefaultParagraphFont"/>
    <w:link w:val="Header"/>
    <w:uiPriority w:val="99"/>
    <w:locked/>
    <w:rsid w:val="00D248BC"/>
    <w:rPr>
      <w:rFonts w:ascii="Book Antiqua" w:hAnsi="Book Antiqua" w:cs="Times New Roman"/>
      <w:sz w:val="20"/>
      <w:szCs w:val="20"/>
    </w:rPr>
  </w:style>
  <w:style w:type="paragraph" w:styleId="Footer">
    <w:name w:val="footer"/>
    <w:basedOn w:val="Normal"/>
    <w:link w:val="FooterChar"/>
    <w:uiPriority w:val="99"/>
    <w:rsid w:val="00D248BC"/>
    <w:pPr>
      <w:tabs>
        <w:tab w:val="center" w:pos="4680"/>
        <w:tab w:val="right" w:pos="9360"/>
      </w:tabs>
    </w:pPr>
  </w:style>
  <w:style w:type="character" w:customStyle="1" w:styleId="FooterChar">
    <w:name w:val="Footer Char"/>
    <w:basedOn w:val="DefaultParagraphFont"/>
    <w:link w:val="Footer"/>
    <w:uiPriority w:val="99"/>
    <w:locked/>
    <w:rsid w:val="00D248BC"/>
    <w:rPr>
      <w:rFonts w:ascii="Book Antiqua" w:hAnsi="Book Antiqua" w:cs="Times New Roman"/>
      <w:sz w:val="20"/>
      <w:szCs w:val="20"/>
    </w:rPr>
  </w:style>
  <w:style w:type="character" w:customStyle="1" w:styleId="FooterChar1">
    <w:name w:val="Footer Char1"/>
    <w:uiPriority w:val="99"/>
    <w:semiHidden/>
    <w:locked/>
    <w:rsid w:val="00D248BC"/>
    <w:rPr>
      <w:rFonts w:ascii="Book Antiqua" w:hAnsi="Book Antiqua"/>
      <w:sz w:val="20"/>
    </w:rPr>
  </w:style>
  <w:style w:type="character" w:styleId="CommentReference">
    <w:name w:val="annotation reference"/>
    <w:basedOn w:val="DefaultParagraphFont"/>
    <w:uiPriority w:val="99"/>
    <w:semiHidden/>
    <w:rsid w:val="002B3DD5"/>
    <w:rPr>
      <w:rFonts w:cs="Times New Roman"/>
      <w:sz w:val="16"/>
      <w:szCs w:val="16"/>
    </w:rPr>
  </w:style>
  <w:style w:type="paragraph" w:styleId="CommentText">
    <w:name w:val="annotation text"/>
    <w:basedOn w:val="Normal"/>
    <w:link w:val="CommentTextChar"/>
    <w:uiPriority w:val="99"/>
    <w:semiHidden/>
    <w:rsid w:val="002B3DD5"/>
    <w:rPr>
      <w:sz w:val="20"/>
    </w:rPr>
  </w:style>
  <w:style w:type="character" w:customStyle="1" w:styleId="CommentTextChar">
    <w:name w:val="Comment Text Char"/>
    <w:basedOn w:val="DefaultParagraphFont"/>
    <w:link w:val="CommentText"/>
    <w:uiPriority w:val="99"/>
    <w:semiHidden/>
    <w:locked/>
    <w:rsid w:val="002B3DD5"/>
    <w:rPr>
      <w:rFonts w:ascii="Book Antiqua" w:hAnsi="Book Antiqua" w:cs="Times New Roman"/>
      <w:sz w:val="20"/>
      <w:szCs w:val="20"/>
    </w:rPr>
  </w:style>
  <w:style w:type="paragraph" w:styleId="CommentSubject">
    <w:name w:val="annotation subject"/>
    <w:basedOn w:val="CommentText"/>
    <w:next w:val="CommentText"/>
    <w:link w:val="CommentSubjectChar"/>
    <w:uiPriority w:val="99"/>
    <w:semiHidden/>
    <w:rsid w:val="002B3DD5"/>
    <w:rPr>
      <w:b/>
      <w:bCs/>
    </w:rPr>
  </w:style>
  <w:style w:type="character" w:customStyle="1" w:styleId="CommentSubjectChar">
    <w:name w:val="Comment Subject Char"/>
    <w:basedOn w:val="CommentTextChar"/>
    <w:link w:val="CommentSubject"/>
    <w:uiPriority w:val="99"/>
    <w:semiHidden/>
    <w:locked/>
    <w:rsid w:val="002B3DD5"/>
    <w:rPr>
      <w:rFonts w:ascii="Book Antiqua" w:hAnsi="Book Antiqua" w:cs="Times New Roman"/>
      <w:b/>
      <w:bCs/>
      <w:sz w:val="20"/>
      <w:szCs w:val="20"/>
    </w:rPr>
  </w:style>
  <w:style w:type="paragraph" w:customStyle="1" w:styleId="RFR-Level6-1">
    <w:name w:val="RFR-Level6 - (1)"/>
    <w:basedOn w:val="Normal"/>
    <w:uiPriority w:val="99"/>
    <w:rsid w:val="003645E1"/>
    <w:pPr>
      <w:ind w:left="2160" w:hanging="360"/>
      <w:outlineLvl w:val="5"/>
    </w:pPr>
  </w:style>
  <w:style w:type="paragraph" w:customStyle="1" w:styleId="RFR-Level3-A-Text">
    <w:name w:val="RFR-Level3 - A - Text"/>
    <w:basedOn w:val="Normal"/>
    <w:next w:val="Normal"/>
    <w:uiPriority w:val="99"/>
    <w:rsid w:val="004320AB"/>
    <w:pPr>
      <w:ind w:left="1080"/>
      <w:outlineLvl w:val="2"/>
    </w:pPr>
  </w:style>
  <w:style w:type="paragraph" w:customStyle="1" w:styleId="RFR-Level3-A">
    <w:name w:val="RFR-Level3 - A."/>
    <w:basedOn w:val="Normal"/>
    <w:next w:val="RFR-Level3-A-Text"/>
    <w:uiPriority w:val="99"/>
    <w:rsid w:val="004320AB"/>
    <w:pPr>
      <w:ind w:left="1080" w:hanging="360"/>
      <w:outlineLvl w:val="2"/>
    </w:pPr>
  </w:style>
  <w:style w:type="paragraph" w:styleId="PlainText">
    <w:name w:val="Plain Text"/>
    <w:basedOn w:val="Normal"/>
    <w:link w:val="PlainTextChar"/>
    <w:uiPriority w:val="99"/>
    <w:semiHidden/>
    <w:rsid w:val="00EF4050"/>
    <w:rPr>
      <w:rFonts w:ascii="Calibri" w:eastAsia="Calibri" w:hAnsi="Calibri" w:cs="Calibri"/>
      <w:sz w:val="22"/>
      <w:szCs w:val="22"/>
    </w:rPr>
  </w:style>
  <w:style w:type="character" w:customStyle="1" w:styleId="PlainTextChar">
    <w:name w:val="Plain Text Char"/>
    <w:basedOn w:val="DefaultParagraphFont"/>
    <w:link w:val="PlainText"/>
    <w:uiPriority w:val="99"/>
    <w:semiHidden/>
    <w:locked/>
    <w:rsid w:val="00EF4050"/>
    <w:rPr>
      <w:rFonts w:ascii="Calibri" w:hAnsi="Calibri" w:cs="Calibri"/>
    </w:rPr>
  </w:style>
  <w:style w:type="paragraph" w:styleId="ListParagraph">
    <w:name w:val="List Paragraph"/>
    <w:basedOn w:val="Normal"/>
    <w:uiPriority w:val="99"/>
    <w:qFormat/>
    <w:rsid w:val="00EF4050"/>
    <w:pPr>
      <w:ind w:left="720"/>
    </w:pPr>
    <w:rPr>
      <w:rFonts w:ascii="Calibri" w:eastAsia="Calibri" w:hAnsi="Calibri" w:cs="Calibri"/>
      <w:sz w:val="22"/>
      <w:szCs w:val="22"/>
    </w:rPr>
  </w:style>
  <w:style w:type="paragraph" w:customStyle="1" w:styleId="Default">
    <w:name w:val="Default"/>
    <w:uiPriority w:val="99"/>
    <w:rsid w:val="00EF4050"/>
    <w:pPr>
      <w:autoSpaceDE w:val="0"/>
      <w:autoSpaceDN w:val="0"/>
      <w:adjustRightInd w:val="0"/>
    </w:pPr>
    <w:rPr>
      <w:rFonts w:ascii="Book Antiqua" w:eastAsia="Times New Roman" w:hAnsi="Book Antiqua" w:cs="Book Antiqua"/>
      <w:color w:val="000000"/>
      <w:sz w:val="24"/>
      <w:szCs w:val="24"/>
    </w:rPr>
  </w:style>
  <w:style w:type="paragraph" w:styleId="Revision">
    <w:name w:val="Revision"/>
    <w:hidden/>
    <w:uiPriority w:val="99"/>
    <w:semiHidden/>
    <w:rsid w:val="00E47855"/>
    <w:rPr>
      <w:rFonts w:ascii="Book Antiqua" w:eastAsia="Times New Roman" w:hAnsi="Book Antiqu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793193">
      <w:marLeft w:val="0"/>
      <w:marRight w:val="0"/>
      <w:marTop w:val="0"/>
      <w:marBottom w:val="0"/>
      <w:divBdr>
        <w:top w:val="none" w:sz="0" w:space="0" w:color="auto"/>
        <w:left w:val="none" w:sz="0" w:space="0" w:color="auto"/>
        <w:bottom w:val="none" w:sz="0" w:space="0" w:color="auto"/>
        <w:right w:val="none" w:sz="0" w:space="0" w:color="auto"/>
      </w:divBdr>
    </w:div>
    <w:div w:id="1867793194">
      <w:marLeft w:val="0"/>
      <w:marRight w:val="0"/>
      <w:marTop w:val="0"/>
      <w:marBottom w:val="0"/>
      <w:divBdr>
        <w:top w:val="none" w:sz="0" w:space="0" w:color="auto"/>
        <w:left w:val="none" w:sz="0" w:space="0" w:color="auto"/>
        <w:bottom w:val="none" w:sz="0" w:space="0" w:color="auto"/>
        <w:right w:val="none" w:sz="0" w:space="0" w:color="auto"/>
      </w:divBdr>
    </w:div>
    <w:div w:id="1867793195">
      <w:marLeft w:val="0"/>
      <w:marRight w:val="0"/>
      <w:marTop w:val="0"/>
      <w:marBottom w:val="0"/>
      <w:divBdr>
        <w:top w:val="none" w:sz="0" w:space="0" w:color="auto"/>
        <w:left w:val="none" w:sz="0" w:space="0" w:color="auto"/>
        <w:bottom w:val="none" w:sz="0" w:space="0" w:color="auto"/>
        <w:right w:val="none" w:sz="0" w:space="0" w:color="auto"/>
      </w:divBdr>
    </w:div>
    <w:div w:id="1867793196">
      <w:marLeft w:val="0"/>
      <w:marRight w:val="0"/>
      <w:marTop w:val="0"/>
      <w:marBottom w:val="0"/>
      <w:divBdr>
        <w:top w:val="none" w:sz="0" w:space="0" w:color="auto"/>
        <w:left w:val="none" w:sz="0" w:space="0" w:color="auto"/>
        <w:bottom w:val="none" w:sz="0" w:space="0" w:color="auto"/>
        <w:right w:val="none" w:sz="0" w:space="0" w:color="auto"/>
      </w:divBdr>
    </w:div>
    <w:div w:id="1867793197">
      <w:marLeft w:val="0"/>
      <w:marRight w:val="0"/>
      <w:marTop w:val="0"/>
      <w:marBottom w:val="0"/>
      <w:divBdr>
        <w:top w:val="none" w:sz="0" w:space="0" w:color="auto"/>
        <w:left w:val="none" w:sz="0" w:space="0" w:color="auto"/>
        <w:bottom w:val="none" w:sz="0" w:space="0" w:color="auto"/>
        <w:right w:val="none" w:sz="0" w:space="0" w:color="auto"/>
      </w:divBdr>
    </w:div>
    <w:div w:id="1867793198">
      <w:marLeft w:val="0"/>
      <w:marRight w:val="0"/>
      <w:marTop w:val="0"/>
      <w:marBottom w:val="0"/>
      <w:divBdr>
        <w:top w:val="none" w:sz="0" w:space="0" w:color="auto"/>
        <w:left w:val="none" w:sz="0" w:space="0" w:color="auto"/>
        <w:bottom w:val="none" w:sz="0" w:space="0" w:color="auto"/>
        <w:right w:val="none" w:sz="0" w:space="0" w:color="auto"/>
      </w:divBdr>
    </w:div>
    <w:div w:id="1867793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4367</Words>
  <Characters>24897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Addendum to Contract Between</vt:lpstr>
    </vt:vector>
  </TitlesOfParts>
  <Company>CMS</Company>
  <LinksUpToDate>false</LinksUpToDate>
  <CharactersWithSpaces>29206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Contract Between</dc:title>
  <dc:creator>Jennifer Baron</dc:creator>
  <cp:lastModifiedBy>Jenna</cp:lastModifiedBy>
  <cp:revision>2</cp:revision>
  <cp:lastPrinted>2014-11-14T20:26:00Z</cp:lastPrinted>
  <dcterms:created xsi:type="dcterms:W3CDTF">2017-11-27T14:21:00Z</dcterms:created>
  <dcterms:modified xsi:type="dcterms:W3CDTF">2017-11-27T14:21:00Z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