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C58BB" w14:textId="77777777" w:rsidR="00C71A3D" w:rsidRDefault="00976579" w:rsidP="00C45E64">
      <w:pPr>
        <w:jc w:val="center"/>
        <w:rPr>
          <w:noProof/>
        </w:rPr>
      </w:pPr>
      <w:bookmarkStart w:id="0" w:name="_GoBack"/>
      <w:bookmarkEnd w:id="0"/>
      <w:r w:rsidRPr="00C45E64">
        <w:rPr>
          <w:rFonts w:ascii="Arial" w:hAnsi="Arial" w:cs="Arial"/>
          <w:noProof/>
        </w:rPr>
        <w:drawing>
          <wp:inline distT="0" distB="0" distL="0" distR="0" wp14:anchorId="40AE2ED2" wp14:editId="16692E2B">
            <wp:extent cx="4581525" cy="3705225"/>
            <wp:effectExtent l="0" t="0" r="9525" b="9525"/>
            <wp:docPr id="11" name="Chart 11" descr="Bar graph with two bars:&#10;Assessments completed: 99%&#10;Assessments not completed: 1%&#10;&#10;Note: This quarter only included enrollments by self-selection.&#10;&#10;N= total members whose first date of enrollment was on one of these dates, excluding individuals who refused an assessment or who the plans were unable to locate. Note that N does not represent the cumulative number of individuals enrolled as of these dates.&#10;" title="Percentage of Assessments Completed Within 90 of Enrollment for Individuals Whose Enrollment Began Jan.-Mar. 2015 N=5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1E02AF" w:rsidRPr="00C45E64">
        <w:rPr>
          <w:rFonts w:ascii="Arial" w:hAnsi="Arial" w:cs="Arial"/>
          <w:noProof/>
        </w:rPr>
        <w:drawing>
          <wp:inline distT="0" distB="0" distL="0" distR="0" wp14:anchorId="3ECB05C9" wp14:editId="6158AA6C">
            <wp:extent cx="4581525" cy="3705225"/>
            <wp:effectExtent l="0" t="0" r="9525" b="9525"/>
            <wp:docPr id="1" name="Chart 1" descr="Bar chart with two bars:&#10;Assessment completed: 99%&#10;Assessment Not Completed: 1%&#10;&#10;Note: This quarter only included enrollments by self-selection&#10;&#10;N= total members whose first date of enrollment was on one of these dates, excluding individuals who refused an assessment or who the plans were unable to locate. Note that N does not represent the cumulative number of individuals enrolled as of these dates.&#10;" title="Chart 2: Percentage of Assessments Completed within 120 Days of Enrollment for Individuals Whose Enrollment Began Jan.-Mar. 2015 N=5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FE9818" w14:textId="6B9609DA" w:rsidR="00496B65" w:rsidRPr="00CB1276" w:rsidRDefault="00451F05" w:rsidP="00451F05">
      <w:pPr>
        <w:rPr>
          <w:rFonts w:ascii="Arial" w:hAnsi="Arial" w:cs="Arial"/>
          <w:sz w:val="20"/>
          <w:szCs w:val="20"/>
          <w:lang w:val="en"/>
        </w:rPr>
      </w:pPr>
      <w:r w:rsidRPr="00CB1276">
        <w:rPr>
          <w:rFonts w:ascii="Arial" w:hAnsi="Arial" w:cs="Arial"/>
          <w:noProof/>
          <w:sz w:val="20"/>
          <w:szCs w:val="20"/>
        </w:rPr>
        <w:t xml:space="preserve">Chart 1 shows how One Care </w:t>
      </w:r>
      <w:r w:rsidR="00496B65" w:rsidRPr="00CB1276">
        <w:rPr>
          <w:rFonts w:ascii="Arial" w:hAnsi="Arial" w:cs="Arial"/>
          <w:noProof/>
          <w:sz w:val="20"/>
          <w:szCs w:val="20"/>
        </w:rPr>
        <w:t>plans are performing</w:t>
      </w:r>
      <w:r w:rsidRPr="00CB1276">
        <w:rPr>
          <w:rFonts w:ascii="Arial" w:hAnsi="Arial" w:cs="Arial"/>
          <w:noProof/>
          <w:sz w:val="20"/>
          <w:szCs w:val="20"/>
        </w:rPr>
        <w:t xml:space="preserve"> with respect to the Core 2.1 measure</w:t>
      </w:r>
      <w:r w:rsidR="00496B65" w:rsidRPr="00CB1276">
        <w:rPr>
          <w:rFonts w:ascii="Arial" w:hAnsi="Arial" w:cs="Arial"/>
          <w:noProof/>
          <w:sz w:val="20"/>
          <w:szCs w:val="20"/>
        </w:rPr>
        <w:t xml:space="preserve"> from the demonstration reporting requirements</w:t>
      </w:r>
      <w:r w:rsidRPr="00CB1276">
        <w:rPr>
          <w:rFonts w:ascii="Arial" w:hAnsi="Arial" w:cs="Arial"/>
          <w:noProof/>
          <w:sz w:val="20"/>
          <w:szCs w:val="20"/>
        </w:rPr>
        <w:t xml:space="preserve">. </w:t>
      </w:r>
      <w:r w:rsidR="00496B65" w:rsidRPr="00CB1276">
        <w:rPr>
          <w:rFonts w:ascii="Arial" w:hAnsi="Arial" w:cs="Arial"/>
          <w:noProof/>
          <w:sz w:val="20"/>
          <w:szCs w:val="20"/>
        </w:rPr>
        <w:t xml:space="preserve">The Centers for Medicare &amp; Medicaid Services (CMS) requires </w:t>
      </w:r>
      <w:r w:rsidR="00496B65" w:rsidRPr="00CB1276">
        <w:rPr>
          <w:rFonts w:ascii="Arial" w:hAnsi="Arial" w:cs="Arial"/>
          <w:sz w:val="20"/>
          <w:szCs w:val="20"/>
          <w:lang w:val="en"/>
        </w:rPr>
        <w:t>Medicare-Medicaid Plans participating in all capitated model demonstrations under the Financial Alignment Initiative to regularly report core measures, including Core 2.1</w:t>
      </w:r>
      <w:r w:rsidR="007E5158">
        <w:rPr>
          <w:rFonts w:ascii="Arial" w:hAnsi="Arial" w:cs="Arial"/>
          <w:sz w:val="20"/>
          <w:szCs w:val="20"/>
          <w:lang w:val="en"/>
        </w:rPr>
        <w:t>.</w:t>
      </w:r>
      <w:r w:rsidR="00496B65" w:rsidRPr="00CB1276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50A22A32" w14:textId="53F19274" w:rsidR="00022989" w:rsidRPr="00CB1276" w:rsidRDefault="00451F05" w:rsidP="00451F05">
      <w:pPr>
        <w:rPr>
          <w:rFonts w:ascii="Arial" w:hAnsi="Arial" w:cs="Arial"/>
          <w:noProof/>
          <w:sz w:val="20"/>
          <w:szCs w:val="20"/>
        </w:rPr>
      </w:pPr>
      <w:r w:rsidRPr="00CB1276">
        <w:rPr>
          <w:rFonts w:ascii="Arial" w:hAnsi="Arial" w:cs="Arial"/>
          <w:noProof/>
          <w:sz w:val="20"/>
          <w:szCs w:val="20"/>
        </w:rPr>
        <w:t xml:space="preserve">The Core 2.1 measure tracks how many One Care members have had a comprehensive assessment within 90 days of their </w:t>
      </w:r>
      <w:r w:rsidR="0015722C" w:rsidRPr="00CB1276">
        <w:rPr>
          <w:rFonts w:ascii="Arial" w:hAnsi="Arial" w:cs="Arial"/>
          <w:noProof/>
          <w:sz w:val="20"/>
          <w:szCs w:val="20"/>
        </w:rPr>
        <w:t>enrollment effective date into a</w:t>
      </w:r>
      <w:r w:rsidRPr="00CB1276">
        <w:rPr>
          <w:rFonts w:ascii="Arial" w:hAnsi="Arial" w:cs="Arial"/>
          <w:noProof/>
          <w:sz w:val="20"/>
          <w:szCs w:val="20"/>
        </w:rPr>
        <w:t xml:space="preserve"> One Care plan. This measure is cumulative based on monthly data submissions from the One Care plans, and </w:t>
      </w:r>
      <w:r w:rsidR="00496B65" w:rsidRPr="00CB1276">
        <w:rPr>
          <w:rFonts w:ascii="Arial" w:hAnsi="Arial" w:cs="Arial"/>
          <w:noProof/>
          <w:sz w:val="20"/>
          <w:szCs w:val="20"/>
        </w:rPr>
        <w:t xml:space="preserve">for the period covered in this report </w:t>
      </w:r>
      <w:r w:rsidRPr="00CB1276">
        <w:rPr>
          <w:rFonts w:ascii="Arial" w:hAnsi="Arial" w:cs="Arial"/>
          <w:noProof/>
          <w:sz w:val="20"/>
          <w:szCs w:val="20"/>
        </w:rPr>
        <w:t xml:space="preserve">includes members who enrolled </w:t>
      </w:r>
      <w:r w:rsidR="000C2253" w:rsidRPr="00CB1276">
        <w:rPr>
          <w:rFonts w:ascii="Arial" w:hAnsi="Arial" w:cs="Arial"/>
          <w:noProof/>
          <w:sz w:val="20"/>
          <w:szCs w:val="20"/>
        </w:rPr>
        <w:t xml:space="preserve"> as of </w:t>
      </w:r>
      <w:r w:rsidR="00BE6266" w:rsidRPr="00CB1276">
        <w:rPr>
          <w:rFonts w:ascii="Arial" w:hAnsi="Arial" w:cs="Arial"/>
          <w:noProof/>
          <w:sz w:val="20"/>
          <w:szCs w:val="20"/>
        </w:rPr>
        <w:t xml:space="preserve"> </w:t>
      </w:r>
      <w:r w:rsidR="00B23CD0">
        <w:rPr>
          <w:rFonts w:ascii="Arial" w:hAnsi="Arial" w:cs="Arial"/>
          <w:noProof/>
          <w:sz w:val="20"/>
          <w:szCs w:val="20"/>
        </w:rPr>
        <w:t>January 1</w:t>
      </w:r>
      <w:r w:rsidR="000C2253" w:rsidRPr="00CB1276">
        <w:rPr>
          <w:rFonts w:ascii="Arial" w:hAnsi="Arial" w:cs="Arial"/>
          <w:noProof/>
          <w:sz w:val="20"/>
          <w:szCs w:val="20"/>
        </w:rPr>
        <w:t>,</w:t>
      </w:r>
      <w:r w:rsidR="00BE6266" w:rsidRPr="00CB1276">
        <w:rPr>
          <w:rFonts w:ascii="Arial" w:hAnsi="Arial" w:cs="Arial"/>
          <w:noProof/>
          <w:sz w:val="20"/>
          <w:szCs w:val="20"/>
        </w:rPr>
        <w:t xml:space="preserve"> </w:t>
      </w:r>
      <w:r w:rsidR="00B23CD0">
        <w:rPr>
          <w:rFonts w:ascii="Arial" w:hAnsi="Arial" w:cs="Arial"/>
          <w:noProof/>
          <w:sz w:val="20"/>
          <w:szCs w:val="20"/>
        </w:rPr>
        <w:t>February</w:t>
      </w:r>
      <w:r w:rsidR="000C2253" w:rsidRPr="00CB1276">
        <w:rPr>
          <w:rFonts w:ascii="Arial" w:hAnsi="Arial" w:cs="Arial"/>
          <w:noProof/>
          <w:sz w:val="20"/>
          <w:szCs w:val="20"/>
        </w:rPr>
        <w:t xml:space="preserve"> 1</w:t>
      </w:r>
      <w:r w:rsidR="00BE6266" w:rsidRPr="00CB1276">
        <w:rPr>
          <w:rFonts w:ascii="Arial" w:hAnsi="Arial" w:cs="Arial"/>
          <w:noProof/>
          <w:sz w:val="20"/>
          <w:szCs w:val="20"/>
        </w:rPr>
        <w:t>, or</w:t>
      </w:r>
      <w:r w:rsidRPr="00CB1276">
        <w:rPr>
          <w:rFonts w:ascii="Arial" w:hAnsi="Arial" w:cs="Arial"/>
          <w:noProof/>
          <w:sz w:val="20"/>
          <w:szCs w:val="20"/>
        </w:rPr>
        <w:t xml:space="preserve"> </w:t>
      </w:r>
      <w:r w:rsidR="00B23CD0">
        <w:rPr>
          <w:rFonts w:ascii="Arial" w:hAnsi="Arial" w:cs="Arial"/>
          <w:noProof/>
          <w:sz w:val="20"/>
          <w:szCs w:val="20"/>
        </w:rPr>
        <w:t>March</w:t>
      </w:r>
      <w:r w:rsidRPr="00CB1276">
        <w:rPr>
          <w:rFonts w:ascii="Arial" w:hAnsi="Arial" w:cs="Arial"/>
          <w:noProof/>
          <w:sz w:val="20"/>
          <w:szCs w:val="20"/>
        </w:rPr>
        <w:t xml:space="preserve"> </w:t>
      </w:r>
      <w:r w:rsidR="00993E3B" w:rsidRPr="00CB1276">
        <w:rPr>
          <w:rFonts w:ascii="Arial" w:hAnsi="Arial" w:cs="Arial"/>
          <w:noProof/>
          <w:sz w:val="20"/>
          <w:szCs w:val="20"/>
        </w:rPr>
        <w:t>1</w:t>
      </w:r>
      <w:r w:rsidR="000C2253" w:rsidRPr="00CB1276">
        <w:rPr>
          <w:rFonts w:ascii="Arial" w:hAnsi="Arial" w:cs="Arial"/>
          <w:noProof/>
          <w:sz w:val="20"/>
          <w:szCs w:val="20"/>
        </w:rPr>
        <w:t xml:space="preserve"> </w:t>
      </w:r>
      <w:r w:rsidR="0085738F" w:rsidRPr="00CB1276">
        <w:rPr>
          <w:rFonts w:ascii="Arial" w:hAnsi="Arial" w:cs="Arial"/>
          <w:noProof/>
          <w:sz w:val="20"/>
          <w:szCs w:val="20"/>
        </w:rPr>
        <w:t xml:space="preserve">of </w:t>
      </w:r>
      <w:r w:rsidRPr="00CB1276">
        <w:rPr>
          <w:rFonts w:ascii="Arial" w:hAnsi="Arial" w:cs="Arial"/>
          <w:noProof/>
          <w:sz w:val="20"/>
          <w:szCs w:val="20"/>
        </w:rPr>
        <w:t>201</w:t>
      </w:r>
      <w:r w:rsidR="00B23CD0">
        <w:rPr>
          <w:rFonts w:ascii="Arial" w:hAnsi="Arial" w:cs="Arial"/>
          <w:noProof/>
          <w:sz w:val="20"/>
          <w:szCs w:val="20"/>
        </w:rPr>
        <w:t>5</w:t>
      </w:r>
      <w:r w:rsidRPr="00CB1276">
        <w:rPr>
          <w:rFonts w:ascii="Arial" w:hAnsi="Arial" w:cs="Arial"/>
          <w:noProof/>
          <w:sz w:val="20"/>
          <w:szCs w:val="20"/>
        </w:rPr>
        <w:t>. The measure excludes members who were unwilling to participate in an assessment or who did not respond to at least three attempts to contact them (“</w:t>
      </w:r>
      <w:r w:rsidR="00496B65" w:rsidRPr="00CB1276">
        <w:rPr>
          <w:rFonts w:ascii="Arial" w:hAnsi="Arial" w:cs="Arial"/>
          <w:noProof/>
          <w:sz w:val="20"/>
          <w:szCs w:val="20"/>
        </w:rPr>
        <w:t>unable to locate</w:t>
      </w:r>
      <w:r w:rsidRPr="00CB1276">
        <w:rPr>
          <w:rFonts w:ascii="Arial" w:hAnsi="Arial" w:cs="Arial"/>
          <w:noProof/>
          <w:sz w:val="20"/>
          <w:szCs w:val="20"/>
        </w:rPr>
        <w:t xml:space="preserve">”).   </w:t>
      </w:r>
      <w:r w:rsidR="00496B65" w:rsidRPr="00CB1276">
        <w:rPr>
          <w:rFonts w:ascii="Arial" w:hAnsi="Arial" w:cs="Arial"/>
          <w:noProof/>
          <w:sz w:val="20"/>
          <w:szCs w:val="20"/>
        </w:rPr>
        <w:t xml:space="preserve">The Core reporting requirements document, including the specifications for the Core 2.1 measure, are posted on the MMCO website: </w:t>
      </w:r>
      <w:hyperlink r:id="rId11" w:history="1">
        <w:r w:rsidR="00496B65" w:rsidRPr="00CB1276">
          <w:rPr>
            <w:rStyle w:val="Hyperlink"/>
            <w:rFonts w:ascii="Arial" w:hAnsi="Arial" w:cs="Arial"/>
            <w:noProof/>
            <w:sz w:val="20"/>
            <w:szCs w:val="20"/>
          </w:rPr>
          <w:t>http://www.cms.gov/Medicare-Medicaid-Coordination/Medicare-and-Medicaid-Coordination/Medicare-Medicaid-Coordination-Office/FinancialAlignmentInitiative/InformationandGuidanceforPlans.html</w:t>
        </w:r>
      </w:hyperlink>
      <w:r w:rsidR="00496B65" w:rsidRPr="00CB1276">
        <w:rPr>
          <w:rFonts w:ascii="Arial" w:hAnsi="Arial" w:cs="Arial"/>
          <w:noProof/>
          <w:sz w:val="20"/>
          <w:szCs w:val="20"/>
        </w:rPr>
        <w:t xml:space="preserve"> </w:t>
      </w:r>
      <w:r w:rsidRPr="00CB1276">
        <w:rPr>
          <w:rFonts w:ascii="Arial" w:hAnsi="Arial" w:cs="Arial"/>
          <w:noProof/>
          <w:sz w:val="20"/>
          <w:szCs w:val="20"/>
        </w:rPr>
        <w:t xml:space="preserve">This graph shows that </w:t>
      </w:r>
      <w:r w:rsidR="00B23CD0">
        <w:rPr>
          <w:rFonts w:ascii="Arial" w:hAnsi="Arial" w:cs="Arial"/>
          <w:noProof/>
          <w:sz w:val="20"/>
          <w:szCs w:val="20"/>
        </w:rPr>
        <w:t>99</w:t>
      </w:r>
      <w:r w:rsidRPr="00CB1276">
        <w:rPr>
          <w:rFonts w:ascii="Arial" w:hAnsi="Arial" w:cs="Arial"/>
          <w:noProof/>
          <w:sz w:val="20"/>
          <w:szCs w:val="20"/>
        </w:rPr>
        <w:t>% of members who</w:t>
      </w:r>
      <w:r w:rsidR="00766752" w:rsidRPr="00CB1276">
        <w:rPr>
          <w:rFonts w:ascii="Arial" w:hAnsi="Arial" w:cs="Arial"/>
          <w:noProof/>
          <w:sz w:val="20"/>
          <w:szCs w:val="20"/>
        </w:rPr>
        <w:t xml:space="preserve"> enrolled i</w:t>
      </w:r>
      <w:r w:rsidR="00834667" w:rsidRPr="00CB1276">
        <w:rPr>
          <w:rFonts w:ascii="Arial" w:hAnsi="Arial" w:cs="Arial"/>
          <w:noProof/>
          <w:sz w:val="20"/>
          <w:szCs w:val="20"/>
        </w:rPr>
        <w:t xml:space="preserve">n One Care </w:t>
      </w:r>
      <w:r w:rsidR="000C2253" w:rsidRPr="00CB1276">
        <w:rPr>
          <w:rFonts w:ascii="Arial" w:hAnsi="Arial" w:cs="Arial"/>
          <w:noProof/>
          <w:sz w:val="20"/>
          <w:szCs w:val="20"/>
        </w:rPr>
        <w:t>during this time period</w:t>
      </w:r>
      <w:r w:rsidR="00496B65" w:rsidRPr="00CB1276">
        <w:rPr>
          <w:rFonts w:ascii="Arial" w:hAnsi="Arial" w:cs="Arial"/>
          <w:noProof/>
          <w:sz w:val="20"/>
          <w:szCs w:val="20"/>
        </w:rPr>
        <w:t xml:space="preserve">, who the plan was able to locate, and who agreed to participate in an assessment, </w:t>
      </w:r>
      <w:r w:rsidRPr="00CB1276">
        <w:rPr>
          <w:rFonts w:ascii="Arial" w:hAnsi="Arial" w:cs="Arial"/>
          <w:noProof/>
          <w:sz w:val="20"/>
          <w:szCs w:val="20"/>
        </w:rPr>
        <w:t xml:space="preserve">received a comprehensive assessment within 90 days of their first </w:t>
      </w:r>
      <w:r w:rsidR="00496B65" w:rsidRPr="00CB1276">
        <w:rPr>
          <w:rFonts w:ascii="Arial" w:hAnsi="Arial" w:cs="Arial"/>
          <w:noProof/>
          <w:sz w:val="20"/>
          <w:szCs w:val="20"/>
        </w:rPr>
        <w:t xml:space="preserve">effective </w:t>
      </w:r>
      <w:r w:rsidRPr="00CB1276">
        <w:rPr>
          <w:rFonts w:ascii="Arial" w:hAnsi="Arial" w:cs="Arial"/>
          <w:noProof/>
          <w:sz w:val="20"/>
          <w:szCs w:val="20"/>
        </w:rPr>
        <w:t xml:space="preserve">date of enrollment. </w:t>
      </w:r>
    </w:p>
    <w:p w14:paraId="75182406" w14:textId="6AB6DEB5" w:rsidR="00AA4C85" w:rsidRDefault="00451F05" w:rsidP="00C45E64">
      <w:pPr>
        <w:rPr>
          <w:rFonts w:ascii="Arial" w:hAnsi="Arial" w:cs="Arial"/>
          <w:noProof/>
          <w:sz w:val="20"/>
          <w:szCs w:val="20"/>
        </w:rPr>
      </w:pPr>
      <w:r w:rsidRPr="00CB1276">
        <w:rPr>
          <w:rFonts w:ascii="Arial" w:hAnsi="Arial" w:cs="Arial"/>
          <w:noProof/>
          <w:sz w:val="20"/>
          <w:szCs w:val="20"/>
        </w:rPr>
        <w:lastRenderedPageBreak/>
        <w:t xml:space="preserve">While it is not a measure required by CMS, Chart 2 shows </w:t>
      </w:r>
      <w:r w:rsidR="00006337">
        <w:rPr>
          <w:rFonts w:ascii="Arial" w:hAnsi="Arial" w:cs="Arial"/>
          <w:noProof/>
          <w:sz w:val="20"/>
          <w:szCs w:val="20"/>
        </w:rPr>
        <w:t xml:space="preserve">how many </w:t>
      </w:r>
      <w:r w:rsidRPr="00CB1276">
        <w:rPr>
          <w:rFonts w:ascii="Arial" w:hAnsi="Arial" w:cs="Arial"/>
          <w:noProof/>
          <w:sz w:val="20"/>
          <w:szCs w:val="20"/>
        </w:rPr>
        <w:t>members were assessed within 120 days.</w:t>
      </w:r>
      <w:r w:rsidR="00496B65" w:rsidRPr="00CB1276">
        <w:rPr>
          <w:rFonts w:ascii="Arial" w:hAnsi="Arial" w:cs="Arial"/>
          <w:noProof/>
          <w:sz w:val="20"/>
          <w:szCs w:val="20"/>
        </w:rPr>
        <w:t xml:space="preserve"> </w:t>
      </w:r>
      <w:r w:rsidR="000C1DD4" w:rsidRPr="00CB1276">
        <w:rPr>
          <w:rFonts w:ascii="Arial" w:hAnsi="Arial" w:cs="Arial"/>
          <w:noProof/>
          <w:sz w:val="20"/>
          <w:szCs w:val="20"/>
        </w:rPr>
        <w:t>Chart 2</w:t>
      </w:r>
      <w:r w:rsidR="0082580E" w:rsidRPr="00CB1276">
        <w:rPr>
          <w:rFonts w:ascii="Arial" w:hAnsi="Arial" w:cs="Arial"/>
          <w:noProof/>
          <w:sz w:val="20"/>
          <w:szCs w:val="20"/>
        </w:rPr>
        <w:t xml:space="preserve"> demonstrates that </w:t>
      </w:r>
      <w:r w:rsidRPr="00CB1276">
        <w:rPr>
          <w:rFonts w:ascii="Arial" w:hAnsi="Arial" w:cs="Arial"/>
          <w:noProof/>
          <w:sz w:val="20"/>
          <w:szCs w:val="20"/>
        </w:rPr>
        <w:t xml:space="preserve">One Care plans </w:t>
      </w:r>
      <w:r w:rsidR="00496B65" w:rsidRPr="00CB1276">
        <w:rPr>
          <w:rFonts w:ascii="Arial" w:hAnsi="Arial" w:cs="Arial"/>
          <w:noProof/>
          <w:sz w:val="20"/>
          <w:szCs w:val="20"/>
        </w:rPr>
        <w:t>have continued</w:t>
      </w:r>
      <w:r w:rsidRPr="00CB1276">
        <w:rPr>
          <w:rFonts w:ascii="Arial" w:hAnsi="Arial" w:cs="Arial"/>
          <w:noProof/>
          <w:sz w:val="20"/>
          <w:szCs w:val="20"/>
        </w:rPr>
        <w:t xml:space="preserve"> to </w:t>
      </w:r>
      <w:r w:rsidR="00496B65" w:rsidRPr="00CB1276">
        <w:rPr>
          <w:rFonts w:ascii="Arial" w:hAnsi="Arial" w:cs="Arial"/>
          <w:noProof/>
          <w:sz w:val="20"/>
          <w:szCs w:val="20"/>
        </w:rPr>
        <w:t xml:space="preserve">conduct </w:t>
      </w:r>
      <w:r w:rsidRPr="00CB1276">
        <w:rPr>
          <w:rFonts w:ascii="Arial" w:hAnsi="Arial" w:cs="Arial"/>
          <w:noProof/>
          <w:sz w:val="20"/>
          <w:szCs w:val="20"/>
        </w:rPr>
        <w:t>assess</w:t>
      </w:r>
      <w:r w:rsidR="00496B65" w:rsidRPr="00CB1276">
        <w:rPr>
          <w:rFonts w:ascii="Arial" w:hAnsi="Arial" w:cs="Arial"/>
          <w:noProof/>
          <w:sz w:val="20"/>
          <w:szCs w:val="20"/>
        </w:rPr>
        <w:t>ments</w:t>
      </w:r>
      <w:r w:rsidRPr="00CB1276">
        <w:rPr>
          <w:rFonts w:ascii="Arial" w:hAnsi="Arial" w:cs="Arial"/>
          <w:noProof/>
          <w:sz w:val="20"/>
          <w:szCs w:val="20"/>
        </w:rPr>
        <w:t xml:space="preserve"> </w:t>
      </w:r>
      <w:r w:rsidR="00496B65" w:rsidRPr="00CB1276">
        <w:rPr>
          <w:rFonts w:ascii="Arial" w:hAnsi="Arial" w:cs="Arial"/>
          <w:noProof/>
          <w:sz w:val="20"/>
          <w:szCs w:val="20"/>
        </w:rPr>
        <w:t>for</w:t>
      </w:r>
      <w:r w:rsidRPr="00CB1276">
        <w:rPr>
          <w:rFonts w:ascii="Arial" w:hAnsi="Arial" w:cs="Arial"/>
          <w:noProof/>
          <w:sz w:val="20"/>
          <w:szCs w:val="20"/>
        </w:rPr>
        <w:t xml:space="preserve"> members between their 90</w:t>
      </w:r>
      <w:r w:rsidRPr="00CB1276">
        <w:rPr>
          <w:rFonts w:ascii="Arial" w:hAnsi="Arial" w:cs="Arial"/>
          <w:noProof/>
          <w:sz w:val="20"/>
          <w:szCs w:val="20"/>
          <w:vertAlign w:val="superscript"/>
        </w:rPr>
        <w:t>th</w:t>
      </w:r>
      <w:r w:rsidRPr="00CB1276">
        <w:rPr>
          <w:rFonts w:ascii="Arial" w:hAnsi="Arial" w:cs="Arial"/>
          <w:noProof/>
          <w:sz w:val="20"/>
          <w:szCs w:val="20"/>
        </w:rPr>
        <w:t xml:space="preserve"> and 120</w:t>
      </w:r>
      <w:r w:rsidRPr="00CB1276">
        <w:rPr>
          <w:rFonts w:ascii="Arial" w:hAnsi="Arial" w:cs="Arial"/>
          <w:noProof/>
          <w:sz w:val="20"/>
          <w:szCs w:val="20"/>
          <w:vertAlign w:val="superscript"/>
        </w:rPr>
        <w:t>th</w:t>
      </w:r>
      <w:r w:rsidRPr="00CB1276">
        <w:rPr>
          <w:rFonts w:ascii="Arial" w:hAnsi="Arial" w:cs="Arial"/>
          <w:noProof/>
          <w:sz w:val="20"/>
          <w:szCs w:val="20"/>
        </w:rPr>
        <w:t xml:space="preserve"> day of enrollment</w:t>
      </w:r>
      <w:r w:rsidR="00A62C55">
        <w:rPr>
          <w:rFonts w:ascii="Arial" w:hAnsi="Arial" w:cs="Arial"/>
          <w:noProof/>
          <w:sz w:val="20"/>
          <w:szCs w:val="20"/>
        </w:rPr>
        <w:t>;</w:t>
      </w:r>
      <w:r w:rsidR="00006337">
        <w:rPr>
          <w:rFonts w:ascii="Arial" w:hAnsi="Arial" w:cs="Arial"/>
          <w:noProof/>
          <w:sz w:val="20"/>
          <w:szCs w:val="20"/>
        </w:rPr>
        <w:t xml:space="preserve"> while the perce</w:t>
      </w:r>
      <w:r w:rsidR="00A50668">
        <w:rPr>
          <w:rFonts w:ascii="Arial" w:hAnsi="Arial" w:cs="Arial"/>
          <w:noProof/>
          <w:sz w:val="20"/>
          <w:szCs w:val="20"/>
        </w:rPr>
        <w:t>n</w:t>
      </w:r>
      <w:r w:rsidR="00006337">
        <w:rPr>
          <w:rFonts w:ascii="Arial" w:hAnsi="Arial" w:cs="Arial"/>
          <w:noProof/>
          <w:sz w:val="20"/>
          <w:szCs w:val="20"/>
        </w:rPr>
        <w:t xml:space="preserve">tage assessed remained consistent at 99%, the denominator increased compared to Chart 1. </w:t>
      </w:r>
      <w:r w:rsidR="003011BB">
        <w:rPr>
          <w:rFonts w:ascii="Arial" w:hAnsi="Arial" w:cs="Arial"/>
          <w:noProof/>
          <w:sz w:val="20"/>
          <w:szCs w:val="20"/>
        </w:rPr>
        <w:t xml:space="preserve"> </w:t>
      </w:r>
      <w:r w:rsidR="00006337">
        <w:rPr>
          <w:rFonts w:ascii="Arial" w:hAnsi="Arial" w:cs="Arial"/>
          <w:noProof/>
          <w:sz w:val="20"/>
          <w:szCs w:val="20"/>
        </w:rPr>
        <w:t xml:space="preserve">The increase in </w:t>
      </w:r>
      <w:r w:rsidR="00A62C55">
        <w:rPr>
          <w:rFonts w:ascii="Arial" w:hAnsi="Arial" w:cs="Arial"/>
          <w:noProof/>
          <w:sz w:val="20"/>
          <w:szCs w:val="20"/>
        </w:rPr>
        <w:t xml:space="preserve">the </w:t>
      </w:r>
      <w:r w:rsidR="00006337">
        <w:rPr>
          <w:rFonts w:ascii="Arial" w:hAnsi="Arial" w:cs="Arial"/>
          <w:noProof/>
          <w:sz w:val="20"/>
          <w:szCs w:val="20"/>
        </w:rPr>
        <w:t xml:space="preserve">denominator incidates that plans were able to make contact </w:t>
      </w:r>
      <w:r w:rsidR="00A62C55">
        <w:rPr>
          <w:rFonts w:ascii="Arial" w:hAnsi="Arial" w:cs="Arial"/>
          <w:noProof/>
          <w:sz w:val="20"/>
          <w:szCs w:val="20"/>
        </w:rPr>
        <w:t>by the 120</w:t>
      </w:r>
      <w:r w:rsidR="00A62C55" w:rsidRPr="005A760E">
        <w:rPr>
          <w:rFonts w:ascii="Arial" w:hAnsi="Arial" w:cs="Arial"/>
          <w:noProof/>
          <w:sz w:val="20"/>
          <w:szCs w:val="20"/>
          <w:vertAlign w:val="superscript"/>
        </w:rPr>
        <w:t>th</w:t>
      </w:r>
      <w:r w:rsidR="00A62C55">
        <w:rPr>
          <w:rFonts w:ascii="Arial" w:hAnsi="Arial" w:cs="Arial"/>
          <w:noProof/>
          <w:sz w:val="20"/>
          <w:szCs w:val="20"/>
        </w:rPr>
        <w:t xml:space="preserve"> day of enrollment </w:t>
      </w:r>
      <w:r w:rsidR="00006337">
        <w:rPr>
          <w:rFonts w:ascii="Arial" w:hAnsi="Arial" w:cs="Arial"/>
          <w:noProof/>
          <w:sz w:val="20"/>
          <w:szCs w:val="20"/>
        </w:rPr>
        <w:t xml:space="preserve">with members they had been unable to locate within the first 90 days. </w:t>
      </w:r>
      <w:r w:rsidR="00C136D8">
        <w:rPr>
          <w:rFonts w:ascii="Arial" w:hAnsi="Arial" w:cs="Arial"/>
          <w:noProof/>
          <w:sz w:val="20"/>
          <w:szCs w:val="20"/>
        </w:rPr>
        <w:t xml:space="preserve"> </w:t>
      </w:r>
    </w:p>
    <w:p w14:paraId="5A24D440" w14:textId="7FEB3D7A" w:rsidR="00C71A3D" w:rsidRDefault="00976579" w:rsidP="005363E3">
      <w:pPr>
        <w:jc w:val="center"/>
      </w:pPr>
      <w:r w:rsidRPr="00C45E64">
        <w:rPr>
          <w:rFonts w:ascii="Arial" w:hAnsi="Arial" w:cs="Arial"/>
          <w:noProof/>
        </w:rPr>
        <w:lastRenderedPageBreak/>
        <w:drawing>
          <wp:inline distT="0" distB="0" distL="0" distR="0" wp14:anchorId="43E5E349" wp14:editId="2787B8FD">
            <wp:extent cx="9163050" cy="2880360"/>
            <wp:effectExtent l="0" t="0" r="19050" b="15240"/>
            <wp:docPr id="12" name="Chart 12" descr="Bar Chart depicting the percent of newly enrolled memebers and their assessment status by plan.&#10;Commonwealth Care Alliance (N=578)&#10;- 66% Assessed in first 90 days&#10;- 28% Unable to locate&#10;- 4% Refused&#10;-2% Pending&#10;Fallon Total Care (N=146)&#10;- 74% Assessed in first 90 days&#10;- 16% Unable to locate&#10;- 9% Refused&#10;-1% Pending&#10;Tufts Health Plan (N=50)&#10;- 70% Assessed in first 90 days&#10;- 24% Unable to locate&#10;- 6% Refused&#10;-0% Pending&#10;Program Total (N=774)&#10;- 69% Assessed in first 90 days&#10;- 25% Unable to locate&#10;- 5% Refused&#10;-1% Pending&#10;Note: This quarter only included enrollments by self-selection&#10;For CCA and FTC the total number.&#10;N = total members whose first date of enrollment was on one of these dates, including individuals who refused an assessment or who the plans were unable to locate. Note that N does not represent the cumulative number of individuals enrolled as of these dates." title="Chart 3: Assessment Status Within 90 Days of Enrollment for Individuals Whose Enrollment Began on Jan. 1, Feb. 1, or Mar. 1 of 20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C45E64">
        <w:rPr>
          <w:rFonts w:ascii="Arial" w:hAnsi="Arial" w:cs="Arial"/>
          <w:noProof/>
        </w:rPr>
        <w:drawing>
          <wp:inline distT="0" distB="0" distL="0" distR="0" wp14:anchorId="60D3EC74" wp14:editId="643FC7C5">
            <wp:extent cx="9163050" cy="2880360"/>
            <wp:effectExtent l="0" t="0" r="19050" b="15240"/>
            <wp:docPr id="2" name="Chart 2" descr="Bar Chart depicting the percent of newly enrolled memebers and their assessment status by plan.&#10;Commonwealth Care Alliance (N=561)&#10;- 73% Assessed in first 90 days&#10;- 24% Unable to locate&#10;- 3% Refused&#10;-0% Pending&#10;Fallon Total Care (N=144)&#10;- 79% Assessed in first 90 days&#10;- 14% Unable to locate&#10;- 7% Refused&#10;-0% Pending&#10;Tufts Health Plan (N=49)&#10;- 71% Assessed in first 90 days&#10;- 12% Unable to locate&#10;- 4% Refused&#10;-12% Pending&#10;Program Total (N=754)&#10;- 74% Assessed in first 90 days&#10;- 21% Unable to locate&#10;- 4% Refused&#10;-1% Pending&#10;Note: This quarter only included enrollments by self-selection&#10;For CCA and FTC the total number.&#10;N = total members whose first date of enrollment was on one of these dates, including individuals who refused an assessment or who the plans were unable to locate. Note that N does not represent the cumulative number of individuals enrolled as of these dates." title="Chart 4: Assessment Status Within 120 Days of Enrollment for Individuals Whose Enrollment Began on Jan. 1, Feb. 1, or Mar. 1 20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3D6F4A" w14:textId="098CEFE3" w:rsidR="00451F05" w:rsidRPr="00CA573E" w:rsidRDefault="00451F05" w:rsidP="00451F05">
      <w:pPr>
        <w:rPr>
          <w:rFonts w:ascii="Arial" w:hAnsi="Arial" w:cs="Arial"/>
          <w:sz w:val="20"/>
          <w:szCs w:val="20"/>
        </w:rPr>
      </w:pPr>
      <w:r w:rsidRPr="00CA573E">
        <w:rPr>
          <w:rFonts w:ascii="Arial" w:hAnsi="Arial" w:cs="Arial"/>
          <w:sz w:val="20"/>
          <w:szCs w:val="20"/>
        </w:rPr>
        <w:lastRenderedPageBreak/>
        <w:t xml:space="preserve">Charts 3 and 4 show the percentage of assessments completed out of the total number of </w:t>
      </w:r>
      <w:r w:rsidR="0015722C" w:rsidRPr="00CA573E">
        <w:rPr>
          <w:rFonts w:ascii="Arial" w:hAnsi="Arial" w:cs="Arial"/>
          <w:sz w:val="20"/>
          <w:szCs w:val="20"/>
        </w:rPr>
        <w:t xml:space="preserve">One Care </w:t>
      </w:r>
      <w:r w:rsidRPr="00CA573E">
        <w:rPr>
          <w:rFonts w:ascii="Arial" w:hAnsi="Arial" w:cs="Arial"/>
          <w:sz w:val="20"/>
          <w:szCs w:val="20"/>
        </w:rPr>
        <w:t xml:space="preserve">members </w:t>
      </w:r>
      <w:r w:rsidR="0015722C" w:rsidRPr="00CA573E">
        <w:rPr>
          <w:rFonts w:ascii="Arial" w:hAnsi="Arial" w:cs="Arial"/>
          <w:sz w:val="20"/>
          <w:szCs w:val="20"/>
        </w:rPr>
        <w:t>wi</w:t>
      </w:r>
      <w:r w:rsidR="003060DE" w:rsidRPr="00CA573E">
        <w:rPr>
          <w:rFonts w:ascii="Arial" w:hAnsi="Arial" w:cs="Arial"/>
          <w:sz w:val="20"/>
          <w:szCs w:val="20"/>
        </w:rPr>
        <w:t xml:space="preserve">th an enrollment date of </w:t>
      </w:r>
      <w:r w:rsidR="003F2628">
        <w:rPr>
          <w:rFonts w:ascii="Arial" w:hAnsi="Arial" w:cs="Arial"/>
          <w:sz w:val="20"/>
          <w:szCs w:val="20"/>
        </w:rPr>
        <w:t>January</w:t>
      </w:r>
      <w:r w:rsidR="003060DE" w:rsidRPr="00CA573E">
        <w:rPr>
          <w:rFonts w:ascii="Arial" w:hAnsi="Arial" w:cs="Arial"/>
          <w:sz w:val="20"/>
          <w:szCs w:val="20"/>
        </w:rPr>
        <w:t xml:space="preserve"> 1</w:t>
      </w:r>
      <w:r w:rsidR="00BE6266" w:rsidRPr="00CA573E">
        <w:rPr>
          <w:rFonts w:ascii="Arial" w:hAnsi="Arial" w:cs="Arial"/>
          <w:sz w:val="20"/>
          <w:szCs w:val="20"/>
        </w:rPr>
        <w:t xml:space="preserve">, </w:t>
      </w:r>
      <w:r w:rsidR="003F2628">
        <w:rPr>
          <w:rFonts w:ascii="Arial" w:hAnsi="Arial" w:cs="Arial"/>
          <w:sz w:val="20"/>
          <w:szCs w:val="20"/>
        </w:rPr>
        <w:t>February</w:t>
      </w:r>
      <w:r w:rsidR="003060DE" w:rsidRPr="00CA573E">
        <w:rPr>
          <w:rFonts w:ascii="Arial" w:hAnsi="Arial" w:cs="Arial"/>
          <w:sz w:val="20"/>
          <w:szCs w:val="20"/>
        </w:rPr>
        <w:t xml:space="preserve"> 1</w:t>
      </w:r>
      <w:r w:rsidR="00BE6266" w:rsidRPr="00CA573E">
        <w:rPr>
          <w:rFonts w:ascii="Arial" w:hAnsi="Arial" w:cs="Arial"/>
          <w:sz w:val="20"/>
          <w:szCs w:val="20"/>
        </w:rPr>
        <w:t>, or</w:t>
      </w:r>
      <w:r w:rsidR="003F2628">
        <w:rPr>
          <w:rFonts w:ascii="Arial" w:hAnsi="Arial" w:cs="Arial"/>
          <w:sz w:val="20"/>
          <w:szCs w:val="20"/>
        </w:rPr>
        <w:t xml:space="preserve"> March</w:t>
      </w:r>
      <w:r w:rsidRPr="00CA573E">
        <w:rPr>
          <w:rFonts w:ascii="Arial" w:hAnsi="Arial" w:cs="Arial"/>
          <w:sz w:val="20"/>
          <w:szCs w:val="20"/>
        </w:rPr>
        <w:t xml:space="preserve"> </w:t>
      </w:r>
      <w:r w:rsidR="003060DE" w:rsidRPr="00CA573E">
        <w:rPr>
          <w:rFonts w:ascii="Arial" w:hAnsi="Arial" w:cs="Arial"/>
          <w:sz w:val="20"/>
          <w:szCs w:val="20"/>
        </w:rPr>
        <w:t xml:space="preserve">1 </w:t>
      </w:r>
      <w:r w:rsidR="00BE3233" w:rsidRPr="00CA573E">
        <w:rPr>
          <w:rFonts w:ascii="Arial" w:hAnsi="Arial" w:cs="Arial"/>
          <w:sz w:val="20"/>
          <w:szCs w:val="20"/>
        </w:rPr>
        <w:t xml:space="preserve">of </w:t>
      </w:r>
      <w:r w:rsidRPr="00CA573E">
        <w:rPr>
          <w:rFonts w:ascii="Arial" w:hAnsi="Arial" w:cs="Arial"/>
          <w:sz w:val="20"/>
          <w:szCs w:val="20"/>
        </w:rPr>
        <w:t>201</w:t>
      </w:r>
      <w:r w:rsidR="003F2628">
        <w:rPr>
          <w:rFonts w:ascii="Arial" w:hAnsi="Arial" w:cs="Arial"/>
          <w:sz w:val="20"/>
          <w:szCs w:val="20"/>
        </w:rPr>
        <w:t>5</w:t>
      </w:r>
      <w:r w:rsidRPr="00CA573E">
        <w:rPr>
          <w:rFonts w:ascii="Arial" w:hAnsi="Arial" w:cs="Arial"/>
          <w:sz w:val="20"/>
          <w:szCs w:val="20"/>
        </w:rPr>
        <w:t>, including individuals who refused to participate in an assessment and members</w:t>
      </w:r>
      <w:r w:rsidR="00D340C2">
        <w:rPr>
          <w:rFonts w:ascii="Arial" w:hAnsi="Arial" w:cs="Arial"/>
          <w:sz w:val="20"/>
          <w:szCs w:val="20"/>
        </w:rPr>
        <w:t xml:space="preserve"> the plans were unable to locate</w:t>
      </w:r>
      <w:r w:rsidRPr="00CA573E">
        <w:rPr>
          <w:rFonts w:ascii="Arial" w:hAnsi="Arial" w:cs="Arial"/>
          <w:sz w:val="20"/>
          <w:szCs w:val="20"/>
        </w:rPr>
        <w:t xml:space="preserve"> (members who did not respond after three</w:t>
      </w:r>
      <w:r w:rsidR="0015722C" w:rsidRPr="00CA573E">
        <w:rPr>
          <w:rFonts w:ascii="Arial" w:hAnsi="Arial" w:cs="Arial"/>
          <w:sz w:val="20"/>
          <w:szCs w:val="20"/>
        </w:rPr>
        <w:t xml:space="preserve"> or more</w:t>
      </w:r>
      <w:r w:rsidRPr="00CA573E">
        <w:rPr>
          <w:rFonts w:ascii="Arial" w:hAnsi="Arial" w:cs="Arial"/>
          <w:sz w:val="20"/>
          <w:szCs w:val="20"/>
        </w:rPr>
        <w:t xml:space="preserve"> attempts to contact them). Charts 3 and 4 also break these percentages out by plan.  The “pending” category includes members who have not yet had an assess</w:t>
      </w:r>
      <w:r w:rsidR="0082580E" w:rsidRPr="00CA573E">
        <w:rPr>
          <w:rFonts w:ascii="Arial" w:hAnsi="Arial" w:cs="Arial"/>
          <w:sz w:val="20"/>
          <w:szCs w:val="20"/>
        </w:rPr>
        <w:t xml:space="preserve">ment within 90 days, have not refused an assessment, and </w:t>
      </w:r>
      <w:r w:rsidR="00D340C2">
        <w:rPr>
          <w:rFonts w:ascii="Arial" w:hAnsi="Arial" w:cs="Arial"/>
          <w:sz w:val="20"/>
          <w:szCs w:val="20"/>
        </w:rPr>
        <w:t>who the plan has unsuccessfully attempted to contact at least three times</w:t>
      </w:r>
      <w:r w:rsidRPr="00CA573E">
        <w:rPr>
          <w:rFonts w:ascii="Arial" w:hAnsi="Arial" w:cs="Arial"/>
          <w:sz w:val="20"/>
          <w:szCs w:val="20"/>
        </w:rPr>
        <w:t xml:space="preserve">. </w:t>
      </w:r>
      <w:r w:rsidR="003F2628">
        <w:rPr>
          <w:rFonts w:ascii="Arial" w:hAnsi="Arial" w:cs="Arial"/>
          <w:sz w:val="20"/>
          <w:szCs w:val="20"/>
        </w:rPr>
        <w:t xml:space="preserve">Note that </w:t>
      </w:r>
      <w:r w:rsidRPr="00CA573E">
        <w:rPr>
          <w:rFonts w:ascii="Arial" w:hAnsi="Arial" w:cs="Arial"/>
          <w:sz w:val="20"/>
          <w:szCs w:val="20"/>
        </w:rPr>
        <w:t xml:space="preserve">the number of enrolled members </w:t>
      </w:r>
      <w:r w:rsidR="00BE6266" w:rsidRPr="00CA573E">
        <w:rPr>
          <w:rFonts w:ascii="Arial" w:hAnsi="Arial" w:cs="Arial"/>
          <w:sz w:val="20"/>
          <w:szCs w:val="20"/>
        </w:rPr>
        <w:t xml:space="preserve">in Chart 4 </w:t>
      </w:r>
      <w:r w:rsidRPr="00CA573E">
        <w:rPr>
          <w:rFonts w:ascii="Arial" w:hAnsi="Arial" w:cs="Arial"/>
          <w:sz w:val="20"/>
          <w:szCs w:val="20"/>
        </w:rPr>
        <w:t xml:space="preserve">is </w:t>
      </w:r>
      <w:r w:rsidR="00BE6266" w:rsidRPr="00CA573E">
        <w:rPr>
          <w:rFonts w:ascii="Arial" w:hAnsi="Arial" w:cs="Arial"/>
          <w:sz w:val="20"/>
          <w:szCs w:val="20"/>
        </w:rPr>
        <w:t>lower than in Chart 3</w:t>
      </w:r>
      <w:r w:rsidRPr="00CA573E">
        <w:rPr>
          <w:rFonts w:ascii="Arial" w:hAnsi="Arial" w:cs="Arial"/>
          <w:sz w:val="20"/>
          <w:szCs w:val="20"/>
        </w:rPr>
        <w:t xml:space="preserve"> on account of members </w:t>
      </w:r>
      <w:r w:rsidR="00E8120A">
        <w:rPr>
          <w:rFonts w:ascii="Arial" w:hAnsi="Arial" w:cs="Arial"/>
          <w:sz w:val="20"/>
          <w:szCs w:val="20"/>
        </w:rPr>
        <w:t xml:space="preserve">in the </w:t>
      </w:r>
      <w:r w:rsidR="00A62C55">
        <w:rPr>
          <w:rFonts w:ascii="Arial" w:hAnsi="Arial" w:cs="Arial"/>
          <w:sz w:val="20"/>
          <w:szCs w:val="20"/>
        </w:rPr>
        <w:t>‘unable to locate’</w:t>
      </w:r>
      <w:r w:rsidR="00E8120A">
        <w:rPr>
          <w:rFonts w:ascii="Arial" w:hAnsi="Arial" w:cs="Arial"/>
          <w:sz w:val="20"/>
          <w:szCs w:val="20"/>
        </w:rPr>
        <w:t xml:space="preserve"> or </w:t>
      </w:r>
      <w:r w:rsidR="00A62C55">
        <w:rPr>
          <w:rFonts w:ascii="Arial" w:hAnsi="Arial" w:cs="Arial"/>
          <w:sz w:val="20"/>
          <w:szCs w:val="20"/>
        </w:rPr>
        <w:t>‘</w:t>
      </w:r>
      <w:r w:rsidR="00E8120A">
        <w:rPr>
          <w:rFonts w:ascii="Arial" w:hAnsi="Arial" w:cs="Arial"/>
          <w:sz w:val="20"/>
          <w:szCs w:val="20"/>
        </w:rPr>
        <w:t>refused</w:t>
      </w:r>
      <w:r w:rsidR="00A62C55">
        <w:rPr>
          <w:rFonts w:ascii="Arial" w:hAnsi="Arial" w:cs="Arial"/>
          <w:sz w:val="20"/>
          <w:szCs w:val="20"/>
        </w:rPr>
        <w:t>’</w:t>
      </w:r>
      <w:r w:rsidR="00E8120A">
        <w:rPr>
          <w:rFonts w:ascii="Arial" w:hAnsi="Arial" w:cs="Arial"/>
          <w:sz w:val="20"/>
          <w:szCs w:val="20"/>
        </w:rPr>
        <w:t xml:space="preserve"> categories </w:t>
      </w:r>
      <w:r w:rsidRPr="00CA573E">
        <w:rPr>
          <w:rFonts w:ascii="Arial" w:hAnsi="Arial" w:cs="Arial"/>
          <w:sz w:val="20"/>
          <w:szCs w:val="20"/>
        </w:rPr>
        <w:t>who disenroll</w:t>
      </w:r>
      <w:r w:rsidR="00BE6266" w:rsidRPr="00CA573E">
        <w:rPr>
          <w:rFonts w:ascii="Arial" w:hAnsi="Arial" w:cs="Arial"/>
          <w:sz w:val="20"/>
          <w:szCs w:val="20"/>
        </w:rPr>
        <w:t>ed</w:t>
      </w:r>
      <w:r w:rsidRPr="00CA573E">
        <w:rPr>
          <w:rFonts w:ascii="Arial" w:hAnsi="Arial" w:cs="Arial"/>
          <w:sz w:val="20"/>
          <w:szCs w:val="20"/>
        </w:rPr>
        <w:t xml:space="preserve"> between their 90</w:t>
      </w:r>
      <w:r w:rsidRPr="00CA573E">
        <w:rPr>
          <w:rFonts w:ascii="Arial" w:hAnsi="Arial" w:cs="Arial"/>
          <w:sz w:val="20"/>
          <w:szCs w:val="20"/>
          <w:vertAlign w:val="superscript"/>
        </w:rPr>
        <w:t>th</w:t>
      </w:r>
      <w:r w:rsidRPr="00CA573E">
        <w:rPr>
          <w:rFonts w:ascii="Arial" w:hAnsi="Arial" w:cs="Arial"/>
          <w:sz w:val="20"/>
          <w:szCs w:val="20"/>
        </w:rPr>
        <w:t xml:space="preserve"> and 120</w:t>
      </w:r>
      <w:r w:rsidRPr="00CA573E">
        <w:rPr>
          <w:rFonts w:ascii="Arial" w:hAnsi="Arial" w:cs="Arial"/>
          <w:sz w:val="20"/>
          <w:szCs w:val="20"/>
          <w:vertAlign w:val="superscript"/>
        </w:rPr>
        <w:t>th</w:t>
      </w:r>
      <w:r w:rsidRPr="00CA573E">
        <w:rPr>
          <w:rFonts w:ascii="Arial" w:hAnsi="Arial" w:cs="Arial"/>
          <w:sz w:val="20"/>
          <w:szCs w:val="20"/>
        </w:rPr>
        <w:t xml:space="preserve"> </w:t>
      </w:r>
      <w:r w:rsidR="00BE6266" w:rsidRPr="00CA573E">
        <w:rPr>
          <w:rFonts w:ascii="Arial" w:hAnsi="Arial" w:cs="Arial"/>
          <w:sz w:val="20"/>
          <w:szCs w:val="20"/>
        </w:rPr>
        <w:t xml:space="preserve">day </w:t>
      </w:r>
      <w:r w:rsidRPr="00CA573E">
        <w:rPr>
          <w:rFonts w:ascii="Arial" w:hAnsi="Arial" w:cs="Arial"/>
          <w:sz w:val="20"/>
          <w:szCs w:val="20"/>
        </w:rPr>
        <w:t>of enrollment.</w:t>
      </w:r>
    </w:p>
    <w:p w14:paraId="34C692ED" w14:textId="28A2F485" w:rsidR="00D340C2" w:rsidRPr="00CA573E" w:rsidRDefault="00D340C2" w:rsidP="00451F05">
      <w:pPr>
        <w:rPr>
          <w:rFonts w:ascii="Arial" w:eastAsia="Times New Roman" w:hAnsi="Arial" w:cs="Arial"/>
          <w:sz w:val="20"/>
          <w:szCs w:val="20"/>
        </w:rPr>
      </w:pPr>
      <w:r w:rsidRPr="00CA573E">
        <w:rPr>
          <w:rFonts w:ascii="Arial" w:eastAsia="Times New Roman" w:hAnsi="Arial" w:cs="Arial"/>
          <w:sz w:val="20"/>
          <w:szCs w:val="20"/>
        </w:rPr>
        <w:t xml:space="preserve">For example, Chart 3 shows that for members with </w:t>
      </w:r>
      <w:r w:rsidR="00E972EA">
        <w:rPr>
          <w:rFonts w:ascii="Arial" w:eastAsia="Times New Roman" w:hAnsi="Arial" w:cs="Arial"/>
          <w:sz w:val="20"/>
          <w:szCs w:val="20"/>
        </w:rPr>
        <w:t>January</w:t>
      </w:r>
      <w:r w:rsidRPr="00CA573E">
        <w:rPr>
          <w:rFonts w:ascii="Arial" w:eastAsia="Times New Roman" w:hAnsi="Arial" w:cs="Arial"/>
          <w:sz w:val="20"/>
          <w:szCs w:val="20"/>
        </w:rPr>
        <w:t xml:space="preserve">, </w:t>
      </w:r>
      <w:r w:rsidR="00E972EA">
        <w:rPr>
          <w:rFonts w:ascii="Arial" w:eastAsia="Times New Roman" w:hAnsi="Arial" w:cs="Arial"/>
          <w:sz w:val="20"/>
          <w:szCs w:val="20"/>
        </w:rPr>
        <w:t>February</w:t>
      </w:r>
      <w:r w:rsidR="004E1628">
        <w:rPr>
          <w:rFonts w:ascii="Arial" w:eastAsia="Times New Roman" w:hAnsi="Arial" w:cs="Arial"/>
          <w:sz w:val="20"/>
          <w:szCs w:val="20"/>
        </w:rPr>
        <w:t>,</w:t>
      </w:r>
      <w:r w:rsidRPr="00CA573E">
        <w:rPr>
          <w:rFonts w:ascii="Arial" w:eastAsia="Times New Roman" w:hAnsi="Arial" w:cs="Arial"/>
          <w:sz w:val="20"/>
          <w:szCs w:val="20"/>
        </w:rPr>
        <w:t xml:space="preserve"> or </w:t>
      </w:r>
      <w:r w:rsidR="00E972EA">
        <w:rPr>
          <w:rFonts w:ascii="Arial" w:eastAsia="Times New Roman" w:hAnsi="Arial" w:cs="Arial"/>
          <w:sz w:val="20"/>
          <w:szCs w:val="20"/>
        </w:rPr>
        <w:t>March</w:t>
      </w:r>
      <w:r w:rsidRPr="00CA573E">
        <w:rPr>
          <w:rFonts w:ascii="Arial" w:eastAsia="Times New Roman" w:hAnsi="Arial" w:cs="Arial"/>
          <w:sz w:val="20"/>
          <w:szCs w:val="20"/>
        </w:rPr>
        <w:t xml:space="preserve"> 201</w:t>
      </w:r>
      <w:r w:rsidR="00E972EA">
        <w:rPr>
          <w:rFonts w:ascii="Arial" w:eastAsia="Times New Roman" w:hAnsi="Arial" w:cs="Arial"/>
          <w:sz w:val="20"/>
          <w:szCs w:val="20"/>
        </w:rPr>
        <w:t>5</w:t>
      </w:r>
      <w:r w:rsidRPr="00CA573E">
        <w:rPr>
          <w:rFonts w:ascii="Arial" w:eastAsia="Times New Roman" w:hAnsi="Arial" w:cs="Arial"/>
          <w:sz w:val="20"/>
          <w:szCs w:val="20"/>
        </w:rPr>
        <w:t xml:space="preserve"> effective enrollment dates, Commonwealth Care Alliance conducted assessments with </w:t>
      </w:r>
      <w:r w:rsidR="00E972EA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>6</w:t>
      </w:r>
      <w:r w:rsidRPr="00CA573E">
        <w:rPr>
          <w:rFonts w:ascii="Arial" w:eastAsia="Times New Roman" w:hAnsi="Arial" w:cs="Arial"/>
          <w:sz w:val="20"/>
          <w:szCs w:val="20"/>
        </w:rPr>
        <w:t xml:space="preserve">% of those members within 90 days; made at least 3 outreach attempts to </w:t>
      </w:r>
      <w:r w:rsidR="00E972EA">
        <w:rPr>
          <w:rFonts w:ascii="Arial" w:eastAsia="Times New Roman" w:hAnsi="Arial" w:cs="Arial"/>
          <w:sz w:val="20"/>
          <w:szCs w:val="20"/>
        </w:rPr>
        <w:t>28</w:t>
      </w:r>
      <w:r w:rsidRPr="00CA573E">
        <w:rPr>
          <w:rFonts w:ascii="Arial" w:eastAsia="Times New Roman" w:hAnsi="Arial" w:cs="Arial"/>
          <w:sz w:val="20"/>
          <w:szCs w:val="20"/>
        </w:rPr>
        <w:t xml:space="preserve">% of those members and did not receive a response; and received refusals from </w:t>
      </w:r>
      <w:r>
        <w:rPr>
          <w:rFonts w:ascii="Arial" w:eastAsia="Times New Roman" w:hAnsi="Arial" w:cs="Arial"/>
          <w:sz w:val="20"/>
          <w:szCs w:val="20"/>
        </w:rPr>
        <w:t>4</w:t>
      </w:r>
      <w:r w:rsidRPr="00CA573E">
        <w:rPr>
          <w:rFonts w:ascii="Arial" w:eastAsia="Times New Roman" w:hAnsi="Arial" w:cs="Arial"/>
          <w:sz w:val="20"/>
          <w:szCs w:val="20"/>
        </w:rPr>
        <w:t xml:space="preserve">% of those members.  In total, the plan met its contractual requirements for approximately </w:t>
      </w:r>
      <w:r w:rsidR="00E972EA">
        <w:rPr>
          <w:rFonts w:ascii="Arial" w:eastAsia="Times New Roman" w:hAnsi="Arial" w:cs="Arial"/>
          <w:sz w:val="20"/>
          <w:szCs w:val="20"/>
        </w:rPr>
        <w:t>98</w:t>
      </w:r>
      <w:r w:rsidRPr="00CA573E">
        <w:rPr>
          <w:rFonts w:ascii="Arial" w:eastAsia="Times New Roman" w:hAnsi="Arial" w:cs="Arial"/>
          <w:sz w:val="20"/>
          <w:szCs w:val="20"/>
        </w:rPr>
        <w:t xml:space="preserve">% of members, while approximately </w:t>
      </w:r>
      <w:r w:rsidR="00703DFF">
        <w:rPr>
          <w:rFonts w:ascii="Arial" w:eastAsia="Times New Roman" w:hAnsi="Arial" w:cs="Arial"/>
          <w:sz w:val="20"/>
          <w:szCs w:val="20"/>
        </w:rPr>
        <w:t>2</w:t>
      </w:r>
      <w:r w:rsidRPr="00CA573E">
        <w:rPr>
          <w:rFonts w:ascii="Arial" w:eastAsia="Times New Roman" w:hAnsi="Arial" w:cs="Arial"/>
          <w:sz w:val="20"/>
          <w:szCs w:val="20"/>
        </w:rPr>
        <w:t>% of members were in the “pending” category</w:t>
      </w:r>
      <w:r w:rsidR="00703DFF">
        <w:rPr>
          <w:rFonts w:ascii="Arial" w:eastAsia="Times New Roman" w:hAnsi="Arial" w:cs="Arial"/>
          <w:sz w:val="20"/>
          <w:szCs w:val="20"/>
        </w:rPr>
        <w:t>.</w:t>
      </w:r>
      <w:r w:rsidRPr="00CA573E">
        <w:rPr>
          <w:rFonts w:ascii="Arial" w:eastAsia="Times New Roman" w:hAnsi="Arial" w:cs="Arial"/>
          <w:sz w:val="20"/>
          <w:szCs w:val="20"/>
        </w:rPr>
        <w:t xml:space="preserve"> The proportion of Commonwealth Care Alliance members with relevant effective enrollment dates who were in the “pending” category declined to </w:t>
      </w:r>
      <w:r w:rsidR="00E972EA">
        <w:rPr>
          <w:rFonts w:ascii="Arial" w:eastAsia="Times New Roman" w:hAnsi="Arial" w:cs="Arial"/>
          <w:sz w:val="20"/>
          <w:szCs w:val="20"/>
        </w:rPr>
        <w:t>0</w:t>
      </w:r>
      <w:r w:rsidRPr="00CA573E">
        <w:rPr>
          <w:rFonts w:ascii="Arial" w:eastAsia="Times New Roman" w:hAnsi="Arial" w:cs="Arial"/>
          <w:sz w:val="20"/>
          <w:szCs w:val="20"/>
        </w:rPr>
        <w:t>% at 120 days of enrollment</w:t>
      </w:r>
      <w:r w:rsidR="00E972EA">
        <w:rPr>
          <w:rFonts w:ascii="Arial" w:eastAsia="Times New Roman" w:hAnsi="Arial" w:cs="Arial"/>
          <w:sz w:val="20"/>
          <w:szCs w:val="20"/>
        </w:rPr>
        <w:t xml:space="preserve">, as did the percentage of members who did not respond to the plan’s three attempts to contact them within the first 90 days (unable to locate). </w:t>
      </w:r>
    </w:p>
    <w:p w14:paraId="7FDCD17C" w14:textId="06B4C528" w:rsidR="00BE3233" w:rsidRPr="00CA573E" w:rsidRDefault="0015722C" w:rsidP="00451F05">
      <w:pPr>
        <w:rPr>
          <w:rFonts w:ascii="Arial" w:hAnsi="Arial" w:cs="Arial"/>
          <w:sz w:val="20"/>
          <w:szCs w:val="20"/>
        </w:rPr>
      </w:pPr>
      <w:r w:rsidRPr="00CA573E">
        <w:rPr>
          <w:rFonts w:ascii="Arial" w:hAnsi="Arial" w:cs="Arial"/>
          <w:sz w:val="20"/>
          <w:szCs w:val="20"/>
        </w:rPr>
        <w:t>T</w:t>
      </w:r>
      <w:r w:rsidR="00451F05" w:rsidRPr="00CA573E">
        <w:rPr>
          <w:rFonts w:ascii="Arial" w:hAnsi="Arial" w:cs="Arial"/>
          <w:sz w:val="20"/>
          <w:szCs w:val="20"/>
        </w:rPr>
        <w:t xml:space="preserve">he charts show variation </w:t>
      </w:r>
      <w:r w:rsidRPr="00CA573E">
        <w:rPr>
          <w:rFonts w:ascii="Arial" w:hAnsi="Arial" w:cs="Arial"/>
          <w:sz w:val="20"/>
          <w:szCs w:val="20"/>
        </w:rPr>
        <w:t xml:space="preserve">between </w:t>
      </w:r>
      <w:r w:rsidR="00451F05" w:rsidRPr="00CA573E">
        <w:rPr>
          <w:rFonts w:ascii="Arial" w:hAnsi="Arial" w:cs="Arial"/>
          <w:sz w:val="20"/>
          <w:szCs w:val="20"/>
        </w:rPr>
        <w:t>each of the three plans</w:t>
      </w:r>
      <w:r w:rsidR="0042479C" w:rsidRPr="00CA573E">
        <w:rPr>
          <w:rFonts w:ascii="Arial" w:hAnsi="Arial" w:cs="Arial"/>
          <w:sz w:val="20"/>
          <w:szCs w:val="20"/>
        </w:rPr>
        <w:t xml:space="preserve"> in the number of me</w:t>
      </w:r>
      <w:r w:rsidR="000C1DD4" w:rsidRPr="00CA573E">
        <w:rPr>
          <w:rFonts w:ascii="Arial" w:hAnsi="Arial" w:cs="Arial"/>
          <w:sz w:val="20"/>
          <w:szCs w:val="20"/>
        </w:rPr>
        <w:t>mbers who were newly enrolled during</w:t>
      </w:r>
      <w:r w:rsidR="0042479C" w:rsidRPr="00CA573E">
        <w:rPr>
          <w:rFonts w:ascii="Arial" w:hAnsi="Arial" w:cs="Arial"/>
          <w:sz w:val="20"/>
          <w:szCs w:val="20"/>
        </w:rPr>
        <w:t xml:space="preserve"> this period (identified in the c</w:t>
      </w:r>
      <w:r w:rsidR="00BE3233" w:rsidRPr="00CA573E">
        <w:rPr>
          <w:rFonts w:ascii="Arial" w:hAnsi="Arial" w:cs="Arial"/>
          <w:sz w:val="20"/>
          <w:szCs w:val="20"/>
        </w:rPr>
        <w:t>h</w:t>
      </w:r>
      <w:r w:rsidR="0042479C" w:rsidRPr="00CA573E">
        <w:rPr>
          <w:rFonts w:ascii="Arial" w:hAnsi="Arial" w:cs="Arial"/>
          <w:sz w:val="20"/>
          <w:szCs w:val="20"/>
        </w:rPr>
        <w:t>art as “N”)</w:t>
      </w:r>
      <w:r w:rsidRPr="00CA573E">
        <w:rPr>
          <w:rFonts w:ascii="Arial" w:hAnsi="Arial" w:cs="Arial"/>
          <w:sz w:val="20"/>
          <w:szCs w:val="20"/>
        </w:rPr>
        <w:t>, and the status of members’ assessment completion</w:t>
      </w:r>
      <w:r w:rsidR="002C381D" w:rsidRPr="00CA573E">
        <w:rPr>
          <w:rFonts w:ascii="Arial" w:hAnsi="Arial" w:cs="Arial"/>
          <w:sz w:val="20"/>
          <w:szCs w:val="20"/>
        </w:rPr>
        <w:t>s</w:t>
      </w:r>
      <w:r w:rsidR="00451F05" w:rsidRPr="00CA573E">
        <w:rPr>
          <w:rFonts w:ascii="Arial" w:hAnsi="Arial" w:cs="Arial"/>
          <w:sz w:val="20"/>
          <w:szCs w:val="20"/>
        </w:rPr>
        <w:t xml:space="preserve">. </w:t>
      </w:r>
      <w:r w:rsidR="0042479C" w:rsidRPr="00CA573E">
        <w:rPr>
          <w:rFonts w:ascii="Arial" w:hAnsi="Arial" w:cs="Arial"/>
          <w:sz w:val="20"/>
          <w:szCs w:val="20"/>
        </w:rPr>
        <w:t xml:space="preserve"> </w:t>
      </w:r>
      <w:r w:rsidR="00F2539D" w:rsidRPr="0015304D">
        <w:rPr>
          <w:rFonts w:ascii="Arial" w:hAnsi="Arial" w:cs="Arial"/>
          <w:sz w:val="20"/>
          <w:szCs w:val="20"/>
        </w:rPr>
        <w:t xml:space="preserve">These charts also show that all of the One Care plans </w:t>
      </w:r>
      <w:r w:rsidR="00F2539D">
        <w:rPr>
          <w:rFonts w:ascii="Arial" w:hAnsi="Arial" w:cs="Arial"/>
          <w:sz w:val="20"/>
          <w:szCs w:val="20"/>
        </w:rPr>
        <w:t xml:space="preserve">had </w:t>
      </w:r>
      <w:r w:rsidR="00F2539D" w:rsidRPr="0015304D">
        <w:rPr>
          <w:rFonts w:ascii="Arial" w:hAnsi="Arial" w:cs="Arial"/>
          <w:sz w:val="20"/>
          <w:szCs w:val="20"/>
        </w:rPr>
        <w:t xml:space="preserve">members they were unable to locate with at least three contact attempts, although the actual numbers and percentages vary.   </w:t>
      </w:r>
    </w:p>
    <w:p w14:paraId="5BE458D9" w14:textId="5B23511F" w:rsidR="00B27160" w:rsidRDefault="00451F05" w:rsidP="00451F05">
      <w:pPr>
        <w:rPr>
          <w:rFonts w:ascii="Arial" w:hAnsi="Arial" w:cs="Arial"/>
          <w:sz w:val="20"/>
          <w:szCs w:val="20"/>
        </w:rPr>
      </w:pPr>
      <w:r w:rsidRPr="00CA573E">
        <w:rPr>
          <w:rFonts w:ascii="Arial" w:hAnsi="Arial" w:cs="Arial"/>
          <w:sz w:val="20"/>
          <w:szCs w:val="20"/>
        </w:rPr>
        <w:t xml:space="preserve">Chart 4 again demonstrates that the number of completed assessments increases </w:t>
      </w:r>
      <w:r w:rsidR="005D3624">
        <w:rPr>
          <w:rFonts w:ascii="Arial" w:hAnsi="Arial" w:cs="Arial"/>
          <w:sz w:val="20"/>
          <w:szCs w:val="20"/>
        </w:rPr>
        <w:t>by</w:t>
      </w:r>
      <w:r w:rsidR="005D3624" w:rsidRPr="00CA573E">
        <w:rPr>
          <w:rFonts w:ascii="Arial" w:hAnsi="Arial" w:cs="Arial"/>
          <w:sz w:val="20"/>
          <w:szCs w:val="20"/>
        </w:rPr>
        <w:t xml:space="preserve"> </w:t>
      </w:r>
      <w:r w:rsidRPr="00CA573E">
        <w:rPr>
          <w:rFonts w:ascii="Arial" w:hAnsi="Arial" w:cs="Arial"/>
          <w:sz w:val="20"/>
          <w:szCs w:val="20"/>
        </w:rPr>
        <w:t>120 days of enrollment, while the number of members whose assessments have been pending</w:t>
      </w:r>
      <w:r w:rsidR="002C7503">
        <w:rPr>
          <w:rFonts w:ascii="Arial" w:hAnsi="Arial" w:cs="Arial"/>
          <w:sz w:val="20"/>
          <w:szCs w:val="20"/>
        </w:rPr>
        <w:t xml:space="preserve"> decreases. In this quarter, the</w:t>
      </w:r>
      <w:r w:rsidR="00170ED3">
        <w:rPr>
          <w:rFonts w:ascii="Arial" w:hAnsi="Arial" w:cs="Arial"/>
          <w:sz w:val="20"/>
          <w:szCs w:val="20"/>
        </w:rPr>
        <w:t xml:space="preserve"> percentage</w:t>
      </w:r>
      <w:r w:rsidR="002C7503">
        <w:rPr>
          <w:rFonts w:ascii="Arial" w:hAnsi="Arial" w:cs="Arial"/>
          <w:sz w:val="20"/>
          <w:szCs w:val="20"/>
        </w:rPr>
        <w:t xml:space="preserve"> of members </w:t>
      </w:r>
      <w:r w:rsidR="00A62C55">
        <w:rPr>
          <w:rFonts w:ascii="Arial" w:hAnsi="Arial" w:cs="Arial"/>
          <w:sz w:val="20"/>
          <w:szCs w:val="20"/>
        </w:rPr>
        <w:t xml:space="preserve">the </w:t>
      </w:r>
      <w:r w:rsidR="00170ED3">
        <w:rPr>
          <w:rFonts w:ascii="Arial" w:hAnsi="Arial" w:cs="Arial"/>
          <w:sz w:val="20"/>
          <w:szCs w:val="20"/>
        </w:rPr>
        <w:t xml:space="preserve">plans were unable to locate decreased </w:t>
      </w:r>
      <w:r w:rsidR="00A62C55">
        <w:rPr>
          <w:rFonts w:ascii="Arial" w:hAnsi="Arial" w:cs="Arial"/>
          <w:sz w:val="20"/>
          <w:szCs w:val="20"/>
        </w:rPr>
        <w:t>between</w:t>
      </w:r>
      <w:r w:rsidR="00170ED3">
        <w:rPr>
          <w:rFonts w:ascii="Arial" w:hAnsi="Arial" w:cs="Arial"/>
          <w:sz w:val="20"/>
          <w:szCs w:val="20"/>
        </w:rPr>
        <w:t xml:space="preserve"> 90 </w:t>
      </w:r>
      <w:r w:rsidR="00A62C55">
        <w:rPr>
          <w:rFonts w:ascii="Arial" w:hAnsi="Arial" w:cs="Arial"/>
          <w:sz w:val="20"/>
          <w:szCs w:val="20"/>
        </w:rPr>
        <w:t>and</w:t>
      </w:r>
      <w:r w:rsidR="00170ED3">
        <w:rPr>
          <w:rFonts w:ascii="Arial" w:hAnsi="Arial" w:cs="Arial"/>
          <w:sz w:val="20"/>
          <w:szCs w:val="20"/>
        </w:rPr>
        <w:t xml:space="preserve"> 120 days, </w:t>
      </w:r>
      <w:r w:rsidR="002C7503">
        <w:rPr>
          <w:rFonts w:ascii="Arial" w:hAnsi="Arial" w:cs="Arial"/>
          <w:sz w:val="20"/>
          <w:szCs w:val="20"/>
        </w:rPr>
        <w:t xml:space="preserve">indicating that the </w:t>
      </w:r>
      <w:r w:rsidR="00170ED3">
        <w:rPr>
          <w:rFonts w:ascii="Arial" w:hAnsi="Arial" w:cs="Arial"/>
          <w:sz w:val="20"/>
          <w:szCs w:val="20"/>
        </w:rPr>
        <w:t xml:space="preserve">plans were </w:t>
      </w:r>
      <w:r w:rsidR="00496A54">
        <w:rPr>
          <w:rFonts w:ascii="Arial" w:hAnsi="Arial" w:cs="Arial"/>
          <w:sz w:val="20"/>
          <w:szCs w:val="20"/>
        </w:rPr>
        <w:t>later</w:t>
      </w:r>
      <w:r w:rsidR="00170ED3">
        <w:rPr>
          <w:rFonts w:ascii="Arial" w:hAnsi="Arial" w:cs="Arial"/>
          <w:sz w:val="20"/>
          <w:szCs w:val="20"/>
        </w:rPr>
        <w:t xml:space="preserve"> able to make contact with many of the members</w:t>
      </w:r>
      <w:r w:rsidR="00A62C55">
        <w:rPr>
          <w:rFonts w:ascii="Arial" w:hAnsi="Arial" w:cs="Arial"/>
          <w:sz w:val="20"/>
          <w:szCs w:val="20"/>
        </w:rPr>
        <w:t xml:space="preserve"> in this enrollment cohort</w:t>
      </w:r>
      <w:r w:rsidR="002C7503">
        <w:rPr>
          <w:rFonts w:ascii="Arial" w:hAnsi="Arial" w:cs="Arial"/>
          <w:sz w:val="20"/>
          <w:szCs w:val="20"/>
        </w:rPr>
        <w:t xml:space="preserve">. </w:t>
      </w:r>
      <w:r w:rsidR="007F64D1">
        <w:rPr>
          <w:rFonts w:ascii="Arial" w:hAnsi="Arial" w:cs="Arial"/>
          <w:sz w:val="20"/>
          <w:szCs w:val="20"/>
        </w:rPr>
        <w:t xml:space="preserve">Tufts Health Plan (Tufts) </w:t>
      </w:r>
      <w:r w:rsidR="002C7503">
        <w:rPr>
          <w:rFonts w:ascii="Arial" w:hAnsi="Arial" w:cs="Arial"/>
          <w:sz w:val="20"/>
          <w:szCs w:val="20"/>
        </w:rPr>
        <w:t xml:space="preserve">experienced the largest decline in this category (12%), with many of these members moving into the “pending category,” indicating that contact </w:t>
      </w:r>
      <w:r w:rsidR="00496A54">
        <w:rPr>
          <w:rFonts w:ascii="Arial" w:hAnsi="Arial" w:cs="Arial"/>
          <w:sz w:val="20"/>
          <w:szCs w:val="20"/>
        </w:rPr>
        <w:t>w</w:t>
      </w:r>
      <w:r w:rsidR="002C7503">
        <w:rPr>
          <w:rFonts w:ascii="Arial" w:hAnsi="Arial" w:cs="Arial"/>
          <w:sz w:val="20"/>
          <w:szCs w:val="20"/>
        </w:rPr>
        <w:t xml:space="preserve">as made but an assessment was not yet completed during this time frame. </w:t>
      </w:r>
      <w:r w:rsidR="002C7503" w:rsidRPr="00CA573E">
        <w:rPr>
          <w:rFonts w:ascii="Arial" w:hAnsi="Arial" w:cs="Arial"/>
          <w:sz w:val="20"/>
          <w:szCs w:val="20"/>
        </w:rPr>
        <w:t xml:space="preserve">One Care plans are expected to continue outreach to members </w:t>
      </w:r>
      <w:r w:rsidR="002C7503">
        <w:rPr>
          <w:rFonts w:ascii="Arial" w:hAnsi="Arial" w:cs="Arial"/>
          <w:sz w:val="20"/>
          <w:szCs w:val="20"/>
        </w:rPr>
        <w:t xml:space="preserve">they are unable to locate </w:t>
      </w:r>
      <w:r w:rsidR="002C7503" w:rsidRPr="00CA573E">
        <w:rPr>
          <w:rFonts w:ascii="Arial" w:hAnsi="Arial" w:cs="Arial"/>
          <w:sz w:val="20"/>
          <w:szCs w:val="20"/>
        </w:rPr>
        <w:t>by attempting to contact them at least once every three months.</w:t>
      </w:r>
      <w:r w:rsidR="002C7503">
        <w:rPr>
          <w:rFonts w:ascii="Arial" w:hAnsi="Arial" w:cs="Arial"/>
          <w:sz w:val="20"/>
          <w:szCs w:val="20"/>
        </w:rPr>
        <w:t xml:space="preserve"> </w:t>
      </w:r>
    </w:p>
    <w:p w14:paraId="1A32D205" w14:textId="77777777" w:rsidR="00B27160" w:rsidRDefault="00B271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098551D" w14:textId="7DEC4635" w:rsidR="0083620E" w:rsidRDefault="00022989" w:rsidP="006B7775">
      <w:pPr>
        <w:tabs>
          <w:tab w:val="left" w:pos="14490"/>
        </w:tabs>
        <w:ind w:left="180"/>
        <w:rPr>
          <w:rFonts w:ascii="Arial" w:hAnsi="Arial" w:cs="Arial"/>
          <w:sz w:val="20"/>
          <w:szCs w:val="20"/>
        </w:rPr>
      </w:pPr>
      <w:r w:rsidRPr="00C45E64">
        <w:rPr>
          <w:rFonts w:ascii="Arial" w:hAnsi="Arial" w:cs="Arial"/>
          <w:noProof/>
        </w:rPr>
        <w:lastRenderedPageBreak/>
        <w:drawing>
          <wp:inline distT="0" distB="0" distL="0" distR="0" wp14:anchorId="0B45C709" wp14:editId="60CC4864">
            <wp:extent cx="9319260" cy="3771900"/>
            <wp:effectExtent l="0" t="0" r="15240" b="19050"/>
            <wp:docPr id="5" name="Chart 5" descr="Bar chart with the percent of newly enrolled members by LTSS Assessment and LTS Coordinator Status by plan.&#10;Commonwealth Care Alliance (N=391)&#10;-98% Member assessed within 90 days of their enrollment &#10;-98% Member offered a referral to an LTS-C Agency within 90 days&#10;-53% Member was identified as having a need for LTSS&#10;Fallon Total Care (N=109)&#10;-99% Member assessed within 90 days of their enrollment &#10;-99% Member offered a referral to an LTS-C Agency within 90 days&#10;-62% Member was identified as having a need for LTSS&#10;Tufts Health Plan (N=35)&#10;-100% Member assessed within 90 days of their enrollment &#10;-106% Member offered a referral to an LTS-C Agency within 90 days&#10;-37% Member was identified as having a need for LTSS&#10;Program Total (N=535)&#10;-99% Member assessed within 90 days of their enrollment &#10;-98% Member offered a referral to an LTS-C Agency within 90 days&#10;-54% Member was identified as having a need for LTSS&#10;&#10;Note:This quarter only included enrollments by self-selection.&#10;&#10;N= total members whose first date of enrollment was on one of these dates, excluding individuals who refused an assessment or who the plans were unable to locate. Note that N does not represent the cumulative number of individuals enrolled as of these dates.&#10;" title="Chart 5: Assessment Completion, Identified Long-Term Services and Supports (LTSS) Needs, and Offerings of a Long-Term Supports Coordinator (LTS-C) Within 90 Days of Enrollment for Individuals Whose Enrollment Began Jan. 1, Feb. 1, or Mar. 1 of 20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DE2736">
        <w:rPr>
          <w:rFonts w:ascii="Arial" w:hAnsi="Arial" w:cs="Arial"/>
          <w:sz w:val="20"/>
          <w:szCs w:val="20"/>
        </w:rPr>
        <w:t xml:space="preserve">     </w:t>
      </w:r>
      <w:r w:rsidR="00766752" w:rsidRPr="00CA573E">
        <w:rPr>
          <w:rFonts w:ascii="Arial" w:hAnsi="Arial" w:cs="Arial"/>
          <w:sz w:val="20"/>
          <w:szCs w:val="20"/>
        </w:rPr>
        <w:t xml:space="preserve">Chart 5 </w:t>
      </w:r>
      <w:r w:rsidR="00BE6266" w:rsidRPr="00CA573E">
        <w:rPr>
          <w:rFonts w:ascii="Arial" w:hAnsi="Arial" w:cs="Arial"/>
          <w:sz w:val="20"/>
          <w:szCs w:val="20"/>
        </w:rPr>
        <w:t>shows</w:t>
      </w:r>
      <w:r w:rsidR="00834667" w:rsidRPr="00CA573E">
        <w:rPr>
          <w:rFonts w:ascii="Arial" w:hAnsi="Arial" w:cs="Arial"/>
          <w:sz w:val="20"/>
          <w:szCs w:val="20"/>
        </w:rPr>
        <w:t xml:space="preserve"> </w:t>
      </w:r>
      <w:r w:rsidR="00BE3233" w:rsidRPr="00CA573E">
        <w:rPr>
          <w:rFonts w:ascii="Arial" w:hAnsi="Arial" w:cs="Arial"/>
          <w:sz w:val="20"/>
          <w:szCs w:val="20"/>
        </w:rPr>
        <w:t xml:space="preserve">how many </w:t>
      </w:r>
      <w:r w:rsidR="00834667" w:rsidRPr="00CA573E">
        <w:rPr>
          <w:rFonts w:ascii="Arial" w:hAnsi="Arial" w:cs="Arial"/>
          <w:sz w:val="20"/>
          <w:szCs w:val="20"/>
        </w:rPr>
        <w:t>members who</w:t>
      </w:r>
      <w:r w:rsidR="005D3624">
        <w:rPr>
          <w:rFonts w:ascii="Arial" w:hAnsi="Arial" w:cs="Arial"/>
          <w:sz w:val="20"/>
          <w:szCs w:val="20"/>
        </w:rPr>
        <w:t>se effective enrollment dates were</w:t>
      </w:r>
      <w:r w:rsidR="00834667" w:rsidRPr="00CA573E">
        <w:rPr>
          <w:rFonts w:ascii="Arial" w:hAnsi="Arial" w:cs="Arial"/>
          <w:sz w:val="20"/>
          <w:szCs w:val="20"/>
        </w:rPr>
        <w:t xml:space="preserve"> </w:t>
      </w:r>
      <w:r w:rsidR="00590964">
        <w:rPr>
          <w:rFonts w:ascii="Arial" w:hAnsi="Arial" w:cs="Arial"/>
          <w:sz w:val="20"/>
          <w:szCs w:val="20"/>
        </w:rPr>
        <w:t>January</w:t>
      </w:r>
      <w:r w:rsidR="003060DE" w:rsidRPr="00CA573E">
        <w:rPr>
          <w:rFonts w:ascii="Arial" w:hAnsi="Arial" w:cs="Arial"/>
          <w:sz w:val="20"/>
          <w:szCs w:val="20"/>
        </w:rPr>
        <w:t xml:space="preserve"> 1</w:t>
      </w:r>
      <w:r w:rsidR="00BE6266" w:rsidRPr="00CA573E">
        <w:rPr>
          <w:rFonts w:ascii="Arial" w:hAnsi="Arial" w:cs="Arial"/>
          <w:sz w:val="20"/>
          <w:szCs w:val="20"/>
        </w:rPr>
        <w:t xml:space="preserve">, </w:t>
      </w:r>
      <w:r w:rsidR="00590964">
        <w:rPr>
          <w:rFonts w:ascii="Arial" w:hAnsi="Arial" w:cs="Arial"/>
          <w:sz w:val="20"/>
          <w:szCs w:val="20"/>
        </w:rPr>
        <w:t xml:space="preserve">February </w:t>
      </w:r>
      <w:r w:rsidR="003060DE" w:rsidRPr="00CA573E">
        <w:rPr>
          <w:rFonts w:ascii="Arial" w:hAnsi="Arial" w:cs="Arial"/>
          <w:sz w:val="20"/>
          <w:szCs w:val="20"/>
        </w:rPr>
        <w:t>1</w:t>
      </w:r>
      <w:r w:rsidR="00BE6266" w:rsidRPr="00CA573E">
        <w:rPr>
          <w:rFonts w:ascii="Arial" w:hAnsi="Arial" w:cs="Arial"/>
          <w:sz w:val="20"/>
          <w:szCs w:val="20"/>
        </w:rPr>
        <w:t>, or</w:t>
      </w:r>
      <w:r w:rsidR="0085738F" w:rsidRPr="00CA573E">
        <w:rPr>
          <w:rFonts w:ascii="Arial" w:hAnsi="Arial" w:cs="Arial"/>
          <w:sz w:val="20"/>
          <w:szCs w:val="20"/>
        </w:rPr>
        <w:t xml:space="preserve"> </w:t>
      </w:r>
      <w:r w:rsidR="00590964">
        <w:rPr>
          <w:rFonts w:ascii="Arial" w:hAnsi="Arial" w:cs="Arial"/>
          <w:sz w:val="20"/>
          <w:szCs w:val="20"/>
        </w:rPr>
        <w:t>March</w:t>
      </w:r>
      <w:r w:rsidR="0085738F" w:rsidRPr="00CA573E">
        <w:rPr>
          <w:rFonts w:ascii="Arial" w:hAnsi="Arial" w:cs="Arial"/>
          <w:sz w:val="20"/>
          <w:szCs w:val="20"/>
        </w:rPr>
        <w:t xml:space="preserve"> </w:t>
      </w:r>
      <w:r w:rsidR="003060DE" w:rsidRPr="00CA573E">
        <w:rPr>
          <w:rFonts w:ascii="Arial" w:hAnsi="Arial" w:cs="Arial"/>
          <w:sz w:val="20"/>
          <w:szCs w:val="20"/>
        </w:rPr>
        <w:t xml:space="preserve">1 </w:t>
      </w:r>
      <w:r w:rsidR="0085738F" w:rsidRPr="00CA573E">
        <w:rPr>
          <w:rFonts w:ascii="Arial" w:hAnsi="Arial" w:cs="Arial"/>
          <w:sz w:val="20"/>
          <w:szCs w:val="20"/>
        </w:rPr>
        <w:t>of 201</w:t>
      </w:r>
      <w:r w:rsidR="00590964">
        <w:rPr>
          <w:rFonts w:ascii="Arial" w:hAnsi="Arial" w:cs="Arial"/>
          <w:sz w:val="20"/>
          <w:szCs w:val="20"/>
        </w:rPr>
        <w:t>5</w:t>
      </w:r>
      <w:r w:rsidR="00834667" w:rsidRPr="00CA573E">
        <w:rPr>
          <w:rFonts w:ascii="Arial" w:hAnsi="Arial" w:cs="Arial"/>
          <w:sz w:val="20"/>
          <w:szCs w:val="20"/>
        </w:rPr>
        <w:t xml:space="preserve"> </w:t>
      </w:r>
      <w:r w:rsidR="00E42F5B">
        <w:rPr>
          <w:rFonts w:ascii="Arial" w:hAnsi="Arial" w:cs="Arial"/>
          <w:sz w:val="20"/>
          <w:szCs w:val="20"/>
        </w:rPr>
        <w:t xml:space="preserve">(the denominator for each column), </w:t>
      </w:r>
      <w:r w:rsidR="00BE3233" w:rsidRPr="00CA573E">
        <w:rPr>
          <w:rFonts w:ascii="Arial" w:hAnsi="Arial" w:cs="Arial"/>
          <w:sz w:val="20"/>
          <w:szCs w:val="20"/>
        </w:rPr>
        <w:t>received a comprehensive assessment within 90 days</w:t>
      </w:r>
      <w:r w:rsidR="00A62C55">
        <w:rPr>
          <w:rFonts w:ascii="Arial" w:hAnsi="Arial" w:cs="Arial"/>
          <w:sz w:val="20"/>
          <w:szCs w:val="20"/>
        </w:rPr>
        <w:t>;</w:t>
      </w:r>
      <w:r w:rsidR="00A62C55" w:rsidRPr="00CA573E">
        <w:rPr>
          <w:rFonts w:ascii="Arial" w:hAnsi="Arial" w:cs="Arial"/>
          <w:sz w:val="20"/>
          <w:szCs w:val="20"/>
        </w:rPr>
        <w:t xml:space="preserve"> </w:t>
      </w:r>
      <w:r w:rsidR="00834667" w:rsidRPr="00CA573E">
        <w:rPr>
          <w:rFonts w:ascii="Arial" w:hAnsi="Arial" w:cs="Arial"/>
          <w:sz w:val="20"/>
          <w:szCs w:val="20"/>
        </w:rPr>
        <w:t xml:space="preserve">how many </w:t>
      </w:r>
      <w:r w:rsidR="00BE3233" w:rsidRPr="00CA573E">
        <w:rPr>
          <w:rFonts w:ascii="Arial" w:hAnsi="Arial" w:cs="Arial"/>
          <w:noProof/>
          <w:sz w:val="20"/>
          <w:szCs w:val="20"/>
        </w:rPr>
        <w:t xml:space="preserve">were determined by the plan to </w:t>
      </w:r>
      <w:r w:rsidR="000C1DD4" w:rsidRPr="00CA573E">
        <w:rPr>
          <w:rFonts w:ascii="Arial" w:hAnsi="Arial" w:cs="Arial"/>
          <w:noProof/>
          <w:sz w:val="20"/>
          <w:szCs w:val="20"/>
        </w:rPr>
        <w:t>be in need of LTSS</w:t>
      </w:r>
      <w:r w:rsidR="0026344D">
        <w:rPr>
          <w:rStyle w:val="FootnoteReference"/>
          <w:rFonts w:ascii="Arial" w:hAnsi="Arial" w:cs="Arial"/>
          <w:noProof/>
          <w:sz w:val="20"/>
          <w:szCs w:val="20"/>
        </w:rPr>
        <w:footnoteReference w:id="1"/>
      </w:r>
      <w:r w:rsidR="00A62C55">
        <w:rPr>
          <w:rFonts w:ascii="Arial" w:hAnsi="Arial" w:cs="Arial"/>
          <w:noProof/>
          <w:sz w:val="20"/>
          <w:szCs w:val="20"/>
        </w:rPr>
        <w:t>;</w:t>
      </w:r>
      <w:r w:rsidR="00BE3233" w:rsidRPr="00CA573E">
        <w:rPr>
          <w:rFonts w:ascii="Arial" w:hAnsi="Arial" w:cs="Arial"/>
          <w:noProof/>
          <w:sz w:val="20"/>
          <w:szCs w:val="20"/>
        </w:rPr>
        <w:t xml:space="preserve"> </w:t>
      </w:r>
      <w:r w:rsidR="00BE3233" w:rsidRPr="00CA573E">
        <w:rPr>
          <w:rFonts w:ascii="Arial" w:eastAsia="Times New Roman" w:hAnsi="Arial" w:cs="Arial"/>
          <w:sz w:val="20"/>
          <w:szCs w:val="20"/>
        </w:rPr>
        <w:t>and how many members were offered a</w:t>
      </w:r>
      <w:r w:rsidR="00F2539D">
        <w:rPr>
          <w:rFonts w:ascii="Arial" w:eastAsia="Times New Roman" w:hAnsi="Arial" w:cs="Arial"/>
          <w:sz w:val="20"/>
          <w:szCs w:val="20"/>
        </w:rPr>
        <w:t xml:space="preserve"> referral to a</w:t>
      </w:r>
      <w:r w:rsidR="00BE3233" w:rsidRPr="00CA573E">
        <w:rPr>
          <w:rFonts w:ascii="Arial" w:eastAsia="Times New Roman" w:hAnsi="Arial" w:cs="Arial"/>
          <w:sz w:val="20"/>
          <w:szCs w:val="20"/>
        </w:rPr>
        <w:t>n LTS</w:t>
      </w:r>
      <w:r w:rsidR="00A62C55">
        <w:rPr>
          <w:rFonts w:ascii="Arial" w:eastAsia="Times New Roman" w:hAnsi="Arial" w:cs="Arial"/>
          <w:sz w:val="20"/>
          <w:szCs w:val="20"/>
        </w:rPr>
        <w:t xml:space="preserve"> </w:t>
      </w:r>
      <w:r w:rsidR="00BE3233" w:rsidRPr="00CA573E">
        <w:rPr>
          <w:rFonts w:ascii="Arial" w:eastAsia="Times New Roman" w:hAnsi="Arial" w:cs="Arial"/>
          <w:sz w:val="20"/>
          <w:szCs w:val="20"/>
        </w:rPr>
        <w:lastRenderedPageBreak/>
        <w:t>C</w:t>
      </w:r>
      <w:r w:rsidR="00A62C55">
        <w:rPr>
          <w:rFonts w:ascii="Arial" w:eastAsia="Times New Roman" w:hAnsi="Arial" w:cs="Arial"/>
          <w:sz w:val="20"/>
          <w:szCs w:val="20"/>
        </w:rPr>
        <w:t>oordinator</w:t>
      </w:r>
      <w:r w:rsidR="00E42F5B">
        <w:rPr>
          <w:rFonts w:ascii="Arial" w:eastAsia="Times New Roman" w:hAnsi="Arial" w:cs="Arial"/>
          <w:sz w:val="20"/>
          <w:szCs w:val="20"/>
        </w:rPr>
        <w:t xml:space="preserve"> (the numerators for each of the columns)</w:t>
      </w:r>
      <w:r w:rsidR="00BE3233" w:rsidRPr="00CA573E">
        <w:rPr>
          <w:rFonts w:ascii="Arial" w:eastAsia="Times New Roman" w:hAnsi="Arial" w:cs="Arial"/>
          <w:sz w:val="20"/>
          <w:szCs w:val="20"/>
        </w:rPr>
        <w:t xml:space="preserve">.   </w:t>
      </w:r>
      <w:r w:rsidR="005D3624" w:rsidRPr="00CA573E">
        <w:rPr>
          <w:rFonts w:ascii="Arial" w:eastAsia="Times New Roman" w:hAnsi="Arial" w:cs="Arial"/>
          <w:sz w:val="20"/>
          <w:szCs w:val="20"/>
        </w:rPr>
        <w:t xml:space="preserve">For example, this chart shows that for members with </w:t>
      </w:r>
      <w:r w:rsidR="00590964">
        <w:rPr>
          <w:rFonts w:ascii="Arial" w:eastAsia="Times New Roman" w:hAnsi="Arial" w:cs="Arial"/>
          <w:sz w:val="20"/>
          <w:szCs w:val="20"/>
        </w:rPr>
        <w:t>January</w:t>
      </w:r>
      <w:r w:rsidR="005D3624" w:rsidRPr="00CA573E">
        <w:rPr>
          <w:rFonts w:ascii="Arial" w:eastAsia="Times New Roman" w:hAnsi="Arial" w:cs="Arial"/>
          <w:sz w:val="20"/>
          <w:szCs w:val="20"/>
        </w:rPr>
        <w:t xml:space="preserve">, </w:t>
      </w:r>
      <w:r w:rsidR="00590964">
        <w:rPr>
          <w:rFonts w:ascii="Arial" w:eastAsia="Times New Roman" w:hAnsi="Arial" w:cs="Arial"/>
          <w:sz w:val="20"/>
          <w:szCs w:val="20"/>
        </w:rPr>
        <w:t>February</w:t>
      </w:r>
      <w:r w:rsidR="005D3624" w:rsidRPr="00CA573E">
        <w:rPr>
          <w:rFonts w:ascii="Arial" w:eastAsia="Times New Roman" w:hAnsi="Arial" w:cs="Arial"/>
          <w:sz w:val="20"/>
          <w:szCs w:val="20"/>
        </w:rPr>
        <w:t xml:space="preserve"> or </w:t>
      </w:r>
      <w:r w:rsidR="00590964">
        <w:rPr>
          <w:rFonts w:ascii="Arial" w:eastAsia="Times New Roman" w:hAnsi="Arial" w:cs="Arial"/>
          <w:sz w:val="20"/>
          <w:szCs w:val="20"/>
        </w:rPr>
        <w:t>March</w:t>
      </w:r>
      <w:r w:rsidR="005D3624" w:rsidRPr="00CA573E">
        <w:rPr>
          <w:rFonts w:ascii="Arial" w:eastAsia="Times New Roman" w:hAnsi="Arial" w:cs="Arial"/>
          <w:sz w:val="20"/>
          <w:szCs w:val="20"/>
        </w:rPr>
        <w:t xml:space="preserve"> 201</w:t>
      </w:r>
      <w:r w:rsidR="00590964">
        <w:rPr>
          <w:rFonts w:ascii="Arial" w:eastAsia="Times New Roman" w:hAnsi="Arial" w:cs="Arial"/>
          <w:sz w:val="20"/>
          <w:szCs w:val="20"/>
        </w:rPr>
        <w:t>5</w:t>
      </w:r>
      <w:r w:rsidR="005D3624" w:rsidRPr="00CA573E">
        <w:rPr>
          <w:rFonts w:ascii="Arial" w:eastAsia="Times New Roman" w:hAnsi="Arial" w:cs="Arial"/>
          <w:sz w:val="20"/>
          <w:szCs w:val="20"/>
        </w:rPr>
        <w:t xml:space="preserve"> effective enrollment dates: Commonwealth Care Alliance assessed </w:t>
      </w:r>
      <w:r w:rsidR="005D3624">
        <w:rPr>
          <w:rFonts w:ascii="Arial" w:eastAsia="Times New Roman" w:hAnsi="Arial" w:cs="Arial"/>
          <w:sz w:val="20"/>
          <w:szCs w:val="20"/>
        </w:rPr>
        <w:t>9</w:t>
      </w:r>
      <w:r w:rsidR="00590964">
        <w:rPr>
          <w:rFonts w:ascii="Arial" w:eastAsia="Times New Roman" w:hAnsi="Arial" w:cs="Arial"/>
          <w:sz w:val="20"/>
          <w:szCs w:val="20"/>
        </w:rPr>
        <w:t>8</w:t>
      </w:r>
      <w:r w:rsidR="005D3624" w:rsidRPr="00CA573E">
        <w:rPr>
          <w:rFonts w:ascii="Arial" w:eastAsia="Times New Roman" w:hAnsi="Arial" w:cs="Arial"/>
          <w:sz w:val="20"/>
          <w:szCs w:val="20"/>
        </w:rPr>
        <w:t xml:space="preserve">% of those members </w:t>
      </w:r>
      <w:r w:rsidR="005D3624">
        <w:rPr>
          <w:rFonts w:ascii="Arial" w:eastAsia="Times New Roman" w:hAnsi="Arial" w:cs="Arial"/>
          <w:sz w:val="20"/>
          <w:szCs w:val="20"/>
        </w:rPr>
        <w:t xml:space="preserve">who they could locate and </w:t>
      </w:r>
      <w:r w:rsidR="00496A54">
        <w:rPr>
          <w:rFonts w:ascii="Arial" w:eastAsia="Times New Roman" w:hAnsi="Arial" w:cs="Arial"/>
          <w:sz w:val="20"/>
          <w:szCs w:val="20"/>
        </w:rPr>
        <w:t>agreed to participate in</w:t>
      </w:r>
      <w:r w:rsidR="005D3624">
        <w:rPr>
          <w:rFonts w:ascii="Arial" w:eastAsia="Times New Roman" w:hAnsi="Arial" w:cs="Arial"/>
          <w:sz w:val="20"/>
          <w:szCs w:val="20"/>
        </w:rPr>
        <w:t xml:space="preserve"> an assessment </w:t>
      </w:r>
      <w:r w:rsidR="005D3624" w:rsidRPr="00CA573E">
        <w:rPr>
          <w:rFonts w:ascii="Arial" w:eastAsia="Times New Roman" w:hAnsi="Arial" w:cs="Arial"/>
          <w:sz w:val="20"/>
          <w:szCs w:val="20"/>
        </w:rPr>
        <w:t>within 90 days; Commonwealth Care Alliance reported offering a</w:t>
      </w:r>
      <w:r w:rsidR="00F2539D">
        <w:rPr>
          <w:rFonts w:ascii="Arial" w:eastAsia="Times New Roman" w:hAnsi="Arial" w:cs="Arial"/>
          <w:sz w:val="20"/>
          <w:szCs w:val="20"/>
        </w:rPr>
        <w:t xml:space="preserve"> referral to a</w:t>
      </w:r>
      <w:r w:rsidR="005D3624" w:rsidRPr="00CA573E">
        <w:rPr>
          <w:rFonts w:ascii="Arial" w:eastAsia="Times New Roman" w:hAnsi="Arial" w:cs="Arial"/>
          <w:sz w:val="20"/>
          <w:szCs w:val="20"/>
        </w:rPr>
        <w:t>n LTS</w:t>
      </w:r>
      <w:r w:rsidR="00A62C55">
        <w:rPr>
          <w:rFonts w:ascii="Arial" w:eastAsia="Times New Roman" w:hAnsi="Arial" w:cs="Arial"/>
          <w:sz w:val="20"/>
          <w:szCs w:val="20"/>
        </w:rPr>
        <w:t xml:space="preserve"> </w:t>
      </w:r>
      <w:r w:rsidR="005D3624" w:rsidRPr="00CA573E">
        <w:rPr>
          <w:rFonts w:ascii="Arial" w:eastAsia="Times New Roman" w:hAnsi="Arial" w:cs="Arial"/>
          <w:sz w:val="20"/>
          <w:szCs w:val="20"/>
        </w:rPr>
        <w:t>C</w:t>
      </w:r>
      <w:r w:rsidR="00A62C55">
        <w:rPr>
          <w:rFonts w:ascii="Arial" w:eastAsia="Times New Roman" w:hAnsi="Arial" w:cs="Arial"/>
          <w:sz w:val="20"/>
          <w:szCs w:val="20"/>
        </w:rPr>
        <w:t>oordinator</w:t>
      </w:r>
      <w:r w:rsidR="005D3624" w:rsidRPr="00CA573E">
        <w:rPr>
          <w:rFonts w:ascii="Arial" w:eastAsia="Times New Roman" w:hAnsi="Arial" w:cs="Arial"/>
          <w:sz w:val="20"/>
          <w:szCs w:val="20"/>
        </w:rPr>
        <w:t xml:space="preserve"> to </w:t>
      </w:r>
      <w:r w:rsidR="005D3624">
        <w:rPr>
          <w:rFonts w:ascii="Arial" w:eastAsia="Times New Roman" w:hAnsi="Arial" w:cs="Arial"/>
          <w:sz w:val="20"/>
          <w:szCs w:val="20"/>
        </w:rPr>
        <w:t>100</w:t>
      </w:r>
      <w:r w:rsidR="005D3624" w:rsidRPr="00CA573E">
        <w:rPr>
          <w:rFonts w:ascii="Arial" w:eastAsia="Times New Roman" w:hAnsi="Arial" w:cs="Arial"/>
          <w:sz w:val="20"/>
          <w:szCs w:val="20"/>
        </w:rPr>
        <w:t xml:space="preserve">% of those members; and </w:t>
      </w:r>
      <w:r w:rsidR="005D3624">
        <w:rPr>
          <w:rFonts w:ascii="Arial" w:eastAsia="Times New Roman" w:hAnsi="Arial" w:cs="Arial"/>
          <w:sz w:val="20"/>
          <w:szCs w:val="20"/>
        </w:rPr>
        <w:t>5</w:t>
      </w:r>
      <w:r w:rsidR="00703DFF">
        <w:rPr>
          <w:rFonts w:ascii="Arial" w:eastAsia="Times New Roman" w:hAnsi="Arial" w:cs="Arial"/>
          <w:sz w:val="20"/>
          <w:szCs w:val="20"/>
        </w:rPr>
        <w:t>3</w:t>
      </w:r>
      <w:r w:rsidR="005D3624" w:rsidRPr="00CA573E">
        <w:rPr>
          <w:rFonts w:ascii="Arial" w:eastAsia="Times New Roman" w:hAnsi="Arial" w:cs="Arial"/>
          <w:sz w:val="20"/>
          <w:szCs w:val="20"/>
        </w:rPr>
        <w:t>%</w:t>
      </w:r>
      <w:r w:rsidR="00703DFF">
        <w:rPr>
          <w:rFonts w:ascii="Arial" w:eastAsia="Times New Roman" w:hAnsi="Arial" w:cs="Arial"/>
          <w:sz w:val="20"/>
          <w:szCs w:val="20"/>
        </w:rPr>
        <w:t xml:space="preserve"> </w:t>
      </w:r>
      <w:r w:rsidR="005D3624" w:rsidRPr="00CA573E">
        <w:rPr>
          <w:rFonts w:ascii="Arial" w:eastAsia="Times New Roman" w:hAnsi="Arial" w:cs="Arial"/>
          <w:sz w:val="20"/>
          <w:szCs w:val="20"/>
        </w:rPr>
        <w:t>of those members were identified as having a need for LTSS.</w:t>
      </w:r>
      <w:r w:rsidR="005D3624">
        <w:rPr>
          <w:rFonts w:eastAsia="Times New Roman" w:cs="Calibri"/>
        </w:rPr>
        <w:t xml:space="preserve"> </w:t>
      </w:r>
      <w:r w:rsidR="005D3624">
        <w:rPr>
          <w:rFonts w:ascii="Arial" w:hAnsi="Arial" w:cs="Arial"/>
          <w:sz w:val="20"/>
          <w:szCs w:val="20"/>
        </w:rPr>
        <w:t>T</w:t>
      </w:r>
      <w:r w:rsidR="00D665D7" w:rsidRPr="00CA573E">
        <w:rPr>
          <w:rFonts w:ascii="Arial" w:hAnsi="Arial" w:cs="Arial"/>
          <w:sz w:val="20"/>
          <w:szCs w:val="20"/>
        </w:rPr>
        <w:t xml:space="preserve">he One Care </w:t>
      </w:r>
      <w:r w:rsidR="00BE3233" w:rsidRPr="00CA573E">
        <w:rPr>
          <w:rFonts w:ascii="Arial" w:hAnsi="Arial" w:cs="Arial"/>
          <w:sz w:val="20"/>
          <w:szCs w:val="20"/>
        </w:rPr>
        <w:t>plan</w:t>
      </w:r>
      <w:r w:rsidR="0085738F" w:rsidRPr="00CA573E">
        <w:rPr>
          <w:rFonts w:ascii="Arial" w:hAnsi="Arial" w:cs="Arial"/>
          <w:sz w:val="20"/>
          <w:szCs w:val="20"/>
        </w:rPr>
        <w:t xml:space="preserve">s </w:t>
      </w:r>
      <w:r w:rsidR="005D3624">
        <w:rPr>
          <w:rFonts w:ascii="Arial" w:hAnsi="Arial" w:cs="Arial"/>
          <w:sz w:val="20"/>
          <w:szCs w:val="20"/>
        </w:rPr>
        <w:t xml:space="preserve">are contractually required </w:t>
      </w:r>
      <w:r w:rsidR="00D665D7" w:rsidRPr="00CA573E">
        <w:rPr>
          <w:rFonts w:ascii="Arial" w:hAnsi="Arial" w:cs="Arial"/>
          <w:sz w:val="20"/>
          <w:szCs w:val="20"/>
        </w:rPr>
        <w:t xml:space="preserve">to </w:t>
      </w:r>
      <w:r w:rsidR="00BE3233" w:rsidRPr="00CA573E">
        <w:rPr>
          <w:rFonts w:ascii="Arial" w:hAnsi="Arial" w:cs="Arial"/>
          <w:sz w:val="20"/>
          <w:szCs w:val="20"/>
        </w:rPr>
        <w:t>offer a</w:t>
      </w:r>
      <w:r w:rsidR="00877706">
        <w:rPr>
          <w:rFonts w:ascii="Arial" w:hAnsi="Arial" w:cs="Arial"/>
          <w:sz w:val="20"/>
          <w:szCs w:val="20"/>
        </w:rPr>
        <w:t xml:space="preserve"> referral to a</w:t>
      </w:r>
      <w:r w:rsidR="00BE3233" w:rsidRPr="00CA573E">
        <w:rPr>
          <w:rFonts w:ascii="Arial" w:hAnsi="Arial" w:cs="Arial"/>
          <w:sz w:val="20"/>
          <w:szCs w:val="20"/>
        </w:rPr>
        <w:t>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BE3233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6E4861" w:rsidRPr="00CA573E">
        <w:rPr>
          <w:rFonts w:ascii="Arial" w:hAnsi="Arial" w:cs="Arial"/>
          <w:sz w:val="20"/>
          <w:szCs w:val="20"/>
        </w:rPr>
        <w:t xml:space="preserve"> </w:t>
      </w:r>
      <w:r w:rsidR="00D665D7" w:rsidRPr="00CA573E">
        <w:rPr>
          <w:rFonts w:ascii="Arial" w:hAnsi="Arial" w:cs="Arial"/>
          <w:sz w:val="20"/>
          <w:szCs w:val="20"/>
        </w:rPr>
        <w:t xml:space="preserve">to all of their enrollees when they make contact with them </w:t>
      </w:r>
      <w:r w:rsidR="006E4861" w:rsidRPr="00CA573E">
        <w:rPr>
          <w:rFonts w:ascii="Arial" w:hAnsi="Arial" w:cs="Arial"/>
          <w:sz w:val="20"/>
          <w:szCs w:val="20"/>
        </w:rPr>
        <w:t xml:space="preserve">(including members who may not yet </w:t>
      </w:r>
      <w:r w:rsidR="00BE3233" w:rsidRPr="00CA573E">
        <w:rPr>
          <w:rFonts w:ascii="Arial" w:hAnsi="Arial" w:cs="Arial"/>
          <w:sz w:val="20"/>
          <w:szCs w:val="20"/>
        </w:rPr>
        <w:t>have had an assessment)</w:t>
      </w:r>
      <w:r w:rsidR="0083620E">
        <w:rPr>
          <w:rFonts w:ascii="Arial" w:hAnsi="Arial" w:cs="Arial"/>
          <w:sz w:val="20"/>
          <w:szCs w:val="20"/>
        </w:rPr>
        <w:t xml:space="preserve">. </w:t>
      </w:r>
      <w:r w:rsidR="0083620E" w:rsidRPr="00CA573E">
        <w:rPr>
          <w:rFonts w:ascii="Arial" w:hAnsi="Arial" w:cs="Arial"/>
          <w:sz w:val="20"/>
          <w:szCs w:val="20"/>
        </w:rPr>
        <w:t>In this time period, the number of people who were offered a</w:t>
      </w:r>
      <w:r w:rsidR="00877706">
        <w:rPr>
          <w:rFonts w:ascii="Arial" w:hAnsi="Arial" w:cs="Arial"/>
          <w:sz w:val="20"/>
          <w:szCs w:val="20"/>
        </w:rPr>
        <w:t xml:space="preserve"> referral to a</w:t>
      </w:r>
      <w:r w:rsidR="0083620E" w:rsidRPr="00CA573E">
        <w:rPr>
          <w:rFonts w:ascii="Arial" w:hAnsi="Arial" w:cs="Arial"/>
          <w:sz w:val="20"/>
          <w:szCs w:val="20"/>
        </w:rPr>
        <w:t>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83620E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83620E" w:rsidRPr="00CA573E">
        <w:rPr>
          <w:rFonts w:ascii="Arial" w:hAnsi="Arial" w:cs="Arial"/>
          <w:sz w:val="20"/>
          <w:szCs w:val="20"/>
        </w:rPr>
        <w:t xml:space="preserve"> was significantly higher than the number of people identified as having a need for LTSS.  </w:t>
      </w:r>
      <w:r w:rsidR="0083620E">
        <w:rPr>
          <w:rFonts w:ascii="Arial" w:hAnsi="Arial" w:cs="Arial"/>
          <w:sz w:val="20"/>
          <w:szCs w:val="20"/>
        </w:rPr>
        <w:t>Members who initially decline a referral to an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83620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83620E">
        <w:rPr>
          <w:rFonts w:ascii="Arial" w:hAnsi="Arial" w:cs="Arial"/>
          <w:sz w:val="20"/>
          <w:szCs w:val="20"/>
        </w:rPr>
        <w:t xml:space="preserve"> may request one at any time. </w:t>
      </w:r>
    </w:p>
    <w:p w14:paraId="2BDD183E" w14:textId="163AD70C" w:rsidR="0033420F" w:rsidRDefault="00E42F5B" w:rsidP="006B7775">
      <w:pPr>
        <w:tabs>
          <w:tab w:val="left" w:pos="14490"/>
        </w:tabs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E3233" w:rsidRPr="00CA573E">
        <w:rPr>
          <w:rFonts w:ascii="Arial" w:hAnsi="Arial" w:cs="Arial"/>
          <w:sz w:val="20"/>
          <w:szCs w:val="20"/>
        </w:rPr>
        <w:t>he percentage of members who are offered a</w:t>
      </w:r>
      <w:r w:rsidR="00877706">
        <w:rPr>
          <w:rFonts w:ascii="Arial" w:hAnsi="Arial" w:cs="Arial"/>
          <w:sz w:val="20"/>
          <w:szCs w:val="20"/>
        </w:rPr>
        <w:t xml:space="preserve"> referral to a</w:t>
      </w:r>
      <w:r w:rsidR="00BE3233" w:rsidRPr="00CA573E">
        <w:rPr>
          <w:rFonts w:ascii="Arial" w:hAnsi="Arial" w:cs="Arial"/>
          <w:sz w:val="20"/>
          <w:szCs w:val="20"/>
        </w:rPr>
        <w:t>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BE3233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BE3233" w:rsidRPr="00CA573E">
        <w:rPr>
          <w:rFonts w:ascii="Arial" w:hAnsi="Arial" w:cs="Arial"/>
          <w:sz w:val="20"/>
          <w:szCs w:val="20"/>
        </w:rPr>
        <w:t xml:space="preserve"> may </w:t>
      </w:r>
      <w:r w:rsidR="0083620E">
        <w:rPr>
          <w:rFonts w:ascii="Arial" w:hAnsi="Arial" w:cs="Arial"/>
          <w:sz w:val="20"/>
          <w:szCs w:val="20"/>
        </w:rPr>
        <w:t xml:space="preserve">actually </w:t>
      </w:r>
      <w:r w:rsidR="00BE3233" w:rsidRPr="00CA573E">
        <w:rPr>
          <w:rFonts w:ascii="Arial" w:hAnsi="Arial" w:cs="Arial"/>
          <w:sz w:val="20"/>
          <w:szCs w:val="20"/>
        </w:rPr>
        <w:t>be slightly higher than the perce</w:t>
      </w:r>
      <w:r w:rsidR="006E4861" w:rsidRPr="00CA573E">
        <w:rPr>
          <w:rFonts w:ascii="Arial" w:hAnsi="Arial" w:cs="Arial"/>
          <w:sz w:val="20"/>
          <w:szCs w:val="20"/>
        </w:rPr>
        <w:t>ntage of those who received an assessment</w:t>
      </w:r>
      <w:r>
        <w:rPr>
          <w:rFonts w:ascii="Arial" w:hAnsi="Arial" w:cs="Arial"/>
          <w:sz w:val="20"/>
          <w:szCs w:val="20"/>
        </w:rPr>
        <w:t>, resulting in a percentage that is greater than 100%</w:t>
      </w:r>
      <w:r w:rsidR="006E4861" w:rsidRPr="00CA573E">
        <w:rPr>
          <w:rFonts w:ascii="Arial" w:hAnsi="Arial" w:cs="Arial"/>
          <w:sz w:val="20"/>
          <w:szCs w:val="20"/>
        </w:rPr>
        <w:t>.</w:t>
      </w:r>
      <w:r w:rsidR="00BE3233" w:rsidRPr="00CA573E">
        <w:rPr>
          <w:rFonts w:ascii="Arial" w:hAnsi="Arial" w:cs="Arial"/>
          <w:sz w:val="20"/>
          <w:szCs w:val="20"/>
        </w:rPr>
        <w:t xml:space="preserve">  </w:t>
      </w:r>
      <w:r w:rsidR="00992B60">
        <w:rPr>
          <w:rFonts w:ascii="Arial" w:hAnsi="Arial" w:cs="Arial"/>
          <w:sz w:val="20"/>
          <w:szCs w:val="20"/>
        </w:rPr>
        <w:t xml:space="preserve">For example, </w:t>
      </w:r>
      <w:r w:rsidR="00292A88">
        <w:rPr>
          <w:rFonts w:ascii="Arial" w:hAnsi="Arial" w:cs="Arial"/>
          <w:sz w:val="20"/>
          <w:szCs w:val="20"/>
        </w:rPr>
        <w:t>Tufts assessed all of the 35 new members who they were able to locate within 90 days, all of whom were offered a referral to an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292A88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292A88">
        <w:rPr>
          <w:rFonts w:ascii="Arial" w:hAnsi="Arial" w:cs="Arial"/>
          <w:sz w:val="20"/>
          <w:szCs w:val="20"/>
        </w:rPr>
        <w:t>. Tufts was also able to offer a</w:t>
      </w:r>
      <w:r w:rsidR="00877706">
        <w:rPr>
          <w:rFonts w:ascii="Arial" w:hAnsi="Arial" w:cs="Arial"/>
          <w:sz w:val="20"/>
          <w:szCs w:val="20"/>
        </w:rPr>
        <w:t xml:space="preserve"> referral to a</w:t>
      </w:r>
      <w:r w:rsidR="00292A88">
        <w:rPr>
          <w:rFonts w:ascii="Arial" w:hAnsi="Arial" w:cs="Arial"/>
          <w:sz w:val="20"/>
          <w:szCs w:val="20"/>
        </w:rPr>
        <w:t>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292A88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292A88">
        <w:rPr>
          <w:rFonts w:ascii="Arial" w:hAnsi="Arial" w:cs="Arial"/>
          <w:sz w:val="20"/>
          <w:szCs w:val="20"/>
        </w:rPr>
        <w:t xml:space="preserve"> to 2 additional members who refused a full assessment</w:t>
      </w:r>
      <w:r>
        <w:rPr>
          <w:rFonts w:ascii="Arial" w:hAnsi="Arial" w:cs="Arial"/>
          <w:sz w:val="20"/>
          <w:szCs w:val="20"/>
        </w:rPr>
        <w:t xml:space="preserve">, resulting in a percentage of 106% (where the total number of members who received an assessment (35) is the denominator, and the total number of </w:t>
      </w:r>
      <w:r w:rsidR="005A760E">
        <w:rPr>
          <w:rFonts w:ascii="Arial" w:hAnsi="Arial" w:cs="Arial"/>
          <w:sz w:val="20"/>
          <w:szCs w:val="20"/>
        </w:rPr>
        <w:t xml:space="preserve">members </w:t>
      </w:r>
      <w:r w:rsidR="005A760E">
        <w:t xml:space="preserve">who were offered a referral to </w:t>
      </w:r>
      <w:r>
        <w:rPr>
          <w:rFonts w:ascii="Arial" w:hAnsi="Arial" w:cs="Arial"/>
          <w:sz w:val="20"/>
          <w:szCs w:val="20"/>
        </w:rPr>
        <w:t>an LTS-C (37) is the numerator)</w:t>
      </w:r>
      <w:r w:rsidR="00292A88">
        <w:rPr>
          <w:rFonts w:ascii="Arial" w:hAnsi="Arial" w:cs="Arial"/>
          <w:sz w:val="20"/>
          <w:szCs w:val="20"/>
        </w:rPr>
        <w:t xml:space="preserve">. </w:t>
      </w:r>
      <w:r w:rsidR="00C61353">
        <w:rPr>
          <w:rFonts w:ascii="Arial" w:hAnsi="Arial" w:cs="Arial"/>
          <w:sz w:val="20"/>
          <w:szCs w:val="20"/>
        </w:rPr>
        <w:t xml:space="preserve"> </w:t>
      </w:r>
    </w:p>
    <w:p w14:paraId="03BDB695" w14:textId="4351E8BD" w:rsidR="00FD466E" w:rsidRPr="00CA573E" w:rsidRDefault="00BE3233" w:rsidP="005A760E">
      <w:pPr>
        <w:ind w:firstLine="180"/>
        <w:rPr>
          <w:rFonts w:ascii="Arial" w:hAnsi="Arial" w:cs="Arial"/>
          <w:sz w:val="20"/>
          <w:szCs w:val="20"/>
        </w:rPr>
      </w:pPr>
      <w:r w:rsidRPr="00CA573E">
        <w:rPr>
          <w:rFonts w:ascii="Arial" w:hAnsi="Arial" w:cs="Arial"/>
          <w:sz w:val="20"/>
          <w:szCs w:val="20"/>
        </w:rPr>
        <w:t>No</w:t>
      </w:r>
      <w:r w:rsidR="00766752" w:rsidRPr="00CA573E">
        <w:rPr>
          <w:rFonts w:ascii="Arial" w:hAnsi="Arial" w:cs="Arial"/>
          <w:sz w:val="20"/>
          <w:szCs w:val="20"/>
        </w:rPr>
        <w:t xml:space="preserve">te that enrollment in </w:t>
      </w:r>
      <w:r w:rsidR="00A30CF7">
        <w:rPr>
          <w:rFonts w:ascii="Arial" w:hAnsi="Arial" w:cs="Arial"/>
          <w:sz w:val="20"/>
          <w:szCs w:val="20"/>
        </w:rPr>
        <w:t>Chart 5</w:t>
      </w:r>
      <w:r w:rsidR="00766752" w:rsidRPr="00CA573E">
        <w:rPr>
          <w:rFonts w:ascii="Arial" w:hAnsi="Arial" w:cs="Arial"/>
          <w:sz w:val="20"/>
          <w:szCs w:val="20"/>
        </w:rPr>
        <w:t xml:space="preserve"> excludes members who were unwilling to participate in an assessm</w:t>
      </w:r>
      <w:r w:rsidR="00094B1E" w:rsidRPr="00CA573E">
        <w:rPr>
          <w:rFonts w:ascii="Arial" w:hAnsi="Arial" w:cs="Arial"/>
          <w:sz w:val="20"/>
          <w:szCs w:val="20"/>
        </w:rPr>
        <w:t xml:space="preserve">ent or who </w:t>
      </w:r>
      <w:r w:rsidR="005D3624">
        <w:rPr>
          <w:rFonts w:ascii="Arial" w:hAnsi="Arial" w:cs="Arial"/>
          <w:sz w:val="20"/>
          <w:szCs w:val="20"/>
        </w:rPr>
        <w:t xml:space="preserve">the plans </w:t>
      </w:r>
      <w:r w:rsidR="00094B1E" w:rsidRPr="00CA573E">
        <w:rPr>
          <w:rFonts w:ascii="Arial" w:hAnsi="Arial" w:cs="Arial"/>
          <w:sz w:val="20"/>
          <w:szCs w:val="20"/>
        </w:rPr>
        <w:t xml:space="preserve">were </w:t>
      </w:r>
      <w:r w:rsidR="005D3624">
        <w:rPr>
          <w:rFonts w:ascii="Arial" w:hAnsi="Arial" w:cs="Arial"/>
          <w:sz w:val="20"/>
          <w:szCs w:val="20"/>
        </w:rPr>
        <w:t>unable to locate</w:t>
      </w:r>
      <w:r w:rsidR="00094B1E" w:rsidRPr="00CA573E">
        <w:rPr>
          <w:rFonts w:ascii="Arial" w:hAnsi="Arial" w:cs="Arial"/>
          <w:sz w:val="20"/>
          <w:szCs w:val="20"/>
        </w:rPr>
        <w:t xml:space="preserve">, as with Charts 1 and 2. </w:t>
      </w:r>
    </w:p>
    <w:p w14:paraId="65B0FB0D" w14:textId="77777777" w:rsidR="00B27160" w:rsidRDefault="00B271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CF3D43" w14:textId="2C3BE852" w:rsidR="00862FDE" w:rsidRDefault="00B144DE" w:rsidP="006B7775">
      <w:pPr>
        <w:tabs>
          <w:tab w:val="left" w:pos="180"/>
          <w:tab w:val="left" w:pos="14400"/>
          <w:tab w:val="left" w:pos="14760"/>
        </w:tabs>
        <w:jc w:val="center"/>
      </w:pPr>
      <w:r w:rsidRPr="00C45E64">
        <w:rPr>
          <w:rFonts w:ascii="Arial" w:hAnsi="Arial" w:cs="Arial"/>
          <w:noProof/>
        </w:rPr>
        <w:lastRenderedPageBreak/>
        <w:drawing>
          <wp:inline distT="0" distB="0" distL="0" distR="0" wp14:anchorId="55C4780A" wp14:editId="05639370">
            <wp:extent cx="9163050" cy="2880360"/>
            <wp:effectExtent l="0" t="0" r="19050" b="15240"/>
            <wp:docPr id="9" name="Chart 9" descr="Bar chart depicting percent of newly enrolled members by referral to LTS-C Agency status, by plan.&#10;Commonwealth Care Alliance (N=383)&#10;-45% of members were referred to an LTS-C Agency&#10;-55% of members declined a referral to an LTS-C Agency&#10;Fallon Total Care (N=108)&#10;-56% of members were referred to an LTS-C Agency&#10;-44% of members declined a referral to an LTS-C Agency&#10;Tufts Health Plan (N=37)&#10;-22% of members were referred to an LTS-C Agency&#10;-78% of members declined a referral to an LTS-C Agency&#10;Program Total (N=582)&#10;-46% of members were referred to an LTS-C Agency&#10;-54% of members declined a referral to an LTS-C Agency&#10;Note: This quarter only included enrollments by self-selection.&#10;N= total members from Chart 5 who were offered a referral to an LTS-C agency" title="Chart 6: Long-Term Supports Coordinator (LTS-C) Referral Uptake for Individuals Whose Enrollment Began on Jan. 1, Feb.1, Mar. 1 of 2015 and who were offered a referral to an LTS-C Agency Within 90 Days of Enrollmen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C45E64">
        <w:rPr>
          <w:rFonts w:ascii="Arial" w:hAnsi="Arial" w:cs="Arial"/>
          <w:noProof/>
        </w:rPr>
        <w:drawing>
          <wp:inline distT="0" distB="0" distL="0" distR="0" wp14:anchorId="22406E32" wp14:editId="475681CD">
            <wp:extent cx="9162288" cy="2880360"/>
            <wp:effectExtent l="0" t="0" r="20320" b="15240"/>
            <wp:docPr id="8" name="Chart 8" descr="Bar chart depicting percent of newly enrolled members by referral to LTS-C Agency status, by plan.&#10;Commonwealth Care Alliance (N=208)&#10;-50% of members were referred to an LTS-C Agency&#10;-49% of members declined a referral to an LTS-C Agency&#10;Fallon Total Care (N=68)&#10;-71% of members were referred to an LTS-C Agency&#10;-29% of members declined a referral to an LTS-C Agency&#10;Tufts Health Plan (N=13)&#10;-46% of members were referred to an LTS-C Agency&#10;-54% of members declined a referral to an LTS-C Agency&#10;Program Total (N=289)&#10;-55% of members were referred to an LTS-C Agency&#10;-45% of members declined a referral to an LTS-C Agency&#10;Note: This quarter only included enrollments by self-selection.&#10;N= total members from Chart 5 who were offered a referral to an LTS-C agency" title="Chart 7: Long-Term Supports Coordinator (LTS-C) Referral Uptake for Individuals with an Identfied wtih an Identified LTSS Need Whose Enrollment Began on Jan. 1., Feb. 1, and Mar. 1 of 2015 adn who were offered a referral to an LTS-C Agency Within 90 Days of Enrollment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79C05EF" w14:textId="129D5E10" w:rsidR="00862FDE" w:rsidRPr="00CA573E" w:rsidRDefault="00862FDE" w:rsidP="00862FDE">
      <w:pPr>
        <w:rPr>
          <w:rFonts w:ascii="Arial" w:hAnsi="Arial" w:cs="Arial"/>
          <w:sz w:val="20"/>
          <w:szCs w:val="20"/>
        </w:rPr>
      </w:pPr>
      <w:r w:rsidRPr="00CA573E">
        <w:rPr>
          <w:rFonts w:ascii="Arial" w:hAnsi="Arial" w:cs="Arial"/>
          <w:sz w:val="20"/>
          <w:szCs w:val="20"/>
        </w:rPr>
        <w:lastRenderedPageBreak/>
        <w:t>Chart 6 shows how many members</w:t>
      </w:r>
      <w:r w:rsidR="001B49A9" w:rsidRPr="00CA573E">
        <w:rPr>
          <w:rFonts w:ascii="Arial" w:hAnsi="Arial" w:cs="Arial"/>
          <w:sz w:val="20"/>
          <w:szCs w:val="20"/>
        </w:rPr>
        <w:t>, of the total</w:t>
      </w:r>
      <w:r w:rsidRPr="00CA573E">
        <w:rPr>
          <w:rFonts w:ascii="Arial" w:hAnsi="Arial" w:cs="Arial"/>
          <w:sz w:val="20"/>
          <w:szCs w:val="20"/>
        </w:rPr>
        <w:t xml:space="preserve"> who we</w:t>
      </w:r>
      <w:r w:rsidR="00BB435B" w:rsidRPr="00CA573E">
        <w:rPr>
          <w:rFonts w:ascii="Arial" w:hAnsi="Arial" w:cs="Arial"/>
          <w:sz w:val="20"/>
          <w:szCs w:val="20"/>
        </w:rPr>
        <w:t>re offered an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BB435B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BB435B" w:rsidRPr="00CA573E">
        <w:rPr>
          <w:rFonts w:ascii="Arial" w:hAnsi="Arial" w:cs="Arial"/>
          <w:sz w:val="20"/>
          <w:szCs w:val="20"/>
        </w:rPr>
        <w:t xml:space="preserve"> </w:t>
      </w:r>
      <w:r w:rsidR="001B49A9" w:rsidRPr="00CA573E">
        <w:rPr>
          <w:rFonts w:ascii="Arial" w:hAnsi="Arial" w:cs="Arial"/>
          <w:sz w:val="20"/>
          <w:szCs w:val="20"/>
        </w:rPr>
        <w:t xml:space="preserve">referral (the purple column in Chart 5), </w:t>
      </w:r>
      <w:r w:rsidR="00BB435B" w:rsidRPr="00CA573E">
        <w:rPr>
          <w:rFonts w:ascii="Arial" w:hAnsi="Arial" w:cs="Arial"/>
          <w:sz w:val="20"/>
          <w:szCs w:val="20"/>
        </w:rPr>
        <w:t>either declin</w:t>
      </w:r>
      <w:r w:rsidRPr="00CA573E">
        <w:rPr>
          <w:rFonts w:ascii="Arial" w:hAnsi="Arial" w:cs="Arial"/>
          <w:sz w:val="20"/>
          <w:szCs w:val="20"/>
        </w:rPr>
        <w:t xml:space="preserve">ed the offer </w:t>
      </w:r>
      <w:r w:rsidR="005D3624">
        <w:rPr>
          <w:rFonts w:ascii="Arial" w:hAnsi="Arial" w:cs="Arial"/>
          <w:sz w:val="20"/>
          <w:szCs w:val="20"/>
        </w:rPr>
        <w:t xml:space="preserve">of a referral </w:t>
      </w:r>
      <w:r w:rsidRPr="00CA573E">
        <w:rPr>
          <w:rFonts w:ascii="Arial" w:hAnsi="Arial" w:cs="Arial"/>
          <w:sz w:val="20"/>
          <w:szCs w:val="20"/>
        </w:rPr>
        <w:t>or accepted and were subsequently referred to an LTS-C Agency.</w:t>
      </w:r>
      <w:r w:rsidR="0033420F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CA573E">
        <w:rPr>
          <w:rFonts w:ascii="Arial" w:hAnsi="Arial" w:cs="Arial"/>
          <w:sz w:val="20"/>
          <w:szCs w:val="20"/>
        </w:rPr>
        <w:t xml:space="preserve"> Because in some cases members may not have made an affirmative</w:t>
      </w:r>
      <w:r w:rsidR="00BB435B" w:rsidRPr="00CA573E">
        <w:rPr>
          <w:rFonts w:ascii="Arial" w:hAnsi="Arial" w:cs="Arial"/>
          <w:sz w:val="20"/>
          <w:szCs w:val="20"/>
        </w:rPr>
        <w:t xml:space="preserve"> choice to be referred or decline a referral to</w:t>
      </w:r>
      <w:r w:rsidRPr="00CA573E">
        <w:rPr>
          <w:rFonts w:ascii="Arial" w:hAnsi="Arial" w:cs="Arial"/>
          <w:sz w:val="20"/>
          <w:szCs w:val="20"/>
        </w:rPr>
        <w:t xml:space="preserve"> an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Pr="00CA573E">
        <w:rPr>
          <w:rFonts w:ascii="Arial" w:hAnsi="Arial" w:cs="Arial"/>
          <w:sz w:val="20"/>
          <w:szCs w:val="20"/>
        </w:rPr>
        <w:t xml:space="preserve"> </w:t>
      </w:r>
      <w:r w:rsidR="00BB435B" w:rsidRPr="00CA573E">
        <w:rPr>
          <w:rFonts w:ascii="Arial" w:hAnsi="Arial" w:cs="Arial"/>
          <w:sz w:val="20"/>
          <w:szCs w:val="20"/>
        </w:rPr>
        <w:t xml:space="preserve">agency </w:t>
      </w:r>
      <w:r w:rsidRPr="00CA573E">
        <w:rPr>
          <w:rFonts w:ascii="Arial" w:hAnsi="Arial" w:cs="Arial"/>
          <w:sz w:val="20"/>
          <w:szCs w:val="20"/>
        </w:rPr>
        <w:t>within the 90 day time period</w:t>
      </w:r>
      <w:r w:rsidR="00717E46" w:rsidRPr="00CA573E">
        <w:rPr>
          <w:rFonts w:ascii="Arial" w:hAnsi="Arial" w:cs="Arial"/>
          <w:sz w:val="20"/>
          <w:szCs w:val="20"/>
        </w:rPr>
        <w:t xml:space="preserve"> or the plan may not have completed a referral</w:t>
      </w:r>
      <w:r w:rsidRPr="00CA573E">
        <w:rPr>
          <w:rFonts w:ascii="Arial" w:hAnsi="Arial" w:cs="Arial"/>
          <w:sz w:val="20"/>
          <w:szCs w:val="20"/>
        </w:rPr>
        <w:t>, percentages may not always add up to 100%. Chart 7</w:t>
      </w:r>
      <w:r w:rsidR="005D1B33" w:rsidRPr="00CA573E">
        <w:rPr>
          <w:rFonts w:ascii="Arial" w:hAnsi="Arial" w:cs="Arial"/>
          <w:sz w:val="20"/>
          <w:szCs w:val="20"/>
        </w:rPr>
        <w:t xml:space="preserve"> </w:t>
      </w:r>
      <w:r w:rsidRPr="00CA573E">
        <w:rPr>
          <w:rFonts w:ascii="Arial" w:hAnsi="Arial" w:cs="Arial"/>
          <w:sz w:val="20"/>
          <w:szCs w:val="20"/>
        </w:rPr>
        <w:t xml:space="preserve">shows how many </w:t>
      </w:r>
      <w:r w:rsidR="001B49A9" w:rsidRPr="00CA573E">
        <w:rPr>
          <w:rFonts w:ascii="Arial" w:hAnsi="Arial" w:cs="Arial"/>
          <w:sz w:val="20"/>
          <w:szCs w:val="20"/>
        </w:rPr>
        <w:t xml:space="preserve">of the </w:t>
      </w:r>
      <w:r w:rsidRPr="00CA573E">
        <w:rPr>
          <w:rFonts w:ascii="Arial" w:hAnsi="Arial" w:cs="Arial"/>
          <w:sz w:val="20"/>
          <w:szCs w:val="20"/>
        </w:rPr>
        <w:t xml:space="preserve">members with </w:t>
      </w:r>
      <w:r w:rsidR="007A7F25" w:rsidRPr="00CA573E">
        <w:rPr>
          <w:rFonts w:ascii="Arial" w:hAnsi="Arial" w:cs="Arial"/>
          <w:sz w:val="20"/>
          <w:szCs w:val="20"/>
        </w:rPr>
        <w:t>an identified need for LTSS</w:t>
      </w:r>
      <w:r w:rsidR="001B49A9" w:rsidRPr="00CA573E">
        <w:rPr>
          <w:rFonts w:ascii="Arial" w:hAnsi="Arial" w:cs="Arial"/>
          <w:sz w:val="20"/>
          <w:szCs w:val="20"/>
        </w:rPr>
        <w:t xml:space="preserve"> (Chart 5)</w:t>
      </w:r>
      <w:r w:rsidR="007A7F25" w:rsidRPr="00CA573E">
        <w:rPr>
          <w:rFonts w:ascii="Arial" w:hAnsi="Arial" w:cs="Arial"/>
          <w:sz w:val="20"/>
          <w:szCs w:val="20"/>
        </w:rPr>
        <w:t xml:space="preserve"> </w:t>
      </w:r>
      <w:r w:rsidR="00BB435B" w:rsidRPr="00CA573E">
        <w:rPr>
          <w:rFonts w:ascii="Arial" w:hAnsi="Arial" w:cs="Arial"/>
          <w:sz w:val="20"/>
          <w:szCs w:val="20"/>
        </w:rPr>
        <w:t xml:space="preserve">either declined </w:t>
      </w:r>
      <w:r w:rsidR="001B49A9" w:rsidRPr="00CA573E">
        <w:rPr>
          <w:rFonts w:ascii="Arial" w:hAnsi="Arial" w:cs="Arial"/>
          <w:sz w:val="20"/>
          <w:szCs w:val="20"/>
        </w:rPr>
        <w:t>the offer of an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1B49A9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1B49A9" w:rsidRPr="00CA573E">
        <w:rPr>
          <w:rFonts w:ascii="Arial" w:hAnsi="Arial" w:cs="Arial"/>
          <w:sz w:val="20"/>
          <w:szCs w:val="20"/>
        </w:rPr>
        <w:t xml:space="preserve"> referral</w:t>
      </w:r>
      <w:r w:rsidR="00A31C3F" w:rsidRPr="00CA573E">
        <w:rPr>
          <w:rFonts w:ascii="Arial" w:hAnsi="Arial" w:cs="Arial"/>
          <w:sz w:val="20"/>
          <w:szCs w:val="20"/>
        </w:rPr>
        <w:t>,</w:t>
      </w:r>
      <w:r w:rsidR="001B49A9" w:rsidRPr="00CA573E">
        <w:rPr>
          <w:rFonts w:ascii="Arial" w:hAnsi="Arial" w:cs="Arial"/>
          <w:sz w:val="20"/>
          <w:szCs w:val="20"/>
        </w:rPr>
        <w:t xml:space="preserve"> </w:t>
      </w:r>
      <w:r w:rsidR="00BB435B" w:rsidRPr="00CA573E">
        <w:rPr>
          <w:rFonts w:ascii="Arial" w:hAnsi="Arial" w:cs="Arial"/>
          <w:sz w:val="20"/>
          <w:szCs w:val="20"/>
        </w:rPr>
        <w:t xml:space="preserve">or accepted and </w:t>
      </w:r>
      <w:r w:rsidRPr="00CA573E">
        <w:rPr>
          <w:rFonts w:ascii="Arial" w:hAnsi="Arial" w:cs="Arial"/>
          <w:sz w:val="20"/>
          <w:szCs w:val="20"/>
        </w:rPr>
        <w:t>were subsequently referred to an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Pr="00CA573E">
        <w:rPr>
          <w:rFonts w:ascii="Arial" w:hAnsi="Arial" w:cs="Arial"/>
          <w:sz w:val="20"/>
          <w:szCs w:val="20"/>
        </w:rPr>
        <w:t xml:space="preserve"> Agency. </w:t>
      </w:r>
    </w:p>
    <w:p w14:paraId="568D03B9" w14:textId="130FDDE4" w:rsidR="000C1DD4" w:rsidRPr="00CA573E" w:rsidRDefault="00336AB6" w:rsidP="00862FDE">
      <w:pPr>
        <w:rPr>
          <w:rFonts w:ascii="Arial" w:hAnsi="Arial" w:cs="Arial"/>
          <w:sz w:val="20"/>
          <w:szCs w:val="20"/>
        </w:rPr>
      </w:pPr>
      <w:r w:rsidRPr="00CA573E">
        <w:rPr>
          <w:rFonts w:ascii="Arial" w:hAnsi="Arial" w:cs="Arial"/>
          <w:sz w:val="20"/>
          <w:szCs w:val="20"/>
        </w:rPr>
        <w:t xml:space="preserve">As might be expected, </w:t>
      </w:r>
      <w:r w:rsidR="005D1B33" w:rsidRPr="00CA573E">
        <w:rPr>
          <w:rFonts w:ascii="Arial" w:hAnsi="Arial" w:cs="Arial"/>
          <w:sz w:val="20"/>
          <w:szCs w:val="20"/>
        </w:rPr>
        <w:t xml:space="preserve">these charts demonstrate that </w:t>
      </w:r>
      <w:r w:rsidRPr="00CA573E">
        <w:rPr>
          <w:rFonts w:ascii="Arial" w:hAnsi="Arial" w:cs="Arial"/>
          <w:sz w:val="20"/>
          <w:szCs w:val="20"/>
        </w:rPr>
        <w:t>uptake of the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Pr="00CA573E">
        <w:rPr>
          <w:rFonts w:ascii="Arial" w:hAnsi="Arial" w:cs="Arial"/>
          <w:sz w:val="20"/>
          <w:szCs w:val="20"/>
        </w:rPr>
        <w:t xml:space="preserve"> </w:t>
      </w:r>
      <w:r w:rsidR="001B49A9" w:rsidRPr="00CA573E">
        <w:rPr>
          <w:rFonts w:ascii="Arial" w:hAnsi="Arial" w:cs="Arial"/>
          <w:sz w:val="20"/>
          <w:szCs w:val="20"/>
        </w:rPr>
        <w:t xml:space="preserve">referral </w:t>
      </w:r>
      <w:r w:rsidRPr="00CA573E">
        <w:rPr>
          <w:rFonts w:ascii="Arial" w:hAnsi="Arial" w:cs="Arial"/>
          <w:sz w:val="20"/>
          <w:szCs w:val="20"/>
        </w:rPr>
        <w:t>is much higher among individual</w:t>
      </w:r>
      <w:r w:rsidR="005D1B33" w:rsidRPr="00CA573E">
        <w:rPr>
          <w:rFonts w:ascii="Arial" w:hAnsi="Arial" w:cs="Arial"/>
          <w:sz w:val="20"/>
          <w:szCs w:val="20"/>
        </w:rPr>
        <w:t>s with an identified LTSS need, though some individuals with identified LTSS needs chos</w:t>
      </w:r>
      <w:r w:rsidR="00296051">
        <w:rPr>
          <w:rFonts w:ascii="Arial" w:hAnsi="Arial" w:cs="Arial"/>
          <w:sz w:val="20"/>
          <w:szCs w:val="20"/>
        </w:rPr>
        <w:t>e</w:t>
      </w:r>
      <w:r w:rsidR="005D1B33" w:rsidRPr="00CA573E">
        <w:rPr>
          <w:rFonts w:ascii="Arial" w:hAnsi="Arial" w:cs="Arial"/>
          <w:sz w:val="20"/>
          <w:szCs w:val="20"/>
        </w:rPr>
        <w:t xml:space="preserve"> not to have an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5D1B33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1B49A9" w:rsidRPr="00CA573E">
        <w:rPr>
          <w:rFonts w:ascii="Arial" w:hAnsi="Arial" w:cs="Arial"/>
          <w:sz w:val="20"/>
          <w:szCs w:val="20"/>
        </w:rPr>
        <w:t xml:space="preserve"> referral</w:t>
      </w:r>
      <w:r w:rsidR="005D1B33" w:rsidRPr="00CA573E">
        <w:rPr>
          <w:rFonts w:ascii="Arial" w:hAnsi="Arial" w:cs="Arial"/>
          <w:sz w:val="20"/>
          <w:szCs w:val="20"/>
        </w:rPr>
        <w:t xml:space="preserve">. </w:t>
      </w:r>
      <w:r w:rsidR="000C1DD4" w:rsidRPr="00CA573E">
        <w:rPr>
          <w:rFonts w:ascii="Arial" w:hAnsi="Arial" w:cs="Arial"/>
          <w:sz w:val="20"/>
          <w:szCs w:val="20"/>
        </w:rPr>
        <w:t>It is important to understand that choosing not to receive an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0C1DD4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0C1DD4" w:rsidRPr="00CA573E">
        <w:rPr>
          <w:rFonts w:ascii="Arial" w:hAnsi="Arial" w:cs="Arial"/>
          <w:sz w:val="20"/>
          <w:szCs w:val="20"/>
        </w:rPr>
        <w:t xml:space="preserve"> </w:t>
      </w:r>
      <w:r w:rsidR="001B49A9" w:rsidRPr="00CA573E">
        <w:rPr>
          <w:rFonts w:ascii="Arial" w:hAnsi="Arial" w:cs="Arial"/>
          <w:sz w:val="20"/>
          <w:szCs w:val="20"/>
        </w:rPr>
        <w:t xml:space="preserve">referral </w:t>
      </w:r>
      <w:r w:rsidR="000C1DD4" w:rsidRPr="00CA573E">
        <w:rPr>
          <w:rFonts w:ascii="Arial" w:hAnsi="Arial" w:cs="Arial"/>
          <w:sz w:val="20"/>
          <w:szCs w:val="20"/>
        </w:rPr>
        <w:t xml:space="preserve">does not mean the member is not receiving LTSS. This chart is only looking at a member’s choice to </w:t>
      </w:r>
      <w:r w:rsidR="00631239">
        <w:rPr>
          <w:rFonts w:ascii="Arial" w:hAnsi="Arial" w:cs="Arial"/>
          <w:sz w:val="20"/>
          <w:szCs w:val="20"/>
        </w:rPr>
        <w:t>accept</w:t>
      </w:r>
      <w:r w:rsidR="00631239" w:rsidRPr="00CA573E">
        <w:rPr>
          <w:rFonts w:ascii="Arial" w:hAnsi="Arial" w:cs="Arial"/>
          <w:sz w:val="20"/>
          <w:szCs w:val="20"/>
        </w:rPr>
        <w:t xml:space="preserve"> </w:t>
      </w:r>
      <w:r w:rsidR="000C1DD4" w:rsidRPr="00CA573E">
        <w:rPr>
          <w:rFonts w:ascii="Arial" w:hAnsi="Arial" w:cs="Arial"/>
          <w:sz w:val="20"/>
          <w:szCs w:val="20"/>
        </w:rPr>
        <w:t>an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0C1DD4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0C1DD4" w:rsidRPr="00CA573E">
        <w:rPr>
          <w:rFonts w:ascii="Arial" w:hAnsi="Arial" w:cs="Arial"/>
          <w:sz w:val="20"/>
          <w:szCs w:val="20"/>
        </w:rPr>
        <w:t xml:space="preserve"> </w:t>
      </w:r>
      <w:r w:rsidR="00631239">
        <w:rPr>
          <w:rFonts w:ascii="Arial" w:hAnsi="Arial" w:cs="Arial"/>
          <w:sz w:val="20"/>
          <w:szCs w:val="20"/>
        </w:rPr>
        <w:t xml:space="preserve">referral </w:t>
      </w:r>
      <w:r w:rsidR="000C1DD4" w:rsidRPr="00CA573E">
        <w:rPr>
          <w:rFonts w:ascii="Arial" w:hAnsi="Arial" w:cs="Arial"/>
          <w:sz w:val="20"/>
          <w:szCs w:val="20"/>
        </w:rPr>
        <w:t xml:space="preserve">or not, and does not indicate receipt of LTSS. </w:t>
      </w:r>
    </w:p>
    <w:p w14:paraId="379C966A" w14:textId="3A71360B" w:rsidR="00862FDE" w:rsidRPr="00CA573E" w:rsidRDefault="0073455D" w:rsidP="00862FDE">
      <w:pPr>
        <w:rPr>
          <w:rFonts w:ascii="Arial" w:hAnsi="Arial" w:cs="Arial"/>
          <w:sz w:val="20"/>
          <w:szCs w:val="20"/>
        </w:rPr>
      </w:pPr>
      <w:r w:rsidRPr="00CA573E">
        <w:rPr>
          <w:rFonts w:ascii="Arial" w:hAnsi="Arial" w:cs="Arial"/>
          <w:sz w:val="20"/>
          <w:szCs w:val="20"/>
        </w:rPr>
        <w:t>D</w:t>
      </w:r>
      <w:r w:rsidR="005D1B33" w:rsidRPr="00CA573E">
        <w:rPr>
          <w:rFonts w:ascii="Arial" w:hAnsi="Arial" w:cs="Arial"/>
          <w:sz w:val="20"/>
          <w:szCs w:val="20"/>
        </w:rPr>
        <w:t xml:space="preserve">ata from </w:t>
      </w:r>
      <w:r w:rsidR="00631239">
        <w:rPr>
          <w:rFonts w:ascii="Arial" w:hAnsi="Arial" w:cs="Arial"/>
          <w:sz w:val="20"/>
          <w:szCs w:val="20"/>
        </w:rPr>
        <w:t>the</w:t>
      </w:r>
      <w:r w:rsidR="00631239" w:rsidRPr="00CA573E">
        <w:rPr>
          <w:rFonts w:ascii="Arial" w:hAnsi="Arial" w:cs="Arial"/>
          <w:sz w:val="20"/>
          <w:szCs w:val="20"/>
        </w:rPr>
        <w:t xml:space="preserve"> </w:t>
      </w:r>
      <w:r w:rsidR="005D1B33" w:rsidRPr="00CA573E">
        <w:rPr>
          <w:rFonts w:ascii="Arial" w:hAnsi="Arial" w:cs="Arial"/>
          <w:sz w:val="20"/>
          <w:szCs w:val="20"/>
        </w:rPr>
        <w:t>Early Indicators Project (EIP) indicate that there may be some confusion among members about the role of the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5D1B33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5D1B33" w:rsidRPr="00CA573E">
        <w:rPr>
          <w:rFonts w:ascii="Arial" w:hAnsi="Arial" w:cs="Arial"/>
          <w:sz w:val="20"/>
          <w:szCs w:val="20"/>
        </w:rPr>
        <w:t xml:space="preserve">. MassHealth is working closely with stakeholders </w:t>
      </w:r>
      <w:r w:rsidR="007A7F25" w:rsidRPr="00CA573E">
        <w:rPr>
          <w:rFonts w:ascii="Arial" w:hAnsi="Arial" w:cs="Arial"/>
          <w:sz w:val="20"/>
          <w:szCs w:val="20"/>
        </w:rPr>
        <w:t xml:space="preserve">to understand </w:t>
      </w:r>
      <w:r w:rsidR="00F56C6B" w:rsidRPr="00CA573E">
        <w:rPr>
          <w:rFonts w:ascii="Arial" w:hAnsi="Arial" w:cs="Arial"/>
          <w:sz w:val="20"/>
          <w:szCs w:val="20"/>
        </w:rPr>
        <w:t xml:space="preserve">both LTSS need and </w:t>
      </w:r>
      <w:r w:rsidR="007A7F25" w:rsidRPr="00CA573E">
        <w:rPr>
          <w:rFonts w:ascii="Arial" w:hAnsi="Arial" w:cs="Arial"/>
          <w:sz w:val="20"/>
          <w:szCs w:val="20"/>
        </w:rPr>
        <w:t>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7A7F25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7A7F25" w:rsidRPr="00CA573E">
        <w:rPr>
          <w:rFonts w:ascii="Arial" w:hAnsi="Arial" w:cs="Arial"/>
          <w:sz w:val="20"/>
          <w:szCs w:val="20"/>
        </w:rPr>
        <w:t xml:space="preserve"> uptak</w:t>
      </w:r>
      <w:r w:rsidR="005D1B33" w:rsidRPr="00CA573E">
        <w:rPr>
          <w:rFonts w:ascii="Arial" w:hAnsi="Arial" w:cs="Arial"/>
          <w:sz w:val="20"/>
          <w:szCs w:val="20"/>
        </w:rPr>
        <w:t>e</w:t>
      </w:r>
      <w:r w:rsidR="00F56C6B" w:rsidRPr="00CA573E">
        <w:rPr>
          <w:rFonts w:ascii="Arial" w:hAnsi="Arial" w:cs="Arial"/>
          <w:sz w:val="20"/>
          <w:szCs w:val="20"/>
        </w:rPr>
        <w:t>,</w:t>
      </w:r>
      <w:r w:rsidR="005D1B33" w:rsidRPr="00CA573E">
        <w:rPr>
          <w:rFonts w:ascii="Arial" w:hAnsi="Arial" w:cs="Arial"/>
          <w:sz w:val="20"/>
          <w:szCs w:val="20"/>
        </w:rPr>
        <w:t xml:space="preserve"> and to educate both members and providers about the role of the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5D1B33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5D1B33" w:rsidRPr="00CA573E">
        <w:rPr>
          <w:rFonts w:ascii="Arial" w:hAnsi="Arial" w:cs="Arial"/>
          <w:sz w:val="20"/>
          <w:szCs w:val="20"/>
        </w:rPr>
        <w:t xml:space="preserve">.  </w:t>
      </w:r>
      <w:r w:rsidR="007A7F25" w:rsidRPr="00CA573E">
        <w:rPr>
          <w:rFonts w:ascii="Arial" w:hAnsi="Arial" w:cs="Arial"/>
          <w:sz w:val="20"/>
          <w:szCs w:val="20"/>
        </w:rPr>
        <w:t>For example</w:t>
      </w:r>
      <w:r w:rsidR="005D1B33" w:rsidRPr="00CA573E">
        <w:rPr>
          <w:rFonts w:ascii="Arial" w:hAnsi="Arial" w:cs="Arial"/>
          <w:sz w:val="20"/>
          <w:szCs w:val="20"/>
        </w:rPr>
        <w:t xml:space="preserve">, </w:t>
      </w:r>
      <w:r w:rsidR="008C25EB" w:rsidRPr="00CA573E">
        <w:rPr>
          <w:rFonts w:ascii="Arial" w:hAnsi="Arial" w:cs="Arial"/>
          <w:sz w:val="20"/>
          <w:szCs w:val="20"/>
        </w:rPr>
        <w:t xml:space="preserve">MassHealth worked with stakeholders </w:t>
      </w:r>
      <w:r w:rsidR="005D1B33" w:rsidRPr="00CA573E">
        <w:rPr>
          <w:rFonts w:ascii="Arial" w:hAnsi="Arial" w:cs="Arial"/>
          <w:sz w:val="20"/>
          <w:szCs w:val="20"/>
        </w:rPr>
        <w:t xml:space="preserve">to create a </w:t>
      </w:r>
      <w:hyperlink r:id="rId17" w:history="1">
        <w:r w:rsidR="005D1B33" w:rsidRPr="00CA573E">
          <w:rPr>
            <w:rStyle w:val="Hyperlink"/>
            <w:rFonts w:ascii="Arial" w:hAnsi="Arial" w:cs="Arial"/>
            <w:sz w:val="20"/>
            <w:szCs w:val="20"/>
          </w:rPr>
          <w:t>one-page informational sheet</w:t>
        </w:r>
      </w:hyperlink>
      <w:r w:rsidR="005D1B33" w:rsidRPr="00CA573E">
        <w:rPr>
          <w:rFonts w:ascii="Arial" w:hAnsi="Arial" w:cs="Arial"/>
          <w:sz w:val="20"/>
          <w:szCs w:val="20"/>
        </w:rPr>
        <w:t xml:space="preserve"> </w:t>
      </w:r>
      <w:r w:rsidR="00F56C6B" w:rsidRPr="00CA573E">
        <w:rPr>
          <w:rFonts w:ascii="Arial" w:hAnsi="Arial" w:cs="Arial"/>
          <w:sz w:val="20"/>
          <w:szCs w:val="20"/>
        </w:rPr>
        <w:t>on a member’s right to an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F56C6B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F56C6B" w:rsidRPr="00CA573E">
        <w:rPr>
          <w:rFonts w:ascii="Arial" w:hAnsi="Arial" w:cs="Arial"/>
          <w:sz w:val="20"/>
          <w:szCs w:val="20"/>
        </w:rPr>
        <w:t xml:space="preserve"> </w:t>
      </w:r>
      <w:r w:rsidR="008C25EB" w:rsidRPr="00CA573E">
        <w:rPr>
          <w:rFonts w:ascii="Arial" w:hAnsi="Arial" w:cs="Arial"/>
          <w:sz w:val="20"/>
          <w:szCs w:val="20"/>
        </w:rPr>
        <w:t xml:space="preserve">(released in July 2014), </w:t>
      </w:r>
      <w:r w:rsidR="000C1DD4" w:rsidRPr="00CA573E">
        <w:rPr>
          <w:rFonts w:ascii="Arial" w:hAnsi="Arial" w:cs="Arial"/>
          <w:sz w:val="20"/>
          <w:szCs w:val="20"/>
        </w:rPr>
        <w:t xml:space="preserve">that </w:t>
      </w:r>
      <w:r w:rsidR="005D1B33" w:rsidRPr="00CA573E">
        <w:rPr>
          <w:rFonts w:ascii="Arial" w:hAnsi="Arial" w:cs="Arial"/>
          <w:sz w:val="20"/>
          <w:szCs w:val="20"/>
        </w:rPr>
        <w:t xml:space="preserve">One Care plans </w:t>
      </w:r>
      <w:r w:rsidR="00F56C6B" w:rsidRPr="00CA573E">
        <w:rPr>
          <w:rFonts w:ascii="Arial" w:hAnsi="Arial" w:cs="Arial"/>
          <w:sz w:val="20"/>
          <w:szCs w:val="20"/>
        </w:rPr>
        <w:t xml:space="preserve">have been instructed to </w:t>
      </w:r>
      <w:r w:rsidR="005D1B33" w:rsidRPr="00CA573E">
        <w:rPr>
          <w:rFonts w:ascii="Arial" w:hAnsi="Arial" w:cs="Arial"/>
          <w:sz w:val="20"/>
          <w:szCs w:val="20"/>
        </w:rPr>
        <w:t>give to each</w:t>
      </w:r>
      <w:r w:rsidR="000C1DD4" w:rsidRPr="00CA573E">
        <w:rPr>
          <w:rFonts w:ascii="Arial" w:hAnsi="Arial" w:cs="Arial"/>
          <w:sz w:val="20"/>
          <w:szCs w:val="20"/>
        </w:rPr>
        <w:t xml:space="preserve"> of their enrolled</w:t>
      </w:r>
      <w:r w:rsidR="005D1B33" w:rsidRPr="00CA573E">
        <w:rPr>
          <w:rFonts w:ascii="Arial" w:hAnsi="Arial" w:cs="Arial"/>
          <w:sz w:val="20"/>
          <w:szCs w:val="20"/>
        </w:rPr>
        <w:t xml:space="preserve"> member</w:t>
      </w:r>
      <w:r w:rsidR="000C1DD4" w:rsidRPr="00CA573E">
        <w:rPr>
          <w:rFonts w:ascii="Arial" w:hAnsi="Arial" w:cs="Arial"/>
          <w:sz w:val="20"/>
          <w:szCs w:val="20"/>
        </w:rPr>
        <w:t>s</w:t>
      </w:r>
      <w:r w:rsidR="008C25EB" w:rsidRPr="00CA573E">
        <w:rPr>
          <w:rFonts w:ascii="Arial" w:hAnsi="Arial" w:cs="Arial"/>
          <w:sz w:val="20"/>
          <w:szCs w:val="20"/>
        </w:rPr>
        <w:t xml:space="preserve">; and </w:t>
      </w:r>
      <w:r w:rsidR="00296051">
        <w:rPr>
          <w:rFonts w:ascii="Arial" w:hAnsi="Arial" w:cs="Arial"/>
          <w:sz w:val="20"/>
          <w:szCs w:val="20"/>
        </w:rPr>
        <w:t>also</w:t>
      </w:r>
      <w:r w:rsidR="00296051" w:rsidRPr="00CA573E">
        <w:rPr>
          <w:rFonts w:ascii="Arial" w:hAnsi="Arial" w:cs="Arial"/>
          <w:sz w:val="20"/>
          <w:szCs w:val="20"/>
        </w:rPr>
        <w:t xml:space="preserve"> </w:t>
      </w:r>
      <w:r w:rsidR="008C25EB" w:rsidRPr="00CA573E">
        <w:rPr>
          <w:rFonts w:ascii="Arial" w:hAnsi="Arial" w:cs="Arial"/>
          <w:sz w:val="20"/>
          <w:szCs w:val="20"/>
        </w:rPr>
        <w:t xml:space="preserve">to develop a </w:t>
      </w:r>
      <w:hyperlink r:id="rId18" w:history="1">
        <w:r w:rsidR="008C25EB" w:rsidRPr="00CA573E">
          <w:rPr>
            <w:rStyle w:val="Hyperlink"/>
            <w:rFonts w:ascii="Arial" w:hAnsi="Arial" w:cs="Arial"/>
            <w:sz w:val="20"/>
            <w:szCs w:val="20"/>
          </w:rPr>
          <w:t>webinar</w:t>
        </w:r>
      </w:hyperlink>
      <w:r w:rsidR="008C25EB" w:rsidRPr="00CA573E">
        <w:rPr>
          <w:rFonts w:ascii="Arial" w:hAnsi="Arial" w:cs="Arial"/>
          <w:sz w:val="20"/>
          <w:szCs w:val="20"/>
        </w:rPr>
        <w:t xml:space="preserve"> on the role and benefits of the LTS</w:t>
      </w:r>
      <w:r w:rsidR="00A62C55">
        <w:rPr>
          <w:rFonts w:ascii="Arial" w:hAnsi="Arial" w:cs="Arial"/>
          <w:sz w:val="20"/>
          <w:szCs w:val="20"/>
        </w:rPr>
        <w:t xml:space="preserve"> </w:t>
      </w:r>
      <w:r w:rsidR="008C25EB" w:rsidRPr="00CA573E">
        <w:rPr>
          <w:rFonts w:ascii="Arial" w:hAnsi="Arial" w:cs="Arial"/>
          <w:sz w:val="20"/>
          <w:szCs w:val="20"/>
        </w:rPr>
        <w:t>C</w:t>
      </w:r>
      <w:r w:rsidR="00A62C55">
        <w:rPr>
          <w:rFonts w:ascii="Arial" w:hAnsi="Arial" w:cs="Arial"/>
          <w:sz w:val="20"/>
          <w:szCs w:val="20"/>
        </w:rPr>
        <w:t>oordinator</w:t>
      </w:r>
      <w:r w:rsidR="008C25EB" w:rsidRPr="00CA573E">
        <w:rPr>
          <w:rFonts w:ascii="Arial" w:hAnsi="Arial" w:cs="Arial"/>
          <w:sz w:val="20"/>
          <w:szCs w:val="20"/>
        </w:rPr>
        <w:t xml:space="preserve"> for members </w:t>
      </w:r>
      <w:r w:rsidR="00296051">
        <w:rPr>
          <w:rFonts w:ascii="Arial" w:hAnsi="Arial" w:cs="Arial"/>
          <w:sz w:val="20"/>
          <w:szCs w:val="20"/>
        </w:rPr>
        <w:t>(</w:t>
      </w:r>
      <w:r w:rsidR="008C25EB" w:rsidRPr="00CA573E">
        <w:rPr>
          <w:rFonts w:ascii="Arial" w:hAnsi="Arial" w:cs="Arial"/>
          <w:sz w:val="20"/>
          <w:szCs w:val="20"/>
        </w:rPr>
        <w:t>September of 2014</w:t>
      </w:r>
      <w:r w:rsidR="00296051">
        <w:rPr>
          <w:rFonts w:ascii="Arial" w:hAnsi="Arial" w:cs="Arial"/>
          <w:sz w:val="20"/>
          <w:szCs w:val="20"/>
        </w:rPr>
        <w:t>)</w:t>
      </w:r>
      <w:r w:rsidR="008C25EB" w:rsidRPr="00CA573E">
        <w:rPr>
          <w:rFonts w:ascii="Arial" w:hAnsi="Arial" w:cs="Arial"/>
          <w:sz w:val="20"/>
          <w:szCs w:val="20"/>
        </w:rPr>
        <w:t xml:space="preserve">. </w:t>
      </w:r>
    </w:p>
    <w:p w14:paraId="133479C3" w14:textId="0415D196" w:rsidR="00766752" w:rsidRDefault="00766752" w:rsidP="006D3581"/>
    <w:sectPr w:rsidR="00766752" w:rsidSect="00B2716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6DD8F" w14:textId="77777777" w:rsidR="000067DC" w:rsidRDefault="000067DC" w:rsidP="00C71A3D">
      <w:pPr>
        <w:spacing w:after="0" w:line="240" w:lineRule="auto"/>
      </w:pPr>
      <w:r>
        <w:separator/>
      </w:r>
    </w:p>
  </w:endnote>
  <w:endnote w:type="continuationSeparator" w:id="0">
    <w:p w14:paraId="24E3BC02" w14:textId="77777777" w:rsidR="000067DC" w:rsidRDefault="000067DC" w:rsidP="00C7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AE1EC" w14:textId="77777777" w:rsidR="00905801" w:rsidRDefault="009058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27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292A4" w14:textId="776438B7" w:rsidR="00A62C55" w:rsidRDefault="00A62C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5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96FF82" w14:textId="77777777" w:rsidR="00A62C55" w:rsidRDefault="00A62C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329C5" w14:textId="77777777" w:rsidR="00905801" w:rsidRDefault="00905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09A42" w14:textId="77777777" w:rsidR="000067DC" w:rsidRDefault="000067DC" w:rsidP="00C71A3D">
      <w:pPr>
        <w:spacing w:after="0" w:line="240" w:lineRule="auto"/>
      </w:pPr>
      <w:r>
        <w:separator/>
      </w:r>
    </w:p>
  </w:footnote>
  <w:footnote w:type="continuationSeparator" w:id="0">
    <w:p w14:paraId="0436987C" w14:textId="77777777" w:rsidR="000067DC" w:rsidRDefault="000067DC" w:rsidP="00C71A3D">
      <w:pPr>
        <w:spacing w:after="0" w:line="240" w:lineRule="auto"/>
      </w:pPr>
      <w:r>
        <w:continuationSeparator/>
      </w:r>
    </w:p>
  </w:footnote>
  <w:footnote w:id="1">
    <w:p w14:paraId="27BA7394" w14:textId="14435BB9" w:rsidR="00A62C55" w:rsidRPr="00DB5763" w:rsidRDefault="00A62C55" w:rsidP="0033420F">
      <w:pPr>
        <w:spacing w:after="0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B5763">
        <w:rPr>
          <w:rFonts w:ascii="Arial" w:hAnsi="Arial" w:cs="Arial"/>
          <w:sz w:val="20"/>
          <w:szCs w:val="20"/>
        </w:rPr>
        <w:t xml:space="preserve">The need for LTSS may be identified by the assessment, by </w:t>
      </w:r>
      <w:r w:rsidR="007F5093">
        <w:rPr>
          <w:rFonts w:ascii="Arial" w:hAnsi="Arial" w:cs="Arial"/>
          <w:sz w:val="20"/>
          <w:szCs w:val="20"/>
        </w:rPr>
        <w:t xml:space="preserve">the </w:t>
      </w:r>
      <w:r w:rsidRPr="00DB5763">
        <w:rPr>
          <w:rFonts w:ascii="Arial" w:hAnsi="Arial" w:cs="Arial"/>
          <w:sz w:val="20"/>
          <w:szCs w:val="20"/>
        </w:rPr>
        <w:t>enrollee, by other Interdisciplinary Care Team (ICT) member</w:t>
      </w:r>
      <w:r w:rsidR="007F5093">
        <w:rPr>
          <w:rFonts w:ascii="Arial" w:hAnsi="Arial" w:cs="Arial"/>
          <w:sz w:val="20"/>
          <w:szCs w:val="20"/>
        </w:rPr>
        <w:t>s</w:t>
      </w:r>
      <w:r w:rsidRPr="00DB5763">
        <w:rPr>
          <w:rFonts w:ascii="Arial" w:hAnsi="Arial" w:cs="Arial"/>
          <w:sz w:val="20"/>
          <w:szCs w:val="20"/>
        </w:rPr>
        <w:t>, or by any other party as identified in Section 2.5C (4)(g) of the three-way contract:</w:t>
      </w:r>
    </w:p>
    <w:p w14:paraId="36F0C4A4" w14:textId="77777777" w:rsidR="00A62C55" w:rsidRPr="00DB5763" w:rsidRDefault="00A62C55" w:rsidP="0033420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DB5763">
        <w:rPr>
          <w:rFonts w:ascii="Arial" w:hAnsi="Arial" w:cs="Arial"/>
          <w:sz w:val="20"/>
          <w:szCs w:val="20"/>
        </w:rPr>
        <w:t xml:space="preserve">At any time at an Enrollee’s request; </w:t>
      </w:r>
    </w:p>
    <w:p w14:paraId="4DB4932E" w14:textId="77777777" w:rsidR="00A62C55" w:rsidRPr="00DB5763" w:rsidRDefault="00A62C55" w:rsidP="0033420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B5763">
        <w:rPr>
          <w:rFonts w:ascii="Arial" w:hAnsi="Arial" w:cs="Arial"/>
          <w:sz w:val="20"/>
          <w:szCs w:val="20"/>
        </w:rPr>
        <w:t>During Comprehensive Assessments for all Enrollees in C3 and F1 Rating Categories, and for all Enrollees in any Rating Category who request it;</w:t>
      </w:r>
    </w:p>
    <w:p w14:paraId="237F301E" w14:textId="77777777" w:rsidR="00A62C55" w:rsidRPr="00DB5763" w:rsidRDefault="00A62C55" w:rsidP="0033420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B5763">
        <w:rPr>
          <w:rFonts w:ascii="Arial" w:hAnsi="Arial" w:cs="Arial"/>
          <w:sz w:val="20"/>
          <w:szCs w:val="20"/>
        </w:rPr>
        <w:t>When the need for community-based LTSS is identified by the Enrollee or ICT;</w:t>
      </w:r>
    </w:p>
    <w:p w14:paraId="6165B1A8" w14:textId="77777777" w:rsidR="00A62C55" w:rsidRPr="00DB5763" w:rsidRDefault="00A62C55" w:rsidP="0033420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B5763">
        <w:rPr>
          <w:rFonts w:ascii="Arial" w:hAnsi="Arial" w:cs="Arial"/>
          <w:sz w:val="20"/>
          <w:szCs w:val="20"/>
        </w:rPr>
        <w:t>If the Enrollee is receiving targeted case management, is receiving rehabilitation services provided by the Department of Mental Health, or has an affiliation with any state agency; or</w:t>
      </w:r>
    </w:p>
    <w:p w14:paraId="066ED780" w14:textId="77228B31" w:rsidR="00A62C55" w:rsidRDefault="00A62C55" w:rsidP="00C45E64">
      <w:pPr>
        <w:pStyle w:val="ListParagraph"/>
        <w:numPr>
          <w:ilvl w:val="0"/>
          <w:numId w:val="9"/>
        </w:numPr>
      </w:pPr>
      <w:r w:rsidRPr="00DB5763">
        <w:rPr>
          <w:rFonts w:ascii="Arial" w:hAnsi="Arial" w:cs="Arial"/>
          <w:sz w:val="20"/>
          <w:szCs w:val="20"/>
        </w:rPr>
        <w:t>In the event of a contemplated admission to a long</w:t>
      </w:r>
      <w:r>
        <w:rPr>
          <w:rFonts w:ascii="Arial" w:hAnsi="Arial" w:cs="Arial"/>
          <w:sz w:val="20"/>
          <w:szCs w:val="20"/>
        </w:rPr>
        <w:t>-</w:t>
      </w:r>
      <w:r w:rsidRPr="00DB5763">
        <w:rPr>
          <w:rFonts w:ascii="Arial" w:hAnsi="Arial" w:cs="Arial"/>
          <w:sz w:val="20"/>
          <w:szCs w:val="20"/>
        </w:rPr>
        <w:t>term care facility</w:t>
      </w:r>
    </w:p>
  </w:footnote>
  <w:footnote w:id="2">
    <w:p w14:paraId="667A5ABA" w14:textId="32B87BB8" w:rsidR="00A62C55" w:rsidRDefault="00A62C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5763">
        <w:rPr>
          <w:rFonts w:ascii="Arial" w:hAnsi="Arial" w:cs="Arial"/>
        </w:rPr>
        <w:t>In One Care, all members who choose to have an LTS</w:t>
      </w:r>
      <w:r>
        <w:rPr>
          <w:rFonts w:ascii="Arial" w:hAnsi="Arial" w:cs="Arial"/>
        </w:rPr>
        <w:t xml:space="preserve"> </w:t>
      </w:r>
      <w:r w:rsidRPr="00DB5763">
        <w:rPr>
          <w:rFonts w:ascii="Arial" w:hAnsi="Arial" w:cs="Arial"/>
        </w:rPr>
        <w:t>C</w:t>
      </w:r>
      <w:r>
        <w:rPr>
          <w:rFonts w:ascii="Arial" w:hAnsi="Arial" w:cs="Arial"/>
        </w:rPr>
        <w:t>oordinator</w:t>
      </w:r>
      <w:r w:rsidRPr="00DB5763">
        <w:rPr>
          <w:rFonts w:ascii="Arial" w:hAnsi="Arial" w:cs="Arial"/>
        </w:rPr>
        <w:t xml:space="preserve"> are referred to an independent agency that is contracted with the member’s One Care plan to provide the plan’s members with LTS-C services.  This chart does not reflect how many members who were referred to the agency actually met with an LTS</w:t>
      </w:r>
      <w:r>
        <w:rPr>
          <w:rFonts w:ascii="Arial" w:hAnsi="Arial" w:cs="Arial"/>
        </w:rPr>
        <w:t xml:space="preserve"> </w:t>
      </w:r>
      <w:r w:rsidRPr="00DB5763">
        <w:rPr>
          <w:rFonts w:ascii="Arial" w:hAnsi="Arial" w:cs="Arial"/>
        </w:rPr>
        <w:t>C</w:t>
      </w:r>
      <w:r>
        <w:rPr>
          <w:rFonts w:ascii="Arial" w:hAnsi="Arial" w:cs="Arial"/>
        </w:rPr>
        <w:t>oordinator</w:t>
      </w:r>
      <w:r w:rsidRPr="00DB5763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5D7E" w14:textId="77777777" w:rsidR="00905801" w:rsidRDefault="009058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17C63" w14:textId="77777777" w:rsidR="00A62C55" w:rsidRDefault="00A62C55" w:rsidP="00B61508">
    <w:pPr>
      <w:pStyle w:val="Header"/>
      <w:jc w:val="center"/>
      <w:rPr>
        <w:rFonts w:ascii="Arial" w:hAnsi="Arial" w:cs="Arial"/>
        <w:b/>
      </w:rPr>
    </w:pPr>
    <w:r w:rsidRPr="00C45E64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B1E12D4" wp14:editId="5B6CC68D">
          <wp:simplePos x="0" y="0"/>
          <wp:positionH relativeFrom="margin">
            <wp:posOffset>47625</wp:posOffset>
          </wp:positionH>
          <wp:positionV relativeFrom="margin">
            <wp:posOffset>-907415</wp:posOffset>
          </wp:positionV>
          <wp:extent cx="1504950" cy="713740"/>
          <wp:effectExtent l="0" t="0" r="0" b="0"/>
          <wp:wrapSquare wrapText="bothSides"/>
          <wp:docPr id="3" name="Picture 3" descr="One Care, MassHealth plus Medicare - Bringing your care together" title="One Car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5E64">
      <w:rPr>
        <w:rFonts w:ascii="Arial" w:hAnsi="Arial" w:cs="Arial"/>
        <w:b/>
      </w:rPr>
      <w:t>One Ca</w:t>
    </w:r>
    <w:r w:rsidRPr="00B61508">
      <w:rPr>
        <w:rFonts w:ascii="Arial" w:hAnsi="Arial" w:cs="Arial"/>
        <w:b/>
      </w:rPr>
      <w:t xml:space="preserve">re Enrollee Assessment and </w:t>
    </w:r>
  </w:p>
  <w:p w14:paraId="3FAEFAD7" w14:textId="58BEA465" w:rsidR="00A62C55" w:rsidRPr="00C45E64" w:rsidRDefault="00A62C55" w:rsidP="00B61508">
    <w:pPr>
      <w:pStyle w:val="Header"/>
      <w:jc w:val="center"/>
      <w:rPr>
        <w:rFonts w:ascii="Arial" w:hAnsi="Arial" w:cs="Arial"/>
        <w:b/>
      </w:rPr>
    </w:pPr>
    <w:r w:rsidRPr="00B61508">
      <w:rPr>
        <w:rFonts w:ascii="Arial" w:hAnsi="Arial" w:cs="Arial"/>
        <w:b/>
      </w:rPr>
      <w:t>L</w:t>
    </w:r>
    <w:r>
      <w:rPr>
        <w:rFonts w:ascii="Arial" w:hAnsi="Arial" w:cs="Arial"/>
        <w:b/>
      </w:rPr>
      <w:t>ong-Term Supports Coordinator (LTS-C)</w:t>
    </w:r>
    <w:r w:rsidRPr="00C45E64">
      <w:rPr>
        <w:rFonts w:ascii="Arial" w:hAnsi="Arial" w:cs="Arial"/>
        <w:b/>
      </w:rPr>
      <w:t xml:space="preserve"> Referral Quarterly Report</w:t>
    </w:r>
  </w:p>
  <w:p w14:paraId="15FE8C59" w14:textId="10CFF053" w:rsidR="00A62C55" w:rsidRDefault="00A62C55" w:rsidP="00C45E64">
    <w:pPr>
      <w:pStyle w:val="Header"/>
      <w:jc w:val="center"/>
    </w:pPr>
    <w:r>
      <w:rPr>
        <w:rFonts w:ascii="Arial" w:hAnsi="Arial" w:cs="Arial"/>
        <w:b/>
      </w:rPr>
      <w:t>January</w:t>
    </w:r>
    <w:r w:rsidRPr="00C45E64">
      <w:rPr>
        <w:rFonts w:ascii="Arial" w:hAnsi="Arial" w:cs="Arial"/>
        <w:b/>
      </w:rPr>
      <w:t xml:space="preserve"> 201</w:t>
    </w:r>
    <w:r>
      <w:rPr>
        <w:rFonts w:ascii="Arial" w:hAnsi="Arial" w:cs="Arial"/>
        <w:b/>
      </w:rPr>
      <w:t>5</w:t>
    </w:r>
    <w:r w:rsidRPr="00C45E64">
      <w:rPr>
        <w:rFonts w:ascii="Arial" w:hAnsi="Arial" w:cs="Arial"/>
        <w:b/>
      </w:rPr>
      <w:t xml:space="preserve"> – </w:t>
    </w:r>
    <w:r>
      <w:rPr>
        <w:rFonts w:ascii="Arial" w:hAnsi="Arial" w:cs="Arial"/>
        <w:b/>
      </w:rPr>
      <w:t>March</w:t>
    </w:r>
    <w:r w:rsidRPr="00C45E64">
      <w:rPr>
        <w:rFonts w:ascii="Arial" w:hAnsi="Arial" w:cs="Arial"/>
        <w:b/>
      </w:rPr>
      <w:t xml:space="preserve"> 201</w:t>
    </w:r>
    <w:r>
      <w:rPr>
        <w:rFonts w:ascii="Arial" w:hAnsi="Arial" w:cs="Arial"/>
        <w:b/>
      </w:rPr>
      <w:t>5</w:t>
    </w:r>
  </w:p>
  <w:p w14:paraId="392558B8" w14:textId="77777777" w:rsidR="00A62C55" w:rsidRDefault="00A62C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41969" w14:textId="77777777" w:rsidR="00905801" w:rsidRDefault="009058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905"/>
    <w:multiLevelType w:val="hybridMultilevel"/>
    <w:tmpl w:val="9742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62C81"/>
    <w:multiLevelType w:val="hybridMultilevel"/>
    <w:tmpl w:val="06FE905E"/>
    <w:lvl w:ilvl="0" w:tplc="E47AA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4411"/>
    <w:multiLevelType w:val="hybridMultilevel"/>
    <w:tmpl w:val="16F65828"/>
    <w:lvl w:ilvl="0" w:tplc="CF58E6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37C74"/>
    <w:multiLevelType w:val="hybridMultilevel"/>
    <w:tmpl w:val="B8D410D4"/>
    <w:lvl w:ilvl="0" w:tplc="876828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3BDE"/>
    <w:multiLevelType w:val="hybridMultilevel"/>
    <w:tmpl w:val="0F1C2C06"/>
    <w:lvl w:ilvl="0" w:tplc="EEC21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C1586"/>
    <w:multiLevelType w:val="hybridMultilevel"/>
    <w:tmpl w:val="31C49A4E"/>
    <w:lvl w:ilvl="0" w:tplc="D58E4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67700"/>
    <w:multiLevelType w:val="hybridMultilevel"/>
    <w:tmpl w:val="8822E244"/>
    <w:lvl w:ilvl="0" w:tplc="4DB21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B4B8F"/>
    <w:multiLevelType w:val="hybridMultilevel"/>
    <w:tmpl w:val="610ECB26"/>
    <w:lvl w:ilvl="0" w:tplc="8FEE21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000209"/>
    <w:multiLevelType w:val="hybridMultilevel"/>
    <w:tmpl w:val="EBC6CDBC"/>
    <w:lvl w:ilvl="0" w:tplc="21FE6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519B7"/>
    <w:multiLevelType w:val="hybridMultilevel"/>
    <w:tmpl w:val="60F063F0"/>
    <w:lvl w:ilvl="0" w:tplc="E152C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3D"/>
    <w:rsid w:val="00006337"/>
    <w:rsid w:val="000067DC"/>
    <w:rsid w:val="00022989"/>
    <w:rsid w:val="000509B4"/>
    <w:rsid w:val="0006026E"/>
    <w:rsid w:val="00062179"/>
    <w:rsid w:val="00062FBA"/>
    <w:rsid w:val="000769F3"/>
    <w:rsid w:val="0008009D"/>
    <w:rsid w:val="000810D0"/>
    <w:rsid w:val="00081615"/>
    <w:rsid w:val="00082603"/>
    <w:rsid w:val="00094B1E"/>
    <w:rsid w:val="000960ED"/>
    <w:rsid w:val="000B2A65"/>
    <w:rsid w:val="000B739B"/>
    <w:rsid w:val="000C1DD4"/>
    <w:rsid w:val="000C2253"/>
    <w:rsid w:val="000C36FC"/>
    <w:rsid w:val="000C4483"/>
    <w:rsid w:val="000C75A4"/>
    <w:rsid w:val="000D4301"/>
    <w:rsid w:val="000F0BC1"/>
    <w:rsid w:val="000F5750"/>
    <w:rsid w:val="000F6860"/>
    <w:rsid w:val="00105116"/>
    <w:rsid w:val="00111F12"/>
    <w:rsid w:val="001135FC"/>
    <w:rsid w:val="00124EA7"/>
    <w:rsid w:val="00133779"/>
    <w:rsid w:val="001353B2"/>
    <w:rsid w:val="0013541E"/>
    <w:rsid w:val="0014078A"/>
    <w:rsid w:val="0015722C"/>
    <w:rsid w:val="00170ED3"/>
    <w:rsid w:val="001B3D65"/>
    <w:rsid w:val="001B49A9"/>
    <w:rsid w:val="001B65F4"/>
    <w:rsid w:val="001C38DC"/>
    <w:rsid w:val="001C40FC"/>
    <w:rsid w:val="001C4C9F"/>
    <w:rsid w:val="001D4430"/>
    <w:rsid w:val="001D6E10"/>
    <w:rsid w:val="001E02AF"/>
    <w:rsid w:val="001E031E"/>
    <w:rsid w:val="001E2932"/>
    <w:rsid w:val="0021424E"/>
    <w:rsid w:val="00216949"/>
    <w:rsid w:val="002371DC"/>
    <w:rsid w:val="00241E28"/>
    <w:rsid w:val="00244AD6"/>
    <w:rsid w:val="00246B63"/>
    <w:rsid w:val="00253D2A"/>
    <w:rsid w:val="002559CF"/>
    <w:rsid w:val="00257EF5"/>
    <w:rsid w:val="00261F20"/>
    <w:rsid w:val="0026344D"/>
    <w:rsid w:val="00266BEF"/>
    <w:rsid w:val="00271769"/>
    <w:rsid w:val="002825F5"/>
    <w:rsid w:val="00292A88"/>
    <w:rsid w:val="00296051"/>
    <w:rsid w:val="002A20BD"/>
    <w:rsid w:val="002A4D9B"/>
    <w:rsid w:val="002A5FE5"/>
    <w:rsid w:val="002C381D"/>
    <w:rsid w:val="002C7503"/>
    <w:rsid w:val="002C7CFA"/>
    <w:rsid w:val="002E230F"/>
    <w:rsid w:val="002E4EB4"/>
    <w:rsid w:val="002E50CF"/>
    <w:rsid w:val="002F6CD1"/>
    <w:rsid w:val="003011BB"/>
    <w:rsid w:val="003060DE"/>
    <w:rsid w:val="00325139"/>
    <w:rsid w:val="0033335A"/>
    <w:rsid w:val="0033420F"/>
    <w:rsid w:val="00336AB6"/>
    <w:rsid w:val="00360CF8"/>
    <w:rsid w:val="00361BC2"/>
    <w:rsid w:val="003773C5"/>
    <w:rsid w:val="00377895"/>
    <w:rsid w:val="00377BEA"/>
    <w:rsid w:val="0038769E"/>
    <w:rsid w:val="00394FAB"/>
    <w:rsid w:val="003B2595"/>
    <w:rsid w:val="003B505E"/>
    <w:rsid w:val="003B5281"/>
    <w:rsid w:val="003B6F73"/>
    <w:rsid w:val="003B797B"/>
    <w:rsid w:val="003C7098"/>
    <w:rsid w:val="003C7AC2"/>
    <w:rsid w:val="003D1848"/>
    <w:rsid w:val="003F2628"/>
    <w:rsid w:val="003F5B1C"/>
    <w:rsid w:val="0040117D"/>
    <w:rsid w:val="004126C8"/>
    <w:rsid w:val="0042479C"/>
    <w:rsid w:val="00436001"/>
    <w:rsid w:val="00451F05"/>
    <w:rsid w:val="004553AF"/>
    <w:rsid w:val="0046164E"/>
    <w:rsid w:val="00471CD1"/>
    <w:rsid w:val="004774A1"/>
    <w:rsid w:val="00485680"/>
    <w:rsid w:val="00496A54"/>
    <w:rsid w:val="00496B65"/>
    <w:rsid w:val="004B59A7"/>
    <w:rsid w:val="004C00C0"/>
    <w:rsid w:val="004C1EBB"/>
    <w:rsid w:val="004D21E9"/>
    <w:rsid w:val="004D5BE4"/>
    <w:rsid w:val="004D76FA"/>
    <w:rsid w:val="004E1628"/>
    <w:rsid w:val="004E231D"/>
    <w:rsid w:val="004E5A14"/>
    <w:rsid w:val="0050247C"/>
    <w:rsid w:val="005363E3"/>
    <w:rsid w:val="00537749"/>
    <w:rsid w:val="0055051D"/>
    <w:rsid w:val="005663EB"/>
    <w:rsid w:val="00572AE4"/>
    <w:rsid w:val="00576A64"/>
    <w:rsid w:val="005908CF"/>
    <w:rsid w:val="00590964"/>
    <w:rsid w:val="005A1033"/>
    <w:rsid w:val="005A760E"/>
    <w:rsid w:val="005B60FF"/>
    <w:rsid w:val="005C1482"/>
    <w:rsid w:val="005D1B33"/>
    <w:rsid w:val="005D3624"/>
    <w:rsid w:val="005F337E"/>
    <w:rsid w:val="0062008F"/>
    <w:rsid w:val="00631239"/>
    <w:rsid w:val="006544B7"/>
    <w:rsid w:val="006566CF"/>
    <w:rsid w:val="00667D91"/>
    <w:rsid w:val="006706E8"/>
    <w:rsid w:val="0067661C"/>
    <w:rsid w:val="00687BEC"/>
    <w:rsid w:val="00696FC8"/>
    <w:rsid w:val="006A1469"/>
    <w:rsid w:val="006B7775"/>
    <w:rsid w:val="006D3581"/>
    <w:rsid w:val="006E2774"/>
    <w:rsid w:val="006E4861"/>
    <w:rsid w:val="0070074B"/>
    <w:rsid w:val="00703DFF"/>
    <w:rsid w:val="007152E4"/>
    <w:rsid w:val="00715D79"/>
    <w:rsid w:val="00716D65"/>
    <w:rsid w:val="00716F40"/>
    <w:rsid w:val="00717E46"/>
    <w:rsid w:val="0072785F"/>
    <w:rsid w:val="0073455D"/>
    <w:rsid w:val="00746F77"/>
    <w:rsid w:val="007565CA"/>
    <w:rsid w:val="0076366B"/>
    <w:rsid w:val="00766752"/>
    <w:rsid w:val="00772C1B"/>
    <w:rsid w:val="007856D8"/>
    <w:rsid w:val="00794531"/>
    <w:rsid w:val="007959E1"/>
    <w:rsid w:val="00796EED"/>
    <w:rsid w:val="007A5277"/>
    <w:rsid w:val="007A7690"/>
    <w:rsid w:val="007A7F25"/>
    <w:rsid w:val="007B06D5"/>
    <w:rsid w:val="007B4B24"/>
    <w:rsid w:val="007D3853"/>
    <w:rsid w:val="007E5158"/>
    <w:rsid w:val="007F26B8"/>
    <w:rsid w:val="007F5093"/>
    <w:rsid w:val="007F64D1"/>
    <w:rsid w:val="00805811"/>
    <w:rsid w:val="0081101D"/>
    <w:rsid w:val="0082580E"/>
    <w:rsid w:val="008264A7"/>
    <w:rsid w:val="00834667"/>
    <w:rsid w:val="0083620E"/>
    <w:rsid w:val="00844A75"/>
    <w:rsid w:val="00847700"/>
    <w:rsid w:val="0085738F"/>
    <w:rsid w:val="00862FDE"/>
    <w:rsid w:val="00867BAC"/>
    <w:rsid w:val="00870C73"/>
    <w:rsid w:val="0087683E"/>
    <w:rsid w:val="00877706"/>
    <w:rsid w:val="00881CF1"/>
    <w:rsid w:val="00886FA3"/>
    <w:rsid w:val="008B13E7"/>
    <w:rsid w:val="008B2BF4"/>
    <w:rsid w:val="008C25EB"/>
    <w:rsid w:val="008E6953"/>
    <w:rsid w:val="00905801"/>
    <w:rsid w:val="009060FF"/>
    <w:rsid w:val="00913120"/>
    <w:rsid w:val="00934DDC"/>
    <w:rsid w:val="00936CC7"/>
    <w:rsid w:val="0094606B"/>
    <w:rsid w:val="00952F06"/>
    <w:rsid w:val="00953A2F"/>
    <w:rsid w:val="0096010C"/>
    <w:rsid w:val="00976579"/>
    <w:rsid w:val="009876A0"/>
    <w:rsid w:val="00992B60"/>
    <w:rsid w:val="00993E3B"/>
    <w:rsid w:val="009A15C1"/>
    <w:rsid w:val="009C764F"/>
    <w:rsid w:val="009D1AB3"/>
    <w:rsid w:val="009D77C3"/>
    <w:rsid w:val="009E03A4"/>
    <w:rsid w:val="009E3C20"/>
    <w:rsid w:val="009F59C6"/>
    <w:rsid w:val="009F734F"/>
    <w:rsid w:val="00A061A7"/>
    <w:rsid w:val="00A11F04"/>
    <w:rsid w:val="00A13FE3"/>
    <w:rsid w:val="00A1411F"/>
    <w:rsid w:val="00A2581F"/>
    <w:rsid w:val="00A30CF7"/>
    <w:rsid w:val="00A31C3F"/>
    <w:rsid w:val="00A43B0C"/>
    <w:rsid w:val="00A501CA"/>
    <w:rsid w:val="00A50668"/>
    <w:rsid w:val="00A62C55"/>
    <w:rsid w:val="00A665B4"/>
    <w:rsid w:val="00A73E4F"/>
    <w:rsid w:val="00A83364"/>
    <w:rsid w:val="00A9445C"/>
    <w:rsid w:val="00AA4C85"/>
    <w:rsid w:val="00AB1E7A"/>
    <w:rsid w:val="00AC091D"/>
    <w:rsid w:val="00B001C3"/>
    <w:rsid w:val="00B144DE"/>
    <w:rsid w:val="00B23CD0"/>
    <w:rsid w:val="00B27160"/>
    <w:rsid w:val="00B30BC9"/>
    <w:rsid w:val="00B31C09"/>
    <w:rsid w:val="00B543E0"/>
    <w:rsid w:val="00B61508"/>
    <w:rsid w:val="00B72D60"/>
    <w:rsid w:val="00B921CB"/>
    <w:rsid w:val="00B9349F"/>
    <w:rsid w:val="00BA7D73"/>
    <w:rsid w:val="00BB07C8"/>
    <w:rsid w:val="00BB435B"/>
    <w:rsid w:val="00BB72D9"/>
    <w:rsid w:val="00BC160C"/>
    <w:rsid w:val="00BC7B4C"/>
    <w:rsid w:val="00BD39BE"/>
    <w:rsid w:val="00BE3233"/>
    <w:rsid w:val="00BE6266"/>
    <w:rsid w:val="00BE7EE6"/>
    <w:rsid w:val="00C136D8"/>
    <w:rsid w:val="00C45E64"/>
    <w:rsid w:val="00C578C8"/>
    <w:rsid w:val="00C61353"/>
    <w:rsid w:val="00C632EC"/>
    <w:rsid w:val="00C65752"/>
    <w:rsid w:val="00C71A3D"/>
    <w:rsid w:val="00C77A3F"/>
    <w:rsid w:val="00CA07B1"/>
    <w:rsid w:val="00CA4D37"/>
    <w:rsid w:val="00CA54DE"/>
    <w:rsid w:val="00CA573E"/>
    <w:rsid w:val="00CB1276"/>
    <w:rsid w:val="00CC1655"/>
    <w:rsid w:val="00CC49B9"/>
    <w:rsid w:val="00CE2E39"/>
    <w:rsid w:val="00CE6474"/>
    <w:rsid w:val="00CF24B2"/>
    <w:rsid w:val="00D00AF3"/>
    <w:rsid w:val="00D030F7"/>
    <w:rsid w:val="00D23B6A"/>
    <w:rsid w:val="00D33FFE"/>
    <w:rsid w:val="00D340C2"/>
    <w:rsid w:val="00D665D7"/>
    <w:rsid w:val="00D71208"/>
    <w:rsid w:val="00D8725B"/>
    <w:rsid w:val="00D96FA0"/>
    <w:rsid w:val="00DA23A6"/>
    <w:rsid w:val="00DE2736"/>
    <w:rsid w:val="00DE5B87"/>
    <w:rsid w:val="00E22569"/>
    <w:rsid w:val="00E23E97"/>
    <w:rsid w:val="00E42F5B"/>
    <w:rsid w:val="00E55C6F"/>
    <w:rsid w:val="00E8120A"/>
    <w:rsid w:val="00E81311"/>
    <w:rsid w:val="00E87CB8"/>
    <w:rsid w:val="00E972EA"/>
    <w:rsid w:val="00E9774F"/>
    <w:rsid w:val="00EA216A"/>
    <w:rsid w:val="00EC64FD"/>
    <w:rsid w:val="00ED48B3"/>
    <w:rsid w:val="00EF1687"/>
    <w:rsid w:val="00F214AD"/>
    <w:rsid w:val="00F2539D"/>
    <w:rsid w:val="00F40FB8"/>
    <w:rsid w:val="00F423A0"/>
    <w:rsid w:val="00F522AF"/>
    <w:rsid w:val="00F56C6B"/>
    <w:rsid w:val="00F63F72"/>
    <w:rsid w:val="00F65D9A"/>
    <w:rsid w:val="00F75EEB"/>
    <w:rsid w:val="00F77C4D"/>
    <w:rsid w:val="00F77C6C"/>
    <w:rsid w:val="00FA6C90"/>
    <w:rsid w:val="00FA7C83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1AD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1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A3D"/>
  </w:style>
  <w:style w:type="paragraph" w:styleId="Footer">
    <w:name w:val="footer"/>
    <w:basedOn w:val="Normal"/>
    <w:link w:val="FooterChar"/>
    <w:uiPriority w:val="99"/>
    <w:unhideWhenUsed/>
    <w:rsid w:val="00C71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A3D"/>
  </w:style>
  <w:style w:type="paragraph" w:styleId="Caption">
    <w:name w:val="caption"/>
    <w:basedOn w:val="Normal"/>
    <w:next w:val="Normal"/>
    <w:uiPriority w:val="35"/>
    <w:unhideWhenUsed/>
    <w:qFormat/>
    <w:rsid w:val="005363E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6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3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25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5E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4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4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44D"/>
    <w:rPr>
      <w:vertAlign w:val="superscript"/>
    </w:rPr>
  </w:style>
  <w:style w:type="paragraph" w:styleId="Revision">
    <w:name w:val="Revision"/>
    <w:hidden/>
    <w:uiPriority w:val="99"/>
    <w:semiHidden/>
    <w:rsid w:val="00B23C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1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A3D"/>
  </w:style>
  <w:style w:type="paragraph" w:styleId="Footer">
    <w:name w:val="footer"/>
    <w:basedOn w:val="Normal"/>
    <w:link w:val="FooterChar"/>
    <w:uiPriority w:val="99"/>
    <w:unhideWhenUsed/>
    <w:rsid w:val="00C71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A3D"/>
  </w:style>
  <w:style w:type="paragraph" w:styleId="Caption">
    <w:name w:val="caption"/>
    <w:basedOn w:val="Normal"/>
    <w:next w:val="Normal"/>
    <w:uiPriority w:val="35"/>
    <w:unhideWhenUsed/>
    <w:qFormat/>
    <w:rsid w:val="005363E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6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3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25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5E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4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4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44D"/>
    <w:rPr>
      <w:vertAlign w:val="superscript"/>
    </w:rPr>
  </w:style>
  <w:style w:type="paragraph" w:styleId="Revision">
    <w:name w:val="Revision"/>
    <w:hidden/>
    <w:uiPriority w:val="99"/>
    <w:semiHidden/>
    <w:rsid w:val="00B23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yperlink" Target="https://onecarelearning.ehs.state.ma.us/pdf/LTS-Coordinator-Roles-and-Benefits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yperlink" Target="http://www.mass.gov/eohhs/docs/masshealth/onecare/lts-long-term-supports-coordinator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ms.gov/Medicare-Medicaid-Coordination/Medicare-and-Medicaid-Coordination/Medicare-Medicaid-Coordination-Office/FinancialAlignmentInitiative/InformationandGuidanceforPlans.html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header" Target="header3.xml"/><Relationship Id="rId10" Type="http://schemas.openxmlformats.org/officeDocument/2006/relationships/chart" Target="charts/chart2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Chart 1: Percentage</a:t>
            </a:r>
            <a:r>
              <a:rPr lang="en-US" sz="100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 of Assessments Completed </a:t>
            </a:r>
          </a:p>
          <a:p>
            <a:pPr>
              <a:defRPr/>
            </a:pP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Within 90 Days of</a:t>
            </a:r>
            <a:r>
              <a:rPr lang="en-US" sz="1000" baseline="0">
                <a:latin typeface="Arial" panose="020B0604020202020204" pitchFamily="34" charset="0"/>
                <a:cs typeface="Arial" panose="020B0604020202020204" pitchFamily="34" charset="0"/>
              </a:rPr>
              <a:t> Enrollment </a:t>
            </a:r>
          </a:p>
          <a:p>
            <a:pPr>
              <a:defRPr/>
            </a:pPr>
            <a:r>
              <a:rPr lang="en-US" sz="1000" baseline="0">
                <a:latin typeface="Arial" panose="020B0604020202020204" pitchFamily="34" charset="0"/>
                <a:cs typeface="Arial" panose="020B0604020202020204" pitchFamily="34" charset="0"/>
              </a:rPr>
              <a:t>f</a:t>
            </a: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or</a:t>
            </a:r>
            <a:r>
              <a:rPr lang="en-US" sz="1000" baseline="0">
                <a:latin typeface="Arial" panose="020B0604020202020204" pitchFamily="34" charset="0"/>
                <a:cs typeface="Arial" panose="020B0604020202020204" pitchFamily="34" charset="0"/>
              </a:rPr>
              <a:t> Individuals Whose Enrollment* Began </a:t>
            </a:r>
          </a:p>
          <a:p>
            <a:pPr>
              <a:defRPr/>
            </a:pP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Jan.</a:t>
            </a:r>
            <a:r>
              <a:rPr lang="en-US" sz="1000" baseline="0">
                <a:latin typeface="Arial" panose="020B0604020202020204" pitchFamily="34" charset="0"/>
                <a:cs typeface="Arial" panose="020B0604020202020204" pitchFamily="34" charset="0"/>
              </a:rPr>
              <a:t> 1, Feb. 1, or Mar</a:t>
            </a: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. 1 of 2015</a:t>
            </a:r>
          </a:p>
          <a:p>
            <a:pPr>
              <a:defRPr/>
            </a:pP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N= </a:t>
            </a:r>
            <a:r>
              <a:rPr lang="en-US" sz="1000" baseline="0">
                <a:latin typeface="Arial" panose="020B0604020202020204" pitchFamily="34" charset="0"/>
                <a:cs typeface="Arial" panose="020B0604020202020204" pitchFamily="34" charset="0"/>
              </a:rPr>
              <a:t> 535**</a:t>
            </a:r>
          </a:p>
        </c:rich>
      </c:tx>
      <c:layout>
        <c:manualLayout>
          <c:xMode val="edge"/>
          <c:yMode val="edge"/>
          <c:x val="0.24184305444147999"/>
          <c:y val="1.828876788858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8410759678662"/>
          <c:y val="0.26208213335035202"/>
          <c:w val="0.81065560702549999"/>
          <c:h val="0.454297468135631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of Assessments Completed 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2"/>
                <c:pt idx="0">
                  <c:v>Assessments Completed</c:v>
                </c:pt>
                <c:pt idx="1">
                  <c:v>Assessments Not Completed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2"/>
                <c:pt idx="0">
                  <c:v>0.99</c:v>
                </c:pt>
                <c:pt idx="1">
                  <c:v>0.01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18063104"/>
        <c:axId val="84061184"/>
      </c:barChart>
      <c:valAx>
        <c:axId val="84061184"/>
        <c:scaling>
          <c:orientation val="minMax"/>
          <c:max val="1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 baseline="0">
                    <a:latin typeface="Arial" panose="020B0604020202020204" pitchFamily="34" charset="0"/>
                  </a:defRPr>
                </a:pPr>
                <a:r>
                  <a:rPr lang="en-US" sz="900" baseline="0">
                    <a:latin typeface="Arial" panose="020B0604020202020204" pitchFamily="34" charset="0"/>
                  </a:rPr>
                  <a:t>Percent of Newly Enrolled Members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18063104"/>
        <c:crosses val="autoZero"/>
        <c:crossBetween val="between"/>
      </c:valAx>
      <c:catAx>
        <c:axId val="118063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Arial" panose="020B0604020202020204" pitchFamily="34" charset="0"/>
              </a:defRPr>
            </a:pPr>
            <a:endParaRPr lang="en-US"/>
          </a:p>
        </c:txPr>
        <c:crossAx val="8406118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aseline="0">
                <a:latin typeface="Arial" panose="020B0604020202020204" pitchFamily="34" charset="0"/>
              </a:rPr>
              <a:t>Chart 2: Percentage  of Assessments Completed </a:t>
            </a:r>
          </a:p>
          <a:p>
            <a:pPr>
              <a:defRPr/>
            </a:pPr>
            <a:r>
              <a:rPr lang="en-US" sz="1000" baseline="0">
                <a:latin typeface="Arial" panose="020B0604020202020204" pitchFamily="34" charset="0"/>
              </a:rPr>
              <a:t>Within 120 Days of Enrollment </a:t>
            </a:r>
          </a:p>
          <a:p>
            <a:pPr>
              <a:defRPr/>
            </a:pPr>
            <a:r>
              <a:rPr lang="en-US" sz="1000" baseline="0">
                <a:latin typeface="Arial" panose="020B0604020202020204" pitchFamily="34" charset="0"/>
              </a:rPr>
              <a:t>for Individuals Whose Enrollment* Began</a:t>
            </a:r>
          </a:p>
          <a:p>
            <a:pPr>
              <a:defRPr/>
            </a:pPr>
            <a:r>
              <a:rPr lang="en-US" sz="1000" baseline="0">
                <a:latin typeface="Arial" panose="020B0604020202020204" pitchFamily="34" charset="0"/>
              </a:rPr>
              <a:t>Jan. 1, Feb. 1, or Mar. 1 of 2015*</a:t>
            </a:r>
          </a:p>
          <a:p>
            <a:pPr>
              <a:defRPr/>
            </a:pPr>
            <a:r>
              <a:rPr lang="en-US" sz="1000" baseline="0">
                <a:latin typeface="Arial" panose="020B0604020202020204" pitchFamily="34" charset="0"/>
              </a:rPr>
              <a:t>N=  564**</a:t>
            </a:r>
          </a:p>
        </c:rich>
      </c:tx>
      <c:layout>
        <c:manualLayout>
          <c:xMode val="edge"/>
          <c:yMode val="edge"/>
          <c:x val="0.213446177855627"/>
          <c:y val="1.82133290039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513951932479"/>
          <c:y val="0.26261427981400798"/>
          <c:w val="0.81610231074056905"/>
          <c:h val="0.4565735374448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of Assessments Completed 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0"/>
                  <c:y val="1.030927835051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2"/>
                <c:pt idx="0">
                  <c:v>Assessment Completed</c:v>
                </c:pt>
                <c:pt idx="1">
                  <c:v>Assessment Not Completed 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2"/>
                <c:pt idx="0">
                  <c:v>0.99</c:v>
                </c:pt>
                <c:pt idx="1">
                  <c:v>0.01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91209088"/>
        <c:axId val="91196800"/>
      </c:barChart>
      <c:valAx>
        <c:axId val="91196800"/>
        <c:scaling>
          <c:orientation val="minMax"/>
          <c:max val="1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of Newly Enrolled Members</a:t>
                </a:r>
                <a:endParaRPr lang="en-US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91209088"/>
        <c:crosses val="autoZero"/>
        <c:crossBetween val="between"/>
      </c:valAx>
      <c:catAx>
        <c:axId val="9120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Arial" panose="020B0604020202020204" pitchFamily="34" charset="0"/>
              </a:defRPr>
            </a:pPr>
            <a:endParaRPr lang="en-US"/>
          </a:p>
        </c:txPr>
        <c:crossAx val="9119680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en-US" sz="1000" b="1" i="0" baseline="0">
                <a:effectLst/>
                <a:latin typeface="Arial" panose="020B0604020202020204" pitchFamily="34" charset="0"/>
              </a:rPr>
              <a:t>Chart 3: Assessment Status Within 90 Days of Enrollment*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en-US" sz="1000" b="1" i="0" baseline="0">
                <a:effectLst/>
                <a:latin typeface="Arial" panose="020B0604020202020204" pitchFamily="34" charset="0"/>
              </a:rPr>
              <a:t>for Individuals Whose Enrollment Began on Jan. 1, Feb. 1, or Mar. 1 of 2015**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512457184682004E-2"/>
          <c:y val="0.18361030749750501"/>
          <c:w val="0.70383991216784203"/>
          <c:h val="0.472746513714540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Enrolled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(N=578)**</c:v>
                </c:pt>
                <c:pt idx="1">
                  <c:v>Fallon Total Care                                          (N=146 )**</c:v>
                </c:pt>
                <c:pt idx="2">
                  <c:v>Tufts Health Plan                               (N=50)</c:v>
                </c:pt>
                <c:pt idx="3">
                  <c:v>Program Total                                                                                                                                                         (N= 774)**</c:v>
                </c:pt>
              </c:strCache>
            </c:strRef>
          </c:cat>
          <c:val>
            <c:numRef>
              <c:f>Sheet1!$B$2:$B$5</c:f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Assessed in First 90 Days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(N=578)**</c:v>
                </c:pt>
                <c:pt idx="1">
                  <c:v>Fallon Total Care                                          (N=146 )**</c:v>
                </c:pt>
                <c:pt idx="2">
                  <c:v>Tufts Health Plan                               (N=50)</c:v>
                </c:pt>
                <c:pt idx="3">
                  <c:v>Program Total                                                                                                                                                         (N= 774)**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0.66435986159169602</c:v>
                </c:pt>
                <c:pt idx="1">
                  <c:v>0.73972602739726001</c:v>
                </c:pt>
                <c:pt idx="2">
                  <c:v>0.7</c:v>
                </c:pt>
                <c:pt idx="3">
                  <c:v>0.69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Unable to Locate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dLbl>
              <c:idx val="0"/>
              <c:layout>
                <c:manualLayout>
                  <c:x val="1.10880110880111E-2"/>
                  <c:y val="8.83002207505518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1600831600826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474012474012501E-2"/>
                  <c:y val="8.8300220750552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47401247401250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(N=578)**</c:v>
                </c:pt>
                <c:pt idx="1">
                  <c:v>Fallon Total Care                                          (N=146 )**</c:v>
                </c:pt>
                <c:pt idx="2">
                  <c:v>Tufts Health Plan                               (N=50)</c:v>
                </c:pt>
                <c:pt idx="3">
                  <c:v>Program Total                                                                                                                                                         (N= 774)**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0.280276816608997</c:v>
                </c:pt>
                <c:pt idx="1">
                  <c:v>0.15753424657534201</c:v>
                </c:pt>
                <c:pt idx="2">
                  <c:v>0.24</c:v>
                </c:pt>
                <c:pt idx="3">
                  <c:v>0.25452196382428999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Refused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58004158004179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300069300069298E-3"/>
                  <c:y val="8.83002207505509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800415800416E-3"/>
                  <c:y val="1.766004415011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316008316008319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(N=578)**</c:v>
                </c:pt>
                <c:pt idx="1">
                  <c:v>Fallon Total Care                                          (N=146 )**</c:v>
                </c:pt>
                <c:pt idx="2">
                  <c:v>Tufts Health Plan                               (N=50)</c:v>
                </c:pt>
                <c:pt idx="3">
                  <c:v>Program Total                                                                                                                                                         (N= 774)**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4.3252595155709297E-2</c:v>
                </c:pt>
                <c:pt idx="1">
                  <c:v>0.09</c:v>
                </c:pt>
                <c:pt idx="2">
                  <c:v>0.06</c:v>
                </c:pt>
                <c:pt idx="3">
                  <c:v>5.4263565891472902E-2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Pending 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0"/>
              <c:layout>
                <c:manualLayout>
                  <c:x val="1.10880110880111E-2"/>
                  <c:y val="1.766004415011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300069300069298E-3"/>
                  <c:y val="2.20750551876379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20750551876379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0880110880111E-2"/>
                  <c:y val="1.766004415011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(N=578)**</c:v>
                </c:pt>
                <c:pt idx="1">
                  <c:v>Fallon Total Care                                          (N=146 )**</c:v>
                </c:pt>
                <c:pt idx="2">
                  <c:v>Tufts Health Plan                               (N=50)</c:v>
                </c:pt>
                <c:pt idx="3">
                  <c:v>Program Total                                                                                                                                                         (N= 774)**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0.02</c:v>
                </c:pt>
                <c:pt idx="1">
                  <c:v>6.8493150684931503E-3</c:v>
                </c:pt>
                <c:pt idx="2">
                  <c:v>0</c:v>
                </c:pt>
                <c:pt idx="3">
                  <c:v>1.0335917312661499E-2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7978240"/>
        <c:axId val="117979776"/>
      </c:barChart>
      <c:catAx>
        <c:axId val="11797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Arial" panose="020B0604020202020204" pitchFamily="34" charset="0"/>
              </a:defRPr>
            </a:pPr>
            <a:endParaRPr lang="en-US"/>
          </a:p>
        </c:txPr>
        <c:crossAx val="117979776"/>
        <c:crossesAt val="0"/>
        <c:auto val="1"/>
        <c:lblAlgn val="ctr"/>
        <c:lblOffset val="100"/>
        <c:noMultiLvlLbl val="0"/>
      </c:catAx>
      <c:valAx>
        <c:axId val="117979776"/>
        <c:scaling>
          <c:orientation val="minMax"/>
          <c:max val="1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sz="900" b="1" i="0" baseline="0">
                    <a:effectLst/>
                    <a:latin typeface="Arial" panose="020B0604020202020204" pitchFamily="34" charset="0"/>
                  </a:rPr>
                  <a:t>Percent of Newly  Enrolled Members </a:t>
                </a:r>
                <a:endParaRPr lang="en-US" sz="900" baseline="0">
                  <a:effectLst/>
                  <a:latin typeface="Arial" panose="020B0604020202020204" pitchFamily="34" charset="0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n-US" sz="900" baseline="0">
                  <a:latin typeface="Arial" panose="020B0604020202020204" pitchFamily="34" charset="0"/>
                </a:endParaRP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17978240"/>
        <c:crosses val="autoZero"/>
        <c:crossBetween val="between"/>
        <c:minorUnit val="0.02"/>
      </c:valAx>
    </c:plotArea>
    <c:legend>
      <c:legendPos val="r"/>
      <c:overlay val="0"/>
      <c:txPr>
        <a:bodyPr/>
        <a:lstStyle/>
        <a:p>
          <a:pPr>
            <a:defRPr sz="900" baseline="0">
              <a:latin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en-US" sz="1000" b="1" i="0" baseline="0">
                <a:effectLst/>
                <a:latin typeface="Arial" panose="020B0604020202020204" pitchFamily="34" charset="0"/>
              </a:rPr>
              <a:t>Chart 4: Assessment Status Within 120 Days of Enrollment*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en-US" sz="1000" b="1" i="0" baseline="0">
                <a:effectLst/>
                <a:latin typeface="Arial" panose="020B0604020202020204" pitchFamily="34" charset="0"/>
              </a:rPr>
              <a:t>for Individuals Whose Enrollment Began on Jan. 1, Feb. 1, or Mar. 1 of 2015**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512457184682004E-2"/>
          <c:y val="0.15244527767362401"/>
          <c:w val="0.69657042869641295"/>
          <c:h val="0.517027195704770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Enrolled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                (N=561)**</c:v>
                </c:pt>
                <c:pt idx="1">
                  <c:v>Fallon Total Care                                                                                          (N=144)**</c:v>
                </c:pt>
                <c:pt idx="2">
                  <c:v>Tufts Health Plan                        (N= 49)**</c:v>
                </c:pt>
                <c:pt idx="3">
                  <c:v>Program Total                                                                                                                                   (N=754)</c:v>
                </c:pt>
              </c:strCache>
            </c:strRef>
          </c:cat>
          <c:val>
            <c:numRef>
              <c:f>Sheet1!$B$2:$B$5</c:f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Assessed in First 120 Days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                (N=561)**</c:v>
                </c:pt>
                <c:pt idx="1">
                  <c:v>Fallon Total Care                                                                                          (N=144)**</c:v>
                </c:pt>
                <c:pt idx="2">
                  <c:v>Tufts Health Plan                        (N= 49)**</c:v>
                </c:pt>
                <c:pt idx="3">
                  <c:v>Program Total                                                                                                                                   (N=754)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0.72549019607843102</c:v>
                </c:pt>
                <c:pt idx="1">
                  <c:v>0.79</c:v>
                </c:pt>
                <c:pt idx="2">
                  <c:v>0.71428571428571397</c:v>
                </c:pt>
                <c:pt idx="3">
                  <c:v>0.73872679045092804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Unable to Locate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dLbl>
              <c:idx val="0"/>
              <c:layout>
                <c:manualLayout>
                  <c:x val="1.2474012474012501E-2"/>
                  <c:y val="4.41501103752759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160083160083199E-3"/>
                  <c:y val="-8.094093398476310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7020097020096997E-3"/>
                  <c:y val="8.83002207505509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7020097020096997E-3"/>
                  <c:y val="8.83002207505518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                (N=561)**</c:v>
                </c:pt>
                <c:pt idx="1">
                  <c:v>Fallon Total Care                                                                                          (N=144)**</c:v>
                </c:pt>
                <c:pt idx="2">
                  <c:v>Tufts Health Plan                        (N= 49)**</c:v>
                </c:pt>
                <c:pt idx="3">
                  <c:v>Program Total                                                                                                                                   (N=754)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0.23529411764705899</c:v>
                </c:pt>
                <c:pt idx="1">
                  <c:v>0.13888888888888901</c:v>
                </c:pt>
                <c:pt idx="2">
                  <c:v>0.122448979591837</c:v>
                </c:pt>
                <c:pt idx="3">
                  <c:v>0.20954907161803701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Refused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720027720027698E-3"/>
                  <c:y val="4.41501103752767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087901954043701E-2"/>
                  <c:y val="1.766004415011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720027720027698E-3"/>
                  <c:y val="2.64900662251656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720027720027698E-3"/>
                  <c:y val="1.324503311258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                (N=561)**</c:v>
                </c:pt>
                <c:pt idx="1">
                  <c:v>Fallon Total Care                                                                                          (N=144)**</c:v>
                </c:pt>
                <c:pt idx="2">
                  <c:v>Tufts Health Plan                        (N= 49)**</c:v>
                </c:pt>
                <c:pt idx="3">
                  <c:v>Program Total                                                                                                                                   (N=754)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0.03</c:v>
                </c:pt>
                <c:pt idx="1">
                  <c:v>7.0000000000000007E-2</c:v>
                </c:pt>
                <c:pt idx="2">
                  <c:v>4.0816326530612297E-2</c:v>
                </c:pt>
                <c:pt idx="3">
                  <c:v>4.24403183023873E-2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Pending 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0"/>
              <c:layout>
                <c:manualLayout>
                  <c:x val="9.7020097020096806E-3"/>
                  <c:y val="1.324503311258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800415800416E-3"/>
                  <c:y val="1.324503311258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5440055440055397E-3"/>
                  <c:y val="1.32450331125828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3160083160083199E-3"/>
                  <c:y val="2.20750551876379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                (N=561)**</c:v>
                </c:pt>
                <c:pt idx="1">
                  <c:v>Fallon Total Care                                                                                          (N=144)**</c:v>
                </c:pt>
                <c:pt idx="2">
                  <c:v>Tufts Health Plan                        (N= 49)**</c:v>
                </c:pt>
                <c:pt idx="3">
                  <c:v>Program Total                                                                                                                                   (N=754)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1.7825311942959001E-3</c:v>
                </c:pt>
                <c:pt idx="1">
                  <c:v>0</c:v>
                </c:pt>
                <c:pt idx="2">
                  <c:v>0.122448979591837</c:v>
                </c:pt>
                <c:pt idx="3">
                  <c:v>9.2838196286472198E-3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1988224"/>
        <c:axId val="121989760"/>
      </c:barChart>
      <c:catAx>
        <c:axId val="12198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Arial" panose="020B0604020202020204" pitchFamily="34" charset="0"/>
              </a:defRPr>
            </a:pPr>
            <a:endParaRPr lang="en-US"/>
          </a:p>
        </c:txPr>
        <c:crossAx val="121989760"/>
        <c:crosses val="autoZero"/>
        <c:auto val="1"/>
        <c:lblAlgn val="ctr"/>
        <c:lblOffset val="100"/>
        <c:noMultiLvlLbl val="0"/>
      </c:catAx>
      <c:valAx>
        <c:axId val="121989760"/>
        <c:scaling>
          <c:orientation val="minMax"/>
          <c:max val="1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sz="900" b="1" i="0" baseline="0">
                    <a:effectLst/>
                    <a:latin typeface="Arial" panose="020B0604020202020204" pitchFamily="34" charset="0"/>
                  </a:rPr>
                  <a:t>Percent of Newly  Enrolled Members </a:t>
                </a:r>
                <a:endParaRPr lang="en-US" sz="900" baseline="0">
                  <a:effectLst/>
                  <a:latin typeface="Arial" panose="020B0604020202020204" pitchFamily="34" charset="0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n-US" sz="900" baseline="0">
                  <a:latin typeface="Arial" panose="020B0604020202020204" pitchFamily="34" charset="0"/>
                </a:endParaRP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21988224"/>
        <c:crosses val="autoZero"/>
        <c:crossBetween val="between"/>
        <c:majorUnit val="0.1"/>
      </c:valAx>
    </c:plotArea>
    <c:legend>
      <c:legendPos val="r"/>
      <c:overlay val="0"/>
      <c:txPr>
        <a:bodyPr/>
        <a:lstStyle/>
        <a:p>
          <a:pPr>
            <a:defRPr sz="900" baseline="0">
              <a:latin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Chart 5: Assessment Completion, Identified Long-Term Services and Supports (LTSS) Needs, and </a:t>
            </a:r>
          </a:p>
          <a:p>
            <a:pPr>
              <a:defRPr/>
            </a:pPr>
            <a:r>
              <a:rPr lang="en-US" sz="1000"/>
              <a:t>Offering of a Long-Term Supports Coordinator (LTS-C) Within 90 Days of Enrollment* </a:t>
            </a:r>
          </a:p>
          <a:p>
            <a:pPr>
              <a:defRPr/>
            </a:pPr>
            <a:r>
              <a:rPr lang="en-US" sz="1000"/>
              <a:t>for Individuals Whose Enrollment Began Jan. 1, Feb. 1, or Mar. 1 of 2015**</a:t>
            </a:r>
          </a:p>
        </c:rich>
      </c:tx>
      <c:layout>
        <c:manualLayout>
          <c:xMode val="edge"/>
          <c:yMode val="edge"/>
          <c:x val="0.158685491110997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9105680064726203E-2"/>
          <c:y val="0.18246268458866899"/>
          <c:w val="0.55094046959024301"/>
          <c:h val="0.516772909081126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Member Was Assessed Within 90 Days of Their Enrollment Date* 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9.702009702009699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9300069300069298E-3"/>
                  <c:y val="3.401360544217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5440055440055397E-3"/>
                  <c:y val="3.401360544217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(N=391)</c:v>
                </c:pt>
                <c:pt idx="1">
                  <c:v>Fallon Total Care                                                                         (N= 109)</c:v>
                </c:pt>
                <c:pt idx="2">
                  <c:v>Tufts Health Plan                                                                                            (N= 35)</c:v>
                </c:pt>
                <c:pt idx="3">
                  <c:v>Program Total                                                                                (N= 535)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0.98209718670076696</c:v>
                </c:pt>
                <c:pt idx="1">
                  <c:v>0.99082568807339499</c:v>
                </c:pt>
                <c:pt idx="2">
                  <c:v>1</c:v>
                </c:pt>
                <c:pt idx="3">
                  <c:v>0.98510242085661104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Member Was Offered a Referral to an LTS-C Agency Within 90 Days 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0"/>
              <c:layout>
                <c:manualLayout>
                  <c:x val="9.702009702009699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5800415800416E-3"/>
                  <c:y val="3.40136054421771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(N=391)</c:v>
                </c:pt>
                <c:pt idx="1">
                  <c:v>Fallon Total Care                                                                         (N= 109)</c:v>
                </c:pt>
                <c:pt idx="2">
                  <c:v>Tufts Health Plan                                                                                            (N= 35)</c:v>
                </c:pt>
                <c:pt idx="3">
                  <c:v>Program Total                                                                                (N= 535)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0.979539641943734</c:v>
                </c:pt>
                <c:pt idx="1">
                  <c:v>0.99082568807339499</c:v>
                </c:pt>
                <c:pt idx="2">
                  <c:v>1.06</c:v>
                </c:pt>
                <c:pt idx="3">
                  <c:v>0.983240223463687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Member Was Identified as Having a Need for LTSS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(N=391)</c:v>
                </c:pt>
                <c:pt idx="1">
                  <c:v>Fallon Total Care                                                                         (N= 109)</c:v>
                </c:pt>
                <c:pt idx="2">
                  <c:v>Tufts Health Plan                                                                                            (N= 35)</c:v>
                </c:pt>
                <c:pt idx="3">
                  <c:v>Program Total                                                                                (N= 535)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0.53196930946291499</c:v>
                </c:pt>
                <c:pt idx="1">
                  <c:v>0.62385321100917401</c:v>
                </c:pt>
                <c:pt idx="2">
                  <c:v>0.371428571428572</c:v>
                </c:pt>
                <c:pt idx="3">
                  <c:v>0.53817504655493498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1604352"/>
        <c:axId val="121618432"/>
      </c:barChart>
      <c:catAx>
        <c:axId val="121604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618432"/>
        <c:crosses val="autoZero"/>
        <c:auto val="1"/>
        <c:lblAlgn val="ctr"/>
        <c:lblOffset val="100"/>
        <c:noMultiLvlLbl val="0"/>
      </c:catAx>
      <c:valAx>
        <c:axId val="121618432"/>
        <c:scaling>
          <c:orientation val="minMax"/>
          <c:max val="1.1000000000000001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 algn="ctr" rtl="0">
                  <a:defRPr/>
                </a:pPr>
                <a:r>
                  <a:rPr lang="en-US"/>
                  <a:t>Percent of Newly Enrolled Members </a:t>
                </a:r>
              </a:p>
              <a:p>
                <a:pPr algn="ctr" rtl="0">
                  <a:defRPr/>
                </a:pPr>
                <a:endParaRPr lang="en-US"/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crossAx val="121604352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68153327048550205"/>
          <c:y val="0.411899207626094"/>
          <c:w val="0.31048061822143402"/>
          <c:h val="0.36601779837741999"/>
        </c:manualLayout>
      </c:layout>
      <c:overlay val="0"/>
      <c:txPr>
        <a:bodyPr/>
        <a:lstStyle/>
        <a:p>
          <a:pPr>
            <a:defRPr baseline="0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900" baseline="0">
          <a:latin typeface="Arial" panose="020B0604020202020204" pitchFamily="34" charset="0"/>
        </a:defRPr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aseline="0">
                <a:latin typeface="Arial" panose="020B0604020202020204" pitchFamily="34" charset="0"/>
              </a:defRPr>
            </a:pPr>
            <a:r>
              <a:rPr lang="en-US" sz="1000" b="1" i="0" baseline="0">
                <a:effectLst/>
                <a:latin typeface="Arial" panose="020B0604020202020204" pitchFamily="34" charset="0"/>
              </a:rPr>
              <a:t>Chart 6: Long-Term Supports Coordinator (LTS-C) Referral Uptake for Individuals Whose Enrollment* Began on Jan. 1, Feb. 1, or Mar. 1 of 2015</a:t>
            </a:r>
            <a:r>
              <a:rPr lang="en-US" sz="1000" b="1" i="0" u="none" strike="noStrike" baseline="0">
                <a:effectLst/>
                <a:latin typeface="Arial" panose="020B0604020202020204" pitchFamily="34" charset="0"/>
              </a:rPr>
              <a:t> and Who Were Offered a Referral to an LTS-C Agency Within 90 Days of Enrollment**</a:t>
            </a:r>
            <a:endParaRPr lang="en-US" sz="1000" baseline="0">
              <a:effectLst/>
              <a:latin typeface="Arial" panose="020B0604020202020204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Member Was Referred to an LTS-C Agency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(N=383)</c:v>
                </c:pt>
                <c:pt idx="1">
                  <c:v>Fallon Total Care                                                                         (N= 108)</c:v>
                </c:pt>
                <c:pt idx="2">
                  <c:v>Tufts Health Plan                                                                     (N=37)</c:v>
                </c:pt>
                <c:pt idx="3">
                  <c:v>Program Total                                                                                (N= 528 )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0.44908616187989597</c:v>
                </c:pt>
                <c:pt idx="1">
                  <c:v>0.56481481481481499</c:v>
                </c:pt>
                <c:pt idx="2">
                  <c:v>0.21621621621621601</c:v>
                </c:pt>
                <c:pt idx="3">
                  <c:v>0.45643939393939398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Member Declined a Referral to an LTS-C Agency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(N=383)</c:v>
                </c:pt>
                <c:pt idx="1">
                  <c:v>Fallon Total Care                                                                         (N= 108)</c:v>
                </c:pt>
                <c:pt idx="2">
                  <c:v>Tufts Health Plan                                                                     (N=37)</c:v>
                </c:pt>
                <c:pt idx="3">
                  <c:v>Program Total                                                                                (N= 528 )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0.54830287206266304</c:v>
                </c:pt>
                <c:pt idx="1">
                  <c:v>0.43518518518518501</c:v>
                </c:pt>
                <c:pt idx="2">
                  <c:v>0.78378378378378399</c:v>
                </c:pt>
                <c:pt idx="3">
                  <c:v>0.54166666666666696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1432320"/>
        <c:axId val="121434496"/>
      </c:barChart>
      <c:catAx>
        <c:axId val="121432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marL="0" marR="0" indent="0" algn="l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sz="900" b="0" i="0" baseline="0">
                    <a:effectLst/>
                    <a:latin typeface="Arial" panose="020B0604020202020204" pitchFamily="34" charset="0"/>
                  </a:rPr>
                  <a:t>*</a:t>
                </a:r>
                <a:r>
                  <a:rPr lang="en-US" sz="800" b="0">
                    <a:effectLst/>
                  </a:rPr>
                  <a:t>This quarter only included</a:t>
                </a:r>
                <a:r>
                  <a:rPr lang="en-US" sz="800" b="0" baseline="0">
                    <a:effectLst/>
                  </a:rPr>
                  <a:t> enrollments by self-selection.</a:t>
                </a:r>
                <a:endParaRPr lang="en-US" sz="800" b="0">
                  <a:effectLst/>
                </a:endParaRPr>
              </a:p>
              <a:p>
                <a:pPr marL="0" marR="0" indent="0" algn="l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n-US" sz="800" b="0" i="0" baseline="0">
                  <a:effectLst/>
                  <a:latin typeface="Arial" panose="020B0604020202020204" pitchFamily="34" charset="0"/>
                </a:endParaRPr>
              </a:p>
              <a:p>
                <a:pPr marL="0" marR="0" indent="0" algn="l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sz="800" b="0" i="0" baseline="0">
                    <a:effectLst/>
                    <a:latin typeface="Arial" panose="020B0604020202020204" pitchFamily="34" charset="0"/>
                  </a:rPr>
                  <a:t>**N= total members from Chart 5 who were offered a referral to an LTS-C agency. </a:t>
                </a:r>
              </a:p>
            </c:rich>
          </c:tx>
          <c:layout>
            <c:manualLayout>
              <c:xMode val="edge"/>
              <c:yMode val="edge"/>
              <c:x val="9.1071968394803096E-2"/>
              <c:y val="0.83229700454109901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Arial" panose="020B0604020202020204" pitchFamily="34" charset="0"/>
              </a:defRPr>
            </a:pPr>
            <a:endParaRPr lang="en-US"/>
          </a:p>
        </c:txPr>
        <c:crossAx val="121434496"/>
        <c:crosses val="autoZero"/>
        <c:auto val="1"/>
        <c:lblAlgn val="ctr"/>
        <c:lblOffset val="100"/>
        <c:noMultiLvlLbl val="0"/>
      </c:catAx>
      <c:valAx>
        <c:axId val="121434496"/>
        <c:scaling>
          <c:orientation val="minMax"/>
          <c:max val="1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 baseline="0">
                    <a:latin typeface="Arial" panose="020B0604020202020204" pitchFamily="34" charset="0"/>
                  </a:defRPr>
                </a:pPr>
                <a:r>
                  <a:rPr lang="en-US" sz="900" b="1" i="0" baseline="0">
                    <a:effectLst/>
                    <a:latin typeface="Arial" panose="020B0604020202020204" pitchFamily="34" charset="0"/>
                  </a:rPr>
                  <a:t>Percent of Newly Enrolled Members</a:t>
                </a:r>
                <a:endParaRPr lang="en-US" sz="900" baseline="0">
                  <a:effectLst/>
                  <a:latin typeface="Arial" panose="020B0604020202020204" pitchFamily="34" charset="0"/>
                </a:endParaRPr>
              </a:p>
              <a:p>
                <a:pPr>
                  <a:defRPr sz="900" baseline="0">
                    <a:latin typeface="Arial" panose="020B0604020202020204" pitchFamily="34" charset="0"/>
                  </a:defRPr>
                </a:pPr>
                <a:endParaRPr lang="en-US" sz="900" baseline="0">
                  <a:latin typeface="Arial" panose="020B0604020202020204" pitchFamily="34" charset="0"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21432320"/>
        <c:crosses val="autoZero"/>
        <c:crossBetween val="between"/>
        <c:majorUnit val="0.1"/>
      </c:valAx>
    </c:plotArea>
    <c:legend>
      <c:legendPos val="r"/>
      <c:overlay val="0"/>
      <c:txPr>
        <a:bodyPr/>
        <a:lstStyle/>
        <a:p>
          <a:pPr>
            <a:defRPr sz="900" baseline="0">
              <a:latin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aseline="0">
                <a:latin typeface="Arial" panose="020B0604020202020204" pitchFamily="34" charset="0"/>
              </a:defRPr>
            </a:pPr>
            <a:r>
              <a:rPr lang="en-US" sz="900" b="1" i="0" baseline="0">
                <a:effectLst/>
                <a:latin typeface="Arial" panose="020B0604020202020204" pitchFamily="34" charset="0"/>
              </a:rPr>
              <a:t>Chart 7: Long-Term Supports Coordinator (LTS-C) Referral Uptake for Individuals with an Identified LTSS Need Whose Enrollment* Began on Jan. 1, Feb. 1, or Mar. 1 of 2015 and Who Were Offered a Referral to an LTS-C Agency Within 90 Days of Enrollment*</a:t>
            </a:r>
            <a:r>
              <a:rPr lang="en-US" sz="900" b="1" i="0" u="none" strike="noStrike" baseline="0">
                <a:effectLst/>
                <a:latin typeface="Arial" panose="020B0604020202020204" pitchFamily="34" charset="0"/>
              </a:rPr>
              <a:t>*</a:t>
            </a:r>
            <a:endParaRPr lang="en-US" sz="900" baseline="0">
              <a:effectLst/>
              <a:latin typeface="Arial" panose="020B0604020202020204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Member Was Referred to an LTS-C Agency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(N=208)</c:v>
                </c:pt>
                <c:pt idx="1">
                  <c:v>Fallon Total Care                                                                         (N= 68)</c:v>
                </c:pt>
                <c:pt idx="2">
                  <c:v>Tufts Health Plan                                                                                    (N=13 )**</c:v>
                </c:pt>
                <c:pt idx="3">
                  <c:v>Program Total                                                                                (N= 289)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0.50480769230769196</c:v>
                </c:pt>
                <c:pt idx="1">
                  <c:v>0.70588235294117696</c:v>
                </c:pt>
                <c:pt idx="2">
                  <c:v>0.46153846153846201</c:v>
                </c:pt>
                <c:pt idx="3">
                  <c:v>0.55017301038062305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Member Declined a Referral to an LTS-C Agency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Commonwealth Care Alliance                                                                  (N=208)</c:v>
                </c:pt>
                <c:pt idx="1">
                  <c:v>Fallon Total Care                                                                         (N= 68)</c:v>
                </c:pt>
                <c:pt idx="2">
                  <c:v>Tufts Health Plan                                                                                    (N=13 )**</c:v>
                </c:pt>
                <c:pt idx="3">
                  <c:v>Program Total                                                                                (N= 289)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0.49038461538461497</c:v>
                </c:pt>
                <c:pt idx="1">
                  <c:v>0.29411764705882398</c:v>
                </c:pt>
                <c:pt idx="2">
                  <c:v>0.53846153846153799</c:v>
                </c:pt>
                <c:pt idx="3">
                  <c:v>0.44636678200692098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1784576"/>
        <c:axId val="121790848"/>
      </c:barChart>
      <c:catAx>
        <c:axId val="121784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l">
                  <a:defRPr sz="900" baseline="0">
                    <a:latin typeface="Arial" panose="020B0604020202020204" pitchFamily="34" charset="0"/>
                  </a:defRPr>
                </a:pPr>
                <a:endParaRPr lang="en-US" sz="900" b="0" i="0" baseline="0">
                  <a:effectLst/>
                  <a:latin typeface="Arial" panose="020B0604020202020204" pitchFamily="34" charset="0"/>
                </a:endParaRPr>
              </a:p>
              <a:p>
                <a:pPr algn="l">
                  <a:defRPr sz="900" baseline="0">
                    <a:latin typeface="Arial" panose="020B0604020202020204" pitchFamily="34" charset="0"/>
                  </a:defRPr>
                </a:pPr>
                <a:r>
                  <a:rPr lang="en-US" sz="800" b="0" i="0" baseline="0">
                    <a:effectLst/>
                    <a:latin typeface="Arial" panose="020B0604020202020204" pitchFamily="34" charset="0"/>
                  </a:rPr>
                  <a:t>* This quarter only included enrollments by self-selection.</a:t>
                </a:r>
              </a:p>
              <a:p>
                <a:pPr algn="l">
                  <a:defRPr sz="900" baseline="0">
                    <a:latin typeface="Arial" panose="020B0604020202020204" pitchFamily="34" charset="0"/>
                  </a:defRPr>
                </a:pPr>
                <a:r>
                  <a:rPr lang="en-US" sz="800" b="0" i="0" baseline="0">
                    <a:effectLst/>
                    <a:latin typeface="Arial" panose="020B0604020202020204" pitchFamily="34" charset="0"/>
                  </a:rPr>
                  <a:t> </a:t>
                </a:r>
              </a:p>
              <a:p>
                <a:pPr algn="l">
                  <a:defRPr sz="900" baseline="0">
                    <a:latin typeface="Arial" panose="020B0604020202020204" pitchFamily="34" charset="0"/>
                  </a:defRPr>
                </a:pPr>
                <a:r>
                  <a:rPr lang="en-US" sz="800" b="0" i="0" baseline="0">
                    <a:effectLst/>
                    <a:latin typeface="Arial" panose="020B0604020202020204" pitchFamily="34" charset="0"/>
                  </a:rPr>
                  <a:t>**N= total members from Chart 5 who had an identified LTSS need. </a:t>
                </a:r>
              </a:p>
            </c:rich>
          </c:tx>
          <c:layout>
            <c:manualLayout>
              <c:xMode val="edge"/>
              <c:yMode val="edge"/>
              <c:x val="9.1071968394803096E-2"/>
              <c:y val="0.8045192267633209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Arial" panose="020B0604020202020204" pitchFamily="34" charset="0"/>
              </a:defRPr>
            </a:pPr>
            <a:endParaRPr lang="en-US"/>
          </a:p>
        </c:txPr>
        <c:crossAx val="121790848"/>
        <c:crosses val="autoZero"/>
        <c:auto val="1"/>
        <c:lblAlgn val="ctr"/>
        <c:lblOffset val="100"/>
        <c:noMultiLvlLbl val="0"/>
      </c:catAx>
      <c:valAx>
        <c:axId val="121790848"/>
        <c:scaling>
          <c:orientation val="minMax"/>
          <c:max val="1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 baseline="0">
                    <a:latin typeface="Arial" panose="020B0604020202020204" pitchFamily="34" charset="0"/>
                  </a:defRPr>
                </a:pPr>
                <a:r>
                  <a:rPr lang="en-US" sz="900" b="1" i="0" baseline="0">
                    <a:effectLst/>
                    <a:latin typeface="Arial" panose="020B0604020202020204" pitchFamily="34" charset="0"/>
                  </a:rPr>
                  <a:t>Percent of Newly Enrolled Members</a:t>
                </a:r>
                <a:endParaRPr lang="en-US" sz="900" baseline="0">
                  <a:effectLst/>
                  <a:latin typeface="Arial" panose="020B0604020202020204" pitchFamily="34" charset="0"/>
                </a:endParaRPr>
              </a:p>
              <a:p>
                <a:pPr>
                  <a:defRPr sz="900" baseline="0">
                    <a:latin typeface="Arial" panose="020B0604020202020204" pitchFamily="34" charset="0"/>
                  </a:defRPr>
                </a:pPr>
                <a:endParaRPr lang="en-US" sz="900" baseline="0">
                  <a:latin typeface="Arial" panose="020B0604020202020204" pitchFamily="34" charset="0"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21784576"/>
        <c:crosses val="autoZero"/>
        <c:crossBetween val="between"/>
        <c:majorUnit val="0.1"/>
      </c:valAx>
    </c:plotArea>
    <c:legend>
      <c:legendPos val="r"/>
      <c:overlay val="0"/>
      <c:txPr>
        <a:bodyPr/>
        <a:lstStyle/>
        <a:p>
          <a:pPr>
            <a:defRPr sz="900" baseline="0">
              <a:latin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0.80712</cdr:y>
    </cdr:from>
    <cdr:to>
      <cdr:x>0.97505</cdr:x>
      <cdr:y>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0" y="2981325"/>
          <a:ext cx="4467216" cy="7124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noAutofit/>
        </a:bodyPr>
        <a:lstStyle xmlns:a="http://schemas.openxmlformats.org/drawingml/2006/main"/>
        <a:p xmlns:a="http://schemas.openxmlformats.org/drawingml/2006/main">
          <a:pPr marL="0" marR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900" b="0" baseline="0">
              <a:effectLst/>
              <a:latin typeface="Arial" panose="020B0604020202020204" pitchFamily="34" charset="0"/>
            </a:rPr>
            <a:t>*</a:t>
          </a:r>
          <a:r>
            <a:rPr lang="en-US" sz="800" b="0" baseline="0">
              <a:effectLst/>
              <a:latin typeface="Arial" panose="020B0604020202020204" pitchFamily="34" charset="0"/>
            </a:rPr>
            <a:t>This quarter only included enrollments by self-selection.</a:t>
          </a:r>
        </a:p>
        <a:p xmlns:a="http://schemas.openxmlformats.org/drawingml/2006/main">
          <a:pPr marL="0" marR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800" b="0" baseline="0">
            <a:effectLst/>
            <a:latin typeface="Arial" panose="020B0604020202020204" pitchFamily="34" charset="0"/>
          </a:endParaRPr>
        </a:p>
        <a:p xmlns:a="http://schemas.openxmlformats.org/drawingml/2006/main">
          <a:pPr marL="0" marR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800" b="0" baseline="0">
              <a:effectLst/>
              <a:latin typeface="Arial" panose="020B0604020202020204" pitchFamily="34" charset="0"/>
            </a:rPr>
            <a:t>**N= total members whose first date of enrollment was on one of these dates, excluding individuals who refused an assessment or who the plans were unable to locate. Note that N does not represent the cumulative number of individuals enrolled as of these dates.</a:t>
          </a:r>
        </a:p>
        <a:p xmlns:a="http://schemas.openxmlformats.org/drawingml/2006/main">
          <a:pPr marL="0" marR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900" baseline="0">
            <a:latin typeface="Arial" panose="020B0604020202020204" pitchFamily="34" charset="0"/>
          </a:endParaRPr>
        </a:p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0.01046</cdr:x>
      <cdr:y>0.8203</cdr:y>
    </cdr:from>
    <cdr:to>
      <cdr:x>0.93987</cdr:x>
      <cdr:y>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50800" y="3136900"/>
          <a:ext cx="4514850" cy="67437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0.01046</cdr:x>
      <cdr:y>0.8203</cdr:y>
    </cdr:from>
    <cdr:to>
      <cdr:x>0.93987</cdr:x>
      <cdr:y>1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50800" y="3136900"/>
          <a:ext cx="4514850" cy="67437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0.01247</cdr:x>
      <cdr:y>0.81186</cdr:y>
    </cdr:from>
    <cdr:to>
      <cdr:x>1</cdr:x>
      <cdr:y>1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57132" y="3008124"/>
          <a:ext cx="4524393" cy="6971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800" b="0" baseline="0">
              <a:effectLst/>
              <a:latin typeface="Arial" panose="020B0604020202020204" pitchFamily="34" charset="0"/>
            </a:rPr>
            <a:t>* This quarter only included enrollments by self-selection. </a:t>
          </a:r>
        </a:p>
        <a:p xmlns:a="http://schemas.openxmlformats.org/drawingml/2006/main">
          <a:pPr marL="0" marR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800" b="0" baseline="0">
            <a:effectLst/>
            <a:latin typeface="Arial" panose="020B0604020202020204" pitchFamily="34" charset="0"/>
          </a:endParaRPr>
        </a:p>
        <a:p xmlns:a="http://schemas.openxmlformats.org/drawingml/2006/main">
          <a:pPr marL="0" marR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800" b="0" baseline="0">
              <a:effectLst/>
              <a:latin typeface="Arial" panose="020B0604020202020204" pitchFamily="34" charset="0"/>
            </a:rPr>
            <a:t>*N= total members whose first date of enrollment was on one of these dates, excluding individuals who refused an assessment or who the plans were unable to locate. Note that N does not represent the cumulative number of individuals enrolled as of these dates.</a:t>
          </a:r>
          <a:endParaRPr lang="en-US" sz="800" baseline="0">
            <a:latin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0.52284</cdr:y>
    </cdr:from>
    <cdr:to>
      <cdr:x>1</cdr:x>
      <cdr:y>0.88071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0" y="1962151"/>
          <a:ext cx="4857750" cy="13430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noAutofit/>
        </a:bodyPr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0.59105</cdr:y>
    </cdr:from>
    <cdr:to>
      <cdr:x>0.91483</cdr:x>
      <cdr:y>0.89776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0" y="1762125"/>
          <a:ext cx="8001001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0.10129</cdr:x>
      <cdr:y>0.76677</cdr:y>
    </cdr:from>
    <cdr:to>
      <cdr:x>0.92028</cdr:x>
      <cdr:y>1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885868" y="2285991"/>
          <a:ext cx="7162767" cy="6953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0.40514</cdr:x>
      <cdr:y>0.69329</cdr:y>
    </cdr:from>
    <cdr:to>
      <cdr:x>0.50969</cdr:x>
      <cdr:y>1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3543300" y="24193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0.08604</cdr:x>
      <cdr:y>0.77712</cdr:y>
    </cdr:from>
    <cdr:to>
      <cdr:x>0.94315</cdr:x>
      <cdr:y>0.99868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88389" y="2238376"/>
          <a:ext cx="7853742" cy="6381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noAutofit/>
        </a:bodyPr>
        <a:lstStyle xmlns:a="http://schemas.openxmlformats.org/drawingml/2006/main"/>
        <a:p xmlns:a="http://schemas.openxmlformats.org/drawingml/2006/main">
          <a:r>
            <a:rPr lang="en-US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* This quarter only included</a:t>
          </a:r>
          <a:r>
            <a:rPr lang="en-US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enrollments by self-selection.</a:t>
          </a:r>
        </a:p>
        <a:p xmlns:a="http://schemas.openxmlformats.org/drawingml/2006/main">
          <a:endParaRPr lang="en-US" sz="800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 xmlns:a="http://schemas.openxmlformats.org/drawingml/2006/main">
          <a:r>
            <a:rPr lang="en-US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**N= total members whose first date of enrollment was on one of these dates, including individuals who refused an assessment or who the plans were unable to locate. Note that N does not represent the cumulative number of individuals enrolled as of these dates.</a:t>
          </a:r>
        </a:p>
        <a:p xmlns:a="http://schemas.openxmlformats.org/drawingml/2006/main">
          <a:endParaRPr lang="en-US" sz="3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0.09332</cdr:x>
      <cdr:y>0.77979</cdr:y>
    </cdr:from>
    <cdr:to>
      <cdr:x>0.93192</cdr:x>
      <cdr:y>0.99868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55091" y="2246070"/>
          <a:ext cx="7684134" cy="6304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noAutofit/>
        </a:bodyPr>
        <a:lstStyle xmlns:a="http://schemas.openxmlformats.org/drawingml/2006/main"/>
        <a:p xmlns:a="http://schemas.openxmlformats.org/drawingml/2006/main">
          <a:r>
            <a:rPr lang="en-US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* This</a:t>
          </a:r>
          <a:r>
            <a:rPr lang="en-US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quarter only included enrollments by self-selection.</a:t>
          </a:r>
          <a:endParaRPr lang="en-US" sz="800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 xmlns:a="http://schemas.openxmlformats.org/drawingml/2006/main">
          <a:endParaRPr lang="en-US" sz="800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 xmlns:a="http://schemas.openxmlformats.org/drawingml/2006/main">
          <a:r>
            <a:rPr lang="en-US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**N= total members whose first date of enrollment was on one of these dates, including individuals who refused an assessment or who the plans were unable to locate. Note that N does not represent the cumulative number of individuals enrolled as of these dates.</a:t>
          </a: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500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300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n-US" sz="900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0.06586</cdr:x>
      <cdr:y>0.75758</cdr:y>
    </cdr:from>
    <cdr:to>
      <cdr:x>0.87623</cdr:x>
      <cdr:y>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613766" y="2857501"/>
          <a:ext cx="7552049" cy="9143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noAutofit/>
        </a:bodyPr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800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800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200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* This quarter only included</a:t>
          </a:r>
          <a:r>
            <a:rPr lang="en-US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enrollments by self-selection.</a:t>
          </a: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800" baseline="0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 xmlns:a="http://schemas.openxmlformats.org/drawingml/2006/main">
          <a:endParaRPr lang="en-US" sz="200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 xmlns:a="http://schemas.openxmlformats.org/drawingml/2006/main">
          <a:r>
            <a:rPr lang="en-US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**N= total members whose first date of enrollment was on one of these dates, excluding individuals who refused an assessment or who the plans were unable to locate. Note that N does not represent the cumulative number of individuals enrolled as of these dates.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348C9-EAC2-4FC3-B3A7-D503E857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Ellwood, Malinda (EHS)</dc:creator>
  <cp:lastModifiedBy>Jenna</cp:lastModifiedBy>
  <cp:revision>2</cp:revision>
  <cp:lastPrinted>2015-10-16T16:34:00Z</cp:lastPrinted>
  <dcterms:created xsi:type="dcterms:W3CDTF">2017-10-27T13:21:00Z</dcterms:created>
  <dcterms:modified xsi:type="dcterms:W3CDTF">2017-10-27T13:21:00Z</dcterms:modified>
</cp:coreProperties>
</file>