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Title"/>
        <w:spacing w:line="225" w:lineRule="auto"/>
      </w:pPr>
      <w:r>
        <w:rPr/>
        <w:t>Based on the November MassHealth presentation on LTSS Denials</w:t>
      </w:r>
    </w:p>
    <w:p>
      <w:pPr>
        <w:pStyle w:val="BodyText"/>
        <w:spacing w:before="311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first</w:t>
      </w:r>
      <w:r>
        <w:rPr>
          <w:spacing w:val="-2"/>
        </w:rPr>
        <w:t> </w:t>
      </w:r>
      <w:r>
        <w:rPr/>
        <w:t>round</w:t>
      </w:r>
      <w:r>
        <w:rPr>
          <w:spacing w:val="5"/>
        </w:rPr>
        <w:t> </w:t>
      </w:r>
      <w:r>
        <w:rPr/>
        <w:t>of</w:t>
      </w:r>
      <w:r>
        <w:rPr>
          <w:spacing w:val="-2"/>
        </w:rPr>
        <w:t> </w:t>
      </w:r>
      <w:r>
        <w:rPr/>
        <w:t>reviews,</w:t>
      </w:r>
      <w:r>
        <w:rPr>
          <w:spacing w:val="5"/>
        </w:rPr>
        <w:t> </w:t>
      </w:r>
      <w:r>
        <w:rPr/>
        <w:t>MassHealth</w:t>
      </w:r>
      <w:r>
        <w:rPr>
          <w:spacing w:val="-1"/>
        </w:rPr>
        <w:t> </w:t>
      </w:r>
      <w:r>
        <w:rPr>
          <w:spacing w:val="-2"/>
        </w:rPr>
        <w:t>found: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16" w:after="0"/>
        <w:ind w:left="411" w:right="0" w:hanging="298"/>
        <w:jc w:val="left"/>
        <w:rPr>
          <w:sz w:val="36"/>
        </w:rPr>
      </w:pPr>
      <w:r>
        <w:rPr>
          <w:sz w:val="36"/>
        </w:rPr>
        <w:t>Many</w:t>
      </w:r>
      <w:r>
        <w:rPr>
          <w:spacing w:val="3"/>
          <w:sz w:val="36"/>
        </w:rPr>
        <w:t> </w:t>
      </w:r>
      <w:r>
        <w:rPr>
          <w:sz w:val="36"/>
        </w:rPr>
        <w:t>care plans</w:t>
      </w:r>
      <w:r>
        <w:rPr>
          <w:spacing w:val="1"/>
          <w:sz w:val="36"/>
        </w:rPr>
        <w:t> </w:t>
      </w:r>
      <w:r>
        <w:rPr>
          <w:b/>
          <w:sz w:val="36"/>
        </w:rPr>
        <w:t>were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not</w:t>
      </w:r>
      <w:r>
        <w:rPr>
          <w:b/>
          <w:spacing w:val="6"/>
          <w:sz w:val="36"/>
        </w:rPr>
        <w:t> </w:t>
      </w:r>
      <w:r>
        <w:rPr>
          <w:sz w:val="36"/>
        </w:rPr>
        <w:t>person</w:t>
      </w:r>
      <w:r>
        <w:rPr>
          <w:spacing w:val="7"/>
          <w:sz w:val="36"/>
        </w:rPr>
        <w:t> </w:t>
      </w:r>
      <w:r>
        <w:rPr>
          <w:spacing w:val="-2"/>
          <w:sz w:val="36"/>
        </w:rPr>
        <w:t>centered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23" w:after="0"/>
        <w:ind w:left="411" w:right="0" w:hanging="298"/>
        <w:jc w:val="left"/>
        <w:rPr>
          <w:sz w:val="36"/>
        </w:rPr>
      </w:pPr>
      <w:r>
        <w:rPr>
          <w:sz w:val="36"/>
        </w:rPr>
        <w:t>Most</w:t>
      </w:r>
      <w:r>
        <w:rPr>
          <w:spacing w:val="-5"/>
          <w:sz w:val="36"/>
        </w:rPr>
        <w:t> </w:t>
      </w:r>
      <w:r>
        <w:rPr>
          <w:sz w:val="36"/>
        </w:rPr>
        <w:t>denial</w:t>
      </w:r>
      <w:r>
        <w:rPr>
          <w:spacing w:val="3"/>
          <w:sz w:val="36"/>
        </w:rPr>
        <w:t> </w:t>
      </w:r>
      <w:r>
        <w:rPr>
          <w:sz w:val="36"/>
        </w:rPr>
        <w:t>cases</w:t>
      </w:r>
      <w:r>
        <w:rPr>
          <w:spacing w:val="3"/>
          <w:sz w:val="36"/>
        </w:rPr>
        <w:t> </w:t>
      </w:r>
      <w:r>
        <w:rPr>
          <w:b/>
          <w:sz w:val="36"/>
        </w:rPr>
        <w:t>did</w:t>
      </w:r>
      <w:r>
        <w:rPr>
          <w:b/>
          <w:spacing w:val="3"/>
          <w:sz w:val="36"/>
        </w:rPr>
        <w:t> </w:t>
      </w:r>
      <w:r>
        <w:rPr>
          <w:b/>
          <w:sz w:val="36"/>
        </w:rPr>
        <w:t>not</w:t>
      </w:r>
      <w:r>
        <w:rPr>
          <w:b/>
          <w:spacing w:val="2"/>
          <w:sz w:val="36"/>
        </w:rPr>
        <w:t> </w:t>
      </w:r>
      <w:r>
        <w:rPr>
          <w:sz w:val="36"/>
        </w:rPr>
        <w:t>meet</w:t>
      </w:r>
      <w:r>
        <w:rPr>
          <w:spacing w:val="1"/>
          <w:sz w:val="36"/>
        </w:rPr>
        <w:t> </w:t>
      </w:r>
      <w:r>
        <w:rPr>
          <w:sz w:val="36"/>
        </w:rPr>
        <w:t>all care</w:t>
      </w:r>
      <w:r>
        <w:rPr>
          <w:spacing w:val="1"/>
          <w:sz w:val="36"/>
        </w:rPr>
        <w:t> </w:t>
      </w:r>
      <w:r>
        <w:rPr>
          <w:sz w:val="36"/>
        </w:rPr>
        <w:t>plan</w:t>
      </w:r>
      <w:r>
        <w:rPr>
          <w:spacing w:val="2"/>
          <w:sz w:val="36"/>
        </w:rPr>
        <w:t> </w:t>
      </w:r>
      <w:r>
        <w:rPr>
          <w:spacing w:val="-2"/>
          <w:sz w:val="36"/>
        </w:rPr>
        <w:t>criteria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20" w:after="0"/>
        <w:ind w:left="411" w:right="0" w:hanging="298"/>
        <w:jc w:val="left"/>
        <w:rPr>
          <w:sz w:val="36"/>
        </w:rPr>
      </w:pPr>
      <w:r>
        <w:rPr>
          <w:sz w:val="36"/>
        </w:rPr>
        <w:t>Most</w:t>
      </w:r>
      <w:r>
        <w:rPr>
          <w:spacing w:val="-4"/>
          <w:sz w:val="36"/>
        </w:rPr>
        <w:t> </w:t>
      </w:r>
      <w:r>
        <w:rPr>
          <w:sz w:val="36"/>
        </w:rPr>
        <w:t>denial</w:t>
      </w:r>
      <w:r>
        <w:rPr>
          <w:spacing w:val="3"/>
          <w:sz w:val="36"/>
        </w:rPr>
        <w:t> </w:t>
      </w:r>
      <w:r>
        <w:rPr>
          <w:sz w:val="36"/>
        </w:rPr>
        <w:t>cases</w:t>
      </w:r>
      <w:r>
        <w:rPr>
          <w:spacing w:val="2"/>
          <w:sz w:val="36"/>
        </w:rPr>
        <w:t> </w:t>
      </w:r>
      <w:r>
        <w:rPr>
          <w:b/>
          <w:sz w:val="36"/>
        </w:rPr>
        <w:t>met</w:t>
      </w:r>
      <w:r>
        <w:rPr>
          <w:b/>
          <w:spacing w:val="1"/>
          <w:sz w:val="36"/>
        </w:rPr>
        <w:t> </w:t>
      </w:r>
      <w:r>
        <w:rPr>
          <w:sz w:val="36"/>
        </w:rPr>
        <w:t>all</w:t>
      </w:r>
      <w:r>
        <w:rPr>
          <w:spacing w:val="-1"/>
          <w:sz w:val="36"/>
        </w:rPr>
        <w:t> </w:t>
      </w:r>
      <w:r>
        <w:rPr>
          <w:sz w:val="36"/>
        </w:rPr>
        <w:t>comprehensive</w:t>
      </w:r>
      <w:r>
        <w:rPr>
          <w:spacing w:val="5"/>
          <w:sz w:val="36"/>
        </w:rPr>
        <w:t> </w:t>
      </w:r>
      <w:r>
        <w:rPr>
          <w:sz w:val="36"/>
        </w:rPr>
        <w:t>assessment</w:t>
      </w:r>
      <w:r>
        <w:rPr>
          <w:spacing w:val="1"/>
          <w:sz w:val="36"/>
        </w:rPr>
        <w:t> </w:t>
      </w:r>
      <w:r>
        <w:rPr>
          <w:spacing w:val="-2"/>
          <w:sz w:val="36"/>
        </w:rPr>
        <w:t>criteria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23" w:after="0"/>
        <w:ind w:left="411" w:right="0" w:hanging="298"/>
        <w:jc w:val="left"/>
        <w:rPr>
          <w:sz w:val="36"/>
        </w:rPr>
      </w:pPr>
      <w:r>
        <w:rPr>
          <w:sz w:val="36"/>
        </w:rPr>
        <w:t>Many</w:t>
      </w:r>
      <w:r>
        <w:rPr>
          <w:spacing w:val="2"/>
          <w:sz w:val="36"/>
        </w:rPr>
        <w:t> </w:t>
      </w:r>
      <w:r>
        <w:rPr>
          <w:sz w:val="36"/>
        </w:rPr>
        <w:t>denial</w:t>
      </w:r>
      <w:r>
        <w:rPr>
          <w:spacing w:val="-1"/>
          <w:sz w:val="36"/>
        </w:rPr>
        <w:t> </w:t>
      </w:r>
      <w:r>
        <w:rPr>
          <w:sz w:val="36"/>
        </w:rPr>
        <w:t>cases</w:t>
      </w:r>
      <w:r>
        <w:rPr>
          <w:spacing w:val="-2"/>
          <w:sz w:val="36"/>
        </w:rPr>
        <w:t> </w:t>
      </w:r>
      <w:r>
        <w:rPr>
          <w:b/>
          <w:sz w:val="36"/>
        </w:rPr>
        <w:t>met</w:t>
      </w:r>
      <w:r>
        <w:rPr>
          <w:b/>
          <w:spacing w:val="4"/>
          <w:sz w:val="36"/>
        </w:rPr>
        <w:t> </w:t>
      </w:r>
      <w:r>
        <w:rPr>
          <w:sz w:val="36"/>
        </w:rPr>
        <w:t>Health</w:t>
      </w:r>
      <w:r>
        <w:rPr>
          <w:spacing w:val="1"/>
          <w:sz w:val="36"/>
        </w:rPr>
        <w:t> </w:t>
      </w:r>
      <w:r>
        <w:rPr>
          <w:sz w:val="36"/>
        </w:rPr>
        <w:t>Plan</w:t>
      </w:r>
      <w:r>
        <w:rPr>
          <w:spacing w:val="-2"/>
          <w:sz w:val="36"/>
        </w:rPr>
        <w:t> </w:t>
      </w:r>
      <w:r>
        <w:rPr>
          <w:sz w:val="36"/>
        </w:rPr>
        <w:t>communication</w:t>
      </w:r>
      <w:r>
        <w:rPr>
          <w:spacing w:val="2"/>
          <w:sz w:val="36"/>
        </w:rPr>
        <w:t> </w:t>
      </w:r>
      <w:r>
        <w:rPr>
          <w:spacing w:val="-2"/>
          <w:sz w:val="36"/>
        </w:rPr>
        <w:t>standards</w:t>
      </w: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20" w:after="0"/>
        <w:ind w:left="411" w:right="0" w:hanging="298"/>
        <w:jc w:val="left"/>
        <w:rPr>
          <w:sz w:val="36"/>
        </w:rPr>
      </w:pPr>
      <w:r>
        <w:rPr>
          <w:sz w:val="36"/>
        </w:rPr>
        <w:t>Many</w:t>
      </w:r>
      <w:r>
        <w:rPr>
          <w:spacing w:val="2"/>
          <w:sz w:val="36"/>
        </w:rPr>
        <w:t> </w:t>
      </w:r>
      <w:r>
        <w:rPr>
          <w:sz w:val="36"/>
        </w:rPr>
        <w:t>denial cases</w:t>
      </w:r>
      <w:r>
        <w:rPr>
          <w:spacing w:val="-2"/>
          <w:sz w:val="36"/>
        </w:rPr>
        <w:t> </w:t>
      </w:r>
      <w:r>
        <w:rPr>
          <w:b/>
          <w:sz w:val="36"/>
        </w:rPr>
        <w:t>met</w:t>
      </w:r>
      <w:r>
        <w:rPr>
          <w:b/>
          <w:spacing w:val="4"/>
          <w:sz w:val="36"/>
        </w:rPr>
        <w:t> </w:t>
      </w:r>
      <w:r>
        <w:rPr>
          <w:sz w:val="36"/>
        </w:rPr>
        <w:t>Denial</w:t>
      </w:r>
      <w:r>
        <w:rPr>
          <w:spacing w:val="-1"/>
          <w:sz w:val="36"/>
        </w:rPr>
        <w:t> </w:t>
      </w:r>
      <w:r>
        <w:rPr>
          <w:sz w:val="36"/>
        </w:rPr>
        <w:t>Notice</w:t>
      </w:r>
      <w:r>
        <w:rPr>
          <w:spacing w:val="2"/>
          <w:sz w:val="36"/>
        </w:rPr>
        <w:t> </w:t>
      </w:r>
      <w:r>
        <w:rPr>
          <w:spacing w:val="-2"/>
          <w:sz w:val="36"/>
        </w:rPr>
        <w:t>requirements</w:t>
      </w:r>
    </w:p>
    <w:p>
      <w:pPr>
        <w:pStyle w:val="BodyText"/>
        <w:spacing w:line="252" w:lineRule="auto" w:before="328"/>
      </w:pPr>
      <w:r>
        <w:rPr/>
        <w:t>We are grateful to MassHealth for undertaking this level of oversight because as we have learned from CMFI, there is still work to be done.</w:t>
      </w:r>
    </w:p>
    <w:p>
      <w:pPr>
        <w:pStyle w:val="BodyText"/>
        <w:spacing w:line="254" w:lineRule="auto" w:before="199"/>
      </w:pPr>
      <w:r>
        <w:rPr/>
        <w:t>As we enter the One Care plan procurement, it is important that the plans who are procured are going to adhere to requirements set out by MassHealth.</w:t>
      </w:r>
    </w:p>
    <w:p>
      <w:pPr>
        <w:pStyle w:val="BodyText"/>
        <w:spacing w:line="252" w:lineRule="auto" w:before="192"/>
        <w:ind w:right="18"/>
      </w:pPr>
      <w:r>
        <w:rPr/>
        <w:t>We encourage IC members to continue this conversation on </w:t>
      </w:r>
      <w:r>
        <w:rPr>
          <w:b/>
        </w:rPr>
        <w:t>January 18 at 2:00 pm</w:t>
      </w:r>
      <w:r>
        <w:rPr/>
        <w:t>, which is on all IC members’ calendars.</w:t>
      </w:r>
    </w:p>
    <w:sectPr>
      <w:type w:val="continuous"/>
      <w:pgSz w:w="15840" w:h="12240" w:orient="landscape"/>
      <w:pgMar w:top="1380" w:bottom="280" w:left="5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11" w:hanging="298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7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9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0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3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4"/>
    </w:pPr>
    <w:rPr>
      <w:rFonts w:ascii="Arial" w:hAnsi="Arial" w:eastAsia="Arial" w:cs="Arial"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5"/>
      <w:ind w:left="114"/>
    </w:pPr>
    <w:rPr>
      <w:rFonts w:ascii="Arial" w:hAnsi="Arial" w:eastAsia="Arial" w:cs="Arial"/>
      <w:sz w:val="59"/>
      <w:szCs w:val="5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41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e1e4dd5b5c3e5fef52b58b863aa1936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ce18d3b40023e7d3bd13bd1350f047cc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97C4C01C-AE96-49EE-99F5-128B49F2155B}"/>
</file>

<file path=customXml/itemProps2.xml><?xml version="1.0" encoding="utf-8"?>
<ds:datastoreItem xmlns:ds="http://schemas.openxmlformats.org/officeDocument/2006/customXml" ds:itemID="{E5BB1BDF-D8C1-4B77-82A8-3FFA1EE2D722}"/>
</file>

<file path=customXml/itemProps3.xml><?xml version="1.0" encoding="utf-8"?>
<ds:datastoreItem xmlns:ds="http://schemas.openxmlformats.org/officeDocument/2006/customXml" ds:itemID="{56011BDC-7159-45DB-BE07-B4088633E3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IC Slide on LTSS Denials.pptx</dc:title>
  <dc:creator>Macdonald, Betteanne</dc:creator>
  <dcterms:created xsi:type="dcterms:W3CDTF">2024-01-12T14:57:50Z</dcterms:created>
  <dcterms:modified xsi:type="dcterms:W3CDTF">2024-01-12T14:57:50Z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LastSaved">
    <vt:filetime>2024-01-12T00:00:00Z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0x010100B642FC5B8B920D4BB6C445E99411392A</vt:lpwstr>
  </property>
</Properties>
</file>