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Pr="00B37A81" w:rsidRDefault="00DA43F9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37A81">
        <w:rPr>
          <w:b/>
          <w:sz w:val="28"/>
          <w:szCs w:val="28"/>
          <w:u w:val="single"/>
        </w:rPr>
        <w:t>Slide 1</w:t>
      </w:r>
    </w:p>
    <w:p w:rsidR="00DA43F9" w:rsidRDefault="00DA43F9"/>
    <w:p w:rsidR="00B70A3C" w:rsidRPr="00F45B33" w:rsidRDefault="00DA43F9" w:rsidP="00B70A3C">
      <w:pPr>
        <w:rPr>
          <w:b/>
          <w:bCs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spacing w:val="-10"/>
          <w:kern w:val="24"/>
          <w:position w:val="1"/>
          <w:sz w:val="32"/>
          <w:szCs w:val="32"/>
        </w:rPr>
        <w:t>One Care Ombudsman Program Update</w:t>
      </w:r>
    </w:p>
    <w:p w:rsidR="00B70A3C" w:rsidRPr="00F45B33" w:rsidRDefault="00B70A3C" w:rsidP="00B70A3C">
      <w:pPr>
        <w:rPr>
          <w:b/>
          <w:bCs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spacing w:val="-10"/>
          <w:kern w:val="24"/>
          <w:position w:val="1"/>
          <w:sz w:val="32"/>
          <w:szCs w:val="32"/>
        </w:rPr>
        <w:br/>
        <w:t>One Care Stakeholder Open Meeting Presentation</w:t>
      </w:r>
      <w:r w:rsidRPr="00F45B33">
        <w:rPr>
          <w:b/>
          <w:bCs/>
          <w:spacing w:val="-10"/>
          <w:kern w:val="24"/>
          <w:position w:val="1"/>
          <w:sz w:val="32"/>
          <w:szCs w:val="32"/>
        </w:rPr>
        <w:br/>
        <w:t>November 6, 2014</w:t>
      </w:r>
    </w:p>
    <w:p w:rsidR="00DA43F9" w:rsidRPr="00F45B33" w:rsidRDefault="00B70A3C" w:rsidP="00DA43F9">
      <w:pPr>
        <w:pStyle w:val="NormalWeb"/>
        <w:spacing w:before="240" w:beforeAutospacing="0" w:after="40" w:afterAutospacing="0" w:line="216" w:lineRule="auto"/>
        <w:rPr>
          <w:rFonts w:ascii="Calibri" w:hAnsi="Calibri"/>
          <w:b/>
          <w:sz w:val="28"/>
          <w:szCs w:val="28"/>
          <w:u w:val="single"/>
        </w:rPr>
      </w:pPr>
      <w:r w:rsidRPr="00F45B33">
        <w:rPr>
          <w:rFonts w:ascii="Calibri" w:hAnsi="Calibri"/>
          <w:b/>
          <w:sz w:val="28"/>
          <w:szCs w:val="28"/>
          <w:u w:val="single"/>
        </w:rPr>
        <w:br/>
      </w:r>
      <w:r w:rsidR="00DA43F9" w:rsidRPr="00F45B33">
        <w:rPr>
          <w:rFonts w:ascii="Calibri" w:hAnsi="Calibri"/>
          <w:b/>
          <w:sz w:val="28"/>
          <w:szCs w:val="28"/>
          <w:u w:val="single"/>
        </w:rPr>
        <w:t>Slide 2</w:t>
      </w:r>
    </w:p>
    <w:p w:rsidR="00DA43F9" w:rsidRPr="00F45B33" w:rsidRDefault="00DA43F9" w:rsidP="00DA43F9">
      <w:pPr>
        <w:pStyle w:val="NormalWeb"/>
        <w:spacing w:before="240" w:beforeAutospacing="0" w:after="40" w:afterAutospacing="0" w:line="216" w:lineRule="auto"/>
        <w:rPr>
          <w:rFonts w:ascii="Calibri" w:hAnsi="Calibri"/>
          <w:b/>
          <w:bCs/>
          <w:color w:val="404040"/>
          <w:spacing w:val="-10"/>
          <w:kern w:val="24"/>
          <w:position w:val="1"/>
          <w:sz w:val="32"/>
          <w:szCs w:val="32"/>
        </w:rPr>
      </w:pPr>
      <w:r w:rsidRPr="00F45B33">
        <w:rPr>
          <w:rFonts w:ascii="Calibri" w:hAnsi="Calibri"/>
          <w:b/>
          <w:bCs/>
          <w:color w:val="404040"/>
          <w:spacing w:val="-10"/>
          <w:kern w:val="24"/>
          <w:position w:val="1"/>
          <w:sz w:val="32"/>
          <w:szCs w:val="32"/>
        </w:rPr>
        <w:t>What will be presented</w:t>
      </w:r>
      <w:r w:rsidRPr="00F45B33">
        <w:rPr>
          <w:rFonts w:ascii="Calibri" w:hAnsi="Calibri"/>
          <w:b/>
          <w:bCs/>
          <w:color w:val="404040"/>
          <w:spacing w:val="-10"/>
          <w:kern w:val="24"/>
          <w:position w:val="1"/>
          <w:sz w:val="32"/>
          <w:szCs w:val="32"/>
        </w:rPr>
        <w:br/>
      </w:r>
    </w:p>
    <w:p w:rsidR="00DA43F9" w:rsidRPr="00DA43F9" w:rsidRDefault="00DA43F9" w:rsidP="00DA43F9">
      <w:pPr>
        <w:pStyle w:val="ListParagraph"/>
        <w:numPr>
          <w:ilvl w:val="0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Overview of structure of the OCO</w:t>
      </w:r>
    </w:p>
    <w:p w:rsidR="00DA43F9" w:rsidRPr="00DA43F9" w:rsidRDefault="00DA43F9" w:rsidP="00DA43F9">
      <w:pPr>
        <w:pStyle w:val="ListParagraph"/>
        <w:numPr>
          <w:ilvl w:val="0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OCO Program Utilization</w:t>
      </w:r>
    </w:p>
    <w:p w:rsidR="00DA43F9" w:rsidRPr="00DA43F9" w:rsidRDefault="00DA43F9" w:rsidP="00DA43F9">
      <w:pPr>
        <w:pStyle w:val="ListParagraph"/>
        <w:numPr>
          <w:ilvl w:val="0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 xml:space="preserve"> Common Inquiry/Complaint Domains</w:t>
      </w:r>
    </w:p>
    <w:p w:rsidR="00DA43F9" w:rsidRPr="00DA43F9" w:rsidRDefault="00DA43F9" w:rsidP="00DA43F9">
      <w:pPr>
        <w:pStyle w:val="ListParagraph"/>
        <w:numPr>
          <w:ilvl w:val="1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Transition Issues</w:t>
      </w:r>
    </w:p>
    <w:p w:rsidR="00DA43F9" w:rsidRPr="00DA43F9" w:rsidRDefault="00DA43F9" w:rsidP="00DA43F9">
      <w:pPr>
        <w:pStyle w:val="ListParagraph"/>
        <w:numPr>
          <w:ilvl w:val="1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Communication</w:t>
      </w:r>
    </w:p>
    <w:p w:rsidR="00DA43F9" w:rsidRPr="00DA43F9" w:rsidRDefault="00DA43F9" w:rsidP="00DA43F9">
      <w:pPr>
        <w:pStyle w:val="ListParagraph"/>
        <w:numPr>
          <w:ilvl w:val="1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Administrative /Technical Practices</w:t>
      </w:r>
    </w:p>
    <w:p w:rsidR="00DA43F9" w:rsidRPr="00DA43F9" w:rsidRDefault="00DA43F9" w:rsidP="00DA43F9">
      <w:pPr>
        <w:pStyle w:val="ListParagraph"/>
        <w:numPr>
          <w:ilvl w:val="0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 xml:space="preserve">Office Information </w:t>
      </w:r>
    </w:p>
    <w:p w:rsidR="00DA43F9" w:rsidRPr="00DA43F9" w:rsidRDefault="00DA43F9" w:rsidP="00DA43F9">
      <w:pPr>
        <w:pStyle w:val="ListParagraph"/>
        <w:numPr>
          <w:ilvl w:val="0"/>
          <w:numId w:val="1"/>
        </w:numPr>
        <w:spacing w:line="216" w:lineRule="auto"/>
      </w:pPr>
      <w:r w:rsidRPr="00F45B33">
        <w:rPr>
          <w:rFonts w:ascii="Calibri" w:hAnsi="Calibri"/>
          <w:kern w:val="24"/>
        </w:rPr>
        <w:t>Contact Information</w:t>
      </w:r>
    </w:p>
    <w:p w:rsidR="00DA43F9" w:rsidRDefault="00DA43F9" w:rsidP="00DA43F9">
      <w:pPr>
        <w:spacing w:line="216" w:lineRule="auto"/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3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b/>
          <w:bCs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spacing w:val="-10"/>
          <w:kern w:val="24"/>
          <w:position w:val="1"/>
          <w:sz w:val="32"/>
          <w:szCs w:val="32"/>
        </w:rPr>
        <w:t>OCO Role</w:t>
      </w:r>
      <w:r w:rsidRPr="00F45B33">
        <w:rPr>
          <w:b/>
          <w:bCs/>
          <w:spacing w:val="-10"/>
          <w:kern w:val="24"/>
          <w:position w:val="1"/>
          <w:sz w:val="32"/>
          <w:szCs w:val="32"/>
        </w:rPr>
        <w:br/>
      </w:r>
    </w:p>
    <w:p w:rsidR="00DA43F9" w:rsidRPr="00F45B33" w:rsidRDefault="00DA43F9" w:rsidP="00DA43F9">
      <w:pPr>
        <w:pStyle w:val="ListParagraph"/>
        <w:numPr>
          <w:ilvl w:val="0"/>
          <w:numId w:val="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Inform and educate consumers</w:t>
      </w:r>
    </w:p>
    <w:p w:rsidR="00DA43F9" w:rsidRPr="00F45B33" w:rsidRDefault="00DA43F9" w:rsidP="00DA43F9">
      <w:pPr>
        <w:pStyle w:val="ListParagraph"/>
        <w:numPr>
          <w:ilvl w:val="0"/>
          <w:numId w:val="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Investigate and help mediate and resolve complaints</w:t>
      </w:r>
    </w:p>
    <w:p w:rsidR="00DA43F9" w:rsidRPr="00F45B33" w:rsidRDefault="00DA43F9" w:rsidP="00DA43F9">
      <w:pPr>
        <w:pStyle w:val="ListParagraph"/>
        <w:numPr>
          <w:ilvl w:val="0"/>
          <w:numId w:val="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Identify systemic issues and opportunities for improvement</w:t>
      </w:r>
    </w:p>
    <w:p w:rsidR="00DA43F9" w:rsidRPr="00F45B33" w:rsidRDefault="00DA43F9" w:rsidP="00DA43F9">
      <w:pPr>
        <w:pStyle w:val="ListParagraph"/>
        <w:numPr>
          <w:ilvl w:val="0"/>
          <w:numId w:val="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Maintain a neutral and independent role</w:t>
      </w:r>
    </w:p>
    <w:p w:rsidR="00DA43F9" w:rsidRDefault="00DA43F9" w:rsidP="00DA43F9">
      <w:pPr>
        <w:spacing w:line="216" w:lineRule="auto"/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4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spacing w:val="-10"/>
          <w:kern w:val="24"/>
          <w:position w:val="1"/>
          <w:sz w:val="32"/>
          <w:szCs w:val="32"/>
        </w:rPr>
        <w:t xml:space="preserve">OCO Program Utilization </w:t>
      </w:r>
      <w:r w:rsidRPr="00F45B33">
        <w:rPr>
          <w:spacing w:val="-10"/>
          <w:kern w:val="24"/>
          <w:position w:val="1"/>
          <w:sz w:val="32"/>
          <w:szCs w:val="32"/>
        </w:rPr>
        <w:br/>
        <w:t>(Third Quarter: July – September 2014)</w:t>
      </w:r>
      <w:r w:rsidRPr="00F45B33">
        <w:rPr>
          <w:spacing w:val="-10"/>
          <w:kern w:val="24"/>
          <w:position w:val="1"/>
          <w:sz w:val="32"/>
          <w:szCs w:val="32"/>
        </w:rPr>
        <w:br/>
      </w:r>
    </w:p>
    <w:p w:rsidR="00DA43F9" w:rsidRPr="00DA43F9" w:rsidRDefault="00DA43F9" w:rsidP="00DA43F9">
      <w:pPr>
        <w:spacing w:line="216" w:lineRule="auto"/>
        <w:rPr>
          <w:color w:val="A5300F"/>
        </w:rPr>
      </w:pPr>
      <w:r w:rsidRPr="00F45B33">
        <w:rPr>
          <w:color w:val="000000"/>
          <w:kern w:val="24"/>
        </w:rPr>
        <w:t>The OCO received a total of 192 on topics ranging from general information and guidance on benefits, provider networks and pharmacy coverage, to enrollee rights</w:t>
      </w:r>
      <w:r w:rsidRPr="00F45B33">
        <w:rPr>
          <w:color w:val="000000"/>
          <w:kern w:val="24"/>
        </w:rPr>
        <w:br/>
      </w:r>
    </w:p>
    <w:p w:rsidR="00DA43F9" w:rsidRPr="00DA43F9" w:rsidRDefault="00DA43F9" w:rsidP="00DA43F9">
      <w:pPr>
        <w:spacing w:line="216" w:lineRule="auto"/>
        <w:rPr>
          <w:color w:val="A5300F"/>
        </w:rPr>
      </w:pPr>
      <w:r w:rsidRPr="00F45B33">
        <w:rPr>
          <w:color w:val="000000"/>
          <w:kern w:val="24"/>
        </w:rPr>
        <w:t>Detail:</w:t>
      </w:r>
    </w:p>
    <w:p w:rsidR="00DA43F9" w:rsidRPr="00DA43F9" w:rsidRDefault="00DA43F9" w:rsidP="00DA43F9">
      <w:pPr>
        <w:pStyle w:val="ListParagraph"/>
        <w:numPr>
          <w:ilvl w:val="0"/>
          <w:numId w:val="7"/>
        </w:numPr>
        <w:spacing w:line="216" w:lineRule="auto"/>
      </w:pPr>
      <w:r w:rsidRPr="00F45B33">
        <w:rPr>
          <w:rFonts w:ascii="Calibri" w:hAnsi="Calibri"/>
          <w:kern w:val="24"/>
        </w:rPr>
        <w:t>152 calls from potential and current enrollees or others on their behalf</w:t>
      </w:r>
    </w:p>
    <w:p w:rsidR="00DA43F9" w:rsidRPr="00DA43F9" w:rsidRDefault="00DA43F9" w:rsidP="00DA43F9">
      <w:pPr>
        <w:pStyle w:val="ListParagraph"/>
        <w:numPr>
          <w:ilvl w:val="0"/>
          <w:numId w:val="7"/>
        </w:numPr>
        <w:spacing w:line="216" w:lineRule="auto"/>
      </w:pPr>
      <w:r w:rsidRPr="00F45B33">
        <w:rPr>
          <w:rFonts w:ascii="Calibri" w:hAnsi="Calibri"/>
          <w:kern w:val="24"/>
        </w:rPr>
        <w:t>8 calls from providers</w:t>
      </w:r>
    </w:p>
    <w:p w:rsidR="00DA43F9" w:rsidRPr="00DA43F9" w:rsidRDefault="00DA43F9" w:rsidP="00DA43F9">
      <w:pPr>
        <w:pStyle w:val="ListParagraph"/>
        <w:numPr>
          <w:ilvl w:val="0"/>
          <w:numId w:val="7"/>
        </w:numPr>
        <w:spacing w:line="216" w:lineRule="auto"/>
      </w:pPr>
      <w:r w:rsidRPr="00F45B33">
        <w:rPr>
          <w:rFonts w:ascii="Calibri" w:hAnsi="Calibri"/>
          <w:kern w:val="24"/>
        </w:rPr>
        <w:t>38 investigations have addressed topics such as communication with providers, specific benefits, the enrollment process, and enrollee rights</w:t>
      </w:r>
    </w:p>
    <w:p w:rsidR="00DA43F9" w:rsidRPr="00DA43F9" w:rsidRDefault="00B70A3C" w:rsidP="00B70A3C">
      <w:pPr>
        <w:spacing w:line="216" w:lineRule="auto"/>
        <w:ind w:left="720"/>
      </w:pPr>
      <w:r w:rsidRPr="00F45B33">
        <w:rPr>
          <w:kern w:val="24"/>
        </w:rPr>
        <w:br/>
      </w:r>
      <w:r w:rsidR="00DA43F9" w:rsidRPr="00F45B33">
        <w:rPr>
          <w:kern w:val="24"/>
        </w:rPr>
        <w:t>(duplicated count)</w:t>
      </w:r>
    </w:p>
    <w:p w:rsidR="00DA43F9" w:rsidRDefault="00DA43F9" w:rsidP="00DA43F9">
      <w:pPr>
        <w:spacing w:line="216" w:lineRule="auto"/>
      </w:pPr>
    </w:p>
    <w:p w:rsidR="00DA43F9" w:rsidRDefault="00DA43F9" w:rsidP="00DA43F9">
      <w:pPr>
        <w:spacing w:line="216" w:lineRule="auto"/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5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b/>
          <w:bCs/>
          <w:color w:val="00000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000000"/>
          <w:spacing w:val="-10"/>
          <w:kern w:val="24"/>
          <w:position w:val="1"/>
          <w:sz w:val="32"/>
          <w:szCs w:val="32"/>
        </w:rPr>
        <w:t>Common Inquiry &amp; Complaint Domains</w:t>
      </w:r>
      <w:r w:rsidRPr="00F45B33">
        <w:rPr>
          <w:b/>
          <w:bCs/>
          <w:color w:val="000000"/>
          <w:spacing w:val="-10"/>
          <w:kern w:val="24"/>
          <w:position w:val="1"/>
          <w:sz w:val="32"/>
          <w:szCs w:val="32"/>
        </w:rPr>
        <w:br/>
      </w:r>
    </w:p>
    <w:p w:rsidR="00DA43F9" w:rsidRPr="00DA43F9" w:rsidRDefault="00DA43F9" w:rsidP="00DA43F9">
      <w:pPr>
        <w:spacing w:line="216" w:lineRule="auto"/>
        <w:rPr>
          <w:color w:val="A5300F"/>
        </w:rPr>
      </w:pPr>
      <w:r w:rsidRPr="00F45B33">
        <w:rPr>
          <w:color w:val="404040"/>
          <w:kern w:val="24"/>
        </w:rPr>
        <w:t>Most of the inquiries and complaints the OCO has received to date relate to:</w:t>
      </w:r>
      <w:r w:rsidRPr="00F45B33">
        <w:rPr>
          <w:color w:val="404040"/>
          <w:kern w:val="24"/>
        </w:rPr>
        <w:br/>
      </w:r>
    </w:p>
    <w:p w:rsidR="00DA43F9" w:rsidRPr="00F45B33" w:rsidRDefault="00DA43F9" w:rsidP="00DA43F9">
      <w:pPr>
        <w:pStyle w:val="ListParagraph"/>
        <w:numPr>
          <w:ilvl w:val="0"/>
          <w:numId w:val="9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 xml:space="preserve">Transition issues </w:t>
      </w:r>
    </w:p>
    <w:p w:rsidR="00DA43F9" w:rsidRPr="00F45B33" w:rsidRDefault="00DA43F9" w:rsidP="00DA43F9">
      <w:pPr>
        <w:pStyle w:val="ListParagraph"/>
        <w:numPr>
          <w:ilvl w:val="0"/>
          <w:numId w:val="9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Communication</w:t>
      </w:r>
    </w:p>
    <w:p w:rsidR="00DA43F9" w:rsidRPr="00F45B33" w:rsidRDefault="00DA43F9" w:rsidP="00DA43F9">
      <w:pPr>
        <w:pStyle w:val="ListParagraph"/>
        <w:numPr>
          <w:ilvl w:val="0"/>
          <w:numId w:val="9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Administrative/Technical</w:t>
      </w:r>
    </w:p>
    <w:p w:rsidR="00DA43F9" w:rsidRDefault="00DA43F9" w:rsidP="00DA43F9">
      <w:pPr>
        <w:spacing w:line="216" w:lineRule="auto"/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6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b/>
          <w:bCs/>
          <w:color w:val="00000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000000"/>
          <w:spacing w:val="-10"/>
          <w:kern w:val="24"/>
          <w:position w:val="1"/>
          <w:sz w:val="32"/>
          <w:szCs w:val="32"/>
        </w:rPr>
        <w:t>Transition Issues</w:t>
      </w:r>
    </w:p>
    <w:p w:rsidR="00DA43F9" w:rsidRPr="00DA43F9" w:rsidRDefault="00DA43F9" w:rsidP="00DA43F9">
      <w:pPr>
        <w:pStyle w:val="NormalWeb"/>
        <w:spacing w:before="240" w:beforeAutospacing="0" w:after="360" w:afterAutospacing="0" w:line="216" w:lineRule="auto"/>
      </w:pPr>
      <w:r w:rsidRPr="00F45B33">
        <w:rPr>
          <w:rFonts w:ascii="Calibri" w:hAnsi="Calibri"/>
          <w:color w:val="404040"/>
          <w:kern w:val="24"/>
        </w:rPr>
        <w:t>Examples include:</w:t>
      </w:r>
    </w:p>
    <w:p w:rsidR="00DA43F9" w:rsidRPr="00F45B33" w:rsidRDefault="00DA43F9" w:rsidP="00DA43F9">
      <w:pPr>
        <w:pStyle w:val="ListParagraph"/>
        <w:numPr>
          <w:ilvl w:val="0"/>
          <w:numId w:val="1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Concern about impact of One Care enrollment on current benefits, access to providers, etc.</w:t>
      </w:r>
    </w:p>
    <w:p w:rsidR="00DA43F9" w:rsidRPr="00F45B33" w:rsidRDefault="00DA43F9" w:rsidP="00DA43F9">
      <w:pPr>
        <w:pStyle w:val="ListParagraph"/>
        <w:numPr>
          <w:ilvl w:val="0"/>
          <w:numId w:val="1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Lack of clarity about the enrollee’s role in the Care Team</w:t>
      </w:r>
    </w:p>
    <w:p w:rsidR="00DA43F9" w:rsidRPr="00F45B33" w:rsidRDefault="00DA43F9" w:rsidP="00DA43F9">
      <w:pPr>
        <w:pStyle w:val="ListParagraph"/>
        <w:numPr>
          <w:ilvl w:val="0"/>
          <w:numId w:val="1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Members unaware that plan formularies may differ from MassHealth prescription drug coverage</w:t>
      </w:r>
    </w:p>
    <w:p w:rsidR="00DA43F9" w:rsidRPr="00F45B33" w:rsidRDefault="00DA43F9" w:rsidP="00DA43F9">
      <w:pPr>
        <w:pStyle w:val="ListParagraph"/>
        <w:numPr>
          <w:ilvl w:val="0"/>
          <w:numId w:val="1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Members need more individualized information and support from MassHealth customer service</w:t>
      </w:r>
    </w:p>
    <w:p w:rsidR="00DA43F9" w:rsidRDefault="00DA43F9" w:rsidP="00DA43F9">
      <w:pPr>
        <w:spacing w:line="216" w:lineRule="auto"/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7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b/>
          <w:bCs/>
          <w:color w:val="40404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404040"/>
          <w:spacing w:val="-10"/>
          <w:kern w:val="24"/>
          <w:position w:val="1"/>
          <w:sz w:val="32"/>
          <w:szCs w:val="32"/>
        </w:rPr>
        <w:t>Communication</w:t>
      </w:r>
    </w:p>
    <w:p w:rsidR="00DA43F9" w:rsidRPr="00DA43F9" w:rsidRDefault="00DA43F9" w:rsidP="00DA43F9">
      <w:pPr>
        <w:pStyle w:val="NormalWeb"/>
        <w:spacing w:before="240" w:beforeAutospacing="0" w:after="360" w:afterAutospacing="0" w:line="216" w:lineRule="auto"/>
      </w:pPr>
      <w:r w:rsidRPr="00F45B33">
        <w:rPr>
          <w:rFonts w:ascii="Calibri" w:hAnsi="Calibri"/>
          <w:kern w:val="24"/>
        </w:rPr>
        <w:t xml:space="preserve">Examples include: </w:t>
      </w:r>
    </w:p>
    <w:p w:rsidR="00DA43F9" w:rsidRPr="00F45B33" w:rsidRDefault="00DA43F9" w:rsidP="00DA43F9">
      <w:pPr>
        <w:pStyle w:val="ListParagraph"/>
        <w:numPr>
          <w:ilvl w:val="0"/>
          <w:numId w:val="1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 xml:space="preserve">Spanish speaking enrollees receiving English-language MassHealth notices </w:t>
      </w:r>
    </w:p>
    <w:p w:rsidR="00DA43F9" w:rsidRPr="00F45B33" w:rsidRDefault="00DA43F9" w:rsidP="00DA43F9">
      <w:pPr>
        <w:pStyle w:val="ListParagraph"/>
        <w:numPr>
          <w:ilvl w:val="0"/>
          <w:numId w:val="1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One Care information MassHealth’s and One Care plans’ websites unclear</w:t>
      </w:r>
    </w:p>
    <w:p w:rsidR="00DA43F9" w:rsidRPr="00F45B33" w:rsidRDefault="00DA43F9" w:rsidP="00DA43F9">
      <w:pPr>
        <w:pStyle w:val="ListParagraph"/>
        <w:numPr>
          <w:ilvl w:val="0"/>
          <w:numId w:val="13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  <w:kern w:val="24"/>
        </w:rPr>
        <w:t>Slow responses from Care Team members can affect enrollees’ access to information and/or services</w:t>
      </w: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</w:p>
    <w:p w:rsidR="00DA43F9" w:rsidRPr="00B37A81" w:rsidRDefault="00DA43F9" w:rsidP="00DA43F9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8</w:t>
      </w:r>
    </w:p>
    <w:p w:rsidR="00DA43F9" w:rsidRDefault="00DA43F9" w:rsidP="00DA43F9">
      <w:pPr>
        <w:spacing w:line="216" w:lineRule="auto"/>
      </w:pPr>
    </w:p>
    <w:p w:rsidR="00DA43F9" w:rsidRPr="00F45B33" w:rsidRDefault="00DA43F9" w:rsidP="00DA43F9">
      <w:pPr>
        <w:spacing w:line="216" w:lineRule="auto"/>
        <w:rPr>
          <w:b/>
          <w:bCs/>
          <w:color w:val="40404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404040"/>
          <w:spacing w:val="-10"/>
          <w:kern w:val="24"/>
          <w:position w:val="1"/>
          <w:sz w:val="32"/>
          <w:szCs w:val="32"/>
        </w:rPr>
        <w:t>Administrative/Technical</w:t>
      </w:r>
      <w:r w:rsidR="00B979CD" w:rsidRPr="00F45B33">
        <w:rPr>
          <w:b/>
          <w:bCs/>
          <w:color w:val="404040"/>
          <w:spacing w:val="-10"/>
          <w:kern w:val="24"/>
          <w:position w:val="1"/>
          <w:sz w:val="32"/>
          <w:szCs w:val="32"/>
        </w:rPr>
        <w:br/>
      </w:r>
    </w:p>
    <w:p w:rsidR="00DA43F9" w:rsidRPr="00DA43F9" w:rsidRDefault="00DA43F9" w:rsidP="00DA43F9">
      <w:pPr>
        <w:spacing w:line="216" w:lineRule="auto"/>
        <w:rPr>
          <w:color w:val="A5300F"/>
        </w:rPr>
      </w:pPr>
      <w:r w:rsidRPr="00F45B33">
        <w:rPr>
          <w:color w:val="000000"/>
          <w:kern w:val="24"/>
        </w:rPr>
        <w:t>Examples include:</w:t>
      </w:r>
      <w:r w:rsidR="00B979CD" w:rsidRPr="00F45B33">
        <w:rPr>
          <w:color w:val="000000"/>
          <w:kern w:val="24"/>
        </w:rPr>
        <w:br/>
      </w:r>
      <w:r w:rsidRPr="00F45B33">
        <w:rPr>
          <w:color w:val="000000"/>
          <w:kern w:val="24"/>
        </w:rPr>
        <w:t xml:space="preserve"> </w:t>
      </w:r>
    </w:p>
    <w:p w:rsidR="00DA43F9" w:rsidRPr="00F45B33" w:rsidRDefault="00DA43F9" w:rsidP="00B979CD">
      <w:pPr>
        <w:pStyle w:val="ListParagraph"/>
        <w:numPr>
          <w:ilvl w:val="0"/>
          <w:numId w:val="19"/>
        </w:numPr>
        <w:spacing w:line="216" w:lineRule="auto"/>
        <w:ind w:left="1080"/>
        <w:rPr>
          <w:rFonts w:ascii="Calibri" w:hAnsi="Calibri"/>
        </w:rPr>
      </w:pPr>
      <w:r w:rsidRPr="00F45B33">
        <w:rPr>
          <w:rFonts w:ascii="Calibri" w:hAnsi="Calibri"/>
          <w:kern w:val="24"/>
        </w:rPr>
        <w:t>Confusion about continuation of One Care enrollment after turning age 65:</w:t>
      </w:r>
    </w:p>
    <w:p w:rsidR="00DA43F9" w:rsidRPr="00F45B33" w:rsidRDefault="00DA43F9" w:rsidP="00B979CD">
      <w:pPr>
        <w:pStyle w:val="ListParagraph"/>
        <w:numPr>
          <w:ilvl w:val="2"/>
          <w:numId w:val="18"/>
        </w:numPr>
        <w:spacing w:line="216" w:lineRule="auto"/>
        <w:ind w:left="1800"/>
        <w:rPr>
          <w:rFonts w:ascii="Calibri" w:hAnsi="Calibri"/>
        </w:rPr>
      </w:pPr>
      <w:r w:rsidRPr="00F45B33">
        <w:rPr>
          <w:rFonts w:ascii="Calibri" w:hAnsi="Calibri"/>
          <w:kern w:val="24"/>
        </w:rPr>
        <w:t>General message is that if enrolled at 64 you can keep your One Care plan</w:t>
      </w:r>
    </w:p>
    <w:p w:rsidR="00DA43F9" w:rsidRPr="00F45B33" w:rsidRDefault="00DA43F9" w:rsidP="00B979CD">
      <w:pPr>
        <w:pStyle w:val="ListParagraph"/>
        <w:numPr>
          <w:ilvl w:val="2"/>
          <w:numId w:val="18"/>
        </w:numPr>
        <w:spacing w:line="216" w:lineRule="auto"/>
        <w:ind w:left="1800"/>
        <w:rPr>
          <w:rFonts w:ascii="Calibri" w:hAnsi="Calibri"/>
        </w:rPr>
      </w:pPr>
      <w:r w:rsidRPr="00F45B33">
        <w:rPr>
          <w:rFonts w:ascii="Calibri" w:hAnsi="Calibri"/>
          <w:kern w:val="24"/>
        </w:rPr>
        <w:t>No clear broad-scale communication re: different financial eligibility criteria at 65</w:t>
      </w:r>
    </w:p>
    <w:p w:rsidR="00DA43F9" w:rsidRPr="00F45B33" w:rsidRDefault="00DA43F9" w:rsidP="00B979CD">
      <w:pPr>
        <w:pStyle w:val="ListParagraph"/>
        <w:numPr>
          <w:ilvl w:val="1"/>
          <w:numId w:val="18"/>
        </w:numPr>
        <w:spacing w:line="216" w:lineRule="auto"/>
        <w:ind w:left="1080"/>
        <w:rPr>
          <w:rFonts w:ascii="Calibri" w:hAnsi="Calibri"/>
        </w:rPr>
      </w:pPr>
      <w:r w:rsidRPr="00F45B33">
        <w:rPr>
          <w:rFonts w:ascii="Calibri" w:hAnsi="Calibri"/>
          <w:kern w:val="24"/>
        </w:rPr>
        <w:lastRenderedPageBreak/>
        <w:t>Provider networks:</w:t>
      </w:r>
    </w:p>
    <w:p w:rsidR="00B70A3C" w:rsidRPr="00F45B33" w:rsidRDefault="00DA43F9" w:rsidP="00B70A3C">
      <w:pPr>
        <w:pStyle w:val="ListParagraph"/>
        <w:numPr>
          <w:ilvl w:val="2"/>
          <w:numId w:val="18"/>
        </w:numPr>
        <w:spacing w:line="216" w:lineRule="auto"/>
        <w:ind w:left="1800"/>
        <w:rPr>
          <w:rFonts w:ascii="Calibri" w:hAnsi="Calibri"/>
        </w:rPr>
      </w:pPr>
      <w:r w:rsidRPr="00F45B33">
        <w:rPr>
          <w:rFonts w:ascii="Calibri" w:hAnsi="Calibri"/>
          <w:kern w:val="24"/>
        </w:rPr>
        <w:t>Providers and potential enrollees lack info about providers’ options to join plan networks or enter single-case out-of-network agreements</w:t>
      </w:r>
    </w:p>
    <w:p w:rsidR="00DA43F9" w:rsidRPr="00F45B33" w:rsidRDefault="00DA43F9" w:rsidP="00B70A3C">
      <w:pPr>
        <w:pStyle w:val="ListParagraph"/>
        <w:numPr>
          <w:ilvl w:val="2"/>
          <w:numId w:val="18"/>
        </w:numPr>
        <w:spacing w:line="216" w:lineRule="auto"/>
        <w:ind w:left="1800"/>
        <w:rPr>
          <w:rFonts w:ascii="Calibri" w:hAnsi="Calibri"/>
        </w:rPr>
      </w:pPr>
      <w:r w:rsidRPr="00F45B33">
        <w:rPr>
          <w:rFonts w:ascii="Calibri" w:hAnsi="Calibri"/>
          <w:kern w:val="24"/>
        </w:rPr>
        <w:t xml:space="preserve">Providers and potential enrollees need clearer understanding of continued access to existing providers during continuity of care period </w:t>
      </w:r>
    </w:p>
    <w:p w:rsidR="00B979CD" w:rsidRDefault="00B979CD" w:rsidP="00B979CD">
      <w:pPr>
        <w:spacing w:line="216" w:lineRule="auto"/>
      </w:pPr>
    </w:p>
    <w:p w:rsidR="00B979CD" w:rsidRPr="00B37A81" w:rsidRDefault="00B979CD" w:rsidP="00B979CD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9</w:t>
      </w:r>
    </w:p>
    <w:p w:rsidR="00B979CD" w:rsidRDefault="00B979CD" w:rsidP="00B979CD">
      <w:pPr>
        <w:spacing w:line="216" w:lineRule="auto"/>
      </w:pPr>
    </w:p>
    <w:p w:rsidR="00B979CD" w:rsidRPr="00F45B33" w:rsidRDefault="00B979CD" w:rsidP="00B979CD">
      <w:pPr>
        <w:spacing w:line="216" w:lineRule="auto"/>
        <w:rPr>
          <w:b/>
          <w:bCs/>
          <w:color w:val="40404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404040"/>
          <w:spacing w:val="-10"/>
          <w:kern w:val="24"/>
          <w:position w:val="1"/>
          <w:sz w:val="32"/>
          <w:szCs w:val="32"/>
        </w:rPr>
        <w:t>Office Information</w:t>
      </w:r>
    </w:p>
    <w:p w:rsidR="00B979CD" w:rsidRPr="00B979CD" w:rsidRDefault="00B979CD" w:rsidP="00B979CD">
      <w:pPr>
        <w:spacing w:before="240" w:after="240" w:line="216" w:lineRule="auto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  <w:u w:val="single"/>
        </w:rPr>
        <w:t>Hours of Operation</w:t>
      </w:r>
    </w:p>
    <w:p w:rsidR="00B979CD" w:rsidRPr="00B979CD" w:rsidRDefault="00B979CD" w:rsidP="00B979CD">
      <w:pPr>
        <w:spacing w:before="240" w:after="240" w:line="216" w:lineRule="auto"/>
        <w:ind w:left="115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>8:30 am to 4:30 pm, Monday – Friday</w:t>
      </w:r>
    </w:p>
    <w:p w:rsidR="00B979CD" w:rsidRPr="00B979CD" w:rsidRDefault="00B979CD" w:rsidP="00B979CD">
      <w:pPr>
        <w:spacing w:before="240" w:after="240" w:line="216" w:lineRule="auto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  <w:u w:val="single"/>
        </w:rPr>
        <w:t>Accessibility</w:t>
      </w:r>
    </w:p>
    <w:p w:rsidR="00B979CD" w:rsidRPr="00B979CD" w:rsidRDefault="00B979CD" w:rsidP="00B979CD">
      <w:pPr>
        <w:spacing w:before="240" w:after="120" w:line="216" w:lineRule="auto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>Our offices are wheelchair accessible</w:t>
      </w:r>
    </w:p>
    <w:p w:rsidR="00B979CD" w:rsidRPr="00B979CD" w:rsidRDefault="00B979CD" w:rsidP="00B979CD">
      <w:pPr>
        <w:spacing w:before="240" w:after="120" w:line="216" w:lineRule="auto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>Please call 1.855.781.9898 (MassRelay – dial 711) to</w:t>
      </w:r>
    </w:p>
    <w:p w:rsidR="00B979CD" w:rsidRPr="00B979CD" w:rsidRDefault="00B979CD" w:rsidP="00B979CD">
      <w:pPr>
        <w:spacing w:before="40" w:after="120" w:line="216" w:lineRule="auto"/>
        <w:ind w:left="317"/>
        <w:rPr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>Arrange interpreter services in your preferred language and for the Deaf</w:t>
      </w:r>
    </w:p>
    <w:p w:rsidR="00B979CD" w:rsidRPr="00F45B33" w:rsidRDefault="00B979CD" w:rsidP="00B979CD">
      <w:pPr>
        <w:spacing w:line="216" w:lineRule="auto"/>
        <w:ind w:left="317"/>
        <w:rPr>
          <w:color w:val="000000"/>
          <w:kern w:val="24"/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>Request OCO informational materials in Spanish, Braille, large print or electronically (PDF or Word document)</w:t>
      </w:r>
    </w:p>
    <w:p w:rsidR="00B979CD" w:rsidRPr="00F45B33" w:rsidRDefault="00B979CD" w:rsidP="00B979CD">
      <w:pPr>
        <w:spacing w:line="216" w:lineRule="auto"/>
        <w:ind w:left="317"/>
        <w:rPr>
          <w:color w:val="000000"/>
          <w:kern w:val="24"/>
          <w:sz w:val="24"/>
          <w:szCs w:val="24"/>
        </w:rPr>
      </w:pPr>
    </w:p>
    <w:p w:rsidR="00B979CD" w:rsidRPr="00F45B33" w:rsidRDefault="00B979CD" w:rsidP="00B979CD">
      <w:pPr>
        <w:spacing w:line="216" w:lineRule="auto"/>
        <w:rPr>
          <w:b/>
          <w:color w:val="000000"/>
          <w:kern w:val="24"/>
          <w:sz w:val="28"/>
          <w:szCs w:val="28"/>
          <w:u w:val="single"/>
        </w:rPr>
      </w:pPr>
      <w:r w:rsidRPr="00F45B33">
        <w:rPr>
          <w:b/>
          <w:color w:val="000000"/>
          <w:kern w:val="24"/>
          <w:sz w:val="28"/>
          <w:szCs w:val="28"/>
          <w:u w:val="single"/>
        </w:rPr>
        <w:t>Slide 10</w:t>
      </w:r>
    </w:p>
    <w:p w:rsidR="00B979CD" w:rsidRPr="00F45B33" w:rsidRDefault="00B979CD" w:rsidP="00B979CD">
      <w:pPr>
        <w:spacing w:line="216" w:lineRule="auto"/>
        <w:rPr>
          <w:color w:val="000000"/>
          <w:kern w:val="24"/>
          <w:sz w:val="24"/>
          <w:szCs w:val="24"/>
        </w:rPr>
      </w:pPr>
    </w:p>
    <w:p w:rsidR="00B979CD" w:rsidRPr="00F45B33" w:rsidRDefault="00B979CD" w:rsidP="00B979CD">
      <w:pPr>
        <w:spacing w:line="216" w:lineRule="auto"/>
        <w:rPr>
          <w:b/>
          <w:color w:val="000000"/>
          <w:kern w:val="24"/>
          <w:sz w:val="32"/>
          <w:szCs w:val="32"/>
        </w:rPr>
      </w:pPr>
      <w:r w:rsidRPr="00F45B33">
        <w:rPr>
          <w:b/>
          <w:color w:val="000000"/>
          <w:kern w:val="24"/>
          <w:sz w:val="32"/>
          <w:szCs w:val="32"/>
        </w:rPr>
        <w:t>One Care Ombudsman Statewide Coverage</w:t>
      </w:r>
    </w:p>
    <w:p w:rsidR="00B979CD" w:rsidRPr="00F45B33" w:rsidRDefault="00B979CD" w:rsidP="00B979CD">
      <w:pPr>
        <w:spacing w:line="216" w:lineRule="auto"/>
        <w:rPr>
          <w:b/>
          <w:color w:val="000000"/>
          <w:kern w:val="24"/>
          <w:sz w:val="32"/>
          <w:szCs w:val="32"/>
        </w:rPr>
      </w:pPr>
    </w:p>
    <w:p w:rsidR="00B979CD" w:rsidRPr="00F45B33" w:rsidRDefault="00B979CD" w:rsidP="00B979CD">
      <w:pPr>
        <w:spacing w:line="216" w:lineRule="auto"/>
        <w:rPr>
          <w:color w:val="000000"/>
          <w:kern w:val="24"/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 xml:space="preserve">This </w:t>
      </w:r>
      <w:r w:rsidR="004C6EAD" w:rsidRPr="00F45B33">
        <w:rPr>
          <w:color w:val="000000"/>
          <w:kern w:val="24"/>
          <w:sz w:val="24"/>
          <w:szCs w:val="24"/>
        </w:rPr>
        <w:t>slide contains</w:t>
      </w:r>
      <w:r w:rsidRPr="00F45B33">
        <w:rPr>
          <w:color w:val="000000"/>
          <w:kern w:val="24"/>
          <w:sz w:val="24"/>
          <w:szCs w:val="24"/>
        </w:rPr>
        <w:t xml:space="preserve"> </w:t>
      </w:r>
      <w:r w:rsidR="004C6EAD" w:rsidRPr="00F45B33">
        <w:rPr>
          <w:color w:val="000000"/>
          <w:kern w:val="24"/>
          <w:sz w:val="24"/>
          <w:szCs w:val="24"/>
        </w:rPr>
        <w:t>an illustration</w:t>
      </w:r>
      <w:r w:rsidRPr="00F45B33">
        <w:rPr>
          <w:color w:val="000000"/>
          <w:kern w:val="24"/>
          <w:sz w:val="24"/>
          <w:szCs w:val="24"/>
        </w:rPr>
        <w:t xml:space="preserve"> of the state of Massachusetts broken into three areas using the colors red, green and gray.  </w:t>
      </w:r>
    </w:p>
    <w:p w:rsidR="00B979CD" w:rsidRPr="00F45B33" w:rsidRDefault="00B979CD" w:rsidP="00B979CD">
      <w:pPr>
        <w:spacing w:line="216" w:lineRule="auto"/>
        <w:rPr>
          <w:color w:val="000000"/>
          <w:kern w:val="24"/>
          <w:sz w:val="24"/>
          <w:szCs w:val="24"/>
        </w:rPr>
      </w:pPr>
    </w:p>
    <w:p w:rsidR="00B979CD" w:rsidRPr="00F45B33" w:rsidRDefault="00B979CD" w:rsidP="00B979CD">
      <w:pPr>
        <w:spacing w:line="216" w:lineRule="auto"/>
        <w:rPr>
          <w:color w:val="000000"/>
          <w:kern w:val="24"/>
          <w:sz w:val="24"/>
          <w:szCs w:val="24"/>
        </w:rPr>
      </w:pPr>
      <w:r w:rsidRPr="00F45B33">
        <w:rPr>
          <w:color w:val="000000"/>
          <w:kern w:val="24"/>
          <w:sz w:val="24"/>
          <w:szCs w:val="24"/>
        </w:rPr>
        <w:t xml:space="preserve">The color red highlights the counties in Massachusetts covered by the </w:t>
      </w:r>
      <w:r w:rsidR="004C6EAD" w:rsidRPr="00F45B33">
        <w:rPr>
          <w:color w:val="000000"/>
          <w:kern w:val="24"/>
          <w:sz w:val="24"/>
          <w:szCs w:val="24"/>
        </w:rPr>
        <w:t xml:space="preserve">Ombudsman’s </w:t>
      </w:r>
      <w:r w:rsidRPr="00F45B33">
        <w:rPr>
          <w:color w:val="000000"/>
          <w:kern w:val="24"/>
          <w:sz w:val="24"/>
          <w:szCs w:val="24"/>
        </w:rPr>
        <w:t>Malden Office:</w:t>
      </w:r>
    </w:p>
    <w:p w:rsidR="00B979CD" w:rsidRPr="00F45B33" w:rsidRDefault="00B979CD" w:rsidP="00B979CD">
      <w:pPr>
        <w:pStyle w:val="ListParagraph"/>
        <w:numPr>
          <w:ilvl w:val="0"/>
          <w:numId w:val="20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Essex</w:t>
      </w:r>
    </w:p>
    <w:p w:rsidR="00B979CD" w:rsidRPr="00F45B33" w:rsidRDefault="00B979CD" w:rsidP="00B979CD">
      <w:pPr>
        <w:pStyle w:val="ListParagraph"/>
        <w:numPr>
          <w:ilvl w:val="0"/>
          <w:numId w:val="20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Middlesex</w:t>
      </w:r>
    </w:p>
    <w:p w:rsidR="00B979CD" w:rsidRPr="00F45B33" w:rsidRDefault="00B979CD" w:rsidP="00B979CD">
      <w:pPr>
        <w:pStyle w:val="ListParagraph"/>
        <w:numPr>
          <w:ilvl w:val="0"/>
          <w:numId w:val="20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Suffolk</w:t>
      </w:r>
    </w:p>
    <w:p w:rsidR="00B979CD" w:rsidRPr="00F45B33" w:rsidRDefault="00B979CD" w:rsidP="00B979CD">
      <w:pPr>
        <w:pStyle w:val="ListParagraph"/>
        <w:numPr>
          <w:ilvl w:val="0"/>
          <w:numId w:val="20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Norfolk</w:t>
      </w:r>
    </w:p>
    <w:p w:rsidR="00B979CD" w:rsidRPr="00F45B33" w:rsidRDefault="00B979CD" w:rsidP="00B979CD">
      <w:pPr>
        <w:pStyle w:val="ListParagraph"/>
        <w:numPr>
          <w:ilvl w:val="0"/>
          <w:numId w:val="20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Plymouth</w:t>
      </w:r>
    </w:p>
    <w:p w:rsidR="004C6EAD" w:rsidRDefault="004C6EAD" w:rsidP="00B979CD">
      <w:pPr>
        <w:spacing w:line="216" w:lineRule="auto"/>
      </w:pPr>
    </w:p>
    <w:p w:rsidR="00B979CD" w:rsidRDefault="00B979CD" w:rsidP="00B979CD">
      <w:pPr>
        <w:spacing w:line="216" w:lineRule="auto"/>
      </w:pPr>
      <w:r w:rsidRPr="00B70A3C">
        <w:rPr>
          <w:sz w:val="24"/>
          <w:szCs w:val="24"/>
        </w:rPr>
        <w:t xml:space="preserve">The color green highlights the counties in Massachusetts covered by the </w:t>
      </w:r>
      <w:r w:rsidR="004C6EAD" w:rsidRPr="00B70A3C">
        <w:rPr>
          <w:sz w:val="24"/>
          <w:szCs w:val="24"/>
        </w:rPr>
        <w:t xml:space="preserve">Ombudsman’s </w:t>
      </w:r>
      <w:r w:rsidRPr="00B70A3C">
        <w:rPr>
          <w:sz w:val="24"/>
          <w:szCs w:val="24"/>
        </w:rPr>
        <w:t>Worcester Office</w:t>
      </w:r>
      <w:r>
        <w:t>:</w:t>
      </w:r>
    </w:p>
    <w:p w:rsidR="00B979CD" w:rsidRPr="00F45B33" w:rsidRDefault="00B979CD" w:rsidP="00B979CD">
      <w:pPr>
        <w:pStyle w:val="ListParagraph"/>
        <w:numPr>
          <w:ilvl w:val="0"/>
          <w:numId w:val="2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Worcester</w:t>
      </w:r>
    </w:p>
    <w:p w:rsidR="00B979CD" w:rsidRPr="00F45B33" w:rsidRDefault="00B979CD" w:rsidP="00B979CD">
      <w:pPr>
        <w:pStyle w:val="ListParagraph"/>
        <w:numPr>
          <w:ilvl w:val="0"/>
          <w:numId w:val="2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Franklin</w:t>
      </w:r>
    </w:p>
    <w:p w:rsidR="00B979CD" w:rsidRPr="00F45B33" w:rsidRDefault="00B979CD" w:rsidP="00B979CD">
      <w:pPr>
        <w:pStyle w:val="ListParagraph"/>
        <w:numPr>
          <w:ilvl w:val="0"/>
          <w:numId w:val="2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Hampshire</w:t>
      </w:r>
    </w:p>
    <w:p w:rsidR="00B979CD" w:rsidRPr="00F45B33" w:rsidRDefault="00B979CD" w:rsidP="00B979CD">
      <w:pPr>
        <w:pStyle w:val="ListParagraph"/>
        <w:numPr>
          <w:ilvl w:val="0"/>
          <w:numId w:val="21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Hampden</w:t>
      </w:r>
    </w:p>
    <w:p w:rsidR="004C6EAD" w:rsidRDefault="004C6EAD" w:rsidP="00B979CD">
      <w:pPr>
        <w:spacing w:line="216" w:lineRule="auto"/>
      </w:pPr>
    </w:p>
    <w:p w:rsidR="004C6EAD" w:rsidRDefault="004C6EAD" w:rsidP="00B979CD">
      <w:pPr>
        <w:spacing w:line="216" w:lineRule="auto"/>
      </w:pPr>
    </w:p>
    <w:p w:rsidR="00B70A3C" w:rsidRDefault="00B70A3C" w:rsidP="00B979CD">
      <w:pPr>
        <w:spacing w:line="216" w:lineRule="auto"/>
      </w:pPr>
    </w:p>
    <w:p w:rsidR="00B979CD" w:rsidRPr="00B70A3C" w:rsidRDefault="00B979CD" w:rsidP="00B979CD">
      <w:pPr>
        <w:spacing w:line="216" w:lineRule="auto"/>
        <w:rPr>
          <w:sz w:val="24"/>
          <w:szCs w:val="24"/>
        </w:rPr>
      </w:pPr>
      <w:r w:rsidRPr="00B70A3C">
        <w:rPr>
          <w:sz w:val="24"/>
          <w:szCs w:val="24"/>
        </w:rPr>
        <w:lastRenderedPageBreak/>
        <w:t xml:space="preserve">The </w:t>
      </w:r>
      <w:r w:rsidR="004C6EAD" w:rsidRPr="00B70A3C">
        <w:rPr>
          <w:sz w:val="24"/>
          <w:szCs w:val="24"/>
        </w:rPr>
        <w:t>color gray highlights the</w:t>
      </w:r>
      <w:r w:rsidRPr="00B70A3C">
        <w:rPr>
          <w:sz w:val="24"/>
          <w:szCs w:val="24"/>
        </w:rPr>
        <w:t xml:space="preserve"> counties in Massachusetts where there </w:t>
      </w:r>
      <w:r w:rsidR="004C6EAD" w:rsidRPr="00B70A3C">
        <w:rPr>
          <w:sz w:val="24"/>
          <w:szCs w:val="24"/>
        </w:rPr>
        <w:t>are currently no One Care Plan coverage</w:t>
      </w:r>
      <w:r w:rsidRPr="00B70A3C">
        <w:rPr>
          <w:sz w:val="24"/>
          <w:szCs w:val="24"/>
        </w:rPr>
        <w:t>:</w:t>
      </w:r>
    </w:p>
    <w:p w:rsidR="00B979CD" w:rsidRPr="00F45B33" w:rsidRDefault="00B979CD" w:rsidP="00B979CD">
      <w:pPr>
        <w:pStyle w:val="ListParagraph"/>
        <w:numPr>
          <w:ilvl w:val="0"/>
          <w:numId w:val="22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Berkshire</w:t>
      </w:r>
    </w:p>
    <w:p w:rsidR="00B979CD" w:rsidRPr="00F45B33" w:rsidRDefault="00B979CD" w:rsidP="00B979CD">
      <w:pPr>
        <w:pStyle w:val="ListParagraph"/>
        <w:numPr>
          <w:ilvl w:val="0"/>
          <w:numId w:val="22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Bristol</w:t>
      </w:r>
    </w:p>
    <w:p w:rsidR="00B979CD" w:rsidRPr="00F45B33" w:rsidRDefault="00B979CD" w:rsidP="00B979CD">
      <w:pPr>
        <w:pStyle w:val="ListParagraph"/>
        <w:numPr>
          <w:ilvl w:val="0"/>
          <w:numId w:val="22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Barnstable</w:t>
      </w:r>
    </w:p>
    <w:p w:rsidR="00B979CD" w:rsidRPr="00F45B33" w:rsidRDefault="00B979CD" w:rsidP="00B979CD">
      <w:pPr>
        <w:pStyle w:val="ListParagraph"/>
        <w:numPr>
          <w:ilvl w:val="0"/>
          <w:numId w:val="22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Dukes</w:t>
      </w:r>
    </w:p>
    <w:p w:rsidR="00B979CD" w:rsidRPr="00F45B33" w:rsidRDefault="00B979CD" w:rsidP="00B979CD">
      <w:pPr>
        <w:pStyle w:val="ListParagraph"/>
        <w:numPr>
          <w:ilvl w:val="0"/>
          <w:numId w:val="22"/>
        </w:numPr>
        <w:spacing w:line="216" w:lineRule="auto"/>
        <w:rPr>
          <w:rFonts w:ascii="Calibri" w:hAnsi="Calibri"/>
        </w:rPr>
      </w:pPr>
      <w:r w:rsidRPr="00F45B33">
        <w:rPr>
          <w:rFonts w:ascii="Calibri" w:hAnsi="Calibri"/>
        </w:rPr>
        <w:t>Nantucket</w:t>
      </w:r>
    </w:p>
    <w:p w:rsidR="00B979CD" w:rsidRDefault="00B979CD" w:rsidP="00B979CD">
      <w:pPr>
        <w:spacing w:line="216" w:lineRule="auto"/>
      </w:pPr>
    </w:p>
    <w:p w:rsidR="00B979CD" w:rsidRPr="00B37A81" w:rsidRDefault="00B979CD" w:rsidP="00B979CD">
      <w:pPr>
        <w:spacing w:line="216" w:lineRule="auto"/>
        <w:rPr>
          <w:b/>
          <w:sz w:val="28"/>
          <w:szCs w:val="28"/>
          <w:u w:val="single"/>
        </w:rPr>
      </w:pPr>
      <w:r w:rsidRPr="00B37A81">
        <w:rPr>
          <w:b/>
          <w:sz w:val="28"/>
          <w:szCs w:val="28"/>
          <w:u w:val="single"/>
        </w:rPr>
        <w:t>Slide 11</w:t>
      </w:r>
    </w:p>
    <w:p w:rsidR="00B979CD" w:rsidRDefault="00B979CD" w:rsidP="00B979CD">
      <w:pPr>
        <w:spacing w:line="216" w:lineRule="auto"/>
      </w:pPr>
    </w:p>
    <w:p w:rsidR="00DA43F9" w:rsidRPr="00F45B33" w:rsidRDefault="00B979CD" w:rsidP="00B979CD">
      <w:pPr>
        <w:spacing w:line="216" w:lineRule="auto"/>
        <w:rPr>
          <w:b/>
          <w:bCs/>
          <w:color w:val="000000"/>
          <w:spacing w:val="-10"/>
          <w:kern w:val="24"/>
          <w:position w:val="1"/>
          <w:sz w:val="32"/>
          <w:szCs w:val="32"/>
        </w:rPr>
      </w:pPr>
      <w:r w:rsidRPr="00F45B33">
        <w:rPr>
          <w:b/>
          <w:bCs/>
          <w:color w:val="000000"/>
          <w:spacing w:val="-10"/>
          <w:kern w:val="24"/>
          <w:position w:val="1"/>
          <w:sz w:val="32"/>
          <w:szCs w:val="32"/>
        </w:rPr>
        <w:t>Contact Information</w:t>
      </w:r>
    </w:p>
    <w:p w:rsidR="00B979CD" w:rsidRPr="00F45B33" w:rsidRDefault="00B979CD" w:rsidP="00B979CD">
      <w:pPr>
        <w:spacing w:line="216" w:lineRule="auto"/>
        <w:rPr>
          <w:b/>
          <w:bCs/>
          <w:color w:val="000000"/>
          <w:spacing w:val="-10"/>
          <w:kern w:val="24"/>
          <w:position w:val="1"/>
          <w:sz w:val="32"/>
          <w:szCs w:val="32"/>
        </w:rPr>
      </w:pPr>
    </w:p>
    <w:p w:rsidR="00B979CD" w:rsidRPr="00B70A3C" w:rsidRDefault="00B979CD" w:rsidP="00B979CD">
      <w:pPr>
        <w:spacing w:before="40" w:after="80" w:line="216" w:lineRule="auto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>Offices</w:t>
      </w:r>
      <w:r w:rsidR="004C6EAD" w:rsidRPr="00F45B33">
        <w:rPr>
          <w:kern w:val="24"/>
          <w:sz w:val="24"/>
          <w:szCs w:val="24"/>
        </w:rPr>
        <w:t>:</w:t>
      </w:r>
      <w:r w:rsidR="004C6EAD" w:rsidRPr="00F45B33">
        <w:rPr>
          <w:kern w:val="24"/>
          <w:sz w:val="24"/>
          <w:szCs w:val="24"/>
        </w:rPr>
        <w:tab/>
        <w:t xml:space="preserve">East: </w:t>
      </w:r>
      <w:r w:rsidR="004C6EAD"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  <w:t>11 Da</w:t>
      </w:r>
      <w:r w:rsidR="004C6EAD" w:rsidRPr="00F45B33">
        <w:rPr>
          <w:kern w:val="24"/>
          <w:sz w:val="24"/>
          <w:szCs w:val="24"/>
        </w:rPr>
        <w:t>rtmouth Str., Ste. 301</w:t>
      </w:r>
      <w:r w:rsidR="004C6EAD" w:rsidRPr="00F45B33">
        <w:rPr>
          <w:kern w:val="24"/>
          <w:sz w:val="24"/>
          <w:szCs w:val="24"/>
        </w:rPr>
        <w:tab/>
      </w:r>
      <w:r w:rsidR="004C6EAD"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>Walk-in hours</w:t>
      </w:r>
      <w:r w:rsidR="000120F3" w:rsidRPr="00F45B33">
        <w:rPr>
          <w:kern w:val="24"/>
          <w:sz w:val="24"/>
          <w:szCs w:val="24"/>
        </w:rPr>
        <w:br/>
      </w:r>
      <w:r w:rsidR="004C6EAD" w:rsidRPr="00F45B33">
        <w:rPr>
          <w:kern w:val="24"/>
          <w:sz w:val="24"/>
          <w:szCs w:val="24"/>
        </w:rPr>
        <w:tab/>
      </w:r>
      <w:r w:rsidR="004C6EAD" w:rsidRPr="00F45B33">
        <w:rPr>
          <w:kern w:val="24"/>
          <w:sz w:val="24"/>
          <w:szCs w:val="24"/>
        </w:rPr>
        <w:tab/>
      </w:r>
      <w:r w:rsidR="004C6EAD" w:rsidRPr="00F45B33">
        <w:rPr>
          <w:kern w:val="24"/>
          <w:sz w:val="24"/>
          <w:szCs w:val="24"/>
        </w:rPr>
        <w:tab/>
      </w:r>
      <w:r w:rsidR="004C6EAD"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>Malden, MA 02148</w:t>
      </w:r>
    </w:p>
    <w:p w:rsidR="00B979CD" w:rsidRPr="00F45B33" w:rsidRDefault="004C6EAD" w:rsidP="004C6EAD">
      <w:pPr>
        <w:spacing w:before="40" w:after="80" w:line="216" w:lineRule="auto"/>
        <w:ind w:left="1440"/>
        <w:rPr>
          <w:kern w:val="24"/>
          <w:sz w:val="24"/>
          <w:szCs w:val="24"/>
        </w:rPr>
      </w:pPr>
      <w:r w:rsidRPr="00F45B33">
        <w:rPr>
          <w:kern w:val="24"/>
          <w:sz w:val="24"/>
          <w:szCs w:val="24"/>
        </w:rPr>
        <w:t>Central/</w:t>
      </w:r>
      <w:r w:rsidRPr="00F45B33">
        <w:rPr>
          <w:kern w:val="24"/>
          <w:sz w:val="24"/>
          <w:szCs w:val="24"/>
        </w:rPr>
        <w:tab/>
      </w:r>
      <w:r w:rsidR="00B02924" w:rsidRPr="00F45B33">
        <w:rPr>
          <w:kern w:val="24"/>
          <w:sz w:val="24"/>
          <w:szCs w:val="24"/>
        </w:rPr>
        <w:t>484</w:t>
      </w:r>
      <w:r w:rsidR="0006612D" w:rsidRPr="00F45B33">
        <w:rPr>
          <w:kern w:val="24"/>
          <w:sz w:val="24"/>
          <w:szCs w:val="24"/>
        </w:rPr>
        <w:t xml:space="preserve"> Main Str., Ste. 600</w:t>
      </w:r>
      <w:r w:rsidR="000120F3" w:rsidRPr="00F45B33">
        <w:rPr>
          <w:kern w:val="24"/>
          <w:sz w:val="24"/>
          <w:szCs w:val="24"/>
        </w:rPr>
        <w:t>*</w:t>
      </w: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  <w:r w:rsidR="00B979CD" w:rsidRPr="00F45B33">
        <w:rPr>
          <w:kern w:val="24"/>
          <w:sz w:val="24"/>
          <w:szCs w:val="24"/>
        </w:rPr>
        <w:t xml:space="preserve">By Appointment </w:t>
      </w:r>
      <w:r w:rsidRPr="00F45B33">
        <w:rPr>
          <w:kern w:val="24"/>
          <w:sz w:val="24"/>
          <w:szCs w:val="24"/>
        </w:rPr>
        <w:tab/>
      </w:r>
      <w:r w:rsidR="002D0978" w:rsidRPr="00F45B33">
        <w:rPr>
          <w:kern w:val="24"/>
          <w:sz w:val="24"/>
          <w:szCs w:val="24"/>
        </w:rPr>
        <w:br/>
      </w:r>
      <w:r w:rsidR="00B979CD" w:rsidRPr="00F45B33">
        <w:rPr>
          <w:kern w:val="24"/>
          <w:sz w:val="24"/>
          <w:szCs w:val="24"/>
        </w:rPr>
        <w:t>West:</w:t>
      </w:r>
      <w:r w:rsidR="00B979CD" w:rsidRPr="00F45B33">
        <w:rPr>
          <w:kern w:val="24"/>
          <w:sz w:val="24"/>
          <w:szCs w:val="24"/>
        </w:rPr>
        <w:tab/>
      </w:r>
      <w:r w:rsidR="00B979CD"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 xml:space="preserve">Worcester, MA  01608 </w:t>
      </w: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  <w:r w:rsidR="00B979CD" w:rsidRPr="00F45B33">
        <w:rPr>
          <w:kern w:val="24"/>
          <w:sz w:val="24"/>
          <w:szCs w:val="24"/>
        </w:rPr>
        <w:t>Only</w:t>
      </w:r>
    </w:p>
    <w:p w:rsidR="00B02924" w:rsidRPr="00B02924" w:rsidRDefault="000120F3" w:rsidP="004C6EAD">
      <w:pPr>
        <w:spacing w:before="40" w:after="80" w:line="216" w:lineRule="auto"/>
        <w:ind w:left="1440"/>
        <w:rPr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B02924" w:rsidRPr="00B02924">
        <w:rPr>
          <w:rFonts w:cs="Arial"/>
          <w:sz w:val="24"/>
          <w:szCs w:val="24"/>
        </w:rPr>
        <w:t>For automatic door accessibility use the entrance to the left when facing the building. T</w:t>
      </w:r>
      <w:r w:rsidR="0006612D">
        <w:rPr>
          <w:rFonts w:cs="Arial"/>
          <w:sz w:val="24"/>
          <w:szCs w:val="24"/>
        </w:rPr>
        <w:t>ake the elevator to the 6</w:t>
      </w:r>
      <w:r w:rsidR="0006612D" w:rsidRPr="0006612D">
        <w:rPr>
          <w:rFonts w:cs="Arial"/>
          <w:sz w:val="24"/>
          <w:szCs w:val="24"/>
          <w:vertAlign w:val="superscript"/>
        </w:rPr>
        <w:t>th</w:t>
      </w:r>
      <w:r w:rsidR="0006612D">
        <w:rPr>
          <w:rFonts w:cs="Arial"/>
          <w:sz w:val="24"/>
          <w:szCs w:val="24"/>
        </w:rPr>
        <w:t xml:space="preserve"> floor; t</w:t>
      </w:r>
      <w:r w:rsidR="00B02924" w:rsidRPr="00B02924">
        <w:rPr>
          <w:rFonts w:cs="Arial"/>
          <w:sz w:val="24"/>
          <w:szCs w:val="24"/>
        </w:rPr>
        <w:t>he OCO is located</w:t>
      </w:r>
      <w:r w:rsidR="0006612D">
        <w:rPr>
          <w:rFonts w:cs="Arial"/>
          <w:sz w:val="24"/>
          <w:szCs w:val="24"/>
        </w:rPr>
        <w:t xml:space="preserve"> </w:t>
      </w:r>
      <w:r w:rsidR="00B02924" w:rsidRPr="00B02924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 xml:space="preserve"> the</w:t>
      </w:r>
      <w:r w:rsidR="00B02924" w:rsidRPr="00B02924">
        <w:rPr>
          <w:rFonts w:cs="Arial"/>
          <w:sz w:val="24"/>
          <w:szCs w:val="24"/>
        </w:rPr>
        <w:t xml:space="preserve"> Easter Seals </w:t>
      </w:r>
      <w:r>
        <w:rPr>
          <w:rFonts w:cs="Arial"/>
          <w:sz w:val="24"/>
          <w:szCs w:val="24"/>
        </w:rPr>
        <w:t xml:space="preserve">office </w:t>
      </w:r>
      <w:r w:rsidR="0006612D">
        <w:rPr>
          <w:rFonts w:cs="Arial"/>
          <w:sz w:val="24"/>
          <w:szCs w:val="24"/>
        </w:rPr>
        <w:t>(</w:t>
      </w:r>
      <w:r w:rsidR="00B02924" w:rsidRPr="00B02924">
        <w:rPr>
          <w:rFonts w:cs="Arial"/>
          <w:sz w:val="24"/>
          <w:szCs w:val="24"/>
        </w:rPr>
        <w:t>Suite 600</w:t>
      </w:r>
      <w:r w:rsidR="0006612D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B979CD" w:rsidRPr="00B70A3C" w:rsidRDefault="00B979CD" w:rsidP="00B979CD">
      <w:pPr>
        <w:spacing w:before="40" w:after="80" w:line="216" w:lineRule="auto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</w:p>
    <w:p w:rsidR="002D0978" w:rsidRPr="00B70A3C" w:rsidRDefault="00B979CD" w:rsidP="002D0978">
      <w:pPr>
        <w:spacing w:before="40" w:after="80" w:line="216" w:lineRule="auto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>Phone</w:t>
      </w:r>
      <w:r w:rsidR="004C6EAD" w:rsidRPr="00F45B33">
        <w:rPr>
          <w:kern w:val="24"/>
          <w:sz w:val="24"/>
          <w:szCs w:val="24"/>
        </w:rPr>
        <w:t>:</w:t>
      </w:r>
      <w:r w:rsidR="004C6EAD" w:rsidRPr="00F45B33">
        <w:rPr>
          <w:kern w:val="24"/>
          <w:sz w:val="24"/>
          <w:szCs w:val="24"/>
        </w:rPr>
        <w:tab/>
      </w:r>
      <w:r w:rsidR="002D0978" w:rsidRPr="00F45B33">
        <w:rPr>
          <w:kern w:val="24"/>
          <w:sz w:val="24"/>
          <w:szCs w:val="24"/>
        </w:rPr>
        <w:tab/>
      </w:r>
      <w:r w:rsidRPr="00F45B33">
        <w:rPr>
          <w:b/>
          <w:bCs/>
          <w:spacing w:val="20"/>
          <w:kern w:val="24"/>
          <w:sz w:val="24"/>
          <w:szCs w:val="24"/>
        </w:rPr>
        <w:t>1.855.781.9898</w:t>
      </w:r>
      <w:r w:rsidRPr="00F45B33">
        <w:rPr>
          <w:kern w:val="24"/>
          <w:sz w:val="24"/>
          <w:szCs w:val="24"/>
        </w:rPr>
        <w:t xml:space="preserve"> –</w:t>
      </w:r>
      <w:r w:rsidR="004C6EAD" w:rsidRPr="00F45B33">
        <w:rPr>
          <w:kern w:val="24"/>
          <w:sz w:val="24"/>
          <w:szCs w:val="24"/>
        </w:rPr>
        <w:t xml:space="preserve"> </w:t>
      </w:r>
      <w:r w:rsidRPr="00F45B33">
        <w:rPr>
          <w:kern w:val="24"/>
          <w:sz w:val="24"/>
          <w:szCs w:val="24"/>
        </w:rPr>
        <w:t>toll free</w:t>
      </w:r>
    </w:p>
    <w:p w:rsidR="00B979CD" w:rsidRPr="00B70A3C" w:rsidRDefault="00B979CD" w:rsidP="002D0978">
      <w:pPr>
        <w:spacing w:before="40" w:after="80" w:line="216" w:lineRule="auto"/>
        <w:ind w:left="720" w:firstLine="720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>1.617.307.7775 – office</w:t>
      </w:r>
    </w:p>
    <w:p w:rsidR="00B979CD" w:rsidRPr="00B70A3C" w:rsidRDefault="00B979CD" w:rsidP="002D0978">
      <w:pPr>
        <w:spacing w:before="40" w:after="80" w:line="216" w:lineRule="auto"/>
        <w:ind w:left="720" w:firstLine="720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>Dial 711 – MassRelay</w:t>
      </w:r>
      <w:r w:rsidR="002D0978" w:rsidRPr="00F45B33">
        <w:rPr>
          <w:kern w:val="24"/>
          <w:sz w:val="24"/>
          <w:szCs w:val="24"/>
        </w:rPr>
        <w:br/>
      </w:r>
    </w:p>
    <w:p w:rsidR="00B979CD" w:rsidRPr="00B70A3C" w:rsidRDefault="002D0978" w:rsidP="00B979CD">
      <w:pPr>
        <w:spacing w:before="40" w:after="80" w:line="216" w:lineRule="auto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t>Email:</w:t>
      </w:r>
      <w:r w:rsidRPr="00F45B33">
        <w:rPr>
          <w:kern w:val="24"/>
          <w:sz w:val="24"/>
          <w:szCs w:val="24"/>
        </w:rPr>
        <w:tab/>
      </w:r>
      <w:r w:rsidRPr="00F45B33">
        <w:rPr>
          <w:kern w:val="24"/>
          <w:sz w:val="24"/>
          <w:szCs w:val="24"/>
        </w:rPr>
        <w:tab/>
      </w:r>
      <w:r w:rsidR="00B979CD" w:rsidRPr="00F45B33">
        <w:rPr>
          <w:kern w:val="24"/>
          <w:sz w:val="24"/>
          <w:szCs w:val="24"/>
        </w:rPr>
        <w:t>help@onecareombuds.org</w:t>
      </w:r>
    </w:p>
    <w:p w:rsidR="00B979CD" w:rsidRPr="00B70A3C" w:rsidRDefault="00B70A3C" w:rsidP="00B979CD">
      <w:pPr>
        <w:spacing w:before="40" w:after="80" w:line="216" w:lineRule="auto"/>
        <w:rPr>
          <w:rFonts w:ascii="Times New Roman" w:hAnsi="Times New Roman"/>
          <w:sz w:val="24"/>
          <w:szCs w:val="24"/>
        </w:rPr>
      </w:pPr>
      <w:r w:rsidRPr="00F45B33">
        <w:rPr>
          <w:kern w:val="24"/>
          <w:sz w:val="24"/>
          <w:szCs w:val="24"/>
        </w:rPr>
        <w:br/>
      </w:r>
      <w:r w:rsidR="002D0978" w:rsidRPr="00F45B33">
        <w:rPr>
          <w:kern w:val="24"/>
          <w:sz w:val="24"/>
          <w:szCs w:val="24"/>
        </w:rPr>
        <w:t>Website:</w:t>
      </w:r>
      <w:r w:rsidR="002D0978" w:rsidRPr="00F45B33">
        <w:rPr>
          <w:kern w:val="24"/>
          <w:sz w:val="24"/>
          <w:szCs w:val="24"/>
        </w:rPr>
        <w:tab/>
      </w:r>
      <w:r w:rsidR="00B979CD" w:rsidRPr="00F45B33">
        <w:rPr>
          <w:kern w:val="24"/>
          <w:sz w:val="24"/>
          <w:szCs w:val="24"/>
        </w:rPr>
        <w:t>onecareombuds.org</w:t>
      </w:r>
      <w:r w:rsidRPr="00F45B33">
        <w:rPr>
          <w:kern w:val="24"/>
          <w:sz w:val="24"/>
          <w:szCs w:val="24"/>
        </w:rPr>
        <w:t xml:space="preserve"> </w:t>
      </w:r>
    </w:p>
    <w:p w:rsidR="00B979CD" w:rsidRPr="00B979CD" w:rsidRDefault="00B979CD" w:rsidP="00B979CD">
      <w:pPr>
        <w:spacing w:line="216" w:lineRule="auto"/>
        <w:rPr>
          <w:sz w:val="32"/>
          <w:szCs w:val="32"/>
        </w:rPr>
      </w:pPr>
    </w:p>
    <w:p w:rsidR="00DA43F9" w:rsidRPr="00DA43F9" w:rsidRDefault="00DA43F9" w:rsidP="00DA43F9">
      <w:pPr>
        <w:spacing w:line="216" w:lineRule="auto"/>
        <w:rPr>
          <w:sz w:val="32"/>
          <w:szCs w:val="32"/>
        </w:rPr>
      </w:pPr>
    </w:p>
    <w:p w:rsidR="00DA43F9" w:rsidRPr="00DA43F9" w:rsidRDefault="00DA43F9" w:rsidP="00DA43F9">
      <w:pPr>
        <w:spacing w:line="216" w:lineRule="auto"/>
        <w:rPr>
          <w:sz w:val="32"/>
          <w:szCs w:val="32"/>
        </w:rPr>
      </w:pPr>
    </w:p>
    <w:p w:rsidR="00DA43F9" w:rsidRPr="00DA43F9" w:rsidRDefault="00DA43F9" w:rsidP="00DA43F9">
      <w:pPr>
        <w:spacing w:line="216" w:lineRule="auto"/>
      </w:pPr>
    </w:p>
    <w:p w:rsidR="00DA43F9" w:rsidRPr="00DA43F9" w:rsidRDefault="00DA43F9" w:rsidP="00DA43F9">
      <w:pPr>
        <w:spacing w:line="216" w:lineRule="auto"/>
        <w:rPr>
          <w:sz w:val="32"/>
          <w:szCs w:val="32"/>
        </w:rPr>
      </w:pPr>
    </w:p>
    <w:p w:rsidR="00DA43F9" w:rsidRPr="00DA43F9" w:rsidRDefault="00DA43F9" w:rsidP="00DA43F9">
      <w:pPr>
        <w:spacing w:line="216" w:lineRule="auto"/>
        <w:rPr>
          <w:sz w:val="32"/>
          <w:szCs w:val="32"/>
        </w:rPr>
      </w:pPr>
    </w:p>
    <w:p w:rsidR="00DA43F9" w:rsidRPr="00F45B33" w:rsidRDefault="00DA43F9" w:rsidP="00DA43F9">
      <w:pPr>
        <w:pStyle w:val="NormalWeb"/>
        <w:spacing w:before="240" w:beforeAutospacing="0" w:after="40" w:afterAutospacing="0" w:line="216" w:lineRule="auto"/>
        <w:rPr>
          <w:rFonts w:ascii="Calibri" w:hAnsi="Calibri"/>
          <w:sz w:val="32"/>
          <w:szCs w:val="32"/>
        </w:rPr>
      </w:pPr>
    </w:p>
    <w:p w:rsidR="00DA43F9" w:rsidRPr="00DA43F9" w:rsidRDefault="00DA43F9">
      <w:pPr>
        <w:rPr>
          <w:sz w:val="32"/>
          <w:szCs w:val="32"/>
        </w:rPr>
      </w:pPr>
    </w:p>
    <w:sectPr w:rsidR="00DA43F9" w:rsidRPr="00DA43F9" w:rsidSect="00B70A3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805"/>
    <w:multiLevelType w:val="hybridMultilevel"/>
    <w:tmpl w:val="88D25D2E"/>
    <w:lvl w:ilvl="0" w:tplc="1F28C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620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80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D1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23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C1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E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ED8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26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F3F6E"/>
    <w:multiLevelType w:val="hybridMultilevel"/>
    <w:tmpl w:val="5C9897EA"/>
    <w:lvl w:ilvl="0" w:tplc="5178DE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74F0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ACC9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8225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9002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F84BA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B2263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3A1B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E673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57B73EE"/>
    <w:multiLevelType w:val="hybridMultilevel"/>
    <w:tmpl w:val="A1E0AD26"/>
    <w:lvl w:ilvl="0" w:tplc="171293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492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82ED7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6AFE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BC49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5EEB6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4E86F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BD20B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EE9B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0C431EDC"/>
    <w:multiLevelType w:val="hybridMultilevel"/>
    <w:tmpl w:val="0AFE2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0DB1"/>
    <w:multiLevelType w:val="hybridMultilevel"/>
    <w:tmpl w:val="C8306EB0"/>
    <w:lvl w:ilvl="0" w:tplc="F2D6A7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3A6ECC">
      <w:start w:val="4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8E1B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A479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9027D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D6D2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C2E1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2461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18D856AE"/>
    <w:multiLevelType w:val="hybridMultilevel"/>
    <w:tmpl w:val="3182989C"/>
    <w:lvl w:ilvl="0" w:tplc="29AE3D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4C41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D83B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5C9E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76AE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08E58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0CBB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0C62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ECAD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1275797"/>
    <w:multiLevelType w:val="hybridMultilevel"/>
    <w:tmpl w:val="F3B4F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6D42EB"/>
    <w:multiLevelType w:val="hybridMultilevel"/>
    <w:tmpl w:val="D6727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9F69D9"/>
    <w:multiLevelType w:val="hybridMultilevel"/>
    <w:tmpl w:val="EFB0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82C8C"/>
    <w:multiLevelType w:val="hybridMultilevel"/>
    <w:tmpl w:val="4314B572"/>
    <w:lvl w:ilvl="0" w:tplc="7494AD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F2264C">
      <w:start w:val="4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9C802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14F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C3AE1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720C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10A0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E36E8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F28FC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B200E6"/>
    <w:multiLevelType w:val="hybridMultilevel"/>
    <w:tmpl w:val="29EC9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7207E1"/>
    <w:multiLevelType w:val="hybridMultilevel"/>
    <w:tmpl w:val="5E24F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54111"/>
    <w:multiLevelType w:val="hybridMultilevel"/>
    <w:tmpl w:val="F40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770F7"/>
    <w:multiLevelType w:val="hybridMultilevel"/>
    <w:tmpl w:val="1D5C9CAA"/>
    <w:lvl w:ilvl="0" w:tplc="A4FE2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EE0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CF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E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28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EC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EF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65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D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3A0D68"/>
    <w:multiLevelType w:val="hybridMultilevel"/>
    <w:tmpl w:val="14E02CEC"/>
    <w:lvl w:ilvl="0" w:tplc="6FF2264C">
      <w:start w:val="4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7CCB"/>
    <w:multiLevelType w:val="hybridMultilevel"/>
    <w:tmpl w:val="990E1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9837A4"/>
    <w:multiLevelType w:val="hybridMultilevel"/>
    <w:tmpl w:val="7F3A5FD0"/>
    <w:lvl w:ilvl="0" w:tplc="6FF2264C">
      <w:start w:val="43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6B2640"/>
    <w:multiLevelType w:val="hybridMultilevel"/>
    <w:tmpl w:val="28801748"/>
    <w:lvl w:ilvl="0" w:tplc="81341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0B7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E5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81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C4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A7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F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AB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E9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6E08F5"/>
    <w:multiLevelType w:val="hybridMultilevel"/>
    <w:tmpl w:val="9D461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7734AD3"/>
    <w:multiLevelType w:val="hybridMultilevel"/>
    <w:tmpl w:val="9B047E66"/>
    <w:lvl w:ilvl="0" w:tplc="93220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A3F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46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0C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4E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6A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47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CC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3C6F3B"/>
    <w:multiLevelType w:val="hybridMultilevel"/>
    <w:tmpl w:val="E348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542E8"/>
    <w:multiLevelType w:val="hybridMultilevel"/>
    <w:tmpl w:val="E5CC3E16"/>
    <w:lvl w:ilvl="0" w:tplc="622A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66354">
      <w:start w:val="4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1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06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E8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A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0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80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2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9"/>
  </w:num>
  <w:num w:numId="16">
    <w:abstractNumId w:val="16"/>
  </w:num>
  <w:num w:numId="17">
    <w:abstractNumId w:val="14"/>
  </w:num>
  <w:num w:numId="18">
    <w:abstractNumId w:val="11"/>
  </w:num>
  <w:num w:numId="19">
    <w:abstractNumId w:val="18"/>
  </w:num>
  <w:num w:numId="20">
    <w:abstractNumId w:val="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F9"/>
    <w:rsid w:val="000120F3"/>
    <w:rsid w:val="0005309C"/>
    <w:rsid w:val="0006612D"/>
    <w:rsid w:val="00144ED9"/>
    <w:rsid w:val="00157028"/>
    <w:rsid w:val="001709EA"/>
    <w:rsid w:val="00181FDC"/>
    <w:rsid w:val="001D0DF5"/>
    <w:rsid w:val="001F75B5"/>
    <w:rsid w:val="002343B5"/>
    <w:rsid w:val="0024042F"/>
    <w:rsid w:val="002D0978"/>
    <w:rsid w:val="002E54C9"/>
    <w:rsid w:val="002F1985"/>
    <w:rsid w:val="002F1D31"/>
    <w:rsid w:val="003772D2"/>
    <w:rsid w:val="003A4A17"/>
    <w:rsid w:val="003B42AA"/>
    <w:rsid w:val="003F3A11"/>
    <w:rsid w:val="004B72FB"/>
    <w:rsid w:val="004C6EAD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36987"/>
    <w:rsid w:val="00AA06FF"/>
    <w:rsid w:val="00B02924"/>
    <w:rsid w:val="00B37A81"/>
    <w:rsid w:val="00B70A3C"/>
    <w:rsid w:val="00B979CD"/>
    <w:rsid w:val="00C24799"/>
    <w:rsid w:val="00CA1D58"/>
    <w:rsid w:val="00CB37CF"/>
    <w:rsid w:val="00CD4FCF"/>
    <w:rsid w:val="00CE0D05"/>
    <w:rsid w:val="00CE17A3"/>
    <w:rsid w:val="00CF32F5"/>
    <w:rsid w:val="00D53D4A"/>
    <w:rsid w:val="00DA43F9"/>
    <w:rsid w:val="00DB0079"/>
    <w:rsid w:val="00DC2347"/>
    <w:rsid w:val="00E22D0A"/>
    <w:rsid w:val="00E61306"/>
    <w:rsid w:val="00EE003D"/>
    <w:rsid w:val="00F36EFB"/>
    <w:rsid w:val="00F45B33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3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3F9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3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3F9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6">
          <w:marLeft w:val="144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1">
          <w:marLeft w:val="259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4">
          <w:marLeft w:val="259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7">
          <w:marLeft w:val="259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78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3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4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6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62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2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2">
          <w:marLeft w:val="605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71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0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3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7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0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76">
          <w:marLeft w:val="100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96">
          <w:marLeft w:val="100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4">
          <w:marLeft w:val="100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07">
          <w:marLeft w:val="100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2017-10-02T16:11:00Z</dcterms:created>
  <dcterms:modified xsi:type="dcterms:W3CDTF">2017-10-02T16:11:00Z</dcterms:modified>
</cp:coreProperties>
</file>