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80" w:rsidRDefault="00E16880" w:rsidP="00E16880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 w:rsidRPr="00E16880">
        <w:rPr>
          <w:rFonts w:ascii="Calibri" w:eastAsia="Times New Roman" w:hAnsi="Calibri" w:cs="Times New Roman"/>
          <w:b/>
          <w:bCs/>
          <w:sz w:val="32"/>
          <w:szCs w:val="32"/>
        </w:rPr>
        <w:t xml:space="preserve">One Care: </w:t>
      </w:r>
      <w:r w:rsidR="00EC2B07">
        <w:rPr>
          <w:rFonts w:ascii="Calibri" w:eastAsia="Times New Roman" w:hAnsi="Calibri" w:cs="Times New Roman"/>
          <w:b/>
          <w:bCs/>
          <w:sz w:val="32"/>
          <w:szCs w:val="32"/>
        </w:rPr>
        <w:t>Shared Learning</w:t>
      </w:r>
    </w:p>
    <w:p w:rsidR="00E16880" w:rsidRDefault="00094D07" w:rsidP="00E16880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sz w:val="32"/>
          <w:szCs w:val="32"/>
        </w:rPr>
        <w:t xml:space="preserve">Webinar &amp; Online Module Topics </w:t>
      </w:r>
      <w:r w:rsidR="00E16880">
        <w:rPr>
          <w:rFonts w:ascii="Calibri" w:eastAsia="Times New Roman" w:hAnsi="Calibri" w:cs="Times New Roman"/>
          <w:b/>
          <w:bCs/>
          <w:sz w:val="32"/>
          <w:szCs w:val="32"/>
        </w:rPr>
        <w:t xml:space="preserve">FY </w:t>
      </w:r>
      <w:r w:rsidR="00C250A1">
        <w:rPr>
          <w:rFonts w:ascii="Calibri" w:eastAsia="Times New Roman" w:hAnsi="Calibri" w:cs="Times New Roman"/>
          <w:b/>
          <w:bCs/>
          <w:sz w:val="32"/>
          <w:szCs w:val="32"/>
        </w:rPr>
        <w:t>20</w:t>
      </w:r>
      <w:r w:rsidR="00EC2B07">
        <w:rPr>
          <w:rFonts w:ascii="Calibri" w:eastAsia="Times New Roman" w:hAnsi="Calibri" w:cs="Times New Roman"/>
          <w:b/>
          <w:bCs/>
          <w:sz w:val="32"/>
          <w:szCs w:val="32"/>
        </w:rPr>
        <w:t>1</w:t>
      </w:r>
      <w:r w:rsidR="00D56896">
        <w:rPr>
          <w:rFonts w:ascii="Calibri" w:eastAsia="Times New Roman" w:hAnsi="Calibri" w:cs="Times New Roman"/>
          <w:b/>
          <w:bCs/>
          <w:sz w:val="32"/>
          <w:szCs w:val="32"/>
        </w:rPr>
        <w:t>7</w:t>
      </w:r>
    </w:p>
    <w:p w:rsidR="000A2086" w:rsidRPr="00116432" w:rsidRDefault="00F56FE9" w:rsidP="00094D07">
      <w:pPr>
        <w:ind w:right="720"/>
        <w:rPr>
          <w:sz w:val="24"/>
          <w:szCs w:val="24"/>
        </w:rPr>
      </w:pPr>
      <w:r>
        <w:rPr>
          <w:sz w:val="24"/>
          <w:szCs w:val="24"/>
        </w:rPr>
        <w:t>In FY 2017</w:t>
      </w:r>
      <w:r w:rsidR="009519B1">
        <w:rPr>
          <w:sz w:val="24"/>
          <w:szCs w:val="24"/>
        </w:rPr>
        <w:t>,</w:t>
      </w:r>
      <w:r>
        <w:rPr>
          <w:sz w:val="24"/>
          <w:szCs w:val="24"/>
        </w:rPr>
        <w:t xml:space="preserve"> Shared Learning will develop </w:t>
      </w:r>
      <w:r w:rsidRPr="00F56FE9">
        <w:rPr>
          <w:b/>
          <w:sz w:val="24"/>
          <w:szCs w:val="24"/>
        </w:rPr>
        <w:t>three webinars or online modules</w:t>
      </w:r>
      <w:r w:rsidRPr="00066B23">
        <w:rPr>
          <w:sz w:val="24"/>
          <w:szCs w:val="24"/>
        </w:rPr>
        <w:t xml:space="preserve">.  </w:t>
      </w:r>
      <w:r w:rsidR="00066B23">
        <w:rPr>
          <w:sz w:val="24"/>
          <w:szCs w:val="24"/>
        </w:rPr>
        <w:t xml:space="preserve">The </w:t>
      </w:r>
      <w:r w:rsidRPr="00116432">
        <w:rPr>
          <w:sz w:val="24"/>
          <w:szCs w:val="24"/>
        </w:rPr>
        <w:t xml:space="preserve">One Care Project </w:t>
      </w:r>
      <w:r>
        <w:rPr>
          <w:sz w:val="24"/>
          <w:szCs w:val="24"/>
        </w:rPr>
        <w:t>T</w:t>
      </w:r>
      <w:r w:rsidRPr="00116432">
        <w:rPr>
          <w:sz w:val="24"/>
          <w:szCs w:val="24"/>
        </w:rPr>
        <w:t>eam</w:t>
      </w:r>
      <w:r>
        <w:rPr>
          <w:sz w:val="24"/>
          <w:szCs w:val="24"/>
        </w:rPr>
        <w:t xml:space="preserve"> </w:t>
      </w:r>
      <w:r w:rsidR="00066B23">
        <w:rPr>
          <w:sz w:val="24"/>
          <w:szCs w:val="24"/>
        </w:rPr>
        <w:t xml:space="preserve">has prioritized the following topics </w:t>
      </w:r>
      <w:r>
        <w:rPr>
          <w:sz w:val="24"/>
          <w:szCs w:val="24"/>
        </w:rPr>
        <w:t xml:space="preserve">to address the </w:t>
      </w:r>
      <w:r w:rsidRPr="00116432">
        <w:rPr>
          <w:sz w:val="24"/>
          <w:szCs w:val="24"/>
        </w:rPr>
        <w:t>interests and needs of One Care plans</w:t>
      </w:r>
      <w:r w:rsidR="00891818">
        <w:rPr>
          <w:sz w:val="24"/>
          <w:szCs w:val="24"/>
        </w:rPr>
        <w:t xml:space="preserve">, </w:t>
      </w:r>
      <w:r w:rsidRPr="00116432">
        <w:rPr>
          <w:sz w:val="24"/>
          <w:szCs w:val="24"/>
        </w:rPr>
        <w:t>providers</w:t>
      </w:r>
      <w:r>
        <w:rPr>
          <w:sz w:val="24"/>
          <w:szCs w:val="24"/>
        </w:rPr>
        <w:t>, and enrollees based on</w:t>
      </w:r>
      <w:r w:rsidR="00D56896">
        <w:rPr>
          <w:sz w:val="24"/>
          <w:szCs w:val="24"/>
        </w:rPr>
        <w:t>:</w:t>
      </w:r>
    </w:p>
    <w:p w:rsidR="000A4DCE" w:rsidRPr="000A4DCE" w:rsidRDefault="000A4DCE" w:rsidP="000A4DCE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 w:rsidRPr="00116432">
        <w:rPr>
          <w:sz w:val="24"/>
          <w:szCs w:val="24"/>
        </w:rPr>
        <w:t>Discussions of priorities with MassHea</w:t>
      </w:r>
      <w:r w:rsidR="00DC6B91">
        <w:rPr>
          <w:sz w:val="24"/>
          <w:szCs w:val="24"/>
        </w:rPr>
        <w:t>l</w:t>
      </w:r>
      <w:r w:rsidRPr="00116432">
        <w:rPr>
          <w:sz w:val="24"/>
          <w:szCs w:val="24"/>
        </w:rPr>
        <w:t>th One Care</w:t>
      </w:r>
      <w:r>
        <w:rPr>
          <w:sz w:val="24"/>
          <w:szCs w:val="24"/>
        </w:rPr>
        <w:t xml:space="preserve"> Project T</w:t>
      </w:r>
      <w:r w:rsidRPr="00116432">
        <w:rPr>
          <w:sz w:val="24"/>
          <w:szCs w:val="24"/>
        </w:rPr>
        <w:t>eam over project term</w:t>
      </w:r>
    </w:p>
    <w:p w:rsidR="00F56FE9" w:rsidRPr="00116432" w:rsidRDefault="00F56FE9" w:rsidP="00F56FE9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Input</w:t>
      </w:r>
      <w:r w:rsidRPr="00116432">
        <w:rPr>
          <w:sz w:val="24"/>
          <w:szCs w:val="24"/>
        </w:rPr>
        <w:t xml:space="preserve"> from the Implementation Council via </w:t>
      </w:r>
      <w:r>
        <w:rPr>
          <w:sz w:val="24"/>
          <w:szCs w:val="24"/>
        </w:rPr>
        <w:t xml:space="preserve">past </w:t>
      </w:r>
      <w:r w:rsidRPr="00116432">
        <w:rPr>
          <w:sz w:val="24"/>
          <w:szCs w:val="24"/>
        </w:rPr>
        <w:t xml:space="preserve">meeting notes and </w:t>
      </w:r>
      <w:r>
        <w:rPr>
          <w:sz w:val="24"/>
          <w:szCs w:val="24"/>
        </w:rPr>
        <w:t>IC meetings</w:t>
      </w:r>
    </w:p>
    <w:p w:rsidR="00D56896" w:rsidRPr="00066B23" w:rsidRDefault="00EC2B07" w:rsidP="00094D07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 w:rsidRPr="00116432">
        <w:rPr>
          <w:sz w:val="24"/>
          <w:szCs w:val="24"/>
        </w:rPr>
        <w:t xml:space="preserve">Feedback from </w:t>
      </w:r>
      <w:r w:rsidR="008E02D7" w:rsidRPr="00116432">
        <w:rPr>
          <w:sz w:val="24"/>
          <w:szCs w:val="24"/>
        </w:rPr>
        <w:t xml:space="preserve">participant </w:t>
      </w:r>
      <w:r w:rsidRPr="00116432">
        <w:rPr>
          <w:sz w:val="24"/>
          <w:szCs w:val="24"/>
        </w:rPr>
        <w:t xml:space="preserve">evaluations </w:t>
      </w:r>
      <w:r w:rsidR="008E02D7" w:rsidRPr="00116432">
        <w:rPr>
          <w:sz w:val="24"/>
          <w:szCs w:val="24"/>
        </w:rPr>
        <w:t xml:space="preserve">of </w:t>
      </w:r>
      <w:r w:rsidRPr="00116432">
        <w:rPr>
          <w:sz w:val="24"/>
          <w:szCs w:val="24"/>
        </w:rPr>
        <w:t xml:space="preserve">live </w:t>
      </w:r>
      <w:r w:rsidR="00F56FE9">
        <w:rPr>
          <w:sz w:val="24"/>
          <w:szCs w:val="24"/>
        </w:rPr>
        <w:t xml:space="preserve">and </w:t>
      </w:r>
      <w:r w:rsidRPr="00116432">
        <w:rPr>
          <w:sz w:val="24"/>
          <w:szCs w:val="24"/>
        </w:rPr>
        <w:t>recorded webinars and online modules</w:t>
      </w:r>
    </w:p>
    <w:p w:rsidR="000A2086" w:rsidRPr="00116432" w:rsidRDefault="000A2086" w:rsidP="00094D07">
      <w:pPr>
        <w:ind w:right="720"/>
        <w:rPr>
          <w:b/>
          <w:sz w:val="24"/>
          <w:szCs w:val="24"/>
        </w:rPr>
      </w:pPr>
      <w:r w:rsidRPr="00116432">
        <w:rPr>
          <w:b/>
          <w:sz w:val="24"/>
          <w:szCs w:val="24"/>
        </w:rPr>
        <w:t>Webinars</w:t>
      </w:r>
      <w:r w:rsidR="00AF1E46" w:rsidRPr="00116432">
        <w:rPr>
          <w:b/>
          <w:sz w:val="24"/>
          <w:szCs w:val="24"/>
        </w:rPr>
        <w:t xml:space="preserve">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are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used in One Care as a way for key exp</w:t>
      </w:r>
      <w:bookmarkStart w:id="0" w:name="_GoBack"/>
      <w:bookmarkEnd w:id="0"/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>erts/stakeholders in the field to provide subject matter expertise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 xml:space="preserve"> and 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recommendations and answer questions on specific topics relevant to One Care implementation. Webinars are typically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one</w:t>
      </w:r>
      <w:r w:rsidR="00883E88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hour long and can be viewed live or later through a recording. </w:t>
      </w:r>
    </w:p>
    <w:p w:rsidR="00B91B1B" w:rsidRDefault="00AF1E46" w:rsidP="00094D07">
      <w:pPr>
        <w:ind w:right="720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116432">
        <w:rPr>
          <w:rFonts w:ascii="Calibri" w:eastAsia="Times New Roman" w:hAnsi="Calibri" w:cs="Times New Roman"/>
          <w:b/>
          <w:iCs/>
          <w:sz w:val="24"/>
          <w:szCs w:val="24"/>
        </w:rPr>
        <w:t>Online Modules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are used to provide a brief, targeted, </w:t>
      </w:r>
      <w:r w:rsidR="00B91B1B" w:rsidRPr="00116432">
        <w:rPr>
          <w:rFonts w:ascii="Calibri" w:eastAsia="Times New Roman" w:hAnsi="Calibri" w:cs="Times New Roman"/>
          <w:i/>
          <w:iCs/>
          <w:sz w:val="24"/>
          <w:szCs w:val="24"/>
        </w:rPr>
        <w:t>engaging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learning session focused on a specific question/issue.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M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>odules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 xml:space="preserve"> typically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last 15 minutes or less</w:t>
      </w:r>
      <w:r w:rsidR="00B91B1B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and include video clips and interactive components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589"/>
        <w:gridCol w:w="2252"/>
        <w:gridCol w:w="2357"/>
      </w:tblGrid>
      <w:tr w:rsidR="00F56FE9" w:rsidRPr="00094D07" w:rsidTr="00F56FE9">
        <w:trPr>
          <w:trHeight w:val="144"/>
          <w:tblHeader/>
        </w:trPr>
        <w:tc>
          <w:tcPr>
            <w:tcW w:w="825" w:type="pct"/>
            <w:shd w:val="clear" w:color="000000" w:fill="C5D9F1"/>
            <w:vAlign w:val="center"/>
          </w:tcPr>
          <w:p w:rsidR="00F56FE9" w:rsidRPr="00094D07" w:rsidRDefault="00F56FE9" w:rsidP="00F56F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2083" w:type="pct"/>
            <w:shd w:val="clear" w:color="000000" w:fill="C5D9F1"/>
            <w:vAlign w:val="center"/>
            <w:hideMark/>
          </w:tcPr>
          <w:p w:rsidR="00F56FE9" w:rsidRPr="00094D07" w:rsidRDefault="00F56FE9" w:rsidP="00F56F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1022" w:type="pct"/>
            <w:shd w:val="clear" w:color="000000" w:fill="C5D9F1"/>
            <w:vAlign w:val="center"/>
            <w:hideMark/>
          </w:tcPr>
          <w:p w:rsidR="00F56FE9" w:rsidRPr="00094D07" w:rsidRDefault="00F56FE9" w:rsidP="00F56F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Possible presenters or subject matter experts</w:t>
            </w:r>
          </w:p>
        </w:tc>
        <w:tc>
          <w:tcPr>
            <w:tcW w:w="1070" w:type="pct"/>
            <w:shd w:val="clear" w:color="000000" w:fill="C5D9F1"/>
            <w:vAlign w:val="center"/>
          </w:tcPr>
          <w:p w:rsidR="00F56FE9" w:rsidRPr="00094D07" w:rsidRDefault="00F56FE9" w:rsidP="00F56F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Audience</w:t>
            </w:r>
          </w:p>
        </w:tc>
      </w:tr>
      <w:tr w:rsidR="00F56FE9" w:rsidRPr="00094D07" w:rsidTr="00F56FE9">
        <w:trPr>
          <w:trHeight w:val="144"/>
        </w:trPr>
        <w:tc>
          <w:tcPr>
            <w:tcW w:w="825" w:type="pct"/>
            <w:vAlign w:val="center"/>
          </w:tcPr>
          <w:p w:rsidR="00F56FE9" w:rsidRPr="00F56FE9" w:rsidRDefault="00F56FE9" w:rsidP="00F56FE9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b/>
                <w:color w:val="000000"/>
                <w:szCs w:val="23"/>
              </w:rPr>
              <w:t>Engaging Enrollees in Assessments &amp; Care Planning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8C438D" w:rsidRDefault="00F56FE9" w:rsidP="008C438D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To share best practices in outreach and engagement with enrollees to work collaboratively in assessment and care planning processes.</w:t>
            </w:r>
            <w:r w:rsidR="008C438D">
              <w:rPr>
                <w:rFonts w:ascii="Calibri" w:eastAsia="Times New Roman" w:hAnsi="Calibri" w:cs="Times New Roman"/>
                <w:color w:val="000000"/>
                <w:szCs w:val="23"/>
              </w:rPr>
              <w:t xml:space="preserve">  </w:t>
            </w:r>
          </w:p>
          <w:p w:rsidR="00F56FE9" w:rsidRPr="00F56FE9" w:rsidRDefault="008C438D" w:rsidP="008C438D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To enhance the comfort and confidence of care coordinators in discussing One Care benefits, including flexible services, to ensure enrollees know their options.</w:t>
            </w:r>
            <w:r w:rsidR="00F56FE9"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 xml:space="preserve">  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F56FE9" w:rsidRPr="00F56FE9" w:rsidRDefault="00F56FE9" w:rsidP="00F56FE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Care Coordinators</w:t>
            </w:r>
          </w:p>
          <w:p w:rsidR="00F56FE9" w:rsidRDefault="00F56FE9" w:rsidP="00F56FE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LTS-Coordinators</w:t>
            </w:r>
          </w:p>
          <w:p w:rsidR="00E20B59" w:rsidRPr="00F56FE9" w:rsidRDefault="00E20B59" w:rsidP="00F56FE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Cs w:val="23"/>
              </w:rPr>
              <w:t>Enrollees</w:t>
            </w:r>
          </w:p>
        </w:tc>
        <w:tc>
          <w:tcPr>
            <w:tcW w:w="1070" w:type="pct"/>
            <w:vAlign w:val="center"/>
          </w:tcPr>
          <w:p w:rsidR="00DD24CC" w:rsidRPr="00DD24CC" w:rsidRDefault="00DD24CC" w:rsidP="00DD24CC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Cs w:val="23"/>
              </w:rPr>
              <w:t>Primary audience:</w:t>
            </w:r>
          </w:p>
          <w:p w:rsidR="00F56FE9" w:rsidRPr="00F56FE9" w:rsidRDefault="00DD24CC" w:rsidP="00F56FE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Cs w:val="23"/>
              </w:rPr>
              <w:t>Care Coordinators</w:t>
            </w:r>
          </w:p>
          <w:p w:rsidR="00F56FE9" w:rsidRPr="00F56FE9" w:rsidRDefault="00DD24CC" w:rsidP="00F56FE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>
              <w:rPr>
                <w:rFonts w:ascii="Calibri" w:eastAsia="Times New Roman" w:hAnsi="Calibri" w:cs="Times New Roman"/>
                <w:color w:val="000000"/>
                <w:szCs w:val="23"/>
              </w:rPr>
              <w:t>LTS Coordinators</w:t>
            </w:r>
          </w:p>
        </w:tc>
      </w:tr>
      <w:tr w:rsidR="00F56FE9" w:rsidRPr="00094D07" w:rsidTr="00F56FE9">
        <w:trPr>
          <w:trHeight w:val="144"/>
        </w:trPr>
        <w:tc>
          <w:tcPr>
            <w:tcW w:w="825" w:type="pct"/>
            <w:vAlign w:val="center"/>
          </w:tcPr>
          <w:p w:rsidR="00F56FE9" w:rsidRPr="00F56FE9" w:rsidRDefault="00F56FE9" w:rsidP="00F56FE9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b/>
                <w:color w:val="000000"/>
                <w:szCs w:val="23"/>
              </w:rPr>
              <w:t>The Role of Peers in One Care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F56FE9" w:rsidRPr="00F56FE9" w:rsidRDefault="00F56FE9" w:rsidP="00F56FE9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To increase the use of different types of peers with One Care enrollees.  Different types of peers and how they can improve enrollee experience will be discussed.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F56FE9" w:rsidRPr="00F56FE9" w:rsidRDefault="00F56FE9" w:rsidP="00F56FE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Peers</w:t>
            </w:r>
          </w:p>
          <w:p w:rsidR="00F56FE9" w:rsidRPr="00F56FE9" w:rsidRDefault="00F56FE9" w:rsidP="00F56FE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Professionals from peer organizations</w:t>
            </w:r>
          </w:p>
        </w:tc>
        <w:tc>
          <w:tcPr>
            <w:tcW w:w="1070" w:type="pct"/>
            <w:vAlign w:val="center"/>
          </w:tcPr>
          <w:p w:rsidR="00F56FE9" w:rsidRPr="00F56FE9" w:rsidRDefault="00F56FE9" w:rsidP="00F56FE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One Care plan staff</w:t>
            </w:r>
          </w:p>
          <w:p w:rsidR="00F56FE9" w:rsidRPr="00F56FE9" w:rsidRDefault="00F56FE9" w:rsidP="00F56FE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color w:val="000000"/>
                <w:szCs w:val="23"/>
              </w:rPr>
              <w:t>One Care providers</w:t>
            </w:r>
          </w:p>
        </w:tc>
      </w:tr>
      <w:tr w:rsidR="00F56FE9" w:rsidRPr="00094D07" w:rsidTr="00F56FE9">
        <w:trPr>
          <w:trHeight w:val="144"/>
        </w:trPr>
        <w:tc>
          <w:tcPr>
            <w:tcW w:w="825" w:type="pct"/>
            <w:vAlign w:val="center"/>
          </w:tcPr>
          <w:p w:rsidR="00F56FE9" w:rsidRPr="00F56FE9" w:rsidRDefault="00F56FE9" w:rsidP="00F56FE9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000000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b/>
                <w:color w:val="000000"/>
                <w:szCs w:val="23"/>
              </w:rPr>
              <w:t xml:space="preserve">How To Get The Most Out Of Your One Care 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F56FE9" w:rsidRPr="00F56FE9" w:rsidRDefault="00F56FE9" w:rsidP="00F56FE9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szCs w:val="23"/>
              </w:rPr>
              <w:t>To increase the participation of enrollees in care planning and decision-making through an overview of the care model, benefits, and enrollee rights and responsibilities as well as recommendations for how to lead the assessment and care planning process.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F56FE9" w:rsidRPr="00F56FE9" w:rsidRDefault="00F56FE9" w:rsidP="00F56FE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alibri" w:eastAsia="Times New Roman" w:hAnsi="Calibri" w:cs="Times New Roman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szCs w:val="23"/>
              </w:rPr>
              <w:t>IC members</w:t>
            </w:r>
          </w:p>
          <w:p w:rsidR="00F56FE9" w:rsidRPr="00F56FE9" w:rsidRDefault="00F56FE9" w:rsidP="00F56FE9">
            <w:pPr>
              <w:pStyle w:val="ListParagraph"/>
              <w:spacing w:before="120" w:after="120" w:line="240" w:lineRule="auto"/>
              <w:ind w:left="360"/>
              <w:rPr>
                <w:rFonts w:ascii="Calibri" w:eastAsia="Times New Roman" w:hAnsi="Calibri" w:cs="Times New Roman"/>
                <w:szCs w:val="23"/>
              </w:rPr>
            </w:pPr>
          </w:p>
        </w:tc>
        <w:tc>
          <w:tcPr>
            <w:tcW w:w="1070" w:type="pct"/>
            <w:vAlign w:val="center"/>
          </w:tcPr>
          <w:p w:rsidR="00F56FE9" w:rsidRPr="00F56FE9" w:rsidRDefault="00F56FE9" w:rsidP="00F56FE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alibri" w:eastAsia="Times New Roman" w:hAnsi="Calibri" w:cs="Times New Roman"/>
                <w:szCs w:val="23"/>
              </w:rPr>
            </w:pPr>
            <w:r w:rsidRPr="00F56FE9">
              <w:rPr>
                <w:rFonts w:ascii="Calibri" w:eastAsia="Times New Roman" w:hAnsi="Calibri" w:cs="Times New Roman"/>
                <w:szCs w:val="23"/>
              </w:rPr>
              <w:t>One Care enrollees</w:t>
            </w:r>
          </w:p>
        </w:tc>
      </w:tr>
    </w:tbl>
    <w:p w:rsidR="00E16880" w:rsidRDefault="00E16880" w:rsidP="00F56FE9"/>
    <w:sectPr w:rsidR="00E16880" w:rsidSect="00094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04" w:rsidRDefault="00D81004" w:rsidP="00D44739">
      <w:pPr>
        <w:spacing w:after="0" w:line="240" w:lineRule="auto"/>
      </w:pPr>
      <w:r>
        <w:separator/>
      </w:r>
    </w:p>
  </w:endnote>
  <w:endnote w:type="continuationSeparator" w:id="0">
    <w:p w:rsidR="00D81004" w:rsidRDefault="00D81004" w:rsidP="00D4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4C" w:rsidRDefault="00A661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39" w:rsidRDefault="00D44739">
    <w:pPr>
      <w:pStyle w:val="Footer"/>
      <w:jc w:val="center"/>
    </w:pPr>
  </w:p>
  <w:p w:rsidR="00D44739" w:rsidRDefault="00D447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4C" w:rsidRDefault="00A66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04" w:rsidRDefault="00D81004" w:rsidP="00D44739">
      <w:pPr>
        <w:spacing w:after="0" w:line="240" w:lineRule="auto"/>
      </w:pPr>
      <w:r>
        <w:separator/>
      </w:r>
    </w:p>
  </w:footnote>
  <w:footnote w:type="continuationSeparator" w:id="0">
    <w:p w:rsidR="00D81004" w:rsidRDefault="00D81004" w:rsidP="00D4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4C" w:rsidRDefault="00A66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4C" w:rsidRDefault="00A661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4C" w:rsidRDefault="00A661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F41"/>
    <w:multiLevelType w:val="hybridMultilevel"/>
    <w:tmpl w:val="C1B282D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3614E0E"/>
    <w:multiLevelType w:val="hybridMultilevel"/>
    <w:tmpl w:val="867475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D6637"/>
    <w:multiLevelType w:val="hybridMultilevel"/>
    <w:tmpl w:val="529231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03AE6"/>
    <w:multiLevelType w:val="hybridMultilevel"/>
    <w:tmpl w:val="B6E287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A2E7A"/>
    <w:multiLevelType w:val="hybridMultilevel"/>
    <w:tmpl w:val="6F849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305F4F"/>
    <w:multiLevelType w:val="hybridMultilevel"/>
    <w:tmpl w:val="4B0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E0F2F"/>
    <w:multiLevelType w:val="hybridMultilevel"/>
    <w:tmpl w:val="67EEB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3D67A3"/>
    <w:multiLevelType w:val="hybridMultilevel"/>
    <w:tmpl w:val="6A4C64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567642"/>
    <w:multiLevelType w:val="hybridMultilevel"/>
    <w:tmpl w:val="150E0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A73F89"/>
    <w:multiLevelType w:val="hybridMultilevel"/>
    <w:tmpl w:val="79CC0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0786C"/>
    <w:multiLevelType w:val="hybridMultilevel"/>
    <w:tmpl w:val="23D4E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DD468B"/>
    <w:multiLevelType w:val="hybridMultilevel"/>
    <w:tmpl w:val="FB0A5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4312B"/>
    <w:multiLevelType w:val="hybridMultilevel"/>
    <w:tmpl w:val="0118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177D2E"/>
    <w:multiLevelType w:val="hybridMultilevel"/>
    <w:tmpl w:val="35CAFE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9A10E7"/>
    <w:multiLevelType w:val="hybridMultilevel"/>
    <w:tmpl w:val="05503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6484"/>
    <w:multiLevelType w:val="hybridMultilevel"/>
    <w:tmpl w:val="BED8F1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22B1"/>
    <w:multiLevelType w:val="hybridMultilevel"/>
    <w:tmpl w:val="302A2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6"/>
  </w:num>
  <w:num w:numId="14">
    <w:abstractNumId w:val="4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80"/>
    <w:rsid w:val="000229F3"/>
    <w:rsid w:val="00066B23"/>
    <w:rsid w:val="00094D07"/>
    <w:rsid w:val="000A2086"/>
    <w:rsid w:val="000A4DCE"/>
    <w:rsid w:val="00116432"/>
    <w:rsid w:val="001B6401"/>
    <w:rsid w:val="001C0615"/>
    <w:rsid w:val="00281886"/>
    <w:rsid w:val="002A3FD8"/>
    <w:rsid w:val="002E6C27"/>
    <w:rsid w:val="00417B66"/>
    <w:rsid w:val="0057155C"/>
    <w:rsid w:val="00583E17"/>
    <w:rsid w:val="006111EA"/>
    <w:rsid w:val="00687C1E"/>
    <w:rsid w:val="00716D10"/>
    <w:rsid w:val="00721EB0"/>
    <w:rsid w:val="0081159E"/>
    <w:rsid w:val="00872530"/>
    <w:rsid w:val="00883E88"/>
    <w:rsid w:val="00891818"/>
    <w:rsid w:val="008C438D"/>
    <w:rsid w:val="008E02D7"/>
    <w:rsid w:val="00917829"/>
    <w:rsid w:val="009519B1"/>
    <w:rsid w:val="00A6614C"/>
    <w:rsid w:val="00AD34E1"/>
    <w:rsid w:val="00AF1E46"/>
    <w:rsid w:val="00B42D54"/>
    <w:rsid w:val="00B45F13"/>
    <w:rsid w:val="00B77765"/>
    <w:rsid w:val="00B80CFA"/>
    <w:rsid w:val="00B91B1B"/>
    <w:rsid w:val="00BA322E"/>
    <w:rsid w:val="00BD245F"/>
    <w:rsid w:val="00BE0A95"/>
    <w:rsid w:val="00BE543A"/>
    <w:rsid w:val="00C250A1"/>
    <w:rsid w:val="00CE1400"/>
    <w:rsid w:val="00D41722"/>
    <w:rsid w:val="00D44739"/>
    <w:rsid w:val="00D56896"/>
    <w:rsid w:val="00D67812"/>
    <w:rsid w:val="00D81004"/>
    <w:rsid w:val="00DA0ABC"/>
    <w:rsid w:val="00DC6B91"/>
    <w:rsid w:val="00DD24CC"/>
    <w:rsid w:val="00E13CB8"/>
    <w:rsid w:val="00E16880"/>
    <w:rsid w:val="00E20B59"/>
    <w:rsid w:val="00E56956"/>
    <w:rsid w:val="00E97344"/>
    <w:rsid w:val="00EB407E"/>
    <w:rsid w:val="00EB6089"/>
    <w:rsid w:val="00EC2B07"/>
    <w:rsid w:val="00EC5B35"/>
    <w:rsid w:val="00ED3DCF"/>
    <w:rsid w:val="00F56FE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9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9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39"/>
  </w:style>
  <w:style w:type="paragraph" w:styleId="Footer">
    <w:name w:val="footer"/>
    <w:basedOn w:val="Normal"/>
    <w:link w:val="Foot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9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9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39"/>
  </w:style>
  <w:style w:type="paragraph" w:styleId="Footer">
    <w:name w:val="footer"/>
    <w:basedOn w:val="Normal"/>
    <w:link w:val="Foot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2016-10-11T16:34:00Z</dcterms:created>
  <dc:creator>McGlinchy, Lisa</dc:creator>
  <lastModifiedBy>Macdonald, Betteanne</lastModifiedBy>
  <lastPrinted>2016-09-13T15:55:00Z</lastPrinted>
  <dcterms:modified xsi:type="dcterms:W3CDTF">2016-10-13T16:36:00Z</dcterms:modified>
  <revision>3</revision>
</coreProperties>
</file>