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860" w:rsidRPr="008B0860" w:rsidRDefault="008B0860" w:rsidP="001B7140">
      <w:pPr>
        <w:spacing w:after="0" w:line="240" w:lineRule="auto"/>
        <w:jc w:val="center"/>
        <w:rPr>
          <w:rFonts w:ascii="Arial" w:hAnsi="Arial" w:cs="Arial"/>
          <w:b/>
          <w:i/>
          <w:sz w:val="24"/>
          <w:szCs w:val="24"/>
        </w:rPr>
      </w:pPr>
      <w:bookmarkStart w:id="0" w:name="_GoBack"/>
      <w:bookmarkEnd w:id="0"/>
      <w:r w:rsidRPr="008B0860">
        <w:rPr>
          <w:rFonts w:ascii="Arial" w:hAnsi="Arial" w:cs="Arial"/>
          <w:b/>
          <w:i/>
          <w:sz w:val="24"/>
          <w:szCs w:val="24"/>
        </w:rPr>
        <w:t xml:space="preserve">Drug </w:t>
      </w:r>
      <w:r w:rsidR="00B61C69">
        <w:rPr>
          <w:rFonts w:ascii="Arial" w:hAnsi="Arial" w:cs="Arial"/>
          <w:b/>
          <w:i/>
          <w:sz w:val="24"/>
          <w:szCs w:val="24"/>
        </w:rPr>
        <w:t>Monograph</w:t>
      </w:r>
    </w:p>
    <w:p w:rsidR="008B0860" w:rsidRPr="008B0860" w:rsidRDefault="008B0860" w:rsidP="008B0860">
      <w:pPr>
        <w:spacing w:after="0" w:line="240" w:lineRule="auto"/>
        <w:rPr>
          <w:rFonts w:ascii="Arial" w:hAnsi="Arial" w:cs="Arial"/>
          <w:b/>
          <w:sz w:val="20"/>
          <w:szCs w:val="20"/>
          <w:u w:val="single"/>
        </w:rPr>
      </w:pPr>
    </w:p>
    <w:p w:rsidR="008B0860" w:rsidRPr="00154AD8" w:rsidRDefault="008B0860" w:rsidP="008B0860">
      <w:pPr>
        <w:spacing w:after="0" w:line="240" w:lineRule="auto"/>
        <w:rPr>
          <w:rFonts w:ascii="Arial" w:hAnsi="Arial" w:cs="Arial"/>
          <w:color w:val="000000"/>
          <w:sz w:val="20"/>
          <w:szCs w:val="20"/>
        </w:rPr>
      </w:pPr>
      <w:r w:rsidRPr="008B0860">
        <w:rPr>
          <w:rFonts w:ascii="Arial" w:hAnsi="Arial" w:cs="Arial"/>
          <w:b/>
          <w:sz w:val="20"/>
          <w:szCs w:val="20"/>
        </w:rPr>
        <w:t>Generic Name</w:t>
      </w:r>
      <w:r w:rsidRPr="008B0860">
        <w:rPr>
          <w:rFonts w:ascii="Arial" w:hAnsi="Arial" w:cs="Arial"/>
          <w:sz w:val="20"/>
          <w:szCs w:val="20"/>
        </w:rPr>
        <w:t xml:space="preserve">: </w:t>
      </w:r>
      <w:r w:rsidR="00154AD8" w:rsidRPr="00154AD8">
        <w:rPr>
          <w:rFonts w:ascii="Arial" w:hAnsi="Arial" w:cs="Arial"/>
          <w:color w:val="000000"/>
          <w:sz w:val="20"/>
          <w:szCs w:val="20"/>
        </w:rPr>
        <w:t>oxy</w:t>
      </w:r>
      <w:r w:rsidR="00FB23A8">
        <w:rPr>
          <w:rFonts w:ascii="Arial" w:hAnsi="Arial" w:cs="Arial"/>
          <w:color w:val="000000"/>
          <w:sz w:val="20"/>
          <w:szCs w:val="20"/>
        </w:rPr>
        <w:t>morphone</w:t>
      </w:r>
      <w:r w:rsidR="00154AD8" w:rsidRPr="00154AD8">
        <w:rPr>
          <w:rFonts w:ascii="Arial" w:hAnsi="Arial" w:cs="Arial"/>
          <w:color w:val="000000"/>
          <w:sz w:val="20"/>
          <w:szCs w:val="20"/>
        </w:rPr>
        <w:t xml:space="preserve"> extended-</w:t>
      </w:r>
      <w:r w:rsidRPr="00154AD8">
        <w:rPr>
          <w:rFonts w:ascii="Arial" w:hAnsi="Arial" w:cs="Arial"/>
          <w:color w:val="000000"/>
          <w:sz w:val="20"/>
          <w:szCs w:val="20"/>
        </w:rPr>
        <w:t>release</w:t>
      </w:r>
    </w:p>
    <w:p w:rsidR="008B0860" w:rsidRPr="008B0860" w:rsidRDefault="008B0860" w:rsidP="008B0860">
      <w:pPr>
        <w:spacing w:after="0" w:line="240" w:lineRule="auto"/>
        <w:rPr>
          <w:rFonts w:ascii="Arial" w:hAnsi="Arial" w:cs="Arial"/>
          <w:b/>
          <w:color w:val="000000"/>
          <w:sz w:val="20"/>
          <w:szCs w:val="20"/>
          <w:vertAlign w:val="superscript"/>
        </w:rPr>
      </w:pPr>
      <w:r w:rsidRPr="008B0860">
        <w:rPr>
          <w:rFonts w:ascii="Arial" w:hAnsi="Arial" w:cs="Arial"/>
          <w:b/>
          <w:color w:val="000000"/>
          <w:sz w:val="20"/>
          <w:szCs w:val="20"/>
        </w:rPr>
        <w:t xml:space="preserve">Trade Name: </w:t>
      </w:r>
      <w:r w:rsidR="005A7516" w:rsidRPr="00154AD8">
        <w:rPr>
          <w:rFonts w:ascii="Arial" w:hAnsi="Arial" w:cs="Arial"/>
          <w:color w:val="000000"/>
          <w:sz w:val="20"/>
          <w:szCs w:val="20"/>
        </w:rPr>
        <w:t>O</w:t>
      </w:r>
      <w:r w:rsidR="00FB23A8">
        <w:rPr>
          <w:rFonts w:ascii="Arial" w:hAnsi="Arial" w:cs="Arial"/>
          <w:color w:val="000000"/>
          <w:sz w:val="20"/>
          <w:szCs w:val="20"/>
        </w:rPr>
        <w:t>pana</w:t>
      </w:r>
      <w:r w:rsidR="00A25221" w:rsidRPr="00154AD8">
        <w:rPr>
          <w:rFonts w:ascii="Arial" w:hAnsi="Arial" w:cs="Arial"/>
          <w:color w:val="000000"/>
          <w:sz w:val="20"/>
          <w:szCs w:val="20"/>
          <w:vertAlign w:val="superscript"/>
        </w:rPr>
        <w:t>®</w:t>
      </w:r>
      <w:r w:rsidR="00FB23A8">
        <w:rPr>
          <w:rFonts w:ascii="Arial" w:hAnsi="Arial" w:cs="Arial"/>
          <w:color w:val="000000"/>
          <w:sz w:val="20"/>
          <w:szCs w:val="20"/>
        </w:rPr>
        <w:t xml:space="preserve"> ER</w:t>
      </w:r>
    </w:p>
    <w:p w:rsidR="008B0860" w:rsidRPr="008B0860" w:rsidRDefault="008B0860" w:rsidP="008B0860">
      <w:pPr>
        <w:spacing w:after="0" w:line="240" w:lineRule="auto"/>
        <w:rPr>
          <w:rFonts w:ascii="Arial" w:hAnsi="Arial" w:cs="Arial"/>
          <w:b/>
          <w:bCs/>
          <w:color w:val="FF0000"/>
          <w:sz w:val="20"/>
          <w:szCs w:val="20"/>
        </w:rPr>
      </w:pPr>
      <w:r w:rsidRPr="008B0860">
        <w:rPr>
          <w:rFonts w:ascii="Arial" w:hAnsi="Arial" w:cs="Arial"/>
          <w:b/>
          <w:bCs/>
          <w:sz w:val="20"/>
          <w:szCs w:val="20"/>
        </w:rPr>
        <w:t>Dosage Form</w:t>
      </w:r>
      <w:r w:rsidRPr="008B0860">
        <w:rPr>
          <w:rFonts w:ascii="Arial" w:hAnsi="Arial" w:cs="Arial"/>
          <w:bCs/>
          <w:sz w:val="20"/>
          <w:szCs w:val="20"/>
        </w:rPr>
        <w:t>:</w:t>
      </w:r>
      <w:r w:rsidRPr="008B0860">
        <w:rPr>
          <w:rFonts w:ascii="Arial" w:hAnsi="Arial" w:cs="Arial"/>
          <w:b/>
          <w:bCs/>
          <w:color w:val="FF0000"/>
          <w:sz w:val="20"/>
          <w:szCs w:val="20"/>
        </w:rPr>
        <w:t xml:space="preserve"> </w:t>
      </w:r>
      <w:r w:rsidR="00FB23A8">
        <w:rPr>
          <w:rFonts w:ascii="Arial" w:hAnsi="Arial" w:cs="Arial"/>
          <w:bCs/>
          <w:color w:val="000000"/>
          <w:sz w:val="20"/>
          <w:szCs w:val="20"/>
        </w:rPr>
        <w:t>5</w:t>
      </w:r>
      <w:r w:rsidRPr="00154AD8">
        <w:rPr>
          <w:rFonts w:ascii="Arial" w:hAnsi="Arial" w:cs="Arial"/>
          <w:bCs/>
          <w:color w:val="000000"/>
          <w:sz w:val="20"/>
          <w:szCs w:val="20"/>
        </w:rPr>
        <w:t xml:space="preserve"> mg, </w:t>
      </w:r>
      <w:r w:rsidR="00FB23A8">
        <w:rPr>
          <w:rFonts w:ascii="Arial" w:hAnsi="Arial" w:cs="Arial"/>
          <w:bCs/>
          <w:color w:val="000000"/>
          <w:sz w:val="20"/>
          <w:szCs w:val="20"/>
        </w:rPr>
        <w:t>7.5 mg, 10</w:t>
      </w:r>
      <w:r w:rsidRPr="00154AD8">
        <w:rPr>
          <w:rFonts w:ascii="Arial" w:hAnsi="Arial" w:cs="Arial"/>
          <w:bCs/>
          <w:color w:val="000000"/>
          <w:sz w:val="20"/>
          <w:szCs w:val="20"/>
        </w:rPr>
        <w:t xml:space="preserve"> mg, </w:t>
      </w:r>
      <w:r w:rsidR="00FB23A8">
        <w:rPr>
          <w:rFonts w:ascii="Arial" w:hAnsi="Arial" w:cs="Arial"/>
          <w:bCs/>
          <w:color w:val="000000"/>
          <w:sz w:val="20"/>
          <w:szCs w:val="20"/>
        </w:rPr>
        <w:t xml:space="preserve">15 mg, </w:t>
      </w:r>
      <w:r w:rsidRPr="00154AD8">
        <w:rPr>
          <w:rFonts w:ascii="Arial" w:hAnsi="Arial" w:cs="Arial"/>
          <w:bCs/>
          <w:color w:val="000000"/>
          <w:sz w:val="20"/>
          <w:szCs w:val="20"/>
        </w:rPr>
        <w:t>20 mg, 30 mg, 40 mg Tablets</w:t>
      </w:r>
    </w:p>
    <w:p w:rsidR="00FB23A8" w:rsidRDefault="008B0860" w:rsidP="008B0860">
      <w:pPr>
        <w:spacing w:after="0" w:line="240" w:lineRule="auto"/>
        <w:rPr>
          <w:rFonts w:ascii="Arial" w:eastAsia="Times New Roman" w:hAnsi="Arial" w:cs="Arial"/>
          <w:sz w:val="20"/>
          <w:szCs w:val="20"/>
        </w:rPr>
      </w:pPr>
      <w:r w:rsidRPr="008B0860">
        <w:rPr>
          <w:rFonts w:ascii="Arial" w:hAnsi="Arial" w:cs="Arial"/>
          <w:b/>
          <w:bCs/>
          <w:color w:val="000000"/>
          <w:sz w:val="20"/>
          <w:szCs w:val="20"/>
        </w:rPr>
        <w:t xml:space="preserve">National Drug Codes (NDC#) </w:t>
      </w:r>
      <w:r w:rsidR="00FB23A8">
        <w:rPr>
          <w:rFonts w:ascii="Arial" w:hAnsi="Arial" w:cs="Arial"/>
          <w:bCs/>
          <w:color w:val="000000"/>
          <w:sz w:val="20"/>
          <w:szCs w:val="20"/>
        </w:rPr>
        <w:t>5 mg</w:t>
      </w:r>
      <w:r w:rsidR="00EA0E24">
        <w:rPr>
          <w:rFonts w:ascii="Arial" w:hAnsi="Arial" w:cs="Arial"/>
          <w:bCs/>
          <w:color w:val="000000"/>
          <w:sz w:val="20"/>
          <w:szCs w:val="20"/>
        </w:rPr>
        <w:t xml:space="preserve"> </w:t>
      </w:r>
      <w:r w:rsidR="00FB23A8" w:rsidRPr="00FB23A8">
        <w:rPr>
          <w:rFonts w:ascii="Arial" w:hAnsi="Arial" w:cs="Arial"/>
          <w:sz w:val="20"/>
          <w:szCs w:val="20"/>
        </w:rPr>
        <w:t>63481-812-60</w:t>
      </w:r>
      <w:r w:rsidR="00FB23A8">
        <w:rPr>
          <w:rFonts w:ascii="Arial" w:hAnsi="Arial" w:cs="Arial"/>
          <w:sz w:val="20"/>
          <w:szCs w:val="20"/>
        </w:rPr>
        <w:t>, 63481</w:t>
      </w:r>
      <w:r w:rsidR="00FB23A8" w:rsidRPr="00FB23A8">
        <w:rPr>
          <w:rFonts w:ascii="Arial" w:hAnsi="Arial" w:cs="Arial"/>
          <w:sz w:val="20"/>
          <w:szCs w:val="20"/>
        </w:rPr>
        <w:t>-812-70</w:t>
      </w:r>
      <w:r w:rsidR="00FB23A8">
        <w:rPr>
          <w:rFonts w:ascii="Arial" w:hAnsi="Arial" w:cs="Arial"/>
          <w:sz w:val="20"/>
          <w:szCs w:val="20"/>
        </w:rPr>
        <w:t xml:space="preserve">, </w:t>
      </w:r>
      <w:r w:rsidR="00FB23A8" w:rsidRPr="00FB23A8">
        <w:rPr>
          <w:rFonts w:ascii="Arial" w:hAnsi="Arial" w:cs="Arial"/>
          <w:sz w:val="20"/>
          <w:szCs w:val="20"/>
        </w:rPr>
        <w:t>63481-812-20</w:t>
      </w:r>
      <w:r w:rsidR="00EA0E24">
        <w:rPr>
          <w:rFonts w:ascii="Arial" w:hAnsi="Arial" w:cs="Arial"/>
          <w:sz w:val="20"/>
          <w:szCs w:val="20"/>
        </w:rPr>
        <w:t>;</w:t>
      </w:r>
      <w:r w:rsidR="00EA0E24">
        <w:rPr>
          <w:rFonts w:ascii="Arial" w:hAnsi="Arial" w:cs="Arial"/>
          <w:bCs/>
          <w:color w:val="000000"/>
          <w:sz w:val="20"/>
          <w:szCs w:val="20"/>
        </w:rPr>
        <w:t xml:space="preserve"> 7.5 mg </w:t>
      </w:r>
      <w:r w:rsidR="00FB23A8" w:rsidRPr="00FB23A8">
        <w:rPr>
          <w:rFonts w:ascii="Arial" w:hAnsi="Arial" w:cs="Arial"/>
          <w:sz w:val="20"/>
          <w:szCs w:val="20"/>
        </w:rPr>
        <w:t>63481-813-60, 63481-813-70, 63481-813-20</w:t>
      </w:r>
      <w:r w:rsidR="00EA0E24">
        <w:rPr>
          <w:rFonts w:ascii="Arial" w:hAnsi="Arial" w:cs="Arial"/>
          <w:sz w:val="20"/>
          <w:szCs w:val="20"/>
        </w:rPr>
        <w:t>;</w:t>
      </w:r>
      <w:r w:rsidR="00FB23A8" w:rsidRPr="00FB23A8">
        <w:rPr>
          <w:rFonts w:ascii="Arial" w:hAnsi="Arial" w:cs="Arial"/>
          <w:bCs/>
          <w:color w:val="000000"/>
          <w:sz w:val="20"/>
          <w:szCs w:val="20"/>
        </w:rPr>
        <w:t xml:space="preserve"> </w:t>
      </w:r>
      <w:r w:rsidR="007B0B4D" w:rsidRPr="00FB23A8">
        <w:rPr>
          <w:rFonts w:ascii="Arial" w:hAnsi="Arial" w:cs="Arial"/>
          <w:bCs/>
          <w:color w:val="000000"/>
          <w:sz w:val="20"/>
          <w:szCs w:val="20"/>
        </w:rPr>
        <w:t>10</w:t>
      </w:r>
      <w:r w:rsidR="007B0B4D" w:rsidRPr="007B0B4D">
        <w:rPr>
          <w:rFonts w:ascii="Arial" w:hAnsi="Arial" w:cs="Arial"/>
          <w:bCs/>
          <w:color w:val="000000"/>
          <w:sz w:val="20"/>
          <w:szCs w:val="20"/>
        </w:rPr>
        <w:t xml:space="preserve"> mg</w:t>
      </w:r>
      <w:r w:rsidR="00EA0E24">
        <w:rPr>
          <w:rFonts w:ascii="Arial" w:hAnsi="Arial" w:cs="Arial"/>
          <w:bCs/>
          <w:color w:val="000000"/>
          <w:sz w:val="20"/>
          <w:szCs w:val="20"/>
        </w:rPr>
        <w:t xml:space="preserve"> </w:t>
      </w:r>
      <w:r w:rsidR="00FB23A8" w:rsidRPr="00FB23A8">
        <w:rPr>
          <w:rFonts w:ascii="Arial" w:hAnsi="Arial" w:cs="Arial"/>
          <w:sz w:val="20"/>
          <w:szCs w:val="20"/>
        </w:rPr>
        <w:t>63481-814-60, 63481-814-70, 63481-814-20</w:t>
      </w:r>
      <w:r w:rsidR="00EA0E24">
        <w:rPr>
          <w:rFonts w:ascii="Arial" w:hAnsi="Arial" w:cs="Arial"/>
          <w:sz w:val="20"/>
          <w:szCs w:val="20"/>
        </w:rPr>
        <w:t>;</w:t>
      </w:r>
      <w:r w:rsidRPr="008B0860">
        <w:rPr>
          <w:rFonts w:ascii="Arial" w:eastAsia="Times New Roman" w:hAnsi="Arial" w:cs="Arial"/>
          <w:sz w:val="20"/>
          <w:szCs w:val="20"/>
        </w:rPr>
        <w:t xml:space="preserve"> </w:t>
      </w:r>
      <w:r w:rsidR="007B0B4D">
        <w:rPr>
          <w:rFonts w:ascii="Arial" w:eastAsia="Times New Roman" w:hAnsi="Arial" w:cs="Arial"/>
          <w:sz w:val="20"/>
          <w:szCs w:val="20"/>
        </w:rPr>
        <w:t xml:space="preserve">15 mg </w:t>
      </w:r>
      <w:r w:rsidR="00FB23A8" w:rsidRPr="00FC007E">
        <w:rPr>
          <w:rFonts w:ascii="Arial" w:hAnsi="Arial" w:cs="Arial"/>
          <w:sz w:val="20"/>
          <w:szCs w:val="20"/>
        </w:rPr>
        <w:t>63481-815-60, 63481-815-70, 63481-815-20</w:t>
      </w:r>
      <w:r w:rsidR="00EA0E24">
        <w:rPr>
          <w:rFonts w:ascii="Arial" w:hAnsi="Arial" w:cs="Arial"/>
          <w:sz w:val="20"/>
          <w:szCs w:val="20"/>
        </w:rPr>
        <w:t>;</w:t>
      </w:r>
      <w:r w:rsidR="007B0B4D" w:rsidRPr="00FC007E">
        <w:rPr>
          <w:rFonts w:ascii="Arial" w:eastAsia="Times New Roman" w:hAnsi="Arial" w:cs="Arial"/>
          <w:sz w:val="20"/>
          <w:szCs w:val="20"/>
        </w:rPr>
        <w:t xml:space="preserve"> 20 mg</w:t>
      </w:r>
      <w:r w:rsidR="00EA0E24">
        <w:rPr>
          <w:rFonts w:ascii="Arial" w:eastAsia="Times New Roman" w:hAnsi="Arial" w:cs="Arial"/>
          <w:sz w:val="20"/>
          <w:szCs w:val="20"/>
        </w:rPr>
        <w:t xml:space="preserve"> </w:t>
      </w:r>
      <w:r w:rsidR="00FB23A8" w:rsidRPr="00FC007E">
        <w:rPr>
          <w:rFonts w:ascii="Arial" w:hAnsi="Arial" w:cs="Arial"/>
          <w:sz w:val="20"/>
          <w:szCs w:val="20"/>
        </w:rPr>
        <w:t>63481-816-60, 63481-816-70, 63481-816-20</w:t>
      </w:r>
      <w:r w:rsidR="00EA0E24">
        <w:rPr>
          <w:rFonts w:ascii="Arial" w:hAnsi="Arial" w:cs="Arial"/>
          <w:sz w:val="20"/>
          <w:szCs w:val="20"/>
        </w:rPr>
        <w:t>;</w:t>
      </w:r>
      <w:r w:rsidRPr="00FC007E">
        <w:rPr>
          <w:rFonts w:ascii="Arial" w:eastAsia="Times New Roman" w:hAnsi="Arial" w:cs="Arial"/>
          <w:sz w:val="20"/>
          <w:szCs w:val="20"/>
        </w:rPr>
        <w:t xml:space="preserve"> </w:t>
      </w:r>
      <w:r w:rsidR="007B0B4D" w:rsidRPr="00FC007E">
        <w:rPr>
          <w:rFonts w:ascii="Arial" w:eastAsia="Times New Roman" w:hAnsi="Arial" w:cs="Arial"/>
          <w:sz w:val="20"/>
          <w:szCs w:val="20"/>
        </w:rPr>
        <w:t>30 mg</w:t>
      </w:r>
      <w:r w:rsidR="00EA0E24">
        <w:rPr>
          <w:rFonts w:ascii="Arial" w:eastAsia="Times New Roman" w:hAnsi="Arial" w:cs="Arial"/>
          <w:sz w:val="20"/>
          <w:szCs w:val="20"/>
        </w:rPr>
        <w:t xml:space="preserve"> </w:t>
      </w:r>
      <w:r w:rsidR="00FB23A8" w:rsidRPr="00FC007E">
        <w:rPr>
          <w:rFonts w:ascii="Arial" w:hAnsi="Arial" w:cs="Arial"/>
          <w:sz w:val="20"/>
          <w:szCs w:val="20"/>
        </w:rPr>
        <w:t>63481-817-60, 63481-817-70, 63481-817-20</w:t>
      </w:r>
      <w:r w:rsidR="00EA0E24">
        <w:rPr>
          <w:rFonts w:ascii="Arial" w:eastAsia="Times New Roman" w:hAnsi="Arial" w:cs="Arial"/>
          <w:sz w:val="20"/>
          <w:szCs w:val="20"/>
        </w:rPr>
        <w:t>;</w:t>
      </w:r>
      <w:r w:rsidRPr="00FC007E">
        <w:rPr>
          <w:rFonts w:ascii="Arial" w:eastAsia="Times New Roman" w:hAnsi="Arial" w:cs="Arial"/>
          <w:sz w:val="20"/>
          <w:szCs w:val="20"/>
        </w:rPr>
        <w:t xml:space="preserve"> </w:t>
      </w:r>
      <w:r w:rsidR="00EA0E24">
        <w:rPr>
          <w:rFonts w:ascii="Arial" w:eastAsia="Times New Roman" w:hAnsi="Arial" w:cs="Arial"/>
          <w:sz w:val="20"/>
          <w:szCs w:val="20"/>
        </w:rPr>
        <w:t xml:space="preserve">40 mg </w:t>
      </w:r>
      <w:r w:rsidR="00FC007E" w:rsidRPr="00FC007E">
        <w:rPr>
          <w:rFonts w:ascii="Arial" w:hAnsi="Arial" w:cs="Arial"/>
          <w:sz w:val="20"/>
          <w:szCs w:val="20"/>
        </w:rPr>
        <w:t>63481-818-60, 63481-818-70, 63481-818-20</w:t>
      </w:r>
    </w:p>
    <w:p w:rsidR="008B0860" w:rsidRPr="00154AD8" w:rsidRDefault="008B0860" w:rsidP="008B0860">
      <w:pPr>
        <w:spacing w:after="0" w:line="240" w:lineRule="auto"/>
        <w:rPr>
          <w:rFonts w:ascii="Arial" w:hAnsi="Arial" w:cs="Arial"/>
          <w:sz w:val="20"/>
          <w:szCs w:val="20"/>
        </w:rPr>
      </w:pPr>
      <w:r w:rsidRPr="008B0860">
        <w:rPr>
          <w:rFonts w:ascii="Arial" w:hAnsi="Arial" w:cs="Arial"/>
          <w:b/>
          <w:sz w:val="20"/>
          <w:szCs w:val="20"/>
        </w:rPr>
        <w:t>Manufacturer</w:t>
      </w:r>
      <w:r w:rsidRPr="008B0860">
        <w:rPr>
          <w:rFonts w:ascii="Arial" w:hAnsi="Arial" w:cs="Arial"/>
          <w:sz w:val="20"/>
          <w:szCs w:val="20"/>
        </w:rPr>
        <w:t xml:space="preserve">: </w:t>
      </w:r>
      <w:r w:rsidR="000E4958">
        <w:rPr>
          <w:rFonts w:ascii="Arial" w:hAnsi="Arial" w:cs="Arial"/>
          <w:sz w:val="20"/>
          <w:szCs w:val="20"/>
        </w:rPr>
        <w:t>Endo Pharmaceuticals</w:t>
      </w:r>
    </w:p>
    <w:p w:rsidR="008B0860" w:rsidRPr="006C507D" w:rsidRDefault="008B0860" w:rsidP="006C507D">
      <w:pPr>
        <w:widowControl w:val="0"/>
        <w:autoSpaceDE w:val="0"/>
        <w:autoSpaceDN w:val="0"/>
        <w:adjustRightInd w:val="0"/>
        <w:spacing w:after="0" w:line="240" w:lineRule="auto"/>
        <w:rPr>
          <w:rFonts w:ascii="Arial" w:eastAsia="Times New Roman" w:hAnsi="Arial" w:cs="Arial"/>
          <w:iCs/>
          <w:sz w:val="20"/>
          <w:szCs w:val="20"/>
        </w:rPr>
      </w:pPr>
      <w:r w:rsidRPr="006C507D">
        <w:rPr>
          <w:rFonts w:ascii="Arial" w:eastAsia="Times New Roman" w:hAnsi="Arial" w:cs="Arial"/>
          <w:b/>
          <w:iCs/>
          <w:sz w:val="20"/>
          <w:szCs w:val="20"/>
        </w:rPr>
        <w:t xml:space="preserve">ADF Product </w:t>
      </w:r>
      <w:r w:rsidR="0074106F" w:rsidRPr="006C507D">
        <w:rPr>
          <w:rFonts w:ascii="Arial" w:eastAsia="Times New Roman" w:hAnsi="Arial" w:cs="Arial"/>
          <w:b/>
          <w:iCs/>
          <w:sz w:val="20"/>
          <w:szCs w:val="20"/>
        </w:rPr>
        <w:t>Classification</w:t>
      </w:r>
      <w:r w:rsidR="0074106F" w:rsidRPr="0074106F">
        <w:rPr>
          <w:rFonts w:ascii="Arial" w:eastAsia="Times New Roman" w:hAnsi="Arial" w:cs="Arial"/>
          <w:b/>
          <w:iCs/>
          <w:sz w:val="20"/>
          <w:szCs w:val="20"/>
        </w:rPr>
        <w:t>:</w:t>
      </w:r>
      <w:r w:rsidR="006C507D">
        <w:rPr>
          <w:rFonts w:ascii="Arial" w:eastAsia="Times New Roman" w:hAnsi="Arial" w:cs="Arial"/>
          <w:iCs/>
          <w:sz w:val="20"/>
          <w:szCs w:val="20"/>
        </w:rPr>
        <w:t xml:space="preserve"> </w:t>
      </w:r>
      <w:r w:rsidR="00FD1A37">
        <w:rPr>
          <w:rFonts w:ascii="Arial" w:eastAsia="Times New Roman" w:hAnsi="Arial" w:cs="Arial"/>
          <w:iCs/>
          <w:sz w:val="20"/>
          <w:szCs w:val="20"/>
        </w:rPr>
        <w:t>None</w:t>
      </w:r>
    </w:p>
    <w:p w:rsidR="008B0860" w:rsidRPr="006C507D" w:rsidRDefault="008B0860" w:rsidP="006C507D">
      <w:pPr>
        <w:widowControl w:val="0"/>
        <w:autoSpaceDE w:val="0"/>
        <w:autoSpaceDN w:val="0"/>
        <w:adjustRightInd w:val="0"/>
        <w:spacing w:after="0" w:line="240" w:lineRule="auto"/>
        <w:ind w:left="270"/>
        <w:rPr>
          <w:rFonts w:ascii="Arial" w:eastAsia="MS Gothic" w:hAnsi="Arial" w:cs="Arial"/>
          <w:color w:val="000000"/>
          <w:sz w:val="20"/>
          <w:szCs w:val="20"/>
        </w:rPr>
      </w:pPr>
    </w:p>
    <w:p w:rsidR="008B0860" w:rsidRDefault="008B0860" w:rsidP="00466D74">
      <w:pPr>
        <w:spacing w:after="0"/>
        <w:rPr>
          <w:rFonts w:ascii="Arial" w:hAnsi="Arial" w:cs="Arial"/>
          <w:b/>
          <w:iCs/>
          <w:sz w:val="20"/>
          <w:szCs w:val="20"/>
          <w:u w:val="single"/>
        </w:rPr>
      </w:pPr>
      <w:r w:rsidRPr="008B0860">
        <w:rPr>
          <w:rFonts w:ascii="Arial" w:hAnsi="Arial" w:cs="Arial"/>
          <w:b/>
          <w:iCs/>
          <w:sz w:val="20"/>
          <w:szCs w:val="20"/>
          <w:u w:val="single"/>
        </w:rPr>
        <w:t>Executive Summary</w:t>
      </w:r>
    </w:p>
    <w:p w:rsidR="00443596" w:rsidRPr="00FD2D7E" w:rsidRDefault="00443596" w:rsidP="00443596">
      <w:pPr>
        <w:spacing w:line="240" w:lineRule="auto"/>
        <w:rPr>
          <w:rFonts w:ascii="Arial" w:eastAsia="Times New Roman" w:hAnsi="Arial" w:cs="Arial"/>
          <w:sz w:val="20"/>
          <w:szCs w:val="20"/>
        </w:rPr>
      </w:pPr>
      <w:r>
        <w:rPr>
          <w:rFonts w:ascii="Arial" w:eastAsia="Times New Roman" w:hAnsi="Arial" w:cs="Arial"/>
          <w:sz w:val="20"/>
          <w:szCs w:val="20"/>
        </w:rPr>
        <w:t>Opana</w:t>
      </w:r>
      <w:r w:rsidRPr="00120BF4">
        <w:rPr>
          <w:rFonts w:ascii="Arial" w:eastAsia="Times New Roman" w:hAnsi="Arial" w:cs="Arial"/>
          <w:sz w:val="20"/>
          <w:szCs w:val="20"/>
          <w:vertAlign w:val="superscript"/>
        </w:rPr>
        <w:t>®</w:t>
      </w:r>
      <w:r w:rsidRPr="00120BF4">
        <w:rPr>
          <w:rFonts w:ascii="Arial" w:eastAsia="Times New Roman" w:hAnsi="Arial" w:cs="Arial"/>
          <w:sz w:val="20"/>
          <w:szCs w:val="20"/>
        </w:rPr>
        <w:t xml:space="preserve"> </w:t>
      </w:r>
      <w:r>
        <w:rPr>
          <w:rFonts w:ascii="Arial" w:eastAsia="Times New Roman" w:hAnsi="Arial" w:cs="Arial"/>
          <w:sz w:val="20"/>
          <w:szCs w:val="20"/>
        </w:rPr>
        <w:t>ER (oxymorphone</w:t>
      </w:r>
      <w:r w:rsidRPr="00120BF4">
        <w:rPr>
          <w:rFonts w:ascii="Arial" w:eastAsia="Times New Roman" w:hAnsi="Arial" w:cs="Arial"/>
          <w:sz w:val="20"/>
          <w:szCs w:val="20"/>
        </w:rPr>
        <w:t xml:space="preserve"> extended-release)</w:t>
      </w:r>
      <w:r>
        <w:rPr>
          <w:rFonts w:ascii="Arial" w:eastAsia="Times New Roman" w:hAnsi="Arial" w:cs="Arial"/>
          <w:sz w:val="20"/>
          <w:szCs w:val="20"/>
        </w:rPr>
        <w:t xml:space="preserve"> is being evaluated by the Drug Formulary Commission for consideration of inclusion on the Massachusetts formulary of therapeutically equivalent substitutions, as outlined in Chapter 258 of the Acts of 2014. This agent is an </w:t>
      </w:r>
      <w:r w:rsidRPr="00443596">
        <w:rPr>
          <w:rFonts w:ascii="Arial" w:eastAsia="Times New Roman" w:hAnsi="Arial" w:cs="Arial"/>
          <w:sz w:val="20"/>
          <w:szCs w:val="20"/>
        </w:rPr>
        <w:t>extended-release (ER) formulation of oxy</w:t>
      </w:r>
      <w:r>
        <w:rPr>
          <w:rFonts w:ascii="Arial" w:eastAsia="Times New Roman" w:hAnsi="Arial" w:cs="Arial"/>
          <w:sz w:val="20"/>
          <w:szCs w:val="20"/>
        </w:rPr>
        <w:t>morphone</w:t>
      </w:r>
      <w:r w:rsidRPr="00443596">
        <w:rPr>
          <w:rFonts w:ascii="Arial" w:eastAsia="Times New Roman" w:hAnsi="Arial" w:cs="Arial"/>
          <w:sz w:val="20"/>
          <w:szCs w:val="20"/>
        </w:rPr>
        <w:t xml:space="preserve"> that is approved by the </w:t>
      </w:r>
      <w:r w:rsidRPr="00443596">
        <w:rPr>
          <w:rFonts w:ascii="Arial" w:hAnsi="Arial" w:cs="Arial"/>
          <w:sz w:val="20"/>
          <w:szCs w:val="20"/>
        </w:rPr>
        <w:t xml:space="preserve">Food and Drug Administration (FDA) to treat pain </w:t>
      </w:r>
      <w:r w:rsidR="00F564BA">
        <w:rPr>
          <w:rFonts w:ascii="Arial" w:hAnsi="Arial" w:cs="Arial"/>
          <w:sz w:val="20"/>
          <w:szCs w:val="20"/>
        </w:rPr>
        <w:t xml:space="preserve">in adults </w:t>
      </w:r>
      <w:r w:rsidRPr="00443596">
        <w:rPr>
          <w:rFonts w:ascii="Arial" w:hAnsi="Arial" w:cs="Arial"/>
          <w:sz w:val="20"/>
          <w:szCs w:val="20"/>
        </w:rPr>
        <w:t xml:space="preserve">severe enough to require around-the-clock, long-term opioid treatment and for which alternative treatment options are inadequate. </w:t>
      </w:r>
      <w:r w:rsidR="00F564BA">
        <w:rPr>
          <w:rFonts w:ascii="Arial" w:hAnsi="Arial" w:cs="Arial"/>
          <w:sz w:val="20"/>
          <w:szCs w:val="20"/>
          <w:vertAlign w:val="superscript"/>
        </w:rPr>
        <w:t>1</w:t>
      </w:r>
      <w:proofErr w:type="gramStart"/>
      <w:r w:rsidR="00F564BA">
        <w:rPr>
          <w:rFonts w:ascii="Arial" w:hAnsi="Arial" w:cs="Arial"/>
          <w:sz w:val="20"/>
          <w:szCs w:val="20"/>
          <w:vertAlign w:val="superscript"/>
        </w:rPr>
        <w:t>,2</w:t>
      </w:r>
      <w:proofErr w:type="gramEnd"/>
    </w:p>
    <w:p w:rsidR="00F564BA" w:rsidRPr="00F564BA" w:rsidRDefault="00F564BA" w:rsidP="00F564BA">
      <w:pPr>
        <w:pStyle w:val="CommentText"/>
        <w:spacing w:line="240" w:lineRule="auto"/>
        <w:rPr>
          <w:rFonts w:ascii="Arial" w:hAnsi="Arial" w:cs="Arial"/>
        </w:rPr>
      </w:pPr>
      <w:r>
        <w:rPr>
          <w:rFonts w:ascii="Arial" w:eastAsia="Times New Roman" w:hAnsi="Arial" w:cs="Arial"/>
        </w:rPr>
        <w:t xml:space="preserve">Oxymorphone </w:t>
      </w:r>
      <w:r w:rsidRPr="008B0860">
        <w:rPr>
          <w:rFonts w:ascii="Arial" w:eastAsia="Times New Roman" w:hAnsi="Arial" w:cs="Arial"/>
        </w:rPr>
        <w:t xml:space="preserve">is a full opioid agonist </w:t>
      </w:r>
      <w:r>
        <w:rPr>
          <w:rFonts w:ascii="Arial" w:eastAsia="Times New Roman" w:hAnsi="Arial" w:cs="Arial"/>
        </w:rPr>
        <w:t>that</w:t>
      </w:r>
      <w:r w:rsidRPr="008B0860">
        <w:rPr>
          <w:rFonts w:ascii="Arial" w:eastAsia="Times New Roman" w:hAnsi="Arial" w:cs="Arial"/>
        </w:rPr>
        <w:t xml:space="preserve"> is relatively selective for the </w:t>
      </w:r>
      <w:r>
        <w:rPr>
          <w:rFonts w:ascii="Arial" w:hAnsi="Arial" w:cs="Arial"/>
        </w:rPr>
        <w:t>µ</w:t>
      </w:r>
      <w:r w:rsidR="00E878A8">
        <w:rPr>
          <w:rFonts w:ascii="Arial" w:hAnsi="Arial" w:cs="Arial"/>
        </w:rPr>
        <w:t xml:space="preserve"> </w:t>
      </w:r>
      <w:r w:rsidR="00816987">
        <w:rPr>
          <w:rFonts w:ascii="Arial" w:hAnsi="Arial" w:cs="Arial"/>
        </w:rPr>
        <w:t xml:space="preserve">opioid </w:t>
      </w:r>
      <w:r w:rsidRPr="008B0860">
        <w:rPr>
          <w:rFonts w:ascii="Arial" w:eastAsia="Times New Roman" w:hAnsi="Arial" w:cs="Arial"/>
        </w:rPr>
        <w:t>recept</w:t>
      </w:r>
      <w:r>
        <w:rPr>
          <w:rFonts w:ascii="Arial" w:eastAsia="Times New Roman" w:hAnsi="Arial" w:cs="Arial"/>
        </w:rPr>
        <w:t xml:space="preserve">or. It </w:t>
      </w:r>
      <w:r w:rsidRPr="008B0860">
        <w:rPr>
          <w:rFonts w:ascii="Arial" w:eastAsia="Times New Roman" w:hAnsi="Arial" w:cs="Arial"/>
        </w:rPr>
        <w:t>can</w:t>
      </w:r>
      <w:r>
        <w:rPr>
          <w:rFonts w:ascii="Arial" w:eastAsia="Times New Roman" w:hAnsi="Arial" w:cs="Arial"/>
        </w:rPr>
        <w:t xml:space="preserve">, </w:t>
      </w:r>
      <w:r w:rsidRPr="008B0860">
        <w:rPr>
          <w:rFonts w:ascii="Arial" w:eastAsia="Times New Roman" w:hAnsi="Arial" w:cs="Arial"/>
        </w:rPr>
        <w:t>however</w:t>
      </w:r>
      <w:r>
        <w:rPr>
          <w:rFonts w:ascii="Arial" w:eastAsia="Times New Roman" w:hAnsi="Arial" w:cs="Arial"/>
        </w:rPr>
        <w:t xml:space="preserve">, </w:t>
      </w:r>
      <w:r w:rsidRPr="008B0860">
        <w:rPr>
          <w:rFonts w:ascii="Arial" w:eastAsia="Times New Roman" w:hAnsi="Arial" w:cs="Arial"/>
        </w:rPr>
        <w:t xml:space="preserve">bind to other opioid receptors at higher doses. </w:t>
      </w:r>
      <w:r>
        <w:rPr>
          <w:rFonts w:ascii="Arial" w:eastAsia="Times New Roman" w:hAnsi="Arial" w:cs="Arial"/>
          <w:vertAlign w:val="superscript"/>
        </w:rPr>
        <w:t xml:space="preserve">1,2 </w:t>
      </w:r>
      <w:r w:rsidRPr="00F564BA">
        <w:rPr>
          <w:rFonts w:ascii="Arial" w:hAnsi="Arial" w:cs="Arial"/>
          <w:iCs/>
        </w:rPr>
        <w:t xml:space="preserve">The </w:t>
      </w:r>
      <w:r w:rsidRPr="00F564BA">
        <w:rPr>
          <w:rFonts w:ascii="Arial" w:hAnsi="Arial" w:cs="Arial"/>
        </w:rPr>
        <w:t>FDA approval of this agent was based upon the results of two double-blind</w:t>
      </w:r>
      <w:r>
        <w:rPr>
          <w:rFonts w:ascii="Arial" w:hAnsi="Arial" w:cs="Arial"/>
        </w:rPr>
        <w:t xml:space="preserve"> (DB)</w:t>
      </w:r>
      <w:r w:rsidRPr="00F564BA">
        <w:rPr>
          <w:rFonts w:ascii="Arial" w:hAnsi="Arial" w:cs="Arial"/>
        </w:rPr>
        <w:t>, randomized, placebo-controlled trials in patients with moderate to severe chronic low back pain.</w:t>
      </w:r>
      <w:r>
        <w:rPr>
          <w:rFonts w:ascii="Arial" w:hAnsi="Arial" w:cs="Arial"/>
          <w:vertAlign w:val="superscript"/>
        </w:rPr>
        <w:t>3,4</w:t>
      </w:r>
      <w:r w:rsidRPr="00F564BA">
        <w:rPr>
          <w:rFonts w:ascii="Arial" w:hAnsi="Arial" w:cs="Arial"/>
        </w:rPr>
        <w:t xml:space="preserve"> In addition, there have been several other placebo-controlled or active-controlled trials of the </w:t>
      </w:r>
      <w:r w:rsidR="00FF6893">
        <w:rPr>
          <w:rFonts w:ascii="Arial" w:hAnsi="Arial" w:cs="Arial"/>
        </w:rPr>
        <w:t>safety and efficacy</w:t>
      </w:r>
      <w:r w:rsidRPr="00F564BA">
        <w:rPr>
          <w:rFonts w:ascii="Arial" w:hAnsi="Arial" w:cs="Arial"/>
        </w:rPr>
        <w:t xml:space="preserve"> of Opana</w:t>
      </w:r>
      <w:r w:rsidRPr="00F564BA">
        <w:rPr>
          <w:rFonts w:ascii="Arial" w:hAnsi="Arial" w:cs="Arial"/>
          <w:vertAlign w:val="superscript"/>
        </w:rPr>
        <w:t>®</w:t>
      </w:r>
      <w:r w:rsidRPr="00F564BA">
        <w:rPr>
          <w:rFonts w:ascii="Arial" w:hAnsi="Arial" w:cs="Arial"/>
        </w:rPr>
        <w:t xml:space="preserve"> ER (oxymorphone ER) in alleviating moderate to severe pain associated with cancer, </w:t>
      </w:r>
      <w:r>
        <w:rPr>
          <w:rFonts w:ascii="Arial" w:hAnsi="Arial" w:cs="Arial"/>
        </w:rPr>
        <w:t>osteoarthritis</w:t>
      </w:r>
      <w:r w:rsidRPr="00F564BA">
        <w:rPr>
          <w:rFonts w:ascii="Arial" w:hAnsi="Arial" w:cs="Arial"/>
        </w:rPr>
        <w:t xml:space="preserve"> and </w:t>
      </w:r>
      <w:r w:rsidR="00816987">
        <w:rPr>
          <w:rFonts w:ascii="Arial" w:hAnsi="Arial" w:cs="Arial"/>
        </w:rPr>
        <w:t>postoperative pain</w:t>
      </w:r>
      <w:r w:rsidRPr="00F564BA">
        <w:rPr>
          <w:rFonts w:ascii="Arial" w:hAnsi="Arial" w:cs="Arial"/>
        </w:rPr>
        <w:t>.</w:t>
      </w:r>
      <w:r w:rsidR="00B04396" w:rsidRPr="00FA290C">
        <w:rPr>
          <w:rFonts w:ascii="Arial" w:hAnsi="Arial" w:cs="Arial"/>
          <w:vertAlign w:val="superscript"/>
        </w:rPr>
        <w:t>5-</w:t>
      </w:r>
      <w:r w:rsidR="00E8326C">
        <w:rPr>
          <w:rFonts w:ascii="Arial" w:hAnsi="Arial" w:cs="Arial"/>
          <w:vertAlign w:val="superscript"/>
        </w:rPr>
        <w:t>8</w:t>
      </w:r>
      <w:r w:rsidRPr="00F564BA">
        <w:rPr>
          <w:rFonts w:ascii="Arial" w:hAnsi="Arial" w:cs="Arial"/>
        </w:rPr>
        <w:t xml:space="preserve"> </w:t>
      </w:r>
      <w:r w:rsidR="0035625F" w:rsidRPr="0035625F">
        <w:rPr>
          <w:rFonts w:ascii="Arial" w:hAnsi="Arial" w:cs="Arial"/>
          <w:highlight w:val="yellow"/>
        </w:rPr>
        <w:t>The recommended initial dose of Opana</w:t>
      </w:r>
      <w:r w:rsidR="0035625F" w:rsidRPr="0035625F">
        <w:rPr>
          <w:rFonts w:ascii="Arial" w:hAnsi="Arial" w:cs="Arial"/>
          <w:highlight w:val="yellow"/>
          <w:vertAlign w:val="superscript"/>
        </w:rPr>
        <w:t>®</w:t>
      </w:r>
      <w:r w:rsidR="0035625F" w:rsidRPr="0035625F">
        <w:rPr>
          <w:rFonts w:ascii="Arial" w:hAnsi="Arial" w:cs="Arial"/>
          <w:highlight w:val="yellow"/>
        </w:rPr>
        <w:t xml:space="preserve"> ER (oxymorphone ER) as the first opioid analgesic is 5 mg every 12 hours. The manufacturer provides a table of conversion factors to calculate initial doses for patients converting from other opioids to Opana</w:t>
      </w:r>
      <w:r w:rsidR="0035625F" w:rsidRPr="0035625F">
        <w:rPr>
          <w:rFonts w:ascii="Arial" w:hAnsi="Arial" w:cs="Arial"/>
          <w:highlight w:val="yellow"/>
          <w:vertAlign w:val="superscript"/>
        </w:rPr>
        <w:t>®</w:t>
      </w:r>
      <w:r w:rsidR="0035625F" w:rsidRPr="0035625F">
        <w:rPr>
          <w:rFonts w:ascii="Arial" w:hAnsi="Arial" w:cs="Arial"/>
          <w:highlight w:val="yellow"/>
        </w:rPr>
        <w:t xml:space="preserve"> ER (oxymorphone ER) in the prescribing information</w:t>
      </w:r>
      <w:r w:rsidR="00FF6564">
        <w:rPr>
          <w:rFonts w:ascii="Arial" w:hAnsi="Arial" w:cs="Arial"/>
          <w:highlight w:val="yellow"/>
        </w:rPr>
        <w:t xml:space="preserve"> (Table 5)</w:t>
      </w:r>
      <w:r w:rsidR="0035625F" w:rsidRPr="0035625F">
        <w:rPr>
          <w:rFonts w:ascii="Arial" w:hAnsi="Arial" w:cs="Arial"/>
          <w:highlight w:val="yellow"/>
        </w:rPr>
        <w:t>.</w:t>
      </w:r>
      <w:r w:rsidR="0035625F" w:rsidRPr="0035625F">
        <w:rPr>
          <w:rFonts w:ascii="Arial" w:hAnsi="Arial" w:cs="Arial"/>
          <w:highlight w:val="yellow"/>
          <w:vertAlign w:val="superscript"/>
        </w:rPr>
        <w:t>1</w:t>
      </w:r>
      <w:r w:rsidRPr="00F564BA">
        <w:rPr>
          <w:rFonts w:ascii="Arial" w:hAnsi="Arial" w:cs="Arial"/>
        </w:rPr>
        <w:t xml:space="preserve">  </w:t>
      </w:r>
    </w:p>
    <w:p w:rsidR="00E8326C" w:rsidRPr="00FD2D7E" w:rsidRDefault="00E8326C" w:rsidP="00E8326C">
      <w:pPr>
        <w:widowControl w:val="0"/>
        <w:tabs>
          <w:tab w:val="left" w:pos="369"/>
        </w:tabs>
        <w:kinsoku w:val="0"/>
        <w:overflowPunct w:val="0"/>
        <w:autoSpaceDE w:val="0"/>
        <w:autoSpaceDN w:val="0"/>
        <w:adjustRightInd w:val="0"/>
        <w:spacing w:line="240" w:lineRule="auto"/>
        <w:rPr>
          <w:rFonts w:ascii="Arial" w:hAnsi="Arial" w:cs="Arial"/>
          <w:sz w:val="20"/>
          <w:szCs w:val="20"/>
          <w:vertAlign w:val="superscript"/>
        </w:rPr>
      </w:pPr>
      <w:r w:rsidRPr="00154AD8">
        <w:rPr>
          <w:rFonts w:ascii="Arial" w:hAnsi="Arial" w:cs="Arial"/>
          <w:color w:val="000000"/>
          <w:sz w:val="20"/>
          <w:szCs w:val="20"/>
        </w:rPr>
        <w:t>O</w:t>
      </w:r>
      <w:r>
        <w:rPr>
          <w:rFonts w:ascii="Arial" w:hAnsi="Arial" w:cs="Arial"/>
          <w:color w:val="000000"/>
          <w:sz w:val="20"/>
          <w:szCs w:val="20"/>
        </w:rPr>
        <w:t>pana</w:t>
      </w:r>
      <w:r w:rsidRPr="00154AD8">
        <w:rPr>
          <w:rFonts w:ascii="Arial" w:hAnsi="Arial" w:cs="Arial"/>
          <w:color w:val="000000"/>
          <w:sz w:val="20"/>
          <w:szCs w:val="20"/>
          <w:vertAlign w:val="superscript"/>
        </w:rPr>
        <w:t>®</w:t>
      </w:r>
      <w:r>
        <w:rPr>
          <w:rFonts w:ascii="Arial" w:hAnsi="Arial" w:cs="Arial"/>
          <w:color w:val="000000"/>
          <w:sz w:val="20"/>
          <w:szCs w:val="20"/>
        </w:rPr>
        <w:t xml:space="preserve"> ER</w:t>
      </w:r>
      <w:r>
        <w:rPr>
          <w:rFonts w:ascii="Arial" w:hAnsi="Arial" w:cs="Arial"/>
          <w:sz w:val="20"/>
          <w:szCs w:val="20"/>
        </w:rPr>
        <w:t xml:space="preserve"> (oxymorphone ER) and Opana</w:t>
      </w:r>
      <w:r>
        <w:rPr>
          <w:rFonts w:cs="Arial"/>
          <w:sz w:val="20"/>
          <w:szCs w:val="20"/>
        </w:rPr>
        <w:t>®</w:t>
      </w:r>
      <w:r>
        <w:rPr>
          <w:rFonts w:ascii="Arial" w:hAnsi="Arial" w:cs="Arial"/>
          <w:sz w:val="20"/>
          <w:szCs w:val="20"/>
        </w:rPr>
        <w:t xml:space="preserve"> (oxymorphone) were reintroduced and </w:t>
      </w:r>
      <w:r w:rsidR="00E878A8">
        <w:rPr>
          <w:rFonts w:ascii="Arial" w:hAnsi="Arial" w:cs="Arial"/>
          <w:sz w:val="20"/>
          <w:szCs w:val="20"/>
        </w:rPr>
        <w:t>approved by the FDA</w:t>
      </w:r>
      <w:r>
        <w:rPr>
          <w:rFonts w:ascii="Arial" w:hAnsi="Arial" w:cs="Arial"/>
          <w:sz w:val="20"/>
          <w:szCs w:val="20"/>
        </w:rPr>
        <w:t xml:space="preserve"> in 2006</w:t>
      </w:r>
      <w:r w:rsidR="00816987">
        <w:rPr>
          <w:rFonts w:ascii="Arial" w:hAnsi="Arial" w:cs="Arial"/>
          <w:sz w:val="20"/>
          <w:szCs w:val="20"/>
        </w:rPr>
        <w:t xml:space="preserve"> despite its own advisory committee on pain drugs voting 11 to 2 against it</w:t>
      </w:r>
      <w:r>
        <w:rPr>
          <w:rFonts w:ascii="Arial" w:hAnsi="Arial" w:cs="Arial"/>
          <w:sz w:val="20"/>
          <w:szCs w:val="20"/>
        </w:rPr>
        <w:t xml:space="preserve">. Previously, this agent had been approved by the FDA in 1959 as an injection, rectal and oral formulation under the </w:t>
      </w:r>
      <w:r w:rsidR="00B04396">
        <w:rPr>
          <w:rFonts w:ascii="Arial" w:hAnsi="Arial" w:cs="Arial"/>
          <w:sz w:val="20"/>
          <w:szCs w:val="20"/>
        </w:rPr>
        <w:t xml:space="preserve">brand </w:t>
      </w:r>
      <w:r>
        <w:rPr>
          <w:rFonts w:ascii="Arial" w:hAnsi="Arial" w:cs="Arial"/>
          <w:sz w:val="20"/>
          <w:szCs w:val="20"/>
        </w:rPr>
        <w:t xml:space="preserve">name of </w:t>
      </w:r>
      <w:proofErr w:type="spellStart"/>
      <w:r>
        <w:rPr>
          <w:rFonts w:ascii="Arial" w:hAnsi="Arial" w:cs="Arial"/>
          <w:sz w:val="20"/>
          <w:szCs w:val="20"/>
        </w:rPr>
        <w:t>Numorphan</w:t>
      </w:r>
      <w:proofErr w:type="spellEnd"/>
      <w:r>
        <w:rPr>
          <w:rFonts w:cs="Arial"/>
          <w:sz w:val="20"/>
          <w:szCs w:val="20"/>
        </w:rPr>
        <w:t>®</w:t>
      </w:r>
      <w:r>
        <w:rPr>
          <w:rFonts w:ascii="Arial" w:hAnsi="Arial" w:cs="Arial"/>
          <w:sz w:val="20"/>
          <w:szCs w:val="20"/>
        </w:rPr>
        <w:t xml:space="preserve"> (</w:t>
      </w:r>
      <w:proofErr w:type="spellStart"/>
      <w:r>
        <w:rPr>
          <w:rFonts w:ascii="Arial" w:hAnsi="Arial" w:cs="Arial"/>
          <w:sz w:val="20"/>
          <w:szCs w:val="20"/>
        </w:rPr>
        <w:t>oxymorphone</w:t>
      </w:r>
      <w:proofErr w:type="spellEnd"/>
      <w:r>
        <w:rPr>
          <w:rFonts w:ascii="Arial" w:hAnsi="Arial" w:cs="Arial"/>
          <w:sz w:val="20"/>
          <w:szCs w:val="20"/>
        </w:rPr>
        <w:t xml:space="preserve">). The </w:t>
      </w:r>
      <w:r w:rsidR="001911C2">
        <w:rPr>
          <w:rFonts w:ascii="Arial" w:hAnsi="Arial" w:cs="Arial"/>
          <w:sz w:val="20"/>
          <w:szCs w:val="20"/>
        </w:rPr>
        <w:t>oral</w:t>
      </w:r>
      <w:r>
        <w:rPr>
          <w:rFonts w:ascii="Arial" w:hAnsi="Arial" w:cs="Arial"/>
          <w:sz w:val="20"/>
          <w:szCs w:val="20"/>
        </w:rPr>
        <w:t xml:space="preserve"> form was later removed from the market in 1979 for what was described as commercial reasons by the company. However, there were also many reports of abuse and misuse associated with these agents</w:t>
      </w:r>
      <w:r w:rsidR="001911C2">
        <w:rPr>
          <w:rFonts w:ascii="Arial" w:hAnsi="Arial" w:cs="Arial"/>
          <w:sz w:val="20"/>
          <w:szCs w:val="20"/>
        </w:rPr>
        <w:t>. P</w:t>
      </w:r>
      <w:r>
        <w:rPr>
          <w:rFonts w:ascii="Arial" w:hAnsi="Arial" w:cs="Arial"/>
          <w:sz w:val="20"/>
          <w:szCs w:val="20"/>
        </w:rPr>
        <w:t>er the 1974 report</w:t>
      </w:r>
      <w:r w:rsidR="001911C2">
        <w:rPr>
          <w:rFonts w:ascii="Arial" w:hAnsi="Arial" w:cs="Arial"/>
          <w:sz w:val="20"/>
          <w:szCs w:val="20"/>
        </w:rPr>
        <w:t>,</w:t>
      </w:r>
      <w:r>
        <w:rPr>
          <w:rFonts w:ascii="Arial" w:hAnsi="Arial" w:cs="Arial"/>
          <w:sz w:val="20"/>
          <w:szCs w:val="20"/>
        </w:rPr>
        <w:t xml:space="preserve"> “Drugs and Addict Lifestyle</w:t>
      </w:r>
      <w:r w:rsidR="001911C2">
        <w:rPr>
          <w:rFonts w:ascii="Arial" w:hAnsi="Arial" w:cs="Arial"/>
          <w:sz w:val="20"/>
          <w:szCs w:val="20"/>
        </w:rPr>
        <w:t>,</w:t>
      </w:r>
      <w:r>
        <w:rPr>
          <w:rFonts w:ascii="Arial" w:hAnsi="Arial" w:cs="Arial"/>
          <w:sz w:val="20"/>
          <w:szCs w:val="20"/>
        </w:rPr>
        <w:t xml:space="preserve">” by the National Institute on Drug Abuse, oxymorphone was extremely popular among addicts for its quick and sustained effect. </w:t>
      </w:r>
      <w:r w:rsidR="00FD2D7E">
        <w:rPr>
          <w:rFonts w:ascii="Arial" w:hAnsi="Arial" w:cs="Arial"/>
          <w:sz w:val="20"/>
          <w:szCs w:val="20"/>
          <w:vertAlign w:val="superscript"/>
        </w:rPr>
        <w:t>9</w:t>
      </w:r>
    </w:p>
    <w:p w:rsidR="00D1633E" w:rsidRDefault="00E8326C" w:rsidP="00E8326C">
      <w:pPr>
        <w:widowControl w:val="0"/>
        <w:tabs>
          <w:tab w:val="left" w:pos="369"/>
        </w:tabs>
        <w:kinsoku w:val="0"/>
        <w:overflowPunct w:val="0"/>
        <w:autoSpaceDE w:val="0"/>
        <w:autoSpaceDN w:val="0"/>
        <w:adjustRightInd w:val="0"/>
        <w:spacing w:line="240" w:lineRule="auto"/>
        <w:rPr>
          <w:rFonts w:ascii="Arial" w:hAnsi="Arial" w:cs="Arial"/>
          <w:sz w:val="20"/>
          <w:szCs w:val="20"/>
          <w:highlight w:val="yellow"/>
          <w:vertAlign w:val="superscript"/>
        </w:rPr>
      </w:pPr>
      <w:r>
        <w:rPr>
          <w:rFonts w:ascii="Arial" w:hAnsi="Arial" w:cs="Arial"/>
          <w:sz w:val="20"/>
          <w:szCs w:val="20"/>
        </w:rPr>
        <w:t>In February 2012, a reformulated oxymorphone ER formulation became commercially available. This new formulation used INTAC Technology to impart crush-resistant properties. It was thought that this product had adequate physicochemical resistance to crushing and dissolution intended to present obstacle to abuse by non-oral routes of administration (e.g., injecting and snorting). However, postmarket testing showed that although this new version was harder to crush than the previous Opana</w:t>
      </w:r>
      <w:r>
        <w:rPr>
          <w:rFonts w:cs="Arial"/>
          <w:sz w:val="20"/>
          <w:szCs w:val="20"/>
        </w:rPr>
        <w:t>®</w:t>
      </w:r>
      <w:r>
        <w:rPr>
          <w:rFonts w:ascii="Arial" w:hAnsi="Arial" w:cs="Arial"/>
          <w:sz w:val="20"/>
          <w:szCs w:val="20"/>
        </w:rPr>
        <w:t xml:space="preserve"> ER (oxymorphone ER) formulation, this agent could be compromised by various manipulations such as cutting, grinding or chewing and can be prepared for snorting using commonly available tools and methods. In addition, this product had the potential to be readily prepared for injection, despite the </w:t>
      </w:r>
      <w:r w:rsidR="00FA290C">
        <w:rPr>
          <w:rFonts w:ascii="Arial" w:hAnsi="Arial" w:cs="Arial"/>
          <w:sz w:val="20"/>
          <w:szCs w:val="20"/>
        </w:rPr>
        <w:t>company’s</w:t>
      </w:r>
      <w:r>
        <w:rPr>
          <w:rFonts w:ascii="Arial" w:hAnsi="Arial" w:cs="Arial"/>
          <w:sz w:val="20"/>
          <w:szCs w:val="20"/>
        </w:rPr>
        <w:t xml:space="preserve"> claim that the tablets have “resistance to aqueous extraction (e.g.</w:t>
      </w:r>
      <w:r w:rsidR="001C4048">
        <w:rPr>
          <w:rFonts w:ascii="Arial" w:hAnsi="Arial" w:cs="Arial"/>
          <w:sz w:val="20"/>
          <w:szCs w:val="20"/>
        </w:rPr>
        <w:t>,</w:t>
      </w:r>
      <w:r>
        <w:rPr>
          <w:rFonts w:ascii="Arial" w:hAnsi="Arial" w:cs="Arial"/>
          <w:sz w:val="20"/>
          <w:szCs w:val="20"/>
        </w:rPr>
        <w:t xml:space="preserve"> poor </w:t>
      </w:r>
      <w:proofErr w:type="spellStart"/>
      <w:r>
        <w:rPr>
          <w:rFonts w:ascii="Arial" w:hAnsi="Arial" w:cs="Arial"/>
          <w:sz w:val="20"/>
          <w:szCs w:val="20"/>
        </w:rPr>
        <w:t>syringeability</w:t>
      </w:r>
      <w:proofErr w:type="spellEnd"/>
      <w:r>
        <w:rPr>
          <w:rFonts w:ascii="Arial" w:hAnsi="Arial" w:cs="Arial"/>
          <w:sz w:val="20"/>
          <w:szCs w:val="20"/>
        </w:rPr>
        <w:t>).”</w:t>
      </w:r>
      <w:r w:rsidR="00FD2D7E">
        <w:rPr>
          <w:rFonts w:ascii="Arial" w:hAnsi="Arial" w:cs="Arial"/>
          <w:sz w:val="20"/>
          <w:szCs w:val="20"/>
          <w:vertAlign w:val="superscript"/>
        </w:rPr>
        <w:t>10</w:t>
      </w:r>
      <w:r>
        <w:rPr>
          <w:rFonts w:ascii="Arial" w:hAnsi="Arial" w:cs="Arial"/>
          <w:sz w:val="20"/>
          <w:szCs w:val="20"/>
        </w:rPr>
        <w:t xml:space="preserve"> There were some reports that a potentially higher percentage of abuse of this agent via injection was taking place with the new reformulation than with the original formulation. The Centers for Disease Control and Prevention state that this reformulation may </w:t>
      </w:r>
      <w:r w:rsidR="00E878A8">
        <w:rPr>
          <w:rFonts w:ascii="Arial" w:hAnsi="Arial" w:cs="Arial"/>
          <w:sz w:val="20"/>
          <w:szCs w:val="20"/>
        </w:rPr>
        <w:t>have been</w:t>
      </w:r>
      <w:r>
        <w:rPr>
          <w:rFonts w:ascii="Arial" w:hAnsi="Arial" w:cs="Arial"/>
          <w:sz w:val="20"/>
          <w:szCs w:val="20"/>
        </w:rPr>
        <w:t xml:space="preserve"> responsible for an outbreak of human immunodeficie</w:t>
      </w:r>
      <w:r w:rsidR="00076E2E">
        <w:rPr>
          <w:rFonts w:ascii="Arial" w:hAnsi="Arial" w:cs="Arial"/>
          <w:sz w:val="20"/>
          <w:szCs w:val="20"/>
        </w:rPr>
        <w:t xml:space="preserve">ncy virus (HIV) in </w:t>
      </w:r>
      <w:r>
        <w:rPr>
          <w:rFonts w:ascii="Arial" w:hAnsi="Arial" w:cs="Arial"/>
          <w:sz w:val="20"/>
          <w:szCs w:val="20"/>
        </w:rPr>
        <w:t>individuals in Indiana due to needle sharing from the illicit use of injectable Opana</w:t>
      </w:r>
      <w:r>
        <w:rPr>
          <w:rFonts w:cs="Arial"/>
          <w:sz w:val="20"/>
          <w:szCs w:val="20"/>
        </w:rPr>
        <w:t>®</w:t>
      </w:r>
      <w:r>
        <w:rPr>
          <w:rFonts w:ascii="Arial" w:hAnsi="Arial" w:cs="Arial"/>
          <w:sz w:val="20"/>
          <w:szCs w:val="20"/>
        </w:rPr>
        <w:t xml:space="preserve"> ER</w:t>
      </w:r>
      <w:r w:rsidR="00795D0B">
        <w:rPr>
          <w:rFonts w:ascii="Arial" w:hAnsi="Arial" w:cs="Arial"/>
          <w:sz w:val="20"/>
          <w:szCs w:val="20"/>
        </w:rPr>
        <w:t xml:space="preserve"> </w:t>
      </w:r>
      <w:r w:rsidR="00795D0B">
        <w:rPr>
          <w:rFonts w:ascii="Arial" w:hAnsi="Arial" w:cs="Arial"/>
          <w:sz w:val="20"/>
          <w:szCs w:val="20"/>
        </w:rPr>
        <w:lastRenderedPageBreak/>
        <w:t>(oxymorphone ER)</w:t>
      </w:r>
      <w:r>
        <w:rPr>
          <w:rFonts w:ascii="Arial" w:hAnsi="Arial" w:cs="Arial"/>
          <w:sz w:val="20"/>
          <w:szCs w:val="20"/>
        </w:rPr>
        <w:t>.</w:t>
      </w:r>
      <w:r w:rsidR="0071785B">
        <w:rPr>
          <w:rFonts w:ascii="Arial" w:hAnsi="Arial" w:cs="Arial"/>
          <w:sz w:val="20"/>
          <w:szCs w:val="20"/>
          <w:vertAlign w:val="superscript"/>
        </w:rPr>
        <w:t>11</w:t>
      </w:r>
      <w:r>
        <w:rPr>
          <w:rFonts w:ascii="Arial" w:hAnsi="Arial" w:cs="Arial"/>
          <w:sz w:val="20"/>
          <w:szCs w:val="20"/>
        </w:rPr>
        <w:t xml:space="preserve"> </w:t>
      </w:r>
      <w:r w:rsidR="00076E2E" w:rsidRPr="008346AF">
        <w:rPr>
          <w:rFonts w:ascii="Arial" w:hAnsi="Arial" w:cs="Arial"/>
          <w:sz w:val="20"/>
          <w:szCs w:val="20"/>
        </w:rPr>
        <w:t xml:space="preserve">The FDA </w:t>
      </w:r>
      <w:r w:rsidRPr="008346AF">
        <w:rPr>
          <w:rFonts w:ascii="Arial" w:hAnsi="Arial" w:cs="Arial"/>
          <w:sz w:val="20"/>
          <w:szCs w:val="20"/>
        </w:rPr>
        <w:t xml:space="preserve">, </w:t>
      </w:r>
      <w:r w:rsidR="00076E2E" w:rsidRPr="008346AF">
        <w:rPr>
          <w:rFonts w:ascii="Arial" w:hAnsi="Arial" w:cs="Arial"/>
          <w:sz w:val="20"/>
          <w:szCs w:val="20"/>
          <w:lang w:val="en"/>
        </w:rPr>
        <w:t xml:space="preserve">wrote in a </w:t>
      </w:r>
      <w:hyperlink r:id="rId9" w:anchor="!documentDetail;D=FDA-2012-P-0895-0014" w:history="1">
        <w:r w:rsidR="00076E2E" w:rsidRPr="008346AF">
          <w:rPr>
            <w:rFonts w:ascii="Arial" w:hAnsi="Arial" w:cs="Arial"/>
            <w:sz w:val="20"/>
            <w:szCs w:val="20"/>
            <w:lang w:val="en"/>
          </w:rPr>
          <w:t>formal notice</w:t>
        </w:r>
      </w:hyperlink>
      <w:r w:rsidR="00076E2E" w:rsidRPr="008346AF">
        <w:rPr>
          <w:rFonts w:ascii="Arial" w:hAnsi="Arial" w:cs="Arial"/>
          <w:sz w:val="20"/>
          <w:szCs w:val="20"/>
          <w:lang w:val="en"/>
        </w:rPr>
        <w:t xml:space="preserve"> that the abuse potential and warning section of the new formulation's </w:t>
      </w:r>
      <w:hyperlink r:id="rId10" w:anchor="LINK_18fb24e7-4183-4cc5-9f4a-54cb39f2b8fa" w:tgtFrame="_blank" w:history="1">
        <w:r w:rsidR="00076E2E" w:rsidRPr="008346AF">
          <w:rPr>
            <w:rFonts w:ascii="Arial" w:hAnsi="Arial" w:cs="Arial"/>
            <w:sz w:val="20"/>
            <w:szCs w:val="20"/>
            <w:lang w:val="en"/>
          </w:rPr>
          <w:t>labeling</w:t>
        </w:r>
      </w:hyperlink>
      <w:r w:rsidR="00076E2E" w:rsidRPr="008346AF">
        <w:rPr>
          <w:rFonts w:ascii="Arial" w:hAnsi="Arial" w:cs="Arial"/>
          <w:sz w:val="20"/>
          <w:szCs w:val="20"/>
          <w:lang w:val="en"/>
        </w:rPr>
        <w:t xml:space="preserve"> is "virtually identical" to the previous version, and </w:t>
      </w:r>
      <w:r w:rsidR="00E878A8">
        <w:rPr>
          <w:rFonts w:ascii="Arial" w:hAnsi="Arial" w:cs="Arial"/>
          <w:sz w:val="20"/>
          <w:szCs w:val="20"/>
          <w:lang w:val="en"/>
        </w:rPr>
        <w:t xml:space="preserve">thus </w:t>
      </w:r>
      <w:r w:rsidR="00076E2E" w:rsidRPr="008346AF">
        <w:rPr>
          <w:rFonts w:ascii="Arial" w:hAnsi="Arial" w:cs="Arial"/>
          <w:sz w:val="20"/>
          <w:szCs w:val="20"/>
          <w:lang w:val="en"/>
        </w:rPr>
        <w:t>did not grant it abuse-deterrent labeling.</w:t>
      </w:r>
      <w:r w:rsidR="008346AF">
        <w:rPr>
          <w:rFonts w:ascii="Arial" w:hAnsi="Arial" w:cs="Arial"/>
          <w:sz w:val="20"/>
          <w:szCs w:val="20"/>
          <w:vertAlign w:val="superscript"/>
          <w:lang w:val="en"/>
        </w:rPr>
        <w:t>12</w:t>
      </w:r>
      <w:r w:rsidR="00D1633E">
        <w:rPr>
          <w:rFonts w:ascii="Arial" w:hAnsi="Arial" w:cs="Arial"/>
          <w:sz w:val="20"/>
          <w:szCs w:val="20"/>
          <w:lang w:val="en"/>
        </w:rPr>
        <w:t xml:space="preserve"> </w:t>
      </w:r>
      <w:r w:rsidR="00D1633E" w:rsidRPr="00DC3BA5">
        <w:rPr>
          <w:rFonts w:ascii="Arial" w:hAnsi="Arial" w:cs="Arial"/>
          <w:sz w:val="20"/>
          <w:szCs w:val="20"/>
          <w:highlight w:val="yellow"/>
        </w:rPr>
        <w:t xml:space="preserve">Similar to all other long-acting opioids, </w:t>
      </w:r>
      <w:r w:rsidR="00D1633E" w:rsidRPr="00D1633E">
        <w:rPr>
          <w:rFonts w:ascii="Arial" w:hAnsi="Arial" w:cs="Arial"/>
          <w:color w:val="000000"/>
          <w:sz w:val="20"/>
          <w:szCs w:val="20"/>
          <w:highlight w:val="yellow"/>
        </w:rPr>
        <w:t>Opana</w:t>
      </w:r>
      <w:r w:rsidR="00D1633E" w:rsidRPr="00D1633E">
        <w:rPr>
          <w:rFonts w:ascii="Arial" w:hAnsi="Arial" w:cs="Arial"/>
          <w:color w:val="000000"/>
          <w:sz w:val="20"/>
          <w:szCs w:val="20"/>
          <w:highlight w:val="yellow"/>
          <w:vertAlign w:val="superscript"/>
        </w:rPr>
        <w:t>®</w:t>
      </w:r>
      <w:r w:rsidR="00D1633E" w:rsidRPr="00D1633E">
        <w:rPr>
          <w:rFonts w:ascii="Arial" w:hAnsi="Arial" w:cs="Arial"/>
          <w:color w:val="000000"/>
          <w:sz w:val="20"/>
          <w:szCs w:val="20"/>
          <w:highlight w:val="yellow"/>
        </w:rPr>
        <w:t xml:space="preserve"> ER</w:t>
      </w:r>
      <w:r w:rsidR="00D1633E" w:rsidRPr="00D1633E">
        <w:rPr>
          <w:rFonts w:ascii="Arial" w:hAnsi="Arial" w:cs="Arial"/>
          <w:sz w:val="20"/>
          <w:szCs w:val="20"/>
          <w:highlight w:val="yellow"/>
        </w:rPr>
        <w:t xml:space="preserve"> (oxymorphone ER) is </w:t>
      </w:r>
      <w:r w:rsidR="00D1633E" w:rsidRPr="00DC3BA5">
        <w:rPr>
          <w:rFonts w:ascii="Arial" w:hAnsi="Arial" w:cs="Arial"/>
          <w:sz w:val="20"/>
          <w:szCs w:val="20"/>
          <w:highlight w:val="yellow"/>
        </w:rPr>
        <w:t>subject to requirements of the shared system Extended-Release and Long-Acting (ER/LA) Risk Evaluation and Mitigation Strategies (REMS) program.</w:t>
      </w:r>
      <w:r w:rsidR="00D1633E" w:rsidRPr="00D1633E">
        <w:rPr>
          <w:rFonts w:ascii="Arial" w:hAnsi="Arial" w:cs="Arial"/>
          <w:sz w:val="20"/>
          <w:szCs w:val="20"/>
          <w:highlight w:val="yellow"/>
          <w:vertAlign w:val="superscript"/>
        </w:rPr>
        <w:t>13</w:t>
      </w:r>
    </w:p>
    <w:p w:rsidR="00D1633E" w:rsidRDefault="00D1633E">
      <w:pPr>
        <w:spacing w:after="0" w:line="240" w:lineRule="auto"/>
        <w:rPr>
          <w:rFonts w:ascii="Arial" w:hAnsi="Arial" w:cs="Arial"/>
          <w:sz w:val="20"/>
          <w:szCs w:val="20"/>
          <w:highlight w:val="yellow"/>
          <w:vertAlign w:val="superscript"/>
        </w:rPr>
      </w:pPr>
      <w:r>
        <w:rPr>
          <w:rFonts w:ascii="Arial" w:hAnsi="Arial" w:cs="Arial"/>
          <w:sz w:val="20"/>
          <w:szCs w:val="20"/>
          <w:highlight w:val="yellow"/>
          <w:vertAlign w:val="superscript"/>
        </w:rPr>
        <w:br w:type="page"/>
      </w:r>
    </w:p>
    <w:p w:rsidR="003A1B44" w:rsidRPr="00D1633E" w:rsidRDefault="003A1B44" w:rsidP="00D1633E">
      <w:pPr>
        <w:spacing w:after="0" w:line="240" w:lineRule="auto"/>
        <w:rPr>
          <w:rFonts w:ascii="Arial" w:hAnsi="Arial" w:cs="Arial"/>
          <w:sz w:val="20"/>
          <w:szCs w:val="20"/>
        </w:rPr>
      </w:pPr>
      <w:r>
        <w:rPr>
          <w:rFonts w:ascii="Arial" w:hAnsi="Arial" w:cs="Arial"/>
          <w:b/>
          <w:iCs/>
          <w:sz w:val="20"/>
          <w:szCs w:val="20"/>
          <w:u w:val="single"/>
        </w:rPr>
        <w:lastRenderedPageBreak/>
        <w:t>Reference Data</w:t>
      </w:r>
    </w:p>
    <w:p w:rsidR="00002388" w:rsidRPr="007F0562" w:rsidRDefault="005375FE" w:rsidP="003A1B44">
      <w:pPr>
        <w:spacing w:after="0" w:line="240" w:lineRule="auto"/>
        <w:rPr>
          <w:rFonts w:ascii="Arial" w:hAnsi="Arial" w:cs="Arial"/>
          <w:b/>
          <w:iCs/>
          <w:szCs w:val="20"/>
          <w:u w:val="single"/>
          <w:vertAlign w:val="superscript"/>
        </w:rPr>
      </w:pPr>
      <w:r>
        <w:rPr>
          <w:rFonts w:ascii="Arial" w:eastAsia="Times New Roman" w:hAnsi="Arial" w:cs="Arial"/>
          <w:sz w:val="20"/>
          <w:szCs w:val="20"/>
        </w:rPr>
        <w:t>Oxymorphone</w:t>
      </w:r>
      <w:r w:rsidR="00F564BA">
        <w:rPr>
          <w:rFonts w:ascii="Arial" w:eastAsia="Times New Roman" w:hAnsi="Arial" w:cs="Arial"/>
          <w:sz w:val="20"/>
          <w:szCs w:val="20"/>
        </w:rPr>
        <w:t xml:space="preserve"> </w:t>
      </w:r>
      <w:r w:rsidR="00002388" w:rsidRPr="008B0860">
        <w:rPr>
          <w:rFonts w:ascii="Arial" w:eastAsia="Times New Roman" w:hAnsi="Arial" w:cs="Arial"/>
          <w:sz w:val="20"/>
          <w:szCs w:val="20"/>
        </w:rPr>
        <w:t xml:space="preserve">is a full opioid agonist </w:t>
      </w:r>
      <w:r w:rsidR="00002388">
        <w:rPr>
          <w:rFonts w:ascii="Arial" w:eastAsia="Times New Roman" w:hAnsi="Arial" w:cs="Arial"/>
          <w:sz w:val="20"/>
          <w:szCs w:val="20"/>
        </w:rPr>
        <w:t>that</w:t>
      </w:r>
      <w:r w:rsidR="00002388" w:rsidRPr="008B0860">
        <w:rPr>
          <w:rFonts w:ascii="Arial" w:eastAsia="Times New Roman" w:hAnsi="Arial" w:cs="Arial"/>
          <w:sz w:val="20"/>
          <w:szCs w:val="20"/>
        </w:rPr>
        <w:t xml:space="preserve"> is relatively selective for the </w:t>
      </w:r>
      <w:r w:rsidR="00B668A6">
        <w:rPr>
          <w:rFonts w:ascii="Arial" w:hAnsi="Arial" w:cs="Arial"/>
          <w:sz w:val="20"/>
          <w:szCs w:val="20"/>
        </w:rPr>
        <w:t>µ</w:t>
      </w:r>
      <w:r w:rsidR="00002388" w:rsidRPr="008B0860">
        <w:rPr>
          <w:rFonts w:ascii="Arial" w:eastAsia="Times New Roman" w:hAnsi="Arial" w:cs="Arial"/>
          <w:sz w:val="20"/>
          <w:szCs w:val="20"/>
        </w:rPr>
        <w:t xml:space="preserve"> </w:t>
      </w:r>
      <w:r w:rsidR="00E878A8">
        <w:rPr>
          <w:rFonts w:ascii="Arial" w:eastAsia="Times New Roman" w:hAnsi="Arial" w:cs="Arial"/>
          <w:sz w:val="20"/>
          <w:szCs w:val="20"/>
        </w:rPr>
        <w:t xml:space="preserve">opioid </w:t>
      </w:r>
      <w:r w:rsidR="00002388" w:rsidRPr="008B0860">
        <w:rPr>
          <w:rFonts w:ascii="Arial" w:eastAsia="Times New Roman" w:hAnsi="Arial" w:cs="Arial"/>
          <w:sz w:val="20"/>
          <w:szCs w:val="20"/>
        </w:rPr>
        <w:t>recept</w:t>
      </w:r>
      <w:r w:rsidR="00002388">
        <w:rPr>
          <w:rFonts w:ascii="Arial" w:eastAsia="Times New Roman" w:hAnsi="Arial" w:cs="Arial"/>
          <w:sz w:val="20"/>
          <w:szCs w:val="20"/>
        </w:rPr>
        <w:t xml:space="preserve">or. It </w:t>
      </w:r>
      <w:r w:rsidR="00CB48BB" w:rsidRPr="008B0860">
        <w:rPr>
          <w:rFonts w:ascii="Arial" w:eastAsia="Times New Roman" w:hAnsi="Arial" w:cs="Arial"/>
          <w:sz w:val="20"/>
          <w:szCs w:val="20"/>
        </w:rPr>
        <w:t>can</w:t>
      </w:r>
      <w:r w:rsidR="00B668A6">
        <w:rPr>
          <w:rFonts w:ascii="Arial" w:eastAsia="Times New Roman" w:hAnsi="Arial" w:cs="Arial"/>
          <w:sz w:val="20"/>
          <w:szCs w:val="20"/>
        </w:rPr>
        <w:t>,</w:t>
      </w:r>
      <w:r w:rsidR="00CB48BB">
        <w:rPr>
          <w:rFonts w:ascii="Arial" w:eastAsia="Times New Roman" w:hAnsi="Arial" w:cs="Arial"/>
          <w:sz w:val="20"/>
          <w:szCs w:val="20"/>
        </w:rPr>
        <w:t xml:space="preserve"> </w:t>
      </w:r>
      <w:r w:rsidR="00CB48BB" w:rsidRPr="008B0860">
        <w:rPr>
          <w:rFonts w:ascii="Arial" w:eastAsia="Times New Roman" w:hAnsi="Arial" w:cs="Arial"/>
          <w:sz w:val="20"/>
          <w:szCs w:val="20"/>
        </w:rPr>
        <w:t>however</w:t>
      </w:r>
      <w:r w:rsidR="00B668A6">
        <w:rPr>
          <w:rFonts w:ascii="Arial" w:eastAsia="Times New Roman" w:hAnsi="Arial" w:cs="Arial"/>
          <w:sz w:val="20"/>
          <w:szCs w:val="20"/>
        </w:rPr>
        <w:t>,</w:t>
      </w:r>
      <w:r w:rsidR="00002388">
        <w:rPr>
          <w:rFonts w:ascii="Arial" w:eastAsia="Times New Roman" w:hAnsi="Arial" w:cs="Arial"/>
          <w:sz w:val="20"/>
          <w:szCs w:val="20"/>
        </w:rPr>
        <w:t xml:space="preserve"> </w:t>
      </w:r>
      <w:r w:rsidR="00002388" w:rsidRPr="008B0860">
        <w:rPr>
          <w:rFonts w:ascii="Arial" w:eastAsia="Times New Roman" w:hAnsi="Arial" w:cs="Arial"/>
          <w:sz w:val="20"/>
          <w:szCs w:val="20"/>
        </w:rPr>
        <w:t xml:space="preserve">bind to other opioid receptors at higher doses. </w:t>
      </w:r>
      <w:r w:rsidR="00002388">
        <w:rPr>
          <w:rFonts w:ascii="Arial" w:eastAsia="Times New Roman" w:hAnsi="Arial" w:cs="Arial"/>
          <w:sz w:val="20"/>
          <w:szCs w:val="20"/>
        </w:rPr>
        <w:t>Although the</w:t>
      </w:r>
      <w:r w:rsidR="00002388" w:rsidRPr="008B0860">
        <w:rPr>
          <w:rFonts w:ascii="Arial" w:eastAsia="Times New Roman" w:hAnsi="Arial" w:cs="Arial"/>
          <w:sz w:val="20"/>
          <w:szCs w:val="20"/>
        </w:rPr>
        <w:t xml:space="preserve"> precise mechanism of </w:t>
      </w:r>
      <w:r w:rsidR="00002388">
        <w:rPr>
          <w:rFonts w:ascii="Arial" w:eastAsia="Times New Roman" w:hAnsi="Arial" w:cs="Arial"/>
          <w:sz w:val="20"/>
          <w:szCs w:val="20"/>
        </w:rPr>
        <w:t>action is unknown</w:t>
      </w:r>
      <w:r w:rsidR="00002388" w:rsidRPr="008B0860">
        <w:rPr>
          <w:rFonts w:ascii="Arial" w:eastAsia="Times New Roman" w:hAnsi="Arial" w:cs="Arial"/>
          <w:sz w:val="20"/>
          <w:szCs w:val="20"/>
        </w:rPr>
        <w:t xml:space="preserve">, specific </w:t>
      </w:r>
      <w:r w:rsidR="00002388">
        <w:rPr>
          <w:rFonts w:ascii="Arial" w:eastAsia="Times New Roman" w:hAnsi="Arial" w:cs="Arial"/>
          <w:sz w:val="20"/>
          <w:szCs w:val="20"/>
        </w:rPr>
        <w:t>central nervous system (</w:t>
      </w:r>
      <w:r w:rsidR="00002388" w:rsidRPr="008B0860">
        <w:rPr>
          <w:rFonts w:ascii="Arial" w:eastAsia="Times New Roman" w:hAnsi="Arial" w:cs="Arial"/>
          <w:sz w:val="20"/>
          <w:szCs w:val="20"/>
        </w:rPr>
        <w:t>CNS</w:t>
      </w:r>
      <w:r w:rsidR="00002388">
        <w:rPr>
          <w:rFonts w:ascii="Arial" w:eastAsia="Times New Roman" w:hAnsi="Arial" w:cs="Arial"/>
          <w:sz w:val="20"/>
          <w:szCs w:val="20"/>
        </w:rPr>
        <w:t>)</w:t>
      </w:r>
      <w:r w:rsidR="00002388" w:rsidRPr="008B0860">
        <w:rPr>
          <w:rFonts w:ascii="Arial" w:eastAsia="Times New Roman" w:hAnsi="Arial" w:cs="Arial"/>
          <w:sz w:val="20"/>
          <w:szCs w:val="20"/>
        </w:rPr>
        <w:t xml:space="preserve"> opioid receptors for endogenous compounds with </w:t>
      </w:r>
      <w:r>
        <w:rPr>
          <w:rFonts w:ascii="Arial" w:eastAsia="Times New Roman" w:hAnsi="Arial" w:cs="Arial"/>
          <w:sz w:val="20"/>
          <w:szCs w:val="20"/>
        </w:rPr>
        <w:t>morphine</w:t>
      </w:r>
      <w:r w:rsidR="00002388" w:rsidRPr="008B0860">
        <w:rPr>
          <w:rFonts w:ascii="Arial" w:eastAsia="Times New Roman" w:hAnsi="Arial" w:cs="Arial"/>
          <w:sz w:val="20"/>
          <w:szCs w:val="20"/>
        </w:rPr>
        <w:t>-like activity have been identified throughout the brain and spinal cord and are thought to play a role in the analgesic effects of this drug.</w:t>
      </w:r>
      <w:r w:rsidR="00F564BA">
        <w:rPr>
          <w:rFonts w:ascii="Arial" w:eastAsia="Times New Roman" w:hAnsi="Arial" w:cs="Arial"/>
          <w:sz w:val="20"/>
          <w:szCs w:val="20"/>
          <w:vertAlign w:val="superscript"/>
        </w:rPr>
        <w:t>1,2</w:t>
      </w:r>
      <w:r w:rsidR="00577595">
        <w:rPr>
          <w:rFonts w:ascii="Arial" w:eastAsia="Times New Roman" w:hAnsi="Arial" w:cs="Arial"/>
          <w:sz w:val="20"/>
          <w:szCs w:val="20"/>
          <w:vertAlign w:val="superscript"/>
        </w:rPr>
        <w:t xml:space="preserve">  </w:t>
      </w:r>
      <w:r w:rsidR="007F0562">
        <w:rPr>
          <w:rFonts w:ascii="Arial" w:hAnsi="Arial" w:cs="Arial"/>
          <w:sz w:val="20"/>
          <w:szCs w:val="20"/>
        </w:rPr>
        <w:t xml:space="preserve">In addition to the analgesic effect, the binding </w:t>
      </w:r>
      <w:r w:rsidR="007F0562" w:rsidRPr="00A94F49">
        <w:rPr>
          <w:rFonts w:ascii="Arial" w:hAnsi="Arial" w:cs="Arial"/>
          <w:sz w:val="20"/>
          <w:szCs w:val="20"/>
        </w:rPr>
        <w:t xml:space="preserve">of </w:t>
      </w:r>
      <w:r w:rsidR="007F0562" w:rsidRPr="00DC1CA8">
        <w:rPr>
          <w:rFonts w:ascii="Arial" w:eastAsia="Times New Roman" w:hAnsi="Arial" w:cs="Arial"/>
          <w:sz w:val="20"/>
          <w:szCs w:val="20"/>
        </w:rPr>
        <w:t>O</w:t>
      </w:r>
      <w:r w:rsidR="007F0562">
        <w:rPr>
          <w:rFonts w:ascii="Arial" w:eastAsia="Times New Roman" w:hAnsi="Arial" w:cs="Arial"/>
          <w:sz w:val="20"/>
          <w:szCs w:val="20"/>
        </w:rPr>
        <w:t>pana</w:t>
      </w:r>
      <w:r w:rsidR="007F0562" w:rsidRPr="00DC1CA8">
        <w:rPr>
          <w:rFonts w:ascii="Arial" w:eastAsia="Times New Roman" w:hAnsi="Arial" w:cs="Arial"/>
          <w:sz w:val="20"/>
          <w:szCs w:val="20"/>
          <w:vertAlign w:val="superscript"/>
        </w:rPr>
        <w:t>®</w:t>
      </w:r>
      <w:r w:rsidR="007F0562" w:rsidRPr="00DC1CA8">
        <w:rPr>
          <w:rFonts w:ascii="Arial" w:eastAsia="Times New Roman" w:hAnsi="Arial" w:cs="Arial"/>
          <w:sz w:val="20"/>
          <w:szCs w:val="20"/>
        </w:rPr>
        <w:t xml:space="preserve"> </w:t>
      </w:r>
      <w:r w:rsidR="007F0562">
        <w:rPr>
          <w:rFonts w:ascii="Arial" w:eastAsia="Times New Roman" w:hAnsi="Arial" w:cs="Arial"/>
          <w:sz w:val="20"/>
          <w:szCs w:val="20"/>
        </w:rPr>
        <w:t xml:space="preserve">ER </w:t>
      </w:r>
      <w:r w:rsidR="007F0562" w:rsidRPr="00DC1CA8">
        <w:rPr>
          <w:rFonts w:ascii="Arial" w:eastAsia="Times New Roman" w:hAnsi="Arial" w:cs="Arial"/>
          <w:sz w:val="20"/>
          <w:szCs w:val="20"/>
        </w:rPr>
        <w:t>(ox</w:t>
      </w:r>
      <w:r w:rsidR="007F0562">
        <w:rPr>
          <w:rFonts w:ascii="Arial" w:eastAsia="Times New Roman" w:hAnsi="Arial" w:cs="Arial"/>
          <w:sz w:val="20"/>
          <w:szCs w:val="20"/>
        </w:rPr>
        <w:t>ymorpho</w:t>
      </w:r>
      <w:r w:rsidR="007F0562" w:rsidRPr="00DC1CA8">
        <w:rPr>
          <w:rFonts w:ascii="Arial" w:eastAsia="Times New Roman" w:hAnsi="Arial" w:cs="Arial"/>
          <w:sz w:val="20"/>
          <w:szCs w:val="20"/>
        </w:rPr>
        <w:t xml:space="preserve">ne </w:t>
      </w:r>
      <w:r w:rsidR="007F0562">
        <w:rPr>
          <w:rFonts w:ascii="Arial" w:eastAsia="Times New Roman" w:hAnsi="Arial" w:cs="Arial"/>
          <w:sz w:val="20"/>
          <w:szCs w:val="20"/>
        </w:rPr>
        <w:t>ER</w:t>
      </w:r>
      <w:r w:rsidR="007F0562" w:rsidRPr="00DC1CA8">
        <w:rPr>
          <w:rFonts w:ascii="Arial" w:eastAsia="Times New Roman" w:hAnsi="Arial" w:cs="Arial"/>
          <w:sz w:val="20"/>
          <w:szCs w:val="20"/>
        </w:rPr>
        <w:t>)</w:t>
      </w:r>
      <w:r w:rsidR="007F0562" w:rsidRPr="00282805">
        <w:rPr>
          <w:rFonts w:eastAsia="Times New Roman"/>
          <w:sz w:val="20"/>
          <w:szCs w:val="20"/>
        </w:rPr>
        <w:t xml:space="preserve"> </w:t>
      </w:r>
      <w:r w:rsidR="007F0562" w:rsidRPr="00A94F49">
        <w:rPr>
          <w:rFonts w:ascii="Arial" w:hAnsi="Arial" w:cs="Arial"/>
          <w:sz w:val="20"/>
          <w:szCs w:val="20"/>
        </w:rPr>
        <w:t xml:space="preserve">to </w:t>
      </w:r>
      <w:r w:rsidR="007F0562">
        <w:rPr>
          <w:rFonts w:ascii="Arial" w:hAnsi="Arial" w:cs="Arial"/>
          <w:sz w:val="20"/>
          <w:szCs w:val="20"/>
        </w:rPr>
        <w:t>µ</w:t>
      </w:r>
      <w:r w:rsidR="007F0562" w:rsidRPr="00A94F49">
        <w:rPr>
          <w:rFonts w:ascii="Arial" w:hAnsi="Arial" w:cs="Arial"/>
          <w:sz w:val="20"/>
          <w:szCs w:val="20"/>
        </w:rPr>
        <w:t xml:space="preserve"> receptors produces a variety of other </w:t>
      </w:r>
      <w:r w:rsidR="007F0562">
        <w:rPr>
          <w:rFonts w:ascii="Arial" w:hAnsi="Arial" w:cs="Arial"/>
          <w:sz w:val="20"/>
          <w:szCs w:val="20"/>
        </w:rPr>
        <w:t xml:space="preserve">potential unwanted side </w:t>
      </w:r>
      <w:r w:rsidR="007F0562" w:rsidRPr="00A94F49">
        <w:rPr>
          <w:rFonts w:ascii="Arial" w:hAnsi="Arial" w:cs="Arial"/>
          <w:sz w:val="20"/>
          <w:szCs w:val="20"/>
        </w:rPr>
        <w:t xml:space="preserve">effects including bradycardia, sedation, euphoria, physical dependence, and </w:t>
      </w:r>
      <w:r w:rsidR="007F0562">
        <w:rPr>
          <w:rFonts w:ascii="Arial" w:hAnsi="Arial" w:cs="Arial"/>
          <w:sz w:val="20"/>
          <w:szCs w:val="20"/>
        </w:rPr>
        <w:t>potentially respiratory depression.</w:t>
      </w:r>
      <w:r w:rsidR="007F0562">
        <w:rPr>
          <w:rFonts w:ascii="Arial" w:hAnsi="Arial" w:cs="Arial"/>
          <w:sz w:val="20"/>
          <w:szCs w:val="20"/>
          <w:vertAlign w:val="superscript"/>
        </w:rPr>
        <w:t>1,2</w:t>
      </w:r>
    </w:p>
    <w:p w:rsidR="00CB48BB" w:rsidRPr="008B0860" w:rsidRDefault="00CB48BB" w:rsidP="00002388">
      <w:pPr>
        <w:widowControl w:val="0"/>
        <w:tabs>
          <w:tab w:val="left" w:pos="369"/>
        </w:tabs>
        <w:kinsoku w:val="0"/>
        <w:overflowPunct w:val="0"/>
        <w:autoSpaceDE w:val="0"/>
        <w:autoSpaceDN w:val="0"/>
        <w:adjustRightInd w:val="0"/>
        <w:spacing w:after="0" w:line="240" w:lineRule="auto"/>
        <w:rPr>
          <w:rFonts w:ascii="Arial" w:eastAsia="Times New Roman" w:hAnsi="Arial" w:cs="Arial"/>
          <w:sz w:val="20"/>
          <w:szCs w:val="20"/>
        </w:rPr>
      </w:pPr>
    </w:p>
    <w:p w:rsidR="00177E99" w:rsidRPr="001E00E6" w:rsidRDefault="005375FE" w:rsidP="00733EED">
      <w:pPr>
        <w:widowControl w:val="0"/>
        <w:tabs>
          <w:tab w:val="left" w:pos="369"/>
        </w:tabs>
        <w:kinsoku w:val="0"/>
        <w:overflowPunct w:val="0"/>
        <w:autoSpaceDE w:val="0"/>
        <w:autoSpaceDN w:val="0"/>
        <w:adjustRightInd w:val="0"/>
        <w:spacing w:line="240" w:lineRule="auto"/>
        <w:rPr>
          <w:rFonts w:ascii="Arial" w:eastAsia="Times New Roman" w:hAnsi="Arial" w:cs="Arial"/>
          <w:sz w:val="20"/>
          <w:szCs w:val="20"/>
          <w:vertAlign w:val="superscript"/>
        </w:rPr>
      </w:pPr>
      <w:r>
        <w:rPr>
          <w:rFonts w:ascii="Arial" w:hAnsi="Arial" w:cs="Arial"/>
          <w:sz w:val="20"/>
          <w:szCs w:val="20"/>
        </w:rPr>
        <w:t>Opana</w:t>
      </w:r>
      <w:r w:rsidRPr="00177E99">
        <w:rPr>
          <w:rFonts w:ascii="Arial" w:hAnsi="Arial" w:cs="Arial"/>
          <w:sz w:val="20"/>
          <w:szCs w:val="20"/>
          <w:vertAlign w:val="superscript"/>
        </w:rPr>
        <w:t xml:space="preserve">® </w:t>
      </w:r>
      <w:r w:rsidRPr="005375FE">
        <w:rPr>
          <w:rFonts w:ascii="Arial" w:hAnsi="Arial" w:cs="Arial"/>
          <w:sz w:val="20"/>
          <w:szCs w:val="20"/>
        </w:rPr>
        <w:t>ER</w:t>
      </w:r>
      <w:r>
        <w:rPr>
          <w:rFonts w:ascii="Arial" w:hAnsi="Arial" w:cs="Arial"/>
          <w:sz w:val="20"/>
          <w:szCs w:val="20"/>
        </w:rPr>
        <w:t xml:space="preserve"> (oxymorph</w:t>
      </w:r>
      <w:r w:rsidR="00733EED">
        <w:rPr>
          <w:rFonts w:ascii="Arial" w:hAnsi="Arial" w:cs="Arial"/>
          <w:sz w:val="20"/>
          <w:szCs w:val="20"/>
        </w:rPr>
        <w:t xml:space="preserve">one </w:t>
      </w:r>
      <w:r w:rsidR="00854D2B">
        <w:rPr>
          <w:rFonts w:ascii="Arial" w:hAnsi="Arial" w:cs="Arial"/>
          <w:sz w:val="20"/>
          <w:szCs w:val="20"/>
        </w:rPr>
        <w:t>ER</w:t>
      </w:r>
      <w:r w:rsidR="00733EED">
        <w:rPr>
          <w:rFonts w:ascii="Arial" w:hAnsi="Arial" w:cs="Arial"/>
          <w:sz w:val="20"/>
          <w:szCs w:val="20"/>
        </w:rPr>
        <w:t xml:space="preserve">), </w:t>
      </w:r>
      <w:r w:rsidR="00B24867">
        <w:rPr>
          <w:rFonts w:ascii="Arial" w:hAnsi="Arial" w:cs="Arial"/>
          <w:sz w:val="20"/>
          <w:szCs w:val="20"/>
        </w:rPr>
        <w:t xml:space="preserve">is estimated to be three times as potent as oral morphine and twice as potent as oral oxycodone when calculating equianalgesic doses using available opioid calculators (e.g., </w:t>
      </w:r>
      <w:r w:rsidR="00A37C5C" w:rsidRPr="00A37C5C">
        <w:rPr>
          <w:rFonts w:ascii="Arial" w:hAnsi="Arial" w:cs="Arial"/>
          <w:sz w:val="20"/>
          <w:szCs w:val="20"/>
        </w:rPr>
        <w:t>http://www.healthquality.va.gov/guidelines/Pain/cot/OpioidTherapyPocketCardFinalpress.pdf</w:t>
      </w:r>
      <w:r w:rsidR="00B24867">
        <w:rPr>
          <w:rFonts w:ascii="Arial" w:hAnsi="Arial" w:cs="Arial"/>
          <w:sz w:val="20"/>
          <w:szCs w:val="20"/>
        </w:rPr>
        <w:t xml:space="preserve">). </w:t>
      </w:r>
      <w:r w:rsidR="0019088E">
        <w:rPr>
          <w:rFonts w:ascii="Arial" w:hAnsi="Arial" w:cs="Arial"/>
          <w:sz w:val="20"/>
          <w:szCs w:val="20"/>
        </w:rPr>
        <w:t xml:space="preserve">This agent joins </w:t>
      </w:r>
      <w:r w:rsidR="00733EED">
        <w:rPr>
          <w:rFonts w:ascii="Arial" w:hAnsi="Arial" w:cs="Arial"/>
          <w:sz w:val="20"/>
          <w:szCs w:val="20"/>
        </w:rPr>
        <w:t>multiple other long-acting opioids avail</w:t>
      </w:r>
      <w:r w:rsidR="0019088E">
        <w:rPr>
          <w:rFonts w:ascii="Arial" w:hAnsi="Arial" w:cs="Arial"/>
          <w:sz w:val="20"/>
          <w:szCs w:val="20"/>
        </w:rPr>
        <w:t>able on the market, some of which also have</w:t>
      </w:r>
      <w:r w:rsidR="00733EED">
        <w:rPr>
          <w:rFonts w:ascii="Arial" w:hAnsi="Arial" w:cs="Arial"/>
          <w:sz w:val="20"/>
          <w:szCs w:val="20"/>
        </w:rPr>
        <w:t xml:space="preserve"> abuse-deterrent properties.</w:t>
      </w:r>
      <w:r w:rsidR="0019088E">
        <w:rPr>
          <w:rFonts w:ascii="Arial" w:hAnsi="Arial" w:cs="Arial"/>
          <w:sz w:val="20"/>
          <w:szCs w:val="20"/>
          <w:vertAlign w:val="superscript"/>
        </w:rPr>
        <w:t>2</w:t>
      </w:r>
      <w:r w:rsidR="003A1B44">
        <w:rPr>
          <w:rFonts w:ascii="Arial" w:hAnsi="Arial" w:cs="Arial"/>
          <w:sz w:val="20"/>
          <w:szCs w:val="20"/>
        </w:rPr>
        <w:t xml:space="preserve"> </w:t>
      </w:r>
      <w:proofErr w:type="gramStart"/>
      <w:r w:rsidR="003A1B44">
        <w:rPr>
          <w:rFonts w:ascii="Arial" w:hAnsi="Arial" w:cs="Arial"/>
          <w:sz w:val="20"/>
          <w:szCs w:val="20"/>
        </w:rPr>
        <w:t>A</w:t>
      </w:r>
      <w:proofErr w:type="gramEnd"/>
      <w:r w:rsidR="003A1B44">
        <w:rPr>
          <w:rFonts w:ascii="Arial" w:hAnsi="Arial" w:cs="Arial"/>
          <w:sz w:val="20"/>
          <w:szCs w:val="20"/>
        </w:rPr>
        <w:t xml:space="preserve"> list of these</w:t>
      </w:r>
      <w:r w:rsidR="00733EED">
        <w:rPr>
          <w:rFonts w:ascii="Arial" w:hAnsi="Arial" w:cs="Arial"/>
          <w:sz w:val="20"/>
          <w:szCs w:val="20"/>
        </w:rPr>
        <w:t xml:space="preserve"> medications is shown below in Table1.</w:t>
      </w:r>
    </w:p>
    <w:p w:rsidR="00986952" w:rsidRPr="00466D74" w:rsidRDefault="00986952" w:rsidP="00733EED">
      <w:pPr>
        <w:pStyle w:val="NoSpacing"/>
        <w:rPr>
          <w:rFonts w:ascii="Arial" w:hAnsi="Arial" w:cs="Arial"/>
          <w:b/>
          <w:sz w:val="20"/>
          <w:szCs w:val="20"/>
          <w:vertAlign w:val="superscript"/>
        </w:rPr>
      </w:pPr>
      <w:r w:rsidRPr="00B5437C">
        <w:rPr>
          <w:rFonts w:ascii="Arial" w:hAnsi="Arial" w:cs="Arial"/>
          <w:b/>
          <w:sz w:val="20"/>
          <w:szCs w:val="20"/>
        </w:rPr>
        <w:t xml:space="preserve">Table 1. </w:t>
      </w:r>
      <w:r>
        <w:rPr>
          <w:rFonts w:ascii="Arial" w:hAnsi="Arial" w:cs="Arial"/>
          <w:b/>
          <w:sz w:val="20"/>
          <w:szCs w:val="20"/>
        </w:rPr>
        <w:t>Long-Acting Opioid Availability</w:t>
      </w:r>
      <w:r w:rsidR="00D1633E">
        <w:rPr>
          <w:rFonts w:ascii="Arial" w:hAnsi="Arial" w:cs="Arial"/>
          <w:b/>
          <w:sz w:val="20"/>
          <w:szCs w:val="20"/>
          <w:vertAlign w:val="superscript"/>
        </w:rPr>
        <w:t>14</w:t>
      </w:r>
    </w:p>
    <w:tbl>
      <w:tblPr>
        <w:tblW w:w="488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0"/>
        <w:gridCol w:w="2970"/>
        <w:gridCol w:w="2790"/>
      </w:tblGrid>
      <w:tr w:rsidR="00986952" w:rsidRPr="00B5437C" w:rsidTr="0003168B">
        <w:trPr>
          <w:tblHeader/>
        </w:trPr>
        <w:tc>
          <w:tcPr>
            <w:tcW w:w="3600" w:type="dxa"/>
            <w:tcBorders>
              <w:bottom w:val="single" w:sz="4" w:space="0" w:color="000000"/>
            </w:tcBorders>
            <w:shd w:val="clear" w:color="auto" w:fill="C0C0C0"/>
            <w:vAlign w:val="center"/>
          </w:tcPr>
          <w:p w:rsidR="00986952" w:rsidRPr="00B5437C" w:rsidRDefault="00986952" w:rsidP="0003168B">
            <w:pPr>
              <w:pStyle w:val="NoSpacing"/>
              <w:rPr>
                <w:rFonts w:ascii="Arial" w:hAnsi="Arial" w:cs="Arial"/>
                <w:b/>
                <w:sz w:val="20"/>
                <w:szCs w:val="20"/>
              </w:rPr>
            </w:pPr>
            <w:r w:rsidRPr="00B5437C">
              <w:rPr>
                <w:rFonts w:ascii="Arial" w:hAnsi="Arial" w:cs="Arial"/>
                <w:b/>
                <w:sz w:val="20"/>
                <w:szCs w:val="20"/>
              </w:rPr>
              <w:t>Generic Name (Trade name)</w:t>
            </w:r>
          </w:p>
        </w:tc>
        <w:tc>
          <w:tcPr>
            <w:tcW w:w="2970" w:type="dxa"/>
            <w:tcBorders>
              <w:bottom w:val="single" w:sz="4" w:space="0" w:color="000000"/>
            </w:tcBorders>
            <w:shd w:val="clear" w:color="auto" w:fill="C0C0C0"/>
          </w:tcPr>
          <w:p w:rsidR="00986952" w:rsidRPr="00B5437C" w:rsidRDefault="00986952" w:rsidP="00986952">
            <w:pPr>
              <w:pStyle w:val="NoSpacing"/>
              <w:jc w:val="center"/>
              <w:rPr>
                <w:rFonts w:ascii="Arial" w:hAnsi="Arial" w:cs="Arial"/>
                <w:b/>
                <w:sz w:val="20"/>
                <w:szCs w:val="20"/>
              </w:rPr>
            </w:pPr>
            <w:r>
              <w:rPr>
                <w:rFonts w:ascii="Arial" w:hAnsi="Arial" w:cs="Arial"/>
                <w:b/>
                <w:sz w:val="20"/>
                <w:szCs w:val="20"/>
              </w:rPr>
              <w:t>Abuse Deterrent Formulation Available</w:t>
            </w:r>
          </w:p>
        </w:tc>
        <w:tc>
          <w:tcPr>
            <w:tcW w:w="2790" w:type="dxa"/>
            <w:tcBorders>
              <w:bottom w:val="single" w:sz="4" w:space="0" w:color="000000"/>
            </w:tcBorders>
            <w:shd w:val="clear" w:color="auto" w:fill="C0C0C0"/>
          </w:tcPr>
          <w:p w:rsidR="00986952" w:rsidRPr="00B5437C" w:rsidRDefault="00986952" w:rsidP="00986952">
            <w:pPr>
              <w:pStyle w:val="NoSpacing"/>
              <w:jc w:val="center"/>
              <w:rPr>
                <w:rFonts w:ascii="Arial" w:hAnsi="Arial" w:cs="Arial"/>
                <w:b/>
                <w:sz w:val="20"/>
                <w:szCs w:val="20"/>
              </w:rPr>
            </w:pPr>
            <w:r>
              <w:rPr>
                <w:rFonts w:ascii="Arial" w:hAnsi="Arial" w:cs="Arial"/>
                <w:b/>
                <w:sz w:val="20"/>
                <w:szCs w:val="20"/>
              </w:rPr>
              <w:t xml:space="preserve">Commercially Available </w:t>
            </w:r>
          </w:p>
        </w:tc>
      </w:tr>
      <w:tr w:rsidR="0003168B" w:rsidRPr="00B5437C" w:rsidTr="003A1B44">
        <w:trPr>
          <w:trHeight w:val="260"/>
        </w:trPr>
        <w:tc>
          <w:tcPr>
            <w:tcW w:w="3600" w:type="dxa"/>
          </w:tcPr>
          <w:p w:rsidR="0003168B" w:rsidRPr="00D52883" w:rsidRDefault="0003168B" w:rsidP="00986952">
            <w:pPr>
              <w:pStyle w:val="NoSpacing"/>
              <w:rPr>
                <w:rFonts w:ascii="Arial" w:hAnsi="Arial" w:cs="Arial"/>
                <w:sz w:val="20"/>
                <w:szCs w:val="20"/>
              </w:rPr>
            </w:pPr>
            <w:r>
              <w:rPr>
                <w:rFonts w:ascii="Arial" w:hAnsi="Arial" w:cs="Arial"/>
                <w:sz w:val="20"/>
                <w:szCs w:val="20"/>
              </w:rPr>
              <w:t>Buprenorphine (</w:t>
            </w:r>
            <w:proofErr w:type="spellStart"/>
            <w:r>
              <w:rPr>
                <w:rFonts w:ascii="Arial" w:hAnsi="Arial" w:cs="Arial"/>
                <w:sz w:val="20"/>
                <w:szCs w:val="20"/>
              </w:rPr>
              <w:t>Belbuca</w:t>
            </w:r>
            <w:proofErr w:type="spellEnd"/>
            <w:r>
              <w:rPr>
                <w:rFonts w:cs="Arial"/>
                <w:sz w:val="20"/>
                <w:szCs w:val="20"/>
              </w:rPr>
              <w:t>®</w:t>
            </w:r>
            <w:r>
              <w:rPr>
                <w:rFonts w:ascii="Arial" w:hAnsi="Arial" w:cs="Arial"/>
                <w:sz w:val="20"/>
                <w:szCs w:val="20"/>
              </w:rPr>
              <w:t xml:space="preserve">, </w:t>
            </w:r>
            <w:proofErr w:type="spellStart"/>
            <w:r>
              <w:rPr>
                <w:rFonts w:ascii="Arial" w:hAnsi="Arial" w:cs="Arial"/>
                <w:sz w:val="20"/>
                <w:szCs w:val="20"/>
              </w:rPr>
              <w:t>Butrans</w:t>
            </w:r>
            <w:proofErr w:type="spellEnd"/>
            <w:r>
              <w:rPr>
                <w:rFonts w:cs="Arial"/>
                <w:sz w:val="20"/>
                <w:szCs w:val="20"/>
              </w:rPr>
              <w:t>®</w:t>
            </w:r>
            <w:r>
              <w:rPr>
                <w:rFonts w:ascii="Arial" w:hAnsi="Arial" w:cs="Arial"/>
                <w:sz w:val="20"/>
                <w:szCs w:val="20"/>
              </w:rPr>
              <w:t>)</w:t>
            </w:r>
          </w:p>
        </w:tc>
        <w:tc>
          <w:tcPr>
            <w:tcW w:w="2970" w:type="dxa"/>
          </w:tcPr>
          <w:p w:rsidR="0003168B" w:rsidRPr="00064254" w:rsidRDefault="0003168B" w:rsidP="00986952">
            <w:pPr>
              <w:pStyle w:val="NoSpacing"/>
              <w:jc w:val="center"/>
              <w:rPr>
                <w:rFonts w:ascii="Arial" w:hAnsi="Arial" w:cs="Arial"/>
                <w:sz w:val="20"/>
                <w:szCs w:val="20"/>
              </w:rPr>
            </w:pPr>
            <w:r>
              <w:rPr>
                <w:rFonts w:ascii="Arial" w:hAnsi="Arial" w:cs="Arial"/>
                <w:sz w:val="20"/>
                <w:szCs w:val="20"/>
              </w:rPr>
              <w:t>-</w:t>
            </w:r>
          </w:p>
        </w:tc>
        <w:tc>
          <w:tcPr>
            <w:tcW w:w="2790" w:type="dxa"/>
          </w:tcPr>
          <w:p w:rsidR="0003168B" w:rsidRPr="00064254" w:rsidRDefault="0003168B" w:rsidP="00986952">
            <w:pPr>
              <w:spacing w:after="0" w:line="240" w:lineRule="auto"/>
              <w:jc w:val="center"/>
              <w:rPr>
                <w:rStyle w:val="st1"/>
                <w:rFonts w:ascii="MS Gothic" w:eastAsia="MS Gothic" w:hAnsi="MS Gothic" w:cs="MS Gothic"/>
                <w:lang w:val="en"/>
              </w:rPr>
            </w:pPr>
            <w:r w:rsidRPr="00064254">
              <w:rPr>
                <w:rStyle w:val="st1"/>
                <w:rFonts w:ascii="MS Gothic" w:eastAsia="MS Gothic" w:hAnsi="MS Gothic" w:cs="MS Gothic" w:hint="eastAsia"/>
                <w:lang w:val="en"/>
              </w:rPr>
              <w:t>✓</w:t>
            </w:r>
          </w:p>
        </w:tc>
      </w:tr>
      <w:tr w:rsidR="00986952" w:rsidRPr="00B5437C" w:rsidTr="0003168B">
        <w:tc>
          <w:tcPr>
            <w:tcW w:w="3600" w:type="dxa"/>
          </w:tcPr>
          <w:p w:rsidR="00986952" w:rsidRPr="006D2582" w:rsidRDefault="00986952" w:rsidP="00986952">
            <w:pPr>
              <w:pStyle w:val="NoSpacing"/>
              <w:rPr>
                <w:rFonts w:ascii="Arial" w:hAnsi="Arial" w:cs="Arial"/>
                <w:sz w:val="20"/>
                <w:szCs w:val="20"/>
                <w:highlight w:val="yellow"/>
              </w:rPr>
            </w:pPr>
            <w:r w:rsidRPr="00D52883">
              <w:rPr>
                <w:rFonts w:ascii="Arial" w:hAnsi="Arial" w:cs="Arial"/>
                <w:sz w:val="20"/>
                <w:szCs w:val="20"/>
              </w:rPr>
              <w:t>Fentanyl (Duragesic</w:t>
            </w:r>
            <w:r w:rsidRPr="00D52883">
              <w:rPr>
                <w:rFonts w:ascii="Arial" w:hAnsi="Arial" w:cs="Arial"/>
                <w:sz w:val="20"/>
                <w:szCs w:val="20"/>
                <w:vertAlign w:val="superscript"/>
              </w:rPr>
              <w:t>®</w:t>
            </w:r>
            <w:r w:rsidRPr="00D52883">
              <w:rPr>
                <w:rFonts w:ascii="Arial" w:hAnsi="Arial" w:cs="Arial"/>
                <w:sz w:val="20"/>
                <w:szCs w:val="20"/>
              </w:rPr>
              <w:t>)</w:t>
            </w:r>
          </w:p>
        </w:tc>
        <w:tc>
          <w:tcPr>
            <w:tcW w:w="2970" w:type="dxa"/>
          </w:tcPr>
          <w:p w:rsidR="00986952" w:rsidRPr="00064254" w:rsidRDefault="00986952" w:rsidP="00986952">
            <w:pPr>
              <w:pStyle w:val="NoSpacing"/>
              <w:jc w:val="center"/>
              <w:rPr>
                <w:rFonts w:ascii="Arial" w:hAnsi="Arial" w:cs="Arial"/>
                <w:sz w:val="20"/>
                <w:szCs w:val="20"/>
              </w:rPr>
            </w:pPr>
            <w:r w:rsidRPr="00064254">
              <w:rPr>
                <w:rFonts w:ascii="Arial" w:hAnsi="Arial" w:cs="Arial"/>
                <w:sz w:val="20"/>
                <w:szCs w:val="20"/>
              </w:rPr>
              <w:t>-</w:t>
            </w:r>
          </w:p>
        </w:tc>
        <w:tc>
          <w:tcPr>
            <w:tcW w:w="2790" w:type="dxa"/>
          </w:tcPr>
          <w:p w:rsidR="00986952" w:rsidRPr="00064254" w:rsidRDefault="00986952" w:rsidP="00986952">
            <w:pPr>
              <w:spacing w:after="0" w:line="240" w:lineRule="auto"/>
              <w:jc w:val="center"/>
            </w:pPr>
            <w:r w:rsidRPr="00064254">
              <w:rPr>
                <w:rStyle w:val="st1"/>
                <w:rFonts w:ascii="MS Gothic" w:eastAsia="MS Gothic" w:hAnsi="MS Gothic" w:cs="MS Gothic" w:hint="eastAsia"/>
                <w:lang w:val="en"/>
              </w:rPr>
              <w:t>✓</w:t>
            </w:r>
          </w:p>
        </w:tc>
      </w:tr>
      <w:tr w:rsidR="00986952" w:rsidRPr="00B5437C" w:rsidTr="0003168B">
        <w:tc>
          <w:tcPr>
            <w:tcW w:w="3600" w:type="dxa"/>
          </w:tcPr>
          <w:p w:rsidR="00986952" w:rsidRPr="00136CA1" w:rsidRDefault="00986952" w:rsidP="00986952">
            <w:pPr>
              <w:pStyle w:val="NoSpacing"/>
              <w:rPr>
                <w:rFonts w:ascii="Arial" w:hAnsi="Arial" w:cs="Arial"/>
                <w:sz w:val="20"/>
                <w:szCs w:val="20"/>
              </w:rPr>
            </w:pPr>
            <w:r w:rsidRPr="00136CA1">
              <w:rPr>
                <w:rFonts w:ascii="Arial" w:hAnsi="Arial" w:cs="Arial"/>
                <w:sz w:val="20"/>
                <w:szCs w:val="20"/>
              </w:rPr>
              <w:t>Hydrocodone (Hysingla ER</w:t>
            </w:r>
            <w:r w:rsidRPr="00136CA1">
              <w:rPr>
                <w:rFonts w:ascii="Arial" w:hAnsi="Arial" w:cs="Arial"/>
                <w:sz w:val="20"/>
                <w:szCs w:val="20"/>
                <w:vertAlign w:val="superscript"/>
              </w:rPr>
              <w:t>®</w:t>
            </w:r>
            <w:r w:rsidRPr="00136CA1">
              <w:rPr>
                <w:rFonts w:ascii="Arial" w:hAnsi="Arial" w:cs="Arial"/>
                <w:sz w:val="20"/>
                <w:szCs w:val="20"/>
              </w:rPr>
              <w:t>)</w:t>
            </w:r>
          </w:p>
        </w:tc>
        <w:tc>
          <w:tcPr>
            <w:tcW w:w="2970" w:type="dxa"/>
          </w:tcPr>
          <w:p w:rsidR="00986952" w:rsidRPr="00136CA1" w:rsidRDefault="00986952" w:rsidP="00986952">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790" w:type="dxa"/>
          </w:tcPr>
          <w:p w:rsidR="00986952" w:rsidRPr="00064254" w:rsidRDefault="00986952" w:rsidP="00986952">
            <w:pPr>
              <w:spacing w:after="0" w:line="240" w:lineRule="auto"/>
              <w:jc w:val="center"/>
            </w:pPr>
            <w:r w:rsidRPr="00064254">
              <w:rPr>
                <w:rStyle w:val="st1"/>
                <w:rFonts w:ascii="MS Gothic" w:eastAsia="MS Gothic" w:hAnsi="MS Gothic" w:cs="MS Gothic" w:hint="eastAsia"/>
                <w:lang w:val="en"/>
              </w:rPr>
              <w:t>✓</w:t>
            </w:r>
          </w:p>
        </w:tc>
      </w:tr>
      <w:tr w:rsidR="00986952" w:rsidRPr="00B5437C" w:rsidTr="0003168B">
        <w:tc>
          <w:tcPr>
            <w:tcW w:w="3600" w:type="dxa"/>
          </w:tcPr>
          <w:p w:rsidR="00986952" w:rsidRPr="00136CA1" w:rsidRDefault="00986952" w:rsidP="00986952">
            <w:pPr>
              <w:pStyle w:val="NoSpacing"/>
              <w:rPr>
                <w:rFonts w:ascii="Arial" w:hAnsi="Arial" w:cs="Arial"/>
                <w:sz w:val="20"/>
                <w:szCs w:val="20"/>
              </w:rPr>
            </w:pPr>
            <w:r w:rsidRPr="00136CA1">
              <w:rPr>
                <w:rFonts w:ascii="Arial" w:hAnsi="Arial" w:cs="Arial"/>
                <w:sz w:val="20"/>
                <w:szCs w:val="20"/>
              </w:rPr>
              <w:t>Hydrocodone (Zohydro ER</w:t>
            </w:r>
            <w:r w:rsidRPr="00136CA1">
              <w:rPr>
                <w:rFonts w:ascii="Arial" w:hAnsi="Arial" w:cs="Arial"/>
                <w:sz w:val="20"/>
                <w:szCs w:val="20"/>
                <w:vertAlign w:val="superscript"/>
              </w:rPr>
              <w:t>®</w:t>
            </w:r>
            <w:r w:rsidRPr="00136CA1">
              <w:rPr>
                <w:rFonts w:ascii="Arial" w:hAnsi="Arial" w:cs="Arial"/>
                <w:sz w:val="20"/>
                <w:szCs w:val="20"/>
              </w:rPr>
              <w:t>)</w:t>
            </w:r>
          </w:p>
        </w:tc>
        <w:tc>
          <w:tcPr>
            <w:tcW w:w="2970" w:type="dxa"/>
          </w:tcPr>
          <w:p w:rsidR="00986952" w:rsidRPr="00136CA1" w:rsidRDefault="00986952" w:rsidP="00986952">
            <w:pPr>
              <w:pStyle w:val="NoSpacing"/>
              <w:jc w:val="center"/>
              <w:rPr>
                <w:rFonts w:ascii="Arial" w:hAnsi="Arial" w:cs="Arial"/>
                <w:sz w:val="20"/>
                <w:szCs w:val="20"/>
              </w:rPr>
            </w:pPr>
            <w:r w:rsidRPr="00136CA1">
              <w:rPr>
                <w:rFonts w:ascii="Arial" w:hAnsi="Arial" w:cs="Arial"/>
                <w:sz w:val="20"/>
                <w:szCs w:val="20"/>
              </w:rPr>
              <w:t>-</w:t>
            </w:r>
          </w:p>
        </w:tc>
        <w:tc>
          <w:tcPr>
            <w:tcW w:w="2790" w:type="dxa"/>
          </w:tcPr>
          <w:p w:rsidR="00986952" w:rsidRPr="00BE62A6" w:rsidRDefault="00986952" w:rsidP="00986952">
            <w:pPr>
              <w:spacing w:after="0" w:line="240" w:lineRule="auto"/>
              <w:jc w:val="center"/>
            </w:pPr>
            <w:r w:rsidRPr="00BE62A6">
              <w:rPr>
                <w:rStyle w:val="st1"/>
                <w:rFonts w:ascii="MS Gothic" w:eastAsia="MS Gothic" w:hAnsi="MS Gothic" w:cs="MS Gothic" w:hint="eastAsia"/>
                <w:lang w:val="en"/>
              </w:rPr>
              <w:t>✓</w:t>
            </w:r>
          </w:p>
        </w:tc>
      </w:tr>
      <w:tr w:rsidR="00986952" w:rsidRPr="00B5437C" w:rsidTr="0003168B">
        <w:tc>
          <w:tcPr>
            <w:tcW w:w="3600" w:type="dxa"/>
          </w:tcPr>
          <w:p w:rsidR="00986952" w:rsidRPr="006D2582" w:rsidRDefault="00986952" w:rsidP="00986952">
            <w:pPr>
              <w:pStyle w:val="NoSpacing"/>
              <w:rPr>
                <w:rFonts w:ascii="Arial" w:hAnsi="Arial" w:cs="Arial"/>
                <w:sz w:val="20"/>
                <w:szCs w:val="20"/>
                <w:highlight w:val="yellow"/>
              </w:rPr>
            </w:pPr>
            <w:r w:rsidRPr="00D52883">
              <w:rPr>
                <w:rFonts w:ascii="Arial" w:hAnsi="Arial" w:cs="Arial"/>
                <w:sz w:val="20"/>
                <w:szCs w:val="20"/>
              </w:rPr>
              <w:t>Hydromorphone (Exalgo</w:t>
            </w:r>
            <w:r w:rsidRPr="00D52883">
              <w:rPr>
                <w:rFonts w:ascii="Arial" w:hAnsi="Arial" w:cs="Arial"/>
                <w:sz w:val="20"/>
                <w:szCs w:val="20"/>
                <w:vertAlign w:val="superscript"/>
              </w:rPr>
              <w:t>®</w:t>
            </w:r>
            <w:r w:rsidRPr="00D52883">
              <w:rPr>
                <w:rFonts w:ascii="Arial" w:hAnsi="Arial" w:cs="Arial"/>
                <w:sz w:val="20"/>
                <w:szCs w:val="20"/>
              </w:rPr>
              <w:t>)</w:t>
            </w:r>
          </w:p>
        </w:tc>
        <w:tc>
          <w:tcPr>
            <w:tcW w:w="2970" w:type="dxa"/>
          </w:tcPr>
          <w:p w:rsidR="00986952" w:rsidRPr="00064254" w:rsidRDefault="00986952" w:rsidP="00986952">
            <w:pPr>
              <w:pStyle w:val="NoSpacing"/>
              <w:jc w:val="center"/>
              <w:rPr>
                <w:rFonts w:ascii="Arial" w:hAnsi="Arial" w:cs="Arial"/>
                <w:sz w:val="20"/>
                <w:szCs w:val="20"/>
              </w:rPr>
            </w:pPr>
            <w:r w:rsidRPr="00064254">
              <w:rPr>
                <w:rFonts w:ascii="Arial" w:hAnsi="Arial" w:cs="Arial"/>
                <w:sz w:val="20"/>
                <w:szCs w:val="20"/>
              </w:rPr>
              <w:t>-</w:t>
            </w:r>
          </w:p>
        </w:tc>
        <w:tc>
          <w:tcPr>
            <w:tcW w:w="2790" w:type="dxa"/>
          </w:tcPr>
          <w:p w:rsidR="00986952" w:rsidRPr="00064254" w:rsidRDefault="00986952" w:rsidP="00986952">
            <w:pPr>
              <w:spacing w:after="0" w:line="240" w:lineRule="auto"/>
              <w:jc w:val="center"/>
            </w:pPr>
            <w:r w:rsidRPr="00064254">
              <w:rPr>
                <w:rStyle w:val="st1"/>
                <w:rFonts w:ascii="MS Gothic" w:eastAsia="MS Gothic" w:hAnsi="MS Gothic" w:cs="MS Gothic" w:hint="eastAsia"/>
                <w:lang w:val="en"/>
              </w:rPr>
              <w:t>✓</w:t>
            </w:r>
          </w:p>
        </w:tc>
      </w:tr>
      <w:tr w:rsidR="0014148C" w:rsidRPr="00B5437C" w:rsidTr="003A1B44">
        <w:trPr>
          <w:trHeight w:val="215"/>
        </w:trPr>
        <w:tc>
          <w:tcPr>
            <w:tcW w:w="3600" w:type="dxa"/>
          </w:tcPr>
          <w:p w:rsidR="0014148C" w:rsidRPr="00D52883" w:rsidRDefault="0014148C" w:rsidP="00986952">
            <w:pPr>
              <w:pStyle w:val="NoSpacing"/>
              <w:rPr>
                <w:rFonts w:ascii="Arial" w:hAnsi="Arial" w:cs="Arial"/>
                <w:sz w:val="20"/>
                <w:szCs w:val="20"/>
              </w:rPr>
            </w:pPr>
            <w:r>
              <w:rPr>
                <w:rFonts w:ascii="Arial" w:hAnsi="Arial" w:cs="Arial"/>
                <w:sz w:val="20"/>
                <w:szCs w:val="20"/>
              </w:rPr>
              <w:t>Levorphanol</w:t>
            </w:r>
            <w:r w:rsidR="00073EF2">
              <w:rPr>
                <w:rFonts w:ascii="Arial" w:hAnsi="Arial" w:cs="Arial"/>
                <w:sz w:val="20"/>
                <w:szCs w:val="20"/>
              </w:rPr>
              <w:t xml:space="preserve"> </w:t>
            </w:r>
            <w:r w:rsidR="00073EF2" w:rsidRPr="00872CBA">
              <w:rPr>
                <w:rFonts w:ascii="Arial" w:hAnsi="Arial" w:cs="Arial"/>
                <w:sz w:val="20"/>
                <w:szCs w:val="20"/>
              </w:rPr>
              <w:t>(Levo-Dromoran</w:t>
            </w:r>
            <w:r w:rsidR="00073EF2" w:rsidRPr="00872CBA">
              <w:rPr>
                <w:rFonts w:ascii="Arial" w:hAnsi="Arial" w:cs="Arial"/>
                <w:sz w:val="20"/>
                <w:szCs w:val="20"/>
                <w:vertAlign w:val="superscript"/>
              </w:rPr>
              <w:t>®</w:t>
            </w:r>
            <w:r w:rsidR="00073EF2" w:rsidRPr="00872CBA">
              <w:rPr>
                <w:rFonts w:ascii="Arial" w:hAnsi="Arial" w:cs="Arial"/>
                <w:sz w:val="20"/>
                <w:szCs w:val="20"/>
              </w:rPr>
              <w:t>)</w:t>
            </w:r>
          </w:p>
        </w:tc>
        <w:tc>
          <w:tcPr>
            <w:tcW w:w="2970" w:type="dxa"/>
          </w:tcPr>
          <w:p w:rsidR="0014148C" w:rsidRPr="00064254" w:rsidRDefault="0003168B" w:rsidP="00986952">
            <w:pPr>
              <w:pStyle w:val="NoSpacing"/>
              <w:jc w:val="center"/>
              <w:rPr>
                <w:rFonts w:ascii="Arial" w:hAnsi="Arial" w:cs="Arial"/>
                <w:sz w:val="20"/>
                <w:szCs w:val="20"/>
              </w:rPr>
            </w:pPr>
            <w:r>
              <w:rPr>
                <w:rFonts w:ascii="Arial" w:hAnsi="Arial" w:cs="Arial"/>
                <w:sz w:val="20"/>
                <w:szCs w:val="20"/>
              </w:rPr>
              <w:t>-</w:t>
            </w:r>
          </w:p>
        </w:tc>
        <w:tc>
          <w:tcPr>
            <w:tcW w:w="2790" w:type="dxa"/>
          </w:tcPr>
          <w:p w:rsidR="0014148C" w:rsidRPr="00064254" w:rsidRDefault="0003168B" w:rsidP="00986952">
            <w:pPr>
              <w:spacing w:after="0" w:line="240" w:lineRule="auto"/>
              <w:jc w:val="center"/>
              <w:rPr>
                <w:rStyle w:val="st1"/>
                <w:rFonts w:ascii="MS Gothic" w:eastAsia="MS Gothic" w:hAnsi="MS Gothic" w:cs="MS Gothic"/>
                <w:lang w:val="en"/>
              </w:rPr>
            </w:pPr>
            <w:r w:rsidRPr="00064254">
              <w:rPr>
                <w:rStyle w:val="st1"/>
                <w:rFonts w:ascii="MS Gothic" w:eastAsia="MS Gothic" w:hAnsi="MS Gothic" w:cs="MS Gothic" w:hint="eastAsia"/>
                <w:lang w:val="en"/>
              </w:rPr>
              <w:t>✓</w:t>
            </w:r>
          </w:p>
        </w:tc>
      </w:tr>
      <w:tr w:rsidR="00986952" w:rsidRPr="00B5437C" w:rsidTr="0003168B">
        <w:tc>
          <w:tcPr>
            <w:tcW w:w="3600" w:type="dxa"/>
          </w:tcPr>
          <w:p w:rsidR="00986952" w:rsidRPr="00FE2809" w:rsidRDefault="00986952" w:rsidP="00986952">
            <w:pPr>
              <w:pStyle w:val="NoSpacing"/>
              <w:rPr>
                <w:rFonts w:ascii="Arial" w:hAnsi="Arial" w:cs="Arial"/>
                <w:sz w:val="20"/>
                <w:szCs w:val="20"/>
              </w:rPr>
            </w:pPr>
            <w:r w:rsidRPr="00FE2809">
              <w:rPr>
                <w:rFonts w:ascii="Arial" w:hAnsi="Arial" w:cs="Arial"/>
                <w:sz w:val="20"/>
                <w:szCs w:val="20"/>
              </w:rPr>
              <w:t>Methadone (Diskets Disper</w:t>
            </w:r>
            <w:r>
              <w:rPr>
                <w:rFonts w:ascii="Arial" w:hAnsi="Arial" w:cs="Arial"/>
                <w:sz w:val="20"/>
                <w:szCs w:val="20"/>
              </w:rPr>
              <w:t>s</w:t>
            </w:r>
            <w:r w:rsidRPr="00FE2809">
              <w:rPr>
                <w:rFonts w:ascii="Arial" w:hAnsi="Arial" w:cs="Arial"/>
                <w:sz w:val="20"/>
                <w:szCs w:val="20"/>
              </w:rPr>
              <w:t>ible</w:t>
            </w:r>
            <w:r w:rsidRPr="00FE2809">
              <w:rPr>
                <w:rFonts w:ascii="Arial" w:hAnsi="Arial" w:cs="Arial"/>
                <w:sz w:val="20"/>
                <w:szCs w:val="20"/>
                <w:vertAlign w:val="superscript"/>
              </w:rPr>
              <w:t>®</w:t>
            </w:r>
            <w:r w:rsidRPr="00FE2809">
              <w:rPr>
                <w:rFonts w:ascii="Arial" w:hAnsi="Arial" w:cs="Arial"/>
                <w:sz w:val="20"/>
                <w:szCs w:val="20"/>
              </w:rPr>
              <w:t>, Dolophine</w:t>
            </w:r>
            <w:r w:rsidRPr="00FE2809">
              <w:rPr>
                <w:rFonts w:ascii="Arial" w:hAnsi="Arial" w:cs="Arial"/>
                <w:sz w:val="20"/>
                <w:szCs w:val="20"/>
                <w:vertAlign w:val="superscript"/>
              </w:rPr>
              <w:t>®</w:t>
            </w:r>
            <w:r w:rsidRPr="00FE2809">
              <w:rPr>
                <w:rFonts w:ascii="Arial" w:hAnsi="Arial" w:cs="Arial"/>
                <w:sz w:val="20"/>
                <w:szCs w:val="20"/>
              </w:rPr>
              <w:t>, Methadose</w:t>
            </w:r>
            <w:r w:rsidRPr="00FE2809">
              <w:rPr>
                <w:rFonts w:ascii="Arial" w:hAnsi="Arial" w:cs="Arial"/>
                <w:sz w:val="20"/>
                <w:szCs w:val="20"/>
                <w:vertAlign w:val="superscript"/>
              </w:rPr>
              <w:t>®</w:t>
            </w:r>
            <w:r w:rsidRPr="00FE2809">
              <w:rPr>
                <w:rFonts w:ascii="Arial" w:hAnsi="Arial" w:cs="Arial"/>
                <w:sz w:val="20"/>
                <w:szCs w:val="20"/>
              </w:rPr>
              <w:t>, Methadone Intensol</w:t>
            </w:r>
            <w:r w:rsidRPr="00FE2809">
              <w:rPr>
                <w:rFonts w:ascii="Arial" w:hAnsi="Arial" w:cs="Arial"/>
                <w:sz w:val="20"/>
                <w:szCs w:val="20"/>
                <w:vertAlign w:val="superscript"/>
              </w:rPr>
              <w:t>®</w:t>
            </w:r>
            <w:r w:rsidRPr="00FE2809">
              <w:rPr>
                <w:rFonts w:ascii="Arial" w:hAnsi="Arial" w:cs="Arial"/>
                <w:sz w:val="20"/>
                <w:szCs w:val="20"/>
              </w:rPr>
              <w:t>)</w:t>
            </w:r>
          </w:p>
        </w:tc>
        <w:tc>
          <w:tcPr>
            <w:tcW w:w="2970" w:type="dxa"/>
          </w:tcPr>
          <w:p w:rsidR="00986952" w:rsidRPr="00FE2809" w:rsidRDefault="00986952" w:rsidP="00986952">
            <w:pPr>
              <w:pStyle w:val="NoSpacing"/>
              <w:jc w:val="center"/>
              <w:rPr>
                <w:rFonts w:ascii="Arial" w:hAnsi="Arial" w:cs="Arial"/>
                <w:sz w:val="20"/>
                <w:szCs w:val="20"/>
              </w:rPr>
            </w:pPr>
            <w:r w:rsidRPr="00FE2809">
              <w:rPr>
                <w:rFonts w:ascii="Arial" w:hAnsi="Arial" w:cs="Arial"/>
                <w:sz w:val="20"/>
                <w:szCs w:val="20"/>
              </w:rPr>
              <w:t>-</w:t>
            </w:r>
          </w:p>
        </w:tc>
        <w:tc>
          <w:tcPr>
            <w:tcW w:w="2790" w:type="dxa"/>
          </w:tcPr>
          <w:p w:rsidR="00986952" w:rsidRPr="00FE2809" w:rsidRDefault="00986952" w:rsidP="00986952">
            <w:pPr>
              <w:spacing w:after="0" w:line="240" w:lineRule="auto"/>
              <w:jc w:val="center"/>
            </w:pPr>
            <w:r w:rsidRPr="00FE2809">
              <w:rPr>
                <w:rStyle w:val="st1"/>
                <w:rFonts w:ascii="MS Gothic" w:eastAsia="MS Gothic" w:hAnsi="MS Gothic" w:cs="MS Gothic" w:hint="eastAsia"/>
                <w:lang w:val="en"/>
              </w:rPr>
              <w:t>✓</w:t>
            </w:r>
          </w:p>
        </w:tc>
      </w:tr>
      <w:tr w:rsidR="00986952" w:rsidRPr="00B5437C" w:rsidTr="0003168B">
        <w:tc>
          <w:tcPr>
            <w:tcW w:w="3600" w:type="dxa"/>
          </w:tcPr>
          <w:p w:rsidR="00986952" w:rsidRPr="006D2582" w:rsidRDefault="00986952" w:rsidP="00986952">
            <w:pPr>
              <w:pStyle w:val="NoSpacing"/>
              <w:rPr>
                <w:rFonts w:ascii="Arial" w:hAnsi="Arial" w:cs="Arial"/>
                <w:sz w:val="20"/>
                <w:szCs w:val="20"/>
                <w:highlight w:val="yellow"/>
              </w:rPr>
            </w:pPr>
            <w:r w:rsidRPr="008E4FB0">
              <w:rPr>
                <w:rFonts w:ascii="Arial" w:hAnsi="Arial" w:cs="Arial"/>
                <w:sz w:val="20"/>
                <w:szCs w:val="20"/>
              </w:rPr>
              <w:t>Morphine sulfate (Avinza</w:t>
            </w:r>
            <w:r w:rsidRPr="008E4FB0">
              <w:rPr>
                <w:rFonts w:ascii="Arial" w:hAnsi="Arial" w:cs="Arial"/>
                <w:sz w:val="20"/>
                <w:szCs w:val="20"/>
                <w:vertAlign w:val="superscript"/>
              </w:rPr>
              <w:t>®</w:t>
            </w:r>
            <w:r w:rsidRPr="008E4FB0">
              <w:rPr>
                <w:rFonts w:ascii="Arial" w:hAnsi="Arial" w:cs="Arial"/>
                <w:sz w:val="20"/>
                <w:szCs w:val="20"/>
              </w:rPr>
              <w:t>, Kadian</w:t>
            </w:r>
            <w:r w:rsidRPr="008E4FB0">
              <w:rPr>
                <w:rFonts w:ascii="Arial" w:hAnsi="Arial" w:cs="Arial"/>
                <w:sz w:val="20"/>
                <w:szCs w:val="20"/>
                <w:vertAlign w:val="superscript"/>
              </w:rPr>
              <w:t>®</w:t>
            </w:r>
            <w:r w:rsidRPr="008E4FB0">
              <w:rPr>
                <w:rFonts w:ascii="Arial" w:hAnsi="Arial" w:cs="Arial"/>
                <w:sz w:val="20"/>
                <w:szCs w:val="20"/>
              </w:rPr>
              <w:t>, MS Contin</w:t>
            </w:r>
            <w:r w:rsidRPr="008E4FB0">
              <w:rPr>
                <w:rFonts w:ascii="Arial" w:hAnsi="Arial" w:cs="Arial"/>
                <w:sz w:val="20"/>
                <w:szCs w:val="20"/>
                <w:vertAlign w:val="superscript"/>
              </w:rPr>
              <w:t>®</w:t>
            </w:r>
            <w:r w:rsidRPr="008E4FB0">
              <w:rPr>
                <w:rFonts w:ascii="Arial" w:hAnsi="Arial" w:cs="Arial"/>
                <w:sz w:val="20"/>
                <w:szCs w:val="20"/>
              </w:rPr>
              <w:t>)</w:t>
            </w:r>
          </w:p>
        </w:tc>
        <w:tc>
          <w:tcPr>
            <w:tcW w:w="2970" w:type="dxa"/>
          </w:tcPr>
          <w:p w:rsidR="00986952" w:rsidRPr="00064254" w:rsidRDefault="00986952" w:rsidP="00986952">
            <w:pPr>
              <w:pStyle w:val="NoSpacing"/>
              <w:jc w:val="center"/>
              <w:rPr>
                <w:rFonts w:ascii="Arial" w:hAnsi="Arial" w:cs="Arial"/>
                <w:sz w:val="20"/>
                <w:szCs w:val="20"/>
              </w:rPr>
            </w:pPr>
            <w:r w:rsidRPr="00064254">
              <w:rPr>
                <w:rFonts w:ascii="Arial" w:hAnsi="Arial" w:cs="Arial"/>
                <w:sz w:val="20"/>
                <w:szCs w:val="20"/>
              </w:rPr>
              <w:t>-</w:t>
            </w:r>
          </w:p>
        </w:tc>
        <w:tc>
          <w:tcPr>
            <w:tcW w:w="2790" w:type="dxa"/>
          </w:tcPr>
          <w:p w:rsidR="00986952" w:rsidRPr="00064254" w:rsidRDefault="00986952" w:rsidP="00986952">
            <w:pPr>
              <w:spacing w:after="0" w:line="240" w:lineRule="auto"/>
              <w:jc w:val="center"/>
            </w:pPr>
            <w:r w:rsidRPr="00064254">
              <w:rPr>
                <w:rStyle w:val="st1"/>
                <w:rFonts w:ascii="MS Gothic" w:eastAsia="MS Gothic" w:hAnsi="MS Gothic" w:cs="MS Gothic" w:hint="eastAsia"/>
                <w:lang w:val="en"/>
              </w:rPr>
              <w:t>✓</w:t>
            </w:r>
          </w:p>
        </w:tc>
      </w:tr>
      <w:tr w:rsidR="00735FA0" w:rsidRPr="00B5437C" w:rsidTr="0003168B">
        <w:tc>
          <w:tcPr>
            <w:tcW w:w="3600" w:type="dxa"/>
          </w:tcPr>
          <w:p w:rsidR="00735FA0" w:rsidRPr="008E4FB0" w:rsidRDefault="00735FA0" w:rsidP="00986952">
            <w:pPr>
              <w:pStyle w:val="NoSpacing"/>
              <w:rPr>
                <w:rFonts w:ascii="Arial" w:hAnsi="Arial" w:cs="Arial"/>
                <w:sz w:val="20"/>
                <w:szCs w:val="20"/>
              </w:rPr>
            </w:pPr>
            <w:r w:rsidRPr="008E4FB0">
              <w:rPr>
                <w:rFonts w:ascii="Arial" w:hAnsi="Arial" w:cs="Arial"/>
                <w:sz w:val="20"/>
                <w:szCs w:val="20"/>
              </w:rPr>
              <w:t>Morphine sulfate</w:t>
            </w:r>
            <w:r>
              <w:rPr>
                <w:rFonts w:ascii="Arial" w:hAnsi="Arial" w:cs="Arial"/>
                <w:sz w:val="20"/>
                <w:szCs w:val="20"/>
              </w:rPr>
              <w:t xml:space="preserve"> (</w:t>
            </w:r>
            <w:proofErr w:type="spellStart"/>
            <w:r>
              <w:rPr>
                <w:rFonts w:ascii="Arial" w:hAnsi="Arial" w:cs="Arial"/>
                <w:sz w:val="20"/>
                <w:szCs w:val="20"/>
              </w:rPr>
              <w:t>MorphaBond</w:t>
            </w:r>
            <w:proofErr w:type="spellEnd"/>
            <w:r>
              <w:rPr>
                <w:rFonts w:cs="Arial"/>
                <w:sz w:val="20"/>
                <w:szCs w:val="20"/>
              </w:rPr>
              <w:t>®</w:t>
            </w:r>
            <w:r>
              <w:rPr>
                <w:rFonts w:ascii="Arial" w:hAnsi="Arial" w:cs="Arial"/>
                <w:sz w:val="20"/>
                <w:szCs w:val="20"/>
              </w:rPr>
              <w:t>)</w:t>
            </w:r>
          </w:p>
        </w:tc>
        <w:tc>
          <w:tcPr>
            <w:tcW w:w="2970" w:type="dxa"/>
          </w:tcPr>
          <w:p w:rsidR="00735FA0" w:rsidRPr="00064254" w:rsidRDefault="00735FA0" w:rsidP="00986952">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790" w:type="dxa"/>
          </w:tcPr>
          <w:p w:rsidR="00735FA0" w:rsidRPr="00064254" w:rsidRDefault="00735FA0" w:rsidP="00986952">
            <w:pPr>
              <w:spacing w:after="0" w:line="240" w:lineRule="auto"/>
              <w:jc w:val="center"/>
              <w:rPr>
                <w:rStyle w:val="st1"/>
                <w:rFonts w:ascii="MS Gothic" w:eastAsia="MS Gothic" w:hAnsi="MS Gothic" w:cs="MS Gothic"/>
                <w:lang w:val="en"/>
              </w:rPr>
            </w:pPr>
            <w:r>
              <w:rPr>
                <w:rStyle w:val="st1"/>
                <w:rFonts w:ascii="MS Gothic" w:eastAsia="MS Gothic" w:hAnsi="MS Gothic" w:cs="MS Gothic"/>
                <w:lang w:val="en"/>
              </w:rPr>
              <w:t>-</w:t>
            </w:r>
          </w:p>
        </w:tc>
      </w:tr>
      <w:tr w:rsidR="00986952" w:rsidRPr="00B5437C" w:rsidTr="0003168B">
        <w:tc>
          <w:tcPr>
            <w:tcW w:w="3600" w:type="dxa"/>
          </w:tcPr>
          <w:p w:rsidR="00986952" w:rsidRPr="00136CA1" w:rsidRDefault="00986952" w:rsidP="00986952">
            <w:pPr>
              <w:pStyle w:val="NoSpacing"/>
              <w:rPr>
                <w:rFonts w:ascii="Arial" w:hAnsi="Arial" w:cs="Arial"/>
                <w:sz w:val="20"/>
                <w:szCs w:val="20"/>
              </w:rPr>
            </w:pPr>
            <w:r w:rsidRPr="00136CA1">
              <w:rPr>
                <w:rFonts w:ascii="Arial" w:hAnsi="Arial" w:cs="Arial"/>
                <w:sz w:val="20"/>
                <w:szCs w:val="20"/>
              </w:rPr>
              <w:t>Morphine sulfate/naltrexone (Embeda</w:t>
            </w:r>
            <w:r w:rsidRPr="00136CA1">
              <w:rPr>
                <w:rFonts w:ascii="Arial" w:hAnsi="Arial" w:cs="Arial"/>
                <w:sz w:val="20"/>
                <w:szCs w:val="20"/>
                <w:vertAlign w:val="superscript"/>
              </w:rPr>
              <w:t>®</w:t>
            </w:r>
            <w:r w:rsidRPr="00136CA1">
              <w:rPr>
                <w:rFonts w:ascii="Arial" w:hAnsi="Arial" w:cs="Arial"/>
                <w:sz w:val="20"/>
                <w:szCs w:val="20"/>
              </w:rPr>
              <w:t>)</w:t>
            </w:r>
          </w:p>
        </w:tc>
        <w:tc>
          <w:tcPr>
            <w:tcW w:w="2970" w:type="dxa"/>
          </w:tcPr>
          <w:p w:rsidR="00986952" w:rsidRPr="00136CA1" w:rsidRDefault="00986952" w:rsidP="00986952">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790" w:type="dxa"/>
          </w:tcPr>
          <w:p w:rsidR="00986952" w:rsidRPr="00136CA1" w:rsidRDefault="00986952" w:rsidP="00986952">
            <w:pPr>
              <w:spacing w:after="0" w:line="240" w:lineRule="auto"/>
              <w:jc w:val="center"/>
            </w:pPr>
            <w:r w:rsidRPr="00136CA1">
              <w:rPr>
                <w:rStyle w:val="st1"/>
                <w:rFonts w:ascii="MS Gothic" w:eastAsia="MS Gothic" w:hAnsi="MS Gothic" w:cs="MS Gothic" w:hint="eastAsia"/>
                <w:lang w:val="en"/>
              </w:rPr>
              <w:t>✓</w:t>
            </w:r>
          </w:p>
        </w:tc>
      </w:tr>
      <w:tr w:rsidR="00986952" w:rsidRPr="00B5437C" w:rsidTr="0003168B">
        <w:tc>
          <w:tcPr>
            <w:tcW w:w="3600" w:type="dxa"/>
          </w:tcPr>
          <w:p w:rsidR="00986952" w:rsidRPr="00BE62A6" w:rsidRDefault="00986952" w:rsidP="00986952">
            <w:pPr>
              <w:pStyle w:val="NoSpacing"/>
              <w:rPr>
                <w:rFonts w:ascii="Arial" w:hAnsi="Arial" w:cs="Arial"/>
                <w:sz w:val="20"/>
                <w:szCs w:val="20"/>
              </w:rPr>
            </w:pPr>
            <w:r w:rsidRPr="00BE62A6">
              <w:rPr>
                <w:rFonts w:ascii="Arial" w:hAnsi="Arial" w:cs="Arial"/>
                <w:sz w:val="20"/>
                <w:szCs w:val="20"/>
              </w:rPr>
              <w:t>Oxycodone (OxyContin</w:t>
            </w:r>
            <w:r w:rsidRPr="00BE62A6">
              <w:rPr>
                <w:rFonts w:ascii="Arial" w:hAnsi="Arial" w:cs="Arial"/>
                <w:sz w:val="20"/>
                <w:szCs w:val="20"/>
                <w:vertAlign w:val="superscript"/>
              </w:rPr>
              <w:t>®</w:t>
            </w:r>
            <w:r w:rsidRPr="00BE62A6">
              <w:rPr>
                <w:rFonts w:ascii="Arial" w:hAnsi="Arial" w:cs="Arial"/>
                <w:sz w:val="20"/>
                <w:szCs w:val="20"/>
              </w:rPr>
              <w:t>)</w:t>
            </w:r>
          </w:p>
        </w:tc>
        <w:tc>
          <w:tcPr>
            <w:tcW w:w="2970" w:type="dxa"/>
          </w:tcPr>
          <w:p w:rsidR="00986952" w:rsidRPr="00BE62A6" w:rsidRDefault="00986952" w:rsidP="00986952">
            <w:pPr>
              <w:pStyle w:val="NoSpacing"/>
              <w:jc w:val="center"/>
              <w:rPr>
                <w:rFonts w:ascii="Arial" w:hAnsi="Arial" w:cs="Arial"/>
                <w:sz w:val="20"/>
                <w:szCs w:val="20"/>
              </w:rPr>
            </w:pPr>
            <w:r w:rsidRPr="00BE62A6">
              <w:rPr>
                <w:rStyle w:val="st1"/>
                <w:rFonts w:ascii="MS Gothic" w:eastAsia="MS Gothic" w:hAnsi="MS Gothic" w:cs="MS Gothic" w:hint="eastAsia"/>
                <w:lang w:val="en"/>
              </w:rPr>
              <w:t>✓</w:t>
            </w:r>
          </w:p>
        </w:tc>
        <w:tc>
          <w:tcPr>
            <w:tcW w:w="2790" w:type="dxa"/>
          </w:tcPr>
          <w:p w:rsidR="00986952" w:rsidRPr="00064254" w:rsidRDefault="00986952" w:rsidP="00986952">
            <w:pPr>
              <w:spacing w:after="0" w:line="240" w:lineRule="auto"/>
              <w:jc w:val="center"/>
            </w:pPr>
            <w:r w:rsidRPr="00064254">
              <w:rPr>
                <w:rStyle w:val="st1"/>
                <w:rFonts w:ascii="MS Gothic" w:eastAsia="MS Gothic" w:hAnsi="MS Gothic" w:cs="MS Gothic" w:hint="eastAsia"/>
                <w:lang w:val="en"/>
              </w:rPr>
              <w:t>✓</w:t>
            </w:r>
          </w:p>
        </w:tc>
      </w:tr>
      <w:tr w:rsidR="00735FA0" w:rsidRPr="00B5437C" w:rsidTr="0003168B">
        <w:tc>
          <w:tcPr>
            <w:tcW w:w="3600" w:type="dxa"/>
          </w:tcPr>
          <w:p w:rsidR="00735FA0" w:rsidRPr="00BE62A6" w:rsidRDefault="00735FA0" w:rsidP="00735FA0">
            <w:pPr>
              <w:pStyle w:val="NoSpacing"/>
              <w:rPr>
                <w:rFonts w:ascii="Arial" w:hAnsi="Arial" w:cs="Arial"/>
                <w:sz w:val="20"/>
                <w:szCs w:val="20"/>
              </w:rPr>
            </w:pPr>
            <w:r w:rsidRPr="00BE62A6">
              <w:rPr>
                <w:rFonts w:ascii="Arial" w:hAnsi="Arial" w:cs="Arial"/>
                <w:sz w:val="20"/>
                <w:szCs w:val="20"/>
              </w:rPr>
              <w:t>Oxycodone (</w:t>
            </w:r>
            <w:proofErr w:type="spellStart"/>
            <w:r>
              <w:rPr>
                <w:rFonts w:ascii="Arial" w:hAnsi="Arial" w:cs="Arial"/>
                <w:sz w:val="20"/>
                <w:szCs w:val="20"/>
              </w:rPr>
              <w:t>Xtampza</w:t>
            </w:r>
            <w:proofErr w:type="spellEnd"/>
            <w:r>
              <w:rPr>
                <w:rFonts w:ascii="Arial" w:hAnsi="Arial" w:cs="Arial"/>
                <w:sz w:val="20"/>
                <w:szCs w:val="20"/>
              </w:rPr>
              <w:t xml:space="preserve"> ER</w:t>
            </w:r>
            <w:r w:rsidRPr="00BE62A6">
              <w:rPr>
                <w:rFonts w:ascii="Arial" w:hAnsi="Arial" w:cs="Arial"/>
                <w:sz w:val="20"/>
                <w:szCs w:val="20"/>
                <w:vertAlign w:val="superscript"/>
              </w:rPr>
              <w:t>®</w:t>
            </w:r>
            <w:r w:rsidRPr="00BE62A6">
              <w:rPr>
                <w:rFonts w:ascii="Arial" w:hAnsi="Arial" w:cs="Arial"/>
                <w:sz w:val="20"/>
                <w:szCs w:val="20"/>
              </w:rPr>
              <w:t>)</w:t>
            </w:r>
          </w:p>
        </w:tc>
        <w:tc>
          <w:tcPr>
            <w:tcW w:w="2970" w:type="dxa"/>
          </w:tcPr>
          <w:p w:rsidR="00735FA0" w:rsidRPr="00BE62A6" w:rsidRDefault="00735FA0" w:rsidP="00986952">
            <w:pPr>
              <w:pStyle w:val="NoSpacing"/>
              <w:jc w:val="center"/>
              <w:rPr>
                <w:rStyle w:val="st1"/>
                <w:rFonts w:ascii="MS Gothic" w:eastAsia="MS Gothic" w:hAnsi="MS Gothic" w:cs="MS Gothic"/>
                <w:lang w:val="en"/>
              </w:rPr>
            </w:pPr>
            <w:r w:rsidRPr="00BE62A6">
              <w:rPr>
                <w:rStyle w:val="st1"/>
                <w:rFonts w:ascii="MS Gothic" w:eastAsia="MS Gothic" w:hAnsi="MS Gothic" w:cs="MS Gothic" w:hint="eastAsia"/>
                <w:lang w:val="en"/>
              </w:rPr>
              <w:t>✓</w:t>
            </w:r>
          </w:p>
        </w:tc>
        <w:tc>
          <w:tcPr>
            <w:tcW w:w="2790" w:type="dxa"/>
          </w:tcPr>
          <w:p w:rsidR="00735FA0" w:rsidRPr="00064254" w:rsidRDefault="00735FA0" w:rsidP="00986952">
            <w:pPr>
              <w:spacing w:after="0" w:line="240" w:lineRule="auto"/>
              <w:jc w:val="center"/>
              <w:rPr>
                <w:rStyle w:val="st1"/>
                <w:rFonts w:ascii="MS Gothic" w:eastAsia="MS Gothic" w:hAnsi="MS Gothic" w:cs="MS Gothic"/>
                <w:lang w:val="en"/>
              </w:rPr>
            </w:pPr>
            <w:r>
              <w:rPr>
                <w:rStyle w:val="st1"/>
                <w:rFonts w:ascii="MS Gothic" w:eastAsia="MS Gothic" w:hAnsi="MS Gothic" w:cs="MS Gothic"/>
                <w:lang w:val="en"/>
              </w:rPr>
              <w:t>-</w:t>
            </w:r>
          </w:p>
        </w:tc>
      </w:tr>
      <w:tr w:rsidR="00986952" w:rsidRPr="00136CA1" w:rsidTr="0003168B">
        <w:tc>
          <w:tcPr>
            <w:tcW w:w="3600" w:type="dxa"/>
          </w:tcPr>
          <w:p w:rsidR="00986952" w:rsidRPr="00136CA1" w:rsidRDefault="00986952" w:rsidP="00986952">
            <w:pPr>
              <w:pStyle w:val="NoSpacing"/>
              <w:rPr>
                <w:rFonts w:ascii="Arial" w:hAnsi="Arial" w:cs="Arial"/>
                <w:sz w:val="20"/>
                <w:szCs w:val="20"/>
              </w:rPr>
            </w:pPr>
            <w:r w:rsidRPr="00136CA1">
              <w:rPr>
                <w:rFonts w:ascii="Arial" w:hAnsi="Arial" w:cs="Arial"/>
                <w:sz w:val="20"/>
                <w:szCs w:val="20"/>
              </w:rPr>
              <w:t>Oxycodone/naloxone (Targiniq</w:t>
            </w:r>
            <w:r w:rsidR="001E2DAC">
              <w:rPr>
                <w:rFonts w:ascii="Arial" w:hAnsi="Arial" w:cs="Arial"/>
                <w:sz w:val="20"/>
                <w:szCs w:val="20"/>
              </w:rPr>
              <w:t xml:space="preserve"> ER</w:t>
            </w:r>
            <w:r w:rsidRPr="00136CA1">
              <w:rPr>
                <w:rFonts w:ascii="Arial" w:hAnsi="Arial" w:cs="Arial"/>
                <w:sz w:val="20"/>
                <w:szCs w:val="20"/>
                <w:vertAlign w:val="superscript"/>
              </w:rPr>
              <w:t>®</w:t>
            </w:r>
            <w:r w:rsidRPr="00136CA1">
              <w:rPr>
                <w:rFonts w:ascii="Arial" w:hAnsi="Arial" w:cs="Arial"/>
                <w:sz w:val="20"/>
                <w:szCs w:val="20"/>
              </w:rPr>
              <w:t>)</w:t>
            </w:r>
          </w:p>
        </w:tc>
        <w:tc>
          <w:tcPr>
            <w:tcW w:w="2970" w:type="dxa"/>
          </w:tcPr>
          <w:p w:rsidR="00986952" w:rsidRPr="00136CA1" w:rsidRDefault="00986952" w:rsidP="00986952">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790" w:type="dxa"/>
          </w:tcPr>
          <w:p w:rsidR="00986952" w:rsidRPr="00136CA1" w:rsidRDefault="00986952" w:rsidP="00986952">
            <w:pPr>
              <w:spacing w:after="0" w:line="240" w:lineRule="auto"/>
              <w:jc w:val="center"/>
              <w:rPr>
                <w:rStyle w:val="st1"/>
                <w:rFonts w:ascii="MS Gothic" w:eastAsia="MS Gothic" w:hAnsi="MS Gothic" w:cs="MS Gothic"/>
                <w:lang w:val="en"/>
              </w:rPr>
            </w:pPr>
            <w:r w:rsidRPr="00136CA1">
              <w:rPr>
                <w:rStyle w:val="st1"/>
                <w:rFonts w:ascii="MS Gothic" w:eastAsia="MS Gothic" w:hAnsi="MS Gothic" w:cs="MS Gothic"/>
                <w:lang w:val="en"/>
              </w:rPr>
              <w:t>-</w:t>
            </w:r>
          </w:p>
        </w:tc>
      </w:tr>
      <w:tr w:rsidR="00986952" w:rsidRPr="00136CA1" w:rsidTr="0003168B">
        <w:tc>
          <w:tcPr>
            <w:tcW w:w="3600" w:type="dxa"/>
          </w:tcPr>
          <w:p w:rsidR="00986952" w:rsidRPr="00136CA1" w:rsidRDefault="00986952" w:rsidP="006461DD">
            <w:pPr>
              <w:pStyle w:val="NoSpacing"/>
              <w:rPr>
                <w:rFonts w:ascii="Arial" w:hAnsi="Arial" w:cs="Arial"/>
                <w:sz w:val="20"/>
                <w:szCs w:val="20"/>
              </w:rPr>
            </w:pPr>
            <w:r w:rsidRPr="00136CA1">
              <w:rPr>
                <w:rFonts w:ascii="Arial" w:hAnsi="Arial" w:cs="Arial"/>
                <w:sz w:val="20"/>
                <w:szCs w:val="20"/>
              </w:rPr>
              <w:t>Oxymorphone (Opana</w:t>
            </w:r>
            <w:r w:rsidR="006461DD" w:rsidRPr="00136CA1">
              <w:rPr>
                <w:rFonts w:ascii="Arial" w:hAnsi="Arial" w:cs="Arial"/>
                <w:sz w:val="20"/>
                <w:szCs w:val="20"/>
                <w:vertAlign w:val="superscript"/>
              </w:rPr>
              <w:t>®</w:t>
            </w:r>
            <w:r w:rsidRPr="00136CA1">
              <w:rPr>
                <w:rFonts w:ascii="Arial" w:hAnsi="Arial" w:cs="Arial"/>
                <w:sz w:val="20"/>
                <w:szCs w:val="20"/>
              </w:rPr>
              <w:t xml:space="preserve"> ER)</w:t>
            </w:r>
          </w:p>
        </w:tc>
        <w:tc>
          <w:tcPr>
            <w:tcW w:w="2970" w:type="dxa"/>
          </w:tcPr>
          <w:p w:rsidR="00986952" w:rsidRPr="00136CA1" w:rsidRDefault="00986952" w:rsidP="00986952">
            <w:pPr>
              <w:pStyle w:val="NoSpacing"/>
              <w:jc w:val="center"/>
              <w:rPr>
                <w:rFonts w:ascii="Arial" w:hAnsi="Arial" w:cs="Arial"/>
                <w:sz w:val="20"/>
                <w:szCs w:val="20"/>
              </w:rPr>
            </w:pPr>
            <w:r w:rsidRPr="00136CA1">
              <w:rPr>
                <w:rFonts w:ascii="Arial" w:hAnsi="Arial" w:cs="Arial"/>
                <w:sz w:val="20"/>
                <w:szCs w:val="20"/>
              </w:rPr>
              <w:t>-</w:t>
            </w:r>
          </w:p>
        </w:tc>
        <w:tc>
          <w:tcPr>
            <w:tcW w:w="2790" w:type="dxa"/>
          </w:tcPr>
          <w:p w:rsidR="00986952" w:rsidRPr="00136CA1" w:rsidRDefault="00986952" w:rsidP="00986952">
            <w:pPr>
              <w:spacing w:after="0" w:line="240" w:lineRule="auto"/>
              <w:jc w:val="center"/>
            </w:pPr>
            <w:r w:rsidRPr="00136CA1">
              <w:rPr>
                <w:rStyle w:val="st1"/>
                <w:rFonts w:ascii="MS Gothic" w:eastAsia="MS Gothic" w:hAnsi="MS Gothic" w:cs="MS Gothic" w:hint="eastAsia"/>
                <w:lang w:val="en"/>
              </w:rPr>
              <w:t>✓</w:t>
            </w:r>
          </w:p>
        </w:tc>
      </w:tr>
      <w:tr w:rsidR="00986952" w:rsidRPr="00136CA1" w:rsidTr="0003168B">
        <w:tc>
          <w:tcPr>
            <w:tcW w:w="3600" w:type="dxa"/>
          </w:tcPr>
          <w:p w:rsidR="00986952" w:rsidRPr="00136CA1" w:rsidRDefault="00986952" w:rsidP="00986952">
            <w:pPr>
              <w:pStyle w:val="NoSpacing"/>
              <w:rPr>
                <w:rFonts w:ascii="Arial" w:hAnsi="Arial" w:cs="Arial"/>
                <w:sz w:val="20"/>
                <w:szCs w:val="20"/>
              </w:rPr>
            </w:pPr>
            <w:r w:rsidRPr="00136CA1">
              <w:rPr>
                <w:rFonts w:ascii="Arial" w:hAnsi="Arial" w:cs="Arial"/>
                <w:sz w:val="20"/>
                <w:szCs w:val="20"/>
              </w:rPr>
              <w:t>Tapentadol (Nucynta ER</w:t>
            </w:r>
            <w:r w:rsidRPr="00136CA1">
              <w:rPr>
                <w:rFonts w:ascii="Arial" w:hAnsi="Arial" w:cs="Arial"/>
                <w:sz w:val="20"/>
                <w:szCs w:val="20"/>
                <w:vertAlign w:val="superscript"/>
              </w:rPr>
              <w:t>®</w:t>
            </w:r>
            <w:r w:rsidRPr="00136CA1">
              <w:rPr>
                <w:rFonts w:ascii="Arial" w:hAnsi="Arial" w:cs="Arial"/>
                <w:sz w:val="20"/>
                <w:szCs w:val="20"/>
              </w:rPr>
              <w:t>)</w:t>
            </w:r>
          </w:p>
        </w:tc>
        <w:tc>
          <w:tcPr>
            <w:tcW w:w="2970" w:type="dxa"/>
          </w:tcPr>
          <w:p w:rsidR="00986952" w:rsidRPr="00136CA1" w:rsidRDefault="00986952" w:rsidP="00986952">
            <w:pPr>
              <w:pStyle w:val="NoSpacing"/>
              <w:jc w:val="center"/>
              <w:rPr>
                <w:rFonts w:ascii="Arial" w:hAnsi="Arial" w:cs="Arial"/>
                <w:sz w:val="20"/>
                <w:szCs w:val="20"/>
              </w:rPr>
            </w:pPr>
            <w:r w:rsidRPr="00136CA1">
              <w:rPr>
                <w:rFonts w:ascii="Arial" w:hAnsi="Arial" w:cs="Arial"/>
                <w:sz w:val="20"/>
                <w:szCs w:val="20"/>
              </w:rPr>
              <w:t>-</w:t>
            </w:r>
          </w:p>
        </w:tc>
        <w:tc>
          <w:tcPr>
            <w:tcW w:w="2790" w:type="dxa"/>
          </w:tcPr>
          <w:p w:rsidR="00986952" w:rsidRPr="00136CA1" w:rsidRDefault="00986952" w:rsidP="00986952">
            <w:pPr>
              <w:spacing w:after="0" w:line="240" w:lineRule="auto"/>
              <w:jc w:val="center"/>
            </w:pPr>
            <w:r w:rsidRPr="00136CA1">
              <w:rPr>
                <w:rStyle w:val="st1"/>
                <w:rFonts w:ascii="MS Gothic" w:eastAsia="MS Gothic" w:hAnsi="MS Gothic" w:cs="MS Gothic" w:hint="eastAsia"/>
                <w:lang w:val="en"/>
              </w:rPr>
              <w:t>✓</w:t>
            </w:r>
          </w:p>
        </w:tc>
      </w:tr>
    </w:tbl>
    <w:p w:rsidR="00735FA0" w:rsidRPr="00573A3A" w:rsidRDefault="00735FA0" w:rsidP="00735FA0">
      <w:pPr>
        <w:spacing w:after="0" w:line="240"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Xtampza</w:t>
      </w:r>
      <w:proofErr w:type="spellEnd"/>
      <w:r>
        <w:rPr>
          <w:rFonts w:ascii="Arial" w:hAnsi="Arial" w:cs="Arial"/>
          <w:sz w:val="16"/>
          <w:szCs w:val="16"/>
        </w:rPr>
        <w:t xml:space="preserve"> ER</w:t>
      </w:r>
      <w:r w:rsidR="003A1B44">
        <w:rPr>
          <w:rFonts w:cs="Arial"/>
          <w:sz w:val="16"/>
          <w:szCs w:val="16"/>
        </w:rPr>
        <w:t>®</w:t>
      </w:r>
      <w:r>
        <w:rPr>
          <w:rFonts w:ascii="Arial" w:hAnsi="Arial" w:cs="Arial"/>
          <w:sz w:val="16"/>
          <w:szCs w:val="16"/>
        </w:rPr>
        <w:t xml:space="preserve"> approval is tentative, pending patent litigation</w:t>
      </w:r>
    </w:p>
    <w:p w:rsidR="003A1B44" w:rsidRDefault="003A1B44" w:rsidP="0003168B">
      <w:pPr>
        <w:spacing w:after="0"/>
        <w:rPr>
          <w:rFonts w:ascii="Arial" w:hAnsi="Arial" w:cs="Arial"/>
          <w:b/>
          <w:iCs/>
          <w:sz w:val="20"/>
          <w:szCs w:val="20"/>
          <w:u w:val="single"/>
        </w:rPr>
      </w:pPr>
    </w:p>
    <w:p w:rsidR="00B668A6" w:rsidRDefault="00B668A6" w:rsidP="00B668A6">
      <w:pPr>
        <w:pStyle w:val="NoSpacing"/>
        <w:rPr>
          <w:rFonts w:ascii="Arial" w:hAnsi="Arial" w:cs="Arial"/>
          <w:b/>
          <w:sz w:val="20"/>
          <w:szCs w:val="20"/>
          <w:u w:val="single"/>
        </w:rPr>
      </w:pPr>
      <w:r>
        <w:rPr>
          <w:rFonts w:ascii="Arial" w:hAnsi="Arial" w:cs="Arial"/>
          <w:b/>
          <w:sz w:val="20"/>
          <w:szCs w:val="20"/>
          <w:u w:val="single"/>
        </w:rPr>
        <w:t>Therapeutic Indications/Efficacy</w:t>
      </w:r>
    </w:p>
    <w:p w:rsidR="008B0860" w:rsidRPr="00D83513" w:rsidRDefault="00A647F0" w:rsidP="00D83513">
      <w:pPr>
        <w:spacing w:line="240" w:lineRule="auto"/>
        <w:rPr>
          <w:rFonts w:ascii="Arial" w:hAnsi="Arial" w:cs="Arial"/>
          <w:b/>
          <w:iCs/>
          <w:sz w:val="20"/>
          <w:szCs w:val="20"/>
          <w:u w:val="single"/>
        </w:rPr>
      </w:pPr>
      <w:r>
        <w:rPr>
          <w:rFonts w:ascii="Arial" w:hAnsi="Arial" w:cs="Arial"/>
          <w:sz w:val="20"/>
          <w:szCs w:val="20"/>
        </w:rPr>
        <w:t>Opana</w:t>
      </w:r>
      <w:r w:rsidR="008B0860" w:rsidRPr="00B031E9">
        <w:rPr>
          <w:rFonts w:ascii="Arial" w:hAnsi="Arial" w:cs="Arial"/>
          <w:sz w:val="20"/>
          <w:szCs w:val="20"/>
          <w:vertAlign w:val="superscript"/>
        </w:rPr>
        <w:t>®</w:t>
      </w:r>
      <w:r w:rsidR="00733EED">
        <w:rPr>
          <w:rFonts w:ascii="Arial" w:hAnsi="Arial" w:cs="Arial"/>
          <w:sz w:val="20"/>
          <w:szCs w:val="20"/>
        </w:rPr>
        <w:t xml:space="preserve"> </w:t>
      </w:r>
      <w:r>
        <w:rPr>
          <w:rFonts w:ascii="Arial" w:hAnsi="Arial" w:cs="Arial"/>
          <w:sz w:val="20"/>
          <w:szCs w:val="20"/>
        </w:rPr>
        <w:t xml:space="preserve">ER </w:t>
      </w:r>
      <w:r w:rsidR="00733EED">
        <w:rPr>
          <w:rFonts w:ascii="Arial" w:hAnsi="Arial" w:cs="Arial"/>
          <w:sz w:val="20"/>
          <w:szCs w:val="20"/>
        </w:rPr>
        <w:t>(o</w:t>
      </w:r>
      <w:r>
        <w:rPr>
          <w:rFonts w:ascii="Arial" w:hAnsi="Arial" w:cs="Arial"/>
          <w:sz w:val="20"/>
          <w:szCs w:val="20"/>
        </w:rPr>
        <w:t>xymorphone</w:t>
      </w:r>
      <w:r w:rsidR="00733EED">
        <w:rPr>
          <w:rFonts w:ascii="Arial" w:hAnsi="Arial" w:cs="Arial"/>
          <w:sz w:val="20"/>
          <w:szCs w:val="20"/>
        </w:rPr>
        <w:t xml:space="preserve"> </w:t>
      </w:r>
      <w:r w:rsidR="001E00E6">
        <w:rPr>
          <w:rFonts w:ascii="Arial" w:hAnsi="Arial" w:cs="Arial"/>
          <w:sz w:val="20"/>
          <w:szCs w:val="20"/>
        </w:rPr>
        <w:t>ER</w:t>
      </w:r>
      <w:r w:rsidR="008B0860" w:rsidRPr="0062206A">
        <w:rPr>
          <w:rFonts w:ascii="Arial" w:hAnsi="Arial" w:cs="Arial"/>
          <w:sz w:val="20"/>
          <w:szCs w:val="20"/>
        </w:rPr>
        <w:t>) is indicated for the management of pain severe enough to require daily, around-the-clock, long-term opioid treatment and for which alternative treatment options are inadequate in adults</w:t>
      </w:r>
      <w:r w:rsidR="00276A1F">
        <w:rPr>
          <w:rFonts w:ascii="Arial" w:hAnsi="Arial" w:cs="Arial"/>
          <w:sz w:val="20"/>
          <w:szCs w:val="20"/>
        </w:rPr>
        <w:t xml:space="preserve">. </w:t>
      </w:r>
      <w:r>
        <w:rPr>
          <w:rFonts w:ascii="Arial" w:hAnsi="Arial" w:cs="Arial"/>
          <w:sz w:val="20"/>
          <w:szCs w:val="20"/>
        </w:rPr>
        <w:t>This ER formulation is not indicated as an as-needed analgesic.</w:t>
      </w:r>
      <w:r w:rsidR="00816987">
        <w:rPr>
          <w:rFonts w:ascii="Arial" w:hAnsi="Arial" w:cs="Arial"/>
          <w:sz w:val="20"/>
          <w:szCs w:val="20"/>
          <w:vertAlign w:val="superscript"/>
        </w:rPr>
        <w:t>1</w:t>
      </w:r>
      <w:proofErr w:type="gramStart"/>
      <w:r w:rsidR="00816987">
        <w:rPr>
          <w:rFonts w:ascii="Arial" w:hAnsi="Arial" w:cs="Arial"/>
          <w:sz w:val="20"/>
          <w:szCs w:val="20"/>
          <w:vertAlign w:val="superscript"/>
        </w:rPr>
        <w:t>,2</w:t>
      </w:r>
      <w:proofErr w:type="gramEnd"/>
      <w:r>
        <w:rPr>
          <w:rFonts w:ascii="Arial" w:hAnsi="Arial" w:cs="Arial"/>
          <w:sz w:val="20"/>
          <w:szCs w:val="20"/>
        </w:rPr>
        <w:t xml:space="preserve"> </w:t>
      </w:r>
      <w:r w:rsidR="00276A1F" w:rsidRPr="0062206A">
        <w:rPr>
          <w:rFonts w:ascii="Arial" w:hAnsi="Arial" w:cs="Arial"/>
          <w:sz w:val="20"/>
          <w:szCs w:val="20"/>
        </w:rPr>
        <w:t xml:space="preserve"> </w:t>
      </w:r>
    </w:p>
    <w:p w:rsidR="009A6AD5" w:rsidRPr="009A6AD5" w:rsidRDefault="00B031E9" w:rsidP="009A6AD5">
      <w:pPr>
        <w:pStyle w:val="Default"/>
        <w:rPr>
          <w:sz w:val="20"/>
          <w:szCs w:val="20"/>
        </w:rPr>
      </w:pPr>
      <w:r>
        <w:rPr>
          <w:sz w:val="20"/>
          <w:szCs w:val="20"/>
        </w:rPr>
        <w:t>The available</w:t>
      </w:r>
      <w:r w:rsidR="00937DD0">
        <w:rPr>
          <w:sz w:val="20"/>
          <w:szCs w:val="20"/>
        </w:rPr>
        <w:t xml:space="preserve"> safety and efficacy studies </w:t>
      </w:r>
      <w:r>
        <w:rPr>
          <w:sz w:val="20"/>
          <w:szCs w:val="20"/>
        </w:rPr>
        <w:t>for Opana</w:t>
      </w:r>
      <w:r w:rsidRPr="00B031E9">
        <w:rPr>
          <w:sz w:val="20"/>
          <w:szCs w:val="20"/>
          <w:vertAlign w:val="superscript"/>
        </w:rPr>
        <w:t xml:space="preserve">® </w:t>
      </w:r>
      <w:r>
        <w:rPr>
          <w:sz w:val="20"/>
          <w:szCs w:val="20"/>
        </w:rPr>
        <w:t>ER (oxymorphone ER</w:t>
      </w:r>
      <w:r w:rsidRPr="0062206A">
        <w:rPr>
          <w:sz w:val="20"/>
          <w:szCs w:val="20"/>
        </w:rPr>
        <w:t>)</w:t>
      </w:r>
      <w:r w:rsidR="009A6AD5">
        <w:rPr>
          <w:sz w:val="20"/>
          <w:szCs w:val="20"/>
        </w:rPr>
        <w:t xml:space="preserve"> are outlined in Table </w:t>
      </w:r>
      <w:r w:rsidR="0019088E">
        <w:rPr>
          <w:sz w:val="20"/>
          <w:szCs w:val="20"/>
        </w:rPr>
        <w:t>2.</w:t>
      </w:r>
    </w:p>
    <w:p w:rsidR="009A6AD5" w:rsidRPr="009A6AD5" w:rsidRDefault="009A6AD5" w:rsidP="009A6AD5">
      <w:pPr>
        <w:spacing w:after="0" w:line="240" w:lineRule="auto"/>
        <w:rPr>
          <w:rFonts w:ascii="Arial" w:eastAsia="Times New Roman" w:hAnsi="Arial" w:cs="Arial"/>
          <w:sz w:val="20"/>
          <w:szCs w:val="20"/>
        </w:rPr>
      </w:pPr>
      <w:r w:rsidRPr="009A6AD5">
        <w:rPr>
          <w:rFonts w:ascii="Arial" w:eastAsia="Times New Roman" w:hAnsi="Arial" w:cs="Arial"/>
          <w:sz w:val="20"/>
          <w:szCs w:val="20"/>
          <w:lang w:val="en"/>
        </w:rPr>
        <w:t>In clinical studies, oxymorphone has demonstrated superior an</w:t>
      </w:r>
      <w:r>
        <w:rPr>
          <w:rFonts w:ascii="Arial" w:eastAsia="Times New Roman" w:hAnsi="Arial" w:cs="Arial"/>
          <w:sz w:val="20"/>
          <w:szCs w:val="20"/>
          <w:lang w:val="en"/>
        </w:rPr>
        <w:t>algesic efficacy versus placebo</w:t>
      </w:r>
      <w:r w:rsidRPr="009A6AD5">
        <w:rPr>
          <w:rFonts w:ascii="Arial" w:eastAsia="Times New Roman" w:hAnsi="Arial" w:cs="Arial"/>
          <w:sz w:val="20"/>
          <w:szCs w:val="20"/>
          <w:lang w:val="en"/>
        </w:rPr>
        <w:t xml:space="preserve"> and comparable analgesic efficacy </w:t>
      </w:r>
      <w:r w:rsidR="00795D0B" w:rsidRPr="009A6AD5">
        <w:rPr>
          <w:rFonts w:ascii="Arial" w:eastAsia="Times New Roman" w:hAnsi="Arial" w:cs="Arial"/>
          <w:sz w:val="20"/>
          <w:szCs w:val="20"/>
          <w:lang w:val="en"/>
        </w:rPr>
        <w:t>v</w:t>
      </w:r>
      <w:r w:rsidR="00795D0B">
        <w:rPr>
          <w:rFonts w:ascii="Arial" w:eastAsia="Times New Roman" w:hAnsi="Arial" w:cs="Arial"/>
          <w:sz w:val="20"/>
          <w:szCs w:val="20"/>
          <w:lang w:val="en"/>
        </w:rPr>
        <w:t>ersus</w:t>
      </w:r>
      <w:r w:rsidRPr="009A6AD5">
        <w:rPr>
          <w:rFonts w:ascii="Arial" w:eastAsia="Times New Roman" w:hAnsi="Arial" w:cs="Arial"/>
          <w:sz w:val="20"/>
          <w:szCs w:val="20"/>
          <w:lang w:val="en"/>
        </w:rPr>
        <w:t xml:space="preserve"> oxycodone</w:t>
      </w:r>
      <w:r w:rsidR="00937DD0">
        <w:rPr>
          <w:rFonts w:ascii="Arial" w:eastAsia="Times New Roman" w:hAnsi="Arial" w:cs="Arial"/>
          <w:sz w:val="20"/>
          <w:szCs w:val="20"/>
          <w:lang w:val="en"/>
        </w:rPr>
        <w:t xml:space="preserve"> </w:t>
      </w:r>
      <w:r w:rsidR="00795D0B">
        <w:rPr>
          <w:rFonts w:ascii="Arial" w:eastAsia="Times New Roman" w:hAnsi="Arial" w:cs="Arial"/>
          <w:sz w:val="20"/>
          <w:szCs w:val="20"/>
          <w:lang w:val="en"/>
        </w:rPr>
        <w:t>controlled-release (</w:t>
      </w:r>
      <w:r w:rsidR="00937DD0">
        <w:rPr>
          <w:rFonts w:ascii="Arial" w:eastAsia="Times New Roman" w:hAnsi="Arial" w:cs="Arial"/>
          <w:sz w:val="20"/>
          <w:szCs w:val="20"/>
          <w:lang w:val="en"/>
        </w:rPr>
        <w:t>CR</w:t>
      </w:r>
      <w:r w:rsidR="00795D0B">
        <w:rPr>
          <w:rFonts w:ascii="Arial" w:eastAsia="Times New Roman" w:hAnsi="Arial" w:cs="Arial"/>
          <w:sz w:val="20"/>
          <w:szCs w:val="20"/>
          <w:lang w:val="en"/>
        </w:rPr>
        <w:t>)</w:t>
      </w:r>
      <w:r w:rsidR="0019088E">
        <w:rPr>
          <w:rFonts w:ascii="Arial" w:eastAsia="Times New Roman" w:hAnsi="Arial" w:cs="Arial"/>
          <w:sz w:val="20"/>
          <w:szCs w:val="20"/>
          <w:lang w:val="en"/>
        </w:rPr>
        <w:t xml:space="preserve"> and morphine CR</w:t>
      </w:r>
      <w:r w:rsidRPr="009A6AD5">
        <w:rPr>
          <w:rFonts w:ascii="Arial" w:eastAsia="Times New Roman" w:hAnsi="Arial" w:cs="Arial"/>
          <w:sz w:val="20"/>
          <w:szCs w:val="20"/>
          <w:lang w:val="en"/>
        </w:rPr>
        <w:t xml:space="preserve">. </w:t>
      </w:r>
      <w:r w:rsidR="00937DD0">
        <w:rPr>
          <w:rFonts w:ascii="Arial" w:eastAsia="Times New Roman" w:hAnsi="Arial" w:cs="Arial"/>
          <w:sz w:val="20"/>
          <w:szCs w:val="20"/>
          <w:lang w:val="en"/>
        </w:rPr>
        <w:t xml:space="preserve">The first three trials </w:t>
      </w:r>
      <w:r w:rsidR="00BF2266">
        <w:rPr>
          <w:rFonts w:ascii="Arial" w:eastAsia="Times New Roman" w:hAnsi="Arial" w:cs="Arial"/>
          <w:sz w:val="20"/>
          <w:szCs w:val="20"/>
          <w:lang w:val="en"/>
        </w:rPr>
        <w:t xml:space="preserve">outlined </w:t>
      </w:r>
      <w:r w:rsidR="00937DD0">
        <w:rPr>
          <w:rFonts w:ascii="Arial" w:eastAsia="Times New Roman" w:hAnsi="Arial" w:cs="Arial"/>
          <w:sz w:val="20"/>
          <w:szCs w:val="20"/>
          <w:lang w:val="en"/>
        </w:rPr>
        <w:t>for the management of low back pain</w:t>
      </w:r>
      <w:r w:rsidR="00BF2266">
        <w:rPr>
          <w:rFonts w:ascii="Arial" w:eastAsia="Times New Roman" w:hAnsi="Arial" w:cs="Arial"/>
          <w:sz w:val="20"/>
          <w:szCs w:val="20"/>
          <w:lang w:val="en"/>
        </w:rPr>
        <w:t xml:space="preserve"> were all </w:t>
      </w:r>
      <w:r w:rsidR="001911C2">
        <w:rPr>
          <w:rFonts w:ascii="Arial" w:eastAsia="Times New Roman" w:hAnsi="Arial" w:cs="Arial"/>
          <w:sz w:val="20"/>
          <w:szCs w:val="20"/>
          <w:lang w:val="en"/>
        </w:rPr>
        <w:t>DB</w:t>
      </w:r>
      <w:r w:rsidR="00BF2266">
        <w:rPr>
          <w:rFonts w:ascii="Arial" w:eastAsia="Times New Roman" w:hAnsi="Arial" w:cs="Arial"/>
          <w:sz w:val="20"/>
          <w:szCs w:val="20"/>
          <w:lang w:val="en"/>
        </w:rPr>
        <w:t>, placebo-controlled, randomized controlled trials</w:t>
      </w:r>
      <w:r w:rsidR="00937DD0">
        <w:rPr>
          <w:rFonts w:ascii="Arial" w:eastAsia="Times New Roman" w:hAnsi="Arial" w:cs="Arial"/>
          <w:sz w:val="20"/>
          <w:szCs w:val="20"/>
          <w:lang w:val="en"/>
        </w:rPr>
        <w:t>.</w:t>
      </w:r>
      <w:r w:rsidR="00D1633E">
        <w:rPr>
          <w:rFonts w:ascii="Arial" w:eastAsia="Times New Roman" w:hAnsi="Arial" w:cs="Arial"/>
          <w:sz w:val="20"/>
          <w:szCs w:val="20"/>
          <w:vertAlign w:val="superscript"/>
          <w:lang w:val="en"/>
        </w:rPr>
        <w:t>3</w:t>
      </w:r>
      <w:proofErr w:type="gramStart"/>
      <w:r w:rsidR="00D1633E">
        <w:rPr>
          <w:rFonts w:ascii="Arial" w:eastAsia="Times New Roman" w:hAnsi="Arial" w:cs="Arial"/>
          <w:sz w:val="20"/>
          <w:szCs w:val="20"/>
          <w:vertAlign w:val="superscript"/>
          <w:lang w:val="en"/>
        </w:rPr>
        <w:t>,4,15</w:t>
      </w:r>
      <w:proofErr w:type="gramEnd"/>
      <w:r w:rsidR="00937DD0">
        <w:rPr>
          <w:rFonts w:ascii="Arial" w:eastAsia="Times New Roman" w:hAnsi="Arial" w:cs="Arial"/>
          <w:sz w:val="20"/>
          <w:szCs w:val="20"/>
          <w:lang w:val="en"/>
        </w:rPr>
        <w:t xml:space="preserve"> </w:t>
      </w:r>
    </w:p>
    <w:p w:rsidR="009A6AD5" w:rsidRDefault="009A6AD5" w:rsidP="009A6AD5">
      <w:pPr>
        <w:spacing w:after="0" w:line="240" w:lineRule="auto"/>
        <w:rPr>
          <w:rFonts w:ascii="Arial" w:eastAsia="Times New Roman" w:hAnsi="Arial" w:cs="Arial"/>
          <w:sz w:val="20"/>
          <w:szCs w:val="20"/>
          <w:lang w:val="en"/>
        </w:rPr>
      </w:pPr>
    </w:p>
    <w:p w:rsidR="00D83338" w:rsidRPr="00816987" w:rsidRDefault="00BF2266" w:rsidP="00D83338">
      <w:pPr>
        <w:spacing w:after="0" w:line="240" w:lineRule="auto"/>
        <w:rPr>
          <w:rFonts w:ascii="Arial" w:hAnsi="Arial" w:cs="Arial"/>
          <w:sz w:val="20"/>
          <w:szCs w:val="20"/>
          <w:vertAlign w:val="superscript"/>
        </w:rPr>
      </w:pPr>
      <w:r>
        <w:rPr>
          <w:rFonts w:ascii="Arial" w:eastAsia="Times New Roman" w:hAnsi="Arial" w:cs="Arial"/>
          <w:sz w:val="20"/>
          <w:szCs w:val="20"/>
          <w:lang w:val="en"/>
        </w:rPr>
        <w:lastRenderedPageBreak/>
        <w:t>The first</w:t>
      </w:r>
      <w:r w:rsidR="00937DD0">
        <w:rPr>
          <w:rFonts w:ascii="Arial" w:eastAsia="Times New Roman" w:hAnsi="Arial" w:cs="Arial"/>
          <w:sz w:val="20"/>
          <w:szCs w:val="20"/>
          <w:lang w:val="en"/>
        </w:rPr>
        <w:t xml:space="preserve"> </w:t>
      </w:r>
      <w:r>
        <w:rPr>
          <w:rFonts w:ascii="Arial" w:eastAsia="Times New Roman" w:hAnsi="Arial" w:cs="Arial"/>
          <w:sz w:val="20"/>
          <w:szCs w:val="20"/>
          <w:lang w:val="en"/>
        </w:rPr>
        <w:t xml:space="preserve">included a four week open-label phase in which individuals were titrated with </w:t>
      </w:r>
      <w:r w:rsidR="008D07AD" w:rsidRPr="008D07AD">
        <w:rPr>
          <w:rFonts w:ascii="Arial" w:hAnsi="Arial" w:cs="Arial"/>
          <w:sz w:val="20"/>
          <w:szCs w:val="20"/>
        </w:rPr>
        <w:t>Opana</w:t>
      </w:r>
      <w:r w:rsidR="008D07AD" w:rsidRPr="008D07AD">
        <w:rPr>
          <w:rFonts w:ascii="Arial" w:hAnsi="Arial" w:cs="Arial"/>
          <w:sz w:val="20"/>
          <w:szCs w:val="20"/>
          <w:vertAlign w:val="superscript"/>
        </w:rPr>
        <w:t xml:space="preserve">® </w:t>
      </w:r>
      <w:r w:rsidR="008D07AD" w:rsidRPr="008D07AD">
        <w:rPr>
          <w:rFonts w:ascii="Arial" w:hAnsi="Arial" w:cs="Arial"/>
          <w:sz w:val="20"/>
          <w:szCs w:val="20"/>
        </w:rPr>
        <w:t>ER</w:t>
      </w:r>
      <w:r w:rsidR="008D07AD">
        <w:rPr>
          <w:sz w:val="20"/>
          <w:szCs w:val="20"/>
        </w:rPr>
        <w:t xml:space="preserve"> </w:t>
      </w:r>
      <w:r w:rsidR="008D07AD">
        <w:rPr>
          <w:rFonts w:ascii="Arial" w:eastAsia="Times New Roman" w:hAnsi="Arial" w:cs="Arial"/>
          <w:sz w:val="20"/>
          <w:szCs w:val="20"/>
          <w:lang w:val="en"/>
        </w:rPr>
        <w:t>(</w:t>
      </w:r>
      <w:r>
        <w:rPr>
          <w:rFonts w:ascii="Arial" w:eastAsia="Times New Roman" w:hAnsi="Arial" w:cs="Arial"/>
          <w:sz w:val="20"/>
          <w:szCs w:val="20"/>
          <w:lang w:val="en"/>
        </w:rPr>
        <w:t>oxymorphone ER</w:t>
      </w:r>
      <w:r w:rsidR="008D07AD">
        <w:rPr>
          <w:rFonts w:ascii="Arial" w:eastAsia="Times New Roman" w:hAnsi="Arial" w:cs="Arial"/>
          <w:sz w:val="20"/>
          <w:szCs w:val="20"/>
          <w:lang w:val="en"/>
        </w:rPr>
        <w:t>)</w:t>
      </w:r>
      <w:r>
        <w:rPr>
          <w:rFonts w:ascii="Arial" w:eastAsia="Times New Roman" w:hAnsi="Arial" w:cs="Arial"/>
          <w:sz w:val="20"/>
          <w:szCs w:val="20"/>
          <w:lang w:val="en"/>
        </w:rPr>
        <w:t xml:space="preserve"> in 5 to 10 mg increments every 12 hours, every three to seven days until they achieved a well-tolerated, stable dose.  From this population, 205 individuals were t</w:t>
      </w:r>
      <w:r w:rsidR="0019088E">
        <w:rPr>
          <w:rFonts w:ascii="Arial" w:eastAsia="Times New Roman" w:hAnsi="Arial" w:cs="Arial"/>
          <w:sz w:val="20"/>
          <w:szCs w:val="20"/>
          <w:lang w:val="en"/>
        </w:rPr>
        <w:t>hen randomized in a DB</w:t>
      </w:r>
      <w:r w:rsidR="008D07AD">
        <w:rPr>
          <w:rFonts w:ascii="Arial" w:eastAsia="Times New Roman" w:hAnsi="Arial" w:cs="Arial"/>
          <w:sz w:val="20"/>
          <w:szCs w:val="20"/>
          <w:lang w:val="en"/>
        </w:rPr>
        <w:t>,</w:t>
      </w:r>
      <w:r>
        <w:rPr>
          <w:rFonts w:ascii="Arial" w:eastAsia="Times New Roman" w:hAnsi="Arial" w:cs="Arial"/>
          <w:sz w:val="20"/>
          <w:szCs w:val="20"/>
          <w:lang w:val="en"/>
        </w:rPr>
        <w:t xml:space="preserve"> 12 week-phase of either </w:t>
      </w:r>
      <w:r w:rsidR="008D07AD" w:rsidRPr="008D07AD">
        <w:rPr>
          <w:rFonts w:ascii="Arial" w:hAnsi="Arial" w:cs="Arial"/>
          <w:sz w:val="20"/>
          <w:szCs w:val="20"/>
        </w:rPr>
        <w:t>Opana</w:t>
      </w:r>
      <w:r w:rsidR="008D07AD" w:rsidRPr="008D07AD">
        <w:rPr>
          <w:rFonts w:ascii="Arial" w:hAnsi="Arial" w:cs="Arial"/>
          <w:sz w:val="20"/>
          <w:szCs w:val="20"/>
          <w:vertAlign w:val="superscript"/>
        </w:rPr>
        <w:t xml:space="preserve">® </w:t>
      </w:r>
      <w:r w:rsidR="008D07AD" w:rsidRPr="008D07AD">
        <w:rPr>
          <w:rFonts w:ascii="Arial" w:hAnsi="Arial" w:cs="Arial"/>
          <w:sz w:val="20"/>
          <w:szCs w:val="20"/>
        </w:rPr>
        <w:t>ER</w:t>
      </w:r>
      <w:r w:rsidR="008D07AD">
        <w:rPr>
          <w:sz w:val="20"/>
          <w:szCs w:val="20"/>
        </w:rPr>
        <w:t xml:space="preserve"> (</w:t>
      </w:r>
      <w:r>
        <w:rPr>
          <w:rFonts w:ascii="Arial" w:hAnsi="Arial" w:cs="Arial"/>
          <w:sz w:val="20"/>
          <w:szCs w:val="20"/>
        </w:rPr>
        <w:t>oxymorphone ER</w:t>
      </w:r>
      <w:r w:rsidR="008D07AD">
        <w:rPr>
          <w:rFonts w:ascii="Arial" w:hAnsi="Arial" w:cs="Arial"/>
          <w:sz w:val="20"/>
          <w:szCs w:val="20"/>
        </w:rPr>
        <w:t>)</w:t>
      </w:r>
      <w:r>
        <w:rPr>
          <w:rFonts w:ascii="Arial" w:hAnsi="Arial" w:cs="Arial"/>
          <w:sz w:val="20"/>
          <w:szCs w:val="20"/>
        </w:rPr>
        <w:t xml:space="preserve"> or placebo. </w:t>
      </w:r>
      <w:r w:rsidR="008D07AD">
        <w:rPr>
          <w:rFonts w:ascii="Arial" w:hAnsi="Arial" w:cs="Arial"/>
          <w:sz w:val="20"/>
          <w:szCs w:val="20"/>
        </w:rPr>
        <w:t>The primary endpoint of</w:t>
      </w:r>
      <w:r w:rsidR="00D83338">
        <w:rPr>
          <w:rFonts w:ascii="Arial" w:hAnsi="Arial" w:cs="Arial"/>
          <w:sz w:val="20"/>
          <w:szCs w:val="20"/>
        </w:rPr>
        <w:t xml:space="preserve"> pain intensity from baseline to final study visit was evaluated. </w:t>
      </w:r>
      <w:r w:rsidR="00D83338">
        <w:rPr>
          <w:rFonts w:ascii="Arial" w:eastAsia="Times New Roman" w:hAnsi="Arial" w:cs="Arial"/>
          <w:sz w:val="20"/>
          <w:szCs w:val="20"/>
        </w:rPr>
        <w:t xml:space="preserve">For patients completing titration, average pain intensity for the </w:t>
      </w:r>
      <w:r w:rsidR="00D83338">
        <w:rPr>
          <w:rFonts w:ascii="Arial" w:hAnsi="Arial" w:cs="Arial"/>
          <w:sz w:val="20"/>
          <w:szCs w:val="20"/>
        </w:rPr>
        <w:t>Opana</w:t>
      </w:r>
      <w:r w:rsidR="00D83338">
        <w:rPr>
          <w:rFonts w:ascii="Arial" w:hAnsi="Arial" w:cs="Arial"/>
          <w:sz w:val="20"/>
          <w:szCs w:val="20"/>
          <w:vertAlign w:val="superscript"/>
        </w:rPr>
        <w:t xml:space="preserve">® </w:t>
      </w:r>
      <w:r w:rsidR="00D83338">
        <w:rPr>
          <w:rFonts w:ascii="Arial" w:hAnsi="Arial" w:cs="Arial"/>
          <w:sz w:val="20"/>
          <w:szCs w:val="20"/>
        </w:rPr>
        <w:t xml:space="preserve">ER (oxymorphone ER) group </w:t>
      </w:r>
      <w:r w:rsidR="00D83338">
        <w:rPr>
          <w:rFonts w:ascii="Arial" w:eastAsia="Times New Roman" w:hAnsi="Arial" w:cs="Arial"/>
          <w:sz w:val="20"/>
          <w:szCs w:val="20"/>
        </w:rPr>
        <w:t xml:space="preserve">decreased from 69.4 mm to 22.7 mm (P&lt;0.0001). In addition, pain intensity was found to increase significantly more in the placebo group (least squares [LS] mean change 26.9+/- 2.4 [median 28.0]) than in the </w:t>
      </w:r>
      <w:r w:rsidR="00D83338">
        <w:rPr>
          <w:rFonts w:ascii="Arial" w:hAnsi="Arial" w:cs="Arial"/>
          <w:sz w:val="20"/>
          <w:szCs w:val="20"/>
        </w:rPr>
        <w:t>Opana</w:t>
      </w:r>
      <w:r w:rsidR="00D83338">
        <w:rPr>
          <w:rFonts w:ascii="Arial" w:hAnsi="Arial" w:cs="Arial"/>
          <w:sz w:val="20"/>
          <w:szCs w:val="20"/>
          <w:vertAlign w:val="superscript"/>
        </w:rPr>
        <w:t xml:space="preserve">® </w:t>
      </w:r>
      <w:r w:rsidR="00D83338">
        <w:rPr>
          <w:rFonts w:ascii="Arial" w:hAnsi="Arial" w:cs="Arial"/>
          <w:sz w:val="20"/>
          <w:szCs w:val="20"/>
        </w:rPr>
        <w:t>ER (oxymorphone ER) group (LS mean change 10.0 +/- 2.4 [median 2.0]; P&lt;0.0001).</w:t>
      </w:r>
      <w:r w:rsidR="00816987">
        <w:rPr>
          <w:rFonts w:ascii="Arial" w:hAnsi="Arial" w:cs="Arial"/>
          <w:sz w:val="20"/>
          <w:szCs w:val="20"/>
          <w:vertAlign w:val="superscript"/>
        </w:rPr>
        <w:t>3</w:t>
      </w:r>
    </w:p>
    <w:p w:rsidR="00D83338" w:rsidRDefault="00D83338" w:rsidP="00D83338">
      <w:pPr>
        <w:spacing w:after="0" w:line="240" w:lineRule="auto"/>
        <w:rPr>
          <w:rFonts w:ascii="Arial" w:eastAsia="Times New Roman" w:hAnsi="Arial" w:cs="Arial"/>
          <w:sz w:val="20"/>
          <w:szCs w:val="20"/>
        </w:rPr>
      </w:pPr>
    </w:p>
    <w:p w:rsidR="00D83338" w:rsidRPr="00816987" w:rsidRDefault="00D83338" w:rsidP="00D83338">
      <w:pPr>
        <w:spacing w:after="0" w:line="240" w:lineRule="auto"/>
        <w:rPr>
          <w:rFonts w:ascii="Arial" w:hAnsi="Arial" w:cs="Arial"/>
          <w:sz w:val="20"/>
          <w:szCs w:val="20"/>
          <w:vertAlign w:val="superscript"/>
        </w:rPr>
      </w:pPr>
      <w:r>
        <w:rPr>
          <w:rFonts w:ascii="Arial" w:eastAsia="Times New Roman" w:hAnsi="Arial" w:cs="Arial"/>
          <w:sz w:val="20"/>
          <w:szCs w:val="20"/>
        </w:rPr>
        <w:t>After randomization, s</w:t>
      </w:r>
      <w:r w:rsidRPr="008A2E83">
        <w:rPr>
          <w:rFonts w:ascii="Arial" w:eastAsia="Times New Roman" w:hAnsi="Arial" w:cs="Arial"/>
          <w:sz w:val="20"/>
          <w:szCs w:val="20"/>
        </w:rPr>
        <w:t xml:space="preserve">ixty-eight percent of patients treated with </w:t>
      </w:r>
      <w:r>
        <w:rPr>
          <w:rFonts w:ascii="Arial" w:hAnsi="Arial" w:cs="Arial"/>
          <w:sz w:val="20"/>
          <w:szCs w:val="20"/>
        </w:rPr>
        <w:t>Opana</w:t>
      </w:r>
      <w:r>
        <w:rPr>
          <w:rFonts w:ascii="Arial" w:hAnsi="Arial" w:cs="Arial"/>
          <w:sz w:val="20"/>
          <w:szCs w:val="20"/>
          <w:vertAlign w:val="superscript"/>
        </w:rPr>
        <w:t xml:space="preserve">® </w:t>
      </w:r>
      <w:r>
        <w:rPr>
          <w:rFonts w:ascii="Arial" w:hAnsi="Arial" w:cs="Arial"/>
          <w:sz w:val="20"/>
          <w:szCs w:val="20"/>
        </w:rPr>
        <w:t xml:space="preserve">ER (oxymorphone ER) </w:t>
      </w:r>
      <w:r w:rsidRPr="008A2E83">
        <w:rPr>
          <w:rFonts w:ascii="Arial" w:eastAsia="Times New Roman" w:hAnsi="Arial" w:cs="Arial"/>
          <w:sz w:val="20"/>
          <w:szCs w:val="20"/>
        </w:rPr>
        <w:t>completed the 12-week treatment compared to 47% of patients treated with placebo.</w:t>
      </w:r>
      <w:r>
        <w:rPr>
          <w:rFonts w:ascii="Arial" w:eastAsia="Times New Roman" w:hAnsi="Arial" w:cs="Arial"/>
          <w:sz w:val="20"/>
          <w:szCs w:val="20"/>
        </w:rPr>
        <w:t xml:space="preserve"> Approximately 8% of patients in each group discontinued due to adverse events. Opioid withdrawal was noted to occur in two patients in the placebo group and one in the </w:t>
      </w:r>
      <w:r>
        <w:rPr>
          <w:rFonts w:ascii="Arial" w:hAnsi="Arial" w:cs="Arial"/>
          <w:sz w:val="20"/>
          <w:szCs w:val="20"/>
        </w:rPr>
        <w:t>Opana</w:t>
      </w:r>
      <w:r>
        <w:rPr>
          <w:rFonts w:ascii="Arial" w:hAnsi="Arial" w:cs="Arial"/>
          <w:sz w:val="20"/>
          <w:szCs w:val="20"/>
          <w:vertAlign w:val="superscript"/>
        </w:rPr>
        <w:t xml:space="preserve">® </w:t>
      </w:r>
      <w:r>
        <w:rPr>
          <w:rFonts w:ascii="Arial" w:hAnsi="Arial" w:cs="Arial"/>
          <w:sz w:val="20"/>
          <w:szCs w:val="20"/>
        </w:rPr>
        <w:t>ER (oxymorphone ER) group.</w:t>
      </w:r>
      <w:r w:rsidR="00816987">
        <w:rPr>
          <w:rFonts w:ascii="Arial" w:hAnsi="Arial" w:cs="Arial"/>
          <w:sz w:val="20"/>
          <w:szCs w:val="20"/>
          <w:vertAlign w:val="superscript"/>
        </w:rPr>
        <w:t>3</w:t>
      </w:r>
    </w:p>
    <w:p w:rsidR="009A6AD5" w:rsidRDefault="009A6AD5" w:rsidP="009A6AD5">
      <w:pPr>
        <w:spacing w:after="0" w:line="240" w:lineRule="auto"/>
        <w:rPr>
          <w:rFonts w:ascii="Arial" w:eastAsia="Times New Roman" w:hAnsi="Arial" w:cs="Arial"/>
          <w:sz w:val="20"/>
          <w:szCs w:val="20"/>
          <w:lang w:val="en"/>
        </w:rPr>
      </w:pPr>
    </w:p>
    <w:p w:rsidR="008D07AD" w:rsidRPr="00816987" w:rsidRDefault="008D07AD" w:rsidP="008D07AD">
      <w:pPr>
        <w:spacing w:after="0" w:line="240" w:lineRule="auto"/>
        <w:rPr>
          <w:rFonts w:ascii="Arial" w:hAnsi="Arial" w:cs="Arial"/>
          <w:sz w:val="20"/>
          <w:szCs w:val="20"/>
          <w:vertAlign w:val="superscript"/>
        </w:rPr>
      </w:pPr>
      <w:r>
        <w:rPr>
          <w:rFonts w:ascii="Arial" w:eastAsia="Times New Roman" w:hAnsi="Arial" w:cs="Arial"/>
          <w:sz w:val="20"/>
          <w:szCs w:val="20"/>
          <w:lang w:val="en"/>
        </w:rPr>
        <w:t xml:space="preserve">The second trial also included an open-label phase in which a total of 143 individuals were successfully titrated to a </w:t>
      </w:r>
      <w:r>
        <w:rPr>
          <w:rFonts w:ascii="Arial" w:eastAsia="Times New Roman" w:hAnsi="Arial" w:cs="Arial"/>
          <w:sz w:val="20"/>
          <w:szCs w:val="20"/>
        </w:rPr>
        <w:t xml:space="preserve">stable dose of </w:t>
      </w:r>
      <w:r>
        <w:rPr>
          <w:rFonts w:ascii="Arial" w:hAnsi="Arial" w:cs="Arial"/>
          <w:sz w:val="20"/>
          <w:szCs w:val="20"/>
        </w:rPr>
        <w:t>Opana</w:t>
      </w:r>
      <w:r>
        <w:rPr>
          <w:rFonts w:ascii="Arial" w:hAnsi="Arial" w:cs="Arial"/>
          <w:sz w:val="20"/>
          <w:szCs w:val="20"/>
          <w:vertAlign w:val="superscript"/>
        </w:rPr>
        <w:t xml:space="preserve">® </w:t>
      </w:r>
      <w:r>
        <w:rPr>
          <w:rFonts w:ascii="Arial" w:hAnsi="Arial" w:cs="Arial"/>
          <w:sz w:val="20"/>
          <w:szCs w:val="20"/>
        </w:rPr>
        <w:t xml:space="preserve">ER (oxymorphone ER) and were then entered into a 12-week, </w:t>
      </w:r>
      <w:r w:rsidR="00A65911">
        <w:rPr>
          <w:rFonts w:ascii="Arial" w:hAnsi="Arial" w:cs="Arial"/>
          <w:sz w:val="20"/>
          <w:szCs w:val="20"/>
        </w:rPr>
        <w:t>DB</w:t>
      </w:r>
      <w:r>
        <w:rPr>
          <w:rFonts w:ascii="Arial" w:hAnsi="Arial" w:cs="Arial"/>
          <w:sz w:val="20"/>
          <w:szCs w:val="20"/>
        </w:rPr>
        <w:t xml:space="preserve"> treatment phase of Opana</w:t>
      </w:r>
      <w:r>
        <w:rPr>
          <w:rFonts w:ascii="Arial" w:hAnsi="Arial" w:cs="Arial"/>
          <w:sz w:val="20"/>
          <w:szCs w:val="20"/>
          <w:vertAlign w:val="superscript"/>
        </w:rPr>
        <w:t xml:space="preserve">® </w:t>
      </w:r>
      <w:r>
        <w:rPr>
          <w:rFonts w:ascii="Arial" w:hAnsi="Arial" w:cs="Arial"/>
          <w:sz w:val="20"/>
          <w:szCs w:val="20"/>
        </w:rPr>
        <w:t xml:space="preserve">ER (oxymorphone ER) or placebo </w:t>
      </w:r>
      <w:r w:rsidR="00795D0B">
        <w:rPr>
          <w:rFonts w:ascii="Arial" w:hAnsi="Arial" w:cs="Arial"/>
          <w:sz w:val="20"/>
          <w:szCs w:val="20"/>
        </w:rPr>
        <w:t>every 12 hours (</w:t>
      </w:r>
      <w:r>
        <w:rPr>
          <w:rFonts w:ascii="Arial" w:hAnsi="Arial" w:cs="Arial"/>
          <w:sz w:val="20"/>
          <w:szCs w:val="20"/>
        </w:rPr>
        <w:t>Q12H</w:t>
      </w:r>
      <w:r w:rsidR="00795D0B">
        <w:rPr>
          <w:rFonts w:ascii="Arial" w:hAnsi="Arial" w:cs="Arial"/>
          <w:sz w:val="20"/>
          <w:szCs w:val="20"/>
        </w:rPr>
        <w:t>)</w:t>
      </w:r>
      <w:r>
        <w:rPr>
          <w:rFonts w:ascii="Arial" w:hAnsi="Arial" w:cs="Arial"/>
          <w:sz w:val="20"/>
          <w:szCs w:val="20"/>
        </w:rPr>
        <w:t>. The primary endpoint of pain intensity increased significantly more for those randomized to placebo than for those who continued their stabilized dose of Opana</w:t>
      </w:r>
      <w:r>
        <w:rPr>
          <w:rFonts w:cs="Arial"/>
          <w:sz w:val="20"/>
          <w:szCs w:val="20"/>
        </w:rPr>
        <w:t>®</w:t>
      </w:r>
      <w:r>
        <w:rPr>
          <w:rFonts w:ascii="Arial" w:hAnsi="Arial" w:cs="Arial"/>
          <w:sz w:val="20"/>
          <w:szCs w:val="20"/>
        </w:rPr>
        <w:t xml:space="preserve"> ER (oxymorphone ER). The increase from baseline to final visit was 31.6 mm for placebo compared to 8.7 mm with Opana</w:t>
      </w:r>
      <w:r>
        <w:rPr>
          <w:rFonts w:cs="Arial"/>
          <w:sz w:val="20"/>
          <w:szCs w:val="20"/>
        </w:rPr>
        <w:t xml:space="preserve">® </w:t>
      </w:r>
      <w:r w:rsidR="0019088E">
        <w:rPr>
          <w:rFonts w:ascii="Arial" w:hAnsi="Arial" w:cs="Arial"/>
          <w:sz w:val="20"/>
          <w:szCs w:val="20"/>
        </w:rPr>
        <w:t xml:space="preserve">ER (oxymorphone ER) </w:t>
      </w:r>
      <w:r>
        <w:rPr>
          <w:rFonts w:ascii="Arial" w:hAnsi="Arial" w:cs="Arial"/>
          <w:sz w:val="20"/>
          <w:szCs w:val="20"/>
        </w:rPr>
        <w:t>(P&lt;0.0001).</w:t>
      </w:r>
      <w:r w:rsidR="00816987">
        <w:rPr>
          <w:rFonts w:ascii="Arial" w:hAnsi="Arial" w:cs="Arial"/>
          <w:sz w:val="20"/>
          <w:szCs w:val="20"/>
          <w:vertAlign w:val="superscript"/>
        </w:rPr>
        <w:t>4</w:t>
      </w:r>
    </w:p>
    <w:p w:rsidR="00A65911" w:rsidRDefault="00A65911" w:rsidP="008D07AD">
      <w:pPr>
        <w:spacing w:after="0" w:line="240" w:lineRule="auto"/>
        <w:rPr>
          <w:rFonts w:ascii="Arial" w:hAnsi="Arial" w:cs="Arial"/>
          <w:sz w:val="20"/>
          <w:szCs w:val="20"/>
        </w:rPr>
      </w:pPr>
    </w:p>
    <w:p w:rsidR="008D07AD" w:rsidRPr="00816987" w:rsidRDefault="008D07AD" w:rsidP="008D07AD">
      <w:pPr>
        <w:spacing w:after="0" w:line="240" w:lineRule="auto"/>
        <w:rPr>
          <w:rFonts w:ascii="Arial" w:hAnsi="Arial" w:cs="Arial"/>
          <w:sz w:val="20"/>
          <w:szCs w:val="20"/>
          <w:vertAlign w:val="superscript"/>
        </w:rPr>
      </w:pPr>
      <w:r>
        <w:rPr>
          <w:rFonts w:ascii="Arial" w:hAnsi="Arial" w:cs="Arial"/>
          <w:sz w:val="20"/>
          <w:szCs w:val="20"/>
        </w:rPr>
        <w:t>Additional endpoints evaluated included the time to discontinuation due to lack of efficacy which occurred in 53%</w:t>
      </w:r>
      <w:r w:rsidRPr="008D07AD">
        <w:rPr>
          <w:rFonts w:ascii="Arial" w:hAnsi="Arial" w:cs="Arial"/>
          <w:sz w:val="20"/>
          <w:szCs w:val="20"/>
        </w:rPr>
        <w:t xml:space="preserve"> </w:t>
      </w:r>
      <w:r>
        <w:rPr>
          <w:rFonts w:ascii="Arial" w:hAnsi="Arial" w:cs="Arial"/>
          <w:sz w:val="20"/>
          <w:szCs w:val="20"/>
        </w:rPr>
        <w:t>of placebo patients compared to 11% of Opana</w:t>
      </w:r>
      <w:r>
        <w:rPr>
          <w:rFonts w:cs="Arial"/>
          <w:sz w:val="20"/>
          <w:szCs w:val="20"/>
        </w:rPr>
        <w:t>®</w:t>
      </w:r>
      <w:r>
        <w:rPr>
          <w:rFonts w:ascii="Arial" w:hAnsi="Arial" w:cs="Arial"/>
          <w:sz w:val="20"/>
          <w:szCs w:val="20"/>
        </w:rPr>
        <w:t xml:space="preserve"> ER (oxymorphone ER) patients (P&lt;0.001). Discontinuations due to an adverse event were found to be similar for both groups: 10% with placebo and 11% with Opana</w:t>
      </w:r>
      <w:r>
        <w:rPr>
          <w:rFonts w:cs="Arial"/>
          <w:sz w:val="20"/>
          <w:szCs w:val="20"/>
        </w:rPr>
        <w:t>®</w:t>
      </w:r>
      <w:r>
        <w:rPr>
          <w:rFonts w:ascii="Arial" w:hAnsi="Arial" w:cs="Arial"/>
          <w:sz w:val="20"/>
          <w:szCs w:val="20"/>
        </w:rPr>
        <w:t xml:space="preserve"> ER (oxymorphone ER). The most commonly reported </w:t>
      </w:r>
      <w:r w:rsidR="00795D0B">
        <w:rPr>
          <w:rFonts w:ascii="Arial" w:hAnsi="Arial" w:cs="Arial"/>
          <w:sz w:val="20"/>
          <w:szCs w:val="20"/>
        </w:rPr>
        <w:t xml:space="preserve">adverse events </w:t>
      </w:r>
      <w:r>
        <w:rPr>
          <w:rFonts w:ascii="Arial" w:hAnsi="Arial" w:cs="Arial"/>
          <w:sz w:val="20"/>
          <w:szCs w:val="20"/>
        </w:rPr>
        <w:t>were nausea, constipation, headache and somnolence. Opioid withdrawal was noted to occur in five patients in the placebo group and none in the Opana</w:t>
      </w:r>
      <w:r>
        <w:rPr>
          <w:rFonts w:cs="Arial"/>
          <w:sz w:val="20"/>
          <w:szCs w:val="20"/>
        </w:rPr>
        <w:t>®</w:t>
      </w:r>
      <w:r>
        <w:rPr>
          <w:rFonts w:ascii="Arial" w:hAnsi="Arial" w:cs="Arial"/>
          <w:sz w:val="20"/>
          <w:szCs w:val="20"/>
        </w:rPr>
        <w:t xml:space="preserve"> ER (oxymorphone ER).</w:t>
      </w:r>
      <w:r w:rsidR="00816987">
        <w:rPr>
          <w:rFonts w:ascii="Arial" w:hAnsi="Arial" w:cs="Arial"/>
          <w:sz w:val="20"/>
          <w:szCs w:val="20"/>
          <w:vertAlign w:val="superscript"/>
        </w:rPr>
        <w:t>4</w:t>
      </w:r>
    </w:p>
    <w:p w:rsidR="00BF2266" w:rsidRDefault="00BF2266" w:rsidP="009A6AD5">
      <w:pPr>
        <w:spacing w:after="0" w:line="240" w:lineRule="auto"/>
        <w:rPr>
          <w:rFonts w:ascii="Arial" w:eastAsia="Times New Roman" w:hAnsi="Arial" w:cs="Arial"/>
          <w:sz w:val="20"/>
          <w:szCs w:val="20"/>
          <w:lang w:val="en"/>
        </w:rPr>
      </w:pPr>
    </w:p>
    <w:p w:rsidR="00A65911" w:rsidRPr="00017FDA" w:rsidRDefault="008D07AD" w:rsidP="00017FDA">
      <w:pPr>
        <w:pStyle w:val="CommentText"/>
        <w:spacing w:line="240" w:lineRule="auto"/>
      </w:pPr>
      <w:r>
        <w:rPr>
          <w:rFonts w:ascii="Arial" w:eastAsia="Times New Roman" w:hAnsi="Arial" w:cs="Arial"/>
        </w:rPr>
        <w:t xml:space="preserve">The third trial </w:t>
      </w:r>
      <w:r w:rsidR="00A65911">
        <w:rPr>
          <w:rFonts w:ascii="Arial" w:eastAsia="Times New Roman" w:hAnsi="Arial" w:cs="Arial"/>
        </w:rPr>
        <w:t xml:space="preserve">included a two week titration period during which 213 individuals were randomized to </w:t>
      </w:r>
      <w:r w:rsidR="00A65911">
        <w:rPr>
          <w:rFonts w:ascii="Arial" w:hAnsi="Arial" w:cs="Arial"/>
        </w:rPr>
        <w:t>Opana</w:t>
      </w:r>
      <w:r w:rsidR="00A65911">
        <w:rPr>
          <w:rFonts w:cs="Arial"/>
        </w:rPr>
        <w:t>®</w:t>
      </w:r>
      <w:r w:rsidR="00A65911">
        <w:rPr>
          <w:rFonts w:ascii="Arial" w:hAnsi="Arial" w:cs="Arial"/>
        </w:rPr>
        <w:t xml:space="preserve"> ER (</w:t>
      </w:r>
      <w:r w:rsidR="00A65911" w:rsidRPr="00FA2331">
        <w:rPr>
          <w:rFonts w:ascii="Arial" w:hAnsi="Arial" w:cs="Arial"/>
        </w:rPr>
        <w:t>oxymorphone ER</w:t>
      </w:r>
      <w:r w:rsidR="00A65911">
        <w:rPr>
          <w:rFonts w:ascii="Arial" w:hAnsi="Arial" w:cs="Arial"/>
        </w:rPr>
        <w:t>)</w:t>
      </w:r>
      <w:r w:rsidR="00A65911" w:rsidRPr="00FA2331">
        <w:rPr>
          <w:rFonts w:ascii="Arial" w:hAnsi="Arial" w:cs="Arial"/>
        </w:rPr>
        <w:t xml:space="preserve"> or </w:t>
      </w:r>
      <w:r w:rsidR="00A65911">
        <w:rPr>
          <w:rFonts w:ascii="Arial" w:hAnsi="Arial" w:cs="Arial"/>
        </w:rPr>
        <w:t>OxyContin</w:t>
      </w:r>
      <w:r w:rsidR="00A65911">
        <w:rPr>
          <w:rFonts w:cs="Arial"/>
        </w:rPr>
        <w:t>®</w:t>
      </w:r>
      <w:r w:rsidR="00A65911">
        <w:rPr>
          <w:rFonts w:ascii="Arial" w:hAnsi="Arial" w:cs="Arial"/>
        </w:rPr>
        <w:t xml:space="preserve"> (</w:t>
      </w:r>
      <w:r w:rsidR="00A65911" w:rsidRPr="00FA2331">
        <w:rPr>
          <w:rFonts w:ascii="Arial" w:hAnsi="Arial" w:cs="Arial"/>
        </w:rPr>
        <w:t>oxycodone CR</w:t>
      </w:r>
      <w:r w:rsidR="00A65911">
        <w:rPr>
          <w:rFonts w:ascii="Arial" w:hAnsi="Arial" w:cs="Arial"/>
        </w:rPr>
        <w:t xml:space="preserve">) Q12H. Those stabilized on a dosage during this period were </w:t>
      </w:r>
      <w:r w:rsidR="00A65911" w:rsidRPr="00FA2331">
        <w:rPr>
          <w:rFonts w:ascii="Arial" w:hAnsi="Arial" w:cs="Arial"/>
        </w:rPr>
        <w:t xml:space="preserve">then entered </w:t>
      </w:r>
      <w:r w:rsidR="00A65911">
        <w:rPr>
          <w:rFonts w:ascii="Arial" w:hAnsi="Arial" w:cs="Arial"/>
        </w:rPr>
        <w:t>into an18-day DB</w:t>
      </w:r>
      <w:r w:rsidR="00A65911" w:rsidRPr="00FA2331">
        <w:rPr>
          <w:rFonts w:ascii="Arial" w:hAnsi="Arial" w:cs="Arial"/>
        </w:rPr>
        <w:t xml:space="preserve"> phase in which they either continued </w:t>
      </w:r>
      <w:r w:rsidR="00A65911">
        <w:rPr>
          <w:rFonts w:ascii="Arial" w:hAnsi="Arial" w:cs="Arial"/>
        </w:rPr>
        <w:t xml:space="preserve">their </w:t>
      </w:r>
      <w:r w:rsidR="00A65911" w:rsidRPr="00FA2331">
        <w:rPr>
          <w:rFonts w:ascii="Arial" w:hAnsi="Arial" w:cs="Arial"/>
        </w:rPr>
        <w:t>stabilized opioid or were switched to placebo Q12H</w:t>
      </w:r>
      <w:r w:rsidR="00A65911">
        <w:rPr>
          <w:rFonts w:ascii="Arial" w:hAnsi="Arial" w:cs="Arial"/>
        </w:rPr>
        <w:t xml:space="preserve">. For the primary endpoint of pain intensity, </w:t>
      </w:r>
      <w:r w:rsidR="00017FDA" w:rsidRPr="00817C90">
        <w:rPr>
          <w:rFonts w:ascii="Arial" w:hAnsi="Arial" w:cs="Arial"/>
        </w:rPr>
        <w:t>the mean change in pain intensity (VAS) from baseline to study end point was significantly greater for placebo than for oxymorphone ER or oxycodone CR, with comparable changes in the two active treatment groups. For oxymorphone ER and oxycodone CR the LS mean differences with placebo were -18.21 (95% CI, -25.83 to -10.58; P=0.0001) and -18.55 (95% CI, -26.1 to -10.98; P=0.0001), respectively.</w:t>
      </w:r>
      <w:r w:rsidR="00D1633E">
        <w:rPr>
          <w:rFonts w:ascii="Arial" w:hAnsi="Arial" w:cs="Arial"/>
          <w:vertAlign w:val="superscript"/>
        </w:rPr>
        <w:t>15</w:t>
      </w:r>
    </w:p>
    <w:p w:rsidR="00A65911" w:rsidRPr="00FF18FA" w:rsidRDefault="00A65911" w:rsidP="00A65911">
      <w:pPr>
        <w:spacing w:after="0" w:line="240" w:lineRule="auto"/>
        <w:rPr>
          <w:rFonts w:ascii="Arial" w:hAnsi="Arial" w:cs="Arial"/>
          <w:sz w:val="20"/>
          <w:szCs w:val="20"/>
        </w:rPr>
      </w:pPr>
      <w:r>
        <w:rPr>
          <w:rFonts w:ascii="Arial" w:hAnsi="Arial" w:cs="Arial"/>
          <w:sz w:val="20"/>
          <w:szCs w:val="20"/>
        </w:rPr>
        <w:t>Other recorded end points included c</w:t>
      </w:r>
      <w:r w:rsidRPr="00FF18FA">
        <w:rPr>
          <w:rFonts w:ascii="Arial" w:hAnsi="Arial" w:cs="Arial"/>
          <w:sz w:val="20"/>
          <w:szCs w:val="20"/>
        </w:rPr>
        <w:t xml:space="preserve">ategorical pain ratings </w:t>
      </w:r>
      <w:r>
        <w:rPr>
          <w:rFonts w:ascii="Arial" w:hAnsi="Arial" w:cs="Arial"/>
          <w:sz w:val="20"/>
          <w:szCs w:val="20"/>
        </w:rPr>
        <w:t xml:space="preserve">which </w:t>
      </w:r>
      <w:r w:rsidRPr="00FF18FA">
        <w:rPr>
          <w:rFonts w:ascii="Arial" w:hAnsi="Arial" w:cs="Arial"/>
          <w:sz w:val="20"/>
          <w:szCs w:val="20"/>
        </w:rPr>
        <w:t xml:space="preserve">were </w:t>
      </w:r>
      <w:r>
        <w:rPr>
          <w:rFonts w:ascii="Arial" w:hAnsi="Arial" w:cs="Arial"/>
          <w:sz w:val="20"/>
          <w:szCs w:val="20"/>
        </w:rPr>
        <w:t xml:space="preserve">found to be </w:t>
      </w:r>
      <w:r w:rsidRPr="00FF18FA">
        <w:rPr>
          <w:rFonts w:ascii="Arial" w:hAnsi="Arial" w:cs="Arial"/>
          <w:sz w:val="20"/>
          <w:szCs w:val="20"/>
        </w:rPr>
        <w:t xml:space="preserve">significantly lower in patients receiving </w:t>
      </w:r>
      <w:r>
        <w:rPr>
          <w:rFonts w:ascii="Arial" w:hAnsi="Arial" w:cs="Arial"/>
          <w:sz w:val="20"/>
          <w:szCs w:val="20"/>
        </w:rPr>
        <w:t>Opana</w:t>
      </w:r>
      <w:r>
        <w:rPr>
          <w:rFonts w:cs="Arial"/>
          <w:sz w:val="20"/>
          <w:szCs w:val="20"/>
        </w:rPr>
        <w:t>®</w:t>
      </w:r>
      <w:r>
        <w:rPr>
          <w:rFonts w:ascii="Arial" w:hAnsi="Arial" w:cs="Arial"/>
          <w:sz w:val="20"/>
          <w:szCs w:val="20"/>
        </w:rPr>
        <w:t xml:space="preserve"> ER (</w:t>
      </w:r>
      <w:r w:rsidRPr="00FF18FA">
        <w:rPr>
          <w:rFonts w:ascii="Arial" w:hAnsi="Arial" w:cs="Arial"/>
          <w:sz w:val="20"/>
          <w:szCs w:val="20"/>
        </w:rPr>
        <w:t>oxymorphone ER</w:t>
      </w:r>
      <w:r>
        <w:rPr>
          <w:rFonts w:ascii="Arial" w:hAnsi="Arial" w:cs="Arial"/>
          <w:sz w:val="20"/>
          <w:szCs w:val="20"/>
        </w:rPr>
        <w:t>)</w:t>
      </w:r>
      <w:r w:rsidRPr="00FF18FA">
        <w:rPr>
          <w:rFonts w:ascii="Arial" w:hAnsi="Arial" w:cs="Arial"/>
          <w:sz w:val="20"/>
          <w:szCs w:val="20"/>
        </w:rPr>
        <w:t xml:space="preserve"> compared to placebo (P=0.0001). Similar results were obtained for the </w:t>
      </w:r>
      <w:r>
        <w:rPr>
          <w:rFonts w:ascii="Arial" w:hAnsi="Arial" w:cs="Arial"/>
          <w:sz w:val="20"/>
          <w:szCs w:val="20"/>
        </w:rPr>
        <w:t>OxyContin</w:t>
      </w:r>
      <w:r>
        <w:rPr>
          <w:rFonts w:cs="Arial"/>
          <w:sz w:val="20"/>
          <w:szCs w:val="20"/>
        </w:rPr>
        <w:t>® (</w:t>
      </w:r>
      <w:r w:rsidRPr="00FF18FA">
        <w:rPr>
          <w:rFonts w:ascii="Arial" w:hAnsi="Arial" w:cs="Arial"/>
          <w:sz w:val="20"/>
          <w:szCs w:val="20"/>
        </w:rPr>
        <w:t>oxycodone CR</w:t>
      </w:r>
      <w:r>
        <w:rPr>
          <w:rFonts w:ascii="Arial" w:hAnsi="Arial" w:cs="Arial"/>
          <w:sz w:val="20"/>
          <w:szCs w:val="20"/>
        </w:rPr>
        <w:t>)</w:t>
      </w:r>
      <w:r w:rsidRPr="00FF18FA">
        <w:rPr>
          <w:rFonts w:ascii="Arial" w:hAnsi="Arial" w:cs="Arial"/>
          <w:sz w:val="20"/>
          <w:szCs w:val="20"/>
        </w:rPr>
        <w:t xml:space="preserve"> group.</w:t>
      </w:r>
      <w:r>
        <w:rPr>
          <w:rFonts w:ascii="Arial" w:hAnsi="Arial" w:cs="Arial"/>
          <w:sz w:val="20"/>
          <w:szCs w:val="20"/>
        </w:rPr>
        <w:t xml:space="preserve"> B</w:t>
      </w:r>
      <w:r w:rsidRPr="00FF18FA">
        <w:rPr>
          <w:rFonts w:ascii="Arial" w:hAnsi="Arial" w:cs="Arial"/>
          <w:sz w:val="20"/>
          <w:szCs w:val="20"/>
        </w:rPr>
        <w:t xml:space="preserve">oth </w:t>
      </w:r>
      <w:r>
        <w:rPr>
          <w:rFonts w:ascii="Arial" w:hAnsi="Arial" w:cs="Arial"/>
          <w:sz w:val="20"/>
          <w:szCs w:val="20"/>
        </w:rPr>
        <w:t xml:space="preserve">active </w:t>
      </w:r>
      <w:r w:rsidRPr="00FF18FA">
        <w:rPr>
          <w:rFonts w:ascii="Arial" w:hAnsi="Arial" w:cs="Arial"/>
          <w:sz w:val="20"/>
          <w:szCs w:val="20"/>
        </w:rPr>
        <w:t xml:space="preserve">agents maintained pain relief scores, with 61% of patients receiving </w:t>
      </w:r>
      <w:r w:rsidR="00795D0B">
        <w:rPr>
          <w:rFonts w:ascii="Arial" w:hAnsi="Arial" w:cs="Arial"/>
          <w:sz w:val="20"/>
          <w:szCs w:val="20"/>
        </w:rPr>
        <w:t xml:space="preserve">either </w:t>
      </w:r>
      <w:r>
        <w:rPr>
          <w:rFonts w:ascii="Arial" w:hAnsi="Arial" w:cs="Arial"/>
          <w:sz w:val="20"/>
          <w:szCs w:val="20"/>
        </w:rPr>
        <w:t>Opana</w:t>
      </w:r>
      <w:r>
        <w:rPr>
          <w:rFonts w:cs="Arial"/>
          <w:sz w:val="20"/>
          <w:szCs w:val="20"/>
        </w:rPr>
        <w:t>®</w:t>
      </w:r>
      <w:r>
        <w:rPr>
          <w:rFonts w:ascii="Arial" w:hAnsi="Arial" w:cs="Arial"/>
          <w:sz w:val="20"/>
          <w:szCs w:val="20"/>
        </w:rPr>
        <w:t xml:space="preserve"> ER (</w:t>
      </w:r>
      <w:r w:rsidRPr="00FF18FA">
        <w:rPr>
          <w:rFonts w:ascii="Arial" w:hAnsi="Arial" w:cs="Arial"/>
          <w:sz w:val="20"/>
          <w:szCs w:val="20"/>
        </w:rPr>
        <w:t>oxymorphone ER</w:t>
      </w:r>
      <w:r>
        <w:rPr>
          <w:rFonts w:ascii="Arial" w:hAnsi="Arial" w:cs="Arial"/>
          <w:sz w:val="20"/>
          <w:szCs w:val="20"/>
        </w:rPr>
        <w:t>)</w:t>
      </w:r>
      <w:r w:rsidRPr="00FF18FA">
        <w:rPr>
          <w:rFonts w:ascii="Arial" w:hAnsi="Arial" w:cs="Arial"/>
          <w:sz w:val="20"/>
          <w:szCs w:val="20"/>
        </w:rPr>
        <w:t xml:space="preserve"> or </w:t>
      </w:r>
      <w:r>
        <w:rPr>
          <w:rFonts w:ascii="Arial" w:hAnsi="Arial" w:cs="Arial"/>
          <w:sz w:val="20"/>
          <w:szCs w:val="20"/>
        </w:rPr>
        <w:t>OxyContin</w:t>
      </w:r>
      <w:r>
        <w:rPr>
          <w:rFonts w:cs="Arial"/>
          <w:sz w:val="20"/>
          <w:szCs w:val="20"/>
        </w:rPr>
        <w:t>® (</w:t>
      </w:r>
      <w:r w:rsidRPr="00FF18FA">
        <w:rPr>
          <w:rFonts w:ascii="Arial" w:hAnsi="Arial" w:cs="Arial"/>
          <w:sz w:val="20"/>
          <w:szCs w:val="20"/>
        </w:rPr>
        <w:t>oxycodone CR</w:t>
      </w:r>
      <w:r>
        <w:rPr>
          <w:rFonts w:ascii="Arial" w:hAnsi="Arial" w:cs="Arial"/>
          <w:sz w:val="20"/>
          <w:szCs w:val="20"/>
        </w:rPr>
        <w:t>)</w:t>
      </w:r>
      <w:r w:rsidRPr="00FF18FA">
        <w:rPr>
          <w:rFonts w:ascii="Arial" w:hAnsi="Arial" w:cs="Arial"/>
          <w:sz w:val="20"/>
          <w:szCs w:val="20"/>
        </w:rPr>
        <w:t xml:space="preserve"> reporting moderate to complete pain relief compared to 28% for placebo (P=0.0006 and </w:t>
      </w:r>
      <w:r w:rsidR="00B869D3">
        <w:rPr>
          <w:rFonts w:ascii="Arial" w:hAnsi="Arial" w:cs="Arial"/>
          <w:sz w:val="20"/>
          <w:szCs w:val="20"/>
        </w:rPr>
        <w:t>P=</w:t>
      </w:r>
      <w:r w:rsidRPr="00FF18FA">
        <w:rPr>
          <w:rFonts w:ascii="Arial" w:hAnsi="Arial" w:cs="Arial"/>
          <w:sz w:val="20"/>
          <w:szCs w:val="20"/>
        </w:rPr>
        <w:t>0.0001, respectively).</w:t>
      </w:r>
    </w:p>
    <w:p w:rsidR="00A65911" w:rsidRPr="00A94183" w:rsidRDefault="00A65911" w:rsidP="00A94183">
      <w:pPr>
        <w:spacing w:after="0" w:line="240" w:lineRule="auto"/>
        <w:rPr>
          <w:rFonts w:ascii="Arial" w:hAnsi="Arial" w:cs="Arial"/>
          <w:sz w:val="20"/>
          <w:szCs w:val="20"/>
        </w:rPr>
      </w:pPr>
      <w:r w:rsidRPr="00FF18FA">
        <w:rPr>
          <w:rFonts w:ascii="Arial" w:hAnsi="Arial" w:cs="Arial"/>
          <w:sz w:val="20"/>
          <w:szCs w:val="20"/>
        </w:rPr>
        <w:t>For the time to treatment failure, 57% of patients receiving placebo discontinued therapy due to lack of efficacy, compare</w:t>
      </w:r>
      <w:r w:rsidR="00B869D3">
        <w:rPr>
          <w:rFonts w:ascii="Arial" w:hAnsi="Arial" w:cs="Arial"/>
          <w:sz w:val="20"/>
          <w:szCs w:val="20"/>
        </w:rPr>
        <w:t>d</w:t>
      </w:r>
      <w:r w:rsidRPr="00FF18FA">
        <w:rPr>
          <w:rFonts w:ascii="Arial" w:hAnsi="Arial" w:cs="Arial"/>
          <w:sz w:val="20"/>
          <w:szCs w:val="20"/>
        </w:rPr>
        <w:t xml:space="preserve"> with 20% for the </w:t>
      </w:r>
      <w:r w:rsidR="0019088E">
        <w:rPr>
          <w:rFonts w:ascii="Arial" w:hAnsi="Arial" w:cs="Arial"/>
          <w:sz w:val="20"/>
          <w:szCs w:val="20"/>
        </w:rPr>
        <w:t>Opana</w:t>
      </w:r>
      <w:r w:rsidR="0019088E">
        <w:rPr>
          <w:rFonts w:cs="Arial"/>
          <w:sz w:val="20"/>
          <w:szCs w:val="20"/>
        </w:rPr>
        <w:t>®</w:t>
      </w:r>
      <w:r w:rsidR="0019088E">
        <w:rPr>
          <w:rFonts w:ascii="Arial" w:hAnsi="Arial" w:cs="Arial"/>
          <w:sz w:val="20"/>
          <w:szCs w:val="20"/>
        </w:rPr>
        <w:t xml:space="preserve"> ER (</w:t>
      </w:r>
      <w:r w:rsidR="0019088E" w:rsidRPr="00FF18FA">
        <w:rPr>
          <w:rFonts w:ascii="Arial" w:hAnsi="Arial" w:cs="Arial"/>
          <w:sz w:val="20"/>
          <w:szCs w:val="20"/>
        </w:rPr>
        <w:t>oxymorphone ER</w:t>
      </w:r>
      <w:r w:rsidR="0019088E">
        <w:rPr>
          <w:rFonts w:ascii="Arial" w:hAnsi="Arial" w:cs="Arial"/>
          <w:sz w:val="20"/>
          <w:szCs w:val="20"/>
        </w:rPr>
        <w:t>)</w:t>
      </w:r>
      <w:r w:rsidR="0019088E" w:rsidRPr="00FF18FA">
        <w:rPr>
          <w:rFonts w:ascii="Arial" w:hAnsi="Arial" w:cs="Arial"/>
          <w:sz w:val="20"/>
          <w:szCs w:val="20"/>
        </w:rPr>
        <w:t xml:space="preserve"> </w:t>
      </w:r>
      <w:r w:rsidRPr="00FF18FA">
        <w:rPr>
          <w:rFonts w:ascii="Arial" w:hAnsi="Arial" w:cs="Arial"/>
          <w:sz w:val="20"/>
          <w:szCs w:val="20"/>
        </w:rPr>
        <w:t xml:space="preserve">group and 16% for the </w:t>
      </w:r>
      <w:r w:rsidR="0019088E">
        <w:rPr>
          <w:rFonts w:ascii="Arial" w:hAnsi="Arial" w:cs="Arial"/>
          <w:sz w:val="20"/>
          <w:szCs w:val="20"/>
        </w:rPr>
        <w:t>OxyContin</w:t>
      </w:r>
      <w:r w:rsidR="0019088E">
        <w:rPr>
          <w:rFonts w:cs="Arial"/>
          <w:sz w:val="20"/>
          <w:szCs w:val="20"/>
        </w:rPr>
        <w:t>® (</w:t>
      </w:r>
      <w:r w:rsidR="0019088E" w:rsidRPr="00FF18FA">
        <w:rPr>
          <w:rFonts w:ascii="Arial" w:hAnsi="Arial" w:cs="Arial"/>
          <w:sz w:val="20"/>
          <w:szCs w:val="20"/>
        </w:rPr>
        <w:t>oxycodone CR</w:t>
      </w:r>
      <w:r w:rsidR="0019088E">
        <w:rPr>
          <w:rFonts w:ascii="Arial" w:hAnsi="Arial" w:cs="Arial"/>
          <w:sz w:val="20"/>
          <w:szCs w:val="20"/>
        </w:rPr>
        <w:t>)</w:t>
      </w:r>
      <w:r w:rsidR="0019088E" w:rsidRPr="00FF18FA">
        <w:rPr>
          <w:rFonts w:ascii="Arial" w:hAnsi="Arial" w:cs="Arial"/>
          <w:sz w:val="20"/>
          <w:szCs w:val="20"/>
        </w:rPr>
        <w:t xml:space="preserve"> </w:t>
      </w:r>
      <w:r w:rsidRPr="00FF18FA">
        <w:rPr>
          <w:rFonts w:ascii="Arial" w:hAnsi="Arial" w:cs="Arial"/>
          <w:sz w:val="20"/>
          <w:szCs w:val="20"/>
        </w:rPr>
        <w:t>group (P=0.0001 for both drugs).</w:t>
      </w:r>
      <w:r w:rsidR="00A94183">
        <w:rPr>
          <w:rFonts w:ascii="Arial" w:hAnsi="Arial" w:cs="Arial"/>
          <w:sz w:val="20"/>
          <w:szCs w:val="20"/>
        </w:rPr>
        <w:t xml:space="preserve"> Lastly, i</w:t>
      </w:r>
      <w:r w:rsidRPr="00FF18FA">
        <w:rPr>
          <w:rFonts w:ascii="Arial" w:hAnsi="Arial" w:cs="Arial"/>
          <w:sz w:val="20"/>
          <w:szCs w:val="20"/>
        </w:rPr>
        <w:t xml:space="preserve">n the first four days of the </w:t>
      </w:r>
      <w:r w:rsidR="00A94183">
        <w:rPr>
          <w:rFonts w:ascii="Arial" w:hAnsi="Arial" w:cs="Arial"/>
          <w:sz w:val="20"/>
          <w:szCs w:val="20"/>
        </w:rPr>
        <w:t>DB</w:t>
      </w:r>
      <w:r w:rsidRPr="00FF18FA">
        <w:rPr>
          <w:rFonts w:ascii="Arial" w:hAnsi="Arial" w:cs="Arial"/>
          <w:sz w:val="20"/>
          <w:szCs w:val="20"/>
        </w:rPr>
        <w:t xml:space="preserve"> treatment phase, when the use of rescue medication was unrestricted, the mean daily dosage of res</w:t>
      </w:r>
      <w:r w:rsidR="00A94183">
        <w:rPr>
          <w:rFonts w:ascii="Arial" w:hAnsi="Arial" w:cs="Arial"/>
          <w:sz w:val="20"/>
          <w:szCs w:val="20"/>
        </w:rPr>
        <w:t>cue medication was</w:t>
      </w:r>
      <w:r w:rsidRPr="00FF18FA">
        <w:rPr>
          <w:rFonts w:ascii="Arial" w:hAnsi="Arial" w:cs="Arial"/>
          <w:sz w:val="20"/>
          <w:szCs w:val="20"/>
        </w:rPr>
        <w:t xml:space="preserve"> less for patients receiving </w:t>
      </w:r>
      <w:r w:rsidR="0019088E">
        <w:rPr>
          <w:rFonts w:ascii="Arial" w:hAnsi="Arial" w:cs="Arial"/>
          <w:sz w:val="20"/>
          <w:szCs w:val="20"/>
        </w:rPr>
        <w:t>Opana</w:t>
      </w:r>
      <w:r w:rsidR="0019088E">
        <w:rPr>
          <w:rFonts w:cs="Arial"/>
          <w:sz w:val="20"/>
          <w:szCs w:val="20"/>
        </w:rPr>
        <w:t>®</w:t>
      </w:r>
      <w:r w:rsidR="0019088E">
        <w:rPr>
          <w:rFonts w:ascii="Arial" w:hAnsi="Arial" w:cs="Arial"/>
          <w:sz w:val="20"/>
          <w:szCs w:val="20"/>
        </w:rPr>
        <w:t xml:space="preserve"> ER (</w:t>
      </w:r>
      <w:r w:rsidR="0019088E" w:rsidRPr="00FF18FA">
        <w:rPr>
          <w:rFonts w:ascii="Arial" w:hAnsi="Arial" w:cs="Arial"/>
          <w:sz w:val="20"/>
          <w:szCs w:val="20"/>
        </w:rPr>
        <w:t>oxymorphone ER</w:t>
      </w:r>
      <w:r w:rsidR="0019088E">
        <w:rPr>
          <w:rFonts w:ascii="Arial" w:hAnsi="Arial" w:cs="Arial"/>
          <w:sz w:val="20"/>
          <w:szCs w:val="20"/>
        </w:rPr>
        <w:t>)</w:t>
      </w:r>
      <w:r w:rsidR="0019088E" w:rsidRPr="00FF18FA">
        <w:rPr>
          <w:rFonts w:ascii="Arial" w:hAnsi="Arial" w:cs="Arial"/>
          <w:sz w:val="20"/>
          <w:szCs w:val="20"/>
        </w:rPr>
        <w:t xml:space="preserve"> </w:t>
      </w:r>
      <w:r w:rsidRPr="00FF18FA">
        <w:rPr>
          <w:rFonts w:ascii="Arial" w:hAnsi="Arial" w:cs="Arial"/>
          <w:sz w:val="20"/>
          <w:szCs w:val="20"/>
        </w:rPr>
        <w:t xml:space="preserve">(25.5 mg; P=0.0068) or </w:t>
      </w:r>
      <w:r w:rsidR="0019088E">
        <w:rPr>
          <w:rFonts w:ascii="Arial" w:hAnsi="Arial" w:cs="Arial"/>
          <w:sz w:val="20"/>
          <w:szCs w:val="20"/>
        </w:rPr>
        <w:t>OxyContin</w:t>
      </w:r>
      <w:r w:rsidR="0019088E">
        <w:rPr>
          <w:rFonts w:cs="Arial"/>
          <w:sz w:val="20"/>
          <w:szCs w:val="20"/>
        </w:rPr>
        <w:t>® (</w:t>
      </w:r>
      <w:r w:rsidR="0019088E" w:rsidRPr="00FF18FA">
        <w:rPr>
          <w:rFonts w:ascii="Arial" w:hAnsi="Arial" w:cs="Arial"/>
          <w:sz w:val="20"/>
          <w:szCs w:val="20"/>
        </w:rPr>
        <w:t>oxycodone CR</w:t>
      </w:r>
      <w:r w:rsidR="0019088E">
        <w:rPr>
          <w:rFonts w:ascii="Arial" w:hAnsi="Arial" w:cs="Arial"/>
          <w:sz w:val="20"/>
          <w:szCs w:val="20"/>
        </w:rPr>
        <w:t>)</w:t>
      </w:r>
      <w:r w:rsidR="0019088E" w:rsidRPr="00FF18FA">
        <w:rPr>
          <w:rFonts w:ascii="Arial" w:hAnsi="Arial" w:cs="Arial"/>
          <w:sz w:val="20"/>
          <w:szCs w:val="20"/>
        </w:rPr>
        <w:t xml:space="preserve"> </w:t>
      </w:r>
      <w:r w:rsidRPr="00FF18FA">
        <w:rPr>
          <w:rFonts w:ascii="Arial" w:hAnsi="Arial" w:cs="Arial"/>
          <w:sz w:val="20"/>
          <w:szCs w:val="20"/>
        </w:rPr>
        <w:t>(24.4 mg; P=0.0024) than for those receiving placebo (34.8 mg).</w:t>
      </w:r>
      <w:r w:rsidR="00D1633E">
        <w:rPr>
          <w:rFonts w:ascii="Arial" w:hAnsi="Arial" w:cs="Arial"/>
          <w:sz w:val="20"/>
          <w:szCs w:val="20"/>
          <w:vertAlign w:val="superscript"/>
        </w:rPr>
        <w:t>15</w:t>
      </w:r>
      <w:r w:rsidR="00A94183">
        <w:rPr>
          <w:rFonts w:ascii="Arial" w:hAnsi="Arial" w:cs="Arial"/>
          <w:sz w:val="20"/>
          <w:szCs w:val="20"/>
        </w:rPr>
        <w:t xml:space="preserve"> </w:t>
      </w:r>
    </w:p>
    <w:p w:rsidR="009A6AD5" w:rsidRPr="009A6AD5" w:rsidRDefault="0019088E" w:rsidP="009A6AD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B62A3E" w:rsidRDefault="00B62A3E" w:rsidP="00B62A3E">
      <w:pPr>
        <w:spacing w:after="0" w:line="240" w:lineRule="auto"/>
        <w:rPr>
          <w:rFonts w:ascii="Arial" w:eastAsia="Times New Roman" w:hAnsi="Arial" w:cs="Arial"/>
          <w:color w:val="141314"/>
          <w:sz w:val="20"/>
          <w:szCs w:val="20"/>
        </w:rPr>
      </w:pPr>
      <w:r>
        <w:rPr>
          <w:rFonts w:ascii="Arial" w:hAnsi="Arial" w:cs="Arial"/>
          <w:sz w:val="20"/>
          <w:szCs w:val="20"/>
        </w:rPr>
        <w:t>The safety and effectiveness of Opana</w:t>
      </w:r>
      <w:r>
        <w:rPr>
          <w:rFonts w:cs="Arial"/>
          <w:sz w:val="20"/>
          <w:szCs w:val="20"/>
        </w:rPr>
        <w:t>®</w:t>
      </w:r>
      <w:r>
        <w:rPr>
          <w:rFonts w:ascii="Arial" w:hAnsi="Arial" w:cs="Arial"/>
          <w:sz w:val="20"/>
          <w:szCs w:val="20"/>
        </w:rPr>
        <w:t xml:space="preserve"> ER (</w:t>
      </w:r>
      <w:r w:rsidRPr="00FF18FA">
        <w:rPr>
          <w:rFonts w:ascii="Arial" w:hAnsi="Arial" w:cs="Arial"/>
          <w:sz w:val="20"/>
          <w:szCs w:val="20"/>
        </w:rPr>
        <w:t>oxymorphone ER</w:t>
      </w:r>
      <w:r>
        <w:rPr>
          <w:rFonts w:ascii="Arial" w:hAnsi="Arial" w:cs="Arial"/>
          <w:sz w:val="20"/>
          <w:szCs w:val="20"/>
        </w:rPr>
        <w:t xml:space="preserve">) has also been evaluated in adult patients with cancer pain requiring opioid therapy. </w:t>
      </w:r>
      <w:r>
        <w:rPr>
          <w:rFonts w:ascii="Arial" w:eastAsia="Times New Roman" w:hAnsi="Arial" w:cs="Arial"/>
          <w:color w:val="141314"/>
          <w:sz w:val="20"/>
          <w:szCs w:val="20"/>
        </w:rPr>
        <w:t xml:space="preserve">In one </w:t>
      </w:r>
      <w:r w:rsidR="009A6AD5" w:rsidRPr="009A6AD5">
        <w:rPr>
          <w:rFonts w:ascii="Arial" w:eastAsia="Times New Roman" w:hAnsi="Arial" w:cs="Arial"/>
          <w:color w:val="141314"/>
          <w:sz w:val="20"/>
          <w:szCs w:val="20"/>
        </w:rPr>
        <w:t>pilot study</w:t>
      </w:r>
      <w:r>
        <w:rPr>
          <w:rFonts w:ascii="Arial" w:eastAsia="Times New Roman" w:hAnsi="Arial" w:cs="Arial"/>
          <w:color w:val="141314"/>
          <w:sz w:val="20"/>
          <w:szCs w:val="20"/>
        </w:rPr>
        <w:t xml:space="preserve">, </w:t>
      </w:r>
      <w:r>
        <w:rPr>
          <w:rFonts w:ascii="Arial" w:hAnsi="Arial" w:cs="Arial"/>
          <w:sz w:val="20"/>
          <w:szCs w:val="20"/>
        </w:rPr>
        <w:t xml:space="preserve">86 individuals </w:t>
      </w:r>
      <w:r w:rsidR="009A6AD5" w:rsidRPr="009A6AD5">
        <w:rPr>
          <w:rFonts w:ascii="Arial" w:eastAsia="Times New Roman" w:hAnsi="Arial" w:cs="Arial"/>
          <w:color w:val="141314"/>
          <w:sz w:val="20"/>
          <w:szCs w:val="20"/>
        </w:rPr>
        <w:t xml:space="preserve">were first stabilized for ≥ 3 days </w:t>
      </w:r>
      <w:r>
        <w:rPr>
          <w:rFonts w:ascii="Arial" w:eastAsia="Times New Roman" w:hAnsi="Arial" w:cs="Arial"/>
          <w:color w:val="141314"/>
          <w:sz w:val="20"/>
          <w:szCs w:val="20"/>
        </w:rPr>
        <w:t xml:space="preserve">on morphine CR or oxycodone CR and </w:t>
      </w:r>
      <w:r w:rsidR="009A6AD5" w:rsidRPr="009A6AD5">
        <w:rPr>
          <w:rFonts w:ascii="Arial" w:eastAsia="Times New Roman" w:hAnsi="Arial" w:cs="Arial"/>
          <w:color w:val="141314"/>
          <w:sz w:val="20"/>
          <w:szCs w:val="20"/>
        </w:rPr>
        <w:t>then entered into the first 7-day treatment period (period 1)</w:t>
      </w:r>
      <w:r>
        <w:rPr>
          <w:rFonts w:ascii="Arial" w:eastAsia="Times New Roman" w:hAnsi="Arial" w:cs="Arial"/>
          <w:color w:val="141314"/>
          <w:sz w:val="20"/>
          <w:szCs w:val="20"/>
        </w:rPr>
        <w:t xml:space="preserve">. </w:t>
      </w:r>
      <w:r>
        <w:rPr>
          <w:rFonts w:ascii="Arial" w:eastAsia="Times New Roman" w:hAnsi="Arial" w:cs="Arial"/>
          <w:color w:val="141314"/>
          <w:sz w:val="20"/>
          <w:szCs w:val="20"/>
        </w:rPr>
        <w:lastRenderedPageBreak/>
        <w:t xml:space="preserve">From this initial group, 63 patients </w:t>
      </w:r>
      <w:r w:rsidR="0001200F">
        <w:rPr>
          <w:rFonts w:ascii="Arial" w:eastAsia="Times New Roman" w:hAnsi="Arial" w:cs="Arial"/>
          <w:color w:val="141314"/>
          <w:sz w:val="20"/>
          <w:szCs w:val="20"/>
        </w:rPr>
        <w:t xml:space="preserve">who </w:t>
      </w:r>
      <w:r>
        <w:rPr>
          <w:rFonts w:ascii="Arial" w:eastAsia="Times New Roman" w:hAnsi="Arial" w:cs="Arial"/>
          <w:color w:val="141314"/>
          <w:sz w:val="20"/>
          <w:szCs w:val="20"/>
        </w:rPr>
        <w:t xml:space="preserve">completed stabilization </w:t>
      </w:r>
      <w:r w:rsidR="009A6AD5" w:rsidRPr="009A6AD5">
        <w:rPr>
          <w:rFonts w:ascii="Arial" w:eastAsia="Times New Roman" w:hAnsi="Arial" w:cs="Arial"/>
          <w:color w:val="141314"/>
          <w:sz w:val="20"/>
          <w:szCs w:val="20"/>
        </w:rPr>
        <w:t xml:space="preserve">were then </w:t>
      </w:r>
      <w:r>
        <w:rPr>
          <w:rFonts w:ascii="Arial" w:eastAsia="Times New Roman" w:hAnsi="Arial" w:cs="Arial"/>
          <w:color w:val="141314"/>
          <w:sz w:val="20"/>
          <w:szCs w:val="20"/>
        </w:rPr>
        <w:t xml:space="preserve">successfully </w:t>
      </w:r>
      <w:r w:rsidR="009A6AD5" w:rsidRPr="009A6AD5">
        <w:rPr>
          <w:rFonts w:ascii="Arial" w:eastAsia="Times New Roman" w:hAnsi="Arial" w:cs="Arial"/>
          <w:color w:val="141314"/>
          <w:sz w:val="20"/>
          <w:szCs w:val="20"/>
        </w:rPr>
        <w:t xml:space="preserve">crossed over to </w:t>
      </w:r>
      <w:r w:rsidR="0019088E">
        <w:rPr>
          <w:rFonts w:ascii="Arial" w:hAnsi="Arial" w:cs="Arial"/>
          <w:sz w:val="20"/>
          <w:szCs w:val="20"/>
        </w:rPr>
        <w:t>Opana</w:t>
      </w:r>
      <w:r w:rsidR="0019088E">
        <w:rPr>
          <w:rFonts w:cs="Arial"/>
          <w:sz w:val="20"/>
          <w:szCs w:val="20"/>
        </w:rPr>
        <w:t>®</w:t>
      </w:r>
      <w:r w:rsidR="0019088E">
        <w:rPr>
          <w:rFonts w:ascii="Arial" w:hAnsi="Arial" w:cs="Arial"/>
          <w:sz w:val="20"/>
          <w:szCs w:val="20"/>
        </w:rPr>
        <w:t xml:space="preserve"> ER (</w:t>
      </w:r>
      <w:r w:rsidR="0019088E" w:rsidRPr="00FF18FA">
        <w:rPr>
          <w:rFonts w:ascii="Arial" w:hAnsi="Arial" w:cs="Arial"/>
          <w:sz w:val="20"/>
          <w:szCs w:val="20"/>
        </w:rPr>
        <w:t>oxymorphone ER</w:t>
      </w:r>
      <w:r w:rsidR="0019088E">
        <w:rPr>
          <w:rFonts w:ascii="Arial" w:hAnsi="Arial" w:cs="Arial"/>
          <w:sz w:val="20"/>
          <w:szCs w:val="20"/>
        </w:rPr>
        <w:t xml:space="preserve">) </w:t>
      </w:r>
      <w:r w:rsidR="009A6AD5" w:rsidRPr="009A6AD5">
        <w:rPr>
          <w:rFonts w:ascii="Arial" w:eastAsia="Times New Roman" w:hAnsi="Arial" w:cs="Arial"/>
          <w:color w:val="141314"/>
          <w:sz w:val="20"/>
          <w:szCs w:val="20"/>
        </w:rPr>
        <w:t xml:space="preserve">at an estimated equianalgesic dosage and treated for an additional </w:t>
      </w:r>
      <w:r w:rsidR="00B869D3">
        <w:rPr>
          <w:rFonts w:ascii="Arial" w:eastAsia="Times New Roman" w:hAnsi="Arial" w:cs="Arial"/>
          <w:color w:val="141314"/>
          <w:sz w:val="20"/>
          <w:szCs w:val="20"/>
        </w:rPr>
        <w:t>seven</w:t>
      </w:r>
      <w:r w:rsidR="009A6AD5" w:rsidRPr="009A6AD5">
        <w:rPr>
          <w:rFonts w:ascii="Arial" w:eastAsia="Times New Roman" w:hAnsi="Arial" w:cs="Arial"/>
          <w:color w:val="141314"/>
          <w:sz w:val="20"/>
          <w:szCs w:val="20"/>
        </w:rPr>
        <w:t xml:space="preserve"> days (period 2).</w:t>
      </w:r>
      <w:r w:rsidR="00816987">
        <w:rPr>
          <w:rFonts w:ascii="Arial" w:eastAsia="Times New Roman" w:hAnsi="Arial" w:cs="Arial"/>
          <w:color w:val="141314"/>
          <w:sz w:val="20"/>
          <w:szCs w:val="20"/>
          <w:vertAlign w:val="superscript"/>
        </w:rPr>
        <w:t>5</w:t>
      </w:r>
      <w:r w:rsidR="009A6AD5" w:rsidRPr="009A6AD5">
        <w:rPr>
          <w:rFonts w:ascii="Arial" w:eastAsia="Times New Roman" w:hAnsi="Arial" w:cs="Arial"/>
          <w:color w:val="141314"/>
          <w:sz w:val="20"/>
          <w:szCs w:val="20"/>
        </w:rPr>
        <w:t xml:space="preserve"> </w:t>
      </w:r>
    </w:p>
    <w:p w:rsidR="00B62A3E" w:rsidRPr="00B62A3E" w:rsidRDefault="00B62A3E" w:rsidP="00B62A3E">
      <w:pPr>
        <w:spacing w:after="0" w:line="240" w:lineRule="auto"/>
        <w:rPr>
          <w:rFonts w:ascii="Arial" w:eastAsia="Times New Roman" w:hAnsi="Arial" w:cs="Arial"/>
          <w:color w:val="141314"/>
          <w:sz w:val="20"/>
          <w:szCs w:val="20"/>
        </w:rPr>
      </w:pPr>
    </w:p>
    <w:p w:rsidR="009A6AD5" w:rsidRPr="00816987" w:rsidRDefault="00B62A3E" w:rsidP="00B62A3E">
      <w:pPr>
        <w:spacing w:line="240" w:lineRule="auto"/>
        <w:rPr>
          <w:rFonts w:ascii="Arial" w:hAnsi="Arial" w:cs="Arial"/>
          <w:sz w:val="20"/>
          <w:szCs w:val="20"/>
          <w:vertAlign w:val="superscript"/>
        </w:rPr>
      </w:pPr>
      <w:r w:rsidRPr="00B62A3E">
        <w:rPr>
          <w:rFonts w:ascii="Arial" w:hAnsi="Arial" w:cs="Arial"/>
          <w:sz w:val="20"/>
          <w:szCs w:val="20"/>
        </w:rPr>
        <w:t xml:space="preserve">Mean daily pain intensity scores were comparable for all agents during each treatment sequence, indicating that pain was stabilized throughout the study. When averaged over the last two days (days six and seven) of each treatment period, a similar level of pain relief was achieved with </w:t>
      </w:r>
      <w:r w:rsidR="0019088E">
        <w:rPr>
          <w:rFonts w:ascii="Arial" w:hAnsi="Arial" w:cs="Arial"/>
          <w:sz w:val="20"/>
          <w:szCs w:val="20"/>
        </w:rPr>
        <w:t>Opana</w:t>
      </w:r>
      <w:r w:rsidR="0019088E">
        <w:rPr>
          <w:rFonts w:cs="Arial"/>
          <w:sz w:val="20"/>
          <w:szCs w:val="20"/>
        </w:rPr>
        <w:t>®</w:t>
      </w:r>
      <w:r w:rsidR="0019088E">
        <w:rPr>
          <w:rFonts w:ascii="Arial" w:hAnsi="Arial" w:cs="Arial"/>
          <w:sz w:val="20"/>
          <w:szCs w:val="20"/>
        </w:rPr>
        <w:t xml:space="preserve"> ER (</w:t>
      </w:r>
      <w:r w:rsidR="0019088E" w:rsidRPr="00FF18FA">
        <w:rPr>
          <w:rFonts w:ascii="Arial" w:hAnsi="Arial" w:cs="Arial"/>
          <w:sz w:val="20"/>
          <w:szCs w:val="20"/>
        </w:rPr>
        <w:t>oxymorphone ER</w:t>
      </w:r>
      <w:r w:rsidR="0019088E">
        <w:rPr>
          <w:rFonts w:ascii="Arial" w:hAnsi="Arial" w:cs="Arial"/>
          <w:sz w:val="20"/>
          <w:szCs w:val="20"/>
        </w:rPr>
        <w:t xml:space="preserve">) </w:t>
      </w:r>
      <w:r w:rsidRPr="00B62A3E">
        <w:rPr>
          <w:rFonts w:ascii="Arial" w:hAnsi="Arial" w:cs="Arial"/>
          <w:sz w:val="20"/>
          <w:szCs w:val="20"/>
        </w:rPr>
        <w:t>as with oxycodone CR or morphine CR</w:t>
      </w:r>
      <w:r>
        <w:rPr>
          <w:rFonts w:ascii="Arial" w:hAnsi="Arial" w:cs="Arial"/>
          <w:sz w:val="20"/>
          <w:szCs w:val="20"/>
        </w:rPr>
        <w:t xml:space="preserve">. </w:t>
      </w:r>
      <w:r w:rsidRPr="009A6AD5">
        <w:rPr>
          <w:rFonts w:ascii="Arial" w:eastAsia="Times New Roman" w:hAnsi="Arial" w:cs="Arial"/>
          <w:color w:val="141314"/>
          <w:sz w:val="20"/>
          <w:szCs w:val="20"/>
        </w:rPr>
        <w:t xml:space="preserve">There were no significant differences in daily pain intensity scores between </w:t>
      </w:r>
      <w:r w:rsidR="0019088E">
        <w:rPr>
          <w:rFonts w:ascii="Arial" w:hAnsi="Arial" w:cs="Arial"/>
          <w:sz w:val="20"/>
          <w:szCs w:val="20"/>
        </w:rPr>
        <w:t>Opana</w:t>
      </w:r>
      <w:r w:rsidR="0019088E">
        <w:rPr>
          <w:rFonts w:cs="Arial"/>
          <w:sz w:val="20"/>
          <w:szCs w:val="20"/>
        </w:rPr>
        <w:t>®</w:t>
      </w:r>
      <w:r w:rsidR="0019088E">
        <w:rPr>
          <w:rFonts w:ascii="Arial" w:hAnsi="Arial" w:cs="Arial"/>
          <w:sz w:val="20"/>
          <w:szCs w:val="20"/>
        </w:rPr>
        <w:t xml:space="preserve"> ER (</w:t>
      </w:r>
      <w:r w:rsidR="0019088E" w:rsidRPr="00FF18FA">
        <w:rPr>
          <w:rFonts w:ascii="Arial" w:hAnsi="Arial" w:cs="Arial"/>
          <w:sz w:val="20"/>
          <w:szCs w:val="20"/>
        </w:rPr>
        <w:t>oxymorphone ER</w:t>
      </w:r>
      <w:r w:rsidR="0019088E">
        <w:rPr>
          <w:rFonts w:ascii="Arial" w:hAnsi="Arial" w:cs="Arial"/>
          <w:sz w:val="20"/>
          <w:szCs w:val="20"/>
        </w:rPr>
        <w:t xml:space="preserve">) </w:t>
      </w:r>
      <w:r w:rsidRPr="009A6AD5">
        <w:rPr>
          <w:rFonts w:ascii="Arial" w:eastAsia="Times New Roman" w:hAnsi="Arial" w:cs="Arial"/>
          <w:color w:val="141314"/>
          <w:sz w:val="20"/>
          <w:szCs w:val="20"/>
        </w:rPr>
        <w:t xml:space="preserve">and either morphine </w:t>
      </w:r>
      <w:r>
        <w:rPr>
          <w:rFonts w:ascii="Arial" w:eastAsia="Times New Roman" w:hAnsi="Arial" w:cs="Arial"/>
          <w:color w:val="141314"/>
          <w:sz w:val="20"/>
          <w:szCs w:val="20"/>
        </w:rPr>
        <w:t xml:space="preserve">CR </w:t>
      </w:r>
      <w:r w:rsidRPr="009A6AD5">
        <w:rPr>
          <w:rFonts w:ascii="Arial" w:eastAsia="Times New Roman" w:hAnsi="Arial" w:cs="Arial"/>
          <w:color w:val="141314"/>
          <w:sz w:val="20"/>
          <w:szCs w:val="20"/>
        </w:rPr>
        <w:t>or oxycodone</w:t>
      </w:r>
      <w:r>
        <w:rPr>
          <w:rFonts w:ascii="Arial" w:eastAsia="Times New Roman" w:hAnsi="Arial" w:cs="Arial"/>
          <w:color w:val="141314"/>
          <w:sz w:val="20"/>
          <w:szCs w:val="20"/>
        </w:rPr>
        <w:t xml:space="preserve"> CR. </w:t>
      </w:r>
      <w:r w:rsidRPr="00B62A3E">
        <w:rPr>
          <w:rFonts w:ascii="Arial" w:hAnsi="Arial" w:cs="Arial"/>
          <w:sz w:val="20"/>
          <w:szCs w:val="20"/>
        </w:rPr>
        <w:t>The tolerability and safety profiles were similar for all agents.</w:t>
      </w:r>
      <w:r w:rsidR="00816987">
        <w:rPr>
          <w:rFonts w:ascii="Arial" w:hAnsi="Arial" w:cs="Arial"/>
          <w:sz w:val="20"/>
          <w:szCs w:val="20"/>
          <w:vertAlign w:val="superscript"/>
        </w:rPr>
        <w:t>5</w:t>
      </w:r>
    </w:p>
    <w:p w:rsidR="003A09E2" w:rsidRPr="00B5437C" w:rsidRDefault="00B62A3E" w:rsidP="003A09E2">
      <w:pPr>
        <w:spacing w:after="0" w:line="240" w:lineRule="auto"/>
        <w:rPr>
          <w:rFonts w:ascii="Arial" w:hAnsi="Arial" w:cs="Arial"/>
          <w:sz w:val="20"/>
          <w:szCs w:val="20"/>
        </w:rPr>
      </w:pPr>
      <w:r>
        <w:rPr>
          <w:rFonts w:ascii="Arial" w:hAnsi="Arial" w:cs="Arial"/>
          <w:sz w:val="20"/>
          <w:szCs w:val="20"/>
        </w:rPr>
        <w:t>The second study that evaluated Opana</w:t>
      </w:r>
      <w:r>
        <w:rPr>
          <w:rFonts w:cs="Arial"/>
          <w:sz w:val="20"/>
          <w:szCs w:val="20"/>
        </w:rPr>
        <w:t>®</w:t>
      </w:r>
      <w:r>
        <w:rPr>
          <w:rFonts w:ascii="Arial" w:hAnsi="Arial" w:cs="Arial"/>
          <w:sz w:val="20"/>
          <w:szCs w:val="20"/>
        </w:rPr>
        <w:t xml:space="preserve"> ER (</w:t>
      </w:r>
      <w:r w:rsidRPr="00FF18FA">
        <w:rPr>
          <w:rFonts w:ascii="Arial" w:hAnsi="Arial" w:cs="Arial"/>
          <w:sz w:val="20"/>
          <w:szCs w:val="20"/>
        </w:rPr>
        <w:t>oxymorphone ER</w:t>
      </w:r>
      <w:r>
        <w:rPr>
          <w:rFonts w:ascii="Arial" w:hAnsi="Arial" w:cs="Arial"/>
          <w:sz w:val="20"/>
          <w:szCs w:val="20"/>
        </w:rPr>
        <w:t>)</w:t>
      </w:r>
      <w:r w:rsidR="003A09E2">
        <w:rPr>
          <w:rFonts w:ascii="Arial" w:hAnsi="Arial" w:cs="Arial"/>
          <w:sz w:val="20"/>
          <w:szCs w:val="20"/>
        </w:rPr>
        <w:t xml:space="preserve"> in cancer patients was a post-hoc analysis of two, one-year, open-label, and extension studies (ES).  </w:t>
      </w:r>
      <w:r w:rsidR="003A09E2" w:rsidRPr="00B5437C">
        <w:rPr>
          <w:rFonts w:ascii="Arial" w:hAnsi="Arial" w:cs="Arial"/>
          <w:sz w:val="20"/>
          <w:szCs w:val="20"/>
        </w:rPr>
        <w:t xml:space="preserve">Patients who had been taking </w:t>
      </w:r>
      <w:r w:rsidR="003A09E2">
        <w:rPr>
          <w:rFonts w:ascii="Arial" w:hAnsi="Arial" w:cs="Arial"/>
          <w:sz w:val="20"/>
          <w:szCs w:val="20"/>
        </w:rPr>
        <w:t>Opana</w:t>
      </w:r>
      <w:r w:rsidR="003A09E2">
        <w:rPr>
          <w:rFonts w:cs="Arial"/>
          <w:sz w:val="20"/>
          <w:szCs w:val="20"/>
        </w:rPr>
        <w:t>®</w:t>
      </w:r>
      <w:r w:rsidR="003A09E2">
        <w:rPr>
          <w:rFonts w:ascii="Arial" w:hAnsi="Arial" w:cs="Arial"/>
          <w:sz w:val="20"/>
          <w:szCs w:val="20"/>
        </w:rPr>
        <w:t xml:space="preserve"> ER (</w:t>
      </w:r>
      <w:r w:rsidR="003A09E2" w:rsidRPr="00B5437C">
        <w:rPr>
          <w:rFonts w:ascii="Arial" w:hAnsi="Arial" w:cs="Arial"/>
          <w:sz w:val="20"/>
          <w:szCs w:val="20"/>
        </w:rPr>
        <w:t>oxymorphone ER</w:t>
      </w:r>
      <w:r w:rsidR="003A09E2">
        <w:rPr>
          <w:rFonts w:ascii="Arial" w:hAnsi="Arial" w:cs="Arial"/>
          <w:sz w:val="20"/>
          <w:szCs w:val="20"/>
        </w:rPr>
        <w:t>)</w:t>
      </w:r>
      <w:r w:rsidR="003A09E2" w:rsidRPr="00B5437C">
        <w:rPr>
          <w:rFonts w:ascii="Arial" w:hAnsi="Arial" w:cs="Arial"/>
          <w:sz w:val="20"/>
          <w:szCs w:val="20"/>
        </w:rPr>
        <w:t xml:space="preserve"> continued the </w:t>
      </w:r>
      <w:r w:rsidR="003A09E2">
        <w:rPr>
          <w:rFonts w:ascii="Arial" w:hAnsi="Arial" w:cs="Arial"/>
          <w:sz w:val="20"/>
          <w:szCs w:val="20"/>
        </w:rPr>
        <w:t>stabilized dose from the</w:t>
      </w:r>
      <w:r w:rsidR="003A09E2" w:rsidRPr="00B5437C">
        <w:rPr>
          <w:rFonts w:ascii="Arial" w:hAnsi="Arial" w:cs="Arial"/>
          <w:sz w:val="20"/>
          <w:szCs w:val="20"/>
        </w:rPr>
        <w:t xml:space="preserve"> previous study; patients who had been taking a comparator opioid were switched to an equianalgesic dose of </w:t>
      </w:r>
      <w:r w:rsidR="003A09E2">
        <w:rPr>
          <w:rFonts w:ascii="Arial" w:hAnsi="Arial" w:cs="Arial"/>
          <w:sz w:val="20"/>
          <w:szCs w:val="20"/>
        </w:rPr>
        <w:t>Opana</w:t>
      </w:r>
      <w:r w:rsidR="003A09E2">
        <w:rPr>
          <w:rFonts w:cs="Arial"/>
          <w:sz w:val="20"/>
          <w:szCs w:val="20"/>
        </w:rPr>
        <w:t>®</w:t>
      </w:r>
      <w:r w:rsidR="003A09E2">
        <w:rPr>
          <w:rFonts w:ascii="Arial" w:hAnsi="Arial" w:cs="Arial"/>
          <w:sz w:val="20"/>
          <w:szCs w:val="20"/>
        </w:rPr>
        <w:t xml:space="preserve"> ER (</w:t>
      </w:r>
      <w:r w:rsidR="003A09E2" w:rsidRPr="00B5437C">
        <w:rPr>
          <w:rFonts w:ascii="Arial" w:hAnsi="Arial" w:cs="Arial"/>
          <w:sz w:val="20"/>
          <w:szCs w:val="20"/>
        </w:rPr>
        <w:t>oxymorphone ER</w:t>
      </w:r>
      <w:r w:rsidR="003A09E2">
        <w:rPr>
          <w:rFonts w:ascii="Arial" w:hAnsi="Arial" w:cs="Arial"/>
          <w:sz w:val="20"/>
          <w:szCs w:val="20"/>
        </w:rPr>
        <w:t>)</w:t>
      </w:r>
      <w:r w:rsidR="003A09E2" w:rsidRPr="00B5437C">
        <w:rPr>
          <w:rFonts w:ascii="Arial" w:hAnsi="Arial" w:cs="Arial"/>
          <w:sz w:val="20"/>
          <w:szCs w:val="20"/>
        </w:rPr>
        <w:t>.</w:t>
      </w:r>
      <w:r w:rsidR="003A09E2">
        <w:rPr>
          <w:rFonts w:ascii="Arial" w:hAnsi="Arial" w:cs="Arial"/>
          <w:sz w:val="20"/>
          <w:szCs w:val="20"/>
        </w:rPr>
        <w:t xml:space="preserve"> </w:t>
      </w:r>
      <w:r w:rsidR="003A09E2" w:rsidRPr="00B5437C">
        <w:rPr>
          <w:rFonts w:ascii="Arial" w:hAnsi="Arial" w:cs="Arial"/>
          <w:sz w:val="20"/>
          <w:szCs w:val="20"/>
        </w:rPr>
        <w:t xml:space="preserve">Of the 80 patients who were entered into the ES, 26 patients completed </w:t>
      </w:r>
      <w:r w:rsidR="003A09E2">
        <w:rPr>
          <w:rFonts w:ascii="Arial" w:hAnsi="Arial" w:cs="Arial"/>
          <w:sz w:val="20"/>
          <w:szCs w:val="20"/>
        </w:rPr>
        <w:t xml:space="preserve">all </w:t>
      </w:r>
      <w:r w:rsidR="003A09E2" w:rsidRPr="00B5437C">
        <w:rPr>
          <w:rFonts w:ascii="Arial" w:hAnsi="Arial" w:cs="Arial"/>
          <w:sz w:val="20"/>
          <w:szCs w:val="20"/>
        </w:rPr>
        <w:t>52 weeks</w:t>
      </w:r>
      <w:r w:rsidR="003A09E2">
        <w:rPr>
          <w:rFonts w:ascii="Arial" w:hAnsi="Arial" w:cs="Arial"/>
          <w:sz w:val="20"/>
          <w:szCs w:val="20"/>
        </w:rPr>
        <w:t>. S</w:t>
      </w:r>
      <w:r w:rsidR="003A09E2" w:rsidRPr="00B5437C">
        <w:rPr>
          <w:rFonts w:ascii="Arial" w:hAnsi="Arial" w:cs="Arial"/>
          <w:sz w:val="20"/>
          <w:szCs w:val="20"/>
        </w:rPr>
        <w:t xml:space="preserve">even </w:t>
      </w:r>
      <w:r w:rsidR="003A09E2">
        <w:rPr>
          <w:rFonts w:ascii="Arial" w:hAnsi="Arial" w:cs="Arial"/>
          <w:sz w:val="20"/>
          <w:szCs w:val="20"/>
        </w:rPr>
        <w:t xml:space="preserve">of the </w:t>
      </w:r>
      <w:r w:rsidR="003A09E2" w:rsidRPr="00B5437C">
        <w:rPr>
          <w:rFonts w:ascii="Arial" w:hAnsi="Arial" w:cs="Arial"/>
          <w:sz w:val="20"/>
          <w:szCs w:val="20"/>
        </w:rPr>
        <w:t>patients</w:t>
      </w:r>
      <w:r w:rsidR="003A09E2">
        <w:rPr>
          <w:rFonts w:ascii="Arial" w:hAnsi="Arial" w:cs="Arial"/>
          <w:sz w:val="20"/>
          <w:szCs w:val="20"/>
        </w:rPr>
        <w:t xml:space="preserve"> who </w:t>
      </w:r>
      <w:r w:rsidR="003A09E2" w:rsidRPr="00B5437C">
        <w:rPr>
          <w:rFonts w:ascii="Arial" w:hAnsi="Arial" w:cs="Arial"/>
          <w:sz w:val="20"/>
          <w:szCs w:val="20"/>
        </w:rPr>
        <w:t xml:space="preserve">discontinued </w:t>
      </w:r>
      <w:r w:rsidR="003A09E2">
        <w:rPr>
          <w:rFonts w:ascii="Arial" w:hAnsi="Arial" w:cs="Arial"/>
          <w:sz w:val="20"/>
          <w:szCs w:val="20"/>
        </w:rPr>
        <w:t xml:space="preserve">stated it was due to a </w:t>
      </w:r>
      <w:r w:rsidR="003A09E2" w:rsidRPr="00B5437C">
        <w:rPr>
          <w:rFonts w:ascii="Arial" w:hAnsi="Arial" w:cs="Arial"/>
          <w:sz w:val="20"/>
          <w:szCs w:val="20"/>
        </w:rPr>
        <w:t>loss of effectiveness</w:t>
      </w:r>
      <w:r w:rsidR="003A09E2">
        <w:rPr>
          <w:rFonts w:ascii="Arial" w:hAnsi="Arial" w:cs="Arial"/>
          <w:sz w:val="20"/>
          <w:szCs w:val="20"/>
        </w:rPr>
        <w:t xml:space="preserve"> with the agent provided</w:t>
      </w:r>
      <w:r w:rsidR="003A09E2" w:rsidRPr="00B5437C">
        <w:rPr>
          <w:rFonts w:ascii="Arial" w:hAnsi="Arial" w:cs="Arial"/>
          <w:sz w:val="20"/>
          <w:szCs w:val="20"/>
        </w:rPr>
        <w:t xml:space="preserve"> and 20 patients discontinued owing to adverse events (most unrelated to the study drug).</w:t>
      </w:r>
      <w:r w:rsidR="00816987">
        <w:rPr>
          <w:rFonts w:ascii="Arial" w:hAnsi="Arial" w:cs="Arial"/>
          <w:sz w:val="20"/>
          <w:szCs w:val="20"/>
          <w:vertAlign w:val="superscript"/>
        </w:rPr>
        <w:t>6</w:t>
      </w:r>
      <w:r w:rsidR="003A09E2">
        <w:rPr>
          <w:rFonts w:ascii="Arial" w:hAnsi="Arial" w:cs="Arial"/>
          <w:sz w:val="20"/>
          <w:szCs w:val="20"/>
        </w:rPr>
        <w:t xml:space="preserve"> </w:t>
      </w:r>
      <w:r w:rsidR="003A09E2" w:rsidRPr="00B5437C">
        <w:rPr>
          <w:rFonts w:ascii="Arial" w:hAnsi="Arial" w:cs="Arial"/>
          <w:sz w:val="20"/>
          <w:szCs w:val="20"/>
        </w:rPr>
        <w:t xml:space="preserve"> </w:t>
      </w:r>
    </w:p>
    <w:p w:rsidR="003A09E2" w:rsidRPr="00B5437C" w:rsidRDefault="003A09E2" w:rsidP="003A09E2">
      <w:pPr>
        <w:spacing w:after="0" w:line="240" w:lineRule="auto"/>
        <w:rPr>
          <w:rFonts w:ascii="Arial" w:hAnsi="Arial" w:cs="Arial"/>
          <w:sz w:val="20"/>
          <w:szCs w:val="20"/>
        </w:rPr>
      </w:pPr>
    </w:p>
    <w:p w:rsidR="00B62A3E" w:rsidRDefault="003A09E2" w:rsidP="00D247B7">
      <w:pPr>
        <w:spacing w:after="0" w:line="240" w:lineRule="auto"/>
        <w:rPr>
          <w:rFonts w:ascii="Arial" w:hAnsi="Arial" w:cs="Arial"/>
          <w:sz w:val="20"/>
          <w:szCs w:val="20"/>
        </w:rPr>
      </w:pPr>
      <w:r w:rsidRPr="00B5437C">
        <w:rPr>
          <w:rFonts w:ascii="Arial" w:hAnsi="Arial" w:cs="Arial"/>
          <w:sz w:val="20"/>
          <w:szCs w:val="20"/>
        </w:rPr>
        <w:t>N</w:t>
      </w:r>
      <w:r>
        <w:rPr>
          <w:rFonts w:ascii="Arial" w:hAnsi="Arial" w:cs="Arial"/>
          <w:sz w:val="20"/>
          <w:szCs w:val="20"/>
        </w:rPr>
        <w:t xml:space="preserve">o significant increase in mean pain intensity </w:t>
      </w:r>
      <w:r w:rsidRPr="00B5437C">
        <w:rPr>
          <w:rFonts w:ascii="Arial" w:hAnsi="Arial" w:cs="Arial"/>
          <w:sz w:val="20"/>
          <w:szCs w:val="20"/>
        </w:rPr>
        <w:t>was observed from baseline (30.5 [19.6], 100-point scale) to fin</w:t>
      </w:r>
      <w:r>
        <w:rPr>
          <w:rFonts w:ascii="Arial" w:hAnsi="Arial" w:cs="Arial"/>
          <w:sz w:val="20"/>
          <w:szCs w:val="20"/>
        </w:rPr>
        <w:t xml:space="preserve">al visit (35.9 [21.1]; P=0.37). </w:t>
      </w:r>
      <w:r w:rsidRPr="00B5437C">
        <w:rPr>
          <w:rFonts w:ascii="Arial" w:hAnsi="Arial" w:cs="Arial"/>
          <w:sz w:val="20"/>
          <w:szCs w:val="20"/>
        </w:rPr>
        <w:t xml:space="preserve">The most common adverse events were concomitant disease progression (28.8%; n=23), nausea (22.5%; n=18), dyspnea (16.3%; n=13), fatigue (16.3%; n=13) and edema </w:t>
      </w:r>
      <w:r w:rsidR="00D247B7">
        <w:rPr>
          <w:rFonts w:ascii="Arial" w:hAnsi="Arial" w:cs="Arial"/>
          <w:sz w:val="20"/>
          <w:szCs w:val="20"/>
        </w:rPr>
        <w:t>of the lower limb (15%; n=12).</w:t>
      </w:r>
      <w:r w:rsidR="00816987">
        <w:rPr>
          <w:rFonts w:ascii="Arial" w:hAnsi="Arial" w:cs="Arial"/>
          <w:sz w:val="20"/>
          <w:szCs w:val="20"/>
          <w:vertAlign w:val="superscript"/>
        </w:rPr>
        <w:t>6</w:t>
      </w:r>
      <w:r w:rsidR="00D247B7">
        <w:rPr>
          <w:rFonts w:ascii="Arial" w:hAnsi="Arial" w:cs="Arial"/>
          <w:sz w:val="20"/>
          <w:szCs w:val="20"/>
        </w:rPr>
        <w:t xml:space="preserve"> </w:t>
      </w:r>
    </w:p>
    <w:p w:rsidR="00D247B7" w:rsidRDefault="00D247B7" w:rsidP="00D247B7">
      <w:pPr>
        <w:spacing w:after="0" w:line="240" w:lineRule="auto"/>
        <w:rPr>
          <w:rFonts w:ascii="Arial" w:hAnsi="Arial" w:cs="Arial"/>
          <w:sz w:val="20"/>
          <w:szCs w:val="20"/>
        </w:rPr>
      </w:pPr>
    </w:p>
    <w:p w:rsidR="00D247B7" w:rsidRDefault="00047134" w:rsidP="00D52A14">
      <w:pPr>
        <w:spacing w:after="0" w:line="240" w:lineRule="auto"/>
        <w:rPr>
          <w:rFonts w:ascii="Arial" w:hAnsi="Arial" w:cs="Arial"/>
          <w:sz w:val="20"/>
          <w:szCs w:val="20"/>
        </w:rPr>
      </w:pPr>
      <w:r>
        <w:rPr>
          <w:rFonts w:ascii="Arial" w:hAnsi="Arial" w:cs="Arial"/>
          <w:sz w:val="20"/>
          <w:szCs w:val="20"/>
        </w:rPr>
        <w:t xml:space="preserve">Finally, this agent has been evaluated in a DB, </w:t>
      </w:r>
      <w:r w:rsidR="00B869D3">
        <w:rPr>
          <w:rFonts w:ascii="Arial" w:hAnsi="Arial" w:cs="Arial"/>
          <w:sz w:val="20"/>
          <w:szCs w:val="20"/>
        </w:rPr>
        <w:t xml:space="preserve">randomized, </w:t>
      </w:r>
      <w:r>
        <w:rPr>
          <w:rFonts w:ascii="Arial" w:hAnsi="Arial" w:cs="Arial"/>
          <w:sz w:val="20"/>
          <w:szCs w:val="20"/>
        </w:rPr>
        <w:t xml:space="preserve">placebo-controlled trial in patients 18 years of age and older with osteoarthritis who were regularly taking acetaminophen, non-steroidal-antiinflammatory drugs or opioids for 90 days prior to the screening visit with suboptimal analgesic response. This study compared the analgesic effect of three doses of </w:t>
      </w:r>
      <w:r w:rsidR="0055761F">
        <w:rPr>
          <w:rFonts w:ascii="Arial" w:hAnsi="Arial" w:cs="Arial"/>
          <w:sz w:val="20"/>
          <w:szCs w:val="20"/>
        </w:rPr>
        <w:t>Opana</w:t>
      </w:r>
      <w:r w:rsidR="0055761F">
        <w:rPr>
          <w:rFonts w:cs="Arial"/>
          <w:sz w:val="20"/>
          <w:szCs w:val="20"/>
        </w:rPr>
        <w:t>®</w:t>
      </w:r>
      <w:r w:rsidR="0055761F">
        <w:rPr>
          <w:rFonts w:ascii="Arial" w:hAnsi="Arial" w:cs="Arial"/>
          <w:sz w:val="20"/>
          <w:szCs w:val="20"/>
        </w:rPr>
        <w:t xml:space="preserve"> ER (</w:t>
      </w:r>
      <w:r w:rsidR="0055761F" w:rsidRPr="00FF18FA">
        <w:rPr>
          <w:rFonts w:ascii="Arial" w:hAnsi="Arial" w:cs="Arial"/>
          <w:sz w:val="20"/>
          <w:szCs w:val="20"/>
        </w:rPr>
        <w:t>oxymorphone ER</w:t>
      </w:r>
      <w:r w:rsidR="0055761F">
        <w:rPr>
          <w:rFonts w:ascii="Arial" w:hAnsi="Arial" w:cs="Arial"/>
          <w:sz w:val="20"/>
          <w:szCs w:val="20"/>
        </w:rPr>
        <w:t xml:space="preserve">) </w:t>
      </w:r>
      <w:r>
        <w:rPr>
          <w:rFonts w:ascii="Arial" w:hAnsi="Arial" w:cs="Arial"/>
          <w:sz w:val="20"/>
          <w:szCs w:val="20"/>
        </w:rPr>
        <w:t>Q12H with those of placebo. After a washout period of two to seven days, 370 individuals were randomized to receive one of the four treatment regimens</w:t>
      </w:r>
      <w:r w:rsidR="00D52A14">
        <w:rPr>
          <w:rFonts w:ascii="Arial" w:hAnsi="Arial" w:cs="Arial"/>
          <w:sz w:val="20"/>
          <w:szCs w:val="20"/>
        </w:rPr>
        <w:t xml:space="preserve"> for a period of two weeks</w:t>
      </w:r>
      <w:r>
        <w:rPr>
          <w:rFonts w:ascii="Arial" w:hAnsi="Arial" w:cs="Arial"/>
          <w:sz w:val="20"/>
          <w:szCs w:val="20"/>
        </w:rPr>
        <w:t>.</w:t>
      </w:r>
      <w:r w:rsidR="00D52A14">
        <w:rPr>
          <w:rFonts w:ascii="Arial" w:hAnsi="Arial" w:cs="Arial"/>
          <w:sz w:val="20"/>
          <w:szCs w:val="20"/>
        </w:rPr>
        <w:t xml:space="preserve"> The primary endpoint of mean change in arthritis pain intensity was evaluated.</w:t>
      </w:r>
      <w:r w:rsidR="001911C2">
        <w:rPr>
          <w:rFonts w:ascii="Arial" w:hAnsi="Arial" w:cs="Arial"/>
          <w:sz w:val="20"/>
          <w:szCs w:val="20"/>
          <w:vertAlign w:val="superscript"/>
        </w:rPr>
        <w:t>7</w:t>
      </w:r>
      <w:r w:rsidR="00D52A14">
        <w:rPr>
          <w:rFonts w:ascii="Arial" w:hAnsi="Arial" w:cs="Arial"/>
          <w:sz w:val="20"/>
          <w:szCs w:val="20"/>
        </w:rPr>
        <w:t xml:space="preserve"> </w:t>
      </w:r>
    </w:p>
    <w:p w:rsidR="00D247B7" w:rsidRDefault="00D247B7" w:rsidP="00D52A14">
      <w:pPr>
        <w:spacing w:after="0" w:line="240" w:lineRule="auto"/>
        <w:rPr>
          <w:rFonts w:ascii="Arial" w:hAnsi="Arial" w:cs="Arial"/>
          <w:sz w:val="20"/>
          <w:szCs w:val="20"/>
        </w:rPr>
      </w:pPr>
    </w:p>
    <w:p w:rsidR="00D52A14" w:rsidRPr="001911C2" w:rsidRDefault="00D52A14" w:rsidP="0055761F">
      <w:pPr>
        <w:spacing w:after="0" w:line="240" w:lineRule="auto"/>
        <w:jc w:val="both"/>
        <w:rPr>
          <w:rFonts w:ascii="Arial" w:hAnsi="Arial" w:cs="Arial"/>
          <w:sz w:val="20"/>
          <w:szCs w:val="20"/>
          <w:vertAlign w:val="superscript"/>
        </w:rPr>
      </w:pPr>
      <w:r>
        <w:rPr>
          <w:rFonts w:ascii="Arial" w:hAnsi="Arial" w:cs="Arial"/>
          <w:sz w:val="20"/>
          <w:szCs w:val="20"/>
        </w:rPr>
        <w:t xml:space="preserve">From the 198 individuals who completed the study, </w:t>
      </w:r>
      <w:r w:rsidRPr="00B5437C">
        <w:rPr>
          <w:rFonts w:ascii="Arial" w:hAnsi="Arial" w:cs="Arial"/>
          <w:sz w:val="20"/>
          <w:szCs w:val="20"/>
        </w:rPr>
        <w:t xml:space="preserve">the </w:t>
      </w:r>
      <w:r w:rsidR="008E563B">
        <w:rPr>
          <w:rFonts w:ascii="Arial" w:hAnsi="Arial" w:cs="Arial"/>
          <w:sz w:val="20"/>
          <w:szCs w:val="20"/>
        </w:rPr>
        <w:t>LS</w:t>
      </w:r>
      <w:r>
        <w:rPr>
          <w:rFonts w:ascii="Arial" w:hAnsi="Arial" w:cs="Arial"/>
          <w:sz w:val="20"/>
          <w:szCs w:val="20"/>
        </w:rPr>
        <w:t xml:space="preserve"> mean change in arthritis pain intensity</w:t>
      </w:r>
      <w:r w:rsidRPr="00B5437C">
        <w:rPr>
          <w:rFonts w:ascii="Arial" w:hAnsi="Arial" w:cs="Arial"/>
          <w:sz w:val="20"/>
          <w:szCs w:val="20"/>
        </w:rPr>
        <w:t xml:space="preserve"> from baseline to the final visit, as measured on the 100-mm VAS, were -21, -28, -29 and -17 mm for </w:t>
      </w:r>
      <w:r w:rsidR="008E563B">
        <w:rPr>
          <w:rFonts w:ascii="Arial" w:hAnsi="Arial" w:cs="Arial"/>
          <w:sz w:val="20"/>
          <w:szCs w:val="20"/>
        </w:rPr>
        <w:t>Opana</w:t>
      </w:r>
      <w:r w:rsidR="008E563B">
        <w:rPr>
          <w:rFonts w:cs="Arial"/>
          <w:sz w:val="20"/>
          <w:szCs w:val="20"/>
        </w:rPr>
        <w:t>®</w:t>
      </w:r>
      <w:r w:rsidR="008E563B">
        <w:rPr>
          <w:rFonts w:ascii="Arial" w:hAnsi="Arial" w:cs="Arial"/>
          <w:sz w:val="20"/>
          <w:szCs w:val="20"/>
        </w:rPr>
        <w:t xml:space="preserve"> ER (</w:t>
      </w:r>
      <w:r w:rsidR="008E563B" w:rsidRPr="00FF18FA">
        <w:rPr>
          <w:rFonts w:ascii="Arial" w:hAnsi="Arial" w:cs="Arial"/>
          <w:sz w:val="20"/>
          <w:szCs w:val="20"/>
        </w:rPr>
        <w:t>oxymorphone ER</w:t>
      </w:r>
      <w:r w:rsidR="008E563B">
        <w:rPr>
          <w:rFonts w:ascii="Arial" w:hAnsi="Arial" w:cs="Arial"/>
          <w:sz w:val="20"/>
          <w:szCs w:val="20"/>
        </w:rPr>
        <w:t xml:space="preserve">) </w:t>
      </w:r>
      <w:r w:rsidRPr="00B5437C">
        <w:rPr>
          <w:rFonts w:ascii="Arial" w:hAnsi="Arial" w:cs="Arial"/>
          <w:sz w:val="20"/>
          <w:szCs w:val="20"/>
        </w:rPr>
        <w:t>10, 40 and 50 mg; and placebo, respectively</w:t>
      </w:r>
      <w:r>
        <w:rPr>
          <w:rFonts w:ascii="Arial" w:hAnsi="Arial" w:cs="Arial"/>
          <w:sz w:val="20"/>
          <w:szCs w:val="20"/>
        </w:rPr>
        <w:t xml:space="preserve"> (P=0.002)</w:t>
      </w:r>
      <w:r w:rsidRPr="00B5437C">
        <w:rPr>
          <w:rFonts w:ascii="Arial" w:hAnsi="Arial" w:cs="Arial"/>
          <w:sz w:val="20"/>
          <w:szCs w:val="20"/>
        </w:rPr>
        <w:t xml:space="preserve">. Compared to placebo, arthritis </w:t>
      </w:r>
      <w:r>
        <w:rPr>
          <w:rFonts w:ascii="Arial" w:hAnsi="Arial" w:cs="Arial"/>
          <w:sz w:val="20"/>
          <w:szCs w:val="20"/>
        </w:rPr>
        <w:t>pain intensity</w:t>
      </w:r>
      <w:r w:rsidRPr="00B5437C">
        <w:rPr>
          <w:rFonts w:ascii="Arial" w:hAnsi="Arial" w:cs="Arial"/>
          <w:sz w:val="20"/>
          <w:szCs w:val="20"/>
        </w:rPr>
        <w:t xml:space="preserve"> scores were improved by 62.8% and 70.9% after treatment with </w:t>
      </w:r>
      <w:r w:rsidR="008E563B">
        <w:rPr>
          <w:rFonts w:ascii="Arial" w:hAnsi="Arial" w:cs="Arial"/>
          <w:sz w:val="20"/>
          <w:szCs w:val="20"/>
        </w:rPr>
        <w:t>Opana</w:t>
      </w:r>
      <w:r w:rsidR="008E563B">
        <w:rPr>
          <w:rFonts w:cs="Arial"/>
          <w:sz w:val="20"/>
          <w:szCs w:val="20"/>
        </w:rPr>
        <w:t>®</w:t>
      </w:r>
      <w:r w:rsidR="008E563B">
        <w:rPr>
          <w:rFonts w:ascii="Arial" w:hAnsi="Arial" w:cs="Arial"/>
          <w:sz w:val="20"/>
          <w:szCs w:val="20"/>
        </w:rPr>
        <w:t xml:space="preserve"> ER (</w:t>
      </w:r>
      <w:r w:rsidR="008E563B" w:rsidRPr="00FF18FA">
        <w:rPr>
          <w:rFonts w:ascii="Arial" w:hAnsi="Arial" w:cs="Arial"/>
          <w:sz w:val="20"/>
          <w:szCs w:val="20"/>
        </w:rPr>
        <w:t>oxymorphone ER</w:t>
      </w:r>
      <w:r w:rsidR="008E563B">
        <w:rPr>
          <w:rFonts w:ascii="Arial" w:hAnsi="Arial" w:cs="Arial"/>
          <w:sz w:val="20"/>
          <w:szCs w:val="20"/>
        </w:rPr>
        <w:t xml:space="preserve">) </w:t>
      </w:r>
      <w:r w:rsidRPr="00B5437C">
        <w:rPr>
          <w:rFonts w:ascii="Arial" w:hAnsi="Arial" w:cs="Arial"/>
          <w:sz w:val="20"/>
          <w:szCs w:val="20"/>
        </w:rPr>
        <w:t xml:space="preserve">40 or 50 mg </w:t>
      </w:r>
      <w:r>
        <w:rPr>
          <w:rFonts w:ascii="Arial" w:hAnsi="Arial" w:cs="Arial"/>
          <w:sz w:val="20"/>
          <w:szCs w:val="20"/>
        </w:rPr>
        <w:t>Q12H</w:t>
      </w:r>
      <w:r w:rsidRPr="00B5437C">
        <w:rPr>
          <w:rFonts w:ascii="Arial" w:hAnsi="Arial" w:cs="Arial"/>
          <w:sz w:val="20"/>
          <w:szCs w:val="20"/>
        </w:rPr>
        <w:t>, resp</w:t>
      </w:r>
      <w:r w:rsidR="00D247B7">
        <w:rPr>
          <w:rFonts w:ascii="Arial" w:hAnsi="Arial" w:cs="Arial"/>
          <w:sz w:val="20"/>
          <w:szCs w:val="20"/>
        </w:rPr>
        <w:t xml:space="preserve">ectively (P=0.012 and P=0.006). </w:t>
      </w:r>
      <w:r w:rsidRPr="00B5437C">
        <w:rPr>
          <w:rFonts w:ascii="Arial" w:hAnsi="Arial" w:cs="Arial"/>
          <w:sz w:val="20"/>
          <w:szCs w:val="20"/>
        </w:rPr>
        <w:t xml:space="preserve">All patients who received </w:t>
      </w:r>
      <w:r w:rsidR="008E563B">
        <w:rPr>
          <w:rFonts w:ascii="Arial" w:hAnsi="Arial" w:cs="Arial"/>
          <w:sz w:val="20"/>
          <w:szCs w:val="20"/>
        </w:rPr>
        <w:t>Opana</w:t>
      </w:r>
      <w:r w:rsidR="008E563B">
        <w:rPr>
          <w:rFonts w:cs="Arial"/>
          <w:sz w:val="20"/>
          <w:szCs w:val="20"/>
        </w:rPr>
        <w:t>®</w:t>
      </w:r>
      <w:r w:rsidR="008E563B">
        <w:rPr>
          <w:rFonts w:ascii="Arial" w:hAnsi="Arial" w:cs="Arial"/>
          <w:sz w:val="20"/>
          <w:szCs w:val="20"/>
        </w:rPr>
        <w:t xml:space="preserve"> ER (</w:t>
      </w:r>
      <w:r w:rsidR="008E563B" w:rsidRPr="00FF18FA">
        <w:rPr>
          <w:rFonts w:ascii="Arial" w:hAnsi="Arial" w:cs="Arial"/>
          <w:sz w:val="20"/>
          <w:szCs w:val="20"/>
        </w:rPr>
        <w:t>oxymorphone ER</w:t>
      </w:r>
      <w:r w:rsidR="008E563B">
        <w:rPr>
          <w:rFonts w:ascii="Arial" w:hAnsi="Arial" w:cs="Arial"/>
          <w:sz w:val="20"/>
          <w:szCs w:val="20"/>
        </w:rPr>
        <w:t>)</w:t>
      </w:r>
      <w:r w:rsidRPr="00B5437C">
        <w:rPr>
          <w:rFonts w:ascii="Arial" w:hAnsi="Arial" w:cs="Arial"/>
          <w:sz w:val="20"/>
          <w:szCs w:val="20"/>
        </w:rPr>
        <w:t xml:space="preserve">, irrespective of the dose, had significant improvements in the </w:t>
      </w:r>
      <w:r>
        <w:rPr>
          <w:rFonts w:ascii="Arial" w:hAnsi="Arial" w:cs="Arial"/>
          <w:sz w:val="20"/>
          <w:szCs w:val="20"/>
        </w:rPr>
        <w:t>Short-Form Health Survey (SF</w:t>
      </w:r>
      <w:r w:rsidRPr="00B5437C">
        <w:rPr>
          <w:rFonts w:ascii="Arial" w:hAnsi="Arial" w:cs="Arial"/>
          <w:sz w:val="20"/>
          <w:szCs w:val="20"/>
        </w:rPr>
        <w:t>-36</w:t>
      </w:r>
      <w:r>
        <w:rPr>
          <w:rFonts w:ascii="Arial" w:hAnsi="Arial" w:cs="Arial"/>
          <w:sz w:val="20"/>
          <w:szCs w:val="20"/>
        </w:rPr>
        <w:t>)</w:t>
      </w:r>
      <w:r w:rsidRPr="00B5437C">
        <w:rPr>
          <w:rFonts w:ascii="Arial" w:hAnsi="Arial" w:cs="Arial"/>
          <w:sz w:val="20"/>
          <w:szCs w:val="20"/>
        </w:rPr>
        <w:t xml:space="preserve"> quality of life score compared to placebo. The changes from baseline were 3.9, 4.6, 3.6 and -0.1 points with </w:t>
      </w:r>
      <w:r w:rsidR="008E563B">
        <w:rPr>
          <w:rFonts w:ascii="Arial" w:hAnsi="Arial" w:cs="Arial"/>
          <w:sz w:val="20"/>
          <w:szCs w:val="20"/>
        </w:rPr>
        <w:t>Opana</w:t>
      </w:r>
      <w:r w:rsidR="008E563B">
        <w:rPr>
          <w:rFonts w:cs="Arial"/>
          <w:sz w:val="20"/>
          <w:szCs w:val="20"/>
        </w:rPr>
        <w:t>®</w:t>
      </w:r>
      <w:r w:rsidR="008E563B">
        <w:rPr>
          <w:rFonts w:ascii="Arial" w:hAnsi="Arial" w:cs="Arial"/>
          <w:sz w:val="20"/>
          <w:szCs w:val="20"/>
        </w:rPr>
        <w:t xml:space="preserve"> ER (</w:t>
      </w:r>
      <w:r w:rsidR="008E563B" w:rsidRPr="00FF18FA">
        <w:rPr>
          <w:rFonts w:ascii="Arial" w:hAnsi="Arial" w:cs="Arial"/>
          <w:sz w:val="20"/>
          <w:szCs w:val="20"/>
        </w:rPr>
        <w:t>oxymorphone ER</w:t>
      </w:r>
      <w:r w:rsidR="008E563B">
        <w:rPr>
          <w:rFonts w:ascii="Arial" w:hAnsi="Arial" w:cs="Arial"/>
          <w:sz w:val="20"/>
          <w:szCs w:val="20"/>
        </w:rPr>
        <w:t xml:space="preserve">) </w:t>
      </w:r>
      <w:r w:rsidRPr="00B5437C">
        <w:rPr>
          <w:rFonts w:ascii="Arial" w:hAnsi="Arial" w:cs="Arial"/>
          <w:sz w:val="20"/>
          <w:szCs w:val="20"/>
        </w:rPr>
        <w:t>10, 40 and 50 mg; and p</w:t>
      </w:r>
      <w:r>
        <w:rPr>
          <w:rFonts w:ascii="Arial" w:hAnsi="Arial" w:cs="Arial"/>
          <w:sz w:val="20"/>
          <w:szCs w:val="20"/>
        </w:rPr>
        <w:t xml:space="preserve">lacebo, respectively (P&lt;0.001). </w:t>
      </w:r>
      <w:r w:rsidRPr="00B5437C">
        <w:rPr>
          <w:rFonts w:ascii="Arial" w:hAnsi="Arial" w:cs="Arial"/>
          <w:sz w:val="20"/>
          <w:szCs w:val="20"/>
        </w:rPr>
        <w:t xml:space="preserve">Improvements in the </w:t>
      </w:r>
      <w:r w:rsidR="008E563B" w:rsidRPr="008E563B">
        <w:rPr>
          <w:rFonts w:ascii="Arial" w:hAnsi="Arial" w:cs="Arial"/>
          <w:sz w:val="20"/>
          <w:szCs w:val="20"/>
        </w:rPr>
        <w:t>Chronic Pain Sleep Inventory</w:t>
      </w:r>
      <w:r w:rsidR="008E563B" w:rsidRPr="00B5437C">
        <w:rPr>
          <w:rFonts w:ascii="Arial" w:hAnsi="Arial" w:cs="Arial"/>
          <w:sz w:val="20"/>
          <w:szCs w:val="20"/>
        </w:rPr>
        <w:t xml:space="preserve"> </w:t>
      </w:r>
      <w:r w:rsidR="008E563B">
        <w:rPr>
          <w:rFonts w:ascii="Arial" w:hAnsi="Arial" w:cs="Arial"/>
          <w:sz w:val="20"/>
          <w:szCs w:val="20"/>
        </w:rPr>
        <w:t>(</w:t>
      </w:r>
      <w:r w:rsidRPr="00B5437C">
        <w:rPr>
          <w:rFonts w:ascii="Arial" w:hAnsi="Arial" w:cs="Arial"/>
          <w:sz w:val="20"/>
          <w:szCs w:val="20"/>
        </w:rPr>
        <w:t>CPSI</w:t>
      </w:r>
      <w:r w:rsidR="008E563B">
        <w:rPr>
          <w:rFonts w:ascii="Arial" w:hAnsi="Arial" w:cs="Arial"/>
          <w:sz w:val="20"/>
          <w:szCs w:val="20"/>
        </w:rPr>
        <w:t>)</w:t>
      </w:r>
      <w:r w:rsidRPr="00B5437C">
        <w:rPr>
          <w:rFonts w:ascii="Arial" w:hAnsi="Arial" w:cs="Arial"/>
          <w:sz w:val="20"/>
          <w:szCs w:val="20"/>
        </w:rPr>
        <w:t xml:space="preserve"> scores for overall sleep quality were two-fold greater in patients who received </w:t>
      </w:r>
      <w:r w:rsidR="008E563B">
        <w:rPr>
          <w:rFonts w:ascii="Arial" w:hAnsi="Arial" w:cs="Arial"/>
          <w:sz w:val="20"/>
          <w:szCs w:val="20"/>
        </w:rPr>
        <w:t>Opana</w:t>
      </w:r>
      <w:r w:rsidR="008E563B">
        <w:rPr>
          <w:rFonts w:cs="Arial"/>
          <w:sz w:val="20"/>
          <w:szCs w:val="20"/>
        </w:rPr>
        <w:t>®</w:t>
      </w:r>
      <w:r w:rsidR="008E563B">
        <w:rPr>
          <w:rFonts w:ascii="Arial" w:hAnsi="Arial" w:cs="Arial"/>
          <w:sz w:val="20"/>
          <w:szCs w:val="20"/>
        </w:rPr>
        <w:t xml:space="preserve"> ER (</w:t>
      </w:r>
      <w:r w:rsidR="008E563B" w:rsidRPr="00FF18FA">
        <w:rPr>
          <w:rFonts w:ascii="Arial" w:hAnsi="Arial" w:cs="Arial"/>
          <w:sz w:val="20"/>
          <w:szCs w:val="20"/>
        </w:rPr>
        <w:t>oxymorphone ER</w:t>
      </w:r>
      <w:r w:rsidR="008E563B">
        <w:rPr>
          <w:rFonts w:ascii="Arial" w:hAnsi="Arial" w:cs="Arial"/>
          <w:sz w:val="20"/>
          <w:szCs w:val="20"/>
        </w:rPr>
        <w:t xml:space="preserve">) </w:t>
      </w:r>
      <w:r w:rsidRPr="00B5437C">
        <w:rPr>
          <w:rFonts w:ascii="Arial" w:hAnsi="Arial" w:cs="Arial"/>
          <w:sz w:val="20"/>
          <w:szCs w:val="20"/>
        </w:rPr>
        <w:t>40 and 50 mg than in the placebo group (P</w:t>
      </w:r>
      <w:r w:rsidR="00B869D3">
        <w:rPr>
          <w:rFonts w:ascii="Arial" w:hAnsi="Arial" w:cs="Arial"/>
          <w:sz w:val="20"/>
          <w:szCs w:val="20"/>
        </w:rPr>
        <w:t>≤</w:t>
      </w:r>
      <w:r w:rsidRPr="00B5437C">
        <w:rPr>
          <w:rFonts w:ascii="Arial" w:hAnsi="Arial" w:cs="Arial"/>
          <w:sz w:val="20"/>
          <w:szCs w:val="20"/>
        </w:rPr>
        <w:t>0.05).</w:t>
      </w:r>
      <w:r>
        <w:rPr>
          <w:rFonts w:ascii="Arial" w:hAnsi="Arial" w:cs="Arial"/>
          <w:sz w:val="20"/>
          <w:szCs w:val="20"/>
        </w:rPr>
        <w:t xml:space="preserve"> The majority of adverse events reported with </w:t>
      </w:r>
      <w:r w:rsidR="008E563B">
        <w:rPr>
          <w:rFonts w:ascii="Arial" w:hAnsi="Arial" w:cs="Arial"/>
          <w:sz w:val="20"/>
          <w:szCs w:val="20"/>
        </w:rPr>
        <w:t>Opana</w:t>
      </w:r>
      <w:r w:rsidR="008E563B">
        <w:rPr>
          <w:rFonts w:cs="Arial"/>
          <w:sz w:val="20"/>
          <w:szCs w:val="20"/>
        </w:rPr>
        <w:t>®</w:t>
      </w:r>
      <w:r w:rsidR="008E563B">
        <w:rPr>
          <w:rFonts w:ascii="Arial" w:hAnsi="Arial" w:cs="Arial"/>
          <w:sz w:val="20"/>
          <w:szCs w:val="20"/>
        </w:rPr>
        <w:t xml:space="preserve"> ER (</w:t>
      </w:r>
      <w:r w:rsidR="008E563B" w:rsidRPr="00FF18FA">
        <w:rPr>
          <w:rFonts w:ascii="Arial" w:hAnsi="Arial" w:cs="Arial"/>
          <w:sz w:val="20"/>
          <w:szCs w:val="20"/>
        </w:rPr>
        <w:t>oxymorphone ER</w:t>
      </w:r>
      <w:r w:rsidR="008E563B">
        <w:rPr>
          <w:rFonts w:ascii="Arial" w:hAnsi="Arial" w:cs="Arial"/>
          <w:sz w:val="20"/>
          <w:szCs w:val="20"/>
        </w:rPr>
        <w:t xml:space="preserve">) </w:t>
      </w:r>
      <w:r>
        <w:rPr>
          <w:rFonts w:ascii="Arial" w:hAnsi="Arial" w:cs="Arial"/>
          <w:sz w:val="20"/>
          <w:szCs w:val="20"/>
        </w:rPr>
        <w:t>were noted to be mild to moderate in intensity. However, three serious adverse events (urinary retention, central nervous depression and pancreatitis) were possibly related t</w:t>
      </w:r>
      <w:r w:rsidR="008E563B">
        <w:rPr>
          <w:rFonts w:ascii="Arial" w:hAnsi="Arial" w:cs="Arial"/>
          <w:sz w:val="20"/>
          <w:szCs w:val="20"/>
        </w:rPr>
        <w:t>o this agent</w:t>
      </w:r>
      <w:r>
        <w:rPr>
          <w:rFonts w:ascii="Arial" w:hAnsi="Arial" w:cs="Arial"/>
          <w:sz w:val="20"/>
          <w:szCs w:val="20"/>
        </w:rPr>
        <w:t>.</w:t>
      </w:r>
      <w:r w:rsidR="001911C2">
        <w:rPr>
          <w:rFonts w:ascii="Arial" w:hAnsi="Arial" w:cs="Arial"/>
          <w:sz w:val="20"/>
          <w:szCs w:val="20"/>
          <w:vertAlign w:val="superscript"/>
        </w:rPr>
        <w:t>7</w:t>
      </w:r>
    </w:p>
    <w:p w:rsidR="00047134" w:rsidRPr="009A6AD5" w:rsidRDefault="00047134" w:rsidP="00B62A3E">
      <w:pPr>
        <w:spacing w:line="240" w:lineRule="auto"/>
        <w:rPr>
          <w:rFonts w:ascii="Arial" w:hAnsi="Arial" w:cs="Arial"/>
          <w:sz w:val="20"/>
          <w:szCs w:val="20"/>
        </w:rPr>
      </w:pPr>
    </w:p>
    <w:p w:rsidR="00D83513" w:rsidRPr="00D52A14" w:rsidRDefault="00D83513" w:rsidP="00D52A14">
      <w:pPr>
        <w:autoSpaceDE w:val="0"/>
        <w:autoSpaceDN w:val="0"/>
        <w:adjustRightInd w:val="0"/>
        <w:spacing w:after="0" w:line="240" w:lineRule="auto"/>
        <w:rPr>
          <w:rFonts w:ascii="Arial" w:eastAsia="Times New Roman" w:hAnsi="Arial" w:cs="Arial"/>
          <w:b/>
          <w:color w:val="141314"/>
          <w:sz w:val="20"/>
          <w:szCs w:val="20"/>
        </w:rPr>
        <w:sectPr w:rsidR="00D83513" w:rsidRPr="00D52A14" w:rsidSect="00162B15">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rsidR="00D83513" w:rsidRPr="00007BBF" w:rsidRDefault="00D83513" w:rsidP="00466D74">
      <w:pPr>
        <w:pStyle w:val="NoSpacing"/>
        <w:ind w:left="-810"/>
        <w:rPr>
          <w:rFonts w:ascii="Arial" w:hAnsi="Arial" w:cs="Arial"/>
          <w:b/>
          <w:sz w:val="20"/>
          <w:szCs w:val="20"/>
        </w:rPr>
      </w:pPr>
      <w:r w:rsidRPr="00007BBF">
        <w:rPr>
          <w:rFonts w:ascii="Arial" w:hAnsi="Arial" w:cs="Arial"/>
          <w:b/>
          <w:sz w:val="20"/>
          <w:szCs w:val="20"/>
        </w:rPr>
        <w:lastRenderedPageBreak/>
        <w:t xml:space="preserve">Table </w:t>
      </w:r>
      <w:r>
        <w:rPr>
          <w:rFonts w:ascii="Arial" w:hAnsi="Arial" w:cs="Arial"/>
          <w:b/>
          <w:sz w:val="20"/>
          <w:szCs w:val="20"/>
        </w:rPr>
        <w:t>2</w:t>
      </w:r>
      <w:r w:rsidRPr="00007BBF">
        <w:rPr>
          <w:rFonts w:ascii="Arial" w:hAnsi="Arial" w:cs="Arial"/>
          <w:b/>
          <w:sz w:val="20"/>
          <w:szCs w:val="20"/>
        </w:rPr>
        <w:t xml:space="preserve">. Clinical Trials </w:t>
      </w:r>
    </w:p>
    <w:tbl>
      <w:tblPr>
        <w:tblW w:w="13820" w:type="dxa"/>
        <w:tblInd w:w="-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1940"/>
        <w:gridCol w:w="2070"/>
        <w:gridCol w:w="1440"/>
        <w:gridCol w:w="1980"/>
        <w:gridCol w:w="6390"/>
      </w:tblGrid>
      <w:tr w:rsidR="00BB73B2" w:rsidRPr="00007BBF" w:rsidTr="00466D74">
        <w:trPr>
          <w:tblHeader/>
        </w:trPr>
        <w:tc>
          <w:tcPr>
            <w:tcW w:w="194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Study and Drug Regimen</w:t>
            </w:r>
          </w:p>
        </w:tc>
        <w:tc>
          <w:tcPr>
            <w:tcW w:w="207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Study Design and</w:t>
            </w:r>
          </w:p>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Demographics</w:t>
            </w:r>
          </w:p>
        </w:tc>
        <w:tc>
          <w:tcPr>
            <w:tcW w:w="144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Sample Size</w:t>
            </w:r>
          </w:p>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and Study Duration</w:t>
            </w:r>
          </w:p>
        </w:tc>
        <w:tc>
          <w:tcPr>
            <w:tcW w:w="198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End Points</w:t>
            </w:r>
          </w:p>
        </w:tc>
        <w:tc>
          <w:tcPr>
            <w:tcW w:w="639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Results</w:t>
            </w:r>
          </w:p>
        </w:tc>
      </w:tr>
      <w:tr w:rsidR="003E6965" w:rsidRPr="002F74AF" w:rsidTr="003E6965">
        <w:tc>
          <w:tcPr>
            <w:tcW w:w="13820" w:type="dxa"/>
            <w:gridSpan w:val="5"/>
            <w:shd w:val="clear" w:color="auto" w:fill="BFBFBF" w:themeFill="background1" w:themeFillShade="BF"/>
          </w:tcPr>
          <w:p w:rsidR="003E6965" w:rsidRPr="003E6965" w:rsidRDefault="003E6965" w:rsidP="00D83513">
            <w:pPr>
              <w:spacing w:after="0" w:line="240" w:lineRule="auto"/>
              <w:rPr>
                <w:rFonts w:ascii="Arial" w:hAnsi="Arial" w:cs="Arial"/>
                <w:b/>
                <w:sz w:val="20"/>
                <w:szCs w:val="20"/>
              </w:rPr>
            </w:pPr>
            <w:r w:rsidRPr="003E6965">
              <w:rPr>
                <w:rFonts w:ascii="Arial" w:hAnsi="Arial" w:cs="Arial"/>
                <w:b/>
                <w:sz w:val="20"/>
                <w:szCs w:val="20"/>
              </w:rPr>
              <w:t>Low Back Pain</w:t>
            </w:r>
          </w:p>
        </w:tc>
      </w:tr>
      <w:tr w:rsidR="00BB73B2" w:rsidRPr="002F74AF" w:rsidTr="00466D74">
        <w:tc>
          <w:tcPr>
            <w:tcW w:w="1940" w:type="dxa"/>
          </w:tcPr>
          <w:p w:rsidR="00BB73B2" w:rsidRPr="00352E38" w:rsidRDefault="009067B9" w:rsidP="00D83513">
            <w:pPr>
              <w:spacing w:after="0" w:line="240" w:lineRule="auto"/>
              <w:rPr>
                <w:rFonts w:ascii="Arial" w:hAnsi="Arial" w:cs="Arial"/>
                <w:sz w:val="20"/>
                <w:szCs w:val="20"/>
              </w:rPr>
            </w:pPr>
            <w:r>
              <w:rPr>
                <w:rFonts w:ascii="Arial" w:hAnsi="Arial" w:cs="Arial"/>
                <w:sz w:val="20"/>
                <w:szCs w:val="20"/>
              </w:rPr>
              <w:t>Katz</w:t>
            </w:r>
            <w:r w:rsidR="00BB73B2" w:rsidRPr="002F74AF">
              <w:rPr>
                <w:rFonts w:ascii="Arial" w:hAnsi="Arial" w:cs="Arial"/>
                <w:sz w:val="20"/>
                <w:szCs w:val="20"/>
              </w:rPr>
              <w:t xml:space="preserve"> et al</w:t>
            </w:r>
            <w:r w:rsidR="00A30C6F">
              <w:rPr>
                <w:rFonts w:ascii="Arial" w:hAnsi="Arial" w:cs="Arial"/>
                <w:sz w:val="20"/>
                <w:szCs w:val="20"/>
                <w:vertAlign w:val="superscript"/>
              </w:rPr>
              <w:t>3</w:t>
            </w:r>
            <w:r w:rsidR="00352E38">
              <w:rPr>
                <w:rFonts w:ascii="Arial" w:hAnsi="Arial" w:cs="Arial"/>
                <w:sz w:val="20"/>
                <w:szCs w:val="20"/>
              </w:rPr>
              <w:t xml:space="preserve"> (abstract)</w:t>
            </w:r>
          </w:p>
          <w:p w:rsidR="009067B9" w:rsidRDefault="00BB73B2" w:rsidP="00D83513">
            <w:pPr>
              <w:spacing w:after="0" w:line="240" w:lineRule="auto"/>
              <w:rPr>
                <w:rFonts w:ascii="Arial" w:hAnsi="Arial" w:cs="Arial"/>
                <w:sz w:val="20"/>
                <w:szCs w:val="20"/>
              </w:rPr>
            </w:pPr>
            <w:r w:rsidRPr="002F74AF">
              <w:rPr>
                <w:rFonts w:ascii="Arial" w:hAnsi="Arial" w:cs="Arial"/>
                <w:sz w:val="20"/>
                <w:szCs w:val="20"/>
              </w:rPr>
              <w:br/>
            </w:r>
            <w:r w:rsidR="0001200F">
              <w:rPr>
                <w:rFonts w:ascii="Arial" w:hAnsi="Arial" w:cs="Arial"/>
                <w:sz w:val="20"/>
                <w:szCs w:val="20"/>
              </w:rPr>
              <w:t>OL</w:t>
            </w:r>
            <w:r w:rsidR="009067B9">
              <w:rPr>
                <w:rFonts w:ascii="Arial" w:hAnsi="Arial" w:cs="Arial"/>
                <w:sz w:val="20"/>
                <w:szCs w:val="20"/>
              </w:rPr>
              <w:t xml:space="preserve"> phase of four weeks: </w:t>
            </w:r>
          </w:p>
          <w:p w:rsidR="00BB73B2" w:rsidRPr="002F74AF" w:rsidRDefault="00BB73B2" w:rsidP="00D83513">
            <w:pPr>
              <w:spacing w:after="0" w:line="240" w:lineRule="auto"/>
              <w:rPr>
                <w:rFonts w:ascii="Arial" w:hAnsi="Arial" w:cs="Arial"/>
                <w:sz w:val="20"/>
                <w:szCs w:val="20"/>
              </w:rPr>
            </w:pPr>
            <w:r>
              <w:rPr>
                <w:rFonts w:ascii="Arial" w:hAnsi="Arial" w:cs="Arial"/>
                <w:sz w:val="20"/>
                <w:szCs w:val="20"/>
              </w:rPr>
              <w:t>O</w:t>
            </w:r>
            <w:r w:rsidR="009067B9">
              <w:rPr>
                <w:rFonts w:ascii="Arial" w:hAnsi="Arial" w:cs="Arial"/>
                <w:sz w:val="20"/>
                <w:szCs w:val="20"/>
              </w:rPr>
              <w:t>pana</w:t>
            </w:r>
            <w:r>
              <w:rPr>
                <w:rFonts w:ascii="Arial" w:hAnsi="Arial" w:cs="Arial"/>
                <w:sz w:val="20"/>
                <w:szCs w:val="20"/>
                <w:vertAlign w:val="superscript"/>
              </w:rPr>
              <w:t xml:space="preserve">® </w:t>
            </w:r>
            <w:r w:rsidR="009067B9">
              <w:rPr>
                <w:rFonts w:ascii="Arial" w:hAnsi="Arial" w:cs="Arial"/>
                <w:sz w:val="20"/>
                <w:szCs w:val="20"/>
              </w:rPr>
              <w:t xml:space="preserve">ER </w:t>
            </w:r>
            <w:r>
              <w:rPr>
                <w:rFonts w:ascii="Arial" w:hAnsi="Arial" w:cs="Arial"/>
                <w:sz w:val="20"/>
                <w:szCs w:val="20"/>
              </w:rPr>
              <w:t>(oxy</w:t>
            </w:r>
            <w:r w:rsidR="009067B9">
              <w:rPr>
                <w:rFonts w:ascii="Arial" w:hAnsi="Arial" w:cs="Arial"/>
                <w:sz w:val="20"/>
                <w:szCs w:val="20"/>
              </w:rPr>
              <w:t>morph</w:t>
            </w:r>
            <w:r>
              <w:rPr>
                <w:rFonts w:ascii="Arial" w:hAnsi="Arial" w:cs="Arial"/>
                <w:sz w:val="20"/>
                <w:szCs w:val="20"/>
              </w:rPr>
              <w:t xml:space="preserve">one ER) </w:t>
            </w:r>
            <w:r w:rsidR="009067B9">
              <w:rPr>
                <w:rFonts w:ascii="Arial" w:hAnsi="Arial" w:cs="Arial"/>
                <w:sz w:val="20"/>
                <w:szCs w:val="20"/>
              </w:rPr>
              <w:t xml:space="preserve">(5 mg </w:t>
            </w:r>
            <w:r w:rsidR="009067B9" w:rsidRPr="002F74AF">
              <w:rPr>
                <w:rFonts w:ascii="Arial" w:hAnsi="Arial" w:cs="Arial"/>
                <w:sz w:val="20"/>
                <w:szCs w:val="20"/>
              </w:rPr>
              <w:t>Q12H</w:t>
            </w:r>
            <w:r w:rsidR="009067B9">
              <w:rPr>
                <w:rFonts w:ascii="Arial" w:hAnsi="Arial" w:cs="Arial"/>
                <w:sz w:val="20"/>
                <w:szCs w:val="20"/>
              </w:rPr>
              <w:t xml:space="preserve"> for two days  then </w:t>
            </w:r>
            <w:r w:rsidR="001D19C0">
              <w:rPr>
                <w:rFonts w:ascii="Arial" w:hAnsi="Arial" w:cs="Arial"/>
                <w:sz w:val="20"/>
                <w:szCs w:val="20"/>
              </w:rPr>
              <w:t xml:space="preserve">patients </w:t>
            </w:r>
            <w:r w:rsidR="009067B9">
              <w:rPr>
                <w:rFonts w:ascii="Arial" w:hAnsi="Arial" w:cs="Arial"/>
                <w:sz w:val="20"/>
                <w:szCs w:val="20"/>
              </w:rPr>
              <w:t xml:space="preserve">were titrated in 5 to 10 mg increments every three to seven days until a well-tolerated, stable dose was </w:t>
            </w:r>
            <w:r w:rsidR="00C36D7E">
              <w:rPr>
                <w:rFonts w:ascii="Arial" w:hAnsi="Arial" w:cs="Arial"/>
                <w:sz w:val="20"/>
                <w:szCs w:val="20"/>
              </w:rPr>
              <w:t>determined</w:t>
            </w:r>
          </w:p>
          <w:p w:rsidR="00BB73B2" w:rsidRDefault="00BB73B2" w:rsidP="00D83513">
            <w:pPr>
              <w:spacing w:after="0" w:line="240" w:lineRule="auto"/>
              <w:rPr>
                <w:rFonts w:ascii="Arial" w:hAnsi="Arial" w:cs="Arial"/>
                <w:sz w:val="20"/>
                <w:szCs w:val="20"/>
              </w:rPr>
            </w:pPr>
          </w:p>
          <w:p w:rsidR="009067B9" w:rsidRDefault="009067B9" w:rsidP="00D83513">
            <w:pPr>
              <w:spacing w:after="0" w:line="240" w:lineRule="auto"/>
              <w:rPr>
                <w:rFonts w:ascii="Arial" w:hAnsi="Arial" w:cs="Arial"/>
                <w:sz w:val="20"/>
                <w:szCs w:val="20"/>
              </w:rPr>
            </w:pPr>
            <w:r>
              <w:rPr>
                <w:rFonts w:ascii="Arial" w:hAnsi="Arial" w:cs="Arial"/>
                <w:sz w:val="20"/>
                <w:szCs w:val="20"/>
              </w:rPr>
              <w:t xml:space="preserve">After four weeks, </w:t>
            </w:r>
            <w:r w:rsidR="001D19C0">
              <w:rPr>
                <w:rFonts w:ascii="Arial" w:hAnsi="Arial" w:cs="Arial"/>
                <w:sz w:val="20"/>
                <w:szCs w:val="20"/>
              </w:rPr>
              <w:t xml:space="preserve">patients </w:t>
            </w:r>
            <w:r>
              <w:rPr>
                <w:rFonts w:ascii="Arial" w:hAnsi="Arial" w:cs="Arial"/>
                <w:sz w:val="20"/>
                <w:szCs w:val="20"/>
              </w:rPr>
              <w:t xml:space="preserve">that were stabilized during </w:t>
            </w:r>
            <w:r w:rsidR="0001200F">
              <w:rPr>
                <w:rFonts w:ascii="Arial" w:hAnsi="Arial" w:cs="Arial"/>
                <w:sz w:val="20"/>
                <w:szCs w:val="20"/>
              </w:rPr>
              <w:t>OL</w:t>
            </w:r>
            <w:r>
              <w:rPr>
                <w:rFonts w:ascii="Arial" w:hAnsi="Arial" w:cs="Arial"/>
                <w:sz w:val="20"/>
                <w:szCs w:val="20"/>
              </w:rPr>
              <w:t xml:space="preserve"> period were randomized into 12-week DB phase:</w:t>
            </w:r>
          </w:p>
          <w:p w:rsidR="00BB73B2" w:rsidRPr="002F74AF" w:rsidRDefault="00BB73B2" w:rsidP="00D83513">
            <w:pPr>
              <w:spacing w:after="0" w:line="240" w:lineRule="auto"/>
              <w:rPr>
                <w:rFonts w:ascii="Arial" w:hAnsi="Arial" w:cs="Arial"/>
                <w:sz w:val="20"/>
                <w:szCs w:val="20"/>
              </w:rPr>
            </w:pPr>
          </w:p>
          <w:p w:rsidR="00BB73B2" w:rsidRDefault="009067B9" w:rsidP="00D83513">
            <w:pPr>
              <w:spacing w:after="0" w:line="240" w:lineRule="auto"/>
              <w:rPr>
                <w:rFonts w:ascii="Arial" w:hAnsi="Arial" w:cs="Arial"/>
                <w:sz w:val="20"/>
                <w:szCs w:val="20"/>
              </w:rPr>
            </w:pPr>
            <w:r>
              <w:rPr>
                <w:rFonts w:ascii="Arial" w:hAnsi="Arial" w:cs="Arial"/>
                <w:sz w:val="20"/>
                <w:szCs w:val="20"/>
              </w:rPr>
              <w:t>Opana</w:t>
            </w:r>
            <w:r>
              <w:rPr>
                <w:rFonts w:ascii="Arial" w:hAnsi="Arial" w:cs="Arial"/>
                <w:sz w:val="20"/>
                <w:szCs w:val="20"/>
                <w:vertAlign w:val="superscript"/>
              </w:rPr>
              <w:t xml:space="preserve">®  </w:t>
            </w:r>
            <w:r>
              <w:rPr>
                <w:rFonts w:ascii="Arial" w:hAnsi="Arial" w:cs="Arial"/>
                <w:sz w:val="20"/>
                <w:szCs w:val="20"/>
              </w:rPr>
              <w:t>ER (oxymorphone ER) individualized stable dose Q12H</w:t>
            </w:r>
          </w:p>
          <w:p w:rsidR="00F151E4" w:rsidRDefault="00F151E4" w:rsidP="00D83513">
            <w:pPr>
              <w:spacing w:after="0" w:line="240" w:lineRule="auto"/>
              <w:rPr>
                <w:rFonts w:ascii="Arial" w:hAnsi="Arial" w:cs="Arial"/>
                <w:sz w:val="20"/>
                <w:szCs w:val="20"/>
              </w:rPr>
            </w:pPr>
          </w:p>
          <w:p w:rsidR="00C36D7E" w:rsidRDefault="00C36D7E" w:rsidP="00D83513">
            <w:pPr>
              <w:spacing w:after="0" w:line="240" w:lineRule="auto"/>
              <w:rPr>
                <w:rFonts w:ascii="Arial" w:hAnsi="Arial" w:cs="Arial"/>
                <w:sz w:val="20"/>
                <w:szCs w:val="20"/>
              </w:rPr>
            </w:pPr>
            <w:r>
              <w:rPr>
                <w:rFonts w:ascii="Arial" w:hAnsi="Arial" w:cs="Arial"/>
                <w:sz w:val="20"/>
                <w:szCs w:val="20"/>
              </w:rPr>
              <w:t>vs</w:t>
            </w:r>
          </w:p>
          <w:p w:rsidR="00C36D7E" w:rsidRDefault="00C36D7E" w:rsidP="00D83513">
            <w:pPr>
              <w:spacing w:after="0" w:line="240" w:lineRule="auto"/>
              <w:rPr>
                <w:rFonts w:ascii="Arial" w:hAnsi="Arial" w:cs="Arial"/>
                <w:sz w:val="20"/>
                <w:szCs w:val="20"/>
              </w:rPr>
            </w:pPr>
          </w:p>
          <w:p w:rsidR="00C36D7E" w:rsidRDefault="00C36D7E" w:rsidP="00D83513">
            <w:pPr>
              <w:spacing w:after="0" w:line="240" w:lineRule="auto"/>
              <w:rPr>
                <w:rFonts w:ascii="Arial" w:hAnsi="Arial" w:cs="Arial"/>
                <w:sz w:val="20"/>
                <w:szCs w:val="20"/>
              </w:rPr>
            </w:pPr>
            <w:r>
              <w:rPr>
                <w:rFonts w:ascii="Arial" w:hAnsi="Arial" w:cs="Arial"/>
                <w:sz w:val="20"/>
                <w:szCs w:val="20"/>
              </w:rPr>
              <w:lastRenderedPageBreak/>
              <w:t>placebo</w:t>
            </w:r>
          </w:p>
          <w:p w:rsidR="00937DD0" w:rsidRDefault="00937DD0" w:rsidP="00D83513">
            <w:pPr>
              <w:spacing w:after="0" w:line="240" w:lineRule="auto"/>
              <w:rPr>
                <w:rFonts w:ascii="Arial" w:hAnsi="Arial" w:cs="Arial"/>
                <w:sz w:val="20"/>
                <w:szCs w:val="20"/>
              </w:rPr>
            </w:pPr>
          </w:p>
          <w:p w:rsidR="00F151E4" w:rsidRPr="002F74AF" w:rsidRDefault="00F151E4" w:rsidP="00C05220">
            <w:pPr>
              <w:spacing w:after="0" w:line="240" w:lineRule="auto"/>
              <w:rPr>
                <w:rFonts w:ascii="Arial" w:hAnsi="Arial" w:cs="Arial"/>
                <w:sz w:val="20"/>
                <w:szCs w:val="20"/>
              </w:rPr>
            </w:pPr>
            <w:r>
              <w:rPr>
                <w:rFonts w:ascii="Arial" w:hAnsi="Arial" w:cs="Arial"/>
                <w:sz w:val="20"/>
                <w:szCs w:val="20"/>
              </w:rPr>
              <w:t>During first four days of DB treatment, patients were allowed an unlimited number of Opana</w:t>
            </w:r>
            <w:r>
              <w:rPr>
                <w:rFonts w:cs="Arial"/>
                <w:sz w:val="20"/>
                <w:szCs w:val="20"/>
              </w:rPr>
              <w:t>®</w:t>
            </w:r>
            <w:r>
              <w:rPr>
                <w:rFonts w:ascii="Arial" w:hAnsi="Arial" w:cs="Arial"/>
                <w:sz w:val="20"/>
                <w:szCs w:val="20"/>
              </w:rPr>
              <w:t xml:space="preserve"> (oxymorphone </w:t>
            </w:r>
            <w:r w:rsidR="00C05220">
              <w:rPr>
                <w:rFonts w:ascii="Arial" w:hAnsi="Arial" w:cs="Arial"/>
                <w:sz w:val="20"/>
                <w:szCs w:val="20"/>
              </w:rPr>
              <w:t>IR</w:t>
            </w:r>
            <w:r>
              <w:rPr>
                <w:rFonts w:ascii="Arial" w:hAnsi="Arial" w:cs="Arial"/>
                <w:sz w:val="20"/>
                <w:szCs w:val="20"/>
              </w:rPr>
              <w:t>) 5 mg tablets every four to six hours as needed; thereafter, the number was limited to two tablets per day</w:t>
            </w:r>
            <w:r w:rsidR="001D19C0">
              <w:rPr>
                <w:rFonts w:ascii="Arial" w:hAnsi="Arial" w:cs="Arial"/>
                <w:sz w:val="20"/>
                <w:szCs w:val="20"/>
              </w:rPr>
              <w:t>.</w:t>
            </w:r>
          </w:p>
        </w:tc>
        <w:tc>
          <w:tcPr>
            <w:tcW w:w="2070" w:type="dxa"/>
          </w:tcPr>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lastRenderedPageBreak/>
              <w:t xml:space="preserve">DB, </w:t>
            </w:r>
            <w:r w:rsidR="00BF2266">
              <w:rPr>
                <w:rFonts w:ascii="Arial" w:hAnsi="Arial" w:cs="Arial"/>
                <w:sz w:val="20"/>
                <w:szCs w:val="20"/>
              </w:rPr>
              <w:t xml:space="preserve">PC, </w:t>
            </w:r>
            <w:r w:rsidRPr="002F74AF">
              <w:rPr>
                <w:rFonts w:ascii="Arial" w:hAnsi="Arial" w:cs="Arial"/>
                <w:sz w:val="20"/>
                <w:szCs w:val="20"/>
              </w:rPr>
              <w:t>PG, RCT</w:t>
            </w:r>
          </w:p>
          <w:p w:rsidR="00BB73B2" w:rsidRPr="002F74AF" w:rsidRDefault="00BB73B2" w:rsidP="00D83513">
            <w:pPr>
              <w:spacing w:after="0" w:line="240" w:lineRule="auto"/>
              <w:rPr>
                <w:rFonts w:ascii="Arial" w:hAnsi="Arial" w:cs="Arial"/>
                <w:sz w:val="20"/>
                <w:szCs w:val="20"/>
              </w:rPr>
            </w:pPr>
          </w:p>
          <w:p w:rsidR="00BB73B2" w:rsidRPr="002F74AF" w:rsidRDefault="00BB73B2" w:rsidP="009067B9">
            <w:pPr>
              <w:spacing w:after="0" w:line="240" w:lineRule="auto"/>
              <w:rPr>
                <w:rFonts w:ascii="Arial" w:hAnsi="Arial" w:cs="Arial"/>
                <w:sz w:val="20"/>
                <w:szCs w:val="20"/>
              </w:rPr>
            </w:pPr>
            <w:r w:rsidRPr="002F74AF">
              <w:rPr>
                <w:rFonts w:ascii="Arial" w:hAnsi="Arial" w:cs="Arial"/>
                <w:sz w:val="20"/>
                <w:szCs w:val="20"/>
              </w:rPr>
              <w:t xml:space="preserve">Patients  </w:t>
            </w:r>
            <w:r w:rsidRPr="002F74AF">
              <w:rPr>
                <w:rFonts w:ascii="Times New Roman" w:hAnsi="Times New Roman"/>
                <w:sz w:val="20"/>
                <w:szCs w:val="20"/>
              </w:rPr>
              <w:t>≥</w:t>
            </w:r>
            <w:r w:rsidRPr="002F74AF">
              <w:rPr>
                <w:rFonts w:ascii="Arial" w:hAnsi="Arial" w:cs="Arial"/>
                <w:sz w:val="20"/>
                <w:szCs w:val="20"/>
              </w:rPr>
              <w:t xml:space="preserve">18 years of age with </w:t>
            </w:r>
            <w:r w:rsidR="009067B9">
              <w:rPr>
                <w:rFonts w:ascii="Arial" w:hAnsi="Arial" w:cs="Arial"/>
                <w:sz w:val="20"/>
                <w:szCs w:val="20"/>
              </w:rPr>
              <w:t>chronic low back pain suboptimally responsive to nonopioid therapy</w:t>
            </w:r>
          </w:p>
        </w:tc>
        <w:tc>
          <w:tcPr>
            <w:tcW w:w="1440" w:type="dxa"/>
          </w:tcPr>
          <w:p w:rsidR="00BB73B2" w:rsidRPr="002F74AF" w:rsidRDefault="00BB73B2" w:rsidP="00D83513">
            <w:pPr>
              <w:spacing w:after="0" w:line="240" w:lineRule="auto"/>
              <w:jc w:val="center"/>
              <w:rPr>
                <w:rFonts w:ascii="Arial" w:hAnsi="Arial" w:cs="Arial"/>
                <w:sz w:val="20"/>
                <w:szCs w:val="20"/>
              </w:rPr>
            </w:pPr>
            <w:r w:rsidRPr="002F74AF">
              <w:rPr>
                <w:rFonts w:ascii="Arial" w:hAnsi="Arial" w:cs="Arial"/>
                <w:sz w:val="20"/>
                <w:szCs w:val="20"/>
              </w:rPr>
              <w:t>N=</w:t>
            </w:r>
            <w:r w:rsidR="00F151E4">
              <w:rPr>
                <w:rFonts w:ascii="Arial" w:hAnsi="Arial" w:cs="Arial"/>
                <w:sz w:val="20"/>
                <w:szCs w:val="20"/>
              </w:rPr>
              <w:t>325</w:t>
            </w:r>
          </w:p>
          <w:p w:rsidR="00BB73B2" w:rsidRPr="002F74AF" w:rsidRDefault="00BB73B2" w:rsidP="00D83513">
            <w:pPr>
              <w:spacing w:after="0" w:line="240" w:lineRule="auto"/>
              <w:jc w:val="center"/>
              <w:rPr>
                <w:rFonts w:ascii="Arial" w:hAnsi="Arial" w:cs="Arial"/>
                <w:sz w:val="20"/>
                <w:szCs w:val="20"/>
              </w:rPr>
            </w:pPr>
          </w:p>
          <w:p w:rsidR="00BB73B2" w:rsidRDefault="00937DD0" w:rsidP="00D83513">
            <w:pPr>
              <w:spacing w:after="0" w:line="240" w:lineRule="auto"/>
              <w:jc w:val="center"/>
              <w:rPr>
                <w:rFonts w:ascii="Arial" w:hAnsi="Arial" w:cs="Arial"/>
                <w:sz w:val="20"/>
                <w:szCs w:val="20"/>
              </w:rPr>
            </w:pPr>
            <w:r>
              <w:rPr>
                <w:rFonts w:ascii="Arial" w:hAnsi="Arial" w:cs="Arial"/>
                <w:sz w:val="20"/>
                <w:szCs w:val="20"/>
              </w:rPr>
              <w:t>12</w:t>
            </w:r>
            <w:r w:rsidR="00F151E4">
              <w:rPr>
                <w:rFonts w:ascii="Arial" w:hAnsi="Arial" w:cs="Arial"/>
                <w:sz w:val="20"/>
                <w:szCs w:val="20"/>
              </w:rPr>
              <w:t xml:space="preserve"> weeks</w:t>
            </w:r>
          </w:p>
          <w:p w:rsidR="00937DD0" w:rsidRPr="002F74AF" w:rsidRDefault="00937DD0" w:rsidP="00D83513">
            <w:pPr>
              <w:spacing w:after="0" w:line="240" w:lineRule="auto"/>
              <w:jc w:val="center"/>
              <w:rPr>
                <w:rFonts w:ascii="Arial" w:hAnsi="Arial" w:cs="Arial"/>
                <w:sz w:val="20"/>
                <w:szCs w:val="20"/>
              </w:rPr>
            </w:pPr>
            <w:r>
              <w:rPr>
                <w:rFonts w:ascii="Arial" w:hAnsi="Arial" w:cs="Arial"/>
                <w:sz w:val="20"/>
                <w:szCs w:val="20"/>
              </w:rPr>
              <w:t>(DB treatment period)</w:t>
            </w:r>
          </w:p>
        </w:tc>
        <w:tc>
          <w:tcPr>
            <w:tcW w:w="1980" w:type="dxa"/>
          </w:tcPr>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Primary:</w:t>
            </w: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Pain intensity</w:t>
            </w:r>
            <w:r w:rsidR="00C36D7E">
              <w:rPr>
                <w:rFonts w:ascii="Arial" w:hAnsi="Arial" w:cs="Arial"/>
                <w:sz w:val="20"/>
                <w:szCs w:val="20"/>
              </w:rPr>
              <w:t>:</w:t>
            </w:r>
          </w:p>
          <w:p w:rsidR="008A2E83" w:rsidRPr="002F74AF" w:rsidRDefault="008A2E83" w:rsidP="008A2E83">
            <w:pPr>
              <w:spacing w:after="0" w:line="240" w:lineRule="auto"/>
              <w:rPr>
                <w:rFonts w:ascii="Arial" w:hAnsi="Arial" w:cs="Arial"/>
                <w:sz w:val="20"/>
                <w:szCs w:val="20"/>
              </w:rPr>
            </w:pPr>
            <w:r>
              <w:rPr>
                <w:rFonts w:ascii="Arial" w:hAnsi="Arial" w:cs="Arial"/>
                <w:sz w:val="20"/>
                <w:szCs w:val="20"/>
              </w:rPr>
              <w:t>Change in average pain intensity (VAS) from baseline (before randomization) to final study visit (at the end of double-blind treatment or at early discontinuation)</w:t>
            </w:r>
          </w:p>
          <w:p w:rsidR="00BB73B2" w:rsidRPr="002F74AF"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Secondary:</w:t>
            </w:r>
          </w:p>
          <w:p w:rsidR="00BB73B2" w:rsidRPr="002F74AF" w:rsidRDefault="008A2E83" w:rsidP="00D83513">
            <w:pPr>
              <w:spacing w:after="0" w:line="240" w:lineRule="auto"/>
              <w:rPr>
                <w:rFonts w:ascii="Arial" w:hAnsi="Arial" w:cs="Arial"/>
                <w:sz w:val="20"/>
                <w:szCs w:val="20"/>
              </w:rPr>
            </w:pPr>
            <w:r>
              <w:rPr>
                <w:rFonts w:ascii="Arial" w:hAnsi="Arial" w:cs="Arial"/>
                <w:sz w:val="20"/>
                <w:szCs w:val="20"/>
              </w:rPr>
              <w:t>Not reported</w:t>
            </w:r>
          </w:p>
        </w:tc>
        <w:tc>
          <w:tcPr>
            <w:tcW w:w="6390" w:type="dxa"/>
          </w:tcPr>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Primary:</w:t>
            </w:r>
          </w:p>
          <w:p w:rsidR="00BB73B2" w:rsidRPr="00C36D7E" w:rsidRDefault="00C36D7E" w:rsidP="00D83513">
            <w:pPr>
              <w:spacing w:after="0" w:line="240" w:lineRule="auto"/>
              <w:rPr>
                <w:rFonts w:ascii="Arial" w:hAnsi="Arial" w:cs="Arial"/>
                <w:sz w:val="20"/>
                <w:szCs w:val="20"/>
              </w:rPr>
            </w:pPr>
            <w:r>
              <w:rPr>
                <w:rFonts w:ascii="Arial" w:eastAsia="Times New Roman" w:hAnsi="Arial" w:cs="Arial"/>
                <w:sz w:val="20"/>
                <w:szCs w:val="20"/>
              </w:rPr>
              <w:t xml:space="preserve">Sixty-three percent of patients (205/325) were successfully titrated to a stable dose of </w:t>
            </w:r>
            <w:r>
              <w:rPr>
                <w:rFonts w:ascii="Arial" w:hAnsi="Arial" w:cs="Arial"/>
                <w:sz w:val="20"/>
                <w:szCs w:val="20"/>
              </w:rPr>
              <w:t>Opana</w:t>
            </w:r>
            <w:r>
              <w:rPr>
                <w:rFonts w:ascii="Arial" w:hAnsi="Arial" w:cs="Arial"/>
                <w:sz w:val="20"/>
                <w:szCs w:val="20"/>
                <w:vertAlign w:val="superscript"/>
              </w:rPr>
              <w:t xml:space="preserve">® </w:t>
            </w:r>
            <w:r>
              <w:rPr>
                <w:rFonts w:ascii="Arial" w:hAnsi="Arial" w:cs="Arial"/>
                <w:sz w:val="20"/>
                <w:szCs w:val="20"/>
              </w:rPr>
              <w:t xml:space="preserve">ER (oxymorphone ER) during the open-label titration period. From this group, </w:t>
            </w:r>
            <w:r w:rsidR="008A2E83" w:rsidRPr="008A2E83">
              <w:rPr>
                <w:rFonts w:ascii="Arial" w:eastAsia="Times New Roman" w:hAnsi="Arial" w:cs="Arial"/>
                <w:sz w:val="20"/>
                <w:szCs w:val="20"/>
              </w:rPr>
              <w:t>the mean</w:t>
            </w:r>
            <w:r w:rsidR="008A2E83">
              <w:rPr>
                <w:rFonts w:ascii="Arial" w:eastAsia="Times New Roman" w:hAnsi="Arial" w:cs="Arial"/>
                <w:sz w:val="20"/>
                <w:szCs w:val="20"/>
              </w:rPr>
              <w:t xml:space="preserve"> </w:t>
            </w:r>
            <w:r w:rsidR="008A2E83" w:rsidRPr="008A2E83">
              <w:rPr>
                <w:rFonts w:ascii="Arial" w:eastAsia="Times New Roman" w:hAnsi="Arial" w:cs="Arial"/>
                <w:sz w:val="20"/>
                <w:szCs w:val="20"/>
              </w:rPr>
              <w:t>±</w:t>
            </w:r>
            <w:r w:rsidR="008A2E83">
              <w:rPr>
                <w:rFonts w:ascii="Arial" w:eastAsia="Times New Roman" w:hAnsi="Arial" w:cs="Arial"/>
                <w:sz w:val="20"/>
                <w:szCs w:val="20"/>
              </w:rPr>
              <w:t xml:space="preserve"> SD VAS score at s</w:t>
            </w:r>
            <w:r w:rsidR="008A2E83" w:rsidRPr="008A2E83">
              <w:rPr>
                <w:rFonts w:ascii="Arial" w:eastAsia="Times New Roman" w:hAnsi="Arial" w:cs="Arial"/>
                <w:sz w:val="20"/>
                <w:szCs w:val="20"/>
              </w:rPr>
              <w:t>creening was 69.4</w:t>
            </w:r>
            <w:r w:rsidR="008A2E83">
              <w:rPr>
                <w:rFonts w:ascii="Arial" w:eastAsia="Times New Roman" w:hAnsi="Arial" w:cs="Arial"/>
                <w:sz w:val="20"/>
                <w:szCs w:val="20"/>
              </w:rPr>
              <w:t xml:space="preserve"> </w:t>
            </w:r>
            <w:r w:rsidR="008A2E83" w:rsidRPr="008A2E83">
              <w:rPr>
                <w:rFonts w:ascii="Arial" w:eastAsia="Times New Roman" w:hAnsi="Arial" w:cs="Arial"/>
                <w:sz w:val="20"/>
                <w:szCs w:val="20"/>
              </w:rPr>
              <w:t>±</w:t>
            </w:r>
            <w:r w:rsidR="008A2E83">
              <w:rPr>
                <w:rFonts w:ascii="Arial" w:eastAsia="Times New Roman" w:hAnsi="Arial" w:cs="Arial"/>
                <w:sz w:val="20"/>
                <w:szCs w:val="20"/>
              </w:rPr>
              <w:t xml:space="preserve"> 11.8 mm and at baseline (beginning of double-blind p</w:t>
            </w:r>
            <w:r w:rsidR="008A2E83" w:rsidRPr="008A2E83">
              <w:rPr>
                <w:rFonts w:ascii="Arial" w:eastAsia="Times New Roman" w:hAnsi="Arial" w:cs="Arial"/>
                <w:sz w:val="20"/>
                <w:szCs w:val="20"/>
              </w:rPr>
              <w:t xml:space="preserve">eriod) </w:t>
            </w:r>
            <w:r w:rsidR="001D19C0">
              <w:rPr>
                <w:rFonts w:ascii="Arial" w:eastAsia="Times New Roman" w:hAnsi="Arial" w:cs="Arial"/>
                <w:sz w:val="20"/>
                <w:szCs w:val="20"/>
              </w:rPr>
              <w:t xml:space="preserve">the scores </w:t>
            </w:r>
            <w:r w:rsidR="008A2E83" w:rsidRPr="008A2E83">
              <w:rPr>
                <w:rFonts w:ascii="Arial" w:eastAsia="Times New Roman" w:hAnsi="Arial" w:cs="Arial"/>
                <w:sz w:val="20"/>
                <w:szCs w:val="20"/>
              </w:rPr>
              <w:t>were 18.5</w:t>
            </w:r>
            <w:r w:rsidR="008A2E83">
              <w:rPr>
                <w:rFonts w:ascii="Arial" w:eastAsia="Times New Roman" w:hAnsi="Arial" w:cs="Arial"/>
                <w:sz w:val="20"/>
                <w:szCs w:val="20"/>
              </w:rPr>
              <w:t xml:space="preserve"> </w:t>
            </w:r>
            <w:r w:rsidR="008A2E83" w:rsidRPr="008A2E83">
              <w:rPr>
                <w:rFonts w:ascii="Arial" w:eastAsia="Times New Roman" w:hAnsi="Arial" w:cs="Arial"/>
                <w:sz w:val="20"/>
                <w:szCs w:val="20"/>
              </w:rPr>
              <w:t>±</w:t>
            </w:r>
            <w:r w:rsidR="008A2E83">
              <w:rPr>
                <w:rFonts w:ascii="Arial" w:eastAsia="Times New Roman" w:hAnsi="Arial" w:cs="Arial"/>
                <w:sz w:val="20"/>
                <w:szCs w:val="20"/>
              </w:rPr>
              <w:t xml:space="preserve"> </w:t>
            </w:r>
            <w:r w:rsidR="008A2E83" w:rsidRPr="008A2E83">
              <w:rPr>
                <w:rFonts w:ascii="Arial" w:eastAsia="Times New Roman" w:hAnsi="Arial" w:cs="Arial"/>
                <w:sz w:val="20"/>
                <w:szCs w:val="20"/>
              </w:rPr>
              <w:t>11.2 mm and 19.3</w:t>
            </w:r>
            <w:r w:rsidR="008A2E83">
              <w:rPr>
                <w:rFonts w:ascii="Arial" w:eastAsia="Times New Roman" w:hAnsi="Arial" w:cs="Arial"/>
                <w:sz w:val="20"/>
                <w:szCs w:val="20"/>
              </w:rPr>
              <w:t xml:space="preserve"> </w:t>
            </w:r>
            <w:r w:rsidR="008A2E83" w:rsidRPr="008A2E83">
              <w:rPr>
                <w:rFonts w:ascii="Arial" w:eastAsia="Times New Roman" w:hAnsi="Arial" w:cs="Arial"/>
                <w:sz w:val="20"/>
                <w:szCs w:val="20"/>
              </w:rPr>
              <w:t>±</w:t>
            </w:r>
            <w:r w:rsidR="008A2E83">
              <w:rPr>
                <w:rFonts w:ascii="Arial" w:eastAsia="Times New Roman" w:hAnsi="Arial" w:cs="Arial"/>
                <w:sz w:val="20"/>
                <w:szCs w:val="20"/>
              </w:rPr>
              <w:t xml:space="preserve"> </w:t>
            </w:r>
            <w:r w:rsidR="008A2E83" w:rsidRPr="008A2E83">
              <w:rPr>
                <w:rFonts w:ascii="Arial" w:eastAsia="Times New Roman" w:hAnsi="Arial" w:cs="Arial"/>
                <w:sz w:val="20"/>
                <w:szCs w:val="20"/>
              </w:rPr>
              <w:t xml:space="preserve">11.3 mm for the </w:t>
            </w:r>
            <w:r w:rsidR="00C05220">
              <w:rPr>
                <w:rFonts w:ascii="Arial" w:hAnsi="Arial" w:cs="Arial"/>
                <w:sz w:val="20"/>
                <w:szCs w:val="20"/>
              </w:rPr>
              <w:t>Opana</w:t>
            </w:r>
            <w:r w:rsidR="00C05220">
              <w:rPr>
                <w:rFonts w:ascii="Arial" w:hAnsi="Arial" w:cs="Arial"/>
                <w:sz w:val="20"/>
                <w:szCs w:val="20"/>
                <w:vertAlign w:val="superscript"/>
              </w:rPr>
              <w:t xml:space="preserve">® </w:t>
            </w:r>
            <w:r w:rsidR="00C05220">
              <w:rPr>
                <w:rFonts w:ascii="Arial" w:hAnsi="Arial" w:cs="Arial"/>
                <w:sz w:val="20"/>
                <w:szCs w:val="20"/>
              </w:rPr>
              <w:t>ER (</w:t>
            </w:r>
            <w:r w:rsidR="008A2E83" w:rsidRPr="008A2E83">
              <w:rPr>
                <w:rFonts w:ascii="Arial" w:eastAsia="Times New Roman" w:hAnsi="Arial" w:cs="Arial"/>
                <w:sz w:val="20"/>
                <w:szCs w:val="20"/>
              </w:rPr>
              <w:t>oxymorphone ER</w:t>
            </w:r>
            <w:r w:rsidR="00C05220">
              <w:rPr>
                <w:rFonts w:ascii="Arial" w:eastAsia="Times New Roman" w:hAnsi="Arial" w:cs="Arial"/>
                <w:sz w:val="20"/>
                <w:szCs w:val="20"/>
              </w:rPr>
              <w:t>)</w:t>
            </w:r>
            <w:r w:rsidR="008A2E83" w:rsidRPr="008A2E83">
              <w:rPr>
                <w:rFonts w:ascii="Arial" w:eastAsia="Times New Roman" w:hAnsi="Arial" w:cs="Arial"/>
                <w:sz w:val="20"/>
                <w:szCs w:val="20"/>
              </w:rPr>
              <w:t xml:space="preserve"> and placebo groups, respectively.  </w:t>
            </w:r>
            <w:r w:rsidR="00E41DD3">
              <w:rPr>
                <w:rFonts w:ascii="Arial" w:eastAsia="Times New Roman" w:hAnsi="Arial" w:cs="Arial"/>
                <w:sz w:val="20"/>
                <w:szCs w:val="20"/>
              </w:rPr>
              <w:t xml:space="preserve">For patients completing titration, average pain intensity for the </w:t>
            </w:r>
            <w:r w:rsidR="00E41DD3">
              <w:rPr>
                <w:rFonts w:ascii="Arial" w:hAnsi="Arial" w:cs="Arial"/>
                <w:sz w:val="20"/>
                <w:szCs w:val="20"/>
              </w:rPr>
              <w:t>Opana</w:t>
            </w:r>
            <w:r w:rsidR="00E41DD3">
              <w:rPr>
                <w:rFonts w:ascii="Arial" w:hAnsi="Arial" w:cs="Arial"/>
                <w:sz w:val="20"/>
                <w:szCs w:val="20"/>
                <w:vertAlign w:val="superscript"/>
              </w:rPr>
              <w:t xml:space="preserve">® </w:t>
            </w:r>
            <w:r w:rsidR="00E41DD3">
              <w:rPr>
                <w:rFonts w:ascii="Arial" w:hAnsi="Arial" w:cs="Arial"/>
                <w:sz w:val="20"/>
                <w:szCs w:val="20"/>
              </w:rPr>
              <w:t xml:space="preserve">ER (oxymorphone ER) group </w:t>
            </w:r>
            <w:r w:rsidR="00E41DD3">
              <w:rPr>
                <w:rFonts w:ascii="Arial" w:eastAsia="Times New Roman" w:hAnsi="Arial" w:cs="Arial"/>
                <w:sz w:val="20"/>
                <w:szCs w:val="20"/>
              </w:rPr>
              <w:t xml:space="preserve">decreased from 69.4 mm to 22.7 mm (P&lt;0.0001). In addition, pain intensity was found to increase significantly more in the placebo group (least </w:t>
            </w:r>
            <w:r>
              <w:rPr>
                <w:rFonts w:ascii="Arial" w:eastAsia="Times New Roman" w:hAnsi="Arial" w:cs="Arial"/>
                <w:sz w:val="20"/>
                <w:szCs w:val="20"/>
              </w:rPr>
              <w:t>squares [</w:t>
            </w:r>
            <w:r w:rsidR="00E41DD3">
              <w:rPr>
                <w:rFonts w:ascii="Arial" w:eastAsia="Times New Roman" w:hAnsi="Arial" w:cs="Arial"/>
                <w:sz w:val="20"/>
                <w:szCs w:val="20"/>
              </w:rPr>
              <w:t xml:space="preserve">LS] mean change 26.9+/- 2.4 [median 28.0]) than in the </w:t>
            </w:r>
            <w:r w:rsidR="00E41DD3">
              <w:rPr>
                <w:rFonts w:ascii="Arial" w:hAnsi="Arial" w:cs="Arial"/>
                <w:sz w:val="20"/>
                <w:szCs w:val="20"/>
              </w:rPr>
              <w:t>Opana</w:t>
            </w:r>
            <w:r w:rsidR="00E41DD3">
              <w:rPr>
                <w:rFonts w:ascii="Arial" w:hAnsi="Arial" w:cs="Arial"/>
                <w:sz w:val="20"/>
                <w:szCs w:val="20"/>
                <w:vertAlign w:val="superscript"/>
              </w:rPr>
              <w:t xml:space="preserve">® </w:t>
            </w:r>
            <w:r w:rsidR="00E41DD3">
              <w:rPr>
                <w:rFonts w:ascii="Arial" w:hAnsi="Arial" w:cs="Arial"/>
                <w:sz w:val="20"/>
                <w:szCs w:val="20"/>
              </w:rPr>
              <w:t>ER (oxymorphone ER) group (LS mean change 10.0 +/- 2.4 [median 2.0]; P&lt;0.0001).</w:t>
            </w:r>
          </w:p>
          <w:p w:rsidR="008A2E83" w:rsidRDefault="008A2E83" w:rsidP="00D83513">
            <w:pPr>
              <w:spacing w:after="0" w:line="240" w:lineRule="auto"/>
              <w:rPr>
                <w:rFonts w:ascii="Arial" w:eastAsia="Times New Roman" w:hAnsi="Arial" w:cs="Arial"/>
                <w:sz w:val="20"/>
                <w:szCs w:val="20"/>
              </w:rPr>
            </w:pPr>
          </w:p>
          <w:p w:rsidR="008A2E83" w:rsidRPr="008A2E83" w:rsidRDefault="00C36D7E" w:rsidP="00D83513">
            <w:pPr>
              <w:spacing w:after="0" w:line="240" w:lineRule="auto"/>
              <w:rPr>
                <w:rFonts w:ascii="Arial" w:hAnsi="Arial" w:cs="Arial"/>
                <w:sz w:val="20"/>
                <w:szCs w:val="20"/>
              </w:rPr>
            </w:pPr>
            <w:r>
              <w:rPr>
                <w:rFonts w:ascii="Arial" w:eastAsia="Times New Roman" w:hAnsi="Arial" w:cs="Arial"/>
                <w:sz w:val="20"/>
                <w:szCs w:val="20"/>
              </w:rPr>
              <w:t>After randomization, s</w:t>
            </w:r>
            <w:r w:rsidR="008A2E83" w:rsidRPr="008A2E83">
              <w:rPr>
                <w:rFonts w:ascii="Arial" w:eastAsia="Times New Roman" w:hAnsi="Arial" w:cs="Arial"/>
                <w:sz w:val="20"/>
                <w:szCs w:val="20"/>
              </w:rPr>
              <w:t xml:space="preserve">ixty-eight percent of patients treated with </w:t>
            </w:r>
            <w:r>
              <w:rPr>
                <w:rFonts w:ascii="Arial" w:hAnsi="Arial" w:cs="Arial"/>
                <w:sz w:val="20"/>
                <w:szCs w:val="20"/>
              </w:rPr>
              <w:t>Opana</w:t>
            </w:r>
            <w:r>
              <w:rPr>
                <w:rFonts w:ascii="Arial" w:hAnsi="Arial" w:cs="Arial"/>
                <w:sz w:val="20"/>
                <w:szCs w:val="20"/>
                <w:vertAlign w:val="superscript"/>
              </w:rPr>
              <w:t xml:space="preserve">® </w:t>
            </w:r>
            <w:r>
              <w:rPr>
                <w:rFonts w:ascii="Arial" w:hAnsi="Arial" w:cs="Arial"/>
                <w:sz w:val="20"/>
                <w:szCs w:val="20"/>
              </w:rPr>
              <w:t xml:space="preserve">ER (oxymorphone ER) </w:t>
            </w:r>
            <w:r w:rsidR="008A2E83" w:rsidRPr="008A2E83">
              <w:rPr>
                <w:rFonts w:ascii="Arial" w:eastAsia="Times New Roman" w:hAnsi="Arial" w:cs="Arial"/>
                <w:sz w:val="20"/>
                <w:szCs w:val="20"/>
              </w:rPr>
              <w:t>completed the 12-week treatment compared to 47% of patients treated with placebo.</w:t>
            </w:r>
            <w:r>
              <w:rPr>
                <w:rFonts w:ascii="Arial" w:eastAsia="Times New Roman" w:hAnsi="Arial" w:cs="Arial"/>
                <w:sz w:val="20"/>
                <w:szCs w:val="20"/>
              </w:rPr>
              <w:t xml:space="preserve"> Approximately 8% of patients in each group discontinued due to adverse events. </w:t>
            </w:r>
            <w:r w:rsidR="00C05220">
              <w:rPr>
                <w:rFonts w:ascii="Arial" w:eastAsia="Times New Roman" w:hAnsi="Arial" w:cs="Arial"/>
                <w:sz w:val="20"/>
                <w:szCs w:val="20"/>
              </w:rPr>
              <w:t xml:space="preserve">Significantly more patients in the placebo group discontinued treatment due to lack of efficacy than the oxymorphone ER group (P&lt;0.0001). </w:t>
            </w:r>
            <w:r>
              <w:rPr>
                <w:rFonts w:ascii="Arial" w:eastAsia="Times New Roman" w:hAnsi="Arial" w:cs="Arial"/>
                <w:sz w:val="20"/>
                <w:szCs w:val="20"/>
              </w:rPr>
              <w:t xml:space="preserve">Opioid withdrawal was noted to occur in two patients in the placebo group and one in the </w:t>
            </w:r>
            <w:r>
              <w:rPr>
                <w:rFonts w:ascii="Arial" w:hAnsi="Arial" w:cs="Arial"/>
                <w:sz w:val="20"/>
                <w:szCs w:val="20"/>
              </w:rPr>
              <w:t>Opana</w:t>
            </w:r>
            <w:r>
              <w:rPr>
                <w:rFonts w:ascii="Arial" w:hAnsi="Arial" w:cs="Arial"/>
                <w:sz w:val="20"/>
                <w:szCs w:val="20"/>
                <w:vertAlign w:val="superscript"/>
              </w:rPr>
              <w:t xml:space="preserve">® </w:t>
            </w:r>
            <w:r>
              <w:rPr>
                <w:rFonts w:ascii="Arial" w:hAnsi="Arial" w:cs="Arial"/>
                <w:sz w:val="20"/>
                <w:szCs w:val="20"/>
              </w:rPr>
              <w:t>ER (oxymorphone ER) group.</w:t>
            </w:r>
          </w:p>
          <w:p w:rsidR="008A2E83" w:rsidRDefault="008A2E83" w:rsidP="00D83513">
            <w:pPr>
              <w:spacing w:after="0" w:line="240" w:lineRule="auto"/>
              <w:rPr>
                <w:rFonts w:ascii="Arial" w:hAnsi="Arial" w:cs="Arial"/>
                <w:sz w:val="20"/>
                <w:szCs w:val="20"/>
              </w:rPr>
            </w:pPr>
          </w:p>
          <w:p w:rsidR="00BB73B2" w:rsidRDefault="00BB73B2" w:rsidP="00D83513">
            <w:pPr>
              <w:spacing w:after="0" w:line="240" w:lineRule="auto"/>
              <w:rPr>
                <w:rFonts w:ascii="Arial" w:hAnsi="Arial" w:cs="Arial"/>
                <w:sz w:val="20"/>
                <w:szCs w:val="20"/>
              </w:rPr>
            </w:pPr>
            <w:r>
              <w:rPr>
                <w:rFonts w:ascii="Arial" w:hAnsi="Arial" w:cs="Arial"/>
                <w:sz w:val="20"/>
                <w:szCs w:val="20"/>
              </w:rPr>
              <w:t>Secondary:</w:t>
            </w:r>
          </w:p>
          <w:p w:rsidR="00BB73B2" w:rsidRPr="002F74AF" w:rsidRDefault="008A2E83" w:rsidP="00D83513">
            <w:pPr>
              <w:spacing w:after="0" w:line="240" w:lineRule="auto"/>
              <w:rPr>
                <w:rFonts w:ascii="Arial" w:hAnsi="Arial" w:cs="Arial"/>
                <w:sz w:val="20"/>
                <w:szCs w:val="20"/>
              </w:rPr>
            </w:pPr>
            <w:r>
              <w:rPr>
                <w:rFonts w:ascii="Arial" w:hAnsi="Arial" w:cs="Arial"/>
                <w:sz w:val="20"/>
                <w:szCs w:val="20"/>
              </w:rPr>
              <w:t>Not reported</w:t>
            </w:r>
          </w:p>
        </w:tc>
      </w:tr>
      <w:tr w:rsidR="00BB73B2" w:rsidRPr="002F74AF" w:rsidTr="00466D74">
        <w:tc>
          <w:tcPr>
            <w:tcW w:w="1940" w:type="dxa"/>
          </w:tcPr>
          <w:p w:rsidR="00BB73B2" w:rsidRPr="00A30C6F" w:rsidRDefault="00F151E4" w:rsidP="00D83513">
            <w:pPr>
              <w:spacing w:after="0" w:line="240" w:lineRule="auto"/>
              <w:rPr>
                <w:rFonts w:ascii="Arial" w:hAnsi="Arial" w:cs="Arial"/>
                <w:sz w:val="20"/>
                <w:szCs w:val="20"/>
                <w:lang w:val="en"/>
              </w:rPr>
            </w:pPr>
            <w:r w:rsidRPr="00A30C6F">
              <w:rPr>
                <w:rFonts w:ascii="Arial" w:hAnsi="Arial" w:cs="Arial"/>
                <w:sz w:val="20"/>
                <w:szCs w:val="20"/>
                <w:lang w:val="en"/>
              </w:rPr>
              <w:lastRenderedPageBreak/>
              <w:t>Hale et al</w:t>
            </w:r>
            <w:r w:rsidR="00A30C6F" w:rsidRPr="00A30C6F">
              <w:rPr>
                <w:rFonts w:ascii="Arial" w:hAnsi="Arial" w:cs="Arial"/>
                <w:sz w:val="20"/>
                <w:szCs w:val="20"/>
                <w:vertAlign w:val="superscript"/>
                <w:lang w:val="en"/>
              </w:rPr>
              <w:t>4</w:t>
            </w:r>
            <w:r w:rsidR="00A30C6F" w:rsidRPr="00A30C6F">
              <w:rPr>
                <w:rFonts w:ascii="Arial" w:hAnsi="Arial" w:cs="Arial"/>
                <w:sz w:val="20"/>
                <w:szCs w:val="20"/>
                <w:lang w:val="en"/>
              </w:rPr>
              <w:t xml:space="preserve"> </w:t>
            </w:r>
          </w:p>
          <w:p w:rsidR="001D19C0" w:rsidRDefault="001D19C0" w:rsidP="00BF498B">
            <w:pPr>
              <w:spacing w:after="0" w:line="240" w:lineRule="auto"/>
              <w:rPr>
                <w:rFonts w:ascii="Arial" w:hAnsi="Arial" w:cs="Arial"/>
                <w:sz w:val="20"/>
                <w:szCs w:val="20"/>
              </w:rPr>
            </w:pPr>
          </w:p>
          <w:p w:rsidR="00BF498B" w:rsidRPr="00A30C6F" w:rsidRDefault="00BF498B" w:rsidP="00BF498B">
            <w:pPr>
              <w:spacing w:after="0" w:line="240" w:lineRule="auto"/>
              <w:rPr>
                <w:rFonts w:ascii="Arial" w:hAnsi="Arial" w:cs="Arial"/>
                <w:sz w:val="20"/>
                <w:szCs w:val="20"/>
              </w:rPr>
            </w:pPr>
            <w:r w:rsidRPr="00A30C6F">
              <w:rPr>
                <w:rFonts w:ascii="Arial" w:hAnsi="Arial" w:cs="Arial"/>
                <w:sz w:val="20"/>
                <w:szCs w:val="20"/>
              </w:rPr>
              <w:t xml:space="preserve">Prior to entering </w:t>
            </w:r>
            <w:r w:rsidR="0001200F">
              <w:rPr>
                <w:rFonts w:ascii="Arial" w:hAnsi="Arial" w:cs="Arial"/>
                <w:sz w:val="20"/>
                <w:szCs w:val="20"/>
              </w:rPr>
              <w:t>OL</w:t>
            </w:r>
            <w:r w:rsidRPr="00A30C6F">
              <w:rPr>
                <w:rFonts w:ascii="Arial" w:hAnsi="Arial" w:cs="Arial"/>
                <w:sz w:val="20"/>
                <w:szCs w:val="20"/>
              </w:rPr>
              <w:t xml:space="preserve"> phase,</w:t>
            </w:r>
          </w:p>
          <w:p w:rsidR="00BF498B" w:rsidRPr="00A30C6F" w:rsidRDefault="00BF498B" w:rsidP="00BF498B">
            <w:pPr>
              <w:spacing w:after="0" w:line="240" w:lineRule="auto"/>
              <w:rPr>
                <w:rFonts w:ascii="Arial" w:hAnsi="Arial" w:cs="Arial"/>
                <w:sz w:val="20"/>
                <w:szCs w:val="20"/>
              </w:rPr>
            </w:pPr>
            <w:r w:rsidRPr="00A30C6F">
              <w:rPr>
                <w:rFonts w:ascii="Arial" w:hAnsi="Arial" w:cs="Arial"/>
                <w:sz w:val="20"/>
                <w:szCs w:val="20"/>
              </w:rPr>
              <w:t>individuals were titrated from current opioid to equianalgesic dose of Opana</w:t>
            </w:r>
            <w:r w:rsidRPr="00A30C6F">
              <w:rPr>
                <w:rFonts w:ascii="Arial" w:hAnsi="Arial" w:cs="Arial"/>
                <w:sz w:val="20"/>
                <w:szCs w:val="20"/>
                <w:vertAlign w:val="superscript"/>
              </w:rPr>
              <w:t xml:space="preserve">®  </w:t>
            </w:r>
            <w:r w:rsidRPr="00A30C6F">
              <w:rPr>
                <w:rFonts w:ascii="Arial" w:hAnsi="Arial" w:cs="Arial"/>
                <w:sz w:val="20"/>
                <w:szCs w:val="20"/>
              </w:rPr>
              <w:t xml:space="preserve">ER (oxymorphone ER) Q12H </w:t>
            </w:r>
          </w:p>
          <w:p w:rsidR="00BF498B" w:rsidRDefault="00BF498B" w:rsidP="00BF498B">
            <w:pPr>
              <w:spacing w:after="0" w:line="240" w:lineRule="auto"/>
              <w:rPr>
                <w:rFonts w:ascii="Arial" w:hAnsi="Arial" w:cs="Arial"/>
                <w:sz w:val="20"/>
                <w:szCs w:val="20"/>
              </w:rPr>
            </w:pPr>
          </w:p>
          <w:p w:rsidR="00BF498B" w:rsidRDefault="0001200F" w:rsidP="00BF498B">
            <w:pPr>
              <w:spacing w:after="0" w:line="240" w:lineRule="auto"/>
              <w:rPr>
                <w:rFonts w:ascii="Arial" w:hAnsi="Arial" w:cs="Arial"/>
                <w:sz w:val="20"/>
                <w:szCs w:val="20"/>
              </w:rPr>
            </w:pPr>
            <w:r>
              <w:rPr>
                <w:rFonts w:ascii="Arial" w:hAnsi="Arial" w:cs="Arial"/>
                <w:sz w:val="20"/>
                <w:szCs w:val="20"/>
              </w:rPr>
              <w:t>OL</w:t>
            </w:r>
            <w:r w:rsidR="00BF498B">
              <w:rPr>
                <w:rFonts w:ascii="Arial" w:hAnsi="Arial" w:cs="Arial"/>
                <w:sz w:val="20"/>
                <w:szCs w:val="20"/>
              </w:rPr>
              <w:t xml:space="preserve"> phase: </w:t>
            </w:r>
          </w:p>
          <w:p w:rsidR="00BF498B" w:rsidRDefault="00BF498B" w:rsidP="00BF498B">
            <w:pPr>
              <w:spacing w:after="0" w:line="240" w:lineRule="auto"/>
              <w:rPr>
                <w:rFonts w:ascii="Arial" w:hAnsi="Arial" w:cs="Arial"/>
                <w:sz w:val="20"/>
                <w:szCs w:val="20"/>
              </w:rPr>
            </w:pPr>
            <w:r>
              <w:rPr>
                <w:rFonts w:ascii="Arial" w:hAnsi="Arial" w:cs="Arial"/>
                <w:sz w:val="20"/>
                <w:szCs w:val="20"/>
              </w:rPr>
              <w:t>Individuals were stabilized on dose of Opana</w:t>
            </w:r>
            <w:r>
              <w:rPr>
                <w:rFonts w:ascii="Arial" w:hAnsi="Arial" w:cs="Arial"/>
                <w:sz w:val="20"/>
                <w:szCs w:val="20"/>
                <w:vertAlign w:val="superscript"/>
              </w:rPr>
              <w:t xml:space="preserve">®  </w:t>
            </w:r>
            <w:r>
              <w:rPr>
                <w:rFonts w:ascii="Arial" w:hAnsi="Arial" w:cs="Arial"/>
                <w:sz w:val="20"/>
                <w:szCs w:val="20"/>
              </w:rPr>
              <w:t xml:space="preserve">ER (oxymorphone ER) </w:t>
            </w:r>
            <w:r w:rsidRPr="002F74AF">
              <w:rPr>
                <w:rFonts w:ascii="Arial" w:hAnsi="Arial" w:cs="Arial"/>
                <w:sz w:val="20"/>
                <w:szCs w:val="20"/>
              </w:rPr>
              <w:t>Q12H</w:t>
            </w:r>
            <w:r>
              <w:rPr>
                <w:rFonts w:ascii="Arial" w:hAnsi="Arial" w:cs="Arial"/>
                <w:sz w:val="20"/>
                <w:szCs w:val="20"/>
              </w:rPr>
              <w:t xml:space="preserve">  that reduced average pain to &lt;40 mm on </w:t>
            </w:r>
            <w:r>
              <w:rPr>
                <w:rFonts w:ascii="Arial" w:hAnsi="Arial" w:cs="Arial"/>
                <w:sz w:val="20"/>
                <w:szCs w:val="20"/>
              </w:rPr>
              <w:lastRenderedPageBreak/>
              <w:t>a VAS scale with good tolerability</w:t>
            </w:r>
            <w:r w:rsidR="005E6F0B">
              <w:rPr>
                <w:rFonts w:ascii="Arial" w:hAnsi="Arial" w:cs="Arial"/>
                <w:sz w:val="20"/>
                <w:szCs w:val="20"/>
              </w:rPr>
              <w:t xml:space="preserve"> (titrated by 10 mg increments every three to seven days if needed)</w:t>
            </w:r>
          </w:p>
          <w:p w:rsidR="00BF498B" w:rsidRDefault="00BF498B" w:rsidP="00BF498B">
            <w:pPr>
              <w:spacing w:after="0" w:line="240" w:lineRule="auto"/>
              <w:rPr>
                <w:rFonts w:ascii="Arial" w:hAnsi="Arial" w:cs="Arial"/>
                <w:sz w:val="20"/>
                <w:szCs w:val="20"/>
              </w:rPr>
            </w:pPr>
          </w:p>
          <w:p w:rsidR="00BF498B" w:rsidRDefault="00BF498B" w:rsidP="00BF498B">
            <w:pPr>
              <w:spacing w:after="0" w:line="240" w:lineRule="auto"/>
              <w:rPr>
                <w:rFonts w:ascii="Arial" w:hAnsi="Arial" w:cs="Arial"/>
                <w:sz w:val="20"/>
                <w:szCs w:val="20"/>
              </w:rPr>
            </w:pPr>
            <w:r>
              <w:rPr>
                <w:rFonts w:ascii="Arial" w:hAnsi="Arial" w:cs="Arial"/>
                <w:sz w:val="20"/>
                <w:szCs w:val="20"/>
              </w:rPr>
              <w:t>Once stabilized, individuals randomized 1:1</w:t>
            </w:r>
            <w:r w:rsidR="005E6F0B">
              <w:rPr>
                <w:rFonts w:ascii="Arial" w:hAnsi="Arial" w:cs="Arial"/>
                <w:sz w:val="20"/>
                <w:szCs w:val="20"/>
              </w:rPr>
              <w:t xml:space="preserve"> for 12-weeks DB-Phase</w:t>
            </w:r>
            <w:r>
              <w:rPr>
                <w:rFonts w:ascii="Arial" w:hAnsi="Arial" w:cs="Arial"/>
                <w:sz w:val="20"/>
                <w:szCs w:val="20"/>
              </w:rPr>
              <w:t>:</w:t>
            </w:r>
          </w:p>
          <w:p w:rsidR="00BF498B" w:rsidRDefault="00BF498B" w:rsidP="00BF498B">
            <w:pPr>
              <w:spacing w:after="0" w:line="240" w:lineRule="auto"/>
              <w:rPr>
                <w:rFonts w:ascii="Arial" w:hAnsi="Arial" w:cs="Arial"/>
                <w:sz w:val="20"/>
                <w:szCs w:val="20"/>
              </w:rPr>
            </w:pPr>
          </w:p>
          <w:p w:rsidR="00BF498B" w:rsidRDefault="00BF498B" w:rsidP="00BF498B">
            <w:pPr>
              <w:spacing w:after="0" w:line="240" w:lineRule="auto"/>
              <w:rPr>
                <w:rFonts w:ascii="Arial" w:hAnsi="Arial" w:cs="Arial"/>
                <w:sz w:val="20"/>
                <w:szCs w:val="20"/>
              </w:rPr>
            </w:pPr>
            <w:r>
              <w:rPr>
                <w:rFonts w:ascii="Arial" w:hAnsi="Arial" w:cs="Arial"/>
                <w:sz w:val="20"/>
                <w:szCs w:val="20"/>
              </w:rPr>
              <w:t>Opana</w:t>
            </w:r>
            <w:r>
              <w:rPr>
                <w:rFonts w:ascii="Arial" w:hAnsi="Arial" w:cs="Arial"/>
                <w:sz w:val="20"/>
                <w:szCs w:val="20"/>
                <w:vertAlign w:val="superscript"/>
              </w:rPr>
              <w:t xml:space="preserve">®  </w:t>
            </w:r>
            <w:r>
              <w:rPr>
                <w:rFonts w:ascii="Arial" w:hAnsi="Arial" w:cs="Arial"/>
                <w:sz w:val="20"/>
                <w:szCs w:val="20"/>
              </w:rPr>
              <w:t>ER (oxymorphone ER) individualized stable dose Q12H</w:t>
            </w:r>
          </w:p>
          <w:p w:rsidR="00BF498B" w:rsidRDefault="00BF498B" w:rsidP="00BF498B">
            <w:pPr>
              <w:spacing w:after="0" w:line="240" w:lineRule="auto"/>
              <w:rPr>
                <w:rFonts w:ascii="Arial" w:hAnsi="Arial" w:cs="Arial"/>
                <w:sz w:val="20"/>
                <w:szCs w:val="20"/>
              </w:rPr>
            </w:pPr>
          </w:p>
          <w:p w:rsidR="00C05220" w:rsidRDefault="00C05220" w:rsidP="00BF498B">
            <w:pPr>
              <w:spacing w:after="0" w:line="240" w:lineRule="auto"/>
              <w:rPr>
                <w:rFonts w:ascii="Arial" w:hAnsi="Arial" w:cs="Arial"/>
                <w:sz w:val="20"/>
                <w:szCs w:val="20"/>
              </w:rPr>
            </w:pPr>
            <w:r>
              <w:rPr>
                <w:rFonts w:ascii="Arial" w:hAnsi="Arial" w:cs="Arial"/>
                <w:sz w:val="20"/>
                <w:szCs w:val="20"/>
              </w:rPr>
              <w:t>vs</w:t>
            </w:r>
          </w:p>
          <w:p w:rsidR="00C05220" w:rsidRDefault="00C05220" w:rsidP="00BF498B">
            <w:pPr>
              <w:spacing w:after="0" w:line="240" w:lineRule="auto"/>
              <w:rPr>
                <w:rFonts w:ascii="Arial" w:hAnsi="Arial" w:cs="Arial"/>
                <w:sz w:val="20"/>
                <w:szCs w:val="20"/>
              </w:rPr>
            </w:pPr>
          </w:p>
          <w:p w:rsidR="00C05220" w:rsidRDefault="00C05220" w:rsidP="00BF498B">
            <w:pPr>
              <w:spacing w:after="0" w:line="240" w:lineRule="auto"/>
              <w:rPr>
                <w:rFonts w:ascii="Arial" w:hAnsi="Arial" w:cs="Arial"/>
                <w:sz w:val="20"/>
                <w:szCs w:val="20"/>
              </w:rPr>
            </w:pPr>
            <w:r>
              <w:rPr>
                <w:rFonts w:ascii="Arial" w:hAnsi="Arial" w:cs="Arial"/>
                <w:sz w:val="20"/>
                <w:szCs w:val="20"/>
              </w:rPr>
              <w:t>placebo</w:t>
            </w:r>
          </w:p>
          <w:p w:rsidR="00C05220" w:rsidRDefault="00C05220" w:rsidP="00BF498B">
            <w:pPr>
              <w:spacing w:after="0" w:line="240" w:lineRule="auto"/>
              <w:rPr>
                <w:rFonts w:ascii="Arial" w:hAnsi="Arial" w:cs="Arial"/>
                <w:sz w:val="20"/>
                <w:szCs w:val="20"/>
              </w:rPr>
            </w:pPr>
          </w:p>
          <w:p w:rsidR="00BB73B2" w:rsidRPr="002F74AF" w:rsidRDefault="00BF498B" w:rsidP="00C05220">
            <w:pPr>
              <w:spacing w:after="0" w:line="240" w:lineRule="auto"/>
              <w:rPr>
                <w:rFonts w:ascii="Arial" w:hAnsi="Arial" w:cs="Arial"/>
                <w:sz w:val="20"/>
                <w:szCs w:val="20"/>
              </w:rPr>
            </w:pPr>
            <w:r>
              <w:rPr>
                <w:rFonts w:ascii="Arial" w:hAnsi="Arial" w:cs="Arial"/>
                <w:sz w:val="20"/>
                <w:szCs w:val="20"/>
              </w:rPr>
              <w:t>During first four days of DB treatment, patients were allowed an unlimited number of Opana</w:t>
            </w:r>
            <w:r>
              <w:rPr>
                <w:rFonts w:cs="Arial"/>
                <w:sz w:val="20"/>
                <w:szCs w:val="20"/>
              </w:rPr>
              <w:t>®</w:t>
            </w:r>
            <w:r>
              <w:rPr>
                <w:rFonts w:ascii="Arial" w:hAnsi="Arial" w:cs="Arial"/>
                <w:sz w:val="20"/>
                <w:szCs w:val="20"/>
              </w:rPr>
              <w:t xml:space="preserve"> (oxymorphone </w:t>
            </w:r>
            <w:r w:rsidR="00C05220">
              <w:rPr>
                <w:rFonts w:ascii="Arial" w:hAnsi="Arial" w:cs="Arial"/>
                <w:sz w:val="20"/>
                <w:szCs w:val="20"/>
              </w:rPr>
              <w:t>IR</w:t>
            </w:r>
            <w:r>
              <w:rPr>
                <w:rFonts w:ascii="Arial" w:hAnsi="Arial" w:cs="Arial"/>
                <w:sz w:val="20"/>
                <w:szCs w:val="20"/>
              </w:rPr>
              <w:t>) 5 mg tablets every four to six hours as needed; thereafter, the number was limited to two tablets per day</w:t>
            </w:r>
            <w:r w:rsidR="001D19C0">
              <w:rPr>
                <w:rFonts w:ascii="Arial" w:hAnsi="Arial" w:cs="Arial"/>
                <w:sz w:val="20"/>
                <w:szCs w:val="20"/>
              </w:rPr>
              <w:t>.</w:t>
            </w:r>
          </w:p>
        </w:tc>
        <w:tc>
          <w:tcPr>
            <w:tcW w:w="2070" w:type="dxa"/>
          </w:tcPr>
          <w:p w:rsidR="00F151E4" w:rsidRPr="002F74AF" w:rsidRDefault="00F151E4" w:rsidP="00F151E4">
            <w:pPr>
              <w:spacing w:after="0" w:line="240" w:lineRule="auto"/>
              <w:rPr>
                <w:rFonts w:ascii="Arial" w:hAnsi="Arial" w:cs="Arial"/>
                <w:sz w:val="20"/>
                <w:szCs w:val="20"/>
              </w:rPr>
            </w:pPr>
            <w:r w:rsidRPr="002F74AF">
              <w:rPr>
                <w:rFonts w:ascii="Arial" w:hAnsi="Arial" w:cs="Arial"/>
                <w:sz w:val="20"/>
                <w:szCs w:val="20"/>
              </w:rPr>
              <w:lastRenderedPageBreak/>
              <w:t xml:space="preserve">DB, </w:t>
            </w:r>
            <w:r w:rsidR="00BF498B">
              <w:rPr>
                <w:rFonts w:ascii="Arial" w:hAnsi="Arial" w:cs="Arial"/>
                <w:sz w:val="20"/>
                <w:szCs w:val="20"/>
              </w:rPr>
              <w:t xml:space="preserve">MC, </w:t>
            </w:r>
            <w:r w:rsidR="00BF2266">
              <w:rPr>
                <w:rFonts w:ascii="Arial" w:hAnsi="Arial" w:cs="Arial"/>
                <w:sz w:val="20"/>
                <w:szCs w:val="20"/>
              </w:rPr>
              <w:t xml:space="preserve">PC, </w:t>
            </w:r>
            <w:r w:rsidRPr="002F74AF">
              <w:rPr>
                <w:rFonts w:ascii="Arial" w:hAnsi="Arial" w:cs="Arial"/>
                <w:sz w:val="20"/>
                <w:szCs w:val="20"/>
              </w:rPr>
              <w:t>PG, RCT</w:t>
            </w:r>
          </w:p>
          <w:p w:rsidR="00BF498B" w:rsidRDefault="00BF498B" w:rsidP="00B668A6">
            <w:pPr>
              <w:spacing w:after="0" w:line="240" w:lineRule="auto"/>
              <w:rPr>
                <w:rFonts w:ascii="Arial" w:hAnsi="Arial" w:cs="Arial"/>
                <w:sz w:val="20"/>
                <w:szCs w:val="20"/>
              </w:rPr>
            </w:pPr>
          </w:p>
          <w:p w:rsidR="00BB73B2" w:rsidRPr="002F74AF" w:rsidRDefault="00BF498B" w:rsidP="002E3670">
            <w:pPr>
              <w:spacing w:after="0" w:line="240" w:lineRule="auto"/>
              <w:rPr>
                <w:rFonts w:ascii="Arial" w:hAnsi="Arial" w:cs="Arial"/>
                <w:sz w:val="20"/>
                <w:szCs w:val="20"/>
              </w:rPr>
            </w:pPr>
            <w:r w:rsidRPr="002F74AF">
              <w:rPr>
                <w:rFonts w:ascii="Arial" w:hAnsi="Arial" w:cs="Arial"/>
                <w:sz w:val="20"/>
                <w:szCs w:val="20"/>
              </w:rPr>
              <w:t xml:space="preserve">Patients  </w:t>
            </w:r>
            <w:r w:rsidRPr="002F74AF">
              <w:rPr>
                <w:rFonts w:ascii="Times New Roman" w:hAnsi="Times New Roman"/>
                <w:sz w:val="20"/>
                <w:szCs w:val="20"/>
              </w:rPr>
              <w:t>≥</w:t>
            </w:r>
            <w:r w:rsidRPr="002F74AF">
              <w:rPr>
                <w:rFonts w:ascii="Arial" w:hAnsi="Arial" w:cs="Arial"/>
                <w:sz w:val="20"/>
                <w:szCs w:val="20"/>
              </w:rPr>
              <w:t xml:space="preserve">18 years of age with </w:t>
            </w:r>
            <w:r>
              <w:rPr>
                <w:rFonts w:ascii="Arial" w:hAnsi="Arial" w:cs="Arial"/>
                <w:sz w:val="20"/>
                <w:szCs w:val="20"/>
              </w:rPr>
              <w:t xml:space="preserve">moderate to severe chronic low back pain that had been present for at least several hours a day for a minimum of three months; receiving stable ATC opioid pain medication equivalent to at least 60 mg per day of oral morphine for the two weeks prior to screening </w:t>
            </w:r>
          </w:p>
        </w:tc>
        <w:tc>
          <w:tcPr>
            <w:tcW w:w="1440" w:type="dxa"/>
          </w:tcPr>
          <w:p w:rsidR="00BB73B2" w:rsidRPr="002F74AF" w:rsidRDefault="00BB73B2" w:rsidP="00D83513">
            <w:pPr>
              <w:spacing w:after="0" w:line="240" w:lineRule="auto"/>
              <w:jc w:val="center"/>
              <w:rPr>
                <w:rFonts w:ascii="Arial" w:hAnsi="Arial" w:cs="Arial"/>
                <w:sz w:val="20"/>
                <w:szCs w:val="20"/>
              </w:rPr>
            </w:pPr>
            <w:r w:rsidRPr="002F74AF">
              <w:rPr>
                <w:rFonts w:ascii="Arial" w:hAnsi="Arial" w:cs="Arial"/>
                <w:sz w:val="20"/>
                <w:szCs w:val="20"/>
              </w:rPr>
              <w:t>N=</w:t>
            </w:r>
            <w:r w:rsidR="00F151E4">
              <w:rPr>
                <w:rFonts w:ascii="Arial" w:hAnsi="Arial" w:cs="Arial"/>
                <w:sz w:val="20"/>
                <w:szCs w:val="20"/>
              </w:rPr>
              <w:t>250</w:t>
            </w:r>
          </w:p>
          <w:p w:rsidR="00BB73B2" w:rsidRDefault="00BB73B2" w:rsidP="00A6477E">
            <w:pPr>
              <w:spacing w:after="0" w:line="240" w:lineRule="auto"/>
              <w:rPr>
                <w:rFonts w:ascii="Arial" w:hAnsi="Arial" w:cs="Arial"/>
                <w:sz w:val="20"/>
                <w:szCs w:val="20"/>
              </w:rPr>
            </w:pPr>
          </w:p>
          <w:p w:rsidR="00BB73B2" w:rsidRDefault="005E6F0B" w:rsidP="00D83513">
            <w:pPr>
              <w:spacing w:after="0" w:line="240" w:lineRule="auto"/>
              <w:jc w:val="center"/>
              <w:rPr>
                <w:rFonts w:ascii="Arial" w:hAnsi="Arial" w:cs="Arial"/>
                <w:sz w:val="20"/>
                <w:szCs w:val="20"/>
              </w:rPr>
            </w:pPr>
            <w:r>
              <w:rPr>
                <w:rFonts w:ascii="Arial" w:hAnsi="Arial" w:cs="Arial"/>
                <w:sz w:val="20"/>
                <w:szCs w:val="20"/>
              </w:rPr>
              <w:t>12</w:t>
            </w:r>
            <w:r w:rsidR="00BB73B2">
              <w:rPr>
                <w:rFonts w:ascii="Arial" w:hAnsi="Arial" w:cs="Arial"/>
                <w:sz w:val="20"/>
                <w:szCs w:val="20"/>
              </w:rPr>
              <w:t xml:space="preserve"> Weeks</w:t>
            </w:r>
            <w:r w:rsidR="00937DD0">
              <w:rPr>
                <w:rFonts w:ascii="Arial" w:hAnsi="Arial" w:cs="Arial"/>
                <w:sz w:val="20"/>
                <w:szCs w:val="20"/>
              </w:rPr>
              <w:t xml:space="preserve"> </w:t>
            </w:r>
          </w:p>
          <w:p w:rsidR="00937DD0" w:rsidRPr="002F74AF" w:rsidRDefault="00937DD0" w:rsidP="00D83513">
            <w:pPr>
              <w:spacing w:after="0" w:line="240" w:lineRule="auto"/>
              <w:jc w:val="center"/>
              <w:rPr>
                <w:rFonts w:ascii="Arial" w:hAnsi="Arial" w:cs="Arial"/>
                <w:sz w:val="20"/>
                <w:szCs w:val="20"/>
              </w:rPr>
            </w:pPr>
            <w:r>
              <w:rPr>
                <w:rFonts w:ascii="Arial" w:hAnsi="Arial" w:cs="Arial"/>
                <w:sz w:val="20"/>
                <w:szCs w:val="20"/>
              </w:rPr>
              <w:t>(DB treatment phase)</w:t>
            </w:r>
          </w:p>
          <w:p w:rsidR="00BB73B2" w:rsidRPr="002F74AF" w:rsidRDefault="00BB73B2" w:rsidP="00D83513">
            <w:pPr>
              <w:spacing w:after="0" w:line="240" w:lineRule="auto"/>
              <w:jc w:val="center"/>
              <w:rPr>
                <w:rFonts w:ascii="Arial" w:hAnsi="Arial" w:cs="Arial"/>
                <w:sz w:val="20"/>
                <w:szCs w:val="20"/>
              </w:rPr>
            </w:pPr>
          </w:p>
          <w:p w:rsidR="00BB73B2" w:rsidRPr="002F74AF" w:rsidRDefault="00BB73B2" w:rsidP="00D83513">
            <w:pPr>
              <w:spacing w:after="0" w:line="240" w:lineRule="auto"/>
              <w:jc w:val="center"/>
              <w:rPr>
                <w:rFonts w:ascii="Arial" w:hAnsi="Arial" w:cs="Arial"/>
                <w:sz w:val="20"/>
                <w:szCs w:val="20"/>
              </w:rPr>
            </w:pPr>
          </w:p>
        </w:tc>
        <w:tc>
          <w:tcPr>
            <w:tcW w:w="1980" w:type="dxa"/>
          </w:tcPr>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Primary:</w:t>
            </w:r>
          </w:p>
          <w:p w:rsidR="00BB73B2" w:rsidRPr="002F74AF" w:rsidRDefault="005E6F0B" w:rsidP="00D83513">
            <w:pPr>
              <w:spacing w:after="0" w:line="240" w:lineRule="auto"/>
              <w:rPr>
                <w:rFonts w:ascii="Arial" w:hAnsi="Arial" w:cs="Arial"/>
                <w:sz w:val="20"/>
                <w:szCs w:val="20"/>
              </w:rPr>
            </w:pPr>
            <w:r>
              <w:rPr>
                <w:rFonts w:ascii="Arial" w:hAnsi="Arial" w:cs="Arial"/>
                <w:sz w:val="20"/>
                <w:szCs w:val="20"/>
              </w:rPr>
              <w:t>Change in average pain intensity (VAS) from baseline (before randomization) to final study visit (at the end of double-blind treatment or at early discontinuation)</w:t>
            </w:r>
          </w:p>
          <w:p w:rsidR="00BB73B2" w:rsidRPr="002F74AF"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Secondary:</w:t>
            </w:r>
          </w:p>
          <w:p w:rsidR="002E3670" w:rsidRDefault="002E3670" w:rsidP="00320F4C">
            <w:pPr>
              <w:spacing w:after="0" w:line="240" w:lineRule="auto"/>
              <w:rPr>
                <w:rFonts w:ascii="Arial" w:hAnsi="Arial" w:cs="Arial"/>
                <w:sz w:val="20"/>
                <w:szCs w:val="20"/>
              </w:rPr>
            </w:pPr>
            <w:r>
              <w:rPr>
                <w:rFonts w:ascii="Arial" w:hAnsi="Arial" w:cs="Arial"/>
                <w:sz w:val="20"/>
                <w:szCs w:val="20"/>
              </w:rPr>
              <w:t>Time to discontinuation caused by lack of efficacy</w:t>
            </w:r>
          </w:p>
          <w:p w:rsidR="002E3670" w:rsidRDefault="002E3670" w:rsidP="00320F4C">
            <w:pPr>
              <w:spacing w:after="0" w:line="240" w:lineRule="auto"/>
              <w:rPr>
                <w:rFonts w:ascii="Arial" w:hAnsi="Arial" w:cs="Arial"/>
                <w:sz w:val="20"/>
                <w:szCs w:val="20"/>
              </w:rPr>
            </w:pPr>
          </w:p>
          <w:p w:rsidR="00BB73B2" w:rsidRPr="002F74AF" w:rsidRDefault="00BB73B2" w:rsidP="00320F4C">
            <w:pPr>
              <w:spacing w:after="0" w:line="240" w:lineRule="auto"/>
              <w:rPr>
                <w:rFonts w:ascii="Arial" w:hAnsi="Arial" w:cs="Arial"/>
                <w:sz w:val="20"/>
                <w:szCs w:val="20"/>
              </w:rPr>
            </w:pPr>
          </w:p>
        </w:tc>
        <w:tc>
          <w:tcPr>
            <w:tcW w:w="6390" w:type="dxa"/>
          </w:tcPr>
          <w:p w:rsidR="00BB73B2" w:rsidRPr="002F74AF" w:rsidRDefault="00BB73B2" w:rsidP="00D83513">
            <w:pPr>
              <w:spacing w:after="0" w:line="240" w:lineRule="auto"/>
              <w:rPr>
                <w:rFonts w:ascii="Arial" w:hAnsi="Arial" w:cs="Arial"/>
                <w:sz w:val="20"/>
                <w:szCs w:val="20"/>
              </w:rPr>
            </w:pPr>
            <w:r>
              <w:rPr>
                <w:rFonts w:ascii="Arial" w:hAnsi="Arial" w:cs="Arial"/>
                <w:sz w:val="20"/>
                <w:szCs w:val="20"/>
              </w:rPr>
              <w:t>Primary:</w:t>
            </w:r>
          </w:p>
          <w:p w:rsidR="002E3670" w:rsidRDefault="002E3670" w:rsidP="00D83513">
            <w:pPr>
              <w:spacing w:after="0" w:line="240" w:lineRule="auto"/>
              <w:rPr>
                <w:rFonts w:ascii="Arial" w:hAnsi="Arial" w:cs="Arial"/>
                <w:sz w:val="20"/>
                <w:szCs w:val="20"/>
              </w:rPr>
            </w:pPr>
            <w:r>
              <w:rPr>
                <w:rFonts w:ascii="Arial" w:eastAsia="Times New Roman" w:hAnsi="Arial" w:cs="Arial"/>
                <w:sz w:val="20"/>
                <w:szCs w:val="20"/>
              </w:rPr>
              <w:t xml:space="preserve">Fifty-six percent of patients (143/250) were successfully titrated to a stable dose of </w:t>
            </w:r>
            <w:r>
              <w:rPr>
                <w:rFonts w:ascii="Arial" w:hAnsi="Arial" w:cs="Arial"/>
                <w:sz w:val="20"/>
                <w:szCs w:val="20"/>
              </w:rPr>
              <w:t>Opana</w:t>
            </w:r>
            <w:r>
              <w:rPr>
                <w:rFonts w:ascii="Arial" w:hAnsi="Arial" w:cs="Arial"/>
                <w:sz w:val="20"/>
                <w:szCs w:val="20"/>
                <w:vertAlign w:val="superscript"/>
              </w:rPr>
              <w:t xml:space="preserve">® </w:t>
            </w:r>
            <w:r>
              <w:rPr>
                <w:rFonts w:ascii="Arial" w:hAnsi="Arial" w:cs="Arial"/>
                <w:sz w:val="20"/>
                <w:szCs w:val="20"/>
              </w:rPr>
              <w:t>ER (oxymorphone ER) during the open-label titration period.</w:t>
            </w:r>
          </w:p>
          <w:p w:rsidR="002E3670" w:rsidRDefault="002E3670" w:rsidP="00D83513">
            <w:pPr>
              <w:spacing w:after="0" w:line="240" w:lineRule="auto"/>
              <w:rPr>
                <w:rFonts w:ascii="Arial" w:hAnsi="Arial" w:cs="Arial"/>
                <w:sz w:val="20"/>
                <w:szCs w:val="20"/>
              </w:rPr>
            </w:pPr>
          </w:p>
          <w:p w:rsidR="00BB73B2" w:rsidRDefault="00827443" w:rsidP="00D83513">
            <w:pPr>
              <w:spacing w:after="0" w:line="240" w:lineRule="auto"/>
              <w:rPr>
                <w:rFonts w:ascii="Arial" w:hAnsi="Arial" w:cs="Arial"/>
                <w:sz w:val="20"/>
                <w:szCs w:val="20"/>
              </w:rPr>
            </w:pPr>
            <w:r>
              <w:rPr>
                <w:rFonts w:ascii="Arial" w:hAnsi="Arial" w:cs="Arial"/>
                <w:sz w:val="20"/>
                <w:szCs w:val="20"/>
              </w:rPr>
              <w:t>Pain intensity was shown to have increased significantly more for those randomized to placebo than for those who continued their stabilized dose of Opana</w:t>
            </w:r>
            <w:r>
              <w:rPr>
                <w:rFonts w:cs="Arial"/>
                <w:sz w:val="20"/>
                <w:szCs w:val="20"/>
              </w:rPr>
              <w:t>®</w:t>
            </w:r>
            <w:r>
              <w:rPr>
                <w:rFonts w:ascii="Arial" w:hAnsi="Arial" w:cs="Arial"/>
                <w:sz w:val="20"/>
                <w:szCs w:val="20"/>
              </w:rPr>
              <w:t xml:space="preserve"> ER (oxymorphone ER). The increase from baseline to final visit was 31.6 mm for placebo </w:t>
            </w:r>
            <w:r w:rsidR="00371A0F">
              <w:rPr>
                <w:rFonts w:ascii="Arial" w:hAnsi="Arial" w:cs="Arial"/>
                <w:sz w:val="20"/>
                <w:szCs w:val="20"/>
              </w:rPr>
              <w:t>compared to</w:t>
            </w:r>
            <w:r>
              <w:rPr>
                <w:rFonts w:ascii="Arial" w:hAnsi="Arial" w:cs="Arial"/>
                <w:sz w:val="20"/>
                <w:szCs w:val="20"/>
              </w:rPr>
              <w:t xml:space="preserve"> 8.7 mm with Opana</w:t>
            </w:r>
            <w:r>
              <w:rPr>
                <w:rFonts w:cs="Arial"/>
                <w:sz w:val="20"/>
                <w:szCs w:val="20"/>
              </w:rPr>
              <w:t xml:space="preserve">® </w:t>
            </w:r>
            <w:r>
              <w:rPr>
                <w:rFonts w:ascii="Arial" w:hAnsi="Arial" w:cs="Arial"/>
                <w:sz w:val="20"/>
                <w:szCs w:val="20"/>
              </w:rPr>
              <w:t>ER (oxymorphone ER)  (P&lt;0.0001).</w:t>
            </w:r>
          </w:p>
          <w:p w:rsidR="00827443" w:rsidRDefault="00827443" w:rsidP="00D83513">
            <w:pPr>
              <w:spacing w:after="0" w:line="240" w:lineRule="auto"/>
              <w:rPr>
                <w:rFonts w:ascii="Arial" w:hAnsi="Arial" w:cs="Arial"/>
                <w:sz w:val="20"/>
                <w:szCs w:val="20"/>
              </w:rPr>
            </w:pPr>
          </w:p>
          <w:p w:rsidR="00371A0F" w:rsidRDefault="00371A0F" w:rsidP="00D83513">
            <w:pPr>
              <w:spacing w:after="0" w:line="240" w:lineRule="auto"/>
              <w:rPr>
                <w:rFonts w:ascii="Arial" w:hAnsi="Arial" w:cs="Arial"/>
                <w:sz w:val="20"/>
                <w:szCs w:val="20"/>
              </w:rPr>
            </w:pPr>
            <w:r>
              <w:rPr>
                <w:rFonts w:ascii="Arial" w:hAnsi="Arial" w:cs="Arial"/>
                <w:sz w:val="20"/>
                <w:szCs w:val="20"/>
              </w:rPr>
              <w:t>Secondary:</w:t>
            </w:r>
          </w:p>
          <w:p w:rsidR="00827443" w:rsidRDefault="00371A0F" w:rsidP="00D83513">
            <w:pPr>
              <w:spacing w:after="0" w:line="240" w:lineRule="auto"/>
              <w:rPr>
                <w:rFonts w:ascii="Arial" w:hAnsi="Arial" w:cs="Arial"/>
                <w:sz w:val="20"/>
                <w:szCs w:val="20"/>
              </w:rPr>
            </w:pPr>
            <w:r>
              <w:rPr>
                <w:rFonts w:ascii="Arial" w:hAnsi="Arial" w:cs="Arial"/>
                <w:sz w:val="20"/>
                <w:szCs w:val="20"/>
              </w:rPr>
              <w:t>After randomization, 70% of patients in the Opana</w:t>
            </w:r>
            <w:r>
              <w:rPr>
                <w:rFonts w:cs="Arial"/>
                <w:sz w:val="20"/>
                <w:szCs w:val="20"/>
              </w:rPr>
              <w:t>®</w:t>
            </w:r>
            <w:r>
              <w:rPr>
                <w:rFonts w:ascii="Arial" w:hAnsi="Arial" w:cs="Arial"/>
                <w:sz w:val="20"/>
                <w:szCs w:val="20"/>
              </w:rPr>
              <w:t xml:space="preserve"> ER (oxymorphone ER) group and 25% of patients in the placebo group completed the 12-week double-blind treatment. Fifty-three percent of placebo patients compared to 11% of</w:t>
            </w:r>
            <w:r w:rsidR="00827443">
              <w:rPr>
                <w:rFonts w:ascii="Arial" w:hAnsi="Arial" w:cs="Arial"/>
                <w:sz w:val="20"/>
                <w:szCs w:val="20"/>
              </w:rPr>
              <w:t xml:space="preserve"> Opana</w:t>
            </w:r>
            <w:r w:rsidR="00827443">
              <w:rPr>
                <w:rFonts w:cs="Arial"/>
                <w:sz w:val="20"/>
                <w:szCs w:val="20"/>
              </w:rPr>
              <w:t>®</w:t>
            </w:r>
            <w:r w:rsidR="00827443">
              <w:rPr>
                <w:rFonts w:ascii="Arial" w:hAnsi="Arial" w:cs="Arial"/>
                <w:sz w:val="20"/>
                <w:szCs w:val="20"/>
              </w:rPr>
              <w:t xml:space="preserve"> ER (oxymorphone ER) </w:t>
            </w:r>
            <w:r>
              <w:rPr>
                <w:rFonts w:ascii="Arial" w:hAnsi="Arial" w:cs="Arial"/>
                <w:sz w:val="20"/>
                <w:szCs w:val="20"/>
              </w:rPr>
              <w:t xml:space="preserve">patients </w:t>
            </w:r>
            <w:r w:rsidR="00827443">
              <w:rPr>
                <w:rFonts w:ascii="Arial" w:hAnsi="Arial" w:cs="Arial"/>
                <w:sz w:val="20"/>
                <w:szCs w:val="20"/>
              </w:rPr>
              <w:t>discontinue</w:t>
            </w:r>
            <w:r>
              <w:rPr>
                <w:rFonts w:ascii="Arial" w:hAnsi="Arial" w:cs="Arial"/>
                <w:sz w:val="20"/>
                <w:szCs w:val="20"/>
              </w:rPr>
              <w:t>d</w:t>
            </w:r>
            <w:r w:rsidR="00827443">
              <w:rPr>
                <w:rFonts w:ascii="Arial" w:hAnsi="Arial" w:cs="Arial"/>
                <w:sz w:val="20"/>
                <w:szCs w:val="20"/>
              </w:rPr>
              <w:t xml:space="preserve"> </w:t>
            </w:r>
            <w:r>
              <w:rPr>
                <w:rFonts w:ascii="Arial" w:hAnsi="Arial" w:cs="Arial"/>
                <w:sz w:val="20"/>
                <w:szCs w:val="20"/>
              </w:rPr>
              <w:t>due to</w:t>
            </w:r>
            <w:r w:rsidR="00827443">
              <w:rPr>
                <w:rFonts w:ascii="Arial" w:hAnsi="Arial" w:cs="Arial"/>
                <w:sz w:val="20"/>
                <w:szCs w:val="20"/>
              </w:rPr>
              <w:t xml:space="preserve"> lack of efficacy</w:t>
            </w:r>
            <w:r>
              <w:rPr>
                <w:rFonts w:ascii="Arial" w:hAnsi="Arial" w:cs="Arial"/>
                <w:sz w:val="20"/>
                <w:szCs w:val="20"/>
              </w:rPr>
              <w:t xml:space="preserve"> </w:t>
            </w:r>
            <w:r w:rsidR="00827443">
              <w:rPr>
                <w:rFonts w:ascii="Arial" w:hAnsi="Arial" w:cs="Arial"/>
                <w:sz w:val="20"/>
                <w:szCs w:val="20"/>
              </w:rPr>
              <w:t>(P&lt;0.001).</w:t>
            </w:r>
          </w:p>
          <w:p w:rsidR="00BB73B2" w:rsidRPr="002F74AF" w:rsidRDefault="00BB73B2" w:rsidP="00D83513">
            <w:pPr>
              <w:spacing w:after="0" w:line="240" w:lineRule="auto"/>
              <w:rPr>
                <w:rFonts w:ascii="Arial" w:hAnsi="Arial" w:cs="Arial"/>
                <w:sz w:val="20"/>
                <w:szCs w:val="20"/>
              </w:rPr>
            </w:pPr>
          </w:p>
          <w:p w:rsidR="00BB73B2" w:rsidRDefault="00827443" w:rsidP="00D83513">
            <w:pPr>
              <w:spacing w:after="0" w:line="240" w:lineRule="auto"/>
              <w:rPr>
                <w:rFonts w:ascii="Arial" w:hAnsi="Arial" w:cs="Arial"/>
                <w:sz w:val="20"/>
                <w:szCs w:val="20"/>
              </w:rPr>
            </w:pPr>
            <w:r>
              <w:rPr>
                <w:rFonts w:ascii="Arial" w:hAnsi="Arial" w:cs="Arial"/>
                <w:sz w:val="20"/>
                <w:szCs w:val="20"/>
              </w:rPr>
              <w:t>Discontinuations due to an adverse eve</w:t>
            </w:r>
            <w:r w:rsidR="00E47610">
              <w:rPr>
                <w:rFonts w:ascii="Arial" w:hAnsi="Arial" w:cs="Arial"/>
                <w:sz w:val="20"/>
                <w:szCs w:val="20"/>
              </w:rPr>
              <w:t xml:space="preserve">nt were found to be similar for </w:t>
            </w:r>
            <w:r w:rsidR="00632B80">
              <w:rPr>
                <w:rFonts w:ascii="Arial" w:hAnsi="Arial" w:cs="Arial"/>
                <w:sz w:val="20"/>
                <w:szCs w:val="20"/>
              </w:rPr>
              <w:t>both groups:</w:t>
            </w:r>
            <w:r w:rsidR="00E47610">
              <w:rPr>
                <w:rFonts w:ascii="Arial" w:hAnsi="Arial" w:cs="Arial"/>
                <w:sz w:val="20"/>
                <w:szCs w:val="20"/>
              </w:rPr>
              <w:t xml:space="preserve"> 10% with placebo and 11% with Opana</w:t>
            </w:r>
            <w:r w:rsidR="00E47610">
              <w:rPr>
                <w:rFonts w:cs="Arial"/>
                <w:sz w:val="20"/>
                <w:szCs w:val="20"/>
              </w:rPr>
              <w:t>®</w:t>
            </w:r>
            <w:r w:rsidR="00E47610">
              <w:rPr>
                <w:rFonts w:ascii="Arial" w:hAnsi="Arial" w:cs="Arial"/>
                <w:sz w:val="20"/>
                <w:szCs w:val="20"/>
              </w:rPr>
              <w:t xml:space="preserve"> ER </w:t>
            </w:r>
            <w:r w:rsidR="00E47610">
              <w:rPr>
                <w:rFonts w:ascii="Arial" w:hAnsi="Arial" w:cs="Arial"/>
                <w:sz w:val="20"/>
                <w:szCs w:val="20"/>
              </w:rPr>
              <w:lastRenderedPageBreak/>
              <w:t>(oxymorphone ER)</w:t>
            </w:r>
            <w:r w:rsidR="00632B80">
              <w:rPr>
                <w:rFonts w:ascii="Arial" w:hAnsi="Arial" w:cs="Arial"/>
                <w:sz w:val="20"/>
                <w:szCs w:val="20"/>
              </w:rPr>
              <w:t xml:space="preserve">. The most commonly reported </w:t>
            </w:r>
            <w:r w:rsidR="001D19C0">
              <w:rPr>
                <w:rFonts w:ascii="Arial" w:hAnsi="Arial" w:cs="Arial"/>
                <w:sz w:val="20"/>
                <w:szCs w:val="20"/>
              </w:rPr>
              <w:t xml:space="preserve">adverse events </w:t>
            </w:r>
            <w:r w:rsidR="00632B80">
              <w:rPr>
                <w:rFonts w:ascii="Arial" w:hAnsi="Arial" w:cs="Arial"/>
                <w:sz w:val="20"/>
                <w:szCs w:val="20"/>
              </w:rPr>
              <w:t>were nausea, constipation, headache and somnolence. Opioid withdrawal was noted to occur in five patients in the placebo group and none in the Opana</w:t>
            </w:r>
            <w:r w:rsidR="00632B80">
              <w:rPr>
                <w:rFonts w:cs="Arial"/>
                <w:sz w:val="20"/>
                <w:szCs w:val="20"/>
              </w:rPr>
              <w:t>®</w:t>
            </w:r>
            <w:r w:rsidR="00632B80">
              <w:rPr>
                <w:rFonts w:ascii="Arial" w:hAnsi="Arial" w:cs="Arial"/>
                <w:sz w:val="20"/>
                <w:szCs w:val="20"/>
              </w:rPr>
              <w:t xml:space="preserve"> ER (oxymorphone ER).</w:t>
            </w:r>
          </w:p>
          <w:p w:rsidR="00BB73B2" w:rsidRPr="002F74AF" w:rsidRDefault="00BB73B2" w:rsidP="00D83513">
            <w:pPr>
              <w:spacing w:after="0" w:line="240" w:lineRule="auto"/>
              <w:rPr>
                <w:rFonts w:ascii="Arial" w:hAnsi="Arial" w:cs="Arial"/>
                <w:sz w:val="20"/>
                <w:szCs w:val="20"/>
              </w:rPr>
            </w:pPr>
          </w:p>
        </w:tc>
      </w:tr>
      <w:tr w:rsidR="009A6AD5" w:rsidRPr="002F74AF" w:rsidTr="00466D74">
        <w:tc>
          <w:tcPr>
            <w:tcW w:w="1940" w:type="dxa"/>
          </w:tcPr>
          <w:p w:rsidR="009A6AD5" w:rsidRDefault="009A6AD5" w:rsidP="00D83513">
            <w:pPr>
              <w:spacing w:after="0" w:line="240" w:lineRule="auto"/>
              <w:rPr>
                <w:rFonts w:ascii="Arial" w:hAnsi="Arial" w:cs="Arial"/>
                <w:sz w:val="20"/>
                <w:szCs w:val="20"/>
                <w:vertAlign w:val="superscript"/>
                <w:lang w:val="en"/>
              </w:rPr>
            </w:pPr>
            <w:r w:rsidRPr="00FF18FA">
              <w:rPr>
                <w:rFonts w:ascii="Arial" w:hAnsi="Arial" w:cs="Arial"/>
                <w:sz w:val="20"/>
                <w:szCs w:val="20"/>
                <w:lang w:val="en"/>
              </w:rPr>
              <w:lastRenderedPageBreak/>
              <w:t>Hale et al</w:t>
            </w:r>
            <w:r w:rsidR="00D1633E">
              <w:rPr>
                <w:rFonts w:ascii="Arial" w:hAnsi="Arial" w:cs="Arial"/>
                <w:sz w:val="20"/>
                <w:szCs w:val="20"/>
                <w:vertAlign w:val="superscript"/>
                <w:lang w:val="en"/>
              </w:rPr>
              <w:t>15</w:t>
            </w:r>
          </w:p>
          <w:p w:rsidR="0001200F" w:rsidRPr="00FF18FA" w:rsidRDefault="0001200F" w:rsidP="00D83513">
            <w:pPr>
              <w:spacing w:after="0" w:line="240" w:lineRule="auto"/>
              <w:rPr>
                <w:rFonts w:ascii="Arial" w:hAnsi="Arial" w:cs="Arial"/>
                <w:sz w:val="20"/>
                <w:szCs w:val="20"/>
                <w:lang w:val="en"/>
              </w:rPr>
            </w:pPr>
          </w:p>
          <w:p w:rsidR="004E3470" w:rsidRPr="00FF18FA" w:rsidRDefault="004E3470" w:rsidP="009A6AD5">
            <w:pPr>
              <w:spacing w:after="0" w:line="240" w:lineRule="auto"/>
              <w:rPr>
                <w:rFonts w:ascii="Arial" w:hAnsi="Arial" w:cs="Arial"/>
                <w:sz w:val="20"/>
                <w:szCs w:val="20"/>
              </w:rPr>
            </w:pPr>
            <w:r w:rsidRPr="00FF18FA">
              <w:rPr>
                <w:rFonts w:ascii="Arial" w:hAnsi="Arial" w:cs="Arial"/>
                <w:sz w:val="20"/>
                <w:szCs w:val="20"/>
              </w:rPr>
              <w:t>Titration phase (seven to 14 days):</w:t>
            </w:r>
          </w:p>
          <w:p w:rsidR="009A6AD5" w:rsidRPr="00FF18FA" w:rsidRDefault="009A6AD5" w:rsidP="009A6AD5">
            <w:pPr>
              <w:spacing w:after="0" w:line="240" w:lineRule="auto"/>
              <w:rPr>
                <w:rFonts w:ascii="Arial" w:hAnsi="Arial" w:cs="Arial"/>
                <w:sz w:val="20"/>
                <w:szCs w:val="20"/>
              </w:rPr>
            </w:pPr>
            <w:r w:rsidRPr="00FF18FA">
              <w:rPr>
                <w:rFonts w:ascii="Arial" w:hAnsi="Arial" w:cs="Arial"/>
                <w:sz w:val="20"/>
                <w:szCs w:val="20"/>
              </w:rPr>
              <w:t>Oxymorphone ER</w:t>
            </w:r>
          </w:p>
          <w:p w:rsidR="009A6AD5" w:rsidRPr="00FF18FA" w:rsidRDefault="009A6AD5" w:rsidP="00D83513">
            <w:pPr>
              <w:spacing w:after="0" w:line="240" w:lineRule="auto"/>
              <w:rPr>
                <w:rFonts w:ascii="Arial" w:hAnsi="Arial" w:cs="Arial"/>
                <w:sz w:val="20"/>
                <w:szCs w:val="20"/>
                <w:lang w:val="en"/>
              </w:rPr>
            </w:pPr>
            <w:r w:rsidRPr="00FF18FA">
              <w:rPr>
                <w:rFonts w:ascii="Arial" w:hAnsi="Arial" w:cs="Arial"/>
                <w:sz w:val="20"/>
                <w:szCs w:val="20"/>
                <w:lang w:val="en"/>
              </w:rPr>
              <w:t>(10 to 110 mg) Q12H</w:t>
            </w:r>
          </w:p>
          <w:p w:rsidR="009A6AD5" w:rsidRPr="00FF18FA" w:rsidRDefault="009A6AD5" w:rsidP="00D83513">
            <w:pPr>
              <w:spacing w:after="0" w:line="240" w:lineRule="auto"/>
              <w:rPr>
                <w:rFonts w:ascii="Arial" w:hAnsi="Arial" w:cs="Arial"/>
                <w:sz w:val="20"/>
                <w:szCs w:val="20"/>
                <w:lang w:val="en"/>
              </w:rPr>
            </w:pPr>
          </w:p>
          <w:p w:rsidR="009A6AD5" w:rsidRPr="00FF18FA" w:rsidRDefault="009A6AD5" w:rsidP="00D83513">
            <w:pPr>
              <w:spacing w:after="0" w:line="240" w:lineRule="auto"/>
              <w:rPr>
                <w:rFonts w:ascii="Arial" w:hAnsi="Arial" w:cs="Arial"/>
                <w:sz w:val="20"/>
                <w:szCs w:val="20"/>
                <w:lang w:val="en"/>
              </w:rPr>
            </w:pPr>
            <w:r w:rsidRPr="00FF18FA">
              <w:rPr>
                <w:rFonts w:ascii="Arial" w:hAnsi="Arial" w:cs="Arial"/>
                <w:sz w:val="20"/>
                <w:szCs w:val="20"/>
                <w:lang w:val="en"/>
              </w:rPr>
              <w:t>vs</w:t>
            </w:r>
          </w:p>
          <w:p w:rsidR="009A6AD5" w:rsidRPr="00FF18FA" w:rsidRDefault="009A6AD5" w:rsidP="00D83513">
            <w:pPr>
              <w:spacing w:after="0" w:line="240" w:lineRule="auto"/>
              <w:rPr>
                <w:rFonts w:ascii="Arial" w:hAnsi="Arial" w:cs="Arial"/>
                <w:sz w:val="20"/>
                <w:szCs w:val="20"/>
                <w:lang w:val="en"/>
              </w:rPr>
            </w:pPr>
          </w:p>
          <w:p w:rsidR="009A6AD5" w:rsidRPr="00FF18FA" w:rsidRDefault="009A6AD5" w:rsidP="00D83513">
            <w:pPr>
              <w:spacing w:after="0" w:line="240" w:lineRule="auto"/>
              <w:rPr>
                <w:rFonts w:ascii="Arial" w:hAnsi="Arial" w:cs="Arial"/>
                <w:sz w:val="20"/>
                <w:szCs w:val="20"/>
                <w:lang w:val="en"/>
              </w:rPr>
            </w:pPr>
            <w:r w:rsidRPr="00FF18FA">
              <w:rPr>
                <w:rFonts w:ascii="Arial" w:hAnsi="Arial" w:cs="Arial"/>
                <w:sz w:val="20"/>
                <w:szCs w:val="20"/>
                <w:lang w:val="en"/>
              </w:rPr>
              <w:t xml:space="preserve">oxycodone </w:t>
            </w:r>
            <w:r w:rsidR="004E3470" w:rsidRPr="00FF18FA">
              <w:rPr>
                <w:rFonts w:ascii="Arial" w:hAnsi="Arial" w:cs="Arial"/>
                <w:sz w:val="20"/>
                <w:szCs w:val="20"/>
                <w:lang w:val="en"/>
              </w:rPr>
              <w:t>C</w:t>
            </w:r>
            <w:r w:rsidRPr="00FF18FA">
              <w:rPr>
                <w:rFonts w:ascii="Arial" w:hAnsi="Arial" w:cs="Arial"/>
                <w:sz w:val="20"/>
                <w:szCs w:val="20"/>
                <w:lang w:val="en"/>
              </w:rPr>
              <w:t>R</w:t>
            </w:r>
          </w:p>
          <w:p w:rsidR="009A6AD5" w:rsidRPr="00FF18FA" w:rsidRDefault="009A6AD5" w:rsidP="00D83513">
            <w:pPr>
              <w:spacing w:after="0" w:line="240" w:lineRule="auto"/>
              <w:rPr>
                <w:rFonts w:ascii="Arial" w:hAnsi="Arial" w:cs="Arial"/>
                <w:sz w:val="20"/>
                <w:szCs w:val="20"/>
                <w:lang w:val="en"/>
              </w:rPr>
            </w:pPr>
            <w:r w:rsidRPr="00FF18FA">
              <w:rPr>
                <w:rFonts w:ascii="Arial" w:hAnsi="Arial" w:cs="Arial"/>
                <w:sz w:val="20"/>
                <w:szCs w:val="20"/>
                <w:lang w:val="en"/>
              </w:rPr>
              <w:t xml:space="preserve">(20 to 220 mg) Q12H </w:t>
            </w:r>
          </w:p>
          <w:p w:rsidR="004E3470" w:rsidRPr="00FF18FA" w:rsidRDefault="004E3470" w:rsidP="00D83513">
            <w:pPr>
              <w:spacing w:after="0" w:line="240" w:lineRule="auto"/>
              <w:rPr>
                <w:rFonts w:ascii="Arial" w:hAnsi="Arial" w:cs="Arial"/>
                <w:sz w:val="20"/>
                <w:szCs w:val="20"/>
                <w:lang w:val="en"/>
              </w:rPr>
            </w:pPr>
          </w:p>
          <w:p w:rsidR="004E3470" w:rsidRPr="00FF18FA" w:rsidRDefault="004E3470" w:rsidP="00D83513">
            <w:pPr>
              <w:spacing w:after="0" w:line="240" w:lineRule="auto"/>
              <w:rPr>
                <w:rFonts w:ascii="Arial" w:hAnsi="Arial" w:cs="Arial"/>
                <w:sz w:val="20"/>
                <w:szCs w:val="20"/>
                <w:lang w:val="en"/>
              </w:rPr>
            </w:pPr>
            <w:r w:rsidRPr="00FF18FA">
              <w:rPr>
                <w:rFonts w:ascii="Arial" w:hAnsi="Arial" w:cs="Arial"/>
                <w:sz w:val="20"/>
                <w:szCs w:val="20"/>
                <w:lang w:val="en"/>
              </w:rPr>
              <w:t>then, individuals entered 18-day DB treatment phase:</w:t>
            </w:r>
          </w:p>
          <w:p w:rsidR="004E3470" w:rsidRPr="00FF18FA" w:rsidRDefault="004E3470" w:rsidP="00D83513">
            <w:pPr>
              <w:spacing w:after="0" w:line="240" w:lineRule="auto"/>
              <w:rPr>
                <w:rFonts w:ascii="Arial" w:hAnsi="Arial" w:cs="Arial"/>
                <w:sz w:val="20"/>
                <w:szCs w:val="20"/>
                <w:lang w:val="en"/>
              </w:rPr>
            </w:pPr>
          </w:p>
          <w:p w:rsidR="004E3470" w:rsidRPr="00FF18FA" w:rsidRDefault="004E3470" w:rsidP="00D83513">
            <w:pPr>
              <w:spacing w:after="0" w:line="240" w:lineRule="auto"/>
              <w:rPr>
                <w:rFonts w:ascii="Arial" w:hAnsi="Arial" w:cs="Arial"/>
                <w:sz w:val="20"/>
                <w:szCs w:val="20"/>
                <w:lang w:val="en"/>
              </w:rPr>
            </w:pPr>
            <w:r w:rsidRPr="00FF18FA">
              <w:rPr>
                <w:rFonts w:ascii="Arial" w:hAnsi="Arial" w:cs="Arial"/>
                <w:sz w:val="20"/>
                <w:szCs w:val="20"/>
                <w:lang w:val="en"/>
              </w:rPr>
              <w:t xml:space="preserve">stabilized opioid therapy </w:t>
            </w:r>
            <w:r w:rsidR="00FF18FA">
              <w:rPr>
                <w:rFonts w:ascii="Arial" w:hAnsi="Arial" w:cs="Arial"/>
                <w:sz w:val="20"/>
                <w:szCs w:val="20"/>
                <w:lang w:val="en"/>
              </w:rPr>
              <w:t>(either oxymorphone ER or oxycodone CR) Q12H</w:t>
            </w:r>
          </w:p>
          <w:p w:rsidR="004E3470" w:rsidRPr="00FF18FA" w:rsidRDefault="004E3470" w:rsidP="00D83513">
            <w:pPr>
              <w:spacing w:after="0" w:line="240" w:lineRule="auto"/>
              <w:rPr>
                <w:rFonts w:ascii="Arial" w:hAnsi="Arial" w:cs="Arial"/>
                <w:sz w:val="20"/>
                <w:szCs w:val="20"/>
                <w:lang w:val="en"/>
              </w:rPr>
            </w:pPr>
          </w:p>
          <w:p w:rsidR="004E3470" w:rsidRPr="00FF18FA" w:rsidRDefault="004E3470" w:rsidP="00D83513">
            <w:pPr>
              <w:spacing w:after="0" w:line="240" w:lineRule="auto"/>
              <w:rPr>
                <w:rFonts w:ascii="Arial" w:hAnsi="Arial" w:cs="Arial"/>
                <w:sz w:val="20"/>
                <w:szCs w:val="20"/>
                <w:lang w:val="en"/>
              </w:rPr>
            </w:pPr>
            <w:r w:rsidRPr="00FF18FA">
              <w:rPr>
                <w:rFonts w:ascii="Arial" w:hAnsi="Arial" w:cs="Arial"/>
                <w:sz w:val="20"/>
                <w:szCs w:val="20"/>
                <w:lang w:val="en"/>
              </w:rPr>
              <w:t xml:space="preserve">vs </w:t>
            </w:r>
          </w:p>
          <w:p w:rsidR="004E3470" w:rsidRPr="00FF18FA" w:rsidRDefault="004E3470" w:rsidP="00D83513">
            <w:pPr>
              <w:spacing w:after="0" w:line="240" w:lineRule="auto"/>
              <w:rPr>
                <w:rFonts w:ascii="Arial" w:hAnsi="Arial" w:cs="Arial"/>
                <w:sz w:val="20"/>
                <w:szCs w:val="20"/>
                <w:lang w:val="en"/>
              </w:rPr>
            </w:pPr>
          </w:p>
          <w:p w:rsidR="009A6AD5" w:rsidRPr="00FF18FA" w:rsidRDefault="009A6AD5" w:rsidP="00D83513">
            <w:pPr>
              <w:spacing w:after="0" w:line="240" w:lineRule="auto"/>
              <w:rPr>
                <w:rFonts w:ascii="Arial" w:hAnsi="Arial" w:cs="Arial"/>
                <w:sz w:val="20"/>
                <w:szCs w:val="20"/>
                <w:lang w:val="en"/>
              </w:rPr>
            </w:pPr>
            <w:r w:rsidRPr="00FF18FA">
              <w:rPr>
                <w:rFonts w:ascii="Arial" w:hAnsi="Arial" w:cs="Arial"/>
                <w:sz w:val="20"/>
                <w:szCs w:val="20"/>
                <w:lang w:val="en"/>
              </w:rPr>
              <w:t>placebo</w:t>
            </w:r>
            <w:r w:rsidR="00FF18FA">
              <w:rPr>
                <w:rFonts w:ascii="Arial" w:hAnsi="Arial" w:cs="Arial"/>
                <w:sz w:val="20"/>
                <w:szCs w:val="20"/>
                <w:lang w:val="en"/>
              </w:rPr>
              <w:t xml:space="preserve"> Q12H</w:t>
            </w:r>
          </w:p>
        </w:tc>
        <w:tc>
          <w:tcPr>
            <w:tcW w:w="2070" w:type="dxa"/>
          </w:tcPr>
          <w:p w:rsidR="009A6AD5" w:rsidRPr="00FF18FA" w:rsidRDefault="009A6AD5" w:rsidP="00F151E4">
            <w:pPr>
              <w:spacing w:after="0" w:line="240" w:lineRule="auto"/>
              <w:rPr>
                <w:rFonts w:ascii="Arial" w:hAnsi="Arial" w:cs="Arial"/>
                <w:sz w:val="20"/>
                <w:szCs w:val="20"/>
              </w:rPr>
            </w:pPr>
            <w:r w:rsidRPr="00FF18FA">
              <w:rPr>
                <w:rFonts w:ascii="Arial" w:hAnsi="Arial" w:cs="Arial"/>
                <w:sz w:val="20"/>
                <w:szCs w:val="20"/>
              </w:rPr>
              <w:t>AC, DB, MC, PC, RCT</w:t>
            </w:r>
          </w:p>
          <w:p w:rsidR="009A6AD5" w:rsidRPr="00FF18FA" w:rsidRDefault="009A6AD5" w:rsidP="00F151E4">
            <w:pPr>
              <w:spacing w:after="0" w:line="240" w:lineRule="auto"/>
              <w:rPr>
                <w:rFonts w:ascii="Arial" w:hAnsi="Arial" w:cs="Arial"/>
                <w:sz w:val="20"/>
                <w:szCs w:val="20"/>
              </w:rPr>
            </w:pPr>
          </w:p>
          <w:p w:rsidR="009A6AD5" w:rsidRPr="00FF18FA" w:rsidRDefault="009A6AD5" w:rsidP="00F151E4">
            <w:pPr>
              <w:spacing w:after="0" w:line="240" w:lineRule="auto"/>
              <w:rPr>
                <w:rFonts w:ascii="Arial" w:hAnsi="Arial" w:cs="Arial"/>
                <w:sz w:val="20"/>
                <w:szCs w:val="20"/>
              </w:rPr>
            </w:pPr>
            <w:r w:rsidRPr="00FF18FA">
              <w:rPr>
                <w:rFonts w:ascii="Arial" w:hAnsi="Arial" w:cs="Arial"/>
                <w:sz w:val="20"/>
                <w:szCs w:val="20"/>
              </w:rPr>
              <w:t xml:space="preserve">Patients 18 to 75 years of age with moderate to severe chronic low back pain requiring </w:t>
            </w:r>
            <w:r w:rsidR="00FF18FA" w:rsidRPr="00FF18FA">
              <w:rPr>
                <w:rFonts w:ascii="Arial" w:hAnsi="Arial" w:cs="Arial"/>
                <w:sz w:val="20"/>
                <w:szCs w:val="20"/>
              </w:rPr>
              <w:t xml:space="preserve">stable </w:t>
            </w:r>
            <w:r w:rsidRPr="00FF18FA">
              <w:rPr>
                <w:rFonts w:ascii="Arial" w:hAnsi="Arial" w:cs="Arial"/>
                <w:sz w:val="20"/>
                <w:szCs w:val="20"/>
              </w:rPr>
              <w:t>opioid therapy</w:t>
            </w:r>
            <w:r w:rsidR="00FF18FA" w:rsidRPr="00FF18FA">
              <w:rPr>
                <w:rFonts w:ascii="Arial" w:hAnsi="Arial" w:cs="Arial"/>
                <w:sz w:val="20"/>
                <w:szCs w:val="20"/>
              </w:rPr>
              <w:t xml:space="preserve"> for at least three consecutive days before screening</w:t>
            </w:r>
          </w:p>
        </w:tc>
        <w:tc>
          <w:tcPr>
            <w:tcW w:w="1440" w:type="dxa"/>
          </w:tcPr>
          <w:p w:rsidR="009A6AD5" w:rsidRPr="00FF18FA" w:rsidRDefault="009A6AD5" w:rsidP="00D83513">
            <w:pPr>
              <w:spacing w:after="0" w:line="240" w:lineRule="auto"/>
              <w:jc w:val="center"/>
              <w:rPr>
                <w:rFonts w:ascii="Arial" w:hAnsi="Arial" w:cs="Arial"/>
                <w:sz w:val="20"/>
                <w:szCs w:val="20"/>
              </w:rPr>
            </w:pPr>
            <w:r w:rsidRPr="00FF18FA">
              <w:rPr>
                <w:rFonts w:ascii="Arial" w:hAnsi="Arial" w:cs="Arial"/>
                <w:sz w:val="20"/>
                <w:szCs w:val="20"/>
              </w:rPr>
              <w:t>N=213</w:t>
            </w:r>
          </w:p>
          <w:p w:rsidR="004E3470" w:rsidRPr="00FF18FA" w:rsidRDefault="004E3470" w:rsidP="00D83513">
            <w:pPr>
              <w:spacing w:after="0" w:line="240" w:lineRule="auto"/>
              <w:jc w:val="center"/>
              <w:rPr>
                <w:rFonts w:ascii="Arial" w:hAnsi="Arial" w:cs="Arial"/>
                <w:sz w:val="20"/>
                <w:szCs w:val="20"/>
              </w:rPr>
            </w:pPr>
          </w:p>
          <w:p w:rsidR="00E27F4C" w:rsidRPr="00FF18FA" w:rsidRDefault="004E3470" w:rsidP="00D83513">
            <w:pPr>
              <w:spacing w:after="0" w:line="240" w:lineRule="auto"/>
              <w:jc w:val="center"/>
              <w:rPr>
                <w:rFonts w:ascii="Arial" w:hAnsi="Arial" w:cs="Arial"/>
                <w:sz w:val="20"/>
                <w:szCs w:val="20"/>
              </w:rPr>
            </w:pPr>
            <w:r w:rsidRPr="00FF18FA">
              <w:rPr>
                <w:rFonts w:ascii="Arial" w:hAnsi="Arial" w:cs="Arial"/>
                <w:sz w:val="20"/>
                <w:szCs w:val="20"/>
              </w:rPr>
              <w:t>18 days</w:t>
            </w:r>
          </w:p>
          <w:p w:rsidR="004E3470" w:rsidRPr="00FF18FA" w:rsidRDefault="004E3470" w:rsidP="00D83513">
            <w:pPr>
              <w:spacing w:after="0" w:line="240" w:lineRule="auto"/>
              <w:jc w:val="center"/>
              <w:rPr>
                <w:rFonts w:ascii="Arial" w:hAnsi="Arial" w:cs="Arial"/>
                <w:sz w:val="20"/>
                <w:szCs w:val="20"/>
              </w:rPr>
            </w:pPr>
            <w:r w:rsidRPr="00FF18FA">
              <w:rPr>
                <w:rFonts w:ascii="Arial" w:hAnsi="Arial" w:cs="Arial"/>
                <w:sz w:val="20"/>
                <w:szCs w:val="20"/>
              </w:rPr>
              <w:t xml:space="preserve"> (DB treatment period)</w:t>
            </w:r>
          </w:p>
        </w:tc>
        <w:tc>
          <w:tcPr>
            <w:tcW w:w="1980" w:type="dxa"/>
          </w:tcPr>
          <w:p w:rsidR="00FF18FA" w:rsidRDefault="004E3470" w:rsidP="00D83513">
            <w:pPr>
              <w:spacing w:after="0" w:line="240" w:lineRule="auto"/>
              <w:rPr>
                <w:rFonts w:ascii="Arial" w:hAnsi="Arial" w:cs="Arial"/>
                <w:sz w:val="20"/>
                <w:szCs w:val="20"/>
              </w:rPr>
            </w:pPr>
            <w:r w:rsidRPr="00FF18FA">
              <w:rPr>
                <w:rFonts w:ascii="Arial" w:hAnsi="Arial" w:cs="Arial"/>
                <w:sz w:val="20"/>
                <w:szCs w:val="20"/>
              </w:rPr>
              <w:t xml:space="preserve">Primary: </w:t>
            </w:r>
          </w:p>
          <w:p w:rsidR="009A6AD5" w:rsidRPr="00FF18FA" w:rsidRDefault="00FF18FA" w:rsidP="00D83513">
            <w:pPr>
              <w:spacing w:after="0" w:line="240" w:lineRule="auto"/>
              <w:rPr>
                <w:rFonts w:ascii="Arial" w:hAnsi="Arial" w:cs="Arial"/>
                <w:sz w:val="20"/>
                <w:szCs w:val="20"/>
              </w:rPr>
            </w:pPr>
            <w:r>
              <w:rPr>
                <w:rFonts w:ascii="Arial" w:hAnsi="Arial" w:cs="Arial"/>
                <w:sz w:val="20"/>
                <w:szCs w:val="20"/>
              </w:rPr>
              <w:t>C</w:t>
            </w:r>
            <w:r w:rsidR="004E3470" w:rsidRPr="00FF18FA">
              <w:rPr>
                <w:rFonts w:ascii="Arial" w:hAnsi="Arial" w:cs="Arial"/>
                <w:sz w:val="20"/>
                <w:szCs w:val="20"/>
              </w:rPr>
              <w:t>hange in pain intensity from baseline to study end point as assessed by a 100-mm VAS measured four hours after morning dose</w:t>
            </w:r>
          </w:p>
          <w:p w:rsidR="004E3470" w:rsidRPr="00FF18FA" w:rsidRDefault="004E3470" w:rsidP="00D83513">
            <w:pPr>
              <w:spacing w:after="0" w:line="240" w:lineRule="auto"/>
              <w:rPr>
                <w:rFonts w:ascii="Arial" w:hAnsi="Arial" w:cs="Arial"/>
                <w:sz w:val="20"/>
                <w:szCs w:val="20"/>
              </w:rPr>
            </w:pPr>
          </w:p>
          <w:p w:rsidR="004E3470" w:rsidRPr="00FF18FA" w:rsidRDefault="004E3470" w:rsidP="00D83513">
            <w:pPr>
              <w:spacing w:after="0" w:line="240" w:lineRule="auto"/>
              <w:rPr>
                <w:rFonts w:ascii="Arial" w:hAnsi="Arial" w:cs="Arial"/>
                <w:sz w:val="20"/>
                <w:szCs w:val="20"/>
              </w:rPr>
            </w:pPr>
            <w:r w:rsidRPr="00FF18FA">
              <w:rPr>
                <w:rFonts w:ascii="Arial" w:hAnsi="Arial" w:cs="Arial"/>
                <w:sz w:val="20"/>
                <w:szCs w:val="20"/>
              </w:rPr>
              <w:t>Secondary:</w:t>
            </w:r>
          </w:p>
          <w:p w:rsidR="004E3470" w:rsidRPr="00FF18FA" w:rsidRDefault="004E3470" w:rsidP="00D83513">
            <w:pPr>
              <w:spacing w:after="0" w:line="240" w:lineRule="auto"/>
              <w:rPr>
                <w:rFonts w:ascii="Arial" w:hAnsi="Arial" w:cs="Arial"/>
                <w:sz w:val="20"/>
                <w:szCs w:val="20"/>
              </w:rPr>
            </w:pPr>
            <w:r w:rsidRPr="00FF18FA">
              <w:rPr>
                <w:rFonts w:ascii="Arial" w:hAnsi="Arial" w:cs="Arial"/>
                <w:sz w:val="20"/>
                <w:szCs w:val="20"/>
              </w:rPr>
              <w:t xml:space="preserve">Pain </w:t>
            </w:r>
            <w:r w:rsidR="00FF18FA">
              <w:rPr>
                <w:rFonts w:ascii="Arial" w:hAnsi="Arial" w:cs="Arial"/>
                <w:sz w:val="20"/>
                <w:szCs w:val="20"/>
              </w:rPr>
              <w:t>intensity</w:t>
            </w:r>
            <w:r w:rsidRPr="00FF18FA">
              <w:rPr>
                <w:rFonts w:ascii="Arial" w:hAnsi="Arial" w:cs="Arial"/>
                <w:sz w:val="20"/>
                <w:szCs w:val="20"/>
              </w:rPr>
              <w:t xml:space="preserve"> </w:t>
            </w:r>
            <w:r w:rsidR="00FF18FA">
              <w:rPr>
                <w:rFonts w:ascii="Arial" w:hAnsi="Arial" w:cs="Arial"/>
                <w:sz w:val="20"/>
                <w:szCs w:val="20"/>
              </w:rPr>
              <w:t xml:space="preserve">assessed by a </w:t>
            </w:r>
            <w:r w:rsidRPr="00FF18FA">
              <w:rPr>
                <w:rFonts w:ascii="Arial" w:hAnsi="Arial" w:cs="Arial"/>
                <w:sz w:val="20"/>
                <w:szCs w:val="20"/>
              </w:rPr>
              <w:t>categorical scale, pain relief, BPI, patient, global assessments, time to treatment failure, and use of rescue medications</w:t>
            </w:r>
          </w:p>
        </w:tc>
        <w:tc>
          <w:tcPr>
            <w:tcW w:w="6390" w:type="dxa"/>
          </w:tcPr>
          <w:p w:rsidR="004E3470" w:rsidRPr="00FF18FA" w:rsidRDefault="004E3470" w:rsidP="00D83513">
            <w:pPr>
              <w:spacing w:after="0" w:line="240" w:lineRule="auto"/>
              <w:rPr>
                <w:rFonts w:ascii="Arial" w:hAnsi="Arial" w:cs="Arial"/>
                <w:sz w:val="20"/>
                <w:szCs w:val="20"/>
              </w:rPr>
            </w:pPr>
            <w:r w:rsidRPr="00FF18FA">
              <w:rPr>
                <w:rFonts w:ascii="Arial" w:hAnsi="Arial" w:cs="Arial"/>
                <w:sz w:val="20"/>
                <w:szCs w:val="20"/>
              </w:rPr>
              <w:t xml:space="preserve">Primary: </w:t>
            </w:r>
          </w:p>
          <w:p w:rsidR="004E3470" w:rsidRPr="00017FDA" w:rsidRDefault="004E3470" w:rsidP="00017FDA">
            <w:pPr>
              <w:pStyle w:val="CommentText"/>
              <w:spacing w:line="240" w:lineRule="auto"/>
            </w:pPr>
            <w:r w:rsidRPr="00FF18FA">
              <w:rPr>
                <w:rFonts w:ascii="Arial" w:hAnsi="Arial" w:cs="Arial"/>
              </w:rPr>
              <w:t xml:space="preserve">During the DB treatment phase, </w:t>
            </w:r>
            <w:r w:rsidR="00817C90" w:rsidRPr="00817C90">
              <w:rPr>
                <w:rFonts w:ascii="Arial" w:hAnsi="Arial" w:cs="Arial"/>
              </w:rPr>
              <w:t>the mean change in pain intensity (VAS) from baseline to study end point was significantly greater for placebo than for oxymorphone ER or oxycodone CR, with comparable changes in the two active treatment groups. For oxymorphone ER and oxycodone CR the LS mean differences with placebo were -18.21 (95% CI, -25.83 to -10.58; P=0.0001) and -18.55 (95% CI, -26.1 to -10.98; P=0.0001), respectively.</w:t>
            </w:r>
          </w:p>
          <w:p w:rsidR="004E3470" w:rsidRPr="00FF18FA" w:rsidRDefault="004E3470" w:rsidP="00D83513">
            <w:pPr>
              <w:spacing w:after="0" w:line="240" w:lineRule="auto"/>
              <w:rPr>
                <w:rFonts w:ascii="Arial" w:hAnsi="Arial" w:cs="Arial"/>
                <w:sz w:val="20"/>
                <w:szCs w:val="20"/>
              </w:rPr>
            </w:pPr>
            <w:r w:rsidRPr="00FF18FA">
              <w:rPr>
                <w:rFonts w:ascii="Arial" w:hAnsi="Arial" w:cs="Arial"/>
                <w:sz w:val="20"/>
                <w:szCs w:val="20"/>
              </w:rPr>
              <w:t>Secondary:</w:t>
            </w:r>
          </w:p>
          <w:p w:rsidR="004E3470" w:rsidRPr="00FF18FA" w:rsidRDefault="009867BE" w:rsidP="00D83513">
            <w:pPr>
              <w:spacing w:after="0" w:line="240" w:lineRule="auto"/>
              <w:rPr>
                <w:rFonts w:ascii="Arial" w:hAnsi="Arial" w:cs="Arial"/>
                <w:sz w:val="20"/>
                <w:szCs w:val="20"/>
              </w:rPr>
            </w:pPr>
            <w:r w:rsidRPr="00FF18FA">
              <w:rPr>
                <w:rFonts w:ascii="Arial" w:hAnsi="Arial" w:cs="Arial"/>
                <w:sz w:val="20"/>
                <w:szCs w:val="20"/>
              </w:rPr>
              <w:t>Categorical pain ratings were significantly lower in patients receiving oxymorphone ER compared to placebo (P=0.0001). Similar results were obtained for the oxycodone CR group.</w:t>
            </w:r>
          </w:p>
          <w:p w:rsidR="00FF18FA" w:rsidRPr="00FF18FA" w:rsidRDefault="00FF18FA" w:rsidP="00D83513">
            <w:pPr>
              <w:spacing w:after="0" w:line="240" w:lineRule="auto"/>
              <w:rPr>
                <w:rFonts w:ascii="Arial" w:hAnsi="Arial" w:cs="Arial"/>
                <w:sz w:val="20"/>
                <w:szCs w:val="20"/>
              </w:rPr>
            </w:pPr>
          </w:p>
          <w:p w:rsidR="009867BE" w:rsidRPr="00FF18FA" w:rsidRDefault="009867BE" w:rsidP="00D83513">
            <w:pPr>
              <w:spacing w:after="0" w:line="240" w:lineRule="auto"/>
              <w:rPr>
                <w:rFonts w:ascii="Arial" w:hAnsi="Arial" w:cs="Arial"/>
                <w:sz w:val="20"/>
                <w:szCs w:val="20"/>
              </w:rPr>
            </w:pPr>
            <w:r w:rsidRPr="00FF18FA">
              <w:rPr>
                <w:rFonts w:ascii="Arial" w:hAnsi="Arial" w:cs="Arial"/>
                <w:sz w:val="20"/>
                <w:szCs w:val="20"/>
              </w:rPr>
              <w:t>In contrast to placebo, both agents maintained pain relief scores, with 61% of patients receiving oxymorphone ER or oxycodone CR reporting moderate to complete pain relief compared to 28% for placebo (P=0.0006 and 0.0001, respectively).</w:t>
            </w:r>
          </w:p>
          <w:p w:rsidR="00FF18FA" w:rsidRPr="00FF18FA" w:rsidRDefault="00FF18FA" w:rsidP="00D83513">
            <w:pPr>
              <w:spacing w:after="0" w:line="240" w:lineRule="auto"/>
              <w:rPr>
                <w:rFonts w:ascii="Arial" w:hAnsi="Arial" w:cs="Arial"/>
                <w:sz w:val="20"/>
                <w:szCs w:val="20"/>
              </w:rPr>
            </w:pPr>
          </w:p>
          <w:p w:rsidR="009867BE" w:rsidRPr="00FF18FA" w:rsidRDefault="009867BE" w:rsidP="00D83513">
            <w:pPr>
              <w:spacing w:after="0" w:line="240" w:lineRule="auto"/>
              <w:rPr>
                <w:rFonts w:ascii="Arial" w:hAnsi="Arial" w:cs="Arial"/>
                <w:sz w:val="20"/>
                <w:szCs w:val="20"/>
              </w:rPr>
            </w:pPr>
            <w:r w:rsidRPr="00FF18FA">
              <w:rPr>
                <w:rFonts w:ascii="Arial" w:hAnsi="Arial" w:cs="Arial"/>
                <w:sz w:val="20"/>
                <w:szCs w:val="20"/>
              </w:rPr>
              <w:t>At the study end point, significantly more patients who received oxymorphone ER (59%) and oxycodone CR (63%) rated their medication as “good”, “very good,” or “excellent” compared with placebo (27%; P=0.0001 for each agent).</w:t>
            </w:r>
          </w:p>
          <w:p w:rsidR="00FF18FA" w:rsidRPr="00FF18FA" w:rsidRDefault="00FF18FA" w:rsidP="00D83513">
            <w:pPr>
              <w:spacing w:after="0" w:line="240" w:lineRule="auto"/>
              <w:rPr>
                <w:rFonts w:ascii="Arial" w:hAnsi="Arial" w:cs="Arial"/>
                <w:sz w:val="20"/>
                <w:szCs w:val="20"/>
              </w:rPr>
            </w:pPr>
          </w:p>
          <w:p w:rsidR="009867BE" w:rsidRPr="00FF18FA" w:rsidRDefault="009867BE" w:rsidP="00D83513">
            <w:pPr>
              <w:spacing w:after="0" w:line="240" w:lineRule="auto"/>
              <w:rPr>
                <w:rFonts w:ascii="Arial" w:hAnsi="Arial" w:cs="Arial"/>
                <w:sz w:val="20"/>
                <w:szCs w:val="20"/>
              </w:rPr>
            </w:pPr>
            <w:r w:rsidRPr="00FF18FA">
              <w:rPr>
                <w:rFonts w:ascii="Arial" w:hAnsi="Arial" w:cs="Arial"/>
                <w:sz w:val="20"/>
                <w:szCs w:val="20"/>
              </w:rPr>
              <w:t>For the time to treatment failure, 57% of patients receiving placebo discontinued therapy due to lack of efficacy, compare with 20% for the oxymorphone ER group and 16% for the oxycodone CR group (P=0.0001 for both drugs).</w:t>
            </w:r>
          </w:p>
          <w:p w:rsidR="00FF18FA" w:rsidRPr="00FF18FA" w:rsidRDefault="00FF18FA" w:rsidP="00D83513">
            <w:pPr>
              <w:spacing w:after="0" w:line="240" w:lineRule="auto"/>
              <w:rPr>
                <w:rFonts w:ascii="Arial" w:hAnsi="Arial" w:cs="Arial"/>
                <w:sz w:val="20"/>
                <w:szCs w:val="20"/>
              </w:rPr>
            </w:pPr>
          </w:p>
          <w:p w:rsidR="009867BE" w:rsidRPr="00FF18FA" w:rsidRDefault="009867BE" w:rsidP="00D83513">
            <w:pPr>
              <w:spacing w:after="0" w:line="240" w:lineRule="auto"/>
              <w:rPr>
                <w:rFonts w:ascii="Arial" w:hAnsi="Arial" w:cs="Arial"/>
                <w:sz w:val="20"/>
                <w:szCs w:val="20"/>
              </w:rPr>
            </w:pPr>
            <w:r w:rsidRPr="00FF18FA">
              <w:rPr>
                <w:rFonts w:ascii="Arial" w:hAnsi="Arial" w:cs="Arial"/>
                <w:sz w:val="20"/>
                <w:szCs w:val="20"/>
              </w:rPr>
              <w:t>In the first four days of the double-blind treatment phase, when the use of rescue medication was unrestricted, the mean daily dosage of rescue medication was significantly less for patients receiving oxymorphone ER (25.5 mg; P=0.0068) or oxycodone CR (24.4 mg; P=0.0024) than for those receiving placebo (34.8 mg).</w:t>
            </w:r>
          </w:p>
          <w:p w:rsidR="00FF18FA" w:rsidRPr="00FF18FA" w:rsidRDefault="00FF18FA" w:rsidP="00D83513">
            <w:pPr>
              <w:spacing w:after="0" w:line="240" w:lineRule="auto"/>
              <w:rPr>
                <w:rFonts w:ascii="Arial" w:hAnsi="Arial" w:cs="Arial"/>
                <w:sz w:val="20"/>
                <w:szCs w:val="20"/>
              </w:rPr>
            </w:pPr>
          </w:p>
          <w:p w:rsidR="00E27F4C" w:rsidRPr="00FF18FA" w:rsidRDefault="00E27F4C" w:rsidP="00D83513">
            <w:pPr>
              <w:spacing w:after="0" w:line="240" w:lineRule="auto"/>
              <w:rPr>
                <w:rFonts w:ascii="Arial" w:hAnsi="Arial" w:cs="Arial"/>
                <w:sz w:val="20"/>
                <w:szCs w:val="20"/>
              </w:rPr>
            </w:pPr>
            <w:r w:rsidRPr="00FF18FA">
              <w:rPr>
                <w:rFonts w:ascii="Arial" w:hAnsi="Arial" w:cs="Arial"/>
                <w:sz w:val="20"/>
                <w:szCs w:val="20"/>
              </w:rPr>
              <w:lastRenderedPageBreak/>
              <w:t xml:space="preserve">Adverse events for the active drugs were similar; the most frequent were constipation and sedation.  </w:t>
            </w:r>
          </w:p>
        </w:tc>
      </w:tr>
      <w:tr w:rsidR="003E6965" w:rsidRPr="002F74AF" w:rsidTr="003E6965">
        <w:tc>
          <w:tcPr>
            <w:tcW w:w="13820" w:type="dxa"/>
            <w:gridSpan w:val="5"/>
            <w:shd w:val="clear" w:color="auto" w:fill="BFBFBF" w:themeFill="background1" w:themeFillShade="BF"/>
          </w:tcPr>
          <w:p w:rsidR="003E6965" w:rsidRPr="003E6965" w:rsidRDefault="003E6965" w:rsidP="00AB4FCE">
            <w:pPr>
              <w:spacing w:after="0" w:line="240" w:lineRule="auto"/>
              <w:rPr>
                <w:rFonts w:ascii="Arial" w:hAnsi="Arial" w:cs="Arial"/>
                <w:b/>
                <w:sz w:val="20"/>
                <w:szCs w:val="20"/>
              </w:rPr>
            </w:pPr>
            <w:r w:rsidRPr="003E6965">
              <w:rPr>
                <w:rFonts w:ascii="Arial" w:hAnsi="Arial" w:cs="Arial"/>
                <w:b/>
                <w:sz w:val="20"/>
                <w:szCs w:val="20"/>
              </w:rPr>
              <w:lastRenderedPageBreak/>
              <w:t>Cancer Pain</w:t>
            </w:r>
          </w:p>
        </w:tc>
      </w:tr>
      <w:tr w:rsidR="00593CEB" w:rsidRPr="002F74AF" w:rsidTr="00AB4FCE">
        <w:tc>
          <w:tcPr>
            <w:tcW w:w="1940" w:type="dxa"/>
          </w:tcPr>
          <w:p w:rsidR="00593CEB" w:rsidRPr="00B5437C" w:rsidRDefault="00593CEB" w:rsidP="00AB4FCE">
            <w:pPr>
              <w:spacing w:after="0" w:line="240" w:lineRule="auto"/>
              <w:rPr>
                <w:rFonts w:ascii="Arial" w:hAnsi="Arial" w:cs="Arial"/>
                <w:sz w:val="20"/>
                <w:szCs w:val="20"/>
                <w:vertAlign w:val="superscript"/>
              </w:rPr>
            </w:pPr>
            <w:r w:rsidRPr="001D19C0">
              <w:rPr>
                <w:rFonts w:ascii="Arial" w:hAnsi="Arial" w:cs="Arial"/>
                <w:sz w:val="20"/>
                <w:szCs w:val="20"/>
              </w:rPr>
              <w:t>Sloan et al</w:t>
            </w:r>
            <w:r w:rsidR="00A30C6F" w:rsidRPr="001D19C0">
              <w:rPr>
                <w:rFonts w:ascii="Arial" w:hAnsi="Arial" w:cs="Arial"/>
                <w:sz w:val="20"/>
                <w:szCs w:val="20"/>
                <w:vertAlign w:val="superscript"/>
              </w:rPr>
              <w:t>5</w:t>
            </w:r>
          </w:p>
          <w:p w:rsidR="00593CEB" w:rsidRPr="00B5437C" w:rsidRDefault="00593CEB" w:rsidP="00AB4FCE">
            <w:pPr>
              <w:spacing w:after="0" w:line="240" w:lineRule="auto"/>
              <w:rPr>
                <w:rFonts w:ascii="Arial" w:hAnsi="Arial" w:cs="Arial"/>
                <w:sz w:val="20"/>
                <w:szCs w:val="20"/>
              </w:rPr>
            </w:pPr>
          </w:p>
          <w:p w:rsidR="00593CEB" w:rsidRPr="00B5437C" w:rsidRDefault="00593CEB" w:rsidP="00AB4FCE">
            <w:pPr>
              <w:spacing w:after="0" w:line="240" w:lineRule="auto"/>
              <w:rPr>
                <w:rFonts w:ascii="Arial" w:hAnsi="Arial" w:cs="Arial"/>
                <w:sz w:val="20"/>
                <w:szCs w:val="20"/>
              </w:rPr>
            </w:pPr>
            <w:r w:rsidRPr="00B5437C">
              <w:rPr>
                <w:rFonts w:ascii="Arial" w:hAnsi="Arial" w:cs="Arial"/>
                <w:sz w:val="20"/>
                <w:szCs w:val="20"/>
              </w:rPr>
              <w:t>Oxymorphone ER</w:t>
            </w:r>
          </w:p>
          <w:p w:rsidR="00593CEB" w:rsidRPr="00B5437C" w:rsidRDefault="00593CEB" w:rsidP="00AB4FCE">
            <w:pPr>
              <w:spacing w:after="0" w:line="240" w:lineRule="auto"/>
              <w:rPr>
                <w:rFonts w:ascii="Arial" w:hAnsi="Arial" w:cs="Arial"/>
                <w:sz w:val="20"/>
                <w:szCs w:val="20"/>
              </w:rPr>
            </w:pPr>
          </w:p>
          <w:p w:rsidR="009B2A57" w:rsidRDefault="00593CEB" w:rsidP="00AB4FCE">
            <w:pPr>
              <w:spacing w:after="0" w:line="240" w:lineRule="auto"/>
              <w:rPr>
                <w:rFonts w:ascii="Arial" w:hAnsi="Arial" w:cs="Arial"/>
                <w:sz w:val="20"/>
                <w:szCs w:val="20"/>
              </w:rPr>
            </w:pPr>
            <w:r w:rsidRPr="00B5437C">
              <w:rPr>
                <w:rFonts w:ascii="Arial" w:hAnsi="Arial" w:cs="Arial"/>
                <w:sz w:val="20"/>
                <w:szCs w:val="20"/>
              </w:rPr>
              <w:t>Patients were stabilized for ≥3 days on morphine CR (MS Contin</w:t>
            </w:r>
            <w:r w:rsidRPr="00B5437C">
              <w:rPr>
                <w:rFonts w:ascii="Arial" w:hAnsi="Arial" w:cs="Arial"/>
                <w:sz w:val="20"/>
                <w:szCs w:val="20"/>
                <w:vertAlign w:val="superscript"/>
              </w:rPr>
              <w:t>®</w:t>
            </w:r>
            <w:r w:rsidRPr="00B5437C">
              <w:rPr>
                <w:rFonts w:ascii="Arial" w:hAnsi="Arial" w:cs="Arial"/>
                <w:sz w:val="20"/>
                <w:szCs w:val="20"/>
              </w:rPr>
              <w:t xml:space="preserve">) or oxycodone </w:t>
            </w:r>
            <w:r w:rsidR="001C627C">
              <w:rPr>
                <w:rFonts w:ascii="Arial" w:hAnsi="Arial" w:cs="Arial"/>
                <w:sz w:val="20"/>
                <w:szCs w:val="20"/>
              </w:rPr>
              <w:t>C</w:t>
            </w:r>
            <w:r>
              <w:rPr>
                <w:rFonts w:ascii="Arial" w:hAnsi="Arial" w:cs="Arial"/>
                <w:sz w:val="20"/>
                <w:szCs w:val="20"/>
              </w:rPr>
              <w:t>R</w:t>
            </w:r>
            <w:r w:rsidRPr="00B5437C">
              <w:rPr>
                <w:rFonts w:ascii="Arial" w:hAnsi="Arial" w:cs="Arial"/>
                <w:sz w:val="20"/>
                <w:szCs w:val="20"/>
              </w:rPr>
              <w:t xml:space="preserve"> (OxyContin</w:t>
            </w:r>
            <w:r w:rsidRPr="00B5437C">
              <w:rPr>
                <w:rFonts w:ascii="Arial" w:hAnsi="Arial" w:cs="Arial"/>
                <w:sz w:val="20"/>
                <w:szCs w:val="20"/>
                <w:vertAlign w:val="superscript"/>
              </w:rPr>
              <w:t>®</w:t>
            </w:r>
            <w:r w:rsidRPr="00B5437C">
              <w:rPr>
                <w:rFonts w:ascii="Arial" w:hAnsi="Arial" w:cs="Arial"/>
                <w:sz w:val="20"/>
                <w:szCs w:val="20"/>
              </w:rPr>
              <w:t>)</w:t>
            </w:r>
            <w:r w:rsidR="009B2A57">
              <w:rPr>
                <w:rFonts w:ascii="Arial" w:hAnsi="Arial" w:cs="Arial"/>
                <w:sz w:val="20"/>
                <w:szCs w:val="20"/>
              </w:rPr>
              <w:t xml:space="preserve"> [drug selection based upon patients’ previous use or investigator preference]</w:t>
            </w:r>
            <w:r w:rsidRPr="00B5437C">
              <w:rPr>
                <w:rFonts w:ascii="Arial" w:hAnsi="Arial" w:cs="Arial"/>
                <w:sz w:val="20"/>
                <w:szCs w:val="20"/>
              </w:rPr>
              <w:t xml:space="preserve">, and then treated for </w:t>
            </w:r>
            <w:r w:rsidR="009B2A57">
              <w:rPr>
                <w:rFonts w:ascii="Arial" w:hAnsi="Arial" w:cs="Arial"/>
                <w:sz w:val="20"/>
                <w:szCs w:val="20"/>
              </w:rPr>
              <w:t>seven</w:t>
            </w:r>
            <w:r w:rsidRPr="00B5437C">
              <w:rPr>
                <w:rFonts w:ascii="Arial" w:hAnsi="Arial" w:cs="Arial"/>
                <w:sz w:val="20"/>
                <w:szCs w:val="20"/>
              </w:rPr>
              <w:t xml:space="preserve"> days at their stabilized dose </w:t>
            </w:r>
            <w:r w:rsidR="009B2A57">
              <w:rPr>
                <w:rFonts w:ascii="Arial" w:hAnsi="Arial" w:cs="Arial"/>
                <w:sz w:val="20"/>
                <w:szCs w:val="20"/>
              </w:rPr>
              <w:t xml:space="preserve">of respective medication </w:t>
            </w:r>
          </w:p>
          <w:p w:rsidR="00593CEB" w:rsidRPr="00B5437C" w:rsidRDefault="009B2A57" w:rsidP="00AB4FCE">
            <w:pPr>
              <w:spacing w:after="0" w:line="240" w:lineRule="auto"/>
              <w:rPr>
                <w:rFonts w:ascii="Arial" w:hAnsi="Arial" w:cs="Arial"/>
                <w:sz w:val="20"/>
                <w:szCs w:val="20"/>
              </w:rPr>
            </w:pPr>
            <w:r>
              <w:rPr>
                <w:rFonts w:ascii="Arial" w:hAnsi="Arial" w:cs="Arial"/>
                <w:sz w:val="20"/>
                <w:szCs w:val="20"/>
              </w:rPr>
              <w:t>(Period 1)</w:t>
            </w:r>
            <w:r w:rsidR="00593CEB" w:rsidRPr="00B5437C">
              <w:rPr>
                <w:rFonts w:ascii="Arial" w:hAnsi="Arial" w:cs="Arial"/>
                <w:sz w:val="20"/>
                <w:szCs w:val="20"/>
              </w:rPr>
              <w:t xml:space="preserve"> </w:t>
            </w:r>
          </w:p>
          <w:p w:rsidR="00593CEB" w:rsidRPr="00B5437C" w:rsidRDefault="00593CEB" w:rsidP="00AB4FCE">
            <w:pPr>
              <w:spacing w:after="0" w:line="240" w:lineRule="auto"/>
              <w:rPr>
                <w:rFonts w:ascii="Arial" w:hAnsi="Arial" w:cs="Arial"/>
                <w:sz w:val="20"/>
                <w:szCs w:val="20"/>
              </w:rPr>
            </w:pPr>
          </w:p>
          <w:p w:rsidR="00593CEB" w:rsidRDefault="00593CEB" w:rsidP="00AB4FCE">
            <w:pPr>
              <w:spacing w:after="0" w:line="240" w:lineRule="auto"/>
              <w:rPr>
                <w:rFonts w:ascii="Arial" w:hAnsi="Arial" w:cs="Arial"/>
                <w:sz w:val="20"/>
                <w:szCs w:val="20"/>
              </w:rPr>
            </w:pPr>
            <w:r w:rsidRPr="00B5437C">
              <w:rPr>
                <w:rFonts w:ascii="Arial" w:hAnsi="Arial" w:cs="Arial"/>
                <w:sz w:val="20"/>
                <w:szCs w:val="20"/>
              </w:rPr>
              <w:t>Patie</w:t>
            </w:r>
            <w:r w:rsidR="009B2A57">
              <w:rPr>
                <w:rFonts w:ascii="Arial" w:hAnsi="Arial" w:cs="Arial"/>
                <w:sz w:val="20"/>
                <w:szCs w:val="20"/>
              </w:rPr>
              <w:t>nts were then crossed over for seven</w:t>
            </w:r>
            <w:r w:rsidRPr="00B5437C">
              <w:rPr>
                <w:rFonts w:ascii="Arial" w:hAnsi="Arial" w:cs="Arial"/>
                <w:sz w:val="20"/>
                <w:szCs w:val="20"/>
              </w:rPr>
              <w:t xml:space="preserve"> days of treatment at an estimated equianalgesic dosage o</w:t>
            </w:r>
            <w:r w:rsidR="009B2A57">
              <w:rPr>
                <w:rFonts w:ascii="Arial" w:hAnsi="Arial" w:cs="Arial"/>
                <w:sz w:val="20"/>
                <w:szCs w:val="20"/>
              </w:rPr>
              <w:t>f oxymorphone ER (Period 2)</w:t>
            </w:r>
          </w:p>
          <w:p w:rsidR="009B2A57" w:rsidRDefault="009B2A57" w:rsidP="00AB4FCE">
            <w:pPr>
              <w:spacing w:after="0" w:line="240" w:lineRule="auto"/>
              <w:rPr>
                <w:rFonts w:ascii="Arial" w:hAnsi="Arial" w:cs="Arial"/>
                <w:sz w:val="20"/>
                <w:szCs w:val="20"/>
              </w:rPr>
            </w:pPr>
          </w:p>
          <w:p w:rsidR="009B2A57" w:rsidRPr="00B5437C" w:rsidRDefault="009B2A57" w:rsidP="00AB4FCE">
            <w:pPr>
              <w:spacing w:after="0" w:line="240" w:lineRule="auto"/>
              <w:rPr>
                <w:rFonts w:ascii="Arial" w:hAnsi="Arial" w:cs="Arial"/>
                <w:sz w:val="20"/>
                <w:szCs w:val="20"/>
              </w:rPr>
            </w:pPr>
            <w:r>
              <w:rPr>
                <w:rFonts w:ascii="Arial" w:hAnsi="Arial" w:cs="Arial"/>
                <w:sz w:val="20"/>
                <w:szCs w:val="20"/>
              </w:rPr>
              <w:lastRenderedPageBreak/>
              <w:t>Oral IR formulation of study medication (morphine, oxycodone or oxymorphone) were available as a rescue medication  (approximately 10% of the total daily dose of scheduled ER medication) during periods 1 and 2</w:t>
            </w:r>
          </w:p>
        </w:tc>
        <w:tc>
          <w:tcPr>
            <w:tcW w:w="2070" w:type="dxa"/>
          </w:tcPr>
          <w:p w:rsidR="00593CEB" w:rsidRPr="00B5437C" w:rsidRDefault="00593CEB" w:rsidP="00AB4FCE">
            <w:pPr>
              <w:spacing w:after="0" w:line="240" w:lineRule="auto"/>
              <w:rPr>
                <w:rFonts w:ascii="Arial" w:hAnsi="Arial" w:cs="Arial"/>
                <w:sz w:val="20"/>
                <w:szCs w:val="20"/>
              </w:rPr>
            </w:pPr>
            <w:r w:rsidRPr="00B5437C">
              <w:rPr>
                <w:rFonts w:ascii="Arial" w:hAnsi="Arial" w:cs="Arial"/>
                <w:sz w:val="20"/>
                <w:szCs w:val="20"/>
              </w:rPr>
              <w:lastRenderedPageBreak/>
              <w:t>MC, MD, OL, PRO, XO</w:t>
            </w:r>
          </w:p>
          <w:p w:rsidR="00593CEB" w:rsidRPr="00B5437C" w:rsidRDefault="00593CEB" w:rsidP="00AB4FCE">
            <w:pPr>
              <w:spacing w:after="0" w:line="240" w:lineRule="auto"/>
              <w:rPr>
                <w:rFonts w:ascii="Arial" w:hAnsi="Arial" w:cs="Arial"/>
                <w:sz w:val="20"/>
                <w:szCs w:val="20"/>
              </w:rPr>
            </w:pPr>
          </w:p>
          <w:p w:rsidR="00593CEB" w:rsidRPr="00B5437C" w:rsidRDefault="00593CEB" w:rsidP="001D19C0">
            <w:pPr>
              <w:spacing w:after="0" w:line="240" w:lineRule="auto"/>
              <w:rPr>
                <w:rFonts w:ascii="Arial" w:hAnsi="Arial" w:cs="Arial"/>
                <w:sz w:val="20"/>
                <w:szCs w:val="20"/>
              </w:rPr>
            </w:pPr>
            <w:r w:rsidRPr="00B5437C">
              <w:rPr>
                <w:rFonts w:ascii="Arial" w:hAnsi="Arial" w:cs="Arial"/>
                <w:sz w:val="20"/>
                <w:szCs w:val="20"/>
              </w:rPr>
              <w:t>Patients 18 to 80 years of age with a history of chronic cancer pain requiring ≥20 mg of oxycodone or the analgesic equivalent of ≥30 mg of oral morphine per day</w:t>
            </w:r>
          </w:p>
        </w:tc>
        <w:tc>
          <w:tcPr>
            <w:tcW w:w="1440" w:type="dxa"/>
          </w:tcPr>
          <w:p w:rsidR="00593CEB" w:rsidRPr="00B5437C" w:rsidRDefault="00593CEB" w:rsidP="00AB4FCE">
            <w:pPr>
              <w:spacing w:after="0" w:line="240" w:lineRule="auto"/>
              <w:jc w:val="center"/>
              <w:rPr>
                <w:rFonts w:ascii="Arial" w:hAnsi="Arial" w:cs="Arial"/>
                <w:sz w:val="20"/>
                <w:szCs w:val="20"/>
              </w:rPr>
            </w:pPr>
            <w:r w:rsidRPr="00B5437C">
              <w:rPr>
                <w:rFonts w:ascii="Arial" w:hAnsi="Arial" w:cs="Arial"/>
                <w:sz w:val="20"/>
                <w:szCs w:val="20"/>
              </w:rPr>
              <w:t>N=</w:t>
            </w:r>
            <w:r w:rsidR="009B2A57">
              <w:rPr>
                <w:rFonts w:ascii="Arial" w:hAnsi="Arial" w:cs="Arial"/>
                <w:sz w:val="20"/>
                <w:szCs w:val="20"/>
              </w:rPr>
              <w:t>63</w:t>
            </w:r>
          </w:p>
          <w:p w:rsidR="00593CEB" w:rsidRPr="00B5437C" w:rsidRDefault="00593CEB" w:rsidP="00AB4FCE">
            <w:pPr>
              <w:spacing w:after="0" w:line="240" w:lineRule="auto"/>
              <w:jc w:val="center"/>
              <w:rPr>
                <w:rFonts w:ascii="Arial" w:hAnsi="Arial" w:cs="Arial"/>
                <w:sz w:val="20"/>
                <w:szCs w:val="20"/>
              </w:rPr>
            </w:pPr>
          </w:p>
          <w:p w:rsidR="00593CEB" w:rsidRPr="00B5437C" w:rsidRDefault="00593CEB" w:rsidP="00AB4FCE">
            <w:pPr>
              <w:spacing w:after="0" w:line="240" w:lineRule="auto"/>
              <w:jc w:val="center"/>
              <w:rPr>
                <w:rFonts w:ascii="Arial" w:hAnsi="Arial" w:cs="Arial"/>
                <w:sz w:val="20"/>
                <w:szCs w:val="20"/>
              </w:rPr>
            </w:pPr>
            <w:r w:rsidRPr="00B5437C">
              <w:rPr>
                <w:rFonts w:ascii="Arial" w:hAnsi="Arial" w:cs="Arial"/>
                <w:sz w:val="20"/>
                <w:szCs w:val="20"/>
              </w:rPr>
              <w:t>7 days</w:t>
            </w:r>
          </w:p>
          <w:p w:rsidR="00593CEB" w:rsidRPr="00B5437C" w:rsidRDefault="00593CEB" w:rsidP="00AB4FCE">
            <w:pPr>
              <w:spacing w:after="0" w:line="240" w:lineRule="auto"/>
              <w:jc w:val="center"/>
              <w:rPr>
                <w:rFonts w:ascii="Arial" w:hAnsi="Arial" w:cs="Arial"/>
                <w:sz w:val="20"/>
                <w:szCs w:val="20"/>
              </w:rPr>
            </w:pPr>
            <w:r w:rsidRPr="00B5437C">
              <w:rPr>
                <w:rFonts w:ascii="Arial" w:hAnsi="Arial" w:cs="Arial"/>
                <w:sz w:val="20"/>
                <w:szCs w:val="20"/>
              </w:rPr>
              <w:t>(Period 2)</w:t>
            </w:r>
          </w:p>
        </w:tc>
        <w:tc>
          <w:tcPr>
            <w:tcW w:w="1980" w:type="dxa"/>
          </w:tcPr>
          <w:p w:rsidR="00593CEB" w:rsidRPr="00B5437C" w:rsidRDefault="00593CEB" w:rsidP="00AB4FCE">
            <w:pPr>
              <w:spacing w:after="0" w:line="240" w:lineRule="auto"/>
              <w:outlineLvl w:val="0"/>
              <w:rPr>
                <w:rFonts w:ascii="Arial" w:hAnsi="Arial" w:cs="Arial"/>
                <w:sz w:val="20"/>
                <w:szCs w:val="20"/>
              </w:rPr>
            </w:pPr>
            <w:r w:rsidRPr="00B5437C">
              <w:rPr>
                <w:rFonts w:ascii="Arial" w:hAnsi="Arial" w:cs="Arial"/>
                <w:sz w:val="20"/>
                <w:szCs w:val="20"/>
              </w:rPr>
              <w:t>Primary:</w:t>
            </w:r>
          </w:p>
          <w:p w:rsidR="00593CEB" w:rsidRPr="00B5437C" w:rsidRDefault="009B2A57" w:rsidP="00AB4FCE">
            <w:pPr>
              <w:spacing w:after="0" w:line="240" w:lineRule="auto"/>
              <w:outlineLvl w:val="0"/>
              <w:rPr>
                <w:rFonts w:ascii="Arial" w:hAnsi="Arial" w:cs="Arial"/>
                <w:sz w:val="20"/>
                <w:szCs w:val="20"/>
              </w:rPr>
            </w:pPr>
            <w:r>
              <w:rPr>
                <w:rFonts w:ascii="Arial" w:hAnsi="Arial" w:cs="Arial"/>
                <w:sz w:val="20"/>
                <w:szCs w:val="20"/>
              </w:rPr>
              <w:t>Pain intensity</w:t>
            </w:r>
          </w:p>
          <w:p w:rsidR="00593CEB" w:rsidRPr="00B5437C" w:rsidRDefault="00593CEB" w:rsidP="00AB4FCE">
            <w:pPr>
              <w:spacing w:after="0" w:line="240" w:lineRule="auto"/>
              <w:outlineLvl w:val="0"/>
              <w:rPr>
                <w:rFonts w:ascii="Arial" w:hAnsi="Arial" w:cs="Arial"/>
                <w:sz w:val="20"/>
                <w:szCs w:val="20"/>
              </w:rPr>
            </w:pPr>
          </w:p>
          <w:p w:rsidR="00593CEB" w:rsidRPr="00B5437C" w:rsidRDefault="00593CEB" w:rsidP="00AB4FCE">
            <w:pPr>
              <w:spacing w:after="0" w:line="240" w:lineRule="auto"/>
              <w:outlineLvl w:val="0"/>
              <w:rPr>
                <w:rFonts w:ascii="Arial" w:hAnsi="Arial" w:cs="Arial"/>
                <w:sz w:val="20"/>
                <w:szCs w:val="20"/>
              </w:rPr>
            </w:pPr>
            <w:r w:rsidRPr="00B5437C">
              <w:rPr>
                <w:rFonts w:ascii="Arial" w:hAnsi="Arial" w:cs="Arial"/>
                <w:sz w:val="20"/>
                <w:szCs w:val="20"/>
              </w:rPr>
              <w:t>Secondary:</w:t>
            </w:r>
          </w:p>
          <w:p w:rsidR="00593CEB" w:rsidRPr="00B5437C" w:rsidRDefault="005C2D88" w:rsidP="00AB4FCE">
            <w:pPr>
              <w:spacing w:after="0" w:line="240" w:lineRule="auto"/>
              <w:outlineLvl w:val="0"/>
              <w:rPr>
                <w:rFonts w:ascii="Arial" w:hAnsi="Arial" w:cs="Arial"/>
                <w:sz w:val="20"/>
                <w:szCs w:val="20"/>
              </w:rPr>
            </w:pPr>
            <w:r>
              <w:rPr>
                <w:rFonts w:ascii="Arial" w:hAnsi="Arial" w:cs="Arial"/>
                <w:sz w:val="20"/>
                <w:szCs w:val="20"/>
              </w:rPr>
              <w:t>Equianalgesic dose ratios, quality of life assessments, safety</w:t>
            </w:r>
          </w:p>
        </w:tc>
        <w:tc>
          <w:tcPr>
            <w:tcW w:w="6390" w:type="dxa"/>
          </w:tcPr>
          <w:p w:rsidR="00593CEB" w:rsidRPr="00B5437C" w:rsidRDefault="00593CEB" w:rsidP="00AB4FCE">
            <w:pPr>
              <w:spacing w:after="0" w:line="240" w:lineRule="auto"/>
              <w:rPr>
                <w:rFonts w:ascii="Arial" w:hAnsi="Arial" w:cs="Arial"/>
                <w:sz w:val="20"/>
                <w:szCs w:val="20"/>
              </w:rPr>
            </w:pPr>
            <w:r w:rsidRPr="00B5437C">
              <w:rPr>
                <w:rFonts w:ascii="Arial" w:hAnsi="Arial" w:cs="Arial"/>
                <w:sz w:val="20"/>
                <w:szCs w:val="20"/>
              </w:rPr>
              <w:t>Primary:</w:t>
            </w:r>
          </w:p>
          <w:p w:rsidR="009B2A57" w:rsidRDefault="009B2A57" w:rsidP="00AB4FCE">
            <w:pPr>
              <w:spacing w:after="0" w:line="240" w:lineRule="auto"/>
              <w:rPr>
                <w:rFonts w:ascii="Arial" w:hAnsi="Arial" w:cs="Arial"/>
                <w:sz w:val="20"/>
                <w:szCs w:val="20"/>
              </w:rPr>
            </w:pPr>
            <w:r>
              <w:rPr>
                <w:rFonts w:ascii="Arial" w:hAnsi="Arial" w:cs="Arial"/>
                <w:sz w:val="20"/>
                <w:szCs w:val="20"/>
              </w:rPr>
              <w:t xml:space="preserve">A total of </w:t>
            </w:r>
            <w:r w:rsidR="001C627C">
              <w:rPr>
                <w:rFonts w:ascii="Arial" w:hAnsi="Arial" w:cs="Arial"/>
                <w:sz w:val="20"/>
                <w:szCs w:val="20"/>
              </w:rPr>
              <w:t>63/86 patients completed stabilization in Period 1 and then went on to begin treatment with oxymorphone ER. From this group, 93.7% (59/63) completed treatment with oxymorphone ER.</w:t>
            </w:r>
          </w:p>
          <w:p w:rsidR="001C627C" w:rsidRDefault="001C627C" w:rsidP="00AB4FCE">
            <w:pPr>
              <w:spacing w:after="0" w:line="240" w:lineRule="auto"/>
              <w:rPr>
                <w:rFonts w:ascii="Arial" w:hAnsi="Arial" w:cs="Arial"/>
                <w:sz w:val="20"/>
                <w:szCs w:val="20"/>
              </w:rPr>
            </w:pPr>
          </w:p>
          <w:p w:rsidR="00593CEB" w:rsidRPr="00B5437C" w:rsidRDefault="00593CEB" w:rsidP="00AB4FCE">
            <w:pPr>
              <w:spacing w:after="0" w:line="240" w:lineRule="auto"/>
              <w:rPr>
                <w:rFonts w:ascii="Arial" w:hAnsi="Arial" w:cs="Arial"/>
                <w:sz w:val="20"/>
                <w:szCs w:val="20"/>
              </w:rPr>
            </w:pPr>
            <w:r w:rsidRPr="00B5437C">
              <w:rPr>
                <w:rFonts w:ascii="Arial" w:hAnsi="Arial" w:cs="Arial"/>
                <w:sz w:val="20"/>
                <w:szCs w:val="20"/>
              </w:rPr>
              <w:t xml:space="preserve">Mean daily </w:t>
            </w:r>
            <w:r w:rsidR="001C627C">
              <w:rPr>
                <w:rFonts w:ascii="Arial" w:hAnsi="Arial" w:cs="Arial"/>
                <w:sz w:val="20"/>
                <w:szCs w:val="20"/>
              </w:rPr>
              <w:t>pain intensity</w:t>
            </w:r>
            <w:r w:rsidRPr="00B5437C">
              <w:rPr>
                <w:rFonts w:ascii="Arial" w:hAnsi="Arial" w:cs="Arial"/>
                <w:sz w:val="20"/>
                <w:szCs w:val="20"/>
              </w:rPr>
              <w:t xml:space="preserve"> scores were comparable </w:t>
            </w:r>
            <w:r w:rsidR="001C627C">
              <w:rPr>
                <w:rFonts w:ascii="Arial" w:hAnsi="Arial" w:cs="Arial"/>
                <w:sz w:val="20"/>
                <w:szCs w:val="20"/>
              </w:rPr>
              <w:t xml:space="preserve">for all agents </w:t>
            </w:r>
            <w:r w:rsidRPr="00B5437C">
              <w:rPr>
                <w:rFonts w:ascii="Arial" w:hAnsi="Arial" w:cs="Arial"/>
                <w:sz w:val="20"/>
                <w:szCs w:val="20"/>
              </w:rPr>
              <w:t xml:space="preserve">during each treatment sequence, indicating that pain was stabilized throughout the study. When averaged over the last two days (days six and seven) of each treatment period, a similar level of pain </w:t>
            </w:r>
            <w:r w:rsidR="001C627C">
              <w:rPr>
                <w:rFonts w:ascii="Arial" w:hAnsi="Arial" w:cs="Arial"/>
                <w:sz w:val="20"/>
                <w:szCs w:val="20"/>
              </w:rPr>
              <w:t xml:space="preserve">relief </w:t>
            </w:r>
            <w:r w:rsidRPr="00B5437C">
              <w:rPr>
                <w:rFonts w:ascii="Arial" w:hAnsi="Arial" w:cs="Arial"/>
                <w:sz w:val="20"/>
                <w:szCs w:val="20"/>
              </w:rPr>
              <w:t xml:space="preserve">was achieved with oxymorphone </w:t>
            </w:r>
            <w:r w:rsidR="001C627C">
              <w:rPr>
                <w:rFonts w:ascii="Arial" w:hAnsi="Arial" w:cs="Arial"/>
                <w:sz w:val="20"/>
                <w:szCs w:val="20"/>
              </w:rPr>
              <w:t xml:space="preserve">ER </w:t>
            </w:r>
            <w:r w:rsidRPr="00B5437C">
              <w:rPr>
                <w:rFonts w:ascii="Arial" w:hAnsi="Arial" w:cs="Arial"/>
                <w:sz w:val="20"/>
                <w:szCs w:val="20"/>
              </w:rPr>
              <w:t>as with oxycodone</w:t>
            </w:r>
            <w:r w:rsidR="001C627C">
              <w:rPr>
                <w:rFonts w:ascii="Arial" w:hAnsi="Arial" w:cs="Arial"/>
                <w:sz w:val="20"/>
                <w:szCs w:val="20"/>
              </w:rPr>
              <w:t xml:space="preserve"> CR or morphine CR</w:t>
            </w:r>
            <w:r w:rsidRPr="00B5437C">
              <w:rPr>
                <w:rFonts w:ascii="Arial" w:hAnsi="Arial" w:cs="Arial"/>
                <w:sz w:val="20"/>
                <w:szCs w:val="20"/>
              </w:rPr>
              <w:t xml:space="preserve">. </w:t>
            </w:r>
          </w:p>
          <w:p w:rsidR="00593CEB" w:rsidRDefault="00593CEB" w:rsidP="00AB4FCE">
            <w:pPr>
              <w:spacing w:after="0" w:line="240" w:lineRule="auto"/>
              <w:rPr>
                <w:rFonts w:ascii="Arial" w:hAnsi="Arial" w:cs="Arial"/>
                <w:sz w:val="20"/>
                <w:szCs w:val="20"/>
              </w:rPr>
            </w:pPr>
          </w:p>
          <w:p w:rsidR="005C2D88" w:rsidRPr="00B5437C" w:rsidRDefault="005C2D88" w:rsidP="00AB4FCE">
            <w:pPr>
              <w:spacing w:after="0" w:line="240" w:lineRule="auto"/>
              <w:rPr>
                <w:rFonts w:ascii="Arial" w:hAnsi="Arial" w:cs="Arial"/>
                <w:sz w:val="20"/>
                <w:szCs w:val="20"/>
              </w:rPr>
            </w:pPr>
            <w:r>
              <w:rPr>
                <w:rFonts w:ascii="Arial" w:hAnsi="Arial" w:cs="Arial"/>
                <w:sz w:val="20"/>
                <w:szCs w:val="20"/>
              </w:rPr>
              <w:t>Secondary:</w:t>
            </w:r>
          </w:p>
          <w:p w:rsidR="00593CEB" w:rsidRPr="00B5437C" w:rsidRDefault="00593CEB" w:rsidP="00AB4FCE">
            <w:pPr>
              <w:spacing w:after="0" w:line="240" w:lineRule="auto"/>
              <w:rPr>
                <w:rFonts w:ascii="Arial" w:hAnsi="Arial" w:cs="Arial"/>
                <w:sz w:val="20"/>
                <w:szCs w:val="20"/>
              </w:rPr>
            </w:pPr>
            <w:r w:rsidRPr="00B5437C">
              <w:rPr>
                <w:rFonts w:ascii="Arial" w:hAnsi="Arial" w:cs="Arial"/>
                <w:sz w:val="20"/>
                <w:szCs w:val="20"/>
              </w:rPr>
              <w:t xml:space="preserve">The average scheduled daily dose of study medication and the average total daily dose decreased after </w:t>
            </w:r>
            <w:r w:rsidR="001C627C">
              <w:rPr>
                <w:rFonts w:ascii="Arial" w:hAnsi="Arial" w:cs="Arial"/>
                <w:sz w:val="20"/>
                <w:szCs w:val="20"/>
              </w:rPr>
              <w:t>crossover</w:t>
            </w:r>
            <w:r w:rsidRPr="00B5437C">
              <w:rPr>
                <w:rFonts w:ascii="Arial" w:hAnsi="Arial" w:cs="Arial"/>
                <w:sz w:val="20"/>
                <w:szCs w:val="20"/>
              </w:rPr>
              <w:t xml:space="preserve"> to oxymorphone</w:t>
            </w:r>
            <w:r w:rsidR="001C627C">
              <w:rPr>
                <w:rFonts w:ascii="Arial" w:hAnsi="Arial" w:cs="Arial"/>
                <w:sz w:val="20"/>
                <w:szCs w:val="20"/>
              </w:rPr>
              <w:t xml:space="preserve"> ER</w:t>
            </w:r>
            <w:r w:rsidRPr="00B5437C">
              <w:rPr>
                <w:rFonts w:ascii="Arial" w:hAnsi="Arial" w:cs="Arial"/>
                <w:sz w:val="20"/>
                <w:szCs w:val="20"/>
              </w:rPr>
              <w:t xml:space="preserve">. </w:t>
            </w:r>
          </w:p>
          <w:p w:rsidR="00593CEB" w:rsidRPr="00B5437C" w:rsidRDefault="00593CEB" w:rsidP="00AB4FCE">
            <w:pPr>
              <w:spacing w:after="0" w:line="240" w:lineRule="auto"/>
              <w:rPr>
                <w:rFonts w:ascii="Arial" w:hAnsi="Arial" w:cs="Arial"/>
                <w:sz w:val="20"/>
                <w:szCs w:val="20"/>
              </w:rPr>
            </w:pPr>
          </w:p>
          <w:p w:rsidR="00593CEB" w:rsidRPr="00B5437C" w:rsidRDefault="00593CEB" w:rsidP="00AB4FCE">
            <w:pPr>
              <w:spacing w:after="0" w:line="240" w:lineRule="auto"/>
              <w:rPr>
                <w:rFonts w:ascii="Arial" w:hAnsi="Arial" w:cs="Arial"/>
                <w:sz w:val="20"/>
                <w:szCs w:val="20"/>
              </w:rPr>
            </w:pPr>
            <w:r w:rsidRPr="00B5437C">
              <w:rPr>
                <w:rFonts w:ascii="Arial" w:hAnsi="Arial" w:cs="Arial"/>
                <w:sz w:val="20"/>
                <w:szCs w:val="20"/>
              </w:rPr>
              <w:t xml:space="preserve">There were no significant changes in the mean VAS scores for quality of life domains or for the mean change in patient recall for the quality of sleep for </w:t>
            </w:r>
            <w:r w:rsidR="001C627C">
              <w:rPr>
                <w:rFonts w:ascii="Arial" w:hAnsi="Arial" w:cs="Arial"/>
                <w:sz w:val="20"/>
                <w:szCs w:val="20"/>
              </w:rPr>
              <w:t>oxymorphone ER compared with morphine CR or oxycodone CR</w:t>
            </w:r>
            <w:r w:rsidRPr="00B5437C">
              <w:rPr>
                <w:rFonts w:ascii="Arial" w:hAnsi="Arial" w:cs="Arial"/>
                <w:sz w:val="20"/>
                <w:szCs w:val="20"/>
              </w:rPr>
              <w:t>.</w:t>
            </w:r>
          </w:p>
          <w:p w:rsidR="00593CEB" w:rsidRDefault="00593CEB" w:rsidP="00AB4FCE">
            <w:pPr>
              <w:spacing w:after="0" w:line="240" w:lineRule="auto"/>
              <w:rPr>
                <w:rFonts w:ascii="Arial" w:hAnsi="Arial" w:cs="Arial"/>
                <w:sz w:val="20"/>
                <w:szCs w:val="20"/>
              </w:rPr>
            </w:pPr>
          </w:p>
          <w:p w:rsidR="001C627C" w:rsidRPr="00B5437C" w:rsidRDefault="001C627C" w:rsidP="00AB4FCE">
            <w:pPr>
              <w:spacing w:after="0" w:line="240" w:lineRule="auto"/>
              <w:rPr>
                <w:rFonts w:ascii="Arial" w:hAnsi="Arial" w:cs="Arial"/>
                <w:sz w:val="20"/>
                <w:szCs w:val="20"/>
              </w:rPr>
            </w:pPr>
            <w:r>
              <w:rPr>
                <w:rFonts w:ascii="Arial" w:hAnsi="Arial" w:cs="Arial"/>
                <w:sz w:val="20"/>
                <w:szCs w:val="20"/>
              </w:rPr>
              <w:t>The tolerability and safety profiles were similar for all agents.</w:t>
            </w:r>
          </w:p>
          <w:p w:rsidR="007C627C" w:rsidRDefault="007C627C" w:rsidP="00AB4FCE">
            <w:pPr>
              <w:spacing w:after="0" w:line="240" w:lineRule="auto"/>
              <w:rPr>
                <w:rFonts w:ascii="Arial" w:hAnsi="Arial" w:cs="Arial"/>
                <w:sz w:val="20"/>
                <w:szCs w:val="20"/>
              </w:rPr>
            </w:pPr>
          </w:p>
          <w:p w:rsidR="00593CEB" w:rsidRPr="00B5437C" w:rsidRDefault="00593CEB" w:rsidP="00AB4FCE">
            <w:pPr>
              <w:spacing w:after="0" w:line="240" w:lineRule="auto"/>
              <w:rPr>
                <w:rFonts w:ascii="Arial" w:hAnsi="Arial" w:cs="Arial"/>
                <w:sz w:val="20"/>
                <w:szCs w:val="20"/>
              </w:rPr>
            </w:pPr>
          </w:p>
        </w:tc>
      </w:tr>
      <w:tr w:rsidR="00352E38" w:rsidRPr="002F74AF" w:rsidTr="00466D74">
        <w:tc>
          <w:tcPr>
            <w:tcW w:w="1940" w:type="dxa"/>
          </w:tcPr>
          <w:p w:rsidR="007B4728" w:rsidRPr="00B5437C" w:rsidRDefault="007B4728" w:rsidP="007B4728">
            <w:pPr>
              <w:spacing w:after="0" w:line="240" w:lineRule="auto"/>
              <w:rPr>
                <w:rFonts w:ascii="Arial" w:hAnsi="Arial" w:cs="Arial"/>
                <w:sz w:val="20"/>
                <w:szCs w:val="20"/>
              </w:rPr>
            </w:pPr>
            <w:proofErr w:type="spellStart"/>
            <w:r w:rsidRPr="001D19C0">
              <w:rPr>
                <w:rFonts w:ascii="Arial" w:hAnsi="Arial" w:cs="Arial"/>
                <w:sz w:val="20"/>
                <w:szCs w:val="20"/>
              </w:rPr>
              <w:lastRenderedPageBreak/>
              <w:t>Slatkin</w:t>
            </w:r>
            <w:proofErr w:type="spellEnd"/>
            <w:r w:rsidRPr="001D19C0">
              <w:rPr>
                <w:rFonts w:ascii="Arial" w:hAnsi="Arial" w:cs="Arial"/>
                <w:sz w:val="20"/>
                <w:szCs w:val="20"/>
              </w:rPr>
              <w:t xml:space="preserve"> et al</w:t>
            </w:r>
            <w:r w:rsidR="00A30C6F" w:rsidRPr="001D19C0">
              <w:rPr>
                <w:rFonts w:ascii="Arial" w:hAnsi="Arial" w:cs="Arial"/>
                <w:sz w:val="20"/>
                <w:szCs w:val="20"/>
                <w:vertAlign w:val="superscript"/>
              </w:rPr>
              <w:t>6</w:t>
            </w:r>
            <w:r w:rsidR="00A30C6F">
              <w:rPr>
                <w:rFonts w:ascii="Arial" w:hAnsi="Arial" w:cs="Arial"/>
                <w:sz w:val="20"/>
                <w:szCs w:val="20"/>
                <w:vertAlign w:val="superscript"/>
              </w:rPr>
              <w:t xml:space="preserve"> </w:t>
            </w:r>
            <w:r w:rsidRPr="00B5437C">
              <w:rPr>
                <w:rFonts w:ascii="Arial" w:hAnsi="Arial" w:cs="Arial"/>
                <w:sz w:val="20"/>
                <w:szCs w:val="20"/>
              </w:rPr>
              <w:t>(abstract)</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Oxymorphone ER</w:t>
            </w:r>
          </w:p>
          <w:p w:rsidR="007B4728" w:rsidRPr="00B5437C" w:rsidRDefault="007B4728" w:rsidP="007B4728">
            <w:pPr>
              <w:spacing w:after="0" w:line="240" w:lineRule="auto"/>
              <w:rPr>
                <w:rFonts w:ascii="Arial" w:hAnsi="Arial" w:cs="Arial"/>
                <w:sz w:val="20"/>
                <w:szCs w:val="20"/>
              </w:rPr>
            </w:pPr>
          </w:p>
          <w:p w:rsidR="00352E38" w:rsidRDefault="007B4728" w:rsidP="007B4728">
            <w:pPr>
              <w:spacing w:after="0" w:line="240" w:lineRule="auto"/>
              <w:rPr>
                <w:rFonts w:ascii="Arial" w:hAnsi="Arial" w:cs="Arial"/>
                <w:lang w:val="en"/>
              </w:rPr>
            </w:pPr>
            <w:r w:rsidRPr="00B5437C">
              <w:rPr>
                <w:rFonts w:ascii="Arial" w:hAnsi="Arial" w:cs="Arial"/>
                <w:sz w:val="20"/>
                <w:szCs w:val="20"/>
              </w:rPr>
              <w:t>Patients who had been taking oxymorphone ER continued the dose established in a previous study; patients who had been taking a comparator opioid were switched to an equia</w:t>
            </w:r>
            <w:r w:rsidR="005C2D88">
              <w:rPr>
                <w:rFonts w:ascii="Arial" w:hAnsi="Arial" w:cs="Arial"/>
                <w:sz w:val="20"/>
                <w:szCs w:val="20"/>
              </w:rPr>
              <w:t>nalgesic dose of oxymorphone ER</w:t>
            </w:r>
          </w:p>
        </w:tc>
        <w:tc>
          <w:tcPr>
            <w:tcW w:w="2070" w:type="dxa"/>
          </w:tcPr>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 xml:space="preserve">Post-hoc analysis of </w:t>
            </w:r>
            <w:r w:rsidR="00593CEB">
              <w:rPr>
                <w:rFonts w:ascii="Arial" w:hAnsi="Arial" w:cs="Arial"/>
                <w:sz w:val="20"/>
                <w:szCs w:val="20"/>
              </w:rPr>
              <w:t xml:space="preserve">two </w:t>
            </w:r>
            <w:r w:rsidRPr="00B5437C">
              <w:rPr>
                <w:rFonts w:ascii="Arial" w:hAnsi="Arial" w:cs="Arial"/>
                <w:sz w:val="20"/>
                <w:szCs w:val="20"/>
              </w:rPr>
              <w:t xml:space="preserve"> ES, OL</w:t>
            </w:r>
            <w:r w:rsidR="00593CEB">
              <w:rPr>
                <w:rFonts w:ascii="Arial" w:hAnsi="Arial" w:cs="Arial"/>
                <w:sz w:val="20"/>
                <w:szCs w:val="20"/>
              </w:rPr>
              <w:t xml:space="preserve"> studies</w:t>
            </w:r>
          </w:p>
          <w:p w:rsidR="007B4728" w:rsidRPr="00B5437C" w:rsidRDefault="007B4728" w:rsidP="007B4728">
            <w:pPr>
              <w:spacing w:after="0" w:line="240" w:lineRule="auto"/>
              <w:rPr>
                <w:rFonts w:ascii="Arial" w:hAnsi="Arial" w:cs="Arial"/>
                <w:sz w:val="20"/>
                <w:szCs w:val="20"/>
              </w:rPr>
            </w:pPr>
          </w:p>
          <w:p w:rsidR="00352E38" w:rsidRPr="002F74AF" w:rsidRDefault="007B4728" w:rsidP="007B4728">
            <w:pPr>
              <w:spacing w:after="0" w:line="240" w:lineRule="auto"/>
              <w:rPr>
                <w:rFonts w:ascii="Arial" w:hAnsi="Arial" w:cs="Arial"/>
                <w:sz w:val="20"/>
                <w:szCs w:val="20"/>
              </w:rPr>
            </w:pPr>
            <w:r w:rsidRPr="00B5437C">
              <w:rPr>
                <w:rFonts w:ascii="Arial" w:hAnsi="Arial" w:cs="Arial"/>
                <w:sz w:val="20"/>
                <w:szCs w:val="20"/>
              </w:rPr>
              <w:t>Patients with cancer</w:t>
            </w:r>
            <w:r w:rsidR="00593CEB">
              <w:rPr>
                <w:rFonts w:ascii="Arial" w:hAnsi="Arial" w:cs="Arial"/>
                <w:sz w:val="20"/>
                <w:szCs w:val="20"/>
              </w:rPr>
              <w:t xml:space="preserve"> who had participated in two short-term crossover comparator trial of oxymorphone ER</w:t>
            </w:r>
          </w:p>
        </w:tc>
        <w:tc>
          <w:tcPr>
            <w:tcW w:w="1440" w:type="dxa"/>
          </w:tcPr>
          <w:p w:rsidR="007B4728" w:rsidRPr="00B5437C" w:rsidRDefault="007B4728" w:rsidP="007B4728">
            <w:pPr>
              <w:spacing w:after="0" w:line="240" w:lineRule="auto"/>
              <w:jc w:val="center"/>
              <w:rPr>
                <w:rFonts w:ascii="Arial" w:hAnsi="Arial" w:cs="Arial"/>
                <w:sz w:val="20"/>
                <w:szCs w:val="20"/>
              </w:rPr>
            </w:pPr>
            <w:r w:rsidRPr="00B5437C">
              <w:rPr>
                <w:rFonts w:ascii="Arial" w:hAnsi="Arial" w:cs="Arial"/>
                <w:sz w:val="20"/>
                <w:szCs w:val="20"/>
              </w:rPr>
              <w:t>N=80</w:t>
            </w:r>
          </w:p>
          <w:p w:rsidR="007B4728" w:rsidRPr="00B5437C" w:rsidRDefault="007B4728" w:rsidP="007B4728">
            <w:pPr>
              <w:spacing w:after="0" w:line="240" w:lineRule="auto"/>
              <w:jc w:val="center"/>
              <w:rPr>
                <w:rFonts w:ascii="Arial" w:hAnsi="Arial" w:cs="Arial"/>
                <w:sz w:val="20"/>
                <w:szCs w:val="20"/>
              </w:rPr>
            </w:pPr>
          </w:p>
          <w:p w:rsidR="00352E38" w:rsidRPr="002F74AF" w:rsidRDefault="007B4728" w:rsidP="007B4728">
            <w:pPr>
              <w:spacing w:after="0" w:line="240" w:lineRule="auto"/>
              <w:jc w:val="center"/>
              <w:rPr>
                <w:rFonts w:ascii="Arial" w:hAnsi="Arial" w:cs="Arial"/>
                <w:sz w:val="20"/>
                <w:szCs w:val="20"/>
              </w:rPr>
            </w:pPr>
            <w:r w:rsidRPr="00B5437C">
              <w:rPr>
                <w:rFonts w:ascii="Arial" w:hAnsi="Arial" w:cs="Arial"/>
                <w:sz w:val="20"/>
                <w:szCs w:val="20"/>
              </w:rPr>
              <w:t>12 months</w:t>
            </w:r>
          </w:p>
        </w:tc>
        <w:tc>
          <w:tcPr>
            <w:tcW w:w="1980" w:type="dxa"/>
          </w:tcPr>
          <w:p w:rsidR="007B4728" w:rsidRPr="00B5437C" w:rsidRDefault="007B4728" w:rsidP="007B4728">
            <w:pPr>
              <w:spacing w:after="0" w:line="240" w:lineRule="auto"/>
              <w:outlineLvl w:val="0"/>
              <w:rPr>
                <w:rFonts w:ascii="Arial" w:hAnsi="Arial" w:cs="Arial"/>
                <w:sz w:val="20"/>
                <w:szCs w:val="20"/>
              </w:rPr>
            </w:pPr>
            <w:r w:rsidRPr="00B5437C">
              <w:rPr>
                <w:rFonts w:ascii="Arial" w:hAnsi="Arial" w:cs="Arial"/>
                <w:sz w:val="20"/>
                <w:szCs w:val="20"/>
              </w:rPr>
              <w:t>Primary:</w:t>
            </w:r>
          </w:p>
          <w:p w:rsidR="007B4728" w:rsidRPr="00B5437C" w:rsidRDefault="007B4728" w:rsidP="007B4728">
            <w:pPr>
              <w:spacing w:after="0" w:line="240" w:lineRule="auto"/>
              <w:outlineLvl w:val="0"/>
              <w:rPr>
                <w:rFonts w:ascii="Arial" w:hAnsi="Arial" w:cs="Arial"/>
                <w:sz w:val="20"/>
                <w:szCs w:val="20"/>
              </w:rPr>
            </w:pPr>
            <w:r w:rsidRPr="00B5437C">
              <w:rPr>
                <w:rFonts w:ascii="Arial" w:hAnsi="Arial" w:cs="Arial"/>
                <w:sz w:val="20"/>
                <w:szCs w:val="20"/>
              </w:rPr>
              <w:t>Current, average, worst and least pain scores normalized to a 100-point scale</w:t>
            </w:r>
          </w:p>
          <w:p w:rsidR="007B4728" w:rsidRPr="00B5437C" w:rsidRDefault="007B4728" w:rsidP="007B4728">
            <w:pPr>
              <w:spacing w:after="0" w:line="240" w:lineRule="auto"/>
              <w:outlineLvl w:val="0"/>
              <w:rPr>
                <w:rFonts w:ascii="Arial" w:hAnsi="Arial" w:cs="Arial"/>
                <w:sz w:val="20"/>
                <w:szCs w:val="20"/>
              </w:rPr>
            </w:pPr>
          </w:p>
          <w:p w:rsidR="007B4728" w:rsidRPr="00B5437C" w:rsidRDefault="007B4728" w:rsidP="007B4728">
            <w:pPr>
              <w:spacing w:after="0" w:line="240" w:lineRule="auto"/>
              <w:outlineLvl w:val="0"/>
              <w:rPr>
                <w:rFonts w:ascii="Arial" w:hAnsi="Arial" w:cs="Arial"/>
                <w:sz w:val="20"/>
                <w:szCs w:val="20"/>
              </w:rPr>
            </w:pPr>
            <w:r w:rsidRPr="00B5437C">
              <w:rPr>
                <w:rFonts w:ascii="Arial" w:hAnsi="Arial" w:cs="Arial"/>
                <w:sz w:val="20"/>
                <w:szCs w:val="20"/>
              </w:rPr>
              <w:t>Secondary:</w:t>
            </w:r>
          </w:p>
          <w:p w:rsidR="00352E38" w:rsidRPr="002F74AF" w:rsidRDefault="007B4728" w:rsidP="007B4728">
            <w:pPr>
              <w:spacing w:after="0" w:line="240" w:lineRule="auto"/>
              <w:rPr>
                <w:rFonts w:ascii="Arial" w:hAnsi="Arial" w:cs="Arial"/>
                <w:sz w:val="20"/>
                <w:szCs w:val="20"/>
              </w:rPr>
            </w:pPr>
            <w:r w:rsidRPr="00B5437C">
              <w:rPr>
                <w:rFonts w:ascii="Arial" w:hAnsi="Arial" w:cs="Arial"/>
                <w:sz w:val="20"/>
                <w:szCs w:val="20"/>
              </w:rPr>
              <w:t>Patients rated global assessment of study medication and adverse events</w:t>
            </w:r>
          </w:p>
        </w:tc>
        <w:tc>
          <w:tcPr>
            <w:tcW w:w="6390" w:type="dxa"/>
          </w:tcPr>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Primary:</w:t>
            </w: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 xml:space="preserve">Of the 80 patients who were entered into the ES, 26 patients completed 52 weeks, seven patients discontinued </w:t>
            </w:r>
            <w:r w:rsidR="00593CEB">
              <w:rPr>
                <w:rFonts w:ascii="Arial" w:hAnsi="Arial" w:cs="Arial"/>
                <w:sz w:val="20"/>
                <w:szCs w:val="20"/>
              </w:rPr>
              <w:t xml:space="preserve">due to a stated </w:t>
            </w:r>
            <w:r w:rsidRPr="00B5437C">
              <w:rPr>
                <w:rFonts w:ascii="Arial" w:hAnsi="Arial" w:cs="Arial"/>
                <w:sz w:val="20"/>
                <w:szCs w:val="20"/>
              </w:rPr>
              <w:t xml:space="preserve">loss of effectiveness, and 20 patients discontinued owing to adverse events (most unrelated to the study drug). </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N</w:t>
            </w:r>
            <w:r w:rsidR="00681AB5">
              <w:rPr>
                <w:rFonts w:ascii="Arial" w:hAnsi="Arial" w:cs="Arial"/>
                <w:sz w:val="20"/>
                <w:szCs w:val="20"/>
              </w:rPr>
              <w:t xml:space="preserve">o significant increase in mean SD average pain intensity </w:t>
            </w:r>
            <w:r w:rsidRPr="00B5437C">
              <w:rPr>
                <w:rFonts w:ascii="Arial" w:hAnsi="Arial" w:cs="Arial"/>
                <w:sz w:val="20"/>
                <w:szCs w:val="20"/>
              </w:rPr>
              <w:t>was observed from baseline (30.5 [19.6], 100-point scale) to final visit (35.9 [21.1]; P=0.37).</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Secondary:</w:t>
            </w: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 xml:space="preserve">The most common adverse events were concomitant disease progression (28.8%; n=23), nausea (22.5%; n=18), dyspnea (16.3%; n=13), fatigue (16.3%; n=13) and edema of the lower limb (15%; n=12). </w:t>
            </w:r>
          </w:p>
          <w:p w:rsidR="007B4728" w:rsidRPr="00B5437C" w:rsidRDefault="007B4728" w:rsidP="007B4728">
            <w:pPr>
              <w:spacing w:after="0" w:line="240" w:lineRule="auto"/>
              <w:rPr>
                <w:rFonts w:ascii="Arial" w:hAnsi="Arial" w:cs="Arial"/>
                <w:sz w:val="20"/>
                <w:szCs w:val="20"/>
              </w:rPr>
            </w:pPr>
          </w:p>
          <w:p w:rsidR="00352E38" w:rsidRDefault="007B4728" w:rsidP="00D83513">
            <w:pPr>
              <w:spacing w:after="0" w:line="240" w:lineRule="auto"/>
              <w:rPr>
                <w:rFonts w:ascii="Arial" w:hAnsi="Arial" w:cs="Arial"/>
                <w:sz w:val="20"/>
                <w:szCs w:val="20"/>
              </w:rPr>
            </w:pPr>
            <w:r w:rsidRPr="00B5437C">
              <w:rPr>
                <w:rFonts w:ascii="Arial" w:hAnsi="Arial" w:cs="Arial"/>
                <w:sz w:val="20"/>
                <w:szCs w:val="20"/>
              </w:rPr>
              <w:t>Patient rated global assessment of study medication was</w:t>
            </w:r>
            <w:r w:rsidR="00681AB5">
              <w:rPr>
                <w:rFonts w:ascii="Arial" w:hAnsi="Arial" w:cs="Arial"/>
                <w:sz w:val="20"/>
                <w:szCs w:val="20"/>
              </w:rPr>
              <w:t xml:space="preserve"> not reported in the abstract. </w:t>
            </w:r>
          </w:p>
        </w:tc>
      </w:tr>
      <w:tr w:rsidR="003E6965" w:rsidRPr="002F74AF" w:rsidTr="003E6965">
        <w:tc>
          <w:tcPr>
            <w:tcW w:w="13820" w:type="dxa"/>
            <w:gridSpan w:val="5"/>
            <w:shd w:val="clear" w:color="auto" w:fill="BFBFBF" w:themeFill="background1" w:themeFillShade="BF"/>
          </w:tcPr>
          <w:p w:rsidR="003E6965" w:rsidRPr="003E6965" w:rsidRDefault="003E6965" w:rsidP="007B4728">
            <w:pPr>
              <w:spacing w:after="0" w:line="240" w:lineRule="auto"/>
              <w:rPr>
                <w:rFonts w:ascii="Arial" w:hAnsi="Arial" w:cs="Arial"/>
                <w:b/>
                <w:sz w:val="20"/>
                <w:szCs w:val="20"/>
              </w:rPr>
            </w:pPr>
            <w:r w:rsidRPr="003E6965">
              <w:rPr>
                <w:rFonts w:ascii="Arial" w:hAnsi="Arial" w:cs="Arial"/>
                <w:b/>
                <w:sz w:val="20"/>
                <w:szCs w:val="20"/>
              </w:rPr>
              <w:t>Osteoarthritis Pain</w:t>
            </w:r>
          </w:p>
        </w:tc>
      </w:tr>
      <w:tr w:rsidR="007B4728" w:rsidRPr="002F74AF" w:rsidTr="00466D74">
        <w:tc>
          <w:tcPr>
            <w:tcW w:w="1940" w:type="dxa"/>
          </w:tcPr>
          <w:p w:rsidR="007B4728" w:rsidRPr="00B5437C" w:rsidRDefault="007B4728" w:rsidP="007B4728">
            <w:pPr>
              <w:spacing w:after="0" w:line="240" w:lineRule="auto"/>
              <w:rPr>
                <w:rFonts w:ascii="Arial" w:hAnsi="Arial" w:cs="Arial"/>
                <w:sz w:val="20"/>
                <w:szCs w:val="20"/>
                <w:vertAlign w:val="superscript"/>
              </w:rPr>
            </w:pPr>
            <w:proofErr w:type="spellStart"/>
            <w:r w:rsidRPr="001D19C0">
              <w:rPr>
                <w:rFonts w:ascii="Arial" w:hAnsi="Arial" w:cs="Arial"/>
                <w:sz w:val="20"/>
                <w:szCs w:val="20"/>
              </w:rPr>
              <w:t>Kivitz</w:t>
            </w:r>
            <w:proofErr w:type="spellEnd"/>
            <w:r w:rsidRPr="001D19C0">
              <w:rPr>
                <w:rFonts w:ascii="Arial" w:hAnsi="Arial" w:cs="Arial"/>
                <w:sz w:val="20"/>
                <w:szCs w:val="20"/>
              </w:rPr>
              <w:t xml:space="preserve"> et al</w:t>
            </w:r>
            <w:r w:rsidR="00A30C6F" w:rsidRPr="001D19C0">
              <w:rPr>
                <w:rFonts w:ascii="Arial" w:hAnsi="Arial" w:cs="Arial"/>
                <w:sz w:val="20"/>
                <w:szCs w:val="20"/>
                <w:vertAlign w:val="superscript"/>
              </w:rPr>
              <w:t>7</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 xml:space="preserve">Oxymorphone ER 10 mg </w:t>
            </w:r>
            <w:r w:rsidR="007C627C">
              <w:rPr>
                <w:rFonts w:ascii="Arial" w:hAnsi="Arial" w:cs="Arial"/>
                <w:sz w:val="20"/>
                <w:szCs w:val="20"/>
              </w:rPr>
              <w:t xml:space="preserve">Q12H </w:t>
            </w:r>
            <w:r w:rsidRPr="00B5437C">
              <w:rPr>
                <w:rFonts w:ascii="Arial" w:hAnsi="Arial" w:cs="Arial"/>
                <w:sz w:val="20"/>
                <w:szCs w:val="20"/>
              </w:rPr>
              <w:t xml:space="preserve">for </w:t>
            </w:r>
            <w:r w:rsidR="007C627C">
              <w:rPr>
                <w:rFonts w:ascii="Arial" w:hAnsi="Arial" w:cs="Arial"/>
                <w:sz w:val="20"/>
                <w:szCs w:val="20"/>
              </w:rPr>
              <w:t>two</w:t>
            </w:r>
            <w:r w:rsidRPr="00B5437C">
              <w:rPr>
                <w:rFonts w:ascii="Arial" w:hAnsi="Arial" w:cs="Arial"/>
                <w:sz w:val="20"/>
                <w:szCs w:val="20"/>
              </w:rPr>
              <w:t xml:space="preserve"> weeks</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vs</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 xml:space="preserve">oxymorphone ER 20 mg </w:t>
            </w:r>
            <w:r w:rsidR="007C627C">
              <w:rPr>
                <w:rFonts w:ascii="Arial" w:hAnsi="Arial" w:cs="Arial"/>
                <w:sz w:val="20"/>
                <w:szCs w:val="20"/>
              </w:rPr>
              <w:t xml:space="preserve">Q12H </w:t>
            </w:r>
            <w:r w:rsidRPr="00B5437C">
              <w:rPr>
                <w:rFonts w:ascii="Arial" w:hAnsi="Arial" w:cs="Arial"/>
                <w:sz w:val="20"/>
                <w:szCs w:val="20"/>
              </w:rPr>
              <w:t xml:space="preserve">for </w:t>
            </w:r>
            <w:r w:rsidR="007C627C">
              <w:rPr>
                <w:rFonts w:ascii="Arial" w:hAnsi="Arial" w:cs="Arial"/>
                <w:sz w:val="20"/>
                <w:szCs w:val="20"/>
              </w:rPr>
              <w:t>one</w:t>
            </w:r>
            <w:r w:rsidRPr="00B5437C">
              <w:rPr>
                <w:rFonts w:ascii="Arial" w:hAnsi="Arial" w:cs="Arial"/>
                <w:sz w:val="20"/>
                <w:szCs w:val="20"/>
              </w:rPr>
              <w:t xml:space="preserve"> week, followed by oxymorphone ER 40 mg </w:t>
            </w:r>
            <w:r w:rsidR="007C627C">
              <w:rPr>
                <w:rFonts w:ascii="Arial" w:hAnsi="Arial" w:cs="Arial"/>
                <w:sz w:val="20"/>
                <w:szCs w:val="20"/>
              </w:rPr>
              <w:t>Q12H for one</w:t>
            </w:r>
            <w:r w:rsidRPr="00B5437C">
              <w:rPr>
                <w:rFonts w:ascii="Arial" w:hAnsi="Arial" w:cs="Arial"/>
                <w:sz w:val="20"/>
                <w:szCs w:val="20"/>
              </w:rPr>
              <w:t xml:space="preserve"> week</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vs</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 xml:space="preserve">oxymorphone ER 20 mg </w:t>
            </w:r>
            <w:r w:rsidR="007C627C">
              <w:rPr>
                <w:rFonts w:ascii="Arial" w:hAnsi="Arial" w:cs="Arial"/>
                <w:sz w:val="20"/>
                <w:szCs w:val="20"/>
              </w:rPr>
              <w:t>Q12H</w:t>
            </w:r>
            <w:r w:rsidRPr="00B5437C">
              <w:rPr>
                <w:rFonts w:ascii="Arial" w:hAnsi="Arial" w:cs="Arial"/>
                <w:sz w:val="20"/>
                <w:szCs w:val="20"/>
              </w:rPr>
              <w:t xml:space="preserve"> for </w:t>
            </w:r>
            <w:r w:rsidR="007C627C">
              <w:rPr>
                <w:rFonts w:ascii="Arial" w:hAnsi="Arial" w:cs="Arial"/>
                <w:sz w:val="20"/>
                <w:szCs w:val="20"/>
              </w:rPr>
              <w:t>one</w:t>
            </w:r>
            <w:r w:rsidRPr="00B5437C">
              <w:rPr>
                <w:rFonts w:ascii="Arial" w:hAnsi="Arial" w:cs="Arial"/>
                <w:sz w:val="20"/>
                <w:szCs w:val="20"/>
              </w:rPr>
              <w:t xml:space="preserve"> week, followed by oxymorphone ER 50 mg </w:t>
            </w:r>
            <w:r w:rsidR="007C627C">
              <w:rPr>
                <w:rFonts w:ascii="Arial" w:hAnsi="Arial" w:cs="Arial"/>
                <w:sz w:val="20"/>
                <w:szCs w:val="20"/>
              </w:rPr>
              <w:t>Q12H for one</w:t>
            </w:r>
            <w:r w:rsidRPr="00B5437C">
              <w:rPr>
                <w:rFonts w:ascii="Arial" w:hAnsi="Arial" w:cs="Arial"/>
                <w:sz w:val="20"/>
                <w:szCs w:val="20"/>
              </w:rPr>
              <w:t xml:space="preserve"> week</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vs</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placebo</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p>
        </w:tc>
        <w:tc>
          <w:tcPr>
            <w:tcW w:w="2070" w:type="dxa"/>
          </w:tcPr>
          <w:p w:rsidR="007B4728" w:rsidRPr="00B5437C" w:rsidRDefault="007C627C" w:rsidP="007B4728">
            <w:pPr>
              <w:spacing w:after="0" w:line="240" w:lineRule="auto"/>
              <w:rPr>
                <w:rFonts w:ascii="Arial" w:hAnsi="Arial" w:cs="Arial"/>
                <w:sz w:val="20"/>
                <w:szCs w:val="20"/>
              </w:rPr>
            </w:pPr>
            <w:r>
              <w:rPr>
                <w:rFonts w:ascii="Arial" w:hAnsi="Arial" w:cs="Arial"/>
                <w:sz w:val="20"/>
                <w:szCs w:val="20"/>
              </w:rPr>
              <w:lastRenderedPageBreak/>
              <w:t>DB, DR, MC, PC</w:t>
            </w:r>
            <w:r w:rsidR="007B4728" w:rsidRPr="00B5437C">
              <w:rPr>
                <w:rFonts w:ascii="Arial" w:hAnsi="Arial" w:cs="Arial"/>
                <w:sz w:val="20"/>
                <w:szCs w:val="20"/>
              </w:rPr>
              <w:t xml:space="preserve">, </w:t>
            </w:r>
            <w:r w:rsidR="007B4728" w:rsidRPr="00B5437C">
              <w:rPr>
                <w:rFonts w:ascii="Arial" w:hAnsi="Arial" w:cs="Arial"/>
                <w:sz w:val="20"/>
                <w:szCs w:val="20"/>
              </w:rPr>
              <w:lastRenderedPageBreak/>
              <w:t>RCT</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Patients ≥</w:t>
            </w:r>
            <w:r w:rsidR="007C627C">
              <w:rPr>
                <w:rFonts w:ascii="Arial" w:hAnsi="Arial" w:cs="Arial"/>
                <w:sz w:val="20"/>
                <w:szCs w:val="20"/>
              </w:rPr>
              <w:t xml:space="preserve"> </w:t>
            </w:r>
            <w:r w:rsidRPr="00B5437C">
              <w:rPr>
                <w:rFonts w:ascii="Arial" w:hAnsi="Arial" w:cs="Arial"/>
                <w:sz w:val="20"/>
                <w:szCs w:val="20"/>
              </w:rPr>
              <w:t>18 years of age with OA (defined by the presence of typical knee or hip joint symptoms [pain, stiffness, and disability] and signs [bony crepitus], and radiographic evidence of OA [grade II-IV in the index joint on the Kellgren-Lawrence scale]); who are regularly taking acetaminophen, NSAIDs or opioid analgesics for 90 days before the screening visit with suboptimal analgesic response</w:t>
            </w:r>
          </w:p>
        </w:tc>
        <w:tc>
          <w:tcPr>
            <w:tcW w:w="1440" w:type="dxa"/>
          </w:tcPr>
          <w:p w:rsidR="007B4728" w:rsidRPr="00B5437C" w:rsidRDefault="007B4728" w:rsidP="007B4728">
            <w:pPr>
              <w:spacing w:after="0" w:line="240" w:lineRule="auto"/>
              <w:jc w:val="center"/>
              <w:rPr>
                <w:rFonts w:ascii="Arial" w:hAnsi="Arial" w:cs="Arial"/>
                <w:sz w:val="20"/>
                <w:szCs w:val="20"/>
              </w:rPr>
            </w:pPr>
            <w:r w:rsidRPr="00B5437C">
              <w:rPr>
                <w:rFonts w:ascii="Arial" w:hAnsi="Arial" w:cs="Arial"/>
                <w:sz w:val="20"/>
                <w:szCs w:val="20"/>
              </w:rPr>
              <w:lastRenderedPageBreak/>
              <w:t>N=370</w:t>
            </w:r>
          </w:p>
          <w:p w:rsidR="007B4728" w:rsidRPr="00B5437C" w:rsidRDefault="007B4728" w:rsidP="007B4728">
            <w:pPr>
              <w:spacing w:after="0" w:line="240" w:lineRule="auto"/>
              <w:jc w:val="center"/>
              <w:rPr>
                <w:rFonts w:ascii="Arial" w:hAnsi="Arial" w:cs="Arial"/>
                <w:sz w:val="20"/>
                <w:szCs w:val="20"/>
              </w:rPr>
            </w:pPr>
          </w:p>
          <w:p w:rsidR="007B4728" w:rsidRDefault="007B4728" w:rsidP="007B4728">
            <w:pPr>
              <w:spacing w:after="0" w:line="240" w:lineRule="auto"/>
              <w:jc w:val="center"/>
              <w:rPr>
                <w:rFonts w:ascii="Arial" w:hAnsi="Arial" w:cs="Arial"/>
                <w:sz w:val="20"/>
                <w:szCs w:val="20"/>
              </w:rPr>
            </w:pPr>
            <w:r w:rsidRPr="00B5437C">
              <w:rPr>
                <w:rFonts w:ascii="Arial" w:hAnsi="Arial" w:cs="Arial"/>
                <w:sz w:val="20"/>
                <w:szCs w:val="20"/>
              </w:rPr>
              <w:t>2 weeks</w:t>
            </w:r>
          </w:p>
          <w:p w:rsidR="007B4728" w:rsidRPr="007B4728" w:rsidRDefault="007B4728" w:rsidP="007B4728">
            <w:pPr>
              <w:jc w:val="center"/>
              <w:rPr>
                <w:rFonts w:ascii="Arial" w:hAnsi="Arial" w:cs="Arial"/>
                <w:sz w:val="20"/>
                <w:szCs w:val="20"/>
              </w:rPr>
            </w:pPr>
          </w:p>
        </w:tc>
        <w:tc>
          <w:tcPr>
            <w:tcW w:w="1980" w:type="dxa"/>
          </w:tcPr>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lastRenderedPageBreak/>
              <w:t>Primary:</w:t>
            </w:r>
          </w:p>
          <w:p w:rsidR="007B4728" w:rsidRPr="00B5437C" w:rsidRDefault="007C627C" w:rsidP="007B4728">
            <w:pPr>
              <w:spacing w:after="0" w:line="240" w:lineRule="auto"/>
              <w:rPr>
                <w:rFonts w:ascii="Arial" w:hAnsi="Arial" w:cs="Arial"/>
                <w:sz w:val="20"/>
                <w:szCs w:val="20"/>
              </w:rPr>
            </w:pPr>
            <w:r>
              <w:rPr>
                <w:rFonts w:ascii="Arial" w:hAnsi="Arial" w:cs="Arial"/>
                <w:sz w:val="20"/>
                <w:szCs w:val="20"/>
              </w:rPr>
              <w:lastRenderedPageBreak/>
              <w:t>Mean change in arthritis pain intensity</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Secondary:</w:t>
            </w:r>
          </w:p>
          <w:p w:rsidR="007B4728" w:rsidRPr="00B5437C" w:rsidRDefault="007B4728" w:rsidP="007B4728">
            <w:pPr>
              <w:spacing w:after="0" w:line="240" w:lineRule="auto"/>
              <w:outlineLvl w:val="0"/>
              <w:rPr>
                <w:rFonts w:ascii="Arial" w:hAnsi="Arial" w:cs="Arial"/>
                <w:sz w:val="20"/>
                <w:szCs w:val="20"/>
              </w:rPr>
            </w:pPr>
            <w:r w:rsidRPr="00B5437C">
              <w:rPr>
                <w:rFonts w:ascii="Arial" w:hAnsi="Arial" w:cs="Arial"/>
                <w:sz w:val="20"/>
                <w:szCs w:val="20"/>
              </w:rPr>
              <w:t>Change in pain, stiffness, and physical function subscales of WOMAC OA index and WOMAC composite index; SF-36 quality of life, CPSI and tolerability</w:t>
            </w:r>
          </w:p>
        </w:tc>
        <w:tc>
          <w:tcPr>
            <w:tcW w:w="6390" w:type="dxa"/>
          </w:tcPr>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lastRenderedPageBreak/>
              <w:t>Primary:</w:t>
            </w: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lastRenderedPageBreak/>
              <w:t xml:space="preserve">In the ITT population, the </w:t>
            </w:r>
            <w:r w:rsidR="005C2D88">
              <w:rPr>
                <w:rFonts w:ascii="Arial" w:hAnsi="Arial" w:cs="Arial"/>
                <w:sz w:val="20"/>
                <w:szCs w:val="20"/>
              </w:rPr>
              <w:t>LS</w:t>
            </w:r>
            <w:r w:rsidR="00BB038F">
              <w:rPr>
                <w:rFonts w:ascii="Arial" w:hAnsi="Arial" w:cs="Arial"/>
                <w:sz w:val="20"/>
                <w:szCs w:val="20"/>
              </w:rPr>
              <w:t xml:space="preserve"> mean change in arthritis pain intensity</w:t>
            </w:r>
            <w:r w:rsidRPr="00B5437C">
              <w:rPr>
                <w:rFonts w:ascii="Arial" w:hAnsi="Arial" w:cs="Arial"/>
                <w:sz w:val="20"/>
                <w:szCs w:val="20"/>
              </w:rPr>
              <w:t xml:space="preserve"> from baseline to the final visit, as measured on the 100-mm VAS, were -21, -28, -29 and -17 mm for oxymorphone </w:t>
            </w:r>
            <w:r w:rsidR="00BB038F">
              <w:rPr>
                <w:rFonts w:ascii="Arial" w:hAnsi="Arial" w:cs="Arial"/>
                <w:sz w:val="20"/>
                <w:szCs w:val="20"/>
              </w:rPr>
              <w:t xml:space="preserve">ER </w:t>
            </w:r>
            <w:r w:rsidRPr="00B5437C">
              <w:rPr>
                <w:rFonts w:ascii="Arial" w:hAnsi="Arial" w:cs="Arial"/>
                <w:sz w:val="20"/>
                <w:szCs w:val="20"/>
              </w:rPr>
              <w:t>10, 40 and 50 mg; and placebo, respectively</w:t>
            </w:r>
            <w:r w:rsidR="00BB038F">
              <w:rPr>
                <w:rFonts w:ascii="Arial" w:hAnsi="Arial" w:cs="Arial"/>
                <w:sz w:val="20"/>
                <w:szCs w:val="20"/>
              </w:rPr>
              <w:t xml:space="preserve"> (P=0.002)</w:t>
            </w:r>
            <w:r w:rsidRPr="00B5437C">
              <w:rPr>
                <w:rFonts w:ascii="Arial" w:hAnsi="Arial" w:cs="Arial"/>
                <w:sz w:val="20"/>
                <w:szCs w:val="20"/>
              </w:rPr>
              <w:t xml:space="preserve">. The </w:t>
            </w:r>
            <w:r w:rsidR="005C2D88">
              <w:rPr>
                <w:rFonts w:ascii="Arial" w:hAnsi="Arial" w:cs="Arial"/>
                <w:sz w:val="20"/>
                <w:szCs w:val="20"/>
              </w:rPr>
              <w:t>LS</w:t>
            </w:r>
            <w:r w:rsidRPr="00B5437C">
              <w:rPr>
                <w:rFonts w:ascii="Arial" w:hAnsi="Arial" w:cs="Arial"/>
                <w:sz w:val="20"/>
                <w:szCs w:val="20"/>
              </w:rPr>
              <w:t xml:space="preserve"> mean differences in change from baseline compared to placebo were -4.3 (95% CI, -12.8 to -4.3; P value not significant), -11.1 (95% CI, -19.7 to -2.5; P=0.012) and -12.2 (95% CI, -20.9 to -3.5; P=0.006) for </w:t>
            </w:r>
            <w:r w:rsidR="00BB038F">
              <w:rPr>
                <w:rFonts w:ascii="Arial" w:hAnsi="Arial" w:cs="Arial"/>
                <w:sz w:val="20"/>
                <w:szCs w:val="20"/>
              </w:rPr>
              <w:t xml:space="preserve">the </w:t>
            </w:r>
            <w:r w:rsidRPr="00B5437C">
              <w:rPr>
                <w:rFonts w:ascii="Arial" w:hAnsi="Arial" w:cs="Arial"/>
                <w:sz w:val="20"/>
                <w:szCs w:val="20"/>
              </w:rPr>
              <w:t xml:space="preserve">oxymorphone </w:t>
            </w:r>
            <w:r w:rsidR="00BB038F">
              <w:rPr>
                <w:rFonts w:ascii="Arial" w:hAnsi="Arial" w:cs="Arial"/>
                <w:sz w:val="20"/>
                <w:szCs w:val="20"/>
              </w:rPr>
              <w:t xml:space="preserve">ER </w:t>
            </w:r>
            <w:r w:rsidRPr="00B5437C">
              <w:rPr>
                <w:rFonts w:ascii="Arial" w:hAnsi="Arial" w:cs="Arial"/>
                <w:sz w:val="20"/>
                <w:szCs w:val="20"/>
              </w:rPr>
              <w:t>10, 40 and 50 mg</w:t>
            </w:r>
            <w:r w:rsidR="00BB038F">
              <w:rPr>
                <w:rFonts w:ascii="Arial" w:hAnsi="Arial" w:cs="Arial"/>
                <w:sz w:val="20"/>
                <w:szCs w:val="20"/>
              </w:rPr>
              <w:t xml:space="preserve"> doses</w:t>
            </w:r>
            <w:r w:rsidRPr="00B5437C">
              <w:rPr>
                <w:rFonts w:ascii="Arial" w:hAnsi="Arial" w:cs="Arial"/>
                <w:sz w:val="20"/>
                <w:szCs w:val="20"/>
              </w:rPr>
              <w:t xml:space="preserve">, respectively. Compared to placebo, arthritis </w:t>
            </w:r>
            <w:r w:rsidR="00BB038F">
              <w:rPr>
                <w:rFonts w:ascii="Arial" w:hAnsi="Arial" w:cs="Arial"/>
                <w:sz w:val="20"/>
                <w:szCs w:val="20"/>
              </w:rPr>
              <w:t>pain intensity</w:t>
            </w:r>
            <w:r w:rsidRPr="00B5437C">
              <w:rPr>
                <w:rFonts w:ascii="Arial" w:hAnsi="Arial" w:cs="Arial"/>
                <w:sz w:val="20"/>
                <w:szCs w:val="20"/>
              </w:rPr>
              <w:t xml:space="preserve"> scores were improved by 62.8% and 70.9% after treatment with oxymorphone </w:t>
            </w:r>
            <w:r w:rsidR="00BB038F">
              <w:rPr>
                <w:rFonts w:ascii="Arial" w:hAnsi="Arial" w:cs="Arial"/>
                <w:sz w:val="20"/>
                <w:szCs w:val="20"/>
              </w:rPr>
              <w:t xml:space="preserve">ER </w:t>
            </w:r>
            <w:r w:rsidRPr="00B5437C">
              <w:rPr>
                <w:rFonts w:ascii="Arial" w:hAnsi="Arial" w:cs="Arial"/>
                <w:sz w:val="20"/>
                <w:szCs w:val="20"/>
              </w:rPr>
              <w:t xml:space="preserve">40 or 50 mg </w:t>
            </w:r>
            <w:r w:rsidR="00BB038F">
              <w:rPr>
                <w:rFonts w:ascii="Arial" w:hAnsi="Arial" w:cs="Arial"/>
                <w:sz w:val="20"/>
                <w:szCs w:val="20"/>
              </w:rPr>
              <w:t>Q12H</w:t>
            </w:r>
            <w:r w:rsidRPr="00B5437C">
              <w:rPr>
                <w:rFonts w:ascii="Arial" w:hAnsi="Arial" w:cs="Arial"/>
                <w:sz w:val="20"/>
                <w:szCs w:val="20"/>
              </w:rPr>
              <w:t>, respectively (P=0.012 and P=0.006).</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Secondary:</w:t>
            </w: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 xml:space="preserve">Overall, improvements in WOMAC scores were two- to three-fold greater in oxymorphone </w:t>
            </w:r>
            <w:r w:rsidR="00BB038F">
              <w:rPr>
                <w:rFonts w:ascii="Arial" w:hAnsi="Arial" w:cs="Arial"/>
                <w:sz w:val="20"/>
                <w:szCs w:val="20"/>
              </w:rPr>
              <w:t xml:space="preserve">ER groups </w:t>
            </w:r>
            <w:r w:rsidRPr="00B5437C">
              <w:rPr>
                <w:rFonts w:ascii="Arial" w:hAnsi="Arial" w:cs="Arial"/>
                <w:sz w:val="20"/>
                <w:szCs w:val="20"/>
              </w:rPr>
              <w:t xml:space="preserve">compared to placebo. From baseline to the final visit, two-fold greater decreases in WOMAC pain subscale scores were found in all three oxymorphone </w:t>
            </w:r>
            <w:r w:rsidR="00BB038F">
              <w:rPr>
                <w:rFonts w:ascii="Arial" w:hAnsi="Arial" w:cs="Arial"/>
                <w:sz w:val="20"/>
                <w:szCs w:val="20"/>
              </w:rPr>
              <w:t xml:space="preserve">ER </w:t>
            </w:r>
            <w:r w:rsidRPr="00B5437C">
              <w:rPr>
                <w:rFonts w:ascii="Arial" w:hAnsi="Arial" w:cs="Arial"/>
                <w:sz w:val="20"/>
                <w:szCs w:val="20"/>
              </w:rPr>
              <w:t>groups compared to the placebo group (P</w:t>
            </w:r>
            <w:r w:rsidR="001D19C0">
              <w:rPr>
                <w:rFonts w:ascii="Arial" w:hAnsi="Arial" w:cs="Arial"/>
                <w:sz w:val="20"/>
                <w:szCs w:val="20"/>
              </w:rPr>
              <w:t>≤</w:t>
            </w:r>
            <w:r w:rsidRPr="00B5437C">
              <w:rPr>
                <w:rFonts w:ascii="Arial" w:hAnsi="Arial" w:cs="Arial"/>
                <w:sz w:val="20"/>
                <w:szCs w:val="20"/>
              </w:rPr>
              <w:t xml:space="preserve">0.025). Improvements in WOMAC physical function subscale scores also were significantly greater for each of the oxymorphone </w:t>
            </w:r>
            <w:r w:rsidR="00BB038F">
              <w:rPr>
                <w:rFonts w:ascii="Arial" w:hAnsi="Arial" w:cs="Arial"/>
                <w:sz w:val="20"/>
                <w:szCs w:val="20"/>
              </w:rPr>
              <w:t xml:space="preserve">ER </w:t>
            </w:r>
            <w:r w:rsidRPr="00B5437C">
              <w:rPr>
                <w:rFonts w:ascii="Arial" w:hAnsi="Arial" w:cs="Arial"/>
                <w:sz w:val="20"/>
                <w:szCs w:val="20"/>
              </w:rPr>
              <w:t>groups compared to the placebo group (P</w:t>
            </w:r>
            <w:r w:rsidR="001D19C0">
              <w:rPr>
                <w:rFonts w:ascii="Arial" w:hAnsi="Arial" w:cs="Arial"/>
                <w:sz w:val="20"/>
                <w:szCs w:val="20"/>
              </w:rPr>
              <w:t>≤</w:t>
            </w:r>
            <w:r w:rsidRPr="00B5437C">
              <w:rPr>
                <w:rFonts w:ascii="Arial" w:hAnsi="Arial" w:cs="Arial"/>
                <w:sz w:val="20"/>
                <w:szCs w:val="20"/>
              </w:rPr>
              <w:t xml:space="preserve">0.025). Improvements in the WOMAC stiffness subscale score were significant compared to placebo only for the oxymorphone </w:t>
            </w:r>
            <w:r w:rsidR="00BB038F">
              <w:rPr>
                <w:rFonts w:ascii="Arial" w:hAnsi="Arial" w:cs="Arial"/>
                <w:sz w:val="20"/>
                <w:szCs w:val="20"/>
              </w:rPr>
              <w:t xml:space="preserve">ER </w:t>
            </w:r>
            <w:r w:rsidRPr="00B5437C">
              <w:rPr>
                <w:rFonts w:ascii="Arial" w:hAnsi="Arial" w:cs="Arial"/>
                <w:sz w:val="20"/>
                <w:szCs w:val="20"/>
              </w:rPr>
              <w:t>40 and 50 mg groups (P</w:t>
            </w:r>
            <w:r w:rsidR="001D19C0">
              <w:rPr>
                <w:rFonts w:ascii="Arial" w:hAnsi="Arial" w:cs="Arial"/>
                <w:sz w:val="20"/>
                <w:szCs w:val="20"/>
              </w:rPr>
              <w:t>≤</w:t>
            </w:r>
            <w:r w:rsidRPr="00B5437C">
              <w:rPr>
                <w:rFonts w:ascii="Arial" w:hAnsi="Arial" w:cs="Arial"/>
                <w:sz w:val="20"/>
                <w:szCs w:val="20"/>
              </w:rPr>
              <w:t xml:space="preserve">0.001). With respect to the WOMAC composite index, pairwise comparisons of the placebo group with each of the oxymorphone groups found significantly greater improvements in each oxymorphone </w:t>
            </w:r>
            <w:r w:rsidR="005A2733">
              <w:rPr>
                <w:rFonts w:ascii="Arial" w:hAnsi="Arial" w:cs="Arial"/>
                <w:sz w:val="20"/>
                <w:szCs w:val="20"/>
              </w:rPr>
              <w:t xml:space="preserve">ER </w:t>
            </w:r>
            <w:r w:rsidRPr="00B5437C">
              <w:rPr>
                <w:rFonts w:ascii="Arial" w:hAnsi="Arial" w:cs="Arial"/>
                <w:sz w:val="20"/>
                <w:szCs w:val="20"/>
              </w:rPr>
              <w:t>group (P</w:t>
            </w:r>
            <w:r w:rsidR="001D19C0">
              <w:rPr>
                <w:rFonts w:ascii="Arial" w:hAnsi="Arial" w:cs="Arial"/>
                <w:sz w:val="20"/>
                <w:szCs w:val="20"/>
              </w:rPr>
              <w:t>≤</w:t>
            </w:r>
            <w:r w:rsidRPr="00B5437C">
              <w:rPr>
                <w:rFonts w:ascii="Arial" w:hAnsi="Arial" w:cs="Arial"/>
                <w:sz w:val="20"/>
                <w:szCs w:val="20"/>
              </w:rPr>
              <w:t>0.025).</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All patients who received oxymorphone</w:t>
            </w:r>
            <w:r w:rsidR="005A2733">
              <w:rPr>
                <w:rFonts w:ascii="Arial" w:hAnsi="Arial" w:cs="Arial"/>
                <w:sz w:val="20"/>
                <w:szCs w:val="20"/>
              </w:rPr>
              <w:t xml:space="preserve"> ER</w:t>
            </w:r>
            <w:r w:rsidRPr="00B5437C">
              <w:rPr>
                <w:rFonts w:ascii="Arial" w:hAnsi="Arial" w:cs="Arial"/>
                <w:sz w:val="20"/>
                <w:szCs w:val="20"/>
              </w:rPr>
              <w:t xml:space="preserve">, irrespective of the dose, had significant improvements in the SF-36 quality of life score compared to placebo. The changes from baseline were 3.9, 4.6, 3.6 and -0.1 points with oxymorphone </w:t>
            </w:r>
            <w:r w:rsidR="005A2733">
              <w:rPr>
                <w:rFonts w:ascii="Arial" w:hAnsi="Arial" w:cs="Arial"/>
                <w:sz w:val="20"/>
                <w:szCs w:val="20"/>
              </w:rPr>
              <w:t xml:space="preserve">ER </w:t>
            </w:r>
            <w:r w:rsidRPr="00B5437C">
              <w:rPr>
                <w:rFonts w:ascii="Arial" w:hAnsi="Arial" w:cs="Arial"/>
                <w:sz w:val="20"/>
                <w:szCs w:val="20"/>
              </w:rPr>
              <w:t>10, 40 and 50 mg; and placebo, respectively (P&lt;0.001).</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 xml:space="preserve">Improvements in the CPSI scores for overall sleep quality were two-fold greater in patients who received oxymorphone </w:t>
            </w:r>
            <w:r w:rsidR="005A2733">
              <w:rPr>
                <w:rFonts w:ascii="Arial" w:hAnsi="Arial" w:cs="Arial"/>
                <w:sz w:val="20"/>
                <w:szCs w:val="20"/>
              </w:rPr>
              <w:t xml:space="preserve">ER </w:t>
            </w:r>
            <w:r w:rsidRPr="00B5437C">
              <w:rPr>
                <w:rFonts w:ascii="Arial" w:hAnsi="Arial" w:cs="Arial"/>
                <w:sz w:val="20"/>
                <w:szCs w:val="20"/>
              </w:rPr>
              <w:t xml:space="preserve">40 and 50 mg </w:t>
            </w:r>
            <w:r w:rsidRPr="00B5437C">
              <w:rPr>
                <w:rFonts w:ascii="Arial" w:hAnsi="Arial" w:cs="Arial"/>
                <w:sz w:val="20"/>
                <w:szCs w:val="20"/>
              </w:rPr>
              <w:lastRenderedPageBreak/>
              <w:t>than in the placebo group (P</w:t>
            </w:r>
            <w:r w:rsidR="001D19C0">
              <w:rPr>
                <w:rFonts w:ascii="Arial" w:hAnsi="Arial" w:cs="Arial"/>
                <w:sz w:val="20"/>
                <w:szCs w:val="20"/>
              </w:rPr>
              <w:t>≤</w:t>
            </w:r>
            <w:r w:rsidRPr="00B5437C">
              <w:rPr>
                <w:rFonts w:ascii="Arial" w:hAnsi="Arial" w:cs="Arial"/>
                <w:sz w:val="20"/>
                <w:szCs w:val="20"/>
              </w:rPr>
              <w:t>0.05).</w:t>
            </w:r>
          </w:p>
          <w:p w:rsidR="007B4728" w:rsidRPr="00B5437C" w:rsidRDefault="007B4728" w:rsidP="007B4728">
            <w:pPr>
              <w:spacing w:after="0" w:line="240" w:lineRule="auto"/>
              <w:rPr>
                <w:rFonts w:ascii="Arial" w:hAnsi="Arial" w:cs="Arial"/>
                <w:sz w:val="20"/>
                <w:szCs w:val="20"/>
              </w:rPr>
            </w:pPr>
          </w:p>
          <w:p w:rsidR="007B4728" w:rsidRPr="00B5437C" w:rsidRDefault="007B4728" w:rsidP="007B4728">
            <w:pPr>
              <w:spacing w:after="0" w:line="240" w:lineRule="auto"/>
              <w:rPr>
                <w:rFonts w:ascii="Arial" w:hAnsi="Arial" w:cs="Arial"/>
                <w:sz w:val="20"/>
                <w:szCs w:val="20"/>
              </w:rPr>
            </w:pPr>
            <w:r w:rsidRPr="00B5437C">
              <w:rPr>
                <w:rFonts w:ascii="Arial" w:hAnsi="Arial" w:cs="Arial"/>
                <w:sz w:val="20"/>
                <w:szCs w:val="20"/>
              </w:rPr>
              <w:t xml:space="preserve">The most frequently reported adverse event in the oxymorphone </w:t>
            </w:r>
            <w:r w:rsidR="005A2733">
              <w:rPr>
                <w:rFonts w:ascii="Arial" w:hAnsi="Arial" w:cs="Arial"/>
                <w:sz w:val="20"/>
                <w:szCs w:val="20"/>
              </w:rPr>
              <w:t xml:space="preserve">ER </w:t>
            </w:r>
            <w:r w:rsidRPr="00B5437C">
              <w:rPr>
                <w:rFonts w:ascii="Arial" w:hAnsi="Arial" w:cs="Arial"/>
                <w:sz w:val="20"/>
                <w:szCs w:val="20"/>
              </w:rPr>
              <w:t>groups were nausea (39.4%), vomiting (23.7%), dizziness (22.6%), constipation (22.2%), somnolence (17.6%), pruritus</w:t>
            </w:r>
            <w:r>
              <w:rPr>
                <w:rFonts w:ascii="Arial" w:hAnsi="Arial" w:cs="Arial"/>
                <w:sz w:val="20"/>
                <w:szCs w:val="20"/>
              </w:rPr>
              <w:t xml:space="preserve"> (16.5%) and headache (14.7%).</w:t>
            </w:r>
          </w:p>
        </w:tc>
      </w:tr>
    </w:tbl>
    <w:p w:rsidR="005A2733" w:rsidRDefault="005A2733" w:rsidP="005921EF">
      <w:pPr>
        <w:spacing w:after="0" w:line="240" w:lineRule="auto"/>
        <w:ind w:left="-770"/>
        <w:rPr>
          <w:rFonts w:ascii="Arial" w:hAnsi="Arial" w:cs="Arial"/>
          <w:color w:val="000000"/>
          <w:sz w:val="16"/>
          <w:szCs w:val="16"/>
        </w:rPr>
      </w:pPr>
      <w:r>
        <w:rPr>
          <w:rFonts w:ascii="Arial" w:hAnsi="Arial" w:cs="Arial"/>
          <w:color w:val="000000"/>
          <w:sz w:val="16"/>
          <w:szCs w:val="16"/>
        </w:rPr>
        <w:lastRenderedPageBreak/>
        <w:t>Drug regimen abbreviation: Q12H=every 12 hours</w:t>
      </w:r>
    </w:p>
    <w:p w:rsidR="00D83513" w:rsidRPr="005A2733" w:rsidRDefault="00D83513" w:rsidP="005A2733">
      <w:pPr>
        <w:spacing w:after="0" w:line="240" w:lineRule="auto"/>
        <w:ind w:left="-770"/>
        <w:rPr>
          <w:rFonts w:ascii="Arial" w:hAnsi="Arial" w:cs="Arial"/>
          <w:color w:val="000000"/>
          <w:sz w:val="16"/>
          <w:szCs w:val="16"/>
        </w:rPr>
        <w:sectPr w:rsidR="00D83513" w:rsidRPr="005A2733" w:rsidSect="00162B15">
          <w:footerReference w:type="default" r:id="rId15"/>
          <w:pgSz w:w="15840" w:h="12240" w:orient="landscape" w:code="1"/>
          <w:pgMar w:top="1440" w:right="1440" w:bottom="1440" w:left="1440" w:header="720" w:footer="720" w:gutter="0"/>
          <w:cols w:space="720"/>
          <w:docGrid w:linePitch="360"/>
        </w:sectPr>
      </w:pPr>
      <w:r w:rsidRPr="0044122B">
        <w:rPr>
          <w:rFonts w:ascii="Arial" w:hAnsi="Arial" w:cs="Arial"/>
          <w:color w:val="000000"/>
          <w:sz w:val="16"/>
          <w:szCs w:val="16"/>
        </w:rPr>
        <w:t>Study abbreviations:</w:t>
      </w:r>
      <w:r w:rsidR="00A6477E">
        <w:rPr>
          <w:rFonts w:ascii="Arial" w:hAnsi="Arial" w:cs="Arial"/>
          <w:color w:val="000000"/>
          <w:sz w:val="16"/>
          <w:szCs w:val="16"/>
        </w:rPr>
        <w:t xml:space="preserve"> </w:t>
      </w:r>
      <w:r w:rsidR="005921EF" w:rsidRPr="0044122B">
        <w:rPr>
          <w:rFonts w:ascii="Arial" w:hAnsi="Arial" w:cs="Arial"/>
          <w:color w:val="000000"/>
          <w:sz w:val="16"/>
          <w:szCs w:val="16"/>
        </w:rPr>
        <w:t>AC</w:t>
      </w:r>
      <w:r w:rsidR="005921EF" w:rsidRPr="0044122B">
        <w:rPr>
          <w:rFonts w:ascii="Arial" w:hAnsi="Arial" w:cs="Arial"/>
          <w:i/>
          <w:color w:val="000000"/>
          <w:sz w:val="16"/>
          <w:szCs w:val="16"/>
        </w:rPr>
        <w:t>=</w:t>
      </w:r>
      <w:r w:rsidR="005921EF" w:rsidRPr="0044122B">
        <w:rPr>
          <w:rFonts w:ascii="Arial" w:hAnsi="Arial" w:cs="Arial"/>
          <w:color w:val="000000"/>
          <w:sz w:val="16"/>
          <w:szCs w:val="16"/>
        </w:rPr>
        <w:t xml:space="preserve">active-controlled, </w:t>
      </w:r>
      <w:r w:rsidR="00C05220">
        <w:rPr>
          <w:rFonts w:ascii="Arial" w:hAnsi="Arial" w:cs="Arial"/>
          <w:sz w:val="16"/>
          <w:szCs w:val="16"/>
        </w:rPr>
        <w:t xml:space="preserve">ATC=around-the-clock, </w:t>
      </w:r>
      <w:r w:rsidR="00FF18FA">
        <w:rPr>
          <w:rFonts w:ascii="Arial" w:hAnsi="Arial" w:cs="Arial"/>
          <w:sz w:val="16"/>
          <w:szCs w:val="16"/>
        </w:rPr>
        <w:t xml:space="preserve">BPI=Brief Pain Inventory, </w:t>
      </w:r>
      <w:r w:rsidR="00BB038F">
        <w:rPr>
          <w:rFonts w:ascii="Arial" w:hAnsi="Arial" w:cs="Arial"/>
          <w:color w:val="000000"/>
          <w:sz w:val="16"/>
          <w:szCs w:val="16"/>
        </w:rPr>
        <w:t>CI=confidence interval</w:t>
      </w:r>
      <w:r w:rsidR="002F13C8">
        <w:rPr>
          <w:rFonts w:ascii="Arial" w:hAnsi="Arial" w:cs="Arial"/>
          <w:sz w:val="16"/>
          <w:szCs w:val="16"/>
        </w:rPr>
        <w:t xml:space="preserve">, </w:t>
      </w:r>
      <w:r w:rsidR="00BB038F" w:rsidRPr="00630CB0">
        <w:rPr>
          <w:rFonts w:ascii="Arial" w:hAnsi="Arial" w:cs="Arial"/>
          <w:sz w:val="16"/>
          <w:szCs w:val="20"/>
        </w:rPr>
        <w:t>CPSI=Chronic Pain Sleep Inventory</w:t>
      </w:r>
      <w:r w:rsidR="00BB038F">
        <w:rPr>
          <w:rFonts w:ascii="Arial" w:hAnsi="Arial" w:cs="Arial"/>
          <w:sz w:val="16"/>
          <w:szCs w:val="16"/>
        </w:rPr>
        <w:t xml:space="preserve">, </w:t>
      </w:r>
      <w:r w:rsidR="00681AB5">
        <w:rPr>
          <w:rFonts w:ascii="Arial" w:hAnsi="Arial" w:cs="Arial"/>
          <w:sz w:val="16"/>
          <w:szCs w:val="16"/>
        </w:rPr>
        <w:t xml:space="preserve">CR=controlled-release, </w:t>
      </w:r>
      <w:r w:rsidR="005921EF" w:rsidRPr="0044122B">
        <w:rPr>
          <w:rFonts w:ascii="Arial" w:hAnsi="Arial" w:cs="Arial"/>
          <w:color w:val="000000"/>
          <w:sz w:val="16"/>
          <w:szCs w:val="16"/>
        </w:rPr>
        <w:t>DB</w:t>
      </w:r>
      <w:r w:rsidR="005921EF" w:rsidRPr="0044122B">
        <w:rPr>
          <w:rFonts w:ascii="Arial" w:hAnsi="Arial" w:cs="Arial"/>
          <w:i/>
          <w:color w:val="000000"/>
          <w:sz w:val="16"/>
          <w:szCs w:val="16"/>
        </w:rPr>
        <w:t>=</w:t>
      </w:r>
      <w:r w:rsidR="005921EF">
        <w:rPr>
          <w:rFonts w:ascii="Arial" w:hAnsi="Arial" w:cs="Arial"/>
          <w:color w:val="000000"/>
          <w:sz w:val="16"/>
          <w:szCs w:val="16"/>
        </w:rPr>
        <w:t>double-blind</w:t>
      </w:r>
      <w:r w:rsidR="005921EF" w:rsidRPr="0044122B">
        <w:rPr>
          <w:rFonts w:ascii="Arial" w:hAnsi="Arial" w:cs="Arial"/>
          <w:color w:val="000000"/>
          <w:sz w:val="16"/>
          <w:szCs w:val="16"/>
        </w:rPr>
        <w:t xml:space="preserve">, </w:t>
      </w:r>
      <w:r w:rsidR="00BB038F">
        <w:rPr>
          <w:rFonts w:ascii="Arial" w:hAnsi="Arial" w:cs="Arial"/>
          <w:color w:val="000000"/>
          <w:sz w:val="16"/>
          <w:szCs w:val="16"/>
        </w:rPr>
        <w:t>DR=dose-ranging</w:t>
      </w:r>
      <w:r w:rsidR="002F13C8">
        <w:rPr>
          <w:rFonts w:ascii="Arial" w:hAnsi="Arial" w:cs="Arial"/>
          <w:sz w:val="16"/>
          <w:szCs w:val="16"/>
        </w:rPr>
        <w:t xml:space="preserve">, </w:t>
      </w:r>
      <w:r w:rsidR="00A6477E">
        <w:rPr>
          <w:rFonts w:ascii="Arial" w:hAnsi="Arial" w:cs="Arial"/>
          <w:sz w:val="16"/>
          <w:szCs w:val="16"/>
        </w:rPr>
        <w:t>ER=extended-release</w:t>
      </w:r>
      <w:r w:rsidR="002E3670">
        <w:rPr>
          <w:rFonts w:ascii="Arial" w:hAnsi="Arial" w:cs="Arial"/>
          <w:sz w:val="16"/>
          <w:szCs w:val="16"/>
        </w:rPr>
        <w:t>,</w:t>
      </w:r>
      <w:r w:rsidR="00505301">
        <w:rPr>
          <w:rFonts w:ascii="Arial" w:hAnsi="Arial" w:cs="Arial"/>
          <w:sz w:val="16"/>
          <w:szCs w:val="16"/>
        </w:rPr>
        <w:t xml:space="preserve"> </w:t>
      </w:r>
      <w:r w:rsidR="00593CEB">
        <w:rPr>
          <w:rFonts w:ascii="Arial" w:hAnsi="Arial" w:cs="Arial"/>
          <w:sz w:val="16"/>
          <w:szCs w:val="16"/>
        </w:rPr>
        <w:t xml:space="preserve">ES=extension study, </w:t>
      </w:r>
      <w:r>
        <w:rPr>
          <w:rFonts w:ascii="Arial" w:hAnsi="Arial" w:cs="Arial"/>
          <w:sz w:val="16"/>
          <w:szCs w:val="16"/>
        </w:rPr>
        <w:t xml:space="preserve">IR=immediate-release, </w:t>
      </w:r>
      <w:r w:rsidR="00047134">
        <w:rPr>
          <w:rFonts w:ascii="Arial" w:hAnsi="Arial" w:cs="Arial"/>
          <w:sz w:val="16"/>
          <w:szCs w:val="16"/>
        </w:rPr>
        <w:t xml:space="preserve">ITT=intent-to-treat, </w:t>
      </w:r>
      <w:r w:rsidR="005921EF" w:rsidRPr="0044122B">
        <w:rPr>
          <w:rFonts w:ascii="Arial" w:hAnsi="Arial" w:cs="Arial"/>
          <w:color w:val="000000"/>
          <w:sz w:val="16"/>
          <w:szCs w:val="16"/>
        </w:rPr>
        <w:t xml:space="preserve">MC=multicenter, </w:t>
      </w:r>
      <w:r w:rsidR="00681AB5">
        <w:rPr>
          <w:rFonts w:ascii="Arial" w:hAnsi="Arial" w:cs="Arial"/>
          <w:color w:val="000000"/>
          <w:sz w:val="16"/>
          <w:szCs w:val="16"/>
        </w:rPr>
        <w:t xml:space="preserve">MD=multi-dose, </w:t>
      </w:r>
      <w:r w:rsidR="007C627C">
        <w:rPr>
          <w:rFonts w:ascii="Arial" w:hAnsi="Arial" w:cs="Arial"/>
          <w:color w:val="000000"/>
          <w:sz w:val="16"/>
          <w:szCs w:val="16"/>
        </w:rPr>
        <w:t xml:space="preserve">NSAIDS=non-steroidal antiinflammatory drugs, </w:t>
      </w:r>
      <w:r w:rsidR="00C05220">
        <w:rPr>
          <w:rFonts w:ascii="Arial" w:hAnsi="Arial" w:cs="Arial"/>
          <w:sz w:val="16"/>
          <w:szCs w:val="16"/>
        </w:rPr>
        <w:t>OA=osteoarthritis,</w:t>
      </w:r>
      <w:r w:rsidR="0064009E">
        <w:rPr>
          <w:rFonts w:ascii="Arial" w:hAnsi="Arial" w:cs="Arial"/>
          <w:sz w:val="16"/>
          <w:szCs w:val="16"/>
        </w:rPr>
        <w:t xml:space="preserve"> </w:t>
      </w:r>
      <w:r w:rsidR="005921EF" w:rsidRPr="0044122B">
        <w:rPr>
          <w:rFonts w:ascii="Arial" w:hAnsi="Arial" w:cs="Arial"/>
          <w:color w:val="000000"/>
          <w:sz w:val="16"/>
          <w:szCs w:val="16"/>
        </w:rPr>
        <w:t>OL</w:t>
      </w:r>
      <w:r w:rsidR="005921EF" w:rsidRPr="0044122B">
        <w:rPr>
          <w:rFonts w:ascii="Arial" w:hAnsi="Arial" w:cs="Arial"/>
          <w:i/>
          <w:color w:val="000000"/>
          <w:sz w:val="16"/>
          <w:szCs w:val="16"/>
        </w:rPr>
        <w:t>=</w:t>
      </w:r>
      <w:r w:rsidR="005921EF" w:rsidRPr="0044122B">
        <w:rPr>
          <w:rFonts w:ascii="Arial" w:hAnsi="Arial" w:cs="Arial"/>
          <w:color w:val="000000"/>
          <w:sz w:val="16"/>
          <w:szCs w:val="16"/>
        </w:rPr>
        <w:t>open-</w:t>
      </w:r>
      <w:r w:rsidR="00BB038F">
        <w:rPr>
          <w:rFonts w:ascii="Arial" w:hAnsi="Arial" w:cs="Arial"/>
          <w:color w:val="000000"/>
          <w:sz w:val="16"/>
          <w:szCs w:val="16"/>
        </w:rPr>
        <w:t>label</w:t>
      </w:r>
      <w:r>
        <w:rPr>
          <w:rFonts w:ascii="Arial" w:hAnsi="Arial" w:cs="Arial"/>
          <w:sz w:val="16"/>
          <w:szCs w:val="16"/>
        </w:rPr>
        <w:t xml:space="preserve">, </w:t>
      </w:r>
      <w:r w:rsidR="005921EF" w:rsidRPr="0044122B">
        <w:rPr>
          <w:rFonts w:ascii="Arial" w:hAnsi="Arial" w:cs="Arial"/>
          <w:color w:val="000000"/>
          <w:sz w:val="16"/>
          <w:szCs w:val="16"/>
        </w:rPr>
        <w:t>PC</w:t>
      </w:r>
      <w:r w:rsidR="005921EF" w:rsidRPr="0044122B">
        <w:rPr>
          <w:rFonts w:ascii="Arial" w:hAnsi="Arial" w:cs="Arial"/>
          <w:i/>
          <w:color w:val="000000"/>
          <w:sz w:val="16"/>
          <w:szCs w:val="16"/>
        </w:rPr>
        <w:t>=</w:t>
      </w:r>
      <w:r w:rsidR="00BB038F">
        <w:rPr>
          <w:rFonts w:ascii="Arial" w:hAnsi="Arial" w:cs="Arial"/>
          <w:color w:val="000000"/>
          <w:sz w:val="16"/>
          <w:szCs w:val="16"/>
        </w:rPr>
        <w:t>placebo-controlled</w:t>
      </w:r>
      <w:r w:rsidR="005921EF">
        <w:rPr>
          <w:rFonts w:ascii="Arial" w:hAnsi="Arial" w:cs="Arial"/>
          <w:sz w:val="16"/>
          <w:szCs w:val="16"/>
        </w:rPr>
        <w:t xml:space="preserve">, </w:t>
      </w:r>
      <w:r w:rsidR="00FF6893">
        <w:rPr>
          <w:rFonts w:ascii="Arial" w:hAnsi="Arial" w:cs="Arial"/>
          <w:sz w:val="16"/>
          <w:szCs w:val="16"/>
        </w:rPr>
        <w:t xml:space="preserve">PCA= patient controlled analgesia, </w:t>
      </w:r>
      <w:r w:rsidR="005921EF" w:rsidRPr="0044122B">
        <w:rPr>
          <w:rFonts w:ascii="Arial" w:hAnsi="Arial" w:cs="Arial"/>
          <w:color w:val="000000"/>
          <w:sz w:val="16"/>
          <w:szCs w:val="16"/>
        </w:rPr>
        <w:t>PG</w:t>
      </w:r>
      <w:r w:rsidR="005921EF" w:rsidRPr="0044122B">
        <w:rPr>
          <w:rFonts w:ascii="Arial" w:hAnsi="Arial" w:cs="Arial"/>
          <w:i/>
          <w:color w:val="000000"/>
          <w:sz w:val="16"/>
          <w:szCs w:val="16"/>
        </w:rPr>
        <w:t>=</w:t>
      </w:r>
      <w:r w:rsidR="005921EF" w:rsidRPr="0044122B">
        <w:rPr>
          <w:rFonts w:ascii="Arial" w:hAnsi="Arial" w:cs="Arial"/>
          <w:color w:val="000000"/>
          <w:sz w:val="16"/>
          <w:szCs w:val="16"/>
        </w:rPr>
        <w:t>parall</w:t>
      </w:r>
      <w:r w:rsidR="005A2733">
        <w:rPr>
          <w:rFonts w:ascii="Arial" w:hAnsi="Arial" w:cs="Arial"/>
          <w:color w:val="000000"/>
          <w:sz w:val="16"/>
          <w:szCs w:val="16"/>
        </w:rPr>
        <w:t>el-group</w:t>
      </w:r>
      <w:r w:rsidR="005A2733">
        <w:rPr>
          <w:rFonts w:ascii="Arial" w:hAnsi="Arial" w:cs="Arial"/>
          <w:sz w:val="16"/>
          <w:szCs w:val="16"/>
        </w:rPr>
        <w:t xml:space="preserve">, </w:t>
      </w:r>
      <w:r w:rsidR="00681AB5">
        <w:rPr>
          <w:rFonts w:ascii="Arial" w:hAnsi="Arial" w:cs="Arial"/>
          <w:sz w:val="16"/>
          <w:szCs w:val="16"/>
        </w:rPr>
        <w:t xml:space="preserve">PRO=prospective, </w:t>
      </w:r>
      <w:r w:rsidR="005921EF" w:rsidRPr="0044122B">
        <w:rPr>
          <w:rFonts w:ascii="Arial" w:hAnsi="Arial" w:cs="Arial"/>
          <w:color w:val="000000"/>
          <w:sz w:val="16"/>
          <w:szCs w:val="16"/>
        </w:rPr>
        <w:t>RCT</w:t>
      </w:r>
      <w:r w:rsidR="005921EF" w:rsidRPr="0044122B">
        <w:rPr>
          <w:rFonts w:ascii="Arial" w:hAnsi="Arial" w:cs="Arial"/>
          <w:i/>
          <w:color w:val="000000"/>
          <w:sz w:val="16"/>
          <w:szCs w:val="16"/>
        </w:rPr>
        <w:t>=</w:t>
      </w:r>
      <w:r w:rsidR="005921EF">
        <w:rPr>
          <w:rFonts w:ascii="Arial" w:hAnsi="Arial" w:cs="Arial"/>
          <w:color w:val="000000"/>
          <w:sz w:val="16"/>
          <w:szCs w:val="16"/>
        </w:rPr>
        <w:t>randomized con</w:t>
      </w:r>
      <w:r w:rsidR="00BB038F">
        <w:rPr>
          <w:rFonts w:ascii="Arial" w:hAnsi="Arial" w:cs="Arial"/>
          <w:color w:val="000000"/>
          <w:sz w:val="16"/>
          <w:szCs w:val="16"/>
        </w:rPr>
        <w:t>trolled trial</w:t>
      </w:r>
      <w:r w:rsidR="00505301">
        <w:rPr>
          <w:rFonts w:ascii="Arial" w:hAnsi="Arial" w:cs="Arial"/>
          <w:color w:val="000000"/>
          <w:sz w:val="16"/>
          <w:szCs w:val="16"/>
        </w:rPr>
        <w:t xml:space="preserve">, </w:t>
      </w:r>
      <w:r w:rsidR="00BB038F">
        <w:rPr>
          <w:rFonts w:ascii="Arial" w:hAnsi="Arial" w:cs="Arial"/>
          <w:sz w:val="16"/>
          <w:szCs w:val="16"/>
        </w:rPr>
        <w:t>SD=standard deviation</w:t>
      </w:r>
      <w:r>
        <w:rPr>
          <w:rFonts w:ascii="Arial" w:hAnsi="Arial" w:cs="Arial"/>
          <w:sz w:val="16"/>
          <w:szCs w:val="16"/>
        </w:rPr>
        <w:t xml:space="preserve">, </w:t>
      </w:r>
      <w:r w:rsidR="00BB038F" w:rsidRPr="00630CB0">
        <w:rPr>
          <w:rFonts w:ascii="Arial" w:hAnsi="Arial" w:cs="Arial"/>
          <w:sz w:val="16"/>
          <w:szCs w:val="20"/>
        </w:rPr>
        <w:t>SF-36=short form 36 health assessment questionnaire</w:t>
      </w:r>
      <w:r w:rsidR="00BB038F">
        <w:rPr>
          <w:rFonts w:ascii="Arial" w:hAnsi="Arial" w:cs="Arial"/>
          <w:sz w:val="16"/>
          <w:szCs w:val="16"/>
        </w:rPr>
        <w:t xml:space="preserve">, </w:t>
      </w:r>
      <w:r w:rsidRPr="00DC3D59">
        <w:rPr>
          <w:rFonts w:ascii="Arial" w:hAnsi="Arial" w:cs="Arial"/>
          <w:sz w:val="16"/>
          <w:szCs w:val="16"/>
        </w:rPr>
        <w:t>TEAE=t</w:t>
      </w:r>
      <w:r w:rsidR="00BB038F">
        <w:rPr>
          <w:rFonts w:ascii="Arial" w:hAnsi="Arial" w:cs="Arial"/>
          <w:sz w:val="16"/>
          <w:szCs w:val="16"/>
        </w:rPr>
        <w:t>reatment-emergent adverse event</w:t>
      </w:r>
      <w:r w:rsidR="00C05220">
        <w:rPr>
          <w:rFonts w:ascii="Arial" w:hAnsi="Arial" w:cs="Arial"/>
          <w:sz w:val="16"/>
          <w:szCs w:val="16"/>
        </w:rPr>
        <w:t>, VAS=visual analog scale</w:t>
      </w:r>
      <w:r w:rsidR="00BB038F">
        <w:rPr>
          <w:rFonts w:ascii="Arial" w:hAnsi="Arial" w:cs="Arial"/>
          <w:sz w:val="16"/>
          <w:szCs w:val="16"/>
        </w:rPr>
        <w:t xml:space="preserve">, </w:t>
      </w:r>
      <w:r w:rsidR="00BB038F" w:rsidRPr="00630CB0">
        <w:rPr>
          <w:rFonts w:ascii="Arial" w:hAnsi="Arial" w:cs="Arial"/>
          <w:sz w:val="16"/>
          <w:szCs w:val="20"/>
        </w:rPr>
        <w:t>WOMAC index=Western Ontario and McMaster Universities Index</w:t>
      </w:r>
    </w:p>
    <w:p w:rsidR="008B0860" w:rsidRPr="0062206A" w:rsidRDefault="008B0860" w:rsidP="0062206A">
      <w:pPr>
        <w:widowControl w:val="0"/>
        <w:tabs>
          <w:tab w:val="left" w:pos="369"/>
        </w:tabs>
        <w:kinsoku w:val="0"/>
        <w:overflowPunct w:val="0"/>
        <w:autoSpaceDE w:val="0"/>
        <w:autoSpaceDN w:val="0"/>
        <w:adjustRightInd w:val="0"/>
        <w:spacing w:after="0" w:line="240" w:lineRule="auto"/>
        <w:rPr>
          <w:rFonts w:ascii="Arial" w:eastAsia="Times New Roman" w:hAnsi="Arial" w:cs="Arial"/>
          <w:b/>
          <w:sz w:val="20"/>
          <w:szCs w:val="20"/>
          <w:u w:val="single"/>
        </w:rPr>
      </w:pPr>
      <w:r w:rsidRPr="005C78A9">
        <w:rPr>
          <w:rFonts w:ascii="Arial" w:eastAsia="Times New Roman" w:hAnsi="Arial" w:cs="Arial"/>
          <w:b/>
          <w:sz w:val="20"/>
          <w:szCs w:val="20"/>
          <w:u w:val="single"/>
        </w:rPr>
        <w:lastRenderedPageBreak/>
        <w:t>Pharmacokinetics</w:t>
      </w:r>
      <w:r w:rsidR="00B37D91" w:rsidRPr="005C78A9">
        <w:rPr>
          <w:rFonts w:ascii="Arial" w:eastAsia="Times New Roman" w:hAnsi="Arial" w:cs="Arial"/>
          <w:b/>
          <w:sz w:val="20"/>
          <w:szCs w:val="20"/>
          <w:u w:val="single"/>
        </w:rPr>
        <w:t>/Pharmacogenomics</w:t>
      </w:r>
    </w:p>
    <w:p w:rsidR="007A4633" w:rsidRDefault="007A4633" w:rsidP="006C507D">
      <w:pPr>
        <w:pStyle w:val="NormalWeb"/>
        <w:spacing w:before="0" w:beforeAutospacing="0" w:after="0" w:afterAutospacing="0"/>
        <w:rPr>
          <w:rStyle w:val="underline"/>
          <w:rFonts w:ascii="Arial" w:hAnsi="Arial" w:cs="Arial"/>
          <w:i/>
          <w:sz w:val="20"/>
          <w:szCs w:val="20"/>
        </w:rPr>
      </w:pPr>
      <w:bookmarkStart w:id="1" w:name="p187083221366300381"/>
      <w:bookmarkEnd w:id="1"/>
    </w:p>
    <w:p w:rsidR="005C78A9" w:rsidRDefault="005C78A9" w:rsidP="006C507D">
      <w:pPr>
        <w:pStyle w:val="NormalWeb"/>
        <w:spacing w:before="0" w:beforeAutospacing="0" w:after="0" w:afterAutospacing="0"/>
        <w:rPr>
          <w:rStyle w:val="underline"/>
          <w:rFonts w:ascii="Arial" w:hAnsi="Arial" w:cs="Arial"/>
          <w:sz w:val="20"/>
          <w:szCs w:val="20"/>
        </w:rPr>
      </w:pPr>
      <w:r>
        <w:rPr>
          <w:rStyle w:val="underline"/>
          <w:rFonts w:ascii="Arial" w:hAnsi="Arial" w:cs="Arial"/>
          <w:i/>
          <w:sz w:val="20"/>
          <w:szCs w:val="20"/>
        </w:rPr>
        <w:t>Absorption</w:t>
      </w:r>
    </w:p>
    <w:p w:rsidR="005C78A9" w:rsidRPr="00A4799A" w:rsidRDefault="006F0049" w:rsidP="006C507D">
      <w:pPr>
        <w:pStyle w:val="NormalWeb"/>
        <w:spacing w:before="0" w:beforeAutospacing="0" w:after="0" w:afterAutospacing="0"/>
        <w:rPr>
          <w:rStyle w:val="underline"/>
          <w:rFonts w:ascii="Arial" w:hAnsi="Arial" w:cs="Arial"/>
          <w:sz w:val="20"/>
          <w:szCs w:val="20"/>
        </w:rPr>
      </w:pPr>
      <w:r>
        <w:rPr>
          <w:rStyle w:val="underline"/>
          <w:rFonts w:ascii="Arial" w:hAnsi="Arial" w:cs="Arial"/>
          <w:sz w:val="20"/>
          <w:szCs w:val="20"/>
        </w:rPr>
        <w:t>The oral bioavailability of oxymorphone is approximately 10%. The range of mean (±SD) elimination half-lives (t</w:t>
      </w:r>
      <w:r>
        <w:rPr>
          <w:rStyle w:val="underline"/>
          <w:rFonts w:ascii="Arial" w:hAnsi="Arial" w:cs="Arial"/>
          <w:sz w:val="20"/>
          <w:szCs w:val="20"/>
          <w:vertAlign w:val="subscript"/>
        </w:rPr>
        <w:t>1/2</w:t>
      </w:r>
      <w:r>
        <w:rPr>
          <w:rStyle w:val="underline"/>
          <w:rFonts w:ascii="Arial" w:hAnsi="Arial" w:cs="Arial"/>
          <w:sz w:val="20"/>
          <w:szCs w:val="20"/>
        </w:rPr>
        <w:t xml:space="preserve">) after single doses of all strengths of </w:t>
      </w:r>
      <w:r w:rsidRPr="006F0049">
        <w:rPr>
          <w:rFonts w:ascii="Arial" w:hAnsi="Arial" w:cs="Arial"/>
          <w:sz w:val="20"/>
          <w:szCs w:val="20"/>
        </w:rPr>
        <w:t>Opana® ER (oxymorphone ER)</w:t>
      </w:r>
      <w:r>
        <w:rPr>
          <w:rFonts w:ascii="Arial" w:hAnsi="Arial" w:cs="Arial"/>
          <w:sz w:val="20"/>
          <w:szCs w:val="20"/>
        </w:rPr>
        <w:t xml:space="preserve"> is from 9.35 hours (±2.94) to 11.30 hours (±10.81). Peak plasma levels (C</w:t>
      </w:r>
      <w:r>
        <w:rPr>
          <w:rFonts w:ascii="Arial" w:hAnsi="Arial" w:cs="Arial"/>
          <w:sz w:val="20"/>
          <w:szCs w:val="20"/>
          <w:vertAlign w:val="subscript"/>
        </w:rPr>
        <w:t>max</w:t>
      </w:r>
      <w:r>
        <w:rPr>
          <w:rFonts w:ascii="Arial" w:hAnsi="Arial" w:cs="Arial"/>
          <w:sz w:val="20"/>
          <w:szCs w:val="20"/>
        </w:rPr>
        <w:t>) and extent of absorption (AUC) are proportional with dose</w:t>
      </w:r>
      <w:r w:rsidR="000037A4">
        <w:rPr>
          <w:rFonts w:ascii="Arial" w:hAnsi="Arial" w:cs="Arial"/>
          <w:sz w:val="20"/>
          <w:szCs w:val="20"/>
        </w:rPr>
        <w:t xml:space="preserve"> for single-dose and steady-state conditions. </w:t>
      </w:r>
      <w:r w:rsidR="000037A4" w:rsidRPr="000037A4">
        <w:rPr>
          <w:rFonts w:ascii="Arial" w:hAnsi="Arial" w:cs="Arial"/>
          <w:sz w:val="20"/>
          <w:szCs w:val="20"/>
          <w:highlight w:val="yellow"/>
        </w:rPr>
        <w:t>The time to peak plasma concentration (T</w:t>
      </w:r>
      <w:r w:rsidR="000037A4" w:rsidRPr="000037A4">
        <w:rPr>
          <w:rFonts w:ascii="Arial" w:hAnsi="Arial" w:cs="Arial"/>
          <w:sz w:val="20"/>
          <w:szCs w:val="20"/>
          <w:highlight w:val="yellow"/>
          <w:vertAlign w:val="subscript"/>
        </w:rPr>
        <w:t>max</w:t>
      </w:r>
      <w:r w:rsidR="000037A4" w:rsidRPr="000037A4">
        <w:rPr>
          <w:rFonts w:ascii="Arial" w:hAnsi="Arial" w:cs="Arial"/>
          <w:sz w:val="20"/>
          <w:szCs w:val="20"/>
          <w:highlight w:val="yellow"/>
        </w:rPr>
        <w:t>) for Opana® ER (oxymorphone ER)</w:t>
      </w:r>
      <w:r w:rsidR="00A4799A">
        <w:rPr>
          <w:rFonts w:ascii="Arial" w:hAnsi="Arial" w:cs="Arial"/>
          <w:sz w:val="20"/>
          <w:szCs w:val="20"/>
          <w:highlight w:val="yellow"/>
        </w:rPr>
        <w:t xml:space="preserve"> was observed to be 1 hour with a C</w:t>
      </w:r>
      <w:r w:rsidR="00A4799A">
        <w:rPr>
          <w:rFonts w:ascii="Arial" w:hAnsi="Arial" w:cs="Arial"/>
          <w:sz w:val="20"/>
          <w:szCs w:val="20"/>
          <w:highlight w:val="yellow"/>
          <w:vertAlign w:val="subscript"/>
        </w:rPr>
        <w:t xml:space="preserve">max </w:t>
      </w:r>
      <w:r w:rsidR="00A4799A">
        <w:rPr>
          <w:rFonts w:ascii="Arial" w:hAnsi="Arial" w:cs="Arial"/>
          <w:sz w:val="20"/>
          <w:szCs w:val="20"/>
          <w:highlight w:val="yellow"/>
        </w:rPr>
        <w:t>of 2.8 ng/mL in fasted subjects compared to a T</w:t>
      </w:r>
      <w:r w:rsidR="00A4799A">
        <w:rPr>
          <w:rFonts w:ascii="Arial" w:hAnsi="Arial" w:cs="Arial"/>
          <w:sz w:val="20"/>
          <w:szCs w:val="20"/>
          <w:highlight w:val="yellow"/>
          <w:vertAlign w:val="subscript"/>
        </w:rPr>
        <w:t>max</w:t>
      </w:r>
      <w:r w:rsidR="00A4799A">
        <w:rPr>
          <w:rFonts w:ascii="Arial" w:hAnsi="Arial" w:cs="Arial"/>
          <w:sz w:val="20"/>
          <w:szCs w:val="20"/>
          <w:highlight w:val="yellow"/>
        </w:rPr>
        <w:t xml:space="preserve"> of 2 hours with a C</w:t>
      </w:r>
      <w:r w:rsidR="00A4799A">
        <w:rPr>
          <w:rFonts w:ascii="Arial" w:hAnsi="Arial" w:cs="Arial"/>
          <w:sz w:val="20"/>
          <w:szCs w:val="20"/>
          <w:highlight w:val="yellow"/>
          <w:vertAlign w:val="subscript"/>
        </w:rPr>
        <w:t>max</w:t>
      </w:r>
      <w:r w:rsidR="00A4799A">
        <w:rPr>
          <w:rFonts w:ascii="Arial" w:hAnsi="Arial" w:cs="Arial"/>
          <w:sz w:val="20"/>
          <w:szCs w:val="20"/>
          <w:highlight w:val="yellow"/>
        </w:rPr>
        <w:t xml:space="preserve"> of 4.25 ng/mL in fed subjects after single doses of a 40 mg tablet</w:t>
      </w:r>
      <w:r w:rsidR="000037A4" w:rsidRPr="000037A4">
        <w:rPr>
          <w:rFonts w:ascii="Arial" w:hAnsi="Arial" w:cs="Arial"/>
          <w:sz w:val="20"/>
          <w:szCs w:val="20"/>
          <w:highlight w:val="yellow"/>
        </w:rPr>
        <w:t>.</w:t>
      </w:r>
      <w:r w:rsidR="00A4799A">
        <w:rPr>
          <w:rFonts w:ascii="Arial" w:hAnsi="Arial" w:cs="Arial"/>
          <w:sz w:val="20"/>
          <w:szCs w:val="20"/>
          <w:highlight w:val="yellow"/>
        </w:rPr>
        <w:t xml:space="preserve"> Due to these observations, the manufacturer recommends dosing at least one hour prior to a meal</w:t>
      </w:r>
      <w:r w:rsidR="000037A4" w:rsidRPr="000037A4">
        <w:rPr>
          <w:rFonts w:ascii="Arial" w:hAnsi="Arial" w:cs="Arial"/>
          <w:sz w:val="20"/>
          <w:szCs w:val="20"/>
          <w:highlight w:val="yellow"/>
        </w:rPr>
        <w:t xml:space="preserve"> </w:t>
      </w:r>
      <w:r w:rsidR="00A4799A">
        <w:rPr>
          <w:rFonts w:ascii="Arial" w:hAnsi="Arial" w:cs="Arial"/>
          <w:sz w:val="20"/>
          <w:szCs w:val="20"/>
          <w:highlight w:val="yellow"/>
        </w:rPr>
        <w:t>or two hours after a meal.</w:t>
      </w:r>
      <w:r w:rsidR="00A4799A">
        <w:rPr>
          <w:rFonts w:ascii="Arial" w:hAnsi="Arial" w:cs="Arial"/>
          <w:sz w:val="20"/>
          <w:szCs w:val="20"/>
          <w:highlight w:val="yellow"/>
          <w:vertAlign w:val="superscript"/>
        </w:rPr>
        <w:t>1</w:t>
      </w:r>
      <w:r w:rsidR="00A4799A">
        <w:rPr>
          <w:rFonts w:ascii="Arial" w:hAnsi="Arial" w:cs="Arial"/>
          <w:sz w:val="20"/>
          <w:szCs w:val="20"/>
          <w:highlight w:val="yellow"/>
        </w:rPr>
        <w:t xml:space="preserve"> </w:t>
      </w:r>
      <w:r w:rsidR="000037A4" w:rsidRPr="000037A4">
        <w:rPr>
          <w:rFonts w:ascii="Arial" w:hAnsi="Arial" w:cs="Arial"/>
          <w:sz w:val="20"/>
          <w:szCs w:val="20"/>
          <w:highlight w:val="yellow"/>
        </w:rPr>
        <w:t>The T</w:t>
      </w:r>
      <w:r w:rsidR="000037A4" w:rsidRPr="000037A4">
        <w:rPr>
          <w:rFonts w:ascii="Arial" w:hAnsi="Arial" w:cs="Arial"/>
          <w:sz w:val="20"/>
          <w:szCs w:val="20"/>
          <w:highlight w:val="yellow"/>
          <w:vertAlign w:val="subscript"/>
        </w:rPr>
        <w:t>max</w:t>
      </w:r>
      <w:r w:rsidR="000037A4" w:rsidRPr="000037A4">
        <w:rPr>
          <w:rFonts w:ascii="Arial" w:hAnsi="Arial" w:cs="Arial"/>
          <w:sz w:val="20"/>
          <w:szCs w:val="20"/>
          <w:highlight w:val="yellow"/>
        </w:rPr>
        <w:t xml:space="preserve"> for Opana® ER (oxymorphone ER) tablets that have been crushed or otherwise tampered with has not been published.</w:t>
      </w:r>
    </w:p>
    <w:p w:rsidR="005C78A9" w:rsidRDefault="005C78A9" w:rsidP="006C507D">
      <w:pPr>
        <w:pStyle w:val="NormalWeb"/>
        <w:spacing w:before="0" w:beforeAutospacing="0" w:after="0" w:afterAutospacing="0"/>
        <w:rPr>
          <w:rStyle w:val="underline"/>
          <w:rFonts w:ascii="Arial" w:hAnsi="Arial" w:cs="Arial"/>
          <w:i/>
          <w:sz w:val="20"/>
          <w:szCs w:val="20"/>
        </w:rPr>
      </w:pPr>
    </w:p>
    <w:p w:rsidR="006C507D" w:rsidRPr="006C507D" w:rsidRDefault="00D672CF" w:rsidP="006C507D">
      <w:pPr>
        <w:pStyle w:val="NormalWeb"/>
        <w:spacing w:before="0" w:beforeAutospacing="0" w:after="0" w:afterAutospacing="0"/>
        <w:rPr>
          <w:rFonts w:ascii="Arial" w:hAnsi="Arial" w:cs="Arial"/>
          <w:i/>
          <w:sz w:val="20"/>
          <w:szCs w:val="20"/>
        </w:rPr>
      </w:pPr>
      <w:r w:rsidRPr="006C507D">
        <w:rPr>
          <w:rStyle w:val="underline"/>
          <w:rFonts w:ascii="Arial" w:hAnsi="Arial" w:cs="Arial"/>
          <w:i/>
          <w:sz w:val="20"/>
          <w:szCs w:val="20"/>
        </w:rPr>
        <w:t>Distribution</w:t>
      </w:r>
      <w:r w:rsidRPr="006C507D">
        <w:rPr>
          <w:rFonts w:ascii="Arial" w:hAnsi="Arial" w:cs="Arial"/>
          <w:i/>
          <w:sz w:val="20"/>
          <w:szCs w:val="20"/>
        </w:rPr>
        <w:t xml:space="preserve"> </w:t>
      </w:r>
      <w:bookmarkStart w:id="2" w:name="p187063221366300384"/>
      <w:bookmarkEnd w:id="2"/>
      <w:r w:rsidR="0062206A" w:rsidRPr="006C507D">
        <w:rPr>
          <w:rFonts w:ascii="Arial" w:hAnsi="Arial" w:cs="Arial"/>
          <w:i/>
          <w:sz w:val="20"/>
          <w:szCs w:val="20"/>
        </w:rPr>
        <w:t xml:space="preserve"> </w:t>
      </w:r>
    </w:p>
    <w:p w:rsidR="00E70CBD" w:rsidRPr="00A30C6F" w:rsidRDefault="00B37D91" w:rsidP="00E70CBD">
      <w:pPr>
        <w:pStyle w:val="NormalWeb"/>
        <w:spacing w:before="0" w:beforeAutospacing="0" w:after="0" w:afterAutospacing="0"/>
        <w:rPr>
          <w:rFonts w:ascii="Arial" w:hAnsi="Arial" w:cs="Arial"/>
          <w:i/>
          <w:sz w:val="20"/>
          <w:szCs w:val="20"/>
          <w:vertAlign w:val="superscript"/>
        </w:rPr>
      </w:pPr>
      <w:r w:rsidRPr="00B37D91">
        <w:rPr>
          <w:rFonts w:ascii="Arial" w:hAnsi="Arial" w:cs="Arial"/>
          <w:sz w:val="20"/>
          <w:szCs w:val="20"/>
        </w:rPr>
        <w:t>Oxymorphone is not extensively bound to human plasma proteins; binding is in the range of 10% to 12%</w:t>
      </w:r>
      <w:r>
        <w:rPr>
          <w:rFonts w:ascii="Arial" w:hAnsi="Arial" w:cs="Arial"/>
          <w:sz w:val="20"/>
          <w:szCs w:val="20"/>
        </w:rPr>
        <w:t>.</w:t>
      </w:r>
      <w:r w:rsidR="00A30C6F">
        <w:rPr>
          <w:rFonts w:ascii="Arial" w:hAnsi="Arial" w:cs="Arial"/>
          <w:sz w:val="20"/>
          <w:szCs w:val="20"/>
          <w:vertAlign w:val="superscript"/>
        </w:rPr>
        <w:t>1</w:t>
      </w:r>
      <w:proofErr w:type="gramStart"/>
      <w:r w:rsidR="00A30C6F">
        <w:rPr>
          <w:rFonts w:ascii="Arial" w:hAnsi="Arial" w:cs="Arial"/>
          <w:sz w:val="20"/>
          <w:szCs w:val="20"/>
          <w:vertAlign w:val="superscript"/>
        </w:rPr>
        <w:t>,2</w:t>
      </w:r>
      <w:proofErr w:type="gramEnd"/>
    </w:p>
    <w:p w:rsidR="00673A2A" w:rsidRDefault="00673A2A" w:rsidP="00E70CBD">
      <w:pPr>
        <w:pStyle w:val="NormalWeb"/>
        <w:spacing w:before="0" w:beforeAutospacing="0" w:after="0" w:afterAutospacing="0"/>
        <w:rPr>
          <w:rFonts w:ascii="Arial" w:hAnsi="Arial" w:cs="Arial"/>
          <w:i/>
          <w:sz w:val="20"/>
          <w:szCs w:val="20"/>
        </w:rPr>
      </w:pPr>
    </w:p>
    <w:p w:rsidR="005C78A9" w:rsidRPr="006C507D" w:rsidRDefault="005C78A9" w:rsidP="005C78A9">
      <w:pPr>
        <w:pStyle w:val="NormalWeb"/>
        <w:spacing w:before="0" w:beforeAutospacing="0" w:after="0" w:afterAutospacing="0"/>
        <w:rPr>
          <w:rFonts w:ascii="Arial" w:hAnsi="Arial" w:cs="Arial"/>
          <w:i/>
          <w:sz w:val="20"/>
          <w:szCs w:val="20"/>
        </w:rPr>
      </w:pPr>
      <w:r w:rsidRPr="006C507D">
        <w:rPr>
          <w:rFonts w:ascii="Arial" w:hAnsi="Arial" w:cs="Arial"/>
          <w:i/>
          <w:sz w:val="20"/>
          <w:szCs w:val="20"/>
        </w:rPr>
        <w:t xml:space="preserve">Metabolism </w:t>
      </w:r>
    </w:p>
    <w:p w:rsidR="005C78A9" w:rsidRPr="00060FDE" w:rsidRDefault="005C78A9" w:rsidP="005C78A9">
      <w:pPr>
        <w:spacing w:after="0" w:line="240" w:lineRule="auto"/>
        <w:rPr>
          <w:rFonts w:ascii="Arial" w:hAnsi="Arial" w:cs="Arial"/>
          <w:sz w:val="20"/>
          <w:szCs w:val="20"/>
        </w:rPr>
      </w:pPr>
      <w:bookmarkStart w:id="3" w:name="p189767221366300566"/>
      <w:bookmarkEnd w:id="3"/>
      <w:r w:rsidRPr="00060FDE">
        <w:rPr>
          <w:rFonts w:ascii="Arial" w:hAnsi="Arial" w:cs="Arial"/>
          <w:sz w:val="20"/>
          <w:szCs w:val="20"/>
        </w:rPr>
        <w:t xml:space="preserve">Oxymorphone is highly metabolized, principally in the liver, and undergoes reduction or conjugation with glucuronic acid to form both active and inactive metabolites. The two major metabolites of oxymorphone are oxymorphone-3-glucuronide and 6-OH-oxymorphone. The mean plasma </w:t>
      </w:r>
      <w:r>
        <w:rPr>
          <w:rFonts w:ascii="Arial" w:hAnsi="Arial" w:cs="Arial"/>
          <w:sz w:val="20"/>
          <w:szCs w:val="20"/>
        </w:rPr>
        <w:t>area under the curve (AUC)</w:t>
      </w:r>
      <w:r w:rsidRPr="00060FDE">
        <w:rPr>
          <w:rFonts w:ascii="Arial" w:hAnsi="Arial" w:cs="Arial"/>
          <w:sz w:val="20"/>
          <w:szCs w:val="20"/>
        </w:rPr>
        <w:t xml:space="preserve"> for oxymorphone-3-glucuronide is approximately 90-fold higher than the parent compound. The pharmacologic activity of the glucuronide metabolite has not been evaluated. 6-OH-oxymorphone has been shown in animal studies to have analgesic bioactivity. The mean plasma 6-OH-oxymorphone AUC is approximately 70% of the oxymorphone AUC following single oral doses, but is essentially equivalent to the parent compound at steady-state.</w:t>
      </w:r>
      <w:r w:rsidRPr="00A30C6F">
        <w:rPr>
          <w:rFonts w:ascii="Arial" w:hAnsi="Arial" w:cs="Arial"/>
          <w:sz w:val="20"/>
          <w:szCs w:val="20"/>
          <w:vertAlign w:val="superscript"/>
        </w:rPr>
        <w:t xml:space="preserve"> </w:t>
      </w:r>
      <w:r>
        <w:rPr>
          <w:rFonts w:ascii="Arial" w:hAnsi="Arial" w:cs="Arial"/>
          <w:sz w:val="20"/>
          <w:szCs w:val="20"/>
          <w:vertAlign w:val="superscript"/>
        </w:rPr>
        <w:t>1</w:t>
      </w:r>
      <w:proofErr w:type="gramStart"/>
      <w:r>
        <w:rPr>
          <w:rFonts w:ascii="Arial" w:hAnsi="Arial" w:cs="Arial"/>
          <w:sz w:val="20"/>
          <w:szCs w:val="20"/>
          <w:vertAlign w:val="superscript"/>
        </w:rPr>
        <w:t>,2</w:t>
      </w:r>
      <w:proofErr w:type="gramEnd"/>
    </w:p>
    <w:p w:rsidR="005C78A9" w:rsidRDefault="005C78A9" w:rsidP="00E70CBD">
      <w:pPr>
        <w:pStyle w:val="NormalWeb"/>
        <w:spacing w:before="0" w:beforeAutospacing="0" w:after="0" w:afterAutospacing="0"/>
        <w:rPr>
          <w:rFonts w:ascii="Arial" w:hAnsi="Arial" w:cs="Arial"/>
          <w:i/>
          <w:sz w:val="20"/>
          <w:szCs w:val="20"/>
        </w:rPr>
      </w:pPr>
    </w:p>
    <w:p w:rsidR="00192D81" w:rsidRDefault="00192D81" w:rsidP="00E70CBD">
      <w:pPr>
        <w:pStyle w:val="NormalWeb"/>
        <w:spacing w:before="0" w:beforeAutospacing="0" w:after="0" w:afterAutospacing="0"/>
        <w:rPr>
          <w:rFonts w:ascii="Arial" w:hAnsi="Arial" w:cs="Arial"/>
          <w:i/>
          <w:sz w:val="20"/>
          <w:szCs w:val="20"/>
        </w:rPr>
      </w:pPr>
      <w:r>
        <w:rPr>
          <w:rFonts w:ascii="Arial" w:hAnsi="Arial" w:cs="Arial"/>
          <w:i/>
          <w:sz w:val="20"/>
          <w:szCs w:val="20"/>
        </w:rPr>
        <w:t>Excretion</w:t>
      </w:r>
    </w:p>
    <w:p w:rsidR="00192D81" w:rsidRDefault="00673A2A" w:rsidP="00192D81">
      <w:pPr>
        <w:pStyle w:val="NormalWeb"/>
        <w:spacing w:before="0" w:beforeAutospacing="0" w:after="0" w:afterAutospacing="0"/>
        <w:rPr>
          <w:rFonts w:ascii="Arial" w:hAnsi="Arial" w:cs="Arial"/>
          <w:sz w:val="20"/>
          <w:szCs w:val="20"/>
        </w:rPr>
      </w:pPr>
      <w:r w:rsidRPr="00673A2A">
        <w:rPr>
          <w:rFonts w:ascii="Arial" w:hAnsi="Arial" w:cs="Arial"/>
          <w:sz w:val="20"/>
          <w:szCs w:val="20"/>
        </w:rPr>
        <w:t>Because oxymorphone is extensively metabolized, &lt;1% of the administered dose is excreted unchanged in the urine. On average, 33% to 38% of the administered dose is excreted in the urine as oxymorphone-3-glucuronide and less than 1% excreted as 6-OH-oxymorphone in subjects with normal hepatic and renal function.</w:t>
      </w:r>
      <w:r w:rsidR="00A30C6F" w:rsidRPr="00A30C6F">
        <w:rPr>
          <w:rFonts w:ascii="Arial" w:hAnsi="Arial" w:cs="Arial"/>
          <w:sz w:val="20"/>
          <w:szCs w:val="20"/>
          <w:vertAlign w:val="superscript"/>
        </w:rPr>
        <w:t xml:space="preserve"> </w:t>
      </w:r>
      <w:r w:rsidR="00A30C6F">
        <w:rPr>
          <w:rFonts w:ascii="Arial" w:hAnsi="Arial" w:cs="Arial"/>
          <w:sz w:val="20"/>
          <w:szCs w:val="20"/>
          <w:vertAlign w:val="superscript"/>
        </w:rPr>
        <w:t>1</w:t>
      </w:r>
      <w:proofErr w:type="gramStart"/>
      <w:r w:rsidR="00A30C6F">
        <w:rPr>
          <w:rFonts w:ascii="Arial" w:hAnsi="Arial" w:cs="Arial"/>
          <w:sz w:val="20"/>
          <w:szCs w:val="20"/>
          <w:vertAlign w:val="superscript"/>
        </w:rPr>
        <w:t>,2</w:t>
      </w:r>
      <w:proofErr w:type="gramEnd"/>
      <w:r w:rsidRPr="00673A2A">
        <w:rPr>
          <w:rFonts w:ascii="Arial" w:hAnsi="Arial" w:cs="Arial"/>
          <w:sz w:val="20"/>
          <w:szCs w:val="20"/>
        </w:rPr>
        <w:t xml:space="preserve"> </w:t>
      </w:r>
    </w:p>
    <w:p w:rsidR="00060FDE" w:rsidRPr="00192D81" w:rsidRDefault="00060FDE" w:rsidP="00192D81">
      <w:pPr>
        <w:pStyle w:val="NormalWeb"/>
        <w:spacing w:before="0" w:beforeAutospacing="0" w:after="0" w:afterAutospacing="0"/>
        <w:rPr>
          <w:rFonts w:ascii="Arial" w:hAnsi="Arial" w:cs="Arial"/>
          <w:sz w:val="20"/>
          <w:szCs w:val="20"/>
        </w:rPr>
      </w:pPr>
    </w:p>
    <w:p w:rsidR="00250342" w:rsidRDefault="00E139EB" w:rsidP="00192D81">
      <w:pPr>
        <w:pStyle w:val="CommentText"/>
        <w:spacing w:after="0" w:line="240" w:lineRule="auto"/>
        <w:rPr>
          <w:rFonts w:ascii="Arial" w:hAnsi="Arial" w:cs="Arial"/>
        </w:rPr>
      </w:pPr>
      <w:r>
        <w:rPr>
          <w:rFonts w:ascii="Arial" w:hAnsi="Arial" w:cs="Arial"/>
        </w:rPr>
        <w:t>There are no pharmacogenomics data reported for Opana</w:t>
      </w:r>
      <w:r>
        <w:rPr>
          <w:rFonts w:cs="Arial"/>
        </w:rPr>
        <w:t>®</w:t>
      </w:r>
      <w:r>
        <w:rPr>
          <w:rFonts w:ascii="Arial" w:hAnsi="Arial" w:cs="Arial"/>
        </w:rPr>
        <w:t xml:space="preserve"> ER (</w:t>
      </w:r>
      <w:r w:rsidRPr="00FF18FA">
        <w:rPr>
          <w:rFonts w:ascii="Arial" w:hAnsi="Arial" w:cs="Arial"/>
        </w:rPr>
        <w:t>oxymorphone ER</w:t>
      </w:r>
      <w:r>
        <w:rPr>
          <w:rFonts w:ascii="Arial" w:hAnsi="Arial" w:cs="Arial"/>
        </w:rPr>
        <w:t>).</w:t>
      </w:r>
    </w:p>
    <w:p w:rsidR="007A4633" w:rsidRDefault="007A4633" w:rsidP="0050546F">
      <w:pPr>
        <w:widowControl w:val="0"/>
        <w:tabs>
          <w:tab w:val="left" w:pos="369"/>
        </w:tabs>
        <w:kinsoku w:val="0"/>
        <w:overflowPunct w:val="0"/>
        <w:autoSpaceDE w:val="0"/>
        <w:autoSpaceDN w:val="0"/>
        <w:adjustRightInd w:val="0"/>
        <w:spacing w:after="0" w:line="240" w:lineRule="auto"/>
        <w:rPr>
          <w:rFonts w:ascii="Arial" w:eastAsia="Times New Roman" w:hAnsi="Arial" w:cs="Arial"/>
          <w:b/>
          <w:sz w:val="20"/>
          <w:szCs w:val="20"/>
          <w:u w:val="single"/>
        </w:rPr>
      </w:pPr>
    </w:p>
    <w:p w:rsidR="0050546F" w:rsidRPr="000E4958" w:rsidRDefault="0050546F" w:rsidP="0050546F">
      <w:pPr>
        <w:widowControl w:val="0"/>
        <w:tabs>
          <w:tab w:val="left" w:pos="369"/>
        </w:tabs>
        <w:kinsoku w:val="0"/>
        <w:overflowPunct w:val="0"/>
        <w:autoSpaceDE w:val="0"/>
        <w:autoSpaceDN w:val="0"/>
        <w:adjustRightInd w:val="0"/>
        <w:spacing w:after="0" w:line="240" w:lineRule="auto"/>
        <w:rPr>
          <w:rFonts w:ascii="Arial" w:eastAsia="Times New Roman" w:hAnsi="Arial" w:cs="Arial"/>
          <w:b/>
          <w:sz w:val="20"/>
          <w:szCs w:val="20"/>
          <w:u w:val="single"/>
          <w:vertAlign w:val="superscript"/>
        </w:rPr>
      </w:pPr>
      <w:r w:rsidRPr="0062206A">
        <w:rPr>
          <w:rFonts w:ascii="Arial" w:eastAsia="Times New Roman" w:hAnsi="Arial" w:cs="Arial"/>
          <w:b/>
          <w:sz w:val="20"/>
          <w:szCs w:val="20"/>
          <w:u w:val="single"/>
        </w:rPr>
        <w:t>Special Populations</w:t>
      </w:r>
    </w:p>
    <w:p w:rsidR="0050546F" w:rsidRPr="0062206A" w:rsidRDefault="0050546F" w:rsidP="0050546F">
      <w:pPr>
        <w:widowControl w:val="0"/>
        <w:tabs>
          <w:tab w:val="left" w:pos="369"/>
        </w:tabs>
        <w:kinsoku w:val="0"/>
        <w:overflowPunct w:val="0"/>
        <w:autoSpaceDE w:val="0"/>
        <w:autoSpaceDN w:val="0"/>
        <w:adjustRightInd w:val="0"/>
        <w:spacing w:after="0" w:line="240" w:lineRule="auto"/>
        <w:rPr>
          <w:rFonts w:ascii="Arial" w:eastAsia="Times New Roman" w:hAnsi="Arial" w:cs="Arial"/>
          <w:b/>
          <w:sz w:val="20"/>
          <w:szCs w:val="20"/>
          <w:u w:val="single"/>
        </w:rPr>
      </w:pPr>
    </w:p>
    <w:p w:rsidR="0050546F" w:rsidRPr="008B0860" w:rsidRDefault="0050546F" w:rsidP="0050546F">
      <w:pPr>
        <w:spacing w:after="0" w:line="240" w:lineRule="auto"/>
        <w:ind w:left="-550" w:firstLine="550"/>
        <w:rPr>
          <w:rFonts w:ascii="Arial" w:hAnsi="Arial" w:cs="Arial"/>
          <w:b/>
          <w:sz w:val="20"/>
          <w:szCs w:val="20"/>
        </w:rPr>
      </w:pPr>
      <w:r w:rsidRPr="008B0860">
        <w:rPr>
          <w:rFonts w:ascii="Arial" w:hAnsi="Arial" w:cs="Arial"/>
          <w:b/>
          <w:sz w:val="20"/>
          <w:szCs w:val="20"/>
        </w:rPr>
        <w:t xml:space="preserve">Table </w:t>
      </w:r>
      <w:r w:rsidR="00E139EB">
        <w:rPr>
          <w:rFonts w:ascii="Arial" w:hAnsi="Arial" w:cs="Arial"/>
          <w:b/>
          <w:sz w:val="20"/>
          <w:szCs w:val="20"/>
        </w:rPr>
        <w:t>3</w:t>
      </w:r>
      <w:r w:rsidRPr="008B0860">
        <w:rPr>
          <w:rFonts w:ascii="Arial" w:hAnsi="Arial" w:cs="Arial"/>
          <w:b/>
          <w:sz w:val="20"/>
          <w:szCs w:val="20"/>
        </w:rPr>
        <w:t>. Special Populations</w:t>
      </w:r>
      <w:r w:rsidR="001D19C0" w:rsidRPr="00FA290C">
        <w:rPr>
          <w:rFonts w:ascii="Arial" w:hAnsi="Arial" w:cs="Arial"/>
          <w:b/>
          <w:sz w:val="20"/>
          <w:szCs w:val="20"/>
          <w:vertAlign w:val="superscript"/>
        </w:rPr>
        <w:t>1</w:t>
      </w:r>
    </w:p>
    <w:tbl>
      <w:tblPr>
        <w:tblW w:w="9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gridCol w:w="7840"/>
      </w:tblGrid>
      <w:tr w:rsidR="000E4958" w:rsidRPr="000E4958" w:rsidTr="005C2D88">
        <w:tc>
          <w:tcPr>
            <w:tcW w:w="1620" w:type="dxa"/>
            <w:shd w:val="clear" w:color="auto" w:fill="C0C0C0"/>
          </w:tcPr>
          <w:p w:rsidR="000E4958" w:rsidRPr="000E4958" w:rsidRDefault="000E4958" w:rsidP="000E4958">
            <w:pPr>
              <w:spacing w:after="0" w:line="240" w:lineRule="auto"/>
              <w:jc w:val="center"/>
              <w:rPr>
                <w:rFonts w:ascii="Arial" w:hAnsi="Arial" w:cs="Arial"/>
                <w:b/>
                <w:sz w:val="20"/>
                <w:szCs w:val="20"/>
              </w:rPr>
            </w:pPr>
            <w:r w:rsidRPr="000E4958">
              <w:rPr>
                <w:rFonts w:ascii="Arial" w:hAnsi="Arial" w:cs="Arial"/>
                <w:b/>
                <w:sz w:val="20"/>
                <w:szCs w:val="20"/>
              </w:rPr>
              <w:t>Population</w:t>
            </w:r>
          </w:p>
        </w:tc>
        <w:tc>
          <w:tcPr>
            <w:tcW w:w="7840" w:type="dxa"/>
            <w:shd w:val="clear" w:color="auto" w:fill="C0C0C0"/>
          </w:tcPr>
          <w:p w:rsidR="000E4958" w:rsidRPr="000E4958" w:rsidRDefault="000E4958" w:rsidP="000E4958">
            <w:pPr>
              <w:spacing w:after="0" w:line="240" w:lineRule="auto"/>
              <w:jc w:val="center"/>
              <w:rPr>
                <w:rFonts w:ascii="Arial" w:hAnsi="Arial" w:cs="Arial"/>
                <w:b/>
                <w:sz w:val="20"/>
                <w:szCs w:val="20"/>
              </w:rPr>
            </w:pPr>
            <w:r w:rsidRPr="000E4958">
              <w:rPr>
                <w:rFonts w:ascii="Arial" w:hAnsi="Arial" w:cs="Arial"/>
                <w:b/>
                <w:sz w:val="20"/>
                <w:szCs w:val="20"/>
              </w:rPr>
              <w:t>Precaution</w:t>
            </w:r>
          </w:p>
        </w:tc>
      </w:tr>
      <w:tr w:rsidR="000E4958" w:rsidRPr="000E4958" w:rsidTr="005C2D88">
        <w:tc>
          <w:tcPr>
            <w:tcW w:w="1620" w:type="dxa"/>
          </w:tcPr>
          <w:p w:rsidR="000E4958" w:rsidRPr="000E4958" w:rsidRDefault="000E4958" w:rsidP="000E4958">
            <w:pPr>
              <w:spacing w:after="0" w:line="240" w:lineRule="auto"/>
              <w:rPr>
                <w:rFonts w:ascii="Arial" w:hAnsi="Arial" w:cs="Arial"/>
                <w:sz w:val="20"/>
                <w:szCs w:val="20"/>
              </w:rPr>
            </w:pPr>
            <w:r w:rsidRPr="000E4958">
              <w:rPr>
                <w:rFonts w:ascii="Arial" w:hAnsi="Arial" w:cs="Arial"/>
                <w:sz w:val="20"/>
                <w:szCs w:val="20"/>
              </w:rPr>
              <w:t>Elderly</w:t>
            </w:r>
          </w:p>
        </w:tc>
        <w:tc>
          <w:tcPr>
            <w:tcW w:w="7840" w:type="dxa"/>
          </w:tcPr>
          <w:p w:rsidR="000E4958" w:rsidRPr="00D03377" w:rsidRDefault="000E4958" w:rsidP="000E4958">
            <w:pPr>
              <w:spacing w:after="0" w:line="240" w:lineRule="auto"/>
              <w:rPr>
                <w:rFonts w:ascii="Arial" w:hAnsi="Arial" w:cs="Arial"/>
                <w:sz w:val="20"/>
                <w:szCs w:val="20"/>
              </w:rPr>
            </w:pPr>
            <w:r w:rsidRPr="00D03377">
              <w:rPr>
                <w:rFonts w:ascii="Arial" w:hAnsi="Arial" w:cs="Arial"/>
                <w:sz w:val="20"/>
                <w:szCs w:val="20"/>
              </w:rPr>
              <w:t>Among the total number of individuals in clinical trials, only a small number were elderly, including 27% over the age of 65 years and 9% over the age of 75. No overall differences in effectiveness were observed between the elderly and younger individuals; however, some adverse events were more common in those over 65 years compared to younger individuals.</w:t>
            </w:r>
          </w:p>
          <w:p w:rsidR="000E4958" w:rsidRPr="00D03377" w:rsidRDefault="000E4958" w:rsidP="000E4958">
            <w:pPr>
              <w:spacing w:after="0" w:line="240" w:lineRule="auto"/>
              <w:rPr>
                <w:rFonts w:ascii="Arial" w:hAnsi="Arial" w:cs="Arial"/>
                <w:sz w:val="20"/>
                <w:szCs w:val="20"/>
              </w:rPr>
            </w:pPr>
          </w:p>
          <w:p w:rsidR="000E4958" w:rsidRPr="00D03377" w:rsidRDefault="000E4958" w:rsidP="000E4958">
            <w:pPr>
              <w:spacing w:after="0" w:line="240" w:lineRule="auto"/>
              <w:rPr>
                <w:rFonts w:ascii="Arial" w:hAnsi="Arial" w:cs="Arial"/>
                <w:sz w:val="20"/>
                <w:szCs w:val="20"/>
              </w:rPr>
            </w:pPr>
            <w:r w:rsidRPr="00D03377">
              <w:rPr>
                <w:rFonts w:ascii="Arial" w:hAnsi="Arial" w:cs="Arial"/>
                <w:sz w:val="20"/>
                <w:szCs w:val="20"/>
              </w:rPr>
              <w:t>The steady-state plasma concentrations of oxymorphone, 6-OH-oxymorphone, and oxymorphone-3-glucuronide are approximately 40% higher in elderly subjects (</w:t>
            </w:r>
            <w:r w:rsidRPr="00D03377">
              <w:rPr>
                <w:rFonts w:ascii="Arial" w:hAnsi="Arial" w:cs="Arial"/>
                <w:sz w:val="20"/>
                <w:szCs w:val="20"/>
              </w:rPr>
              <w:sym w:font="Symbol" w:char="F0B3"/>
            </w:r>
            <w:r w:rsidRPr="00D03377">
              <w:rPr>
                <w:rFonts w:ascii="Arial" w:hAnsi="Arial" w:cs="Arial"/>
                <w:sz w:val="20"/>
                <w:szCs w:val="20"/>
              </w:rPr>
              <w:t xml:space="preserve"> 65 years) than in young subjects (18 to 40 years). On average, age &gt;</w:t>
            </w:r>
            <w:r w:rsidR="00D03377" w:rsidRPr="00D03377">
              <w:rPr>
                <w:rFonts w:ascii="Arial" w:hAnsi="Arial" w:cs="Arial"/>
                <w:sz w:val="20"/>
                <w:szCs w:val="20"/>
              </w:rPr>
              <w:t xml:space="preserve"> </w:t>
            </w:r>
            <w:r w:rsidRPr="00D03377">
              <w:rPr>
                <w:rFonts w:ascii="Arial" w:hAnsi="Arial" w:cs="Arial"/>
                <w:sz w:val="20"/>
                <w:szCs w:val="20"/>
              </w:rPr>
              <w:t>65 years was associated with a 1.4-fold increase in oxymorphone AUC and a 1.5-fold increase in C</w:t>
            </w:r>
            <w:r w:rsidRPr="00D03377">
              <w:rPr>
                <w:rFonts w:ascii="Arial" w:hAnsi="Arial" w:cs="Arial"/>
                <w:sz w:val="20"/>
                <w:szCs w:val="20"/>
                <w:vertAlign w:val="subscript"/>
              </w:rPr>
              <w:t>max</w:t>
            </w:r>
            <w:r w:rsidRPr="00D03377">
              <w:rPr>
                <w:rFonts w:ascii="Arial" w:hAnsi="Arial" w:cs="Arial"/>
                <w:sz w:val="20"/>
                <w:szCs w:val="20"/>
              </w:rPr>
              <w:t>, which was not observed to be related to a difference in body weight, metabolism, or excretion of oxymorphone.</w:t>
            </w:r>
          </w:p>
          <w:p w:rsidR="00D03377" w:rsidRPr="00D03377" w:rsidRDefault="00D03377" w:rsidP="000E4958">
            <w:pPr>
              <w:spacing w:after="0" w:line="240" w:lineRule="auto"/>
              <w:rPr>
                <w:rFonts w:ascii="Arial" w:hAnsi="Arial" w:cs="Arial"/>
                <w:sz w:val="20"/>
                <w:szCs w:val="20"/>
              </w:rPr>
            </w:pPr>
          </w:p>
          <w:p w:rsidR="00D03377" w:rsidRPr="00D03377" w:rsidRDefault="00D03377" w:rsidP="00D03377">
            <w:pPr>
              <w:spacing w:after="0" w:line="240" w:lineRule="auto"/>
              <w:rPr>
                <w:rFonts w:ascii="Arial" w:hAnsi="Arial" w:cs="Arial"/>
                <w:sz w:val="20"/>
                <w:szCs w:val="20"/>
              </w:rPr>
            </w:pPr>
            <w:r w:rsidRPr="00D03377">
              <w:rPr>
                <w:rFonts w:ascii="Arial" w:hAnsi="Arial" w:cs="Arial"/>
                <w:sz w:val="20"/>
                <w:szCs w:val="20"/>
              </w:rPr>
              <w:t xml:space="preserve">For </w:t>
            </w:r>
            <w:proofErr w:type="gramStart"/>
            <w:r w:rsidRPr="00D03377">
              <w:rPr>
                <w:rFonts w:ascii="Arial" w:hAnsi="Arial" w:cs="Arial"/>
                <w:sz w:val="20"/>
                <w:szCs w:val="20"/>
              </w:rPr>
              <w:t>patients</w:t>
            </w:r>
            <w:proofErr w:type="gramEnd"/>
            <w:r w:rsidRPr="00D03377">
              <w:rPr>
                <w:rFonts w:ascii="Arial" w:hAnsi="Arial" w:cs="Arial"/>
                <w:sz w:val="20"/>
                <w:szCs w:val="20"/>
              </w:rPr>
              <w:t xml:space="preserve"> ≥ 65 years of age, it is recommended to initiate </w:t>
            </w:r>
            <w:r>
              <w:rPr>
                <w:rFonts w:ascii="Arial" w:hAnsi="Arial" w:cs="Arial"/>
                <w:sz w:val="20"/>
                <w:szCs w:val="20"/>
              </w:rPr>
              <w:t>dosing at 5 mg. For those individuals on prior opioid therapy, start the Opana</w:t>
            </w:r>
            <w:r w:rsidR="000C4F56" w:rsidRPr="000E4958">
              <w:rPr>
                <w:rFonts w:ascii="Arial" w:hAnsi="Arial" w:cs="Arial"/>
                <w:sz w:val="20"/>
                <w:szCs w:val="20"/>
                <w:vertAlign w:val="superscript"/>
              </w:rPr>
              <w:t>®</w:t>
            </w:r>
            <w:r>
              <w:rPr>
                <w:rFonts w:ascii="Arial" w:hAnsi="Arial" w:cs="Arial"/>
                <w:sz w:val="20"/>
                <w:szCs w:val="20"/>
              </w:rPr>
              <w:t xml:space="preserve"> ER (oxymorphone ER)</w:t>
            </w:r>
            <w:r w:rsidRPr="00D03377">
              <w:rPr>
                <w:rFonts w:ascii="Arial" w:hAnsi="Arial" w:cs="Arial"/>
                <w:sz w:val="20"/>
                <w:szCs w:val="20"/>
              </w:rPr>
              <w:t xml:space="preserve"> at 50% </w:t>
            </w:r>
            <w:r w:rsidRPr="00D03377">
              <w:rPr>
                <w:rFonts w:ascii="Arial" w:hAnsi="Arial" w:cs="Arial"/>
                <w:sz w:val="20"/>
                <w:szCs w:val="20"/>
              </w:rPr>
              <w:lastRenderedPageBreak/>
              <w:t xml:space="preserve">lower than the starting dose for a </w:t>
            </w:r>
            <w:r>
              <w:rPr>
                <w:rFonts w:ascii="Arial" w:hAnsi="Arial" w:cs="Arial"/>
                <w:sz w:val="20"/>
                <w:szCs w:val="20"/>
              </w:rPr>
              <w:t xml:space="preserve">younger </w:t>
            </w:r>
            <w:r w:rsidRPr="00D03377">
              <w:rPr>
                <w:rFonts w:ascii="Arial" w:hAnsi="Arial" w:cs="Arial"/>
                <w:sz w:val="20"/>
                <w:szCs w:val="20"/>
              </w:rPr>
              <w:t>patient on prior opioids and titrate slowly.</w:t>
            </w:r>
          </w:p>
        </w:tc>
      </w:tr>
      <w:tr w:rsidR="000E4958" w:rsidRPr="000E4958" w:rsidTr="005C2D88">
        <w:trPr>
          <w:trHeight w:val="350"/>
        </w:trPr>
        <w:tc>
          <w:tcPr>
            <w:tcW w:w="1620" w:type="dxa"/>
          </w:tcPr>
          <w:p w:rsidR="000E4958" w:rsidRPr="000E4958" w:rsidRDefault="000E4958" w:rsidP="000E4958">
            <w:pPr>
              <w:spacing w:after="0" w:line="240" w:lineRule="auto"/>
              <w:rPr>
                <w:rFonts w:ascii="Arial" w:hAnsi="Arial" w:cs="Arial"/>
                <w:sz w:val="20"/>
                <w:szCs w:val="20"/>
              </w:rPr>
            </w:pPr>
            <w:r w:rsidRPr="000E4958">
              <w:rPr>
                <w:rFonts w:ascii="Arial" w:hAnsi="Arial" w:cs="Arial"/>
                <w:sz w:val="20"/>
                <w:szCs w:val="20"/>
              </w:rPr>
              <w:lastRenderedPageBreak/>
              <w:t>Renal dysfunction</w:t>
            </w:r>
          </w:p>
        </w:tc>
        <w:tc>
          <w:tcPr>
            <w:tcW w:w="7840" w:type="dxa"/>
          </w:tcPr>
          <w:p w:rsidR="000E4958" w:rsidRPr="000E4958" w:rsidRDefault="000E4958" w:rsidP="000E4958">
            <w:pPr>
              <w:spacing w:after="0" w:line="240" w:lineRule="auto"/>
              <w:rPr>
                <w:rFonts w:ascii="Arial" w:hAnsi="Arial" w:cs="Arial"/>
                <w:sz w:val="20"/>
                <w:szCs w:val="20"/>
              </w:rPr>
            </w:pPr>
            <w:r w:rsidRPr="000E4958">
              <w:rPr>
                <w:rFonts w:ascii="Arial" w:hAnsi="Arial" w:cs="Arial"/>
                <w:sz w:val="20"/>
                <w:szCs w:val="20"/>
              </w:rPr>
              <w:t>Moderate to severe renal impairment may result in an increase in oxymorphone bioavailability ranging from 57</w:t>
            </w:r>
            <w:r w:rsidR="004F3495">
              <w:rPr>
                <w:rFonts w:ascii="Arial" w:hAnsi="Arial" w:cs="Arial"/>
                <w:sz w:val="20"/>
                <w:szCs w:val="20"/>
              </w:rPr>
              <w:t xml:space="preserve"> to </w:t>
            </w:r>
            <w:r w:rsidRPr="000E4958">
              <w:rPr>
                <w:rFonts w:ascii="Arial" w:hAnsi="Arial" w:cs="Arial"/>
                <w:sz w:val="20"/>
                <w:szCs w:val="20"/>
              </w:rPr>
              <w:t>65%. In a pharmacokinetic study involving 24 patients with renal dysfunction compared to healthy patients, there was an increase of 26%, 57%, and 65% in oxymorphone bioavailability in mild (</w:t>
            </w:r>
            <w:proofErr w:type="spellStart"/>
            <w:r w:rsidRPr="000E4958">
              <w:rPr>
                <w:rFonts w:ascii="Arial" w:hAnsi="Arial" w:cs="Arial"/>
                <w:sz w:val="20"/>
                <w:szCs w:val="20"/>
              </w:rPr>
              <w:t>CrCl</w:t>
            </w:r>
            <w:proofErr w:type="spellEnd"/>
            <w:r w:rsidRPr="000E4958">
              <w:rPr>
                <w:rFonts w:ascii="Arial" w:hAnsi="Arial" w:cs="Arial"/>
                <w:sz w:val="20"/>
                <w:szCs w:val="20"/>
              </w:rPr>
              <w:t>: 51 to 80 mL/min; n=8), moderate (</w:t>
            </w:r>
            <w:proofErr w:type="spellStart"/>
            <w:r w:rsidRPr="000E4958">
              <w:rPr>
                <w:rFonts w:ascii="Arial" w:hAnsi="Arial" w:cs="Arial"/>
                <w:sz w:val="20"/>
                <w:szCs w:val="20"/>
              </w:rPr>
              <w:t>CrCl</w:t>
            </w:r>
            <w:proofErr w:type="spellEnd"/>
            <w:r w:rsidRPr="000E4958">
              <w:rPr>
                <w:rFonts w:ascii="Arial" w:hAnsi="Arial" w:cs="Arial"/>
                <w:sz w:val="20"/>
                <w:szCs w:val="20"/>
              </w:rPr>
              <w:t>: 30 to 50 mL/min; n=8), and severe (</w:t>
            </w:r>
            <w:proofErr w:type="spellStart"/>
            <w:r w:rsidRPr="000E4958">
              <w:rPr>
                <w:rFonts w:ascii="Arial" w:hAnsi="Arial" w:cs="Arial"/>
                <w:sz w:val="20"/>
                <w:szCs w:val="20"/>
              </w:rPr>
              <w:t>CrCl</w:t>
            </w:r>
            <w:proofErr w:type="spellEnd"/>
            <w:r w:rsidRPr="000E4958">
              <w:rPr>
                <w:rFonts w:ascii="Arial" w:hAnsi="Arial" w:cs="Arial"/>
                <w:sz w:val="20"/>
                <w:szCs w:val="20"/>
              </w:rPr>
              <w:t>: &lt;</w:t>
            </w:r>
            <w:r w:rsidR="000F40CE">
              <w:rPr>
                <w:rFonts w:ascii="Arial" w:hAnsi="Arial" w:cs="Arial"/>
                <w:sz w:val="20"/>
                <w:szCs w:val="20"/>
              </w:rPr>
              <w:t xml:space="preserve"> </w:t>
            </w:r>
            <w:r w:rsidRPr="000E4958">
              <w:rPr>
                <w:rFonts w:ascii="Arial" w:hAnsi="Arial" w:cs="Arial"/>
                <w:sz w:val="20"/>
                <w:szCs w:val="20"/>
              </w:rPr>
              <w:t>30 mL/min; n=8), respectively.</w:t>
            </w:r>
          </w:p>
          <w:p w:rsidR="000E4958" w:rsidRPr="000E4958" w:rsidRDefault="000E4958" w:rsidP="000E4958">
            <w:pPr>
              <w:spacing w:after="0" w:line="240" w:lineRule="auto"/>
              <w:rPr>
                <w:rFonts w:ascii="Arial" w:hAnsi="Arial" w:cs="Arial"/>
                <w:sz w:val="20"/>
                <w:szCs w:val="20"/>
              </w:rPr>
            </w:pPr>
          </w:p>
          <w:p w:rsidR="000E4958" w:rsidRPr="00D03377" w:rsidRDefault="00D03377" w:rsidP="004F3495">
            <w:pPr>
              <w:spacing w:after="0" w:line="240" w:lineRule="auto"/>
              <w:rPr>
                <w:rFonts w:ascii="Arial" w:hAnsi="Arial" w:cs="Arial"/>
                <w:sz w:val="20"/>
                <w:szCs w:val="20"/>
              </w:rPr>
            </w:pPr>
            <w:r w:rsidRPr="00D03377">
              <w:rPr>
                <w:rFonts w:ascii="Arial" w:hAnsi="Arial" w:cs="Arial"/>
                <w:sz w:val="20"/>
                <w:szCs w:val="20"/>
              </w:rPr>
              <w:t xml:space="preserve">In patients with </w:t>
            </w:r>
            <w:proofErr w:type="spellStart"/>
            <w:r w:rsidR="004F3495">
              <w:rPr>
                <w:rFonts w:ascii="Arial" w:hAnsi="Arial" w:cs="Arial"/>
                <w:sz w:val="20"/>
                <w:szCs w:val="20"/>
              </w:rPr>
              <w:t>CrCl</w:t>
            </w:r>
            <w:proofErr w:type="spellEnd"/>
            <w:r w:rsidRPr="00D03377">
              <w:rPr>
                <w:rFonts w:ascii="Arial" w:hAnsi="Arial" w:cs="Arial"/>
                <w:sz w:val="20"/>
                <w:szCs w:val="20"/>
              </w:rPr>
              <w:t xml:space="preserve"> rates less than 50 mL/min, start </w:t>
            </w:r>
            <w:r>
              <w:rPr>
                <w:rFonts w:ascii="Arial" w:hAnsi="Arial" w:cs="Arial"/>
                <w:sz w:val="20"/>
                <w:szCs w:val="20"/>
              </w:rPr>
              <w:t>dosing at 5 mg</w:t>
            </w:r>
            <w:r w:rsidRPr="00D03377">
              <w:rPr>
                <w:rFonts w:ascii="Arial" w:hAnsi="Arial" w:cs="Arial"/>
                <w:sz w:val="20"/>
                <w:szCs w:val="20"/>
              </w:rPr>
              <w:t xml:space="preserve"> in the opioid-</w:t>
            </w:r>
            <w:r>
              <w:rPr>
                <w:rFonts w:ascii="Arial" w:hAnsi="Arial" w:cs="Arial"/>
                <w:sz w:val="20"/>
                <w:szCs w:val="20"/>
              </w:rPr>
              <w:t>naïve patient. </w:t>
            </w:r>
            <w:r w:rsidRPr="00D03377">
              <w:rPr>
                <w:rFonts w:ascii="Arial" w:hAnsi="Arial" w:cs="Arial"/>
                <w:sz w:val="20"/>
                <w:szCs w:val="20"/>
              </w:rPr>
              <w:t xml:space="preserve">For patients on prior opioid therapy, start </w:t>
            </w:r>
            <w:r>
              <w:rPr>
                <w:rFonts w:ascii="Arial" w:hAnsi="Arial" w:cs="Arial"/>
                <w:sz w:val="20"/>
                <w:szCs w:val="20"/>
              </w:rPr>
              <w:t>Opana</w:t>
            </w:r>
            <w:r w:rsidR="000C4F56" w:rsidRPr="000E4958">
              <w:rPr>
                <w:rFonts w:ascii="Arial" w:hAnsi="Arial" w:cs="Arial"/>
                <w:sz w:val="20"/>
                <w:szCs w:val="20"/>
                <w:vertAlign w:val="superscript"/>
              </w:rPr>
              <w:t>®</w:t>
            </w:r>
            <w:r>
              <w:rPr>
                <w:rFonts w:ascii="Arial" w:hAnsi="Arial" w:cs="Arial"/>
                <w:sz w:val="20"/>
                <w:szCs w:val="20"/>
              </w:rPr>
              <w:t xml:space="preserve"> ER (oxymorphone ER)</w:t>
            </w:r>
            <w:r w:rsidRPr="00D03377">
              <w:rPr>
                <w:rFonts w:ascii="Arial" w:hAnsi="Arial" w:cs="Arial"/>
                <w:sz w:val="20"/>
                <w:szCs w:val="20"/>
              </w:rPr>
              <w:t xml:space="preserve"> at 50% lower than the starting dose for a patient with normal renal function on prior opioids and titrate slowly.</w:t>
            </w:r>
          </w:p>
        </w:tc>
      </w:tr>
      <w:tr w:rsidR="000E4958" w:rsidRPr="000E4958" w:rsidTr="005C2D88">
        <w:tc>
          <w:tcPr>
            <w:tcW w:w="1620" w:type="dxa"/>
          </w:tcPr>
          <w:p w:rsidR="000E4958" w:rsidRPr="000E4958" w:rsidRDefault="000E4958" w:rsidP="000E4958">
            <w:pPr>
              <w:spacing w:after="0" w:line="240" w:lineRule="auto"/>
              <w:rPr>
                <w:rFonts w:ascii="Arial" w:hAnsi="Arial" w:cs="Arial"/>
                <w:sz w:val="20"/>
                <w:szCs w:val="20"/>
              </w:rPr>
            </w:pPr>
            <w:r w:rsidRPr="000E4958">
              <w:rPr>
                <w:rFonts w:ascii="Arial" w:hAnsi="Arial" w:cs="Arial"/>
                <w:sz w:val="20"/>
                <w:szCs w:val="20"/>
              </w:rPr>
              <w:t>Hepatic dysfunction</w:t>
            </w:r>
          </w:p>
        </w:tc>
        <w:tc>
          <w:tcPr>
            <w:tcW w:w="7840" w:type="dxa"/>
          </w:tcPr>
          <w:p w:rsidR="000E4958" w:rsidRPr="000E4958" w:rsidRDefault="000E4958" w:rsidP="000E4958">
            <w:pPr>
              <w:spacing w:after="0" w:line="240" w:lineRule="auto"/>
              <w:rPr>
                <w:rFonts w:ascii="Arial" w:hAnsi="Arial" w:cs="Arial"/>
                <w:sz w:val="20"/>
                <w:szCs w:val="20"/>
              </w:rPr>
            </w:pPr>
            <w:r w:rsidRPr="000E4958">
              <w:rPr>
                <w:rFonts w:ascii="Arial" w:hAnsi="Arial" w:cs="Arial"/>
                <w:sz w:val="20"/>
                <w:szCs w:val="20"/>
              </w:rPr>
              <w:t xml:space="preserve">Patients with mild hepatic impairment have an increase in oxymorphone bioavailability of 1.6-fold and 3.7-fold in patients with moderate hepatic impairment. For one patient with severe hepatic impairment, the bioavailability was increased by 12.2-fold. </w:t>
            </w:r>
          </w:p>
          <w:p w:rsidR="000E4958" w:rsidRPr="000E4958" w:rsidRDefault="000E4958" w:rsidP="000E4958">
            <w:pPr>
              <w:spacing w:after="0" w:line="240" w:lineRule="auto"/>
              <w:rPr>
                <w:rFonts w:ascii="Arial" w:hAnsi="Arial" w:cs="Arial"/>
                <w:sz w:val="20"/>
                <w:szCs w:val="20"/>
              </w:rPr>
            </w:pPr>
          </w:p>
          <w:p w:rsidR="000E4958" w:rsidRPr="000E4958" w:rsidRDefault="000E4958" w:rsidP="00D03377">
            <w:pPr>
              <w:spacing w:after="0" w:line="240" w:lineRule="auto"/>
              <w:rPr>
                <w:rFonts w:ascii="Arial" w:hAnsi="Arial" w:cs="Arial"/>
                <w:sz w:val="20"/>
                <w:szCs w:val="20"/>
              </w:rPr>
            </w:pPr>
            <w:r w:rsidRPr="000E4958">
              <w:rPr>
                <w:rFonts w:ascii="Arial" w:hAnsi="Arial" w:cs="Arial"/>
                <w:sz w:val="20"/>
                <w:szCs w:val="20"/>
              </w:rPr>
              <w:t xml:space="preserve">In opioid-naïve patients with mild hepatic impairment, initiate therapy using the </w:t>
            </w:r>
            <w:r w:rsidR="00D03377">
              <w:rPr>
                <w:rFonts w:ascii="Arial" w:hAnsi="Arial" w:cs="Arial"/>
                <w:sz w:val="20"/>
                <w:szCs w:val="20"/>
              </w:rPr>
              <w:t xml:space="preserve">5 mg dose and monitor closely. </w:t>
            </w:r>
            <w:r w:rsidR="00D03377" w:rsidRPr="000E4958">
              <w:rPr>
                <w:rFonts w:ascii="Arial" w:hAnsi="Arial" w:cs="Arial"/>
                <w:sz w:val="20"/>
                <w:szCs w:val="20"/>
              </w:rPr>
              <w:t>For opioid-experienced patients, start at</w:t>
            </w:r>
            <w:r w:rsidR="00D03377">
              <w:rPr>
                <w:rFonts w:ascii="Arial" w:hAnsi="Arial" w:cs="Arial"/>
                <w:sz w:val="20"/>
                <w:szCs w:val="20"/>
              </w:rPr>
              <w:t xml:space="preserve"> </w:t>
            </w:r>
            <w:r w:rsidR="00D03377" w:rsidRPr="000E4958">
              <w:rPr>
                <w:rFonts w:ascii="Arial" w:hAnsi="Arial" w:cs="Arial"/>
                <w:sz w:val="20"/>
                <w:szCs w:val="20"/>
              </w:rPr>
              <w:t xml:space="preserve">50% </w:t>
            </w:r>
            <w:r w:rsidR="00D03377">
              <w:rPr>
                <w:rFonts w:ascii="Arial" w:hAnsi="Arial" w:cs="Arial"/>
                <w:sz w:val="20"/>
                <w:szCs w:val="20"/>
              </w:rPr>
              <w:t xml:space="preserve">lower than the starting dose for </w:t>
            </w:r>
            <w:r w:rsidR="00D03377" w:rsidRPr="000E4958">
              <w:rPr>
                <w:rFonts w:ascii="Arial" w:hAnsi="Arial" w:cs="Arial"/>
                <w:sz w:val="20"/>
                <w:szCs w:val="20"/>
              </w:rPr>
              <w:t>a patient with normal hepatic function on prior opioids and titrate slowly.</w:t>
            </w:r>
            <w:r w:rsidR="00D03377">
              <w:rPr>
                <w:rFonts w:ascii="Arial" w:hAnsi="Arial" w:cs="Arial"/>
                <w:sz w:val="20"/>
                <w:szCs w:val="20"/>
              </w:rPr>
              <w:t xml:space="preserve"> </w:t>
            </w:r>
            <w:r w:rsidRPr="000E4958">
              <w:rPr>
                <w:rFonts w:ascii="Arial" w:hAnsi="Arial" w:cs="Arial"/>
                <w:sz w:val="20"/>
                <w:szCs w:val="20"/>
              </w:rPr>
              <w:t xml:space="preserve">Do not use in patients with moderate and severe hepatic impairment. </w:t>
            </w:r>
          </w:p>
        </w:tc>
      </w:tr>
      <w:tr w:rsidR="000E4958" w:rsidRPr="000E4958" w:rsidTr="005C2D88">
        <w:tc>
          <w:tcPr>
            <w:tcW w:w="1620" w:type="dxa"/>
          </w:tcPr>
          <w:p w:rsidR="000E4958" w:rsidRPr="000E4958" w:rsidRDefault="001B7140" w:rsidP="000E4958">
            <w:pPr>
              <w:spacing w:after="0" w:line="240" w:lineRule="auto"/>
              <w:rPr>
                <w:rFonts w:ascii="Arial" w:hAnsi="Arial" w:cs="Arial"/>
                <w:sz w:val="20"/>
                <w:szCs w:val="20"/>
              </w:rPr>
            </w:pPr>
            <w:r>
              <w:rPr>
                <w:rFonts w:ascii="Arial" w:hAnsi="Arial" w:cs="Arial"/>
                <w:sz w:val="20"/>
                <w:szCs w:val="20"/>
              </w:rPr>
              <w:t>Pregnancy</w:t>
            </w:r>
            <w:r w:rsidR="000E4958" w:rsidRPr="000E4958">
              <w:rPr>
                <w:rFonts w:ascii="Arial" w:hAnsi="Arial" w:cs="Arial"/>
                <w:sz w:val="20"/>
                <w:szCs w:val="20"/>
              </w:rPr>
              <w:t>/ nursing</w:t>
            </w:r>
          </w:p>
        </w:tc>
        <w:tc>
          <w:tcPr>
            <w:tcW w:w="7840" w:type="dxa"/>
          </w:tcPr>
          <w:p w:rsidR="000E4958" w:rsidRPr="000E4958" w:rsidRDefault="000E4958" w:rsidP="000E4958">
            <w:pPr>
              <w:spacing w:after="0" w:line="240" w:lineRule="auto"/>
              <w:rPr>
                <w:rFonts w:ascii="Arial" w:hAnsi="Arial" w:cs="Arial"/>
                <w:sz w:val="20"/>
                <w:szCs w:val="20"/>
              </w:rPr>
            </w:pPr>
            <w:r w:rsidRPr="000E4958">
              <w:rPr>
                <w:rFonts w:ascii="Arial" w:hAnsi="Arial" w:cs="Arial"/>
                <w:sz w:val="20"/>
                <w:szCs w:val="20"/>
              </w:rPr>
              <w:t>Pregnancy Category C. There are no adequate and well-controlled studies in pregnant women. Use during pregnancy only if the potential benefit outweighs the potential risk to the fetus. Opioids cross the placenta and may produce respiratory depression in neonates; therefore, it is not for use in women during and immediately prior to labor.</w:t>
            </w:r>
          </w:p>
          <w:p w:rsidR="000E4958" w:rsidRPr="000E4958" w:rsidRDefault="000E4958" w:rsidP="000E4958">
            <w:pPr>
              <w:spacing w:after="0" w:line="240" w:lineRule="auto"/>
              <w:rPr>
                <w:rFonts w:ascii="Arial" w:hAnsi="Arial" w:cs="Arial"/>
                <w:sz w:val="20"/>
                <w:szCs w:val="20"/>
              </w:rPr>
            </w:pPr>
          </w:p>
          <w:p w:rsidR="000E4958" w:rsidRPr="000E4958" w:rsidRDefault="00361D47" w:rsidP="000E4958">
            <w:pPr>
              <w:spacing w:after="0" w:line="240" w:lineRule="auto"/>
              <w:rPr>
                <w:rFonts w:ascii="Arial" w:hAnsi="Arial" w:cs="Arial"/>
                <w:color w:val="FF0000"/>
                <w:sz w:val="20"/>
                <w:szCs w:val="20"/>
              </w:rPr>
            </w:pPr>
            <w:r>
              <w:rPr>
                <w:rFonts w:ascii="Arial" w:hAnsi="Arial" w:cs="Arial"/>
                <w:sz w:val="20"/>
                <w:szCs w:val="20"/>
              </w:rPr>
              <w:t>It is not known if</w:t>
            </w:r>
            <w:r w:rsidR="000E4958" w:rsidRPr="000E4958">
              <w:rPr>
                <w:rFonts w:ascii="Arial" w:hAnsi="Arial" w:cs="Arial"/>
                <w:sz w:val="20"/>
                <w:szCs w:val="20"/>
              </w:rPr>
              <w:t xml:space="preserve"> oxymorphone is excreted </w:t>
            </w:r>
            <w:r>
              <w:rPr>
                <w:rFonts w:ascii="Arial" w:hAnsi="Arial" w:cs="Arial"/>
                <w:sz w:val="20"/>
                <w:szCs w:val="20"/>
              </w:rPr>
              <w:t>in breast milk.</w:t>
            </w:r>
            <w:r w:rsidR="000E4958" w:rsidRPr="000E4958">
              <w:rPr>
                <w:rFonts w:ascii="Arial" w:hAnsi="Arial" w:cs="Arial"/>
                <w:sz w:val="20"/>
                <w:szCs w:val="20"/>
              </w:rPr>
              <w:t xml:space="preserve"> Since some opioids are excreted in human milk, use caution when oxymorphone is administered to a nursing woman and monitor the infant closely. </w:t>
            </w:r>
          </w:p>
        </w:tc>
      </w:tr>
      <w:tr w:rsidR="000E4958" w:rsidRPr="000E4958" w:rsidTr="005C2D88">
        <w:tc>
          <w:tcPr>
            <w:tcW w:w="1620" w:type="dxa"/>
          </w:tcPr>
          <w:p w:rsidR="000E4958" w:rsidRPr="000E4958" w:rsidRDefault="000E4958" w:rsidP="000E4958">
            <w:pPr>
              <w:spacing w:after="0" w:line="240" w:lineRule="auto"/>
              <w:rPr>
                <w:rFonts w:ascii="Arial" w:hAnsi="Arial" w:cs="Arial"/>
                <w:sz w:val="20"/>
                <w:szCs w:val="20"/>
              </w:rPr>
            </w:pPr>
            <w:r w:rsidRPr="000E4958">
              <w:rPr>
                <w:rFonts w:ascii="Arial" w:hAnsi="Arial" w:cs="Arial"/>
                <w:sz w:val="20"/>
                <w:szCs w:val="20"/>
              </w:rPr>
              <w:t>Children</w:t>
            </w:r>
          </w:p>
        </w:tc>
        <w:tc>
          <w:tcPr>
            <w:tcW w:w="7840" w:type="dxa"/>
          </w:tcPr>
          <w:p w:rsidR="000E4958" w:rsidRPr="000E4958" w:rsidRDefault="000E4958" w:rsidP="000E4958">
            <w:pPr>
              <w:spacing w:after="0" w:line="240" w:lineRule="auto"/>
              <w:rPr>
                <w:rFonts w:ascii="Arial" w:hAnsi="Arial" w:cs="Arial"/>
                <w:sz w:val="20"/>
                <w:szCs w:val="20"/>
              </w:rPr>
            </w:pPr>
            <w:r w:rsidRPr="000E4958">
              <w:rPr>
                <w:rFonts w:ascii="Arial" w:hAnsi="Arial" w:cs="Arial"/>
                <w:sz w:val="20"/>
                <w:szCs w:val="20"/>
              </w:rPr>
              <w:t>The safety and efficacy in individuals less than 18 years of age have not been established.</w:t>
            </w:r>
            <w:r>
              <w:rPr>
                <w:rFonts w:ascii="Times New Roman" w:hAnsi="Times New Roman"/>
                <w:sz w:val="20"/>
                <w:szCs w:val="20"/>
              </w:rPr>
              <w:t>*</w:t>
            </w:r>
          </w:p>
        </w:tc>
      </w:tr>
      <w:tr w:rsidR="000E4958" w:rsidRPr="000E4958" w:rsidTr="005C2D88">
        <w:tc>
          <w:tcPr>
            <w:tcW w:w="1620" w:type="dxa"/>
          </w:tcPr>
          <w:p w:rsidR="000E4958" w:rsidRPr="000E4958" w:rsidRDefault="001B7140" w:rsidP="000E4958">
            <w:pPr>
              <w:spacing w:after="0" w:line="240" w:lineRule="auto"/>
              <w:rPr>
                <w:rFonts w:ascii="Arial" w:hAnsi="Arial" w:cs="Arial"/>
                <w:sz w:val="20"/>
                <w:szCs w:val="20"/>
              </w:rPr>
            </w:pPr>
            <w:r>
              <w:rPr>
                <w:rFonts w:ascii="Arial" w:hAnsi="Arial" w:cs="Arial"/>
                <w:sz w:val="20"/>
                <w:szCs w:val="20"/>
              </w:rPr>
              <w:t>Gender/</w:t>
            </w:r>
            <w:r w:rsidR="000E4958" w:rsidRPr="000E4958">
              <w:rPr>
                <w:rFonts w:ascii="Arial" w:hAnsi="Arial" w:cs="Arial"/>
                <w:sz w:val="20"/>
                <w:szCs w:val="20"/>
              </w:rPr>
              <w:t>Race</w:t>
            </w:r>
          </w:p>
        </w:tc>
        <w:tc>
          <w:tcPr>
            <w:tcW w:w="7840" w:type="dxa"/>
          </w:tcPr>
          <w:p w:rsidR="000E4958" w:rsidRPr="000E4958" w:rsidRDefault="000E4958" w:rsidP="000E4958">
            <w:pPr>
              <w:spacing w:after="0" w:line="240" w:lineRule="auto"/>
              <w:rPr>
                <w:rFonts w:ascii="Arial" w:hAnsi="Arial" w:cs="Arial"/>
                <w:sz w:val="20"/>
                <w:szCs w:val="20"/>
              </w:rPr>
            </w:pPr>
            <w:r w:rsidRPr="000E4958">
              <w:rPr>
                <w:rFonts w:ascii="Arial" w:hAnsi="Arial" w:cs="Arial"/>
                <w:sz w:val="20"/>
                <w:szCs w:val="20"/>
              </w:rPr>
              <w:t>After single- and multiple-doses of oxymorphone ER, female subjects tended to have a slightly higher AUC at steady state and C</w:t>
            </w:r>
            <w:r w:rsidRPr="000E4958">
              <w:rPr>
                <w:rFonts w:ascii="Arial" w:hAnsi="Arial" w:cs="Arial"/>
                <w:sz w:val="20"/>
                <w:szCs w:val="20"/>
                <w:vertAlign w:val="subscript"/>
              </w:rPr>
              <w:t>max</w:t>
            </w:r>
            <w:r w:rsidRPr="000E4958">
              <w:rPr>
                <w:rFonts w:ascii="Arial" w:hAnsi="Arial" w:cs="Arial"/>
                <w:sz w:val="20"/>
                <w:szCs w:val="20"/>
              </w:rPr>
              <w:t xml:space="preserve"> values than male subjects; however, gender differences were not observed when AUC at steady state and C</w:t>
            </w:r>
            <w:r w:rsidRPr="000E4958">
              <w:rPr>
                <w:rFonts w:ascii="Arial" w:hAnsi="Arial" w:cs="Arial"/>
                <w:sz w:val="20"/>
                <w:szCs w:val="20"/>
                <w:vertAlign w:val="subscript"/>
              </w:rPr>
              <w:t>max</w:t>
            </w:r>
            <w:r w:rsidRPr="000E4958">
              <w:rPr>
                <w:rFonts w:ascii="Arial" w:hAnsi="Arial" w:cs="Arial"/>
                <w:sz w:val="20"/>
                <w:szCs w:val="20"/>
              </w:rPr>
              <w:t xml:space="preserve"> values were adjusted by body weight.</w:t>
            </w:r>
          </w:p>
          <w:p w:rsidR="000E4958" w:rsidRPr="000E4958" w:rsidRDefault="000E4958" w:rsidP="000E4958">
            <w:pPr>
              <w:spacing w:after="0" w:line="240" w:lineRule="auto"/>
              <w:rPr>
                <w:rFonts w:ascii="Arial" w:hAnsi="Arial" w:cs="Arial"/>
                <w:sz w:val="20"/>
                <w:szCs w:val="20"/>
              </w:rPr>
            </w:pPr>
          </w:p>
          <w:p w:rsidR="000E4958" w:rsidRPr="000E4958" w:rsidRDefault="000E4958" w:rsidP="000E4958">
            <w:pPr>
              <w:spacing w:after="0" w:line="240" w:lineRule="auto"/>
              <w:rPr>
                <w:rFonts w:ascii="Arial" w:hAnsi="Arial" w:cs="Arial"/>
                <w:color w:val="FF0000"/>
                <w:sz w:val="20"/>
                <w:szCs w:val="20"/>
              </w:rPr>
            </w:pPr>
            <w:r w:rsidRPr="000E4958">
              <w:rPr>
                <w:rFonts w:ascii="Arial" w:hAnsi="Arial" w:cs="Arial"/>
                <w:sz w:val="20"/>
                <w:szCs w:val="20"/>
              </w:rPr>
              <w:t>No race-specific differences in pharmacokinetic data have been identified.</w:t>
            </w:r>
            <w:r w:rsidRPr="000E4958">
              <w:rPr>
                <w:rFonts w:ascii="Arial" w:hAnsi="Arial" w:cs="Arial"/>
              </w:rPr>
              <w:t xml:space="preserve">  </w:t>
            </w:r>
          </w:p>
        </w:tc>
      </w:tr>
    </w:tbl>
    <w:p w:rsidR="000E4958" w:rsidRDefault="000E4958" w:rsidP="000E4958">
      <w:pPr>
        <w:spacing w:after="0" w:line="240" w:lineRule="auto"/>
        <w:rPr>
          <w:rFonts w:ascii="Arial" w:hAnsi="Arial" w:cs="Arial"/>
          <w:sz w:val="16"/>
          <w:szCs w:val="16"/>
        </w:rPr>
      </w:pPr>
      <w:r w:rsidRPr="00D211BB">
        <w:rPr>
          <w:rFonts w:ascii="Arial" w:hAnsi="Arial" w:cs="Arial"/>
          <w:sz w:val="16"/>
          <w:szCs w:val="16"/>
        </w:rPr>
        <w:t>*No adeq</w:t>
      </w:r>
      <w:r>
        <w:rPr>
          <w:rFonts w:ascii="Arial" w:hAnsi="Arial" w:cs="Arial"/>
          <w:sz w:val="16"/>
          <w:szCs w:val="16"/>
        </w:rPr>
        <w:t>uate or well-controlled trials.</w:t>
      </w:r>
    </w:p>
    <w:p w:rsidR="004F3495" w:rsidRDefault="004F3495" w:rsidP="000E4958">
      <w:pPr>
        <w:spacing w:after="0" w:line="240" w:lineRule="auto"/>
        <w:rPr>
          <w:rFonts w:ascii="Arial" w:hAnsi="Arial" w:cs="Arial"/>
          <w:sz w:val="16"/>
          <w:szCs w:val="16"/>
        </w:rPr>
      </w:pPr>
      <w:proofErr w:type="spellStart"/>
      <w:r>
        <w:rPr>
          <w:rFonts w:ascii="Arial" w:hAnsi="Arial" w:cs="Arial"/>
          <w:sz w:val="16"/>
          <w:szCs w:val="16"/>
        </w:rPr>
        <w:t>CrCl</w:t>
      </w:r>
      <w:proofErr w:type="spellEnd"/>
      <w:r>
        <w:rPr>
          <w:rFonts w:ascii="Arial" w:hAnsi="Arial" w:cs="Arial"/>
          <w:sz w:val="16"/>
          <w:szCs w:val="16"/>
        </w:rPr>
        <w:t>=creatinine clearance</w:t>
      </w:r>
    </w:p>
    <w:p w:rsidR="000E4958" w:rsidRPr="000E4958" w:rsidRDefault="000E4958" w:rsidP="000E4958">
      <w:pPr>
        <w:spacing w:after="0" w:line="240" w:lineRule="auto"/>
        <w:rPr>
          <w:rFonts w:ascii="Arial" w:hAnsi="Arial" w:cs="Arial"/>
          <w:sz w:val="20"/>
          <w:szCs w:val="20"/>
        </w:rPr>
      </w:pPr>
    </w:p>
    <w:p w:rsidR="000E4958" w:rsidRPr="000E4958" w:rsidRDefault="000E4958" w:rsidP="000E4958">
      <w:pPr>
        <w:spacing w:after="0" w:line="240" w:lineRule="auto"/>
        <w:rPr>
          <w:rFonts w:ascii="Arial" w:hAnsi="Arial" w:cs="Arial"/>
          <w:sz w:val="20"/>
          <w:szCs w:val="20"/>
        </w:rPr>
      </w:pPr>
      <w:r w:rsidRPr="000E4958">
        <w:rPr>
          <w:rFonts w:ascii="Arial" w:hAnsi="Arial" w:cs="Arial"/>
          <w:sz w:val="20"/>
          <w:szCs w:val="20"/>
        </w:rPr>
        <w:t>In vitro studies resulted in little-to-no biotransformation of oxymorphone to 6-OH-oxymorphone by any of the major CYP450 isoforms at therapeutically relevant oxymorphone plasma concentrations. Clinical drug interaction studies with oxymorphone hydrochloride ER tablets found no induction of CYP 3A4 or 2C9 enzyme activity, indicating that no dose adjustment for CYP 3A4- or 2C9-mediated drug-drug interactions is required.</w:t>
      </w:r>
    </w:p>
    <w:p w:rsidR="000E4958" w:rsidRDefault="000E4958" w:rsidP="0050546F">
      <w:pPr>
        <w:spacing w:after="0" w:line="240" w:lineRule="auto"/>
        <w:rPr>
          <w:rFonts w:ascii="Arial" w:hAnsi="Arial" w:cs="Arial"/>
          <w:sz w:val="16"/>
          <w:szCs w:val="16"/>
        </w:rPr>
      </w:pPr>
    </w:p>
    <w:p w:rsidR="008B0860" w:rsidRPr="009B7CBE" w:rsidRDefault="00C87D54" w:rsidP="008B0860">
      <w:pPr>
        <w:spacing w:after="0" w:line="240" w:lineRule="auto"/>
        <w:rPr>
          <w:rFonts w:ascii="Arial" w:hAnsi="Arial" w:cs="Arial"/>
          <w:b/>
          <w:sz w:val="20"/>
          <w:szCs w:val="20"/>
          <w:u w:val="single"/>
          <w:vertAlign w:val="superscript"/>
        </w:rPr>
      </w:pPr>
      <w:r w:rsidRPr="00C87D54">
        <w:rPr>
          <w:rFonts w:ascii="Arial" w:hAnsi="Arial" w:cs="Arial"/>
          <w:b/>
          <w:sz w:val="20"/>
          <w:szCs w:val="20"/>
          <w:u w:val="single"/>
        </w:rPr>
        <w:t>Dosage Forms</w:t>
      </w:r>
    </w:p>
    <w:p w:rsidR="0089006E" w:rsidRDefault="0089006E" w:rsidP="008B0860">
      <w:pPr>
        <w:pStyle w:val="NoSpacing"/>
        <w:rPr>
          <w:rFonts w:ascii="Arial" w:hAnsi="Arial" w:cs="Arial"/>
          <w:sz w:val="20"/>
          <w:szCs w:val="20"/>
        </w:rPr>
      </w:pPr>
    </w:p>
    <w:p w:rsidR="007A4633" w:rsidRPr="00AC29F5" w:rsidRDefault="007A4633" w:rsidP="007A4633">
      <w:pPr>
        <w:spacing w:after="0" w:line="240" w:lineRule="auto"/>
        <w:rPr>
          <w:rFonts w:ascii="Arial" w:hAnsi="Arial" w:cs="Arial"/>
          <w:bCs/>
          <w:sz w:val="20"/>
          <w:szCs w:val="20"/>
          <w:vertAlign w:val="superscript"/>
        </w:rPr>
      </w:pPr>
      <w:r w:rsidRPr="0044122B">
        <w:rPr>
          <w:rFonts w:ascii="Arial" w:hAnsi="Arial" w:cs="Arial"/>
          <w:b/>
          <w:sz w:val="20"/>
          <w:szCs w:val="20"/>
        </w:rPr>
        <w:t xml:space="preserve">Table </w:t>
      </w:r>
      <w:r w:rsidR="00E139EB">
        <w:rPr>
          <w:rFonts w:ascii="Arial" w:hAnsi="Arial" w:cs="Arial"/>
          <w:b/>
          <w:sz w:val="20"/>
          <w:szCs w:val="20"/>
        </w:rPr>
        <w:t>4</w:t>
      </w:r>
      <w:r>
        <w:rPr>
          <w:rFonts w:ascii="Arial" w:hAnsi="Arial" w:cs="Arial"/>
          <w:b/>
          <w:sz w:val="20"/>
          <w:szCs w:val="20"/>
        </w:rPr>
        <w:t>. Availability, Storage and Handling</w:t>
      </w:r>
      <w:r>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2210"/>
        <w:gridCol w:w="4060"/>
      </w:tblGrid>
      <w:tr w:rsidR="007A4633" w:rsidRPr="0044122B" w:rsidTr="000E4958">
        <w:trPr>
          <w:tblHeader/>
        </w:trPr>
        <w:tc>
          <w:tcPr>
            <w:tcW w:w="3190" w:type="dxa"/>
            <w:tcBorders>
              <w:bottom w:val="single" w:sz="4" w:space="0" w:color="000000"/>
            </w:tcBorders>
            <w:shd w:val="clear" w:color="auto" w:fill="C0C0C0"/>
            <w:vAlign w:val="center"/>
          </w:tcPr>
          <w:p w:rsidR="007A4633" w:rsidRPr="0044122B" w:rsidRDefault="007A4633" w:rsidP="007A4633">
            <w:pPr>
              <w:pStyle w:val="NoSpacing"/>
              <w:jc w:val="center"/>
              <w:rPr>
                <w:rFonts w:ascii="Arial" w:hAnsi="Arial" w:cs="Arial"/>
                <w:b/>
                <w:sz w:val="20"/>
                <w:szCs w:val="20"/>
              </w:rPr>
            </w:pPr>
            <w:r>
              <w:rPr>
                <w:rFonts w:ascii="Arial" w:hAnsi="Arial" w:cs="Arial"/>
                <w:b/>
                <w:sz w:val="20"/>
                <w:szCs w:val="20"/>
              </w:rPr>
              <w:t>Dosage Form</w:t>
            </w:r>
          </w:p>
        </w:tc>
        <w:tc>
          <w:tcPr>
            <w:tcW w:w="2210" w:type="dxa"/>
            <w:tcBorders>
              <w:bottom w:val="single" w:sz="4" w:space="0" w:color="000000"/>
            </w:tcBorders>
            <w:shd w:val="clear" w:color="auto" w:fill="C0C0C0"/>
            <w:vAlign w:val="center"/>
          </w:tcPr>
          <w:p w:rsidR="007A4633" w:rsidRPr="0044122B" w:rsidRDefault="007A4633" w:rsidP="007A4633">
            <w:pPr>
              <w:pStyle w:val="NoSpacing"/>
              <w:jc w:val="center"/>
              <w:rPr>
                <w:rFonts w:ascii="Arial" w:hAnsi="Arial" w:cs="Arial"/>
                <w:b/>
                <w:sz w:val="20"/>
                <w:szCs w:val="20"/>
              </w:rPr>
            </w:pPr>
            <w:r>
              <w:rPr>
                <w:rFonts w:ascii="Arial" w:hAnsi="Arial" w:cs="Arial"/>
                <w:b/>
                <w:sz w:val="20"/>
                <w:szCs w:val="20"/>
              </w:rPr>
              <w:t>Strength</w:t>
            </w:r>
          </w:p>
        </w:tc>
        <w:tc>
          <w:tcPr>
            <w:tcW w:w="4060" w:type="dxa"/>
            <w:tcBorders>
              <w:bottom w:val="single" w:sz="4" w:space="0" w:color="000000"/>
            </w:tcBorders>
            <w:shd w:val="clear" w:color="auto" w:fill="C0C0C0"/>
            <w:vAlign w:val="center"/>
          </w:tcPr>
          <w:p w:rsidR="007A4633" w:rsidRPr="0044122B" w:rsidRDefault="007A4633" w:rsidP="007A4633">
            <w:pPr>
              <w:pStyle w:val="NoSpacing"/>
              <w:jc w:val="center"/>
              <w:rPr>
                <w:rFonts w:ascii="Arial" w:hAnsi="Arial" w:cs="Arial"/>
                <w:b/>
                <w:sz w:val="20"/>
                <w:szCs w:val="20"/>
              </w:rPr>
            </w:pPr>
            <w:r>
              <w:rPr>
                <w:rFonts w:ascii="Arial" w:hAnsi="Arial" w:cs="Arial"/>
                <w:b/>
                <w:sz w:val="20"/>
                <w:szCs w:val="20"/>
              </w:rPr>
              <w:t>Special Handling or Storage</w:t>
            </w:r>
          </w:p>
        </w:tc>
      </w:tr>
      <w:tr w:rsidR="007A4633" w:rsidRPr="0044122B" w:rsidTr="000E4958">
        <w:tc>
          <w:tcPr>
            <w:tcW w:w="3190" w:type="dxa"/>
          </w:tcPr>
          <w:p w:rsidR="007A4633" w:rsidRDefault="007A4633" w:rsidP="007A4633">
            <w:pPr>
              <w:spacing w:after="0" w:line="240" w:lineRule="auto"/>
              <w:rPr>
                <w:rFonts w:ascii="Arial" w:hAnsi="Arial" w:cs="Arial"/>
                <w:sz w:val="20"/>
                <w:szCs w:val="20"/>
              </w:rPr>
            </w:pPr>
            <w:r>
              <w:rPr>
                <w:rFonts w:ascii="Arial" w:hAnsi="Arial" w:cs="Arial"/>
                <w:sz w:val="20"/>
                <w:szCs w:val="20"/>
              </w:rPr>
              <w:t>Extended-release tablet</w:t>
            </w:r>
          </w:p>
          <w:p w:rsidR="007A4633" w:rsidRPr="004D5C46" w:rsidRDefault="007A4633" w:rsidP="007A4633">
            <w:pPr>
              <w:spacing w:after="0" w:line="240" w:lineRule="auto"/>
              <w:rPr>
                <w:rFonts w:ascii="Arial" w:hAnsi="Arial" w:cs="Arial"/>
                <w:sz w:val="20"/>
                <w:szCs w:val="20"/>
              </w:rPr>
            </w:pPr>
          </w:p>
        </w:tc>
        <w:tc>
          <w:tcPr>
            <w:tcW w:w="2210" w:type="dxa"/>
          </w:tcPr>
          <w:p w:rsidR="000E4958" w:rsidRDefault="000E4958" w:rsidP="007A4633">
            <w:pPr>
              <w:spacing w:after="0" w:line="240" w:lineRule="auto"/>
              <w:jc w:val="center"/>
              <w:rPr>
                <w:rFonts w:ascii="Arial" w:hAnsi="Arial" w:cs="Arial"/>
                <w:sz w:val="20"/>
                <w:szCs w:val="20"/>
              </w:rPr>
            </w:pPr>
            <w:r>
              <w:rPr>
                <w:rFonts w:ascii="Arial" w:hAnsi="Arial" w:cs="Arial"/>
                <w:sz w:val="20"/>
                <w:szCs w:val="20"/>
              </w:rPr>
              <w:t>5 mg</w:t>
            </w:r>
          </w:p>
          <w:p w:rsidR="000E4958" w:rsidRDefault="000E4958" w:rsidP="007A4633">
            <w:pPr>
              <w:spacing w:after="0" w:line="240" w:lineRule="auto"/>
              <w:jc w:val="center"/>
              <w:rPr>
                <w:rFonts w:ascii="Arial" w:hAnsi="Arial" w:cs="Arial"/>
                <w:sz w:val="20"/>
                <w:szCs w:val="20"/>
              </w:rPr>
            </w:pPr>
            <w:r>
              <w:rPr>
                <w:rFonts w:ascii="Arial" w:hAnsi="Arial" w:cs="Arial"/>
                <w:sz w:val="20"/>
                <w:szCs w:val="20"/>
              </w:rPr>
              <w:t>7.5 mg</w:t>
            </w:r>
          </w:p>
          <w:p w:rsidR="007A4633" w:rsidRDefault="007A4633" w:rsidP="007A4633">
            <w:pPr>
              <w:spacing w:after="0" w:line="240" w:lineRule="auto"/>
              <w:jc w:val="center"/>
              <w:rPr>
                <w:rFonts w:ascii="Arial" w:hAnsi="Arial" w:cs="Arial"/>
                <w:sz w:val="20"/>
                <w:szCs w:val="20"/>
              </w:rPr>
            </w:pPr>
            <w:r>
              <w:rPr>
                <w:rFonts w:ascii="Arial" w:hAnsi="Arial" w:cs="Arial"/>
                <w:sz w:val="20"/>
                <w:szCs w:val="20"/>
              </w:rPr>
              <w:t>10 mg</w:t>
            </w:r>
          </w:p>
          <w:p w:rsidR="007A4633" w:rsidRDefault="007A4633" w:rsidP="007A4633">
            <w:pPr>
              <w:spacing w:after="0" w:line="240" w:lineRule="auto"/>
              <w:jc w:val="center"/>
              <w:rPr>
                <w:rFonts w:ascii="Arial" w:hAnsi="Arial" w:cs="Arial"/>
                <w:sz w:val="20"/>
                <w:szCs w:val="20"/>
              </w:rPr>
            </w:pPr>
            <w:r>
              <w:rPr>
                <w:rFonts w:ascii="Arial" w:hAnsi="Arial" w:cs="Arial"/>
                <w:sz w:val="20"/>
                <w:szCs w:val="20"/>
              </w:rPr>
              <w:t>15 mg</w:t>
            </w:r>
          </w:p>
          <w:p w:rsidR="007A4633" w:rsidRDefault="007A4633" w:rsidP="007A4633">
            <w:pPr>
              <w:spacing w:after="0" w:line="240" w:lineRule="auto"/>
              <w:jc w:val="center"/>
              <w:rPr>
                <w:rFonts w:ascii="Arial" w:hAnsi="Arial" w:cs="Arial"/>
                <w:sz w:val="20"/>
                <w:szCs w:val="20"/>
              </w:rPr>
            </w:pPr>
            <w:r>
              <w:rPr>
                <w:rFonts w:ascii="Arial" w:hAnsi="Arial" w:cs="Arial"/>
                <w:sz w:val="20"/>
                <w:szCs w:val="20"/>
              </w:rPr>
              <w:lastRenderedPageBreak/>
              <w:t>20 mg</w:t>
            </w:r>
          </w:p>
          <w:p w:rsidR="007A4633" w:rsidRDefault="007A4633" w:rsidP="007A4633">
            <w:pPr>
              <w:spacing w:after="0" w:line="240" w:lineRule="auto"/>
              <w:jc w:val="center"/>
              <w:rPr>
                <w:rFonts w:ascii="Arial" w:hAnsi="Arial" w:cs="Arial"/>
                <w:sz w:val="20"/>
                <w:szCs w:val="20"/>
              </w:rPr>
            </w:pPr>
            <w:r>
              <w:rPr>
                <w:rFonts w:ascii="Arial" w:hAnsi="Arial" w:cs="Arial"/>
                <w:sz w:val="20"/>
                <w:szCs w:val="20"/>
              </w:rPr>
              <w:t>30 mg</w:t>
            </w:r>
          </w:p>
          <w:p w:rsidR="000E4958" w:rsidRPr="000E4958" w:rsidRDefault="000E4958" w:rsidP="000E4958">
            <w:pPr>
              <w:spacing w:after="0" w:line="240" w:lineRule="auto"/>
              <w:jc w:val="center"/>
              <w:rPr>
                <w:rFonts w:ascii="Arial" w:hAnsi="Arial" w:cs="Arial"/>
                <w:sz w:val="20"/>
                <w:szCs w:val="20"/>
              </w:rPr>
            </w:pPr>
            <w:r>
              <w:rPr>
                <w:rFonts w:ascii="Arial" w:hAnsi="Arial" w:cs="Arial"/>
                <w:sz w:val="20"/>
                <w:szCs w:val="20"/>
              </w:rPr>
              <w:t>40 mg</w:t>
            </w:r>
          </w:p>
        </w:tc>
        <w:tc>
          <w:tcPr>
            <w:tcW w:w="4060" w:type="dxa"/>
          </w:tcPr>
          <w:p w:rsidR="000E4958" w:rsidRPr="000E4958" w:rsidRDefault="000E4958" w:rsidP="000E4958">
            <w:pPr>
              <w:spacing w:after="0" w:line="240" w:lineRule="auto"/>
              <w:rPr>
                <w:rFonts w:ascii="Arial" w:hAnsi="Arial" w:cs="Arial"/>
                <w:sz w:val="20"/>
                <w:szCs w:val="20"/>
              </w:rPr>
            </w:pPr>
            <w:r w:rsidRPr="000E4958">
              <w:rPr>
                <w:rFonts w:ascii="Arial" w:hAnsi="Arial" w:cs="Arial"/>
                <w:sz w:val="20"/>
                <w:szCs w:val="20"/>
              </w:rPr>
              <w:lastRenderedPageBreak/>
              <w:t>Store at 25°C (77°F); excursions permitted between 15° and 30°C (59° and 86°F).</w:t>
            </w:r>
          </w:p>
          <w:p w:rsidR="000E4958" w:rsidRPr="000E4958" w:rsidRDefault="000E4958" w:rsidP="000E4958">
            <w:pPr>
              <w:spacing w:after="0" w:line="240" w:lineRule="auto"/>
              <w:rPr>
                <w:rFonts w:ascii="Arial" w:hAnsi="Arial" w:cs="Arial"/>
                <w:sz w:val="20"/>
                <w:szCs w:val="20"/>
              </w:rPr>
            </w:pPr>
          </w:p>
          <w:p w:rsidR="007A4633" w:rsidRPr="0039388F" w:rsidRDefault="000E4958" w:rsidP="007A4633">
            <w:pPr>
              <w:spacing w:after="0" w:line="240" w:lineRule="auto"/>
              <w:rPr>
                <w:rFonts w:ascii="Arial" w:hAnsi="Arial" w:cs="Arial"/>
                <w:sz w:val="20"/>
                <w:szCs w:val="20"/>
              </w:rPr>
            </w:pPr>
            <w:r w:rsidRPr="000E4958">
              <w:rPr>
                <w:rFonts w:ascii="Arial" w:hAnsi="Arial" w:cs="Arial"/>
                <w:sz w:val="20"/>
                <w:szCs w:val="20"/>
              </w:rPr>
              <w:t xml:space="preserve">Dispense in a tight container as defined in </w:t>
            </w:r>
            <w:r w:rsidRPr="000E4958">
              <w:rPr>
                <w:rFonts w:ascii="Arial" w:hAnsi="Arial" w:cs="Arial"/>
                <w:sz w:val="20"/>
                <w:szCs w:val="20"/>
              </w:rPr>
              <w:lastRenderedPageBreak/>
              <w:t>the United States Pharmacopeia (USP), with a child-resistant closure (as required).</w:t>
            </w:r>
          </w:p>
        </w:tc>
      </w:tr>
    </w:tbl>
    <w:p w:rsidR="00C87D54" w:rsidRDefault="00C87D54" w:rsidP="00C87D54">
      <w:pPr>
        <w:pStyle w:val="NoSpacing"/>
        <w:rPr>
          <w:rFonts w:ascii="Arial" w:hAnsi="Arial" w:cs="Arial"/>
          <w:b/>
          <w:sz w:val="20"/>
          <w:szCs w:val="20"/>
          <w:vertAlign w:val="superscript"/>
        </w:rPr>
      </w:pPr>
      <w:r w:rsidRPr="0044122B">
        <w:rPr>
          <w:rFonts w:ascii="Arial" w:hAnsi="Arial" w:cs="Arial"/>
          <w:b/>
          <w:sz w:val="20"/>
          <w:szCs w:val="20"/>
          <w:u w:val="single"/>
        </w:rPr>
        <w:lastRenderedPageBreak/>
        <w:t xml:space="preserve">Dosage </w:t>
      </w:r>
      <w:r>
        <w:rPr>
          <w:rFonts w:ascii="Arial" w:hAnsi="Arial" w:cs="Arial"/>
          <w:b/>
          <w:sz w:val="20"/>
          <w:szCs w:val="20"/>
          <w:u w:val="single"/>
        </w:rPr>
        <w:t>Range</w:t>
      </w:r>
      <w:r w:rsidR="00E139EB">
        <w:rPr>
          <w:rFonts w:ascii="Arial" w:hAnsi="Arial" w:cs="Arial"/>
          <w:b/>
          <w:sz w:val="20"/>
          <w:szCs w:val="20"/>
          <w:vertAlign w:val="superscript"/>
        </w:rPr>
        <w:t>1-2</w:t>
      </w:r>
    </w:p>
    <w:p w:rsidR="007D4A5B" w:rsidRDefault="007D4A5B" w:rsidP="00C87D54">
      <w:pPr>
        <w:pStyle w:val="NoSpacing"/>
        <w:rPr>
          <w:rFonts w:ascii="Arial" w:hAnsi="Arial" w:cs="Arial"/>
          <w:b/>
          <w:sz w:val="20"/>
          <w:szCs w:val="20"/>
          <w:vertAlign w:val="superscript"/>
        </w:rPr>
      </w:pPr>
    </w:p>
    <w:p w:rsidR="007D4A5B" w:rsidRDefault="007D4A5B" w:rsidP="00C87D54">
      <w:pPr>
        <w:pStyle w:val="NoSpacing"/>
        <w:rPr>
          <w:rFonts w:ascii="Arial" w:hAnsi="Arial" w:cs="Arial"/>
          <w:bCs/>
          <w:sz w:val="20"/>
          <w:szCs w:val="20"/>
        </w:rPr>
      </w:pPr>
      <w:r>
        <w:rPr>
          <w:rFonts w:ascii="Arial" w:hAnsi="Arial" w:cs="Arial"/>
          <w:bCs/>
          <w:sz w:val="20"/>
          <w:szCs w:val="20"/>
        </w:rPr>
        <w:t>Please be aware that oxymorphone is available as both immediate-release 5 and 10mg tablets and extended-release 5 and 10 mg tablets.</w:t>
      </w:r>
    </w:p>
    <w:p w:rsidR="007D4A5B" w:rsidRDefault="007D4A5B" w:rsidP="00C87D54">
      <w:pPr>
        <w:pStyle w:val="NoSpacing"/>
        <w:rPr>
          <w:rFonts w:ascii="Arial" w:hAnsi="Arial" w:cs="Arial"/>
          <w:sz w:val="20"/>
          <w:szCs w:val="20"/>
          <w:u w:val="single"/>
        </w:rPr>
      </w:pPr>
    </w:p>
    <w:p w:rsidR="007D4A5B" w:rsidRDefault="007D4A5B" w:rsidP="00C87D54">
      <w:pPr>
        <w:pStyle w:val="NoSpacing"/>
        <w:rPr>
          <w:rFonts w:ascii="Arial" w:hAnsi="Arial" w:cs="Arial"/>
          <w:sz w:val="20"/>
          <w:szCs w:val="20"/>
          <w:u w:val="single"/>
        </w:rPr>
      </w:pPr>
      <w:r>
        <w:rPr>
          <w:rFonts w:ascii="Arial" w:hAnsi="Arial" w:cs="Arial"/>
          <w:sz w:val="20"/>
          <w:szCs w:val="20"/>
          <w:u w:val="single"/>
        </w:rPr>
        <w:t>Initial dosing:</w:t>
      </w:r>
    </w:p>
    <w:p w:rsidR="007D4A5B" w:rsidRDefault="007D4A5B" w:rsidP="007D4A5B">
      <w:pPr>
        <w:spacing w:after="0" w:line="240" w:lineRule="auto"/>
        <w:rPr>
          <w:rFonts w:ascii="Arial" w:hAnsi="Arial" w:cs="Arial"/>
          <w:bCs/>
          <w:sz w:val="20"/>
          <w:szCs w:val="20"/>
        </w:rPr>
      </w:pPr>
      <w:r w:rsidRPr="007D4A5B">
        <w:rPr>
          <w:rFonts w:ascii="Arial" w:hAnsi="Arial" w:cs="Arial"/>
          <w:bCs/>
          <w:sz w:val="20"/>
          <w:szCs w:val="20"/>
        </w:rPr>
        <w:t xml:space="preserve">The dosing regimen for each patient should be individualized, taking into account the patient’s prior analgesic treatment experience and risk factors for addiction, abuse and misuse. </w:t>
      </w:r>
    </w:p>
    <w:p w:rsidR="004F3495" w:rsidRDefault="004F3495" w:rsidP="007D4A5B">
      <w:pPr>
        <w:spacing w:after="0" w:line="240" w:lineRule="auto"/>
        <w:rPr>
          <w:rFonts w:ascii="Arial" w:hAnsi="Arial" w:cs="Arial"/>
          <w:sz w:val="20"/>
          <w:szCs w:val="20"/>
          <w:u w:val="single"/>
        </w:rPr>
      </w:pPr>
    </w:p>
    <w:p w:rsidR="007D4A5B" w:rsidRPr="007D4A5B" w:rsidRDefault="007D4A5B" w:rsidP="007D4A5B">
      <w:pPr>
        <w:spacing w:after="0" w:line="240" w:lineRule="auto"/>
        <w:rPr>
          <w:rFonts w:ascii="Arial" w:hAnsi="Arial" w:cs="Arial"/>
          <w:sz w:val="20"/>
          <w:szCs w:val="20"/>
          <w:u w:val="single"/>
        </w:rPr>
      </w:pPr>
      <w:r w:rsidRPr="007D4A5B">
        <w:rPr>
          <w:rFonts w:ascii="Arial" w:hAnsi="Arial" w:cs="Arial"/>
          <w:sz w:val="20"/>
          <w:szCs w:val="20"/>
          <w:u w:val="single"/>
        </w:rPr>
        <w:t xml:space="preserve">Use of </w:t>
      </w:r>
      <w:r w:rsidRPr="000C4F56">
        <w:rPr>
          <w:rFonts w:ascii="Arial" w:hAnsi="Arial" w:cs="Arial"/>
          <w:sz w:val="20"/>
          <w:szCs w:val="20"/>
          <w:u w:val="single"/>
        </w:rPr>
        <w:t>Opana</w:t>
      </w:r>
      <w:r w:rsidR="000C4F56" w:rsidRPr="000C4F56">
        <w:rPr>
          <w:rFonts w:ascii="Arial" w:hAnsi="Arial" w:cs="Arial"/>
          <w:sz w:val="20"/>
          <w:szCs w:val="20"/>
          <w:u w:val="single"/>
          <w:vertAlign w:val="superscript"/>
        </w:rPr>
        <w:t>®</w:t>
      </w:r>
      <w:r w:rsidRPr="007D4A5B">
        <w:rPr>
          <w:rFonts w:ascii="Arial" w:hAnsi="Arial" w:cs="Arial"/>
          <w:sz w:val="20"/>
          <w:szCs w:val="20"/>
          <w:u w:val="single"/>
        </w:rPr>
        <w:t xml:space="preserve"> ER</w:t>
      </w:r>
      <w:r w:rsidRPr="007D4A5B">
        <w:rPr>
          <w:rFonts w:ascii="Arial" w:hAnsi="Arial" w:cs="Arial"/>
          <w:sz w:val="20"/>
          <w:szCs w:val="20"/>
          <w:u w:val="single"/>
          <w:vertAlign w:val="superscript"/>
        </w:rPr>
        <w:t xml:space="preserve"> </w:t>
      </w:r>
      <w:r w:rsidRPr="007D4A5B">
        <w:rPr>
          <w:rFonts w:ascii="Arial" w:hAnsi="Arial" w:cs="Arial"/>
          <w:sz w:val="20"/>
          <w:szCs w:val="20"/>
          <w:u w:val="single"/>
        </w:rPr>
        <w:t xml:space="preserve">(oxymorphone ER) </w:t>
      </w:r>
      <w:r w:rsidR="004F3495">
        <w:rPr>
          <w:rFonts w:ascii="Arial" w:hAnsi="Arial" w:cs="Arial"/>
          <w:sz w:val="20"/>
          <w:szCs w:val="20"/>
          <w:u w:val="single"/>
        </w:rPr>
        <w:t>as the first opioid analgesic or in patients who are not opioid tolerant</w:t>
      </w:r>
      <w:r>
        <w:rPr>
          <w:rFonts w:ascii="Arial" w:hAnsi="Arial" w:cs="Arial"/>
          <w:sz w:val="20"/>
          <w:szCs w:val="20"/>
          <w:u w:val="single"/>
        </w:rPr>
        <w:t>:</w:t>
      </w:r>
    </w:p>
    <w:p w:rsidR="007D4A5B" w:rsidRPr="007D4A5B" w:rsidRDefault="007D4A5B" w:rsidP="007D4A5B">
      <w:pPr>
        <w:spacing w:after="0" w:line="240" w:lineRule="auto"/>
        <w:rPr>
          <w:rFonts w:ascii="Arial" w:hAnsi="Arial" w:cs="Arial"/>
          <w:bCs/>
          <w:sz w:val="20"/>
          <w:szCs w:val="20"/>
        </w:rPr>
      </w:pPr>
      <w:r w:rsidRPr="00904D3C">
        <w:rPr>
          <w:rFonts w:ascii="Arial" w:hAnsi="Arial" w:cs="Arial"/>
          <w:sz w:val="20"/>
          <w:szCs w:val="20"/>
        </w:rPr>
        <w:t>Opana</w:t>
      </w:r>
      <w:r w:rsidR="000C4F56"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5 mg orally every 12 hours</w:t>
      </w:r>
    </w:p>
    <w:p w:rsidR="007D4A5B" w:rsidRDefault="007D4A5B" w:rsidP="007D4A5B">
      <w:pPr>
        <w:spacing w:after="0" w:line="240" w:lineRule="auto"/>
        <w:rPr>
          <w:rFonts w:ascii="Arial" w:hAnsi="Arial" w:cs="Arial"/>
          <w:sz w:val="20"/>
          <w:szCs w:val="20"/>
          <w:u w:val="single"/>
        </w:rPr>
      </w:pPr>
    </w:p>
    <w:p w:rsidR="00C031FB" w:rsidRPr="00C031FB" w:rsidRDefault="00C031FB" w:rsidP="00C031FB">
      <w:pPr>
        <w:spacing w:after="0" w:line="240" w:lineRule="auto"/>
        <w:rPr>
          <w:rFonts w:ascii="Arial" w:eastAsia="Times New Roman" w:hAnsi="Arial" w:cs="Arial"/>
          <w:sz w:val="20"/>
          <w:szCs w:val="20"/>
        </w:rPr>
      </w:pPr>
      <w:r w:rsidRPr="00C031FB">
        <w:rPr>
          <w:rFonts w:ascii="Arial" w:eastAsia="Times New Roman" w:hAnsi="Arial" w:cs="Arial"/>
          <w:sz w:val="20"/>
          <w:szCs w:val="20"/>
        </w:rPr>
        <w:t>Adult patients who are opioid tolerant are those receiving, for one week or longer, at least 60 mg oral morphine per day, 25 µg transdermal fentanyl per hour, 30 mg oral oxycodone per day, 8 mg oral hydromorphone per day, 25 mg oral oxymorphone per day, or an equianalgesic dose of another opioid.</w:t>
      </w:r>
    </w:p>
    <w:p w:rsidR="00C031FB" w:rsidRDefault="00C031FB" w:rsidP="007D4A5B">
      <w:pPr>
        <w:spacing w:after="0" w:line="240" w:lineRule="auto"/>
        <w:rPr>
          <w:rFonts w:ascii="Arial" w:hAnsi="Arial" w:cs="Arial"/>
          <w:bCs/>
          <w:sz w:val="20"/>
          <w:szCs w:val="20"/>
        </w:rPr>
      </w:pPr>
    </w:p>
    <w:p w:rsidR="00C031FB" w:rsidRPr="007D4A5B" w:rsidRDefault="00C031FB" w:rsidP="007D4A5B">
      <w:pPr>
        <w:spacing w:after="0" w:line="240" w:lineRule="auto"/>
        <w:rPr>
          <w:rFonts w:ascii="Arial" w:hAnsi="Arial" w:cs="Arial"/>
          <w:bCs/>
          <w:sz w:val="20"/>
          <w:szCs w:val="20"/>
        </w:rPr>
      </w:pPr>
      <w:r>
        <w:rPr>
          <w:rFonts w:ascii="Arial" w:hAnsi="Arial" w:cs="Arial"/>
          <w:bCs/>
          <w:sz w:val="20"/>
          <w:szCs w:val="20"/>
        </w:rPr>
        <w:t>Use of higher starting doses in patients who are not opioid tolerant may cause fatal respiratory depression.</w:t>
      </w:r>
    </w:p>
    <w:p w:rsidR="007D4A5B" w:rsidRDefault="007D4A5B" w:rsidP="00C87D54">
      <w:pPr>
        <w:pStyle w:val="NoSpacing"/>
        <w:rPr>
          <w:rFonts w:ascii="Arial" w:hAnsi="Arial" w:cs="Arial"/>
          <w:sz w:val="20"/>
          <w:szCs w:val="20"/>
          <w:u w:val="single"/>
        </w:rPr>
      </w:pPr>
    </w:p>
    <w:p w:rsidR="00C031FB" w:rsidRDefault="00C031FB" w:rsidP="00C031FB">
      <w:pPr>
        <w:pStyle w:val="NoSpacing"/>
        <w:rPr>
          <w:rFonts w:ascii="Arial" w:hAnsi="Arial" w:cs="Arial"/>
          <w:sz w:val="20"/>
          <w:szCs w:val="20"/>
          <w:u w:val="single"/>
        </w:rPr>
      </w:pPr>
      <w:r w:rsidRPr="00C031FB">
        <w:rPr>
          <w:rFonts w:ascii="Arial" w:hAnsi="Arial" w:cs="Arial"/>
          <w:sz w:val="20"/>
          <w:szCs w:val="20"/>
          <w:u w:val="single"/>
        </w:rPr>
        <w:t xml:space="preserve">Conversion from </w:t>
      </w:r>
      <w:r>
        <w:rPr>
          <w:rFonts w:ascii="Arial" w:hAnsi="Arial" w:cs="Arial"/>
          <w:sz w:val="20"/>
          <w:szCs w:val="20"/>
          <w:u w:val="single"/>
        </w:rPr>
        <w:t>Opana</w:t>
      </w:r>
      <w:r>
        <w:rPr>
          <w:rFonts w:cs="Arial"/>
          <w:sz w:val="20"/>
          <w:szCs w:val="20"/>
          <w:u w:val="single"/>
        </w:rPr>
        <w:t>®</w:t>
      </w:r>
      <w:r>
        <w:rPr>
          <w:rFonts w:ascii="Arial" w:hAnsi="Arial" w:cs="Arial"/>
          <w:sz w:val="20"/>
          <w:szCs w:val="20"/>
          <w:u w:val="single"/>
        </w:rPr>
        <w:t xml:space="preserve"> (</w:t>
      </w:r>
      <w:r w:rsidRPr="00C031FB">
        <w:rPr>
          <w:rFonts w:ascii="Arial" w:hAnsi="Arial" w:cs="Arial"/>
          <w:sz w:val="20"/>
          <w:szCs w:val="20"/>
          <w:u w:val="single"/>
        </w:rPr>
        <w:t>oxymorphone</w:t>
      </w:r>
      <w:r>
        <w:rPr>
          <w:rFonts w:ascii="Arial" w:hAnsi="Arial" w:cs="Arial"/>
          <w:sz w:val="20"/>
          <w:szCs w:val="20"/>
          <w:u w:val="single"/>
        </w:rPr>
        <w:t>)</w:t>
      </w:r>
      <w:r w:rsidRPr="00C031FB">
        <w:rPr>
          <w:rFonts w:ascii="Arial" w:hAnsi="Arial" w:cs="Arial"/>
          <w:sz w:val="20"/>
          <w:szCs w:val="20"/>
          <w:u w:val="single"/>
        </w:rPr>
        <w:t xml:space="preserve"> to </w:t>
      </w:r>
      <w:r w:rsidRPr="00A25221">
        <w:rPr>
          <w:rFonts w:ascii="Arial" w:hAnsi="Arial" w:cs="Arial"/>
          <w:sz w:val="20"/>
          <w:szCs w:val="20"/>
          <w:u w:val="single"/>
        </w:rPr>
        <w:t>Opana</w:t>
      </w:r>
      <w:r w:rsidR="00A25221" w:rsidRPr="00A25221">
        <w:rPr>
          <w:rFonts w:ascii="Arial" w:hAnsi="Arial" w:cs="Arial"/>
          <w:sz w:val="20"/>
          <w:szCs w:val="20"/>
          <w:u w:val="single"/>
          <w:vertAlign w:val="superscript"/>
        </w:rPr>
        <w:t>®</w:t>
      </w:r>
      <w:r w:rsidRPr="00C031FB">
        <w:rPr>
          <w:rFonts w:ascii="Arial" w:hAnsi="Arial" w:cs="Arial"/>
          <w:sz w:val="20"/>
          <w:szCs w:val="20"/>
          <w:u w:val="single"/>
        </w:rPr>
        <w:t xml:space="preserve"> ER</w:t>
      </w:r>
      <w:r w:rsidRPr="00C031FB">
        <w:rPr>
          <w:rFonts w:ascii="Arial" w:hAnsi="Arial" w:cs="Arial"/>
          <w:sz w:val="20"/>
          <w:szCs w:val="20"/>
          <w:u w:val="single"/>
          <w:vertAlign w:val="superscript"/>
        </w:rPr>
        <w:t xml:space="preserve"> </w:t>
      </w:r>
      <w:r w:rsidRPr="00C031FB">
        <w:rPr>
          <w:rFonts w:ascii="Arial" w:hAnsi="Arial" w:cs="Arial"/>
          <w:sz w:val="20"/>
          <w:szCs w:val="20"/>
          <w:u w:val="single"/>
        </w:rPr>
        <w:t>(oxymorphone ER)</w:t>
      </w:r>
      <w:r>
        <w:rPr>
          <w:rFonts w:ascii="Arial" w:hAnsi="Arial" w:cs="Arial"/>
          <w:sz w:val="20"/>
          <w:szCs w:val="20"/>
          <w:u w:val="single"/>
        </w:rPr>
        <w:t>:</w:t>
      </w:r>
    </w:p>
    <w:p w:rsidR="00C031FB" w:rsidRPr="00C031FB" w:rsidRDefault="00C031FB" w:rsidP="00C031FB">
      <w:pPr>
        <w:pStyle w:val="NoSpacing"/>
        <w:rPr>
          <w:rFonts w:ascii="Arial" w:hAnsi="Arial" w:cs="Arial"/>
          <w:sz w:val="20"/>
          <w:szCs w:val="20"/>
          <w:u w:val="single"/>
        </w:rPr>
      </w:pPr>
      <w:r w:rsidRPr="00C031FB">
        <w:rPr>
          <w:rFonts w:ascii="Arial" w:hAnsi="Arial" w:cs="Arial"/>
          <w:sz w:val="20"/>
          <w:szCs w:val="20"/>
        </w:rPr>
        <w:t>Patients receiving Opana</w:t>
      </w:r>
      <w:r w:rsidRPr="00C031FB">
        <w:rPr>
          <w:rFonts w:cs="Arial"/>
          <w:sz w:val="20"/>
          <w:szCs w:val="20"/>
        </w:rPr>
        <w:t>®</w:t>
      </w:r>
      <w:r w:rsidRPr="00C031FB">
        <w:rPr>
          <w:rFonts w:ascii="Arial" w:hAnsi="Arial" w:cs="Arial"/>
          <w:sz w:val="20"/>
          <w:szCs w:val="20"/>
        </w:rPr>
        <w:t xml:space="preserve"> (oxymorphone)</w:t>
      </w:r>
      <w:r>
        <w:rPr>
          <w:rFonts w:ascii="Arial" w:hAnsi="Arial" w:cs="Arial"/>
          <w:sz w:val="20"/>
          <w:szCs w:val="20"/>
        </w:rPr>
        <w:t xml:space="preserve"> </w:t>
      </w:r>
      <w:r w:rsidRPr="00C031FB">
        <w:rPr>
          <w:rFonts w:ascii="Arial" w:hAnsi="Arial" w:cs="Arial"/>
          <w:sz w:val="20"/>
          <w:szCs w:val="20"/>
        </w:rPr>
        <w:t xml:space="preserve">may be converted to </w:t>
      </w: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w:t>
      </w:r>
      <w:r w:rsidRPr="00C031FB">
        <w:rPr>
          <w:rFonts w:ascii="Arial" w:hAnsi="Arial" w:cs="Arial"/>
          <w:sz w:val="20"/>
          <w:szCs w:val="20"/>
        </w:rPr>
        <w:t>by</w:t>
      </w:r>
      <w:r>
        <w:rPr>
          <w:rFonts w:ascii="Arial" w:hAnsi="Arial" w:cs="Arial"/>
          <w:sz w:val="20"/>
          <w:szCs w:val="20"/>
        </w:rPr>
        <w:t xml:space="preserve"> administering half the patient’</w:t>
      </w:r>
      <w:r w:rsidRPr="00C031FB">
        <w:rPr>
          <w:rFonts w:ascii="Arial" w:hAnsi="Arial" w:cs="Arial"/>
          <w:sz w:val="20"/>
          <w:szCs w:val="20"/>
        </w:rPr>
        <w:t>s total daily oral Opana</w:t>
      </w:r>
      <w:r w:rsidRPr="00C031FB">
        <w:rPr>
          <w:rFonts w:cs="Arial"/>
          <w:sz w:val="20"/>
          <w:szCs w:val="20"/>
        </w:rPr>
        <w:t>®</w:t>
      </w:r>
      <w:r w:rsidRPr="00C031FB">
        <w:rPr>
          <w:rFonts w:ascii="Arial" w:hAnsi="Arial" w:cs="Arial"/>
          <w:sz w:val="20"/>
          <w:szCs w:val="20"/>
        </w:rPr>
        <w:t xml:space="preserve"> (oxymorphone) dose as </w:t>
      </w: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sidRPr="00C031FB">
        <w:rPr>
          <w:rFonts w:ascii="Arial" w:hAnsi="Arial" w:cs="Arial"/>
          <w:sz w:val="20"/>
          <w:szCs w:val="20"/>
        </w:rPr>
        <w:t>, every 12 hours.</w:t>
      </w:r>
    </w:p>
    <w:p w:rsidR="00C031FB" w:rsidRDefault="00C031FB" w:rsidP="00C87D54">
      <w:pPr>
        <w:pStyle w:val="NoSpacing"/>
        <w:rPr>
          <w:rFonts w:ascii="Arial" w:hAnsi="Arial" w:cs="Arial"/>
          <w:sz w:val="20"/>
          <w:szCs w:val="20"/>
          <w:u w:val="single"/>
        </w:rPr>
      </w:pPr>
    </w:p>
    <w:p w:rsidR="00C031FB" w:rsidRDefault="00C031FB" w:rsidP="00C87D54">
      <w:pPr>
        <w:pStyle w:val="NoSpacing"/>
        <w:rPr>
          <w:rFonts w:ascii="Arial" w:hAnsi="Arial" w:cs="Arial"/>
          <w:sz w:val="20"/>
          <w:szCs w:val="20"/>
          <w:u w:val="single"/>
        </w:rPr>
      </w:pPr>
      <w:r w:rsidRPr="00C031FB">
        <w:rPr>
          <w:rFonts w:ascii="Arial" w:hAnsi="Arial" w:cs="Arial"/>
          <w:sz w:val="20"/>
          <w:szCs w:val="20"/>
          <w:u w:val="single"/>
        </w:rPr>
        <w:t xml:space="preserve">Conversion from parenteral oxymorphone to </w:t>
      </w:r>
      <w:r w:rsidRPr="00A25221">
        <w:rPr>
          <w:rFonts w:ascii="Arial" w:hAnsi="Arial" w:cs="Arial"/>
          <w:sz w:val="20"/>
          <w:szCs w:val="20"/>
          <w:u w:val="single"/>
        </w:rPr>
        <w:t>Opana</w:t>
      </w:r>
      <w:r w:rsidR="00A25221" w:rsidRPr="00A25221">
        <w:rPr>
          <w:rFonts w:ascii="Arial" w:hAnsi="Arial" w:cs="Arial"/>
          <w:sz w:val="20"/>
          <w:szCs w:val="20"/>
          <w:u w:val="single"/>
          <w:vertAlign w:val="superscript"/>
        </w:rPr>
        <w:t>®</w:t>
      </w:r>
      <w:r w:rsidRPr="00C031FB">
        <w:rPr>
          <w:rFonts w:ascii="Arial" w:hAnsi="Arial" w:cs="Arial"/>
          <w:sz w:val="20"/>
          <w:szCs w:val="20"/>
          <w:u w:val="single"/>
        </w:rPr>
        <w:t xml:space="preserve"> ER</w:t>
      </w:r>
      <w:r w:rsidRPr="00C031FB">
        <w:rPr>
          <w:rFonts w:ascii="Arial" w:hAnsi="Arial" w:cs="Arial"/>
          <w:sz w:val="20"/>
          <w:szCs w:val="20"/>
          <w:u w:val="single"/>
          <w:vertAlign w:val="superscript"/>
        </w:rPr>
        <w:t xml:space="preserve"> </w:t>
      </w:r>
      <w:r w:rsidRPr="00C031FB">
        <w:rPr>
          <w:rFonts w:ascii="Arial" w:hAnsi="Arial" w:cs="Arial"/>
          <w:sz w:val="20"/>
          <w:szCs w:val="20"/>
          <w:u w:val="single"/>
        </w:rPr>
        <w:t>(oxymorphone ER)</w:t>
      </w:r>
      <w:r>
        <w:rPr>
          <w:rFonts w:ascii="Arial" w:hAnsi="Arial" w:cs="Arial"/>
          <w:sz w:val="20"/>
          <w:szCs w:val="20"/>
          <w:u w:val="single"/>
        </w:rPr>
        <w:t>:</w:t>
      </w:r>
    </w:p>
    <w:p w:rsidR="00C031FB" w:rsidRDefault="00C031FB" w:rsidP="00C87D54">
      <w:pPr>
        <w:pStyle w:val="NoSpacing"/>
        <w:rPr>
          <w:rFonts w:ascii="Arial" w:hAnsi="Arial" w:cs="Arial"/>
          <w:sz w:val="20"/>
          <w:szCs w:val="20"/>
        </w:rPr>
      </w:pPr>
      <w:r w:rsidRPr="00C031FB">
        <w:rPr>
          <w:rFonts w:ascii="Arial" w:hAnsi="Arial" w:cs="Arial"/>
          <w:sz w:val="20"/>
          <w:szCs w:val="20"/>
        </w:rPr>
        <w:t xml:space="preserve">Convert patients receiving parenteral oxymorphone to </w:t>
      </w: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w:t>
      </w:r>
      <w:r w:rsidRPr="00C031FB">
        <w:rPr>
          <w:rFonts w:ascii="Arial" w:hAnsi="Arial" w:cs="Arial"/>
          <w:sz w:val="20"/>
          <w:szCs w:val="20"/>
        </w:rPr>
        <w:t>by adm</w:t>
      </w:r>
      <w:r>
        <w:rPr>
          <w:rFonts w:ascii="Arial" w:hAnsi="Arial" w:cs="Arial"/>
          <w:sz w:val="20"/>
          <w:szCs w:val="20"/>
        </w:rPr>
        <w:t>inistering ten times the patient’</w:t>
      </w:r>
      <w:r w:rsidRPr="00C031FB">
        <w:rPr>
          <w:rFonts w:ascii="Arial" w:hAnsi="Arial" w:cs="Arial"/>
          <w:sz w:val="20"/>
          <w:szCs w:val="20"/>
        </w:rPr>
        <w:t xml:space="preserve">s total daily parenteral oxymorphone dose as </w:t>
      </w: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w:t>
      </w:r>
      <w:r w:rsidRPr="00C031FB">
        <w:rPr>
          <w:rFonts w:ascii="Arial" w:hAnsi="Arial" w:cs="Arial"/>
          <w:sz w:val="20"/>
          <w:szCs w:val="20"/>
        </w:rPr>
        <w:t>in two equally divided doses (e.g., [IV dose x 10] divided by 2).  Due to patient variability</w:t>
      </w:r>
      <w:r>
        <w:rPr>
          <w:rFonts w:ascii="Arial" w:hAnsi="Arial" w:cs="Arial"/>
          <w:sz w:val="20"/>
          <w:szCs w:val="20"/>
        </w:rPr>
        <w:t>,</w:t>
      </w:r>
      <w:r w:rsidRPr="00C031FB">
        <w:rPr>
          <w:rFonts w:ascii="Arial" w:hAnsi="Arial" w:cs="Arial"/>
          <w:sz w:val="20"/>
          <w:szCs w:val="20"/>
        </w:rPr>
        <w:t xml:space="preserve"> monitor patients closely </w:t>
      </w:r>
      <w:r>
        <w:rPr>
          <w:rFonts w:ascii="Arial" w:hAnsi="Arial" w:cs="Arial"/>
          <w:sz w:val="20"/>
          <w:szCs w:val="20"/>
        </w:rPr>
        <w:t xml:space="preserve">upon conversion </w:t>
      </w:r>
      <w:r w:rsidRPr="00C031FB">
        <w:rPr>
          <w:rFonts w:ascii="Arial" w:hAnsi="Arial" w:cs="Arial"/>
          <w:sz w:val="20"/>
          <w:szCs w:val="20"/>
        </w:rPr>
        <w:t>to evaluate for adequate analgesia and side effects.</w:t>
      </w:r>
    </w:p>
    <w:p w:rsidR="00C031FB" w:rsidRDefault="00C031FB" w:rsidP="00C87D54">
      <w:pPr>
        <w:pStyle w:val="NoSpacing"/>
        <w:rPr>
          <w:rFonts w:ascii="Arial" w:hAnsi="Arial" w:cs="Arial"/>
          <w:sz w:val="20"/>
          <w:szCs w:val="20"/>
          <w:u w:val="single"/>
        </w:rPr>
      </w:pPr>
    </w:p>
    <w:p w:rsidR="00C031FB" w:rsidRDefault="00C031FB" w:rsidP="00C031FB">
      <w:pPr>
        <w:pStyle w:val="NoSpacing"/>
        <w:rPr>
          <w:rFonts w:ascii="Arial" w:hAnsi="Arial" w:cs="Arial"/>
          <w:sz w:val="20"/>
          <w:szCs w:val="20"/>
          <w:u w:val="single"/>
        </w:rPr>
      </w:pPr>
      <w:r>
        <w:rPr>
          <w:rFonts w:ascii="Arial" w:hAnsi="Arial" w:cs="Arial"/>
          <w:sz w:val="20"/>
          <w:szCs w:val="20"/>
          <w:u w:val="single"/>
        </w:rPr>
        <w:t xml:space="preserve">Conversion from other oral opioids to </w:t>
      </w:r>
      <w:r w:rsidRPr="004B299E">
        <w:rPr>
          <w:rFonts w:ascii="Arial" w:hAnsi="Arial" w:cs="Arial"/>
          <w:sz w:val="20"/>
          <w:szCs w:val="20"/>
          <w:u w:val="single"/>
        </w:rPr>
        <w:t>Opana</w:t>
      </w:r>
      <w:r w:rsidR="00A25221" w:rsidRPr="004B299E">
        <w:rPr>
          <w:rFonts w:ascii="Arial" w:hAnsi="Arial" w:cs="Arial"/>
          <w:sz w:val="20"/>
          <w:szCs w:val="20"/>
          <w:u w:val="single"/>
          <w:vertAlign w:val="superscript"/>
        </w:rPr>
        <w:t>®</w:t>
      </w:r>
      <w:r w:rsidRPr="00C031FB">
        <w:rPr>
          <w:rFonts w:ascii="Arial" w:hAnsi="Arial" w:cs="Arial"/>
          <w:sz w:val="20"/>
          <w:szCs w:val="20"/>
          <w:u w:val="single"/>
        </w:rPr>
        <w:t xml:space="preserve"> ER</w:t>
      </w:r>
      <w:r w:rsidRPr="00C031FB">
        <w:rPr>
          <w:rFonts w:ascii="Arial" w:hAnsi="Arial" w:cs="Arial"/>
          <w:sz w:val="20"/>
          <w:szCs w:val="20"/>
          <w:u w:val="single"/>
          <w:vertAlign w:val="superscript"/>
        </w:rPr>
        <w:t xml:space="preserve"> </w:t>
      </w:r>
      <w:r w:rsidRPr="00C031FB">
        <w:rPr>
          <w:rFonts w:ascii="Arial" w:hAnsi="Arial" w:cs="Arial"/>
          <w:sz w:val="20"/>
          <w:szCs w:val="20"/>
          <w:u w:val="single"/>
        </w:rPr>
        <w:t>(oxymorphone ER)</w:t>
      </w:r>
      <w:r>
        <w:rPr>
          <w:rFonts w:ascii="Arial" w:hAnsi="Arial" w:cs="Arial"/>
          <w:sz w:val="20"/>
          <w:szCs w:val="20"/>
          <w:u w:val="single"/>
        </w:rPr>
        <w:t>:</w:t>
      </w:r>
    </w:p>
    <w:p w:rsidR="00C53D79" w:rsidRPr="00C53D79" w:rsidRDefault="00C53D79" w:rsidP="00C53D79">
      <w:pPr>
        <w:spacing w:after="0" w:line="240" w:lineRule="auto"/>
        <w:rPr>
          <w:rFonts w:cs="Arial"/>
          <w:bCs/>
          <w:sz w:val="20"/>
          <w:szCs w:val="20"/>
          <w:u w:val="single"/>
        </w:rPr>
      </w:pPr>
      <w:r w:rsidRPr="00C53D79">
        <w:rPr>
          <w:rFonts w:ascii="Arial" w:eastAsia="Times New Roman" w:hAnsi="Arial" w:cs="Arial"/>
          <w:sz w:val="20"/>
          <w:szCs w:val="20"/>
        </w:rPr>
        <w:t xml:space="preserve">Discontinue all other around-the-clock opioid drugs when </w:t>
      </w: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w:t>
      </w:r>
      <w:r w:rsidRPr="00C53D79">
        <w:rPr>
          <w:rFonts w:ascii="Arial" w:eastAsia="Times New Roman" w:hAnsi="Arial" w:cs="Arial"/>
          <w:sz w:val="20"/>
          <w:szCs w:val="20"/>
        </w:rPr>
        <w:t xml:space="preserve">therapy is initiated. </w:t>
      </w:r>
      <w:bookmarkStart w:id="4" w:name="p292074301440432458"/>
      <w:bookmarkEnd w:id="4"/>
    </w:p>
    <w:p w:rsidR="00C53D79" w:rsidRPr="00C53D79" w:rsidRDefault="00C53D79" w:rsidP="00C53D79">
      <w:pPr>
        <w:spacing w:after="0" w:line="240" w:lineRule="auto"/>
        <w:rPr>
          <w:rFonts w:ascii="Arial" w:eastAsia="Times New Roman" w:hAnsi="Arial" w:cs="Arial"/>
          <w:sz w:val="20"/>
          <w:szCs w:val="20"/>
        </w:rPr>
      </w:pPr>
    </w:p>
    <w:p w:rsidR="00C53D79" w:rsidRDefault="00C53D79" w:rsidP="00C53D79">
      <w:pPr>
        <w:spacing w:after="0" w:line="240" w:lineRule="auto"/>
        <w:rPr>
          <w:rFonts w:ascii="Arial" w:eastAsia="Times New Roman" w:hAnsi="Arial" w:cs="Arial"/>
          <w:sz w:val="20"/>
          <w:szCs w:val="20"/>
        </w:rPr>
      </w:pPr>
      <w:r w:rsidRPr="00C53D79">
        <w:rPr>
          <w:rFonts w:ascii="Arial" w:eastAsia="Times New Roman" w:hAnsi="Arial" w:cs="Arial"/>
          <w:sz w:val="20"/>
          <w:szCs w:val="20"/>
        </w:rPr>
        <w:t xml:space="preserve">While useful tables of opioid equivalents are readily available, there is substantial inter-patient variability in the relative potency of different opioids. It is safer to underestimate a patient’s 24-hour oral oxycodone requirements and provide rescue medication (e.g., immediate-release opioid) than to overestimate the 24-hour oral oxycodone requirements which could result in adverse reactions. </w:t>
      </w:r>
      <w:bookmarkStart w:id="5" w:name="p333511221366293061"/>
      <w:bookmarkEnd w:id="5"/>
    </w:p>
    <w:p w:rsidR="00C53D79" w:rsidRDefault="00C53D79" w:rsidP="00C53D79">
      <w:pPr>
        <w:spacing w:after="0" w:line="240" w:lineRule="auto"/>
        <w:rPr>
          <w:rFonts w:ascii="Arial" w:eastAsia="Times New Roman" w:hAnsi="Arial" w:cs="Arial"/>
          <w:sz w:val="20"/>
          <w:szCs w:val="20"/>
        </w:rPr>
      </w:pPr>
    </w:p>
    <w:p w:rsidR="004B299E" w:rsidRPr="005C2D88" w:rsidRDefault="00C53D79" w:rsidP="005C2D88">
      <w:pPr>
        <w:spacing w:after="0" w:line="240" w:lineRule="auto"/>
        <w:rPr>
          <w:rFonts w:cs="Arial"/>
          <w:bCs/>
          <w:sz w:val="20"/>
          <w:szCs w:val="20"/>
          <w:u w:val="single"/>
        </w:rPr>
      </w:pPr>
      <w:r>
        <w:rPr>
          <w:rFonts w:ascii="Arial" w:eastAsia="Times New Roman" w:hAnsi="Arial" w:cs="Arial"/>
          <w:sz w:val="20"/>
          <w:szCs w:val="20"/>
        </w:rPr>
        <w:t xml:space="preserve">In one open-label clinical trial of </w:t>
      </w:r>
      <w:r w:rsidRPr="00904D3C">
        <w:rPr>
          <w:rFonts w:ascii="Arial" w:hAnsi="Arial" w:cs="Arial"/>
          <w:sz w:val="20"/>
          <w:szCs w:val="20"/>
        </w:rPr>
        <w:t>Opan</w:t>
      </w:r>
      <w:r w:rsidR="00A25221">
        <w:rPr>
          <w:rFonts w:ascii="Arial" w:hAnsi="Arial" w:cs="Arial"/>
          <w:sz w:val="20"/>
          <w:szCs w:val="20"/>
        </w:rPr>
        <w:t>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the following table (Table </w:t>
      </w:r>
      <w:r w:rsidR="004B299E">
        <w:rPr>
          <w:rFonts w:ascii="Arial" w:hAnsi="Arial" w:cs="Arial"/>
          <w:sz w:val="20"/>
          <w:szCs w:val="20"/>
        </w:rPr>
        <w:t>5</w:t>
      </w:r>
      <w:r>
        <w:rPr>
          <w:rFonts w:ascii="Arial" w:hAnsi="Arial" w:cs="Arial"/>
          <w:sz w:val="20"/>
          <w:szCs w:val="20"/>
        </w:rPr>
        <w:t xml:space="preserve">) was utilized as a guide for titration to </w:t>
      </w: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The conversions in this table are only for the conversion from one of the listed oral opioids to </w:t>
      </w: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w:t>
      </w:r>
    </w:p>
    <w:p w:rsidR="004B299E" w:rsidRDefault="004B299E" w:rsidP="00C031FB">
      <w:pPr>
        <w:pStyle w:val="NoSpacing"/>
        <w:rPr>
          <w:rFonts w:ascii="Arial" w:hAnsi="Arial" w:cs="Arial"/>
          <w:sz w:val="20"/>
          <w:szCs w:val="20"/>
          <w:u w:val="single"/>
        </w:rPr>
      </w:pPr>
    </w:p>
    <w:p w:rsidR="00C031FB" w:rsidRPr="00B37D91" w:rsidRDefault="00E139EB" w:rsidP="00C87D54">
      <w:pPr>
        <w:pStyle w:val="NoSpacing"/>
        <w:rPr>
          <w:rFonts w:ascii="Arial" w:hAnsi="Arial" w:cs="Arial"/>
          <w:b/>
          <w:sz w:val="20"/>
          <w:szCs w:val="20"/>
        </w:rPr>
      </w:pPr>
      <w:r>
        <w:rPr>
          <w:rFonts w:ascii="Arial" w:hAnsi="Arial" w:cs="Arial"/>
          <w:b/>
          <w:sz w:val="20"/>
          <w:szCs w:val="20"/>
        </w:rPr>
        <w:t>Table 5</w:t>
      </w:r>
      <w:r w:rsidR="004B299E">
        <w:rPr>
          <w:rFonts w:ascii="Arial" w:hAnsi="Arial" w:cs="Arial"/>
          <w:b/>
          <w:sz w:val="20"/>
          <w:szCs w:val="20"/>
        </w:rPr>
        <w:t>.</w:t>
      </w:r>
      <w:r w:rsidR="00C53D79" w:rsidRPr="00B37D91">
        <w:rPr>
          <w:rFonts w:ascii="Arial" w:hAnsi="Arial" w:cs="Arial"/>
          <w:b/>
          <w:sz w:val="20"/>
          <w:szCs w:val="20"/>
        </w:rPr>
        <w:t xml:space="preserve"> Conversion Factors to Opana</w:t>
      </w:r>
      <w:r w:rsidR="00A25221" w:rsidRPr="000E4958">
        <w:rPr>
          <w:rFonts w:ascii="Arial" w:hAnsi="Arial" w:cs="Arial"/>
          <w:sz w:val="20"/>
          <w:szCs w:val="20"/>
          <w:vertAlign w:val="superscript"/>
        </w:rPr>
        <w:t>®</w:t>
      </w:r>
      <w:r w:rsidR="00C53D79" w:rsidRPr="00B37D91">
        <w:rPr>
          <w:rFonts w:ascii="Arial" w:hAnsi="Arial" w:cs="Arial"/>
          <w:b/>
          <w:sz w:val="20"/>
          <w:szCs w:val="20"/>
        </w:rPr>
        <w:t xml:space="preserve"> ER</w:t>
      </w:r>
      <w:r w:rsidR="00C53D79" w:rsidRPr="00B37D91">
        <w:rPr>
          <w:rFonts w:ascii="Arial" w:hAnsi="Arial" w:cs="Arial"/>
          <w:b/>
          <w:sz w:val="20"/>
          <w:szCs w:val="20"/>
          <w:vertAlign w:val="superscript"/>
        </w:rPr>
        <w:t xml:space="preserve"> </w:t>
      </w:r>
      <w:r w:rsidR="00C53D79" w:rsidRPr="00B37D91">
        <w:rPr>
          <w:rFonts w:ascii="Arial" w:hAnsi="Arial" w:cs="Arial"/>
          <w:b/>
          <w:sz w:val="20"/>
          <w:szCs w:val="20"/>
        </w:rPr>
        <w:t>(oxymorphone ER)</w:t>
      </w:r>
    </w:p>
    <w:tbl>
      <w:tblPr>
        <w:tblStyle w:val="TableGrid"/>
        <w:tblW w:w="0" w:type="auto"/>
        <w:tblLook w:val="04A0" w:firstRow="1" w:lastRow="0" w:firstColumn="1" w:lastColumn="0" w:noHBand="0" w:noVBand="1"/>
      </w:tblPr>
      <w:tblGrid>
        <w:gridCol w:w="4788"/>
        <w:gridCol w:w="4788"/>
      </w:tblGrid>
      <w:tr w:rsidR="00C53D79" w:rsidTr="00B37D91">
        <w:tc>
          <w:tcPr>
            <w:tcW w:w="9576" w:type="dxa"/>
            <w:gridSpan w:val="2"/>
            <w:shd w:val="clear" w:color="auto" w:fill="BFBFBF" w:themeFill="background1" w:themeFillShade="BF"/>
          </w:tcPr>
          <w:p w:rsidR="00C53D79" w:rsidRDefault="00C53D79" w:rsidP="00B37D91">
            <w:pPr>
              <w:pStyle w:val="NoSpacing"/>
              <w:jc w:val="center"/>
              <w:rPr>
                <w:rFonts w:ascii="Arial" w:hAnsi="Arial" w:cs="Arial"/>
                <w:sz w:val="20"/>
                <w:szCs w:val="20"/>
              </w:rPr>
            </w:pPr>
            <w:r>
              <w:rPr>
                <w:rFonts w:ascii="Arial" w:hAnsi="Arial" w:cs="Arial"/>
                <w:sz w:val="20"/>
                <w:szCs w:val="20"/>
              </w:rPr>
              <w:t xml:space="preserve">Conversion factors </w:t>
            </w:r>
          </w:p>
        </w:tc>
      </w:tr>
      <w:tr w:rsidR="00C53D79" w:rsidTr="00B37D91">
        <w:tc>
          <w:tcPr>
            <w:tcW w:w="4788" w:type="dxa"/>
            <w:shd w:val="clear" w:color="auto" w:fill="BFBFBF" w:themeFill="background1" w:themeFillShade="BF"/>
          </w:tcPr>
          <w:p w:rsidR="00C53D79" w:rsidRDefault="00C53D79" w:rsidP="00C87D54">
            <w:pPr>
              <w:pStyle w:val="NoSpacing"/>
              <w:rPr>
                <w:rFonts w:ascii="Arial" w:hAnsi="Arial" w:cs="Arial"/>
                <w:sz w:val="20"/>
                <w:szCs w:val="20"/>
              </w:rPr>
            </w:pPr>
            <w:r>
              <w:rPr>
                <w:rFonts w:ascii="Arial" w:hAnsi="Arial" w:cs="Arial"/>
                <w:sz w:val="20"/>
                <w:szCs w:val="20"/>
              </w:rPr>
              <w:t>Prior oral opioid</w:t>
            </w:r>
          </w:p>
        </w:tc>
        <w:tc>
          <w:tcPr>
            <w:tcW w:w="4788" w:type="dxa"/>
            <w:shd w:val="clear" w:color="auto" w:fill="BFBFBF" w:themeFill="background1" w:themeFillShade="BF"/>
          </w:tcPr>
          <w:p w:rsidR="00C53D79" w:rsidRDefault="00C53D79" w:rsidP="00C87D54">
            <w:pPr>
              <w:pStyle w:val="NoSpacing"/>
              <w:rPr>
                <w:rFonts w:ascii="Arial" w:hAnsi="Arial" w:cs="Arial"/>
                <w:sz w:val="20"/>
                <w:szCs w:val="20"/>
              </w:rPr>
            </w:pPr>
            <w:r>
              <w:rPr>
                <w:rFonts w:ascii="Arial" w:hAnsi="Arial" w:cs="Arial"/>
                <w:sz w:val="20"/>
                <w:szCs w:val="20"/>
              </w:rPr>
              <w:t>Approximate oral conversion factor</w:t>
            </w:r>
          </w:p>
        </w:tc>
      </w:tr>
      <w:tr w:rsidR="00C53D79" w:rsidTr="00C53D79">
        <w:tc>
          <w:tcPr>
            <w:tcW w:w="4788" w:type="dxa"/>
          </w:tcPr>
          <w:p w:rsidR="00C53D79" w:rsidRDefault="00C53D79" w:rsidP="00C87D54">
            <w:pPr>
              <w:pStyle w:val="NoSpacing"/>
              <w:rPr>
                <w:rFonts w:ascii="Arial" w:hAnsi="Arial" w:cs="Arial"/>
                <w:sz w:val="20"/>
                <w:szCs w:val="20"/>
              </w:rPr>
            </w:pPr>
            <w:r>
              <w:rPr>
                <w:rFonts w:ascii="Arial" w:hAnsi="Arial" w:cs="Arial"/>
                <w:sz w:val="20"/>
                <w:szCs w:val="20"/>
              </w:rPr>
              <w:t>Oxymorphone</w:t>
            </w:r>
          </w:p>
        </w:tc>
        <w:tc>
          <w:tcPr>
            <w:tcW w:w="4788" w:type="dxa"/>
          </w:tcPr>
          <w:p w:rsidR="00C53D79" w:rsidRDefault="00C53D79" w:rsidP="00C87D54">
            <w:pPr>
              <w:pStyle w:val="NoSpacing"/>
              <w:rPr>
                <w:rFonts w:ascii="Arial" w:hAnsi="Arial" w:cs="Arial"/>
                <w:sz w:val="20"/>
                <w:szCs w:val="20"/>
              </w:rPr>
            </w:pPr>
            <w:r>
              <w:rPr>
                <w:rFonts w:ascii="Arial" w:hAnsi="Arial" w:cs="Arial"/>
                <w:sz w:val="20"/>
                <w:szCs w:val="20"/>
              </w:rPr>
              <w:t>1</w:t>
            </w:r>
          </w:p>
        </w:tc>
      </w:tr>
      <w:tr w:rsidR="00C53D79" w:rsidTr="00C53D79">
        <w:tc>
          <w:tcPr>
            <w:tcW w:w="4788" w:type="dxa"/>
          </w:tcPr>
          <w:p w:rsidR="00C53D79" w:rsidRDefault="00C53D79" w:rsidP="00C87D54">
            <w:pPr>
              <w:pStyle w:val="NoSpacing"/>
              <w:rPr>
                <w:rFonts w:ascii="Arial" w:hAnsi="Arial" w:cs="Arial"/>
                <w:sz w:val="20"/>
                <w:szCs w:val="20"/>
              </w:rPr>
            </w:pPr>
            <w:r>
              <w:rPr>
                <w:rFonts w:ascii="Arial" w:hAnsi="Arial" w:cs="Arial"/>
                <w:sz w:val="20"/>
                <w:szCs w:val="20"/>
              </w:rPr>
              <w:t>Hydrocodone</w:t>
            </w:r>
          </w:p>
        </w:tc>
        <w:tc>
          <w:tcPr>
            <w:tcW w:w="4788" w:type="dxa"/>
          </w:tcPr>
          <w:p w:rsidR="00C53D79" w:rsidRDefault="00C53D79" w:rsidP="00C87D54">
            <w:pPr>
              <w:pStyle w:val="NoSpacing"/>
              <w:rPr>
                <w:rFonts w:ascii="Arial" w:hAnsi="Arial" w:cs="Arial"/>
                <w:sz w:val="20"/>
                <w:szCs w:val="20"/>
              </w:rPr>
            </w:pPr>
            <w:r>
              <w:rPr>
                <w:rFonts w:ascii="Arial" w:hAnsi="Arial" w:cs="Arial"/>
                <w:sz w:val="20"/>
                <w:szCs w:val="20"/>
              </w:rPr>
              <w:t>0.5</w:t>
            </w:r>
          </w:p>
        </w:tc>
      </w:tr>
      <w:tr w:rsidR="00C53D79" w:rsidTr="00C53D79">
        <w:tc>
          <w:tcPr>
            <w:tcW w:w="4788" w:type="dxa"/>
          </w:tcPr>
          <w:p w:rsidR="00C53D79" w:rsidRDefault="00C53D79" w:rsidP="00C87D54">
            <w:pPr>
              <w:pStyle w:val="NoSpacing"/>
              <w:rPr>
                <w:rFonts w:ascii="Arial" w:hAnsi="Arial" w:cs="Arial"/>
                <w:sz w:val="20"/>
                <w:szCs w:val="20"/>
              </w:rPr>
            </w:pPr>
            <w:r>
              <w:rPr>
                <w:rFonts w:ascii="Arial" w:hAnsi="Arial" w:cs="Arial"/>
                <w:sz w:val="20"/>
                <w:szCs w:val="20"/>
              </w:rPr>
              <w:t>Oxycodone</w:t>
            </w:r>
          </w:p>
        </w:tc>
        <w:tc>
          <w:tcPr>
            <w:tcW w:w="4788" w:type="dxa"/>
          </w:tcPr>
          <w:p w:rsidR="00C53D79" w:rsidRDefault="00C53D79" w:rsidP="00C87D54">
            <w:pPr>
              <w:pStyle w:val="NoSpacing"/>
              <w:rPr>
                <w:rFonts w:ascii="Arial" w:hAnsi="Arial" w:cs="Arial"/>
                <w:sz w:val="20"/>
                <w:szCs w:val="20"/>
              </w:rPr>
            </w:pPr>
            <w:r>
              <w:rPr>
                <w:rFonts w:ascii="Arial" w:hAnsi="Arial" w:cs="Arial"/>
                <w:sz w:val="20"/>
                <w:szCs w:val="20"/>
              </w:rPr>
              <w:t>0.5</w:t>
            </w:r>
          </w:p>
        </w:tc>
      </w:tr>
      <w:tr w:rsidR="00C53D79" w:rsidTr="00C53D79">
        <w:tc>
          <w:tcPr>
            <w:tcW w:w="4788" w:type="dxa"/>
          </w:tcPr>
          <w:p w:rsidR="00C53D79" w:rsidRDefault="00C53D79" w:rsidP="00C87D54">
            <w:pPr>
              <w:pStyle w:val="NoSpacing"/>
              <w:rPr>
                <w:rFonts w:ascii="Arial" w:hAnsi="Arial" w:cs="Arial"/>
                <w:sz w:val="20"/>
                <w:szCs w:val="20"/>
              </w:rPr>
            </w:pPr>
            <w:r>
              <w:rPr>
                <w:rFonts w:ascii="Arial" w:hAnsi="Arial" w:cs="Arial"/>
                <w:sz w:val="20"/>
                <w:szCs w:val="20"/>
              </w:rPr>
              <w:lastRenderedPageBreak/>
              <w:t>Methadone</w:t>
            </w:r>
          </w:p>
        </w:tc>
        <w:tc>
          <w:tcPr>
            <w:tcW w:w="4788" w:type="dxa"/>
          </w:tcPr>
          <w:p w:rsidR="00C53D79" w:rsidRDefault="00C53D79" w:rsidP="00C87D54">
            <w:pPr>
              <w:pStyle w:val="NoSpacing"/>
              <w:rPr>
                <w:rFonts w:ascii="Arial" w:hAnsi="Arial" w:cs="Arial"/>
                <w:sz w:val="20"/>
                <w:szCs w:val="20"/>
              </w:rPr>
            </w:pPr>
            <w:r>
              <w:rPr>
                <w:rFonts w:ascii="Arial" w:hAnsi="Arial" w:cs="Arial"/>
                <w:sz w:val="20"/>
                <w:szCs w:val="20"/>
              </w:rPr>
              <w:t>0.5</w:t>
            </w:r>
          </w:p>
        </w:tc>
      </w:tr>
      <w:tr w:rsidR="00C53D79" w:rsidTr="00C53D79">
        <w:tc>
          <w:tcPr>
            <w:tcW w:w="4788" w:type="dxa"/>
          </w:tcPr>
          <w:p w:rsidR="00C53D79" w:rsidRDefault="00C53D79" w:rsidP="00C87D54">
            <w:pPr>
              <w:pStyle w:val="NoSpacing"/>
              <w:rPr>
                <w:rFonts w:ascii="Arial" w:hAnsi="Arial" w:cs="Arial"/>
                <w:sz w:val="20"/>
                <w:szCs w:val="20"/>
              </w:rPr>
            </w:pPr>
            <w:r>
              <w:rPr>
                <w:rFonts w:ascii="Arial" w:hAnsi="Arial" w:cs="Arial"/>
                <w:sz w:val="20"/>
                <w:szCs w:val="20"/>
              </w:rPr>
              <w:t>Morphine</w:t>
            </w:r>
          </w:p>
        </w:tc>
        <w:tc>
          <w:tcPr>
            <w:tcW w:w="4788" w:type="dxa"/>
          </w:tcPr>
          <w:p w:rsidR="00C53D79" w:rsidRDefault="00C53D79" w:rsidP="00C87D54">
            <w:pPr>
              <w:pStyle w:val="NoSpacing"/>
              <w:rPr>
                <w:rFonts w:ascii="Arial" w:hAnsi="Arial" w:cs="Arial"/>
                <w:sz w:val="20"/>
                <w:szCs w:val="20"/>
              </w:rPr>
            </w:pPr>
            <w:r>
              <w:rPr>
                <w:rFonts w:ascii="Arial" w:hAnsi="Arial" w:cs="Arial"/>
                <w:sz w:val="20"/>
                <w:szCs w:val="20"/>
              </w:rPr>
              <w:t>0.333</w:t>
            </w:r>
          </w:p>
        </w:tc>
      </w:tr>
    </w:tbl>
    <w:p w:rsidR="00C53D79" w:rsidRDefault="00C53D79" w:rsidP="00C87D54">
      <w:pPr>
        <w:pStyle w:val="NoSpacing"/>
        <w:rPr>
          <w:rFonts w:ascii="Arial" w:hAnsi="Arial" w:cs="Arial"/>
          <w:sz w:val="20"/>
          <w:szCs w:val="20"/>
        </w:rPr>
      </w:pPr>
    </w:p>
    <w:p w:rsidR="00C53D79" w:rsidRDefault="00E566BE" w:rsidP="00C87D54">
      <w:pPr>
        <w:pStyle w:val="NoSpacing"/>
        <w:rPr>
          <w:rFonts w:ascii="Arial" w:hAnsi="Arial" w:cs="Arial"/>
          <w:sz w:val="20"/>
          <w:szCs w:val="20"/>
        </w:rPr>
      </w:pPr>
      <w:r>
        <w:rPr>
          <w:rFonts w:ascii="Arial" w:hAnsi="Arial" w:cs="Arial"/>
          <w:sz w:val="20"/>
          <w:szCs w:val="20"/>
        </w:rPr>
        <w:t>For patients on a single opioid, sum the current total daily dose of the opioid and then multiply the total daily dose by the conversion factor to calculate the approximate oral oxymorphone daily dose.</w:t>
      </w:r>
    </w:p>
    <w:p w:rsidR="00E566BE" w:rsidRDefault="00E566BE" w:rsidP="00C87D54">
      <w:pPr>
        <w:pStyle w:val="NoSpacing"/>
        <w:rPr>
          <w:rFonts w:ascii="Arial" w:hAnsi="Arial" w:cs="Arial"/>
          <w:sz w:val="20"/>
          <w:szCs w:val="20"/>
        </w:rPr>
      </w:pPr>
    </w:p>
    <w:p w:rsidR="00E566BE" w:rsidRDefault="00E566BE" w:rsidP="00C87D54">
      <w:pPr>
        <w:pStyle w:val="NoSpacing"/>
        <w:rPr>
          <w:rFonts w:ascii="Arial" w:hAnsi="Arial" w:cs="Arial"/>
          <w:sz w:val="20"/>
          <w:szCs w:val="20"/>
        </w:rPr>
      </w:pPr>
      <w:r>
        <w:rPr>
          <w:rFonts w:ascii="Arial" w:hAnsi="Arial" w:cs="Arial"/>
          <w:sz w:val="20"/>
          <w:szCs w:val="20"/>
        </w:rPr>
        <w:t>For patients on a regimen of more than one opioid, calculate the approximate oral oxymorphone dose for each opioid and sum the totals to obtain the approximate total oxymorphone daily dose.</w:t>
      </w:r>
    </w:p>
    <w:p w:rsidR="00E566BE" w:rsidRDefault="00E566BE" w:rsidP="00C87D54">
      <w:pPr>
        <w:pStyle w:val="NoSpacing"/>
        <w:rPr>
          <w:rFonts w:ascii="Arial" w:hAnsi="Arial" w:cs="Arial"/>
          <w:sz w:val="20"/>
          <w:szCs w:val="20"/>
        </w:rPr>
      </w:pPr>
    </w:p>
    <w:p w:rsidR="00E566BE" w:rsidRDefault="00E566BE" w:rsidP="00C87D54">
      <w:pPr>
        <w:pStyle w:val="NoSpacing"/>
        <w:rPr>
          <w:rFonts w:ascii="Arial" w:hAnsi="Arial" w:cs="Arial"/>
          <w:sz w:val="20"/>
          <w:szCs w:val="20"/>
        </w:rPr>
      </w:pPr>
      <w:r>
        <w:rPr>
          <w:rFonts w:ascii="Arial" w:hAnsi="Arial" w:cs="Arial"/>
          <w:sz w:val="20"/>
          <w:szCs w:val="20"/>
        </w:rPr>
        <w:t>For patients on a regimen of fixed-ratio opioid/nonopioid analgesic products, use the opioid component of these products in the conversion.</w:t>
      </w:r>
      <w:r w:rsidR="004F3495">
        <w:rPr>
          <w:rFonts w:ascii="Arial" w:hAnsi="Arial" w:cs="Arial"/>
          <w:sz w:val="20"/>
          <w:szCs w:val="20"/>
        </w:rPr>
        <w:t xml:space="preserve"> </w:t>
      </w:r>
      <w:r w:rsidR="00047134">
        <w:rPr>
          <w:rFonts w:ascii="Arial" w:hAnsi="Arial" w:cs="Arial"/>
          <w:sz w:val="20"/>
          <w:szCs w:val="20"/>
        </w:rPr>
        <w:t>The dose should always</w:t>
      </w:r>
      <w:r>
        <w:rPr>
          <w:rFonts w:ascii="Arial" w:hAnsi="Arial" w:cs="Arial"/>
          <w:sz w:val="20"/>
          <w:szCs w:val="20"/>
        </w:rPr>
        <w:t xml:space="preserve"> </w:t>
      </w:r>
      <w:r w:rsidR="00047134">
        <w:rPr>
          <w:rFonts w:ascii="Arial" w:hAnsi="Arial" w:cs="Arial"/>
          <w:sz w:val="20"/>
          <w:szCs w:val="20"/>
        </w:rPr>
        <w:t xml:space="preserve">be </w:t>
      </w:r>
      <w:r>
        <w:rPr>
          <w:rFonts w:ascii="Arial" w:hAnsi="Arial" w:cs="Arial"/>
          <w:sz w:val="20"/>
          <w:szCs w:val="20"/>
        </w:rPr>
        <w:t>round</w:t>
      </w:r>
      <w:r w:rsidR="00047134">
        <w:rPr>
          <w:rFonts w:ascii="Arial" w:hAnsi="Arial" w:cs="Arial"/>
          <w:sz w:val="20"/>
          <w:szCs w:val="20"/>
        </w:rPr>
        <w:t xml:space="preserve">ed </w:t>
      </w:r>
      <w:r>
        <w:rPr>
          <w:rFonts w:ascii="Arial" w:hAnsi="Arial" w:cs="Arial"/>
          <w:sz w:val="20"/>
          <w:szCs w:val="20"/>
        </w:rPr>
        <w:t xml:space="preserve">down, if necessary, to the appropriate </w:t>
      </w: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strength(s) available.</w:t>
      </w:r>
    </w:p>
    <w:p w:rsidR="00E566BE" w:rsidRDefault="00E566BE" w:rsidP="00C87D54">
      <w:pPr>
        <w:pStyle w:val="NoSpacing"/>
        <w:rPr>
          <w:rFonts w:ascii="Arial" w:hAnsi="Arial" w:cs="Arial"/>
          <w:sz w:val="20"/>
          <w:szCs w:val="20"/>
        </w:rPr>
      </w:pPr>
    </w:p>
    <w:p w:rsidR="00E566BE" w:rsidRDefault="00E566BE" w:rsidP="00C87D54">
      <w:pPr>
        <w:pStyle w:val="NoSpacing"/>
        <w:rPr>
          <w:rFonts w:ascii="Arial" w:hAnsi="Arial" w:cs="Arial"/>
          <w:sz w:val="20"/>
          <w:szCs w:val="20"/>
          <w:u w:val="single"/>
        </w:rPr>
      </w:pPr>
      <w:r>
        <w:rPr>
          <w:rFonts w:ascii="Arial" w:hAnsi="Arial" w:cs="Arial"/>
          <w:sz w:val="20"/>
          <w:szCs w:val="20"/>
          <w:u w:val="single"/>
        </w:rPr>
        <w:t xml:space="preserve">Conversion from methadone to </w:t>
      </w:r>
      <w:r w:rsidRPr="00A25221">
        <w:rPr>
          <w:rFonts w:ascii="Arial" w:hAnsi="Arial" w:cs="Arial"/>
          <w:sz w:val="20"/>
          <w:szCs w:val="20"/>
          <w:u w:val="single"/>
        </w:rPr>
        <w:t>Opana</w:t>
      </w:r>
      <w:r w:rsidR="00A25221" w:rsidRPr="00A25221">
        <w:rPr>
          <w:rFonts w:ascii="Arial" w:hAnsi="Arial" w:cs="Arial"/>
          <w:sz w:val="20"/>
          <w:szCs w:val="20"/>
          <w:u w:val="single"/>
          <w:vertAlign w:val="superscript"/>
        </w:rPr>
        <w:t>®</w:t>
      </w:r>
      <w:r w:rsidRPr="00E566BE">
        <w:rPr>
          <w:rFonts w:ascii="Arial" w:hAnsi="Arial" w:cs="Arial"/>
          <w:sz w:val="20"/>
          <w:szCs w:val="20"/>
          <w:u w:val="single"/>
        </w:rPr>
        <w:t xml:space="preserve"> ER</w:t>
      </w:r>
      <w:r w:rsidRPr="00E566BE">
        <w:rPr>
          <w:rFonts w:ascii="Arial" w:hAnsi="Arial" w:cs="Arial"/>
          <w:sz w:val="20"/>
          <w:szCs w:val="20"/>
          <w:u w:val="single"/>
          <w:vertAlign w:val="superscript"/>
        </w:rPr>
        <w:t xml:space="preserve"> </w:t>
      </w:r>
      <w:r w:rsidRPr="00E566BE">
        <w:rPr>
          <w:rFonts w:ascii="Arial" w:hAnsi="Arial" w:cs="Arial"/>
          <w:sz w:val="20"/>
          <w:szCs w:val="20"/>
          <w:u w:val="single"/>
        </w:rPr>
        <w:t>(oxymorphone ER)</w:t>
      </w:r>
      <w:r>
        <w:rPr>
          <w:rFonts w:ascii="Arial" w:hAnsi="Arial" w:cs="Arial"/>
          <w:sz w:val="20"/>
          <w:szCs w:val="20"/>
          <w:u w:val="single"/>
        </w:rPr>
        <w:t>:</w:t>
      </w:r>
    </w:p>
    <w:p w:rsidR="00E566BE" w:rsidRPr="00E566BE" w:rsidRDefault="00E566BE" w:rsidP="00C87D54">
      <w:pPr>
        <w:pStyle w:val="NoSpacing"/>
        <w:rPr>
          <w:rFonts w:ascii="Arial" w:hAnsi="Arial" w:cs="Arial"/>
          <w:sz w:val="20"/>
          <w:szCs w:val="20"/>
          <w:u w:val="single"/>
        </w:rPr>
      </w:pPr>
      <w:r>
        <w:rPr>
          <w:rFonts w:ascii="Arial" w:hAnsi="Arial" w:cs="Arial"/>
          <w:sz w:val="20"/>
          <w:szCs w:val="20"/>
        </w:rPr>
        <w:t xml:space="preserve">It is important to perform close monitoring of the patient </w:t>
      </w:r>
      <w:r w:rsidRPr="00E566BE">
        <w:rPr>
          <w:rFonts w:ascii="Arial" w:hAnsi="Arial" w:cs="Arial"/>
          <w:sz w:val="20"/>
          <w:szCs w:val="20"/>
        </w:rPr>
        <w:t>when converting from methadone to other opioid agonists. The ratio between methadone and other opioid agonists may vary widely as a funct</w:t>
      </w:r>
      <w:r>
        <w:rPr>
          <w:rFonts w:ascii="Arial" w:hAnsi="Arial" w:cs="Arial"/>
          <w:sz w:val="20"/>
          <w:szCs w:val="20"/>
        </w:rPr>
        <w:t xml:space="preserve">ion of previous dose exposure. </w:t>
      </w:r>
      <w:r w:rsidRPr="00E566BE">
        <w:rPr>
          <w:rFonts w:ascii="Arial" w:hAnsi="Arial" w:cs="Arial"/>
          <w:sz w:val="20"/>
          <w:szCs w:val="20"/>
        </w:rPr>
        <w:t>Methadone has a long half-life and can accumulate in the plasma.</w:t>
      </w:r>
    </w:p>
    <w:p w:rsidR="00E566BE" w:rsidRDefault="00E566BE" w:rsidP="00C87D54">
      <w:pPr>
        <w:pStyle w:val="NoSpacing"/>
        <w:rPr>
          <w:rFonts w:ascii="Arial" w:hAnsi="Arial" w:cs="Arial"/>
          <w:sz w:val="20"/>
          <w:szCs w:val="20"/>
          <w:u w:val="single"/>
        </w:rPr>
      </w:pPr>
    </w:p>
    <w:p w:rsidR="00E566BE" w:rsidRDefault="00E566BE" w:rsidP="00E566BE">
      <w:pPr>
        <w:pStyle w:val="NoSpacing"/>
        <w:rPr>
          <w:rFonts w:ascii="Arial" w:hAnsi="Arial" w:cs="Arial"/>
          <w:sz w:val="20"/>
          <w:szCs w:val="20"/>
          <w:u w:val="single"/>
        </w:rPr>
      </w:pPr>
      <w:r w:rsidRPr="00E566BE">
        <w:rPr>
          <w:rFonts w:ascii="Arial" w:hAnsi="Arial" w:cs="Arial"/>
          <w:sz w:val="20"/>
          <w:szCs w:val="20"/>
          <w:u w:val="single"/>
        </w:rPr>
        <w:t>T</w:t>
      </w:r>
      <w:r>
        <w:rPr>
          <w:rFonts w:ascii="Arial" w:hAnsi="Arial" w:cs="Arial"/>
          <w:sz w:val="20"/>
          <w:szCs w:val="20"/>
          <w:u w:val="single"/>
        </w:rPr>
        <w:t>itration and maintenance of therapy:</w:t>
      </w:r>
    </w:p>
    <w:p w:rsidR="00E566BE" w:rsidRPr="00E566BE" w:rsidRDefault="00E566BE" w:rsidP="00E566BE">
      <w:pPr>
        <w:spacing w:after="0" w:line="240" w:lineRule="auto"/>
        <w:rPr>
          <w:rFonts w:ascii="Arial" w:eastAsia="Times New Roman" w:hAnsi="Arial" w:cs="Arial"/>
          <w:sz w:val="20"/>
          <w:szCs w:val="20"/>
        </w:rPr>
      </w:pPr>
      <w:r w:rsidRPr="00E566BE">
        <w:rPr>
          <w:rFonts w:ascii="Arial" w:eastAsia="Times New Roman" w:hAnsi="Arial" w:cs="Arial"/>
          <w:sz w:val="20"/>
          <w:szCs w:val="20"/>
        </w:rPr>
        <w:t xml:space="preserve">Individually titrate </w:t>
      </w: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00A25221">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w:t>
      </w:r>
      <w:r w:rsidRPr="00E566BE">
        <w:rPr>
          <w:rFonts w:ascii="Arial" w:eastAsia="Times New Roman" w:hAnsi="Arial" w:cs="Arial"/>
          <w:sz w:val="20"/>
          <w:szCs w:val="20"/>
        </w:rPr>
        <w:t xml:space="preserve">to a dose that provides adequate analgesia and minimizes adverse reactions.  Continually reevaluate patients receiving </w:t>
      </w: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00A25221">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w:t>
      </w:r>
      <w:r w:rsidRPr="00E566BE">
        <w:rPr>
          <w:rFonts w:ascii="Arial" w:eastAsia="Times New Roman" w:hAnsi="Arial" w:cs="Arial"/>
          <w:sz w:val="20"/>
          <w:szCs w:val="20"/>
        </w:rPr>
        <w:t>to assess the maintenance of pain control and the relative incidence of adverse reactions, as well as monitoring for the development of addiction, abuse, and misuse. During chronic therapy, periodically reassess the continued need for the use of opioid analgesics.</w:t>
      </w:r>
    </w:p>
    <w:p w:rsidR="00E566BE" w:rsidRPr="00E566BE" w:rsidRDefault="00E566BE" w:rsidP="00E566BE">
      <w:pPr>
        <w:spacing w:before="100" w:beforeAutospacing="1" w:after="100" w:afterAutospacing="1" w:line="240" w:lineRule="auto"/>
        <w:rPr>
          <w:rFonts w:ascii="Arial" w:eastAsia="Times New Roman" w:hAnsi="Arial" w:cs="Arial"/>
          <w:sz w:val="20"/>
          <w:szCs w:val="20"/>
        </w:rPr>
      </w:pPr>
      <w:r w:rsidRPr="00E566BE">
        <w:rPr>
          <w:rFonts w:ascii="Arial" w:eastAsia="Times New Roman" w:hAnsi="Arial" w:cs="Arial"/>
          <w:sz w:val="20"/>
          <w:szCs w:val="20"/>
        </w:rPr>
        <w:t xml:space="preserve">If the level of pain increases, attempt to identify the source of increased pain, while adjusting the </w:t>
      </w: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00A25221">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w:t>
      </w:r>
      <w:r w:rsidRPr="00E566BE">
        <w:rPr>
          <w:rFonts w:ascii="Arial" w:eastAsia="Times New Roman" w:hAnsi="Arial" w:cs="Arial"/>
          <w:sz w:val="20"/>
          <w:szCs w:val="20"/>
        </w:rPr>
        <w:t xml:space="preserve">dose to decrease the level of pain. Because steady-state plasma concentrations are approximated within </w:t>
      </w:r>
      <w:r w:rsidR="004F3495">
        <w:rPr>
          <w:rFonts w:ascii="Arial" w:eastAsia="Times New Roman" w:hAnsi="Arial" w:cs="Arial"/>
          <w:sz w:val="20"/>
          <w:szCs w:val="20"/>
        </w:rPr>
        <w:t>three</w:t>
      </w:r>
      <w:r w:rsidRPr="00E566BE">
        <w:rPr>
          <w:rFonts w:ascii="Arial" w:eastAsia="Times New Roman" w:hAnsi="Arial" w:cs="Arial"/>
          <w:sz w:val="20"/>
          <w:szCs w:val="20"/>
        </w:rPr>
        <w:t xml:space="preserve"> days, dosage adjustments</w:t>
      </w:r>
      <w:r>
        <w:rPr>
          <w:rFonts w:ascii="Arial" w:eastAsia="Times New Roman" w:hAnsi="Arial" w:cs="Arial"/>
          <w:sz w:val="20"/>
          <w:szCs w:val="20"/>
        </w:rPr>
        <w:t xml:space="preserve">, preferably at increments of 5 to </w:t>
      </w:r>
      <w:r w:rsidRPr="00E566BE">
        <w:rPr>
          <w:rFonts w:ascii="Arial" w:eastAsia="Times New Roman" w:hAnsi="Arial" w:cs="Arial"/>
          <w:sz w:val="20"/>
          <w:szCs w:val="20"/>
        </w:rPr>
        <w:t xml:space="preserve">10 mg every 12 hours, may be done every </w:t>
      </w:r>
      <w:r w:rsidR="004F3495">
        <w:rPr>
          <w:rFonts w:ascii="Arial" w:eastAsia="Times New Roman" w:hAnsi="Arial" w:cs="Arial"/>
          <w:sz w:val="20"/>
          <w:szCs w:val="20"/>
        </w:rPr>
        <w:t>three</w:t>
      </w:r>
      <w:r w:rsidRPr="00E566BE">
        <w:rPr>
          <w:rFonts w:ascii="Arial" w:eastAsia="Times New Roman" w:hAnsi="Arial" w:cs="Arial"/>
          <w:sz w:val="20"/>
          <w:szCs w:val="20"/>
        </w:rPr>
        <w:t xml:space="preserve"> to </w:t>
      </w:r>
      <w:r w:rsidR="004F3495">
        <w:rPr>
          <w:rFonts w:ascii="Arial" w:eastAsia="Times New Roman" w:hAnsi="Arial" w:cs="Arial"/>
          <w:sz w:val="20"/>
          <w:szCs w:val="20"/>
        </w:rPr>
        <w:t>seven</w:t>
      </w:r>
      <w:r w:rsidRPr="00E566BE">
        <w:rPr>
          <w:rFonts w:ascii="Arial" w:eastAsia="Times New Roman" w:hAnsi="Arial" w:cs="Arial"/>
          <w:sz w:val="20"/>
          <w:szCs w:val="20"/>
        </w:rPr>
        <w:t xml:space="preserve"> days.  </w:t>
      </w:r>
    </w:p>
    <w:p w:rsidR="00E566BE" w:rsidRDefault="00E566BE" w:rsidP="00E566BE">
      <w:pPr>
        <w:spacing w:after="0" w:line="240" w:lineRule="auto"/>
        <w:rPr>
          <w:rFonts w:ascii="Arial" w:eastAsia="Times New Roman" w:hAnsi="Arial" w:cs="Arial"/>
          <w:sz w:val="20"/>
          <w:szCs w:val="20"/>
        </w:rPr>
      </w:pPr>
      <w:r w:rsidRPr="00E566BE">
        <w:rPr>
          <w:rFonts w:ascii="Arial" w:eastAsia="Times New Roman" w:hAnsi="Arial" w:cs="Arial"/>
          <w:sz w:val="20"/>
          <w:szCs w:val="20"/>
        </w:rPr>
        <w:t xml:space="preserve">Patients who experience breakthrough pain may require a dose increase of </w:t>
      </w: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sidRPr="00E566BE">
        <w:rPr>
          <w:rFonts w:ascii="Arial" w:eastAsia="Times New Roman" w:hAnsi="Arial" w:cs="Arial"/>
          <w:sz w:val="20"/>
          <w:szCs w:val="20"/>
        </w:rPr>
        <w:t xml:space="preserve">, or may need rescue medication with an appropriate dose of an immediate-release analgesic. If the level of pain increases after dose stabilization, attempt to identify the source of increased </w:t>
      </w:r>
      <w:r>
        <w:rPr>
          <w:rFonts w:ascii="Arial" w:eastAsia="Times New Roman" w:hAnsi="Arial" w:cs="Arial"/>
          <w:sz w:val="20"/>
          <w:szCs w:val="20"/>
        </w:rPr>
        <w:t xml:space="preserve">pain before increasing </w:t>
      </w:r>
      <w:r w:rsidRPr="00E566BE">
        <w:rPr>
          <w:rFonts w:ascii="Arial" w:eastAsia="Times New Roman" w:hAnsi="Arial" w:cs="Arial"/>
          <w:sz w:val="20"/>
          <w:szCs w:val="20"/>
        </w:rPr>
        <w:t xml:space="preserve">dose.  </w:t>
      </w:r>
      <w:r>
        <w:rPr>
          <w:rFonts w:ascii="Arial" w:eastAsia="Times New Roman" w:hAnsi="Arial" w:cs="Arial"/>
          <w:sz w:val="20"/>
          <w:szCs w:val="20"/>
        </w:rPr>
        <w:t xml:space="preserve"> </w:t>
      </w:r>
    </w:p>
    <w:p w:rsidR="00E566BE" w:rsidRPr="00E566BE" w:rsidRDefault="00E566BE" w:rsidP="00E566BE">
      <w:pPr>
        <w:spacing w:after="0" w:line="240" w:lineRule="auto"/>
        <w:rPr>
          <w:rFonts w:ascii="Arial" w:eastAsia="Times New Roman" w:hAnsi="Arial" w:cs="Arial"/>
          <w:sz w:val="20"/>
          <w:szCs w:val="20"/>
        </w:rPr>
      </w:pPr>
    </w:p>
    <w:p w:rsidR="00E566BE" w:rsidRDefault="00E566BE" w:rsidP="00E566BE">
      <w:pPr>
        <w:spacing w:after="0" w:line="240" w:lineRule="auto"/>
        <w:rPr>
          <w:rFonts w:ascii="Arial" w:eastAsia="Times New Roman" w:hAnsi="Arial" w:cs="Arial"/>
          <w:sz w:val="20"/>
          <w:szCs w:val="20"/>
        </w:rPr>
      </w:pPr>
      <w:r w:rsidRPr="00E566BE">
        <w:rPr>
          <w:rFonts w:ascii="Arial" w:eastAsia="Times New Roman" w:hAnsi="Arial" w:cs="Arial"/>
          <w:sz w:val="20"/>
          <w:szCs w:val="20"/>
        </w:rPr>
        <w:t>If unacceptable opioid-related adverse reactions are observed, the subsequent dose may be reduced.  Adjust the dose to obtain an appropriate balance between management of pain and opioid-related adverse reactions.</w:t>
      </w:r>
    </w:p>
    <w:p w:rsidR="00E566BE" w:rsidRPr="00E566BE" w:rsidRDefault="00E566BE" w:rsidP="00E566BE">
      <w:pPr>
        <w:spacing w:after="0" w:line="240" w:lineRule="auto"/>
        <w:rPr>
          <w:rFonts w:ascii="Arial" w:eastAsia="Times New Roman" w:hAnsi="Arial" w:cs="Arial"/>
          <w:sz w:val="20"/>
          <w:szCs w:val="20"/>
        </w:rPr>
      </w:pPr>
    </w:p>
    <w:p w:rsidR="0050546F" w:rsidRDefault="0050546F" w:rsidP="00C87D54">
      <w:pPr>
        <w:spacing w:after="0" w:line="240" w:lineRule="auto"/>
        <w:rPr>
          <w:rFonts w:ascii="Arial" w:hAnsi="Arial" w:cs="Arial"/>
          <w:b/>
          <w:bCs/>
          <w:i/>
          <w:sz w:val="20"/>
          <w:szCs w:val="20"/>
        </w:rPr>
      </w:pPr>
      <w:r w:rsidRPr="0050546F">
        <w:rPr>
          <w:rFonts w:ascii="Arial" w:hAnsi="Arial" w:cs="Arial"/>
          <w:b/>
          <w:bCs/>
          <w:i/>
          <w:sz w:val="20"/>
          <w:szCs w:val="20"/>
        </w:rPr>
        <w:t>Hepatic Insufficiency</w:t>
      </w:r>
    </w:p>
    <w:p w:rsidR="00904D3C" w:rsidRDefault="00904D3C" w:rsidP="00C87D54">
      <w:pPr>
        <w:spacing w:after="0" w:line="240" w:lineRule="auto"/>
        <w:rPr>
          <w:rFonts w:ascii="Arial" w:hAnsi="Arial" w:cs="Arial"/>
          <w:b/>
          <w:bCs/>
          <w:i/>
          <w:sz w:val="20"/>
          <w:szCs w:val="20"/>
        </w:rPr>
      </w:pP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is contraindicated in patients with moderate to severe hepatic impairment.</w:t>
      </w:r>
    </w:p>
    <w:p w:rsidR="006A7529" w:rsidRDefault="00904D3C" w:rsidP="006A7529">
      <w:pPr>
        <w:spacing w:after="0" w:line="240" w:lineRule="auto"/>
        <w:outlineLvl w:val="1"/>
        <w:rPr>
          <w:rFonts w:ascii="Arial" w:hAnsi="Arial" w:cs="Arial"/>
          <w:sz w:val="20"/>
          <w:szCs w:val="20"/>
        </w:rPr>
      </w:pPr>
      <w:r>
        <w:rPr>
          <w:rFonts w:ascii="Arial" w:hAnsi="Arial" w:cs="Arial"/>
          <w:sz w:val="20"/>
          <w:szCs w:val="20"/>
        </w:rPr>
        <w:t>In opioid-nai</w:t>
      </w:r>
      <w:r w:rsidRPr="00904D3C">
        <w:rPr>
          <w:rFonts w:ascii="Arial" w:hAnsi="Arial" w:cs="Arial"/>
          <w:sz w:val="20"/>
          <w:szCs w:val="20"/>
        </w:rPr>
        <w:t>ve patients with mild hepatic impairment, initiate treatment with the 5 mg dose.  For patients on prior opioid therapy, start 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w:t>
      </w:r>
      <w:r w:rsidRPr="00904D3C">
        <w:rPr>
          <w:rFonts w:ascii="Arial" w:hAnsi="Arial" w:cs="Arial"/>
          <w:sz w:val="20"/>
          <w:szCs w:val="20"/>
        </w:rPr>
        <w:t>at 50% lower than the starting dose for a patient with normal hepatic function on prior opioids and titrate slowly.  Monitor patients closely for signs of respiratory or central nervous system depression</w:t>
      </w:r>
      <w:r>
        <w:rPr>
          <w:rFonts w:ascii="Arial" w:hAnsi="Arial" w:cs="Arial"/>
          <w:sz w:val="20"/>
          <w:szCs w:val="20"/>
        </w:rPr>
        <w:t>.</w:t>
      </w:r>
    </w:p>
    <w:p w:rsidR="00904D3C" w:rsidRPr="00904D3C" w:rsidRDefault="00904D3C" w:rsidP="006A7529">
      <w:pPr>
        <w:spacing w:after="0" w:line="240" w:lineRule="auto"/>
        <w:outlineLvl w:val="1"/>
        <w:rPr>
          <w:rStyle w:val="xmchange"/>
          <w:rFonts w:ascii="Arial" w:hAnsi="Arial" w:cs="Arial"/>
          <w:sz w:val="20"/>
          <w:szCs w:val="20"/>
        </w:rPr>
      </w:pPr>
    </w:p>
    <w:p w:rsidR="0050546F" w:rsidRPr="0050546F" w:rsidRDefault="0050546F" w:rsidP="006A7529">
      <w:pPr>
        <w:spacing w:after="0" w:line="240" w:lineRule="auto"/>
        <w:outlineLvl w:val="1"/>
        <w:rPr>
          <w:rStyle w:val="xmchange"/>
          <w:rFonts w:ascii="Arial" w:hAnsi="Arial" w:cs="Arial"/>
          <w:b/>
          <w:i/>
          <w:sz w:val="20"/>
          <w:szCs w:val="20"/>
        </w:rPr>
      </w:pPr>
      <w:r w:rsidRPr="0050546F">
        <w:rPr>
          <w:rStyle w:val="xmchange"/>
          <w:rFonts w:ascii="Arial" w:hAnsi="Arial" w:cs="Arial"/>
          <w:b/>
          <w:i/>
          <w:sz w:val="20"/>
          <w:szCs w:val="20"/>
        </w:rPr>
        <w:t>Renal Insufficiency</w:t>
      </w:r>
    </w:p>
    <w:p w:rsidR="0050546F" w:rsidRDefault="00904D3C" w:rsidP="006A7529">
      <w:pPr>
        <w:spacing w:after="0" w:line="240" w:lineRule="auto"/>
        <w:outlineLvl w:val="1"/>
        <w:rPr>
          <w:rFonts w:ascii="Arial" w:hAnsi="Arial" w:cs="Arial"/>
          <w:sz w:val="20"/>
          <w:szCs w:val="20"/>
        </w:rPr>
      </w:pPr>
      <w:r w:rsidRPr="00904D3C">
        <w:rPr>
          <w:rFonts w:ascii="Arial" w:hAnsi="Arial" w:cs="Arial"/>
          <w:sz w:val="20"/>
          <w:szCs w:val="20"/>
        </w:rPr>
        <w:t>In patients with creatinine clearance rates less than 50 mL/min, start 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w:t>
      </w:r>
      <w:r w:rsidRPr="00904D3C">
        <w:rPr>
          <w:rFonts w:ascii="Arial" w:hAnsi="Arial" w:cs="Arial"/>
          <w:sz w:val="20"/>
          <w:szCs w:val="20"/>
        </w:rPr>
        <w:t>in the opioid-naïve patient with the 5 mg do</w:t>
      </w:r>
      <w:r>
        <w:rPr>
          <w:rFonts w:ascii="Arial" w:hAnsi="Arial" w:cs="Arial"/>
          <w:sz w:val="20"/>
          <w:szCs w:val="20"/>
        </w:rPr>
        <w:t xml:space="preserve">se. </w:t>
      </w:r>
      <w:r w:rsidRPr="00904D3C">
        <w:rPr>
          <w:rFonts w:ascii="Arial" w:hAnsi="Arial" w:cs="Arial"/>
          <w:sz w:val="20"/>
          <w:szCs w:val="20"/>
        </w:rPr>
        <w:t>For patients on prior opioid therapy, start 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w:t>
      </w:r>
      <w:r w:rsidRPr="00904D3C">
        <w:rPr>
          <w:rFonts w:ascii="Arial" w:hAnsi="Arial" w:cs="Arial"/>
          <w:sz w:val="20"/>
          <w:szCs w:val="20"/>
        </w:rPr>
        <w:t>at 50% lower than the starting dose for a patient with normal renal function on prior opioids and titrate slowly. Monitor patients closely for signs of respiratory or central nervous system depression</w:t>
      </w:r>
      <w:r>
        <w:rPr>
          <w:rFonts w:ascii="Arial" w:hAnsi="Arial" w:cs="Arial"/>
          <w:sz w:val="20"/>
          <w:szCs w:val="20"/>
        </w:rPr>
        <w:t>.</w:t>
      </w:r>
    </w:p>
    <w:p w:rsidR="00904D3C" w:rsidRDefault="00904D3C" w:rsidP="006A7529">
      <w:pPr>
        <w:spacing w:after="0" w:line="240" w:lineRule="auto"/>
        <w:outlineLvl w:val="1"/>
        <w:rPr>
          <w:rFonts w:ascii="Arial" w:hAnsi="Arial" w:cs="Arial"/>
          <w:sz w:val="20"/>
          <w:szCs w:val="20"/>
        </w:rPr>
      </w:pPr>
    </w:p>
    <w:p w:rsidR="00904D3C" w:rsidRDefault="00904D3C" w:rsidP="006A7529">
      <w:pPr>
        <w:spacing w:after="0" w:line="240" w:lineRule="auto"/>
        <w:outlineLvl w:val="1"/>
        <w:rPr>
          <w:rFonts w:ascii="Arial" w:hAnsi="Arial" w:cs="Arial"/>
          <w:b/>
          <w:i/>
          <w:sz w:val="20"/>
          <w:szCs w:val="20"/>
        </w:rPr>
      </w:pPr>
      <w:r w:rsidRPr="00904D3C">
        <w:rPr>
          <w:rFonts w:ascii="Arial" w:hAnsi="Arial" w:cs="Arial"/>
          <w:b/>
          <w:i/>
          <w:sz w:val="20"/>
          <w:szCs w:val="20"/>
        </w:rPr>
        <w:t>Geriatric Patients</w:t>
      </w:r>
    </w:p>
    <w:p w:rsidR="00904D3C" w:rsidRPr="00904D3C" w:rsidRDefault="00904D3C" w:rsidP="006A7529">
      <w:pPr>
        <w:spacing w:after="0" w:line="240" w:lineRule="auto"/>
        <w:outlineLvl w:val="1"/>
        <w:rPr>
          <w:rFonts w:ascii="Arial" w:hAnsi="Arial" w:cs="Arial"/>
          <w:sz w:val="20"/>
          <w:szCs w:val="20"/>
        </w:rPr>
      </w:pPr>
      <w:r w:rsidRPr="00904D3C">
        <w:rPr>
          <w:rFonts w:ascii="Arial" w:hAnsi="Arial" w:cs="Arial"/>
          <w:sz w:val="20"/>
          <w:szCs w:val="20"/>
        </w:rPr>
        <w:lastRenderedPageBreak/>
        <w:t>The steady-state plasma concentrations of oxymorphone are approximately 40% higher in elderly subjects than in young subjects.  Initiate dosing with 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w:t>
      </w:r>
      <w:r w:rsidRPr="00904D3C">
        <w:rPr>
          <w:rFonts w:ascii="Arial" w:hAnsi="Arial" w:cs="Arial"/>
          <w:sz w:val="20"/>
          <w:szCs w:val="20"/>
        </w:rPr>
        <w:t>in patients 65 years of age and over using the 5 mg dose and monitor closely for signs of respiratory and central nervous system depression when initiating and titrating 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to adequate analgesia</w:t>
      </w:r>
      <w:r w:rsidRPr="00904D3C">
        <w:rPr>
          <w:rFonts w:ascii="Arial" w:hAnsi="Arial" w:cs="Arial"/>
          <w:sz w:val="20"/>
          <w:szCs w:val="20"/>
        </w:rPr>
        <w:t>.  For patients on prior opioid therapy, start 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w:t>
      </w:r>
      <w:r w:rsidRPr="00904D3C">
        <w:rPr>
          <w:rFonts w:ascii="Arial" w:hAnsi="Arial" w:cs="Arial"/>
          <w:sz w:val="20"/>
          <w:szCs w:val="20"/>
        </w:rPr>
        <w:t>at 50% lower than the starting dose for a younger patient on prior opioids and titrate slowly.</w:t>
      </w:r>
    </w:p>
    <w:p w:rsidR="00904D3C" w:rsidRPr="00904D3C" w:rsidRDefault="00904D3C" w:rsidP="006A7529">
      <w:pPr>
        <w:spacing w:after="0" w:line="240" w:lineRule="auto"/>
        <w:outlineLvl w:val="1"/>
        <w:rPr>
          <w:rStyle w:val="xmchange"/>
          <w:rFonts w:ascii="Arial" w:hAnsi="Arial" w:cs="Arial"/>
          <w:sz w:val="20"/>
          <w:szCs w:val="20"/>
        </w:rPr>
      </w:pPr>
    </w:p>
    <w:p w:rsidR="0050546F" w:rsidRPr="0050546F" w:rsidRDefault="0050546F" w:rsidP="006A7529">
      <w:pPr>
        <w:spacing w:after="0" w:line="240" w:lineRule="auto"/>
        <w:outlineLvl w:val="1"/>
        <w:rPr>
          <w:rStyle w:val="xmchange"/>
          <w:rFonts w:ascii="Arial" w:hAnsi="Arial" w:cs="Arial"/>
          <w:b/>
          <w:i/>
          <w:sz w:val="20"/>
          <w:szCs w:val="20"/>
        </w:rPr>
      </w:pPr>
      <w:r w:rsidRPr="0050546F">
        <w:rPr>
          <w:rStyle w:val="xmchange"/>
          <w:rFonts w:ascii="Arial" w:hAnsi="Arial" w:cs="Arial"/>
          <w:b/>
          <w:i/>
          <w:sz w:val="20"/>
          <w:szCs w:val="20"/>
        </w:rPr>
        <w:t>Special considerations</w:t>
      </w:r>
    </w:p>
    <w:p w:rsidR="004F3495" w:rsidRDefault="004F3495" w:rsidP="00F255F9">
      <w:pPr>
        <w:spacing w:after="0" w:line="240" w:lineRule="auto"/>
        <w:outlineLvl w:val="1"/>
        <w:rPr>
          <w:rFonts w:ascii="Arial" w:hAnsi="Arial" w:cs="Arial"/>
          <w:sz w:val="20"/>
          <w:szCs w:val="20"/>
          <w:u w:val="single"/>
        </w:rPr>
      </w:pPr>
    </w:p>
    <w:p w:rsidR="00F255F9" w:rsidRPr="00F255F9" w:rsidRDefault="00F255F9" w:rsidP="00F255F9">
      <w:pPr>
        <w:spacing w:after="0" w:line="240" w:lineRule="auto"/>
        <w:outlineLvl w:val="1"/>
        <w:rPr>
          <w:rFonts w:ascii="Arial" w:hAnsi="Arial" w:cs="Arial"/>
          <w:sz w:val="20"/>
          <w:szCs w:val="20"/>
          <w:u w:val="single"/>
        </w:rPr>
      </w:pPr>
      <w:r w:rsidRPr="00F255F9">
        <w:rPr>
          <w:rFonts w:ascii="Arial" w:hAnsi="Arial" w:cs="Arial"/>
          <w:sz w:val="20"/>
          <w:szCs w:val="20"/>
          <w:u w:val="single"/>
        </w:rPr>
        <w:t>Administration requirements</w:t>
      </w:r>
    </w:p>
    <w:p w:rsidR="00F255F9" w:rsidRPr="00F255F9" w:rsidRDefault="00904D3C" w:rsidP="00F255F9">
      <w:pPr>
        <w:spacing w:after="0" w:line="240" w:lineRule="auto"/>
        <w:rPr>
          <w:rFonts w:ascii="Arial" w:hAnsi="Arial" w:cs="Arial"/>
          <w:sz w:val="20"/>
          <w:szCs w:val="20"/>
        </w:rPr>
      </w:pP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w:t>
      </w:r>
      <w:r w:rsidR="00F255F9" w:rsidRPr="00F255F9">
        <w:rPr>
          <w:rFonts w:ascii="Arial" w:hAnsi="Arial" w:cs="Arial"/>
          <w:sz w:val="20"/>
          <w:szCs w:val="20"/>
        </w:rPr>
        <w:t>tablets must be taken whole</w:t>
      </w:r>
      <w:r w:rsidR="007D4A5B">
        <w:rPr>
          <w:rFonts w:ascii="Arial" w:hAnsi="Arial" w:cs="Arial"/>
          <w:sz w:val="20"/>
          <w:szCs w:val="20"/>
        </w:rPr>
        <w:t>, one tablet at a time, with enough water to ensure complete swallowing immediately after placing in the mouth</w:t>
      </w:r>
      <w:r>
        <w:rPr>
          <w:rFonts w:ascii="Arial" w:hAnsi="Arial" w:cs="Arial"/>
          <w:sz w:val="20"/>
          <w:szCs w:val="20"/>
        </w:rPr>
        <w:t>.</w:t>
      </w:r>
      <w:r w:rsidR="00F255F9" w:rsidRPr="00F255F9">
        <w:rPr>
          <w:rFonts w:ascii="Arial" w:hAnsi="Arial" w:cs="Arial"/>
          <w:sz w:val="20"/>
          <w:szCs w:val="20"/>
        </w:rPr>
        <w:t xml:space="preserve">  </w:t>
      </w:r>
      <w:r>
        <w:rPr>
          <w:rFonts w:ascii="Arial" w:hAnsi="Arial" w:cs="Arial"/>
          <w:sz w:val="20"/>
          <w:szCs w:val="20"/>
        </w:rPr>
        <w:t>Administer on an empty stomach, at least one hour prior to or two hours after eating.</w:t>
      </w:r>
    </w:p>
    <w:p w:rsidR="00F255F9" w:rsidRDefault="00F255F9" w:rsidP="00F255F9">
      <w:pPr>
        <w:spacing w:after="0" w:line="240" w:lineRule="auto"/>
        <w:outlineLvl w:val="1"/>
        <w:rPr>
          <w:rFonts w:ascii="Arial" w:hAnsi="Arial" w:cs="Arial"/>
          <w:sz w:val="20"/>
          <w:szCs w:val="20"/>
        </w:rPr>
      </w:pPr>
    </w:p>
    <w:p w:rsidR="007D4A5B" w:rsidRPr="007D4A5B" w:rsidRDefault="007D4A5B" w:rsidP="007D4A5B">
      <w:pPr>
        <w:spacing w:after="0" w:line="240" w:lineRule="auto"/>
        <w:outlineLvl w:val="1"/>
        <w:rPr>
          <w:rFonts w:ascii="Arial" w:hAnsi="Arial" w:cs="Arial"/>
          <w:sz w:val="20"/>
          <w:szCs w:val="20"/>
        </w:rPr>
      </w:pPr>
      <w:r w:rsidRPr="007D4A5B">
        <w:rPr>
          <w:rFonts w:ascii="Arial" w:hAnsi="Arial" w:cs="Arial"/>
          <w:sz w:val="20"/>
          <w:szCs w:val="20"/>
        </w:rPr>
        <w:t xml:space="preserve">In general, </w:t>
      </w:r>
      <w:r w:rsidRPr="00904D3C">
        <w:rPr>
          <w:rFonts w:ascii="Arial" w:hAnsi="Arial" w:cs="Arial"/>
          <w:sz w:val="20"/>
          <w:szCs w:val="20"/>
        </w:rPr>
        <w:t>Opana</w:t>
      </w:r>
      <w:r w:rsidR="00A25221" w:rsidRPr="000E4958">
        <w:rPr>
          <w:rFonts w:ascii="Arial" w:hAnsi="Arial" w:cs="Arial"/>
          <w:sz w:val="20"/>
          <w:szCs w:val="20"/>
          <w:vertAlign w:val="superscript"/>
        </w:rPr>
        <w:t>®</w:t>
      </w:r>
      <w:r w:rsidRPr="00904D3C">
        <w:rPr>
          <w:rFonts w:ascii="Arial" w:hAnsi="Arial" w:cs="Arial"/>
          <w:sz w:val="20"/>
          <w:szCs w:val="20"/>
        </w:rPr>
        <w:t xml:space="preserve"> ER</w:t>
      </w:r>
      <w:r w:rsidRPr="00904D3C">
        <w:rPr>
          <w:rFonts w:ascii="Arial" w:hAnsi="Arial" w:cs="Arial"/>
          <w:sz w:val="20"/>
          <w:szCs w:val="20"/>
          <w:vertAlign w:val="superscript"/>
        </w:rPr>
        <w:t xml:space="preserve"> </w:t>
      </w:r>
      <w:r w:rsidRPr="00904D3C">
        <w:rPr>
          <w:rFonts w:ascii="Arial" w:hAnsi="Arial" w:cs="Arial"/>
          <w:sz w:val="20"/>
          <w:szCs w:val="20"/>
        </w:rPr>
        <w:t>(oxymorphone ER)</w:t>
      </w:r>
      <w:r>
        <w:rPr>
          <w:rFonts w:ascii="Arial" w:hAnsi="Arial" w:cs="Arial"/>
          <w:sz w:val="20"/>
          <w:szCs w:val="20"/>
        </w:rPr>
        <w:t xml:space="preserve"> </w:t>
      </w:r>
      <w:r w:rsidRPr="007D4A5B">
        <w:rPr>
          <w:rFonts w:ascii="Arial" w:hAnsi="Arial" w:cs="Arial"/>
          <w:sz w:val="20"/>
          <w:szCs w:val="20"/>
        </w:rPr>
        <w:t>should be taken at 12-hour intervals.</w:t>
      </w:r>
    </w:p>
    <w:p w:rsidR="007D4A5B" w:rsidRDefault="007D4A5B" w:rsidP="00F255F9">
      <w:pPr>
        <w:spacing w:after="0" w:line="240" w:lineRule="auto"/>
        <w:outlineLvl w:val="1"/>
        <w:rPr>
          <w:rFonts w:ascii="Arial" w:hAnsi="Arial" w:cs="Arial"/>
          <w:sz w:val="20"/>
          <w:szCs w:val="20"/>
          <w:u w:val="single"/>
        </w:rPr>
      </w:pPr>
    </w:p>
    <w:p w:rsidR="007D4A5B" w:rsidRDefault="00F255F9" w:rsidP="00F255F9">
      <w:pPr>
        <w:spacing w:after="0" w:line="240" w:lineRule="auto"/>
        <w:outlineLvl w:val="1"/>
        <w:rPr>
          <w:rFonts w:cs="Arial"/>
          <w:bCs/>
          <w:sz w:val="20"/>
          <w:szCs w:val="20"/>
          <w:u w:val="single"/>
        </w:rPr>
      </w:pPr>
      <w:r w:rsidRPr="00FD799A">
        <w:rPr>
          <w:rFonts w:ascii="Arial" w:hAnsi="Arial" w:cs="Arial"/>
          <w:sz w:val="20"/>
          <w:szCs w:val="20"/>
          <w:u w:val="single"/>
        </w:rPr>
        <w:t xml:space="preserve">Discontinuation of </w:t>
      </w:r>
      <w:r w:rsidR="00AD075A" w:rsidRPr="004B299E">
        <w:rPr>
          <w:rFonts w:ascii="Arial" w:hAnsi="Arial" w:cs="Arial"/>
          <w:sz w:val="20"/>
          <w:szCs w:val="20"/>
          <w:u w:val="single"/>
        </w:rPr>
        <w:t>Opana</w:t>
      </w:r>
      <w:r w:rsidR="00A25221" w:rsidRPr="004B299E">
        <w:rPr>
          <w:rFonts w:ascii="Arial" w:hAnsi="Arial" w:cs="Arial"/>
          <w:sz w:val="20"/>
          <w:szCs w:val="20"/>
          <w:u w:val="single"/>
          <w:vertAlign w:val="superscript"/>
        </w:rPr>
        <w:t>®</w:t>
      </w:r>
      <w:r w:rsidR="00AD075A">
        <w:rPr>
          <w:rFonts w:ascii="Arial" w:hAnsi="Arial" w:cs="Arial"/>
          <w:sz w:val="20"/>
          <w:szCs w:val="20"/>
          <w:u w:val="single"/>
        </w:rPr>
        <w:t xml:space="preserve"> ER</w:t>
      </w:r>
      <w:r w:rsidR="00B668A6" w:rsidRPr="00FD799A">
        <w:rPr>
          <w:rFonts w:ascii="Arial" w:hAnsi="Arial" w:cs="Arial"/>
          <w:sz w:val="20"/>
          <w:szCs w:val="20"/>
          <w:u w:val="single"/>
          <w:vertAlign w:val="superscript"/>
        </w:rPr>
        <w:t xml:space="preserve"> </w:t>
      </w:r>
      <w:r w:rsidR="00AD075A">
        <w:rPr>
          <w:rFonts w:ascii="Arial" w:hAnsi="Arial" w:cs="Arial"/>
          <w:sz w:val="20"/>
          <w:szCs w:val="20"/>
          <w:u w:val="single"/>
        </w:rPr>
        <w:t>(oxymorph</w:t>
      </w:r>
      <w:r w:rsidR="00B668A6" w:rsidRPr="00FD799A">
        <w:rPr>
          <w:rFonts w:ascii="Arial" w:hAnsi="Arial" w:cs="Arial"/>
          <w:sz w:val="20"/>
          <w:szCs w:val="20"/>
          <w:u w:val="single"/>
        </w:rPr>
        <w:t>one ER)</w:t>
      </w:r>
      <w:r w:rsidRPr="00FD799A">
        <w:rPr>
          <w:rFonts w:cs="Arial"/>
          <w:bCs/>
          <w:sz w:val="20"/>
          <w:szCs w:val="20"/>
          <w:u w:val="single"/>
        </w:rPr>
        <w:t>:</w:t>
      </w:r>
      <w:bookmarkStart w:id="6" w:name="p30864221366293350"/>
      <w:bookmarkEnd w:id="6"/>
    </w:p>
    <w:p w:rsidR="00F255F9" w:rsidRPr="007D4A5B" w:rsidRDefault="00F255F9" w:rsidP="00F255F9">
      <w:pPr>
        <w:spacing w:after="0" w:line="240" w:lineRule="auto"/>
        <w:outlineLvl w:val="1"/>
        <w:rPr>
          <w:rFonts w:cs="Arial"/>
          <w:bCs/>
          <w:sz w:val="20"/>
          <w:szCs w:val="20"/>
          <w:u w:val="single"/>
        </w:rPr>
      </w:pPr>
      <w:r w:rsidRPr="00F255F9">
        <w:rPr>
          <w:rFonts w:ascii="Arial" w:hAnsi="Arial" w:cs="Arial"/>
          <w:sz w:val="20"/>
          <w:szCs w:val="20"/>
        </w:rPr>
        <w:t xml:space="preserve">When the patient no longer requires therapy with </w:t>
      </w:r>
      <w:r w:rsidR="00904D3C" w:rsidRPr="00904D3C">
        <w:rPr>
          <w:rFonts w:ascii="Arial" w:hAnsi="Arial" w:cs="Arial"/>
          <w:sz w:val="20"/>
          <w:szCs w:val="20"/>
        </w:rPr>
        <w:t>Opana</w:t>
      </w:r>
      <w:r w:rsidR="00A25221" w:rsidRPr="000E4958">
        <w:rPr>
          <w:rFonts w:ascii="Arial" w:hAnsi="Arial" w:cs="Arial"/>
          <w:sz w:val="20"/>
          <w:szCs w:val="20"/>
          <w:vertAlign w:val="superscript"/>
        </w:rPr>
        <w:t>®</w:t>
      </w:r>
      <w:r w:rsidR="00904D3C" w:rsidRPr="00904D3C">
        <w:rPr>
          <w:rFonts w:ascii="Arial" w:hAnsi="Arial" w:cs="Arial"/>
          <w:sz w:val="20"/>
          <w:szCs w:val="20"/>
        </w:rPr>
        <w:t xml:space="preserve"> ER</w:t>
      </w:r>
      <w:r w:rsidR="00904D3C" w:rsidRPr="00904D3C">
        <w:rPr>
          <w:rFonts w:ascii="Arial" w:hAnsi="Arial" w:cs="Arial"/>
          <w:sz w:val="20"/>
          <w:szCs w:val="20"/>
          <w:vertAlign w:val="superscript"/>
        </w:rPr>
        <w:t xml:space="preserve"> </w:t>
      </w:r>
      <w:r w:rsidR="00904D3C" w:rsidRPr="00904D3C">
        <w:rPr>
          <w:rFonts w:ascii="Arial" w:hAnsi="Arial" w:cs="Arial"/>
          <w:sz w:val="20"/>
          <w:szCs w:val="20"/>
        </w:rPr>
        <w:t>(oxymorphone ER)</w:t>
      </w:r>
      <w:r w:rsidR="00904D3C">
        <w:rPr>
          <w:rFonts w:ascii="Arial" w:hAnsi="Arial" w:cs="Arial"/>
          <w:sz w:val="20"/>
          <w:szCs w:val="20"/>
        </w:rPr>
        <w:t xml:space="preserve">, </w:t>
      </w:r>
      <w:r w:rsidRPr="00F255F9">
        <w:rPr>
          <w:rFonts w:ascii="Arial" w:hAnsi="Arial" w:cs="Arial"/>
          <w:sz w:val="20"/>
          <w:szCs w:val="20"/>
        </w:rPr>
        <w:t xml:space="preserve">gradually titrate the dosage downward to prevent signs and symptoms of withdrawal in the physically dependent patient. Do not abruptly discontinue </w:t>
      </w:r>
      <w:r w:rsidR="00904D3C" w:rsidRPr="00904D3C">
        <w:rPr>
          <w:rFonts w:ascii="Arial" w:hAnsi="Arial" w:cs="Arial"/>
          <w:sz w:val="20"/>
          <w:szCs w:val="20"/>
        </w:rPr>
        <w:t>Opana</w:t>
      </w:r>
      <w:r w:rsidR="00A25221" w:rsidRPr="000E4958">
        <w:rPr>
          <w:rFonts w:ascii="Arial" w:hAnsi="Arial" w:cs="Arial"/>
          <w:sz w:val="20"/>
          <w:szCs w:val="20"/>
          <w:vertAlign w:val="superscript"/>
        </w:rPr>
        <w:t>®</w:t>
      </w:r>
      <w:r w:rsidR="00904D3C" w:rsidRPr="00904D3C">
        <w:rPr>
          <w:rFonts w:ascii="Arial" w:hAnsi="Arial" w:cs="Arial"/>
          <w:sz w:val="20"/>
          <w:szCs w:val="20"/>
        </w:rPr>
        <w:t xml:space="preserve"> ER</w:t>
      </w:r>
      <w:r w:rsidR="00904D3C" w:rsidRPr="00904D3C">
        <w:rPr>
          <w:rFonts w:ascii="Arial" w:hAnsi="Arial" w:cs="Arial"/>
          <w:sz w:val="20"/>
          <w:szCs w:val="20"/>
          <w:vertAlign w:val="superscript"/>
        </w:rPr>
        <w:t xml:space="preserve"> </w:t>
      </w:r>
      <w:r w:rsidR="00904D3C" w:rsidRPr="00904D3C">
        <w:rPr>
          <w:rFonts w:ascii="Arial" w:hAnsi="Arial" w:cs="Arial"/>
          <w:sz w:val="20"/>
          <w:szCs w:val="20"/>
        </w:rPr>
        <w:t>(oxymorphone ER)</w:t>
      </w:r>
      <w:r w:rsidRPr="00904D3C">
        <w:rPr>
          <w:rFonts w:ascii="Arial" w:hAnsi="Arial" w:cs="Arial"/>
          <w:sz w:val="20"/>
          <w:szCs w:val="20"/>
        </w:rPr>
        <w:t>.</w:t>
      </w:r>
    </w:p>
    <w:p w:rsidR="00567499" w:rsidRDefault="00567499" w:rsidP="008B0860">
      <w:pPr>
        <w:pStyle w:val="NoSpacing"/>
      </w:pPr>
    </w:p>
    <w:p w:rsidR="00567499" w:rsidRPr="0044122B" w:rsidRDefault="00567499" w:rsidP="00567499">
      <w:pPr>
        <w:pStyle w:val="NoSpacing"/>
        <w:rPr>
          <w:rFonts w:ascii="Arial" w:hAnsi="Arial" w:cs="Arial"/>
          <w:b/>
          <w:sz w:val="20"/>
          <w:szCs w:val="20"/>
          <w:u w:val="single"/>
        </w:rPr>
      </w:pPr>
      <w:r w:rsidRPr="0044122B">
        <w:rPr>
          <w:rFonts w:ascii="Arial" w:hAnsi="Arial" w:cs="Arial"/>
          <w:b/>
          <w:sz w:val="20"/>
          <w:szCs w:val="20"/>
          <w:u w:val="single"/>
        </w:rPr>
        <w:t>Precautions</w:t>
      </w:r>
    </w:p>
    <w:p w:rsidR="00567499" w:rsidRPr="0039107C" w:rsidRDefault="00567499" w:rsidP="00567499">
      <w:pPr>
        <w:pStyle w:val="NoSpacing"/>
        <w:rPr>
          <w:rFonts w:ascii="Arial" w:hAnsi="Arial" w:cs="Arial"/>
          <w:color w:val="FF0000"/>
          <w:sz w:val="20"/>
          <w:szCs w:val="20"/>
        </w:rPr>
      </w:pPr>
    </w:p>
    <w:p w:rsidR="00567499" w:rsidRPr="0039107C" w:rsidRDefault="00567499" w:rsidP="00567499">
      <w:pPr>
        <w:pStyle w:val="NoSpacing"/>
        <w:rPr>
          <w:rFonts w:ascii="Arial" w:hAnsi="Arial" w:cs="Arial"/>
          <w:color w:val="FF0000"/>
          <w:sz w:val="20"/>
          <w:szCs w:val="20"/>
        </w:rPr>
      </w:pPr>
      <w:r w:rsidRPr="00C51FFB">
        <w:rPr>
          <w:rFonts w:ascii="Arial" w:hAnsi="Arial" w:cs="Arial"/>
          <w:b/>
          <w:sz w:val="20"/>
          <w:szCs w:val="20"/>
        </w:rPr>
        <w:t xml:space="preserve">Table </w:t>
      </w:r>
      <w:r w:rsidR="004B299E">
        <w:rPr>
          <w:rFonts w:ascii="Arial" w:hAnsi="Arial" w:cs="Arial"/>
          <w:b/>
          <w:sz w:val="20"/>
          <w:szCs w:val="20"/>
        </w:rPr>
        <w:t>6</w:t>
      </w:r>
      <w:r w:rsidRPr="00C51FFB">
        <w:rPr>
          <w:rFonts w:ascii="Arial" w:hAnsi="Arial" w:cs="Arial"/>
          <w:b/>
          <w:sz w:val="20"/>
          <w:szCs w:val="20"/>
        </w:rPr>
        <w:t xml:space="preserve">. </w:t>
      </w:r>
      <w:r w:rsidR="00371DE3">
        <w:rPr>
          <w:rFonts w:ascii="Arial" w:hAnsi="Arial" w:cs="Arial"/>
          <w:b/>
          <w:sz w:val="20"/>
          <w:szCs w:val="20"/>
        </w:rPr>
        <w:t>Warning</w:t>
      </w:r>
      <w:r w:rsidR="004F3495">
        <w:rPr>
          <w:rFonts w:ascii="Arial" w:hAnsi="Arial" w:cs="Arial"/>
          <w:b/>
          <w:sz w:val="20"/>
          <w:szCs w:val="20"/>
        </w:rPr>
        <w:t>s</w:t>
      </w:r>
      <w:r w:rsidR="00371DE3">
        <w:rPr>
          <w:rFonts w:ascii="Arial" w:hAnsi="Arial" w:cs="Arial"/>
          <w:b/>
          <w:sz w:val="20"/>
          <w:szCs w:val="20"/>
        </w:rPr>
        <w:t>/</w:t>
      </w:r>
      <w:r w:rsidRPr="0061380F">
        <w:rPr>
          <w:rFonts w:ascii="Arial" w:hAnsi="Arial" w:cs="Arial"/>
          <w:b/>
          <w:sz w:val="20"/>
          <w:szCs w:val="20"/>
        </w:rPr>
        <w:t>Precautions</w:t>
      </w:r>
      <w:r w:rsidR="004B299E">
        <w:rPr>
          <w:rFonts w:ascii="Arial" w:hAnsi="Arial" w:cs="Arial"/>
          <w:b/>
          <w:sz w:val="20"/>
          <w:szCs w:val="20"/>
          <w:vertAlign w:val="superscript"/>
        </w:rPr>
        <w:t>1</w:t>
      </w:r>
      <w:proofErr w:type="gramStart"/>
      <w:r w:rsidR="004B299E">
        <w:rPr>
          <w:rFonts w:ascii="Arial" w:hAnsi="Arial" w:cs="Arial"/>
          <w:b/>
          <w:sz w:val="20"/>
          <w:szCs w:val="20"/>
          <w:vertAlign w:val="superscript"/>
        </w:rPr>
        <w:t>,2</w:t>
      </w:r>
      <w:proofErr w:type="gram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7578"/>
      </w:tblGrid>
      <w:tr w:rsidR="00110299" w:rsidRPr="000E4958" w:rsidTr="00C53D79">
        <w:tc>
          <w:tcPr>
            <w:tcW w:w="1890" w:type="dxa"/>
            <w:vMerge w:val="restart"/>
            <w:shd w:val="clear" w:color="auto" w:fill="BFBFBF" w:themeFill="background1" w:themeFillShade="BF"/>
          </w:tcPr>
          <w:p w:rsidR="00110299" w:rsidRPr="000E4958" w:rsidRDefault="00110299" w:rsidP="000E4958">
            <w:pPr>
              <w:spacing w:after="0" w:line="240" w:lineRule="auto"/>
              <w:rPr>
                <w:rFonts w:ascii="Arial" w:hAnsi="Arial" w:cs="Arial"/>
                <w:color w:val="00B050"/>
                <w:sz w:val="20"/>
                <w:szCs w:val="20"/>
              </w:rPr>
            </w:pPr>
            <w:r w:rsidRPr="004F3495">
              <w:rPr>
                <w:rFonts w:ascii="Arial" w:hAnsi="Arial" w:cs="Arial"/>
                <w:b/>
                <w:sz w:val="20"/>
                <w:szCs w:val="20"/>
              </w:rPr>
              <w:t>Warning</w:t>
            </w:r>
            <w:r>
              <w:rPr>
                <w:rFonts w:ascii="Arial" w:hAnsi="Arial" w:cs="Arial"/>
                <w:b/>
                <w:sz w:val="20"/>
                <w:szCs w:val="20"/>
              </w:rPr>
              <w:t>s</w:t>
            </w:r>
            <w:r w:rsidRPr="004F3495">
              <w:rPr>
                <w:rFonts w:ascii="Arial" w:hAnsi="Arial" w:cs="Arial"/>
                <w:b/>
                <w:sz w:val="20"/>
                <w:szCs w:val="20"/>
              </w:rPr>
              <w:t>/ Precautions</w:t>
            </w:r>
            <w:r w:rsidRPr="004F3495" w:rsidDel="004F3495">
              <w:rPr>
                <w:rFonts w:ascii="Arial" w:hAnsi="Arial" w:cs="Arial"/>
                <w:sz w:val="20"/>
                <w:szCs w:val="20"/>
              </w:rPr>
              <w:t xml:space="preserve"> </w:t>
            </w:r>
          </w:p>
          <w:p w:rsidR="00110299" w:rsidRPr="000E4958" w:rsidRDefault="00110299" w:rsidP="000E4958">
            <w:pPr>
              <w:spacing w:after="0" w:line="240" w:lineRule="auto"/>
              <w:rPr>
                <w:rFonts w:ascii="Arial" w:hAnsi="Arial" w:cs="Arial"/>
                <w:sz w:val="20"/>
                <w:szCs w:val="20"/>
              </w:rPr>
            </w:pPr>
          </w:p>
          <w:p w:rsidR="00110299" w:rsidRPr="000E4958" w:rsidRDefault="00110299" w:rsidP="000E4958">
            <w:pPr>
              <w:spacing w:after="0" w:line="240" w:lineRule="auto"/>
              <w:rPr>
                <w:rFonts w:ascii="Arial" w:hAnsi="Arial" w:cs="Arial"/>
                <w:b/>
                <w:sz w:val="20"/>
                <w:szCs w:val="20"/>
              </w:rPr>
            </w:pPr>
          </w:p>
          <w:p w:rsidR="00110299" w:rsidRPr="000E4958" w:rsidRDefault="00110299" w:rsidP="000E4958">
            <w:pPr>
              <w:spacing w:after="0" w:line="240" w:lineRule="auto"/>
              <w:rPr>
                <w:rFonts w:ascii="Arial" w:hAnsi="Arial" w:cs="Arial"/>
                <w:b/>
                <w:sz w:val="20"/>
                <w:szCs w:val="20"/>
              </w:rPr>
            </w:pPr>
          </w:p>
          <w:p w:rsidR="00110299" w:rsidRPr="000E4958" w:rsidRDefault="00110299" w:rsidP="000E4958">
            <w:pPr>
              <w:spacing w:after="0" w:line="240" w:lineRule="auto"/>
              <w:rPr>
                <w:rFonts w:ascii="Arial" w:hAnsi="Arial" w:cs="Arial"/>
                <w:b/>
                <w:sz w:val="20"/>
                <w:szCs w:val="20"/>
              </w:rPr>
            </w:pPr>
          </w:p>
          <w:p w:rsidR="00110299" w:rsidRPr="000E4958" w:rsidRDefault="00110299" w:rsidP="000E4958">
            <w:pPr>
              <w:spacing w:after="0" w:line="240" w:lineRule="auto"/>
              <w:rPr>
                <w:rFonts w:ascii="Arial" w:hAnsi="Arial" w:cs="Arial"/>
                <w:b/>
                <w:sz w:val="20"/>
                <w:szCs w:val="20"/>
              </w:rPr>
            </w:pPr>
          </w:p>
          <w:p w:rsidR="00110299" w:rsidRPr="000E4958" w:rsidRDefault="00110299" w:rsidP="000E4958">
            <w:pPr>
              <w:spacing w:after="0" w:line="240" w:lineRule="auto"/>
              <w:rPr>
                <w:rFonts w:ascii="Arial" w:hAnsi="Arial" w:cs="Arial"/>
                <w:b/>
                <w:sz w:val="20"/>
                <w:szCs w:val="20"/>
              </w:rPr>
            </w:pPr>
          </w:p>
          <w:p w:rsidR="00110299" w:rsidRPr="000E4958" w:rsidRDefault="00110299" w:rsidP="000E4958">
            <w:pPr>
              <w:spacing w:after="0" w:line="240" w:lineRule="auto"/>
              <w:rPr>
                <w:rFonts w:ascii="Arial" w:hAnsi="Arial" w:cs="Arial"/>
                <w:b/>
                <w:sz w:val="20"/>
                <w:szCs w:val="20"/>
              </w:rPr>
            </w:pPr>
          </w:p>
          <w:p w:rsidR="00110299" w:rsidRPr="000E4958" w:rsidRDefault="00110299" w:rsidP="000E4958">
            <w:pPr>
              <w:spacing w:after="0" w:line="240" w:lineRule="auto"/>
              <w:rPr>
                <w:rFonts w:ascii="Arial" w:hAnsi="Arial" w:cs="Arial"/>
                <w:b/>
                <w:sz w:val="20"/>
                <w:szCs w:val="20"/>
              </w:rPr>
            </w:pPr>
          </w:p>
          <w:p w:rsidR="00110299" w:rsidRPr="000E4958" w:rsidRDefault="00110299" w:rsidP="000E4958">
            <w:pPr>
              <w:spacing w:after="0" w:line="240" w:lineRule="auto"/>
              <w:rPr>
                <w:rFonts w:ascii="Arial" w:hAnsi="Arial" w:cs="Arial"/>
                <w:sz w:val="20"/>
                <w:szCs w:val="20"/>
              </w:rPr>
            </w:pPr>
          </w:p>
          <w:p w:rsidR="00110299" w:rsidRPr="000E4958" w:rsidRDefault="00110299" w:rsidP="000E4958">
            <w:pPr>
              <w:spacing w:after="0" w:line="240" w:lineRule="auto"/>
              <w:rPr>
                <w:rFonts w:ascii="Arial" w:hAnsi="Arial" w:cs="Arial"/>
                <w:b/>
                <w:sz w:val="20"/>
                <w:szCs w:val="20"/>
              </w:rPr>
            </w:pPr>
          </w:p>
          <w:p w:rsidR="00110299" w:rsidRPr="000E4958" w:rsidRDefault="00110299" w:rsidP="000E4958">
            <w:pPr>
              <w:spacing w:after="0" w:line="240" w:lineRule="auto"/>
              <w:rPr>
                <w:rFonts w:ascii="Arial" w:hAnsi="Arial" w:cs="Arial"/>
                <w:b/>
                <w:sz w:val="20"/>
                <w:szCs w:val="20"/>
              </w:rPr>
            </w:pPr>
          </w:p>
          <w:p w:rsidR="00110299" w:rsidRPr="000E4958" w:rsidRDefault="00110299" w:rsidP="000E4958">
            <w:pPr>
              <w:spacing w:after="0" w:line="240" w:lineRule="auto"/>
              <w:rPr>
                <w:rFonts w:ascii="Arial" w:hAnsi="Arial" w:cs="Arial"/>
                <w:color w:val="00B050"/>
                <w:sz w:val="20"/>
                <w:szCs w:val="20"/>
              </w:rPr>
            </w:pPr>
          </w:p>
        </w:tc>
        <w:tc>
          <w:tcPr>
            <w:tcW w:w="7578" w:type="dxa"/>
          </w:tcPr>
          <w:p w:rsidR="00110299" w:rsidRPr="000E4958" w:rsidRDefault="00110299" w:rsidP="004B299E">
            <w:pPr>
              <w:spacing w:after="0" w:line="240" w:lineRule="auto"/>
              <w:rPr>
                <w:sz w:val="20"/>
                <w:szCs w:val="20"/>
              </w:rPr>
            </w:pPr>
            <w:r w:rsidRPr="004F3495">
              <w:rPr>
                <w:rFonts w:ascii="Arial" w:hAnsi="Arial" w:cs="Arial"/>
                <w:sz w:val="20"/>
                <w:szCs w:val="20"/>
              </w:rPr>
              <w:t>Addiction, abuse and misuse</w:t>
            </w:r>
            <w:r>
              <w:rPr>
                <w:rFonts w:ascii="Arial" w:hAnsi="Arial" w:cs="Arial"/>
                <w:sz w:val="20"/>
                <w:szCs w:val="20"/>
              </w:rPr>
              <w:t>;</w:t>
            </w:r>
            <w:r w:rsidR="00FA290C">
              <w:rPr>
                <w:rFonts w:ascii="Arial" w:hAnsi="Arial" w:cs="Arial"/>
                <w:sz w:val="20"/>
                <w:szCs w:val="20"/>
              </w:rPr>
              <w:t xml:space="preserve"> </w:t>
            </w:r>
            <w:r w:rsidRPr="000E4958">
              <w:rPr>
                <w:rFonts w:ascii="Arial" w:hAnsi="Arial" w:cs="Arial"/>
                <w:sz w:val="20"/>
                <w:szCs w:val="20"/>
              </w:rPr>
              <w:t>Although the risk of addiction in any individual is unknown, it can occur in patients appropriately prescribed Opana</w:t>
            </w:r>
            <w:r w:rsidRPr="000E4958">
              <w:rPr>
                <w:rFonts w:ascii="Arial" w:hAnsi="Arial" w:cs="Arial"/>
                <w:sz w:val="20"/>
                <w:szCs w:val="20"/>
                <w:vertAlign w:val="superscript"/>
              </w:rPr>
              <w:t>®</w:t>
            </w:r>
            <w:r w:rsidRPr="000E4958">
              <w:rPr>
                <w:rFonts w:ascii="Arial" w:hAnsi="Arial" w:cs="Arial"/>
                <w:sz w:val="20"/>
                <w:szCs w:val="20"/>
              </w:rPr>
              <w:t xml:space="preserve"> ER (oxymorphone ER). Addiction can occur at recommended doses in addition to if the drug is purposefully misused or abused. Assess each patient’s risk for opioid addiction, abuse or misuse prior to prescribing this agent, and monitor all patients receiving this agent for the development of these behaviors or conditions. Risks are increased in patients with a personal or family history of substance abuse or mental illness. The potential for these risks should not, however, prevent the proper management of pain in any given patient. Abuse, or misuse of this agent by crushing, chewing, snorting, or injecting the dissolved product will result in the uncontrolled delivery of oxymorphone and can result in overdose and death. Strategies to reduce these risks include prescribing the drug in the smallest appropriate quantity and advising the patient on the proper disposal of unused drug.</w:t>
            </w:r>
          </w:p>
        </w:tc>
      </w:tr>
      <w:tr w:rsidR="00110299" w:rsidRPr="000E4958" w:rsidTr="00C53D79">
        <w:tc>
          <w:tcPr>
            <w:tcW w:w="1890" w:type="dxa"/>
            <w:vMerge/>
            <w:shd w:val="clear" w:color="auto" w:fill="BFBFBF" w:themeFill="background1" w:themeFillShade="BF"/>
          </w:tcPr>
          <w:p w:rsidR="00110299" w:rsidRPr="000E4958" w:rsidRDefault="00110299" w:rsidP="000E4958">
            <w:pPr>
              <w:spacing w:after="0" w:line="240" w:lineRule="auto"/>
              <w:rPr>
                <w:rFonts w:ascii="Arial" w:hAnsi="Arial" w:cs="Arial"/>
                <w:sz w:val="20"/>
                <w:szCs w:val="20"/>
              </w:rPr>
            </w:pPr>
          </w:p>
        </w:tc>
        <w:tc>
          <w:tcPr>
            <w:tcW w:w="7578" w:type="dxa"/>
          </w:tcPr>
          <w:p w:rsidR="00110299" w:rsidRPr="000E4958" w:rsidRDefault="00110299" w:rsidP="00BC48B5">
            <w:pPr>
              <w:spacing w:after="0" w:line="240" w:lineRule="auto"/>
              <w:rPr>
                <w:rFonts w:ascii="Arial" w:hAnsi="Arial" w:cs="Arial"/>
                <w:sz w:val="20"/>
                <w:szCs w:val="20"/>
              </w:rPr>
            </w:pPr>
            <w:r w:rsidRPr="000E4958">
              <w:rPr>
                <w:rFonts w:ascii="Arial" w:hAnsi="Arial" w:cs="Arial"/>
                <w:sz w:val="20"/>
                <w:szCs w:val="20"/>
              </w:rPr>
              <w:t>Life threatening respiratory depression</w:t>
            </w:r>
            <w:r>
              <w:rPr>
                <w:rFonts w:ascii="Arial" w:hAnsi="Arial" w:cs="Arial"/>
                <w:sz w:val="20"/>
                <w:szCs w:val="20"/>
              </w:rPr>
              <w:t xml:space="preserve">; </w:t>
            </w:r>
            <w:r w:rsidRPr="000E4958">
              <w:rPr>
                <w:rFonts w:ascii="Arial" w:hAnsi="Arial" w:cs="Arial"/>
                <w:sz w:val="20"/>
                <w:szCs w:val="20"/>
              </w:rPr>
              <w:t>Serious, life-threatening, or fatal respiratory depression has been reported with the use of modified-release opioids, even when used as recommended. Respiratory depression, if not immediately recognized and treated, may lead to respiratory arrest and death. Management of respiratory depression may include close observation, supportive measures, and use of opioid antagonists, depending on the patient’s clinical status. Life-threatening or fatal respiratory depression can occur at any time during the use of this medication. However, the risk is generally greatest during the initiation of therapy</w:t>
            </w:r>
            <w:r>
              <w:rPr>
                <w:rFonts w:ascii="Arial" w:hAnsi="Arial" w:cs="Arial"/>
                <w:sz w:val="20"/>
                <w:szCs w:val="20"/>
              </w:rPr>
              <w:t xml:space="preserve"> or following a dose increase. </w:t>
            </w:r>
            <w:r w:rsidRPr="000E4958">
              <w:rPr>
                <w:rFonts w:ascii="Arial" w:hAnsi="Arial" w:cs="Arial"/>
                <w:sz w:val="20"/>
                <w:szCs w:val="20"/>
              </w:rPr>
              <w:t>Individuals should be closely monitored for respiratory depression when initiating therapy and following dose increases.</w:t>
            </w:r>
          </w:p>
        </w:tc>
      </w:tr>
      <w:tr w:rsidR="00110299" w:rsidRPr="000E4958" w:rsidTr="00C53D79">
        <w:tc>
          <w:tcPr>
            <w:tcW w:w="1890" w:type="dxa"/>
            <w:vMerge/>
            <w:shd w:val="clear" w:color="auto" w:fill="BFBFBF" w:themeFill="background1" w:themeFillShade="BF"/>
          </w:tcPr>
          <w:p w:rsidR="00110299" w:rsidRPr="000E4958" w:rsidRDefault="00110299" w:rsidP="000E4958">
            <w:pPr>
              <w:spacing w:after="0" w:line="240" w:lineRule="auto"/>
              <w:rPr>
                <w:rFonts w:ascii="Arial" w:hAnsi="Arial" w:cs="Arial"/>
                <w:b/>
                <w:sz w:val="20"/>
                <w:szCs w:val="20"/>
              </w:rPr>
            </w:pPr>
          </w:p>
        </w:tc>
        <w:tc>
          <w:tcPr>
            <w:tcW w:w="7578" w:type="dxa"/>
          </w:tcPr>
          <w:p w:rsidR="00110299" w:rsidRPr="000E4958" w:rsidRDefault="00110299" w:rsidP="000E4958">
            <w:pPr>
              <w:spacing w:after="0" w:line="240" w:lineRule="auto"/>
              <w:rPr>
                <w:rFonts w:ascii="Arial" w:hAnsi="Arial" w:cs="Arial"/>
                <w:sz w:val="20"/>
                <w:szCs w:val="20"/>
              </w:rPr>
            </w:pPr>
            <w:r w:rsidRPr="000E4958">
              <w:rPr>
                <w:rFonts w:ascii="Arial" w:hAnsi="Arial" w:cs="Arial"/>
                <w:sz w:val="20"/>
                <w:szCs w:val="20"/>
              </w:rPr>
              <w:t>Neonatal opioid withdrawal syndrome</w:t>
            </w:r>
            <w:r>
              <w:rPr>
                <w:rFonts w:ascii="Arial" w:hAnsi="Arial" w:cs="Arial"/>
                <w:sz w:val="20"/>
                <w:szCs w:val="20"/>
              </w:rPr>
              <w:t xml:space="preserve">; </w:t>
            </w:r>
            <w:r w:rsidRPr="000E4958">
              <w:rPr>
                <w:rFonts w:ascii="Arial" w:hAnsi="Arial" w:cs="Arial"/>
                <w:sz w:val="20"/>
                <w:szCs w:val="20"/>
              </w:rPr>
              <w:t xml:space="preserve">Prolonged use during pregnancy can result in withdrawal signs in the neonate. Neonatal opioid withdrawal syndrome may be life-threatening if not recognized and treated, and requires management according to protocols developed by neonatology experts. If opioid use is required for a prolonged period in a pregnant woman, advise the patient of the risk of neonatal opioid withdrawal syndrome and ensure that appropriate treatment will be </w:t>
            </w:r>
            <w:r w:rsidRPr="000E4958">
              <w:rPr>
                <w:rFonts w:ascii="Arial" w:hAnsi="Arial" w:cs="Arial"/>
                <w:sz w:val="20"/>
                <w:szCs w:val="20"/>
              </w:rPr>
              <w:lastRenderedPageBreak/>
              <w:t>available.</w:t>
            </w:r>
          </w:p>
        </w:tc>
      </w:tr>
      <w:tr w:rsidR="00110299" w:rsidRPr="000E4958" w:rsidTr="00C53D79">
        <w:tc>
          <w:tcPr>
            <w:tcW w:w="1890" w:type="dxa"/>
            <w:vMerge/>
            <w:shd w:val="clear" w:color="auto" w:fill="BFBFBF" w:themeFill="background1" w:themeFillShade="BF"/>
          </w:tcPr>
          <w:p w:rsidR="00110299" w:rsidRPr="000E4958" w:rsidRDefault="00110299" w:rsidP="000E4958">
            <w:pPr>
              <w:spacing w:after="0" w:line="240" w:lineRule="auto"/>
              <w:rPr>
                <w:rFonts w:ascii="Arial" w:hAnsi="Arial" w:cs="Arial"/>
                <w:b/>
                <w:sz w:val="20"/>
                <w:szCs w:val="20"/>
              </w:rPr>
            </w:pPr>
          </w:p>
        </w:tc>
        <w:tc>
          <w:tcPr>
            <w:tcW w:w="7578" w:type="dxa"/>
          </w:tcPr>
          <w:p w:rsidR="00110299" w:rsidRPr="000E4958" w:rsidRDefault="00110299" w:rsidP="000E4958">
            <w:pPr>
              <w:spacing w:after="0" w:line="240" w:lineRule="auto"/>
              <w:rPr>
                <w:rFonts w:ascii="Arial" w:hAnsi="Arial" w:cs="Arial"/>
                <w:sz w:val="20"/>
                <w:szCs w:val="20"/>
              </w:rPr>
            </w:pPr>
            <w:r w:rsidRPr="000E4958">
              <w:rPr>
                <w:rFonts w:ascii="Arial" w:hAnsi="Arial" w:cs="Arial"/>
                <w:iCs/>
                <w:sz w:val="20"/>
                <w:szCs w:val="20"/>
              </w:rPr>
              <w:t>Interactions with central nervous system depressants</w:t>
            </w:r>
            <w:r>
              <w:rPr>
                <w:rFonts w:ascii="Arial" w:hAnsi="Arial" w:cs="Arial"/>
                <w:iCs/>
                <w:sz w:val="20"/>
                <w:szCs w:val="20"/>
              </w:rPr>
              <w:t xml:space="preserve">; </w:t>
            </w:r>
            <w:r w:rsidRPr="000E4958">
              <w:rPr>
                <w:rFonts w:ascii="Arial" w:hAnsi="Arial" w:cs="Arial"/>
                <w:sz w:val="20"/>
                <w:szCs w:val="20"/>
              </w:rPr>
              <w:t>Hypotension, profound sedation, coma, respiratory depression, or death may result if Opana</w:t>
            </w:r>
            <w:r w:rsidRPr="000E4958">
              <w:rPr>
                <w:rFonts w:ascii="Arial" w:hAnsi="Arial" w:cs="Arial"/>
                <w:sz w:val="20"/>
                <w:szCs w:val="20"/>
                <w:vertAlign w:val="superscript"/>
              </w:rPr>
              <w:t>®</w:t>
            </w:r>
            <w:r>
              <w:rPr>
                <w:rFonts w:ascii="Arial" w:hAnsi="Arial" w:cs="Arial"/>
                <w:sz w:val="20"/>
                <w:szCs w:val="20"/>
              </w:rPr>
              <w:t xml:space="preserve"> ER (oxymorphone </w:t>
            </w:r>
            <w:r w:rsidRPr="000E4958">
              <w:rPr>
                <w:rFonts w:ascii="Arial" w:hAnsi="Arial" w:cs="Arial"/>
                <w:sz w:val="20"/>
                <w:szCs w:val="20"/>
              </w:rPr>
              <w:t>ER) is used concomitantly with other central nervous system (CNS) depressants (e.g., sedatives, anxiolytics, hypnotics, neuroleptics, other opioids, etc.).</w:t>
            </w:r>
            <w:r w:rsidRPr="000E4958">
              <w:t xml:space="preserve"> </w:t>
            </w:r>
            <w:r w:rsidRPr="000E4958">
              <w:rPr>
                <w:rFonts w:ascii="Arial" w:hAnsi="Arial" w:cs="Arial"/>
                <w:sz w:val="20"/>
                <w:szCs w:val="20"/>
              </w:rPr>
              <w:t xml:space="preserve">In addition, the patient’s use of alcohol or illicit drugs that can cause CNS depression should be evaluated. If the decision </w:t>
            </w:r>
            <w:r>
              <w:rPr>
                <w:rFonts w:ascii="Arial" w:hAnsi="Arial" w:cs="Arial"/>
                <w:sz w:val="20"/>
                <w:szCs w:val="20"/>
              </w:rPr>
              <w:t xml:space="preserve">is made </w:t>
            </w:r>
            <w:r w:rsidRPr="000E4958">
              <w:rPr>
                <w:rFonts w:ascii="Arial" w:hAnsi="Arial" w:cs="Arial"/>
                <w:sz w:val="20"/>
                <w:szCs w:val="20"/>
              </w:rPr>
              <w:t>to begin therapy with this agent, the starting dose should be 5 mg every 12 hours with frequent monitoring. Consideration should also be given to using a lower dose of the concomitant CNS depressant.</w:t>
            </w:r>
          </w:p>
        </w:tc>
      </w:tr>
      <w:tr w:rsidR="00110299" w:rsidRPr="000E4958" w:rsidTr="00C53D79">
        <w:tc>
          <w:tcPr>
            <w:tcW w:w="1890" w:type="dxa"/>
            <w:vMerge/>
            <w:shd w:val="clear" w:color="auto" w:fill="BFBFBF" w:themeFill="background1" w:themeFillShade="BF"/>
          </w:tcPr>
          <w:p w:rsidR="00110299" w:rsidRPr="000E4958" w:rsidRDefault="00110299" w:rsidP="000E4958">
            <w:pPr>
              <w:spacing w:after="0" w:line="240" w:lineRule="auto"/>
              <w:rPr>
                <w:rFonts w:ascii="Arial" w:hAnsi="Arial" w:cs="Arial"/>
                <w:b/>
                <w:sz w:val="20"/>
                <w:szCs w:val="20"/>
              </w:rPr>
            </w:pPr>
          </w:p>
        </w:tc>
        <w:tc>
          <w:tcPr>
            <w:tcW w:w="7578" w:type="dxa"/>
          </w:tcPr>
          <w:p w:rsidR="00110299" w:rsidRPr="000E4958" w:rsidRDefault="00110299" w:rsidP="000E4958">
            <w:pPr>
              <w:spacing w:after="0" w:line="240" w:lineRule="auto"/>
              <w:rPr>
                <w:rFonts w:ascii="Arial" w:hAnsi="Arial" w:cs="Arial"/>
                <w:sz w:val="20"/>
                <w:szCs w:val="20"/>
              </w:rPr>
            </w:pPr>
            <w:r w:rsidRPr="000E4958">
              <w:rPr>
                <w:rFonts w:ascii="Arial" w:hAnsi="Arial" w:cs="Arial"/>
                <w:sz w:val="20"/>
                <w:szCs w:val="20"/>
              </w:rPr>
              <w:t>Elderly, cachetic and debilitated patients</w:t>
            </w:r>
            <w:r>
              <w:rPr>
                <w:rFonts w:ascii="Arial" w:hAnsi="Arial" w:cs="Arial"/>
                <w:sz w:val="20"/>
                <w:szCs w:val="20"/>
              </w:rPr>
              <w:t xml:space="preserve">; </w:t>
            </w:r>
            <w:r w:rsidRPr="000E4958">
              <w:rPr>
                <w:rFonts w:ascii="Arial" w:hAnsi="Arial" w:cs="Arial"/>
                <w:sz w:val="20"/>
                <w:szCs w:val="20"/>
              </w:rPr>
              <w:t>Life-threatening respiratory depression is more likely to occur in elderly, cachectic, or debilitated patients as they may have altered pharmacokinetics or altered clearance compared to younger, healthier patients. Patients should be monitored closely when initiating or titrating Opana</w:t>
            </w:r>
            <w:r w:rsidRPr="000E4958">
              <w:rPr>
                <w:rFonts w:ascii="Arial" w:hAnsi="Arial" w:cs="Arial"/>
                <w:sz w:val="20"/>
                <w:szCs w:val="20"/>
                <w:vertAlign w:val="superscript"/>
              </w:rPr>
              <w:t>®</w:t>
            </w:r>
            <w:r>
              <w:rPr>
                <w:rFonts w:ascii="Arial" w:hAnsi="Arial" w:cs="Arial"/>
                <w:sz w:val="20"/>
                <w:szCs w:val="20"/>
              </w:rPr>
              <w:t xml:space="preserve"> ER (oxymorphone</w:t>
            </w:r>
            <w:r w:rsidRPr="000E4958">
              <w:rPr>
                <w:rFonts w:ascii="Arial" w:hAnsi="Arial" w:cs="Arial"/>
                <w:sz w:val="20"/>
                <w:szCs w:val="20"/>
              </w:rPr>
              <w:t xml:space="preserve"> ER) as well as when this agent is given concomitantly with CNS depressants.   </w:t>
            </w:r>
          </w:p>
        </w:tc>
      </w:tr>
      <w:tr w:rsidR="00110299" w:rsidRPr="000E4958" w:rsidTr="00C53D79">
        <w:tc>
          <w:tcPr>
            <w:tcW w:w="1890" w:type="dxa"/>
            <w:vMerge/>
            <w:shd w:val="clear" w:color="auto" w:fill="BFBFBF" w:themeFill="background1" w:themeFillShade="BF"/>
          </w:tcPr>
          <w:p w:rsidR="00110299" w:rsidRPr="000E4958" w:rsidRDefault="00110299" w:rsidP="000E4958">
            <w:pPr>
              <w:spacing w:after="0" w:line="240" w:lineRule="auto"/>
              <w:rPr>
                <w:rFonts w:ascii="Arial" w:hAnsi="Arial" w:cs="Arial"/>
                <w:b/>
                <w:sz w:val="20"/>
                <w:szCs w:val="20"/>
              </w:rPr>
            </w:pPr>
          </w:p>
        </w:tc>
        <w:tc>
          <w:tcPr>
            <w:tcW w:w="7578" w:type="dxa"/>
          </w:tcPr>
          <w:p w:rsidR="00110299" w:rsidRPr="000E4958" w:rsidRDefault="00110299" w:rsidP="000E4958">
            <w:pPr>
              <w:spacing w:after="0" w:line="240" w:lineRule="auto"/>
              <w:rPr>
                <w:rFonts w:ascii="Arial" w:hAnsi="Arial" w:cs="Arial"/>
                <w:sz w:val="20"/>
                <w:szCs w:val="20"/>
              </w:rPr>
            </w:pPr>
            <w:r w:rsidRPr="000E4958">
              <w:rPr>
                <w:rFonts w:ascii="Arial" w:hAnsi="Arial" w:cs="Arial"/>
                <w:sz w:val="20"/>
                <w:szCs w:val="20"/>
              </w:rPr>
              <w:t>Chronic pulmonary disease</w:t>
            </w:r>
            <w:r>
              <w:rPr>
                <w:rFonts w:ascii="Arial" w:hAnsi="Arial" w:cs="Arial"/>
                <w:sz w:val="20"/>
                <w:szCs w:val="20"/>
              </w:rPr>
              <w:t xml:space="preserve">; </w:t>
            </w:r>
            <w:r w:rsidRPr="000E4958">
              <w:rPr>
                <w:rFonts w:ascii="Arial" w:hAnsi="Arial" w:cs="Arial"/>
                <w:sz w:val="20"/>
                <w:szCs w:val="20"/>
              </w:rPr>
              <w:t>Monitor patients with significant chronic obstructive pulmonary disease or cor pulmonale, and patients having a substantially decreased respiratory reserve, hypoxia, hypercapnia, or pre-existing respiratory depression for respiratory depression. Even at usual therapeutic doses, these agents may decrease respiratory drive to the point of apnea. Consideration should be give</w:t>
            </w:r>
            <w:r>
              <w:rPr>
                <w:rFonts w:ascii="Arial" w:hAnsi="Arial" w:cs="Arial"/>
                <w:sz w:val="20"/>
                <w:szCs w:val="20"/>
              </w:rPr>
              <w:t>n to the use of alternative non</w:t>
            </w:r>
            <w:r w:rsidRPr="000E4958">
              <w:rPr>
                <w:rFonts w:ascii="Arial" w:hAnsi="Arial" w:cs="Arial"/>
                <w:sz w:val="20"/>
                <w:szCs w:val="20"/>
              </w:rPr>
              <w:t>opioid analgesics in these patients if possible.</w:t>
            </w:r>
          </w:p>
        </w:tc>
      </w:tr>
      <w:tr w:rsidR="00110299" w:rsidRPr="000E4958" w:rsidTr="00C53D79">
        <w:tc>
          <w:tcPr>
            <w:tcW w:w="1890" w:type="dxa"/>
            <w:vMerge/>
            <w:shd w:val="clear" w:color="auto" w:fill="BFBFBF" w:themeFill="background1" w:themeFillShade="BF"/>
          </w:tcPr>
          <w:p w:rsidR="00110299" w:rsidRPr="000E4958" w:rsidRDefault="00110299" w:rsidP="000E4958">
            <w:pPr>
              <w:spacing w:after="0" w:line="240" w:lineRule="auto"/>
              <w:rPr>
                <w:rFonts w:ascii="Arial" w:hAnsi="Arial" w:cs="Arial"/>
                <w:b/>
                <w:sz w:val="20"/>
                <w:szCs w:val="20"/>
              </w:rPr>
            </w:pPr>
          </w:p>
        </w:tc>
        <w:tc>
          <w:tcPr>
            <w:tcW w:w="7578" w:type="dxa"/>
          </w:tcPr>
          <w:p w:rsidR="00110299" w:rsidRPr="000E4958" w:rsidRDefault="00110299" w:rsidP="000E4958">
            <w:pPr>
              <w:spacing w:after="0" w:line="240" w:lineRule="auto"/>
              <w:rPr>
                <w:rFonts w:ascii="Arial" w:hAnsi="Arial" w:cs="Arial"/>
                <w:color w:val="FF0000"/>
                <w:sz w:val="20"/>
                <w:szCs w:val="20"/>
              </w:rPr>
            </w:pPr>
            <w:r w:rsidRPr="000E4958">
              <w:rPr>
                <w:rFonts w:ascii="Arial" w:hAnsi="Arial" w:cs="Arial"/>
                <w:sz w:val="20"/>
                <w:szCs w:val="20"/>
              </w:rPr>
              <w:t>Hypotensive effects</w:t>
            </w:r>
            <w:r>
              <w:rPr>
                <w:rFonts w:ascii="Arial" w:hAnsi="Arial" w:cs="Arial"/>
                <w:sz w:val="20"/>
                <w:szCs w:val="20"/>
              </w:rPr>
              <w:t xml:space="preserve">; </w:t>
            </w:r>
            <w:r w:rsidRPr="000E4958">
              <w:rPr>
                <w:rFonts w:ascii="Arial" w:hAnsi="Arial" w:cs="Arial"/>
                <w:sz w:val="20"/>
                <w:szCs w:val="20"/>
              </w:rPr>
              <w:t>Opana</w:t>
            </w:r>
            <w:r w:rsidRPr="000E4958">
              <w:rPr>
                <w:rFonts w:ascii="Arial" w:hAnsi="Arial" w:cs="Arial"/>
                <w:sz w:val="20"/>
                <w:szCs w:val="20"/>
                <w:vertAlign w:val="superscript"/>
              </w:rPr>
              <w:t>®</w:t>
            </w:r>
            <w:r>
              <w:rPr>
                <w:rFonts w:ascii="Arial" w:hAnsi="Arial" w:cs="Arial"/>
                <w:sz w:val="20"/>
                <w:szCs w:val="20"/>
              </w:rPr>
              <w:t xml:space="preserve"> ER (oxymorphone</w:t>
            </w:r>
            <w:r w:rsidRPr="000E4958">
              <w:rPr>
                <w:rFonts w:ascii="Arial" w:hAnsi="Arial" w:cs="Arial"/>
                <w:sz w:val="20"/>
                <w:szCs w:val="20"/>
              </w:rPr>
              <w:t xml:space="preserve"> ER) may cause severe hypotension, including orthostatic hypotension and </w:t>
            </w:r>
            <w:r>
              <w:rPr>
                <w:rFonts w:ascii="Arial" w:hAnsi="Arial" w:cs="Arial"/>
                <w:sz w:val="20"/>
                <w:szCs w:val="20"/>
              </w:rPr>
              <w:t>syncope in ambulatory patients.</w:t>
            </w:r>
            <w:r w:rsidRPr="000E4958">
              <w:rPr>
                <w:rFonts w:ascii="Arial" w:hAnsi="Arial" w:cs="Arial"/>
                <w:sz w:val="20"/>
                <w:szCs w:val="20"/>
              </w:rPr>
              <w:t xml:space="preserve"> There is an increased risk in patients whose ability to maintain blood pressure has already been compromised by a reduced blood volume or concurrent administration of certain CNS depressant drugs (e.g., phenothiazines or general anesthetics). Avoid use in patients with circulatory shock.</w:t>
            </w:r>
          </w:p>
        </w:tc>
      </w:tr>
      <w:tr w:rsidR="00110299" w:rsidRPr="000E4958" w:rsidTr="00C53D79">
        <w:tc>
          <w:tcPr>
            <w:tcW w:w="1890" w:type="dxa"/>
            <w:vMerge/>
            <w:shd w:val="clear" w:color="auto" w:fill="BFBFBF" w:themeFill="background1" w:themeFillShade="BF"/>
          </w:tcPr>
          <w:p w:rsidR="00110299" w:rsidRPr="000E4958" w:rsidRDefault="00110299" w:rsidP="000E4958">
            <w:pPr>
              <w:spacing w:after="0" w:line="240" w:lineRule="auto"/>
              <w:rPr>
                <w:rFonts w:ascii="Arial" w:hAnsi="Arial" w:cs="Arial"/>
                <w:b/>
                <w:sz w:val="20"/>
                <w:szCs w:val="20"/>
              </w:rPr>
            </w:pPr>
          </w:p>
        </w:tc>
        <w:tc>
          <w:tcPr>
            <w:tcW w:w="7578" w:type="dxa"/>
          </w:tcPr>
          <w:p w:rsidR="00110299" w:rsidRPr="000E4958" w:rsidRDefault="00110299" w:rsidP="000E4958">
            <w:pPr>
              <w:spacing w:before="100" w:beforeAutospacing="1" w:after="100" w:afterAutospacing="1" w:line="240" w:lineRule="auto"/>
              <w:rPr>
                <w:rFonts w:ascii="Arial" w:eastAsia="Times New Roman" w:hAnsi="Arial" w:cs="Arial"/>
                <w:color w:val="FF0000"/>
                <w:sz w:val="20"/>
                <w:szCs w:val="20"/>
              </w:rPr>
            </w:pPr>
            <w:r w:rsidRPr="000E4958">
              <w:rPr>
                <w:rFonts w:ascii="Arial" w:hAnsi="Arial" w:cs="Arial"/>
                <w:sz w:val="20"/>
                <w:szCs w:val="20"/>
              </w:rPr>
              <w:t>Head injury or increased intracranial pressure</w:t>
            </w:r>
            <w:r>
              <w:rPr>
                <w:rFonts w:ascii="Arial" w:eastAsia="Times New Roman" w:hAnsi="Arial" w:cs="Arial"/>
                <w:sz w:val="20"/>
                <w:szCs w:val="20"/>
              </w:rPr>
              <w:t xml:space="preserve">; </w:t>
            </w:r>
            <w:r w:rsidRPr="000E4958">
              <w:rPr>
                <w:rFonts w:ascii="Arial" w:eastAsia="Times New Roman" w:hAnsi="Arial" w:cs="Arial"/>
                <w:sz w:val="20"/>
                <w:szCs w:val="20"/>
              </w:rPr>
              <w:t xml:space="preserve">Monitor patients taking </w:t>
            </w:r>
            <w:r w:rsidRPr="000E4958">
              <w:rPr>
                <w:rFonts w:ascii="Arial" w:hAnsi="Arial" w:cs="Arial"/>
                <w:sz w:val="20"/>
                <w:szCs w:val="20"/>
              </w:rPr>
              <w:t>Opana</w:t>
            </w:r>
            <w:r w:rsidRPr="000E4958">
              <w:rPr>
                <w:rFonts w:ascii="Arial" w:hAnsi="Arial" w:cs="Arial"/>
                <w:sz w:val="20"/>
                <w:szCs w:val="20"/>
                <w:vertAlign w:val="superscript"/>
              </w:rPr>
              <w:t>®</w:t>
            </w:r>
            <w:r w:rsidRPr="000E4958">
              <w:rPr>
                <w:rFonts w:ascii="Arial" w:hAnsi="Arial" w:cs="Arial"/>
                <w:sz w:val="20"/>
                <w:szCs w:val="20"/>
              </w:rPr>
              <w:t xml:space="preserve"> ER</w:t>
            </w:r>
            <w:r>
              <w:rPr>
                <w:rFonts w:ascii="Arial" w:hAnsi="Arial" w:cs="Arial"/>
                <w:sz w:val="20"/>
                <w:szCs w:val="20"/>
              </w:rPr>
              <w:t xml:space="preserve"> (oxymorphone</w:t>
            </w:r>
            <w:r w:rsidRPr="000E4958">
              <w:rPr>
                <w:rFonts w:ascii="Arial" w:hAnsi="Arial" w:cs="Arial"/>
                <w:sz w:val="20"/>
                <w:szCs w:val="20"/>
              </w:rPr>
              <w:t xml:space="preserve"> ER) </w:t>
            </w:r>
            <w:r w:rsidRPr="000E4958">
              <w:rPr>
                <w:rFonts w:ascii="Arial" w:eastAsia="Times New Roman" w:hAnsi="Arial" w:cs="Arial"/>
                <w:sz w:val="20"/>
                <w:szCs w:val="20"/>
              </w:rPr>
              <w:t>who may be susceptible to the intracranial effects of carbon dioxide (CO</w:t>
            </w:r>
            <w:r w:rsidRPr="00BC48B5">
              <w:rPr>
                <w:rFonts w:ascii="Arial" w:eastAsia="Times New Roman" w:hAnsi="Arial" w:cs="Arial"/>
                <w:sz w:val="20"/>
                <w:szCs w:val="20"/>
                <w:vertAlign w:val="subscript"/>
              </w:rPr>
              <w:t>2</w:t>
            </w:r>
            <w:r w:rsidRPr="000E4958">
              <w:rPr>
                <w:rFonts w:ascii="Arial" w:eastAsia="Times New Roman" w:hAnsi="Arial" w:cs="Arial"/>
                <w:sz w:val="20"/>
                <w:szCs w:val="20"/>
              </w:rPr>
              <w:t xml:space="preserve">) retention (e.g., those with evidence of increased intracranial pressure or brain tumors) for signs of sedation and respiratory depression, particularly when initiating therapy. </w:t>
            </w:r>
            <w:r w:rsidRPr="000E4958">
              <w:rPr>
                <w:rFonts w:ascii="Arial" w:hAnsi="Arial" w:cs="Arial"/>
                <w:sz w:val="20"/>
                <w:szCs w:val="20"/>
              </w:rPr>
              <w:t>Opana</w:t>
            </w:r>
            <w:r w:rsidRPr="000E4958">
              <w:rPr>
                <w:rFonts w:ascii="Arial" w:hAnsi="Arial" w:cs="Arial"/>
                <w:sz w:val="20"/>
                <w:szCs w:val="20"/>
                <w:vertAlign w:val="superscript"/>
              </w:rPr>
              <w:t>®</w:t>
            </w:r>
            <w:r>
              <w:rPr>
                <w:rFonts w:ascii="Arial" w:hAnsi="Arial" w:cs="Arial"/>
                <w:sz w:val="20"/>
                <w:szCs w:val="20"/>
              </w:rPr>
              <w:t xml:space="preserve"> ER (oxymorphone</w:t>
            </w:r>
            <w:r w:rsidRPr="000E4958">
              <w:rPr>
                <w:rFonts w:ascii="Arial" w:hAnsi="Arial" w:cs="Arial"/>
                <w:sz w:val="20"/>
                <w:szCs w:val="20"/>
              </w:rPr>
              <w:t xml:space="preserve"> ER) </w:t>
            </w:r>
            <w:r w:rsidRPr="000E4958">
              <w:rPr>
                <w:rFonts w:ascii="Arial" w:eastAsia="Times New Roman" w:hAnsi="Arial" w:cs="Arial"/>
                <w:sz w:val="20"/>
                <w:szCs w:val="20"/>
              </w:rPr>
              <w:t>may reduce respiratory drive, and the resultant CO</w:t>
            </w:r>
            <w:r w:rsidRPr="00BC48B5">
              <w:rPr>
                <w:rFonts w:ascii="Arial" w:eastAsia="Times New Roman" w:hAnsi="Arial" w:cs="Arial"/>
                <w:sz w:val="20"/>
                <w:szCs w:val="20"/>
                <w:vertAlign w:val="subscript"/>
              </w:rPr>
              <w:t>2</w:t>
            </w:r>
            <w:r w:rsidRPr="000E4958">
              <w:rPr>
                <w:rFonts w:ascii="Arial" w:eastAsia="Times New Roman" w:hAnsi="Arial" w:cs="Arial"/>
                <w:sz w:val="20"/>
                <w:szCs w:val="20"/>
              </w:rPr>
              <w:t xml:space="preserve"> retention can further increase intracranial pressure. Avoid the use of </w:t>
            </w:r>
            <w:r w:rsidRPr="000E4958">
              <w:rPr>
                <w:rFonts w:ascii="Arial" w:hAnsi="Arial" w:cs="Arial"/>
                <w:sz w:val="20"/>
                <w:szCs w:val="20"/>
              </w:rPr>
              <w:t>this agent</w:t>
            </w:r>
            <w:r w:rsidRPr="000E4958">
              <w:rPr>
                <w:rFonts w:ascii="Arial" w:eastAsia="Times New Roman" w:hAnsi="Arial" w:cs="Arial"/>
                <w:sz w:val="20"/>
                <w:szCs w:val="20"/>
              </w:rPr>
              <w:t xml:space="preserve"> in patients with impaired consciousness or coma.</w:t>
            </w:r>
          </w:p>
        </w:tc>
      </w:tr>
      <w:tr w:rsidR="00110299" w:rsidRPr="000E4958" w:rsidTr="00C53D79">
        <w:tc>
          <w:tcPr>
            <w:tcW w:w="1890" w:type="dxa"/>
            <w:vMerge/>
            <w:shd w:val="clear" w:color="auto" w:fill="BFBFBF" w:themeFill="background1" w:themeFillShade="BF"/>
          </w:tcPr>
          <w:p w:rsidR="00110299" w:rsidRPr="000E4958" w:rsidRDefault="00110299" w:rsidP="000E4958">
            <w:pPr>
              <w:spacing w:after="0" w:line="240" w:lineRule="auto"/>
              <w:rPr>
                <w:rFonts w:ascii="Arial" w:hAnsi="Arial" w:cs="Arial"/>
                <w:b/>
                <w:sz w:val="20"/>
                <w:szCs w:val="20"/>
              </w:rPr>
            </w:pPr>
          </w:p>
        </w:tc>
        <w:tc>
          <w:tcPr>
            <w:tcW w:w="7578" w:type="dxa"/>
          </w:tcPr>
          <w:p w:rsidR="00110299" w:rsidRPr="000E4958" w:rsidRDefault="00110299" w:rsidP="000E4958">
            <w:pPr>
              <w:spacing w:before="100" w:beforeAutospacing="1" w:after="100" w:afterAutospacing="1" w:line="240" w:lineRule="auto"/>
              <w:rPr>
                <w:rFonts w:ascii="Arial" w:eastAsia="Times New Roman" w:hAnsi="Arial" w:cs="Arial"/>
                <w:sz w:val="20"/>
                <w:szCs w:val="20"/>
              </w:rPr>
            </w:pPr>
            <w:r w:rsidRPr="000E4958">
              <w:rPr>
                <w:rFonts w:ascii="Arial" w:hAnsi="Arial" w:cs="Arial"/>
                <w:sz w:val="20"/>
                <w:szCs w:val="20"/>
              </w:rPr>
              <w:t>Difficulty swallowing and risk for obstruction in patients at risk for a small gastrointestinal (GI) lumen</w:t>
            </w:r>
            <w:r>
              <w:rPr>
                <w:rFonts w:ascii="Arial" w:eastAsia="Times New Roman" w:hAnsi="Arial" w:cs="Arial"/>
                <w:sz w:val="20"/>
                <w:szCs w:val="20"/>
              </w:rPr>
              <w:t xml:space="preserve">; </w:t>
            </w:r>
            <w:r w:rsidRPr="000E4958">
              <w:rPr>
                <w:rFonts w:ascii="Arial" w:eastAsia="Times New Roman" w:hAnsi="Arial" w:cs="Arial"/>
                <w:sz w:val="20"/>
                <w:szCs w:val="20"/>
              </w:rPr>
              <w:t xml:space="preserve">There have been post-marketing reports of difficulty in swallowing </w:t>
            </w:r>
            <w:r w:rsidRPr="000E4958">
              <w:rPr>
                <w:rFonts w:ascii="Arial" w:hAnsi="Arial" w:cs="Arial"/>
                <w:sz w:val="20"/>
                <w:szCs w:val="20"/>
              </w:rPr>
              <w:t>Opana</w:t>
            </w:r>
            <w:r w:rsidRPr="000E4958">
              <w:rPr>
                <w:rFonts w:ascii="Arial" w:hAnsi="Arial" w:cs="Arial"/>
                <w:sz w:val="20"/>
                <w:szCs w:val="20"/>
                <w:vertAlign w:val="superscript"/>
              </w:rPr>
              <w:t>®</w:t>
            </w:r>
            <w:r>
              <w:rPr>
                <w:rFonts w:ascii="Arial" w:hAnsi="Arial" w:cs="Arial"/>
                <w:sz w:val="20"/>
                <w:szCs w:val="20"/>
              </w:rPr>
              <w:t xml:space="preserve"> ER (oxymorphone</w:t>
            </w:r>
            <w:r w:rsidRPr="000E4958">
              <w:rPr>
                <w:rFonts w:ascii="Arial" w:hAnsi="Arial" w:cs="Arial"/>
                <w:sz w:val="20"/>
                <w:szCs w:val="20"/>
              </w:rPr>
              <w:t xml:space="preserve"> ER) </w:t>
            </w:r>
            <w:r w:rsidRPr="000E4958">
              <w:rPr>
                <w:rFonts w:ascii="Arial" w:eastAsia="Times New Roman" w:hAnsi="Arial" w:cs="Arial"/>
                <w:sz w:val="20"/>
                <w:szCs w:val="20"/>
              </w:rPr>
              <w:t>tablets. These reports included choking, gagging, regurgitation and tablets stuck in the throat. Instruct patients not to pre-soak, lick or otherwise wet tablets prior to placing in the mouth, and to take one tablet at a time with enough water to ensure complete swallowing immediately after placing in the mouth.</w:t>
            </w:r>
          </w:p>
          <w:p w:rsidR="00110299" w:rsidRPr="000E4958" w:rsidRDefault="00110299" w:rsidP="000E4958">
            <w:pPr>
              <w:spacing w:before="100" w:beforeAutospacing="1" w:after="100" w:afterAutospacing="1" w:line="240" w:lineRule="auto"/>
              <w:rPr>
                <w:rFonts w:ascii="Arial" w:eastAsia="Times New Roman" w:hAnsi="Arial" w:cs="Arial"/>
                <w:sz w:val="20"/>
                <w:szCs w:val="20"/>
              </w:rPr>
            </w:pPr>
            <w:r w:rsidRPr="000E4958">
              <w:rPr>
                <w:rFonts w:ascii="Arial" w:eastAsia="Times New Roman" w:hAnsi="Arial" w:cs="Arial"/>
                <w:sz w:val="20"/>
                <w:szCs w:val="20"/>
              </w:rPr>
              <w:t>There have been rare post-marketing reports of cases of intestinal obstruction, and exacerbation of diverticulitis, some of which have required medical intervention to remove the tablet. Patients with underlying GI disorders such as esophageal cancer or colon cancer with a small GI lumen are at greater risk of developing these complications. Alternative analgesics should be considered in patients who have difficulty swallowing and patients at risk for underlying GI disorders resulting in a small GI lumen.</w:t>
            </w:r>
          </w:p>
        </w:tc>
      </w:tr>
      <w:tr w:rsidR="00110299" w:rsidRPr="000E4958" w:rsidTr="00C53D79">
        <w:tc>
          <w:tcPr>
            <w:tcW w:w="1890" w:type="dxa"/>
            <w:vMerge/>
            <w:shd w:val="clear" w:color="auto" w:fill="BFBFBF" w:themeFill="background1" w:themeFillShade="BF"/>
          </w:tcPr>
          <w:p w:rsidR="00110299" w:rsidRPr="000E4958" w:rsidRDefault="00110299" w:rsidP="000E4958">
            <w:pPr>
              <w:spacing w:after="0" w:line="240" w:lineRule="auto"/>
              <w:rPr>
                <w:rFonts w:ascii="Arial" w:hAnsi="Arial" w:cs="Arial"/>
                <w:sz w:val="20"/>
                <w:szCs w:val="20"/>
              </w:rPr>
            </w:pPr>
          </w:p>
        </w:tc>
        <w:tc>
          <w:tcPr>
            <w:tcW w:w="7578" w:type="dxa"/>
          </w:tcPr>
          <w:p w:rsidR="00110299" w:rsidRPr="000E4958" w:rsidRDefault="00110299" w:rsidP="000E4958">
            <w:pPr>
              <w:spacing w:before="100" w:beforeAutospacing="1" w:after="100" w:afterAutospacing="1" w:line="240" w:lineRule="auto"/>
              <w:rPr>
                <w:rFonts w:ascii="Arial" w:hAnsi="Arial" w:cs="Arial"/>
                <w:color w:val="FF0000"/>
                <w:sz w:val="20"/>
                <w:szCs w:val="20"/>
              </w:rPr>
            </w:pPr>
            <w:r w:rsidRPr="000E4958">
              <w:rPr>
                <w:rFonts w:ascii="Arial" w:hAnsi="Arial" w:cs="Arial"/>
                <w:sz w:val="20"/>
                <w:szCs w:val="20"/>
              </w:rPr>
              <w:t>Gastrointesti</w:t>
            </w:r>
            <w:r>
              <w:rPr>
                <w:rFonts w:ascii="Arial" w:hAnsi="Arial" w:cs="Arial"/>
                <w:sz w:val="20"/>
                <w:szCs w:val="20"/>
              </w:rPr>
              <w:t>nal c</w:t>
            </w:r>
            <w:r w:rsidRPr="000E4958">
              <w:rPr>
                <w:rFonts w:ascii="Arial" w:hAnsi="Arial" w:cs="Arial"/>
                <w:sz w:val="20"/>
                <w:szCs w:val="20"/>
              </w:rPr>
              <w:t>onditions</w:t>
            </w:r>
            <w:r>
              <w:rPr>
                <w:rFonts w:ascii="Arial" w:hAnsi="Arial" w:cs="Arial"/>
                <w:sz w:val="20"/>
                <w:szCs w:val="20"/>
              </w:rPr>
              <w:t>;</w:t>
            </w:r>
            <w:r w:rsidR="00817C90">
              <w:rPr>
                <w:rFonts w:ascii="Arial" w:hAnsi="Arial" w:cs="Arial"/>
                <w:sz w:val="20"/>
                <w:szCs w:val="20"/>
              </w:rPr>
              <w:t xml:space="preserve"> </w:t>
            </w:r>
            <w:r w:rsidRPr="000E4958">
              <w:rPr>
                <w:rFonts w:ascii="Arial" w:hAnsi="Arial" w:cs="Arial"/>
                <w:sz w:val="20"/>
                <w:szCs w:val="20"/>
              </w:rPr>
              <w:t>Avoid the use of Opana</w:t>
            </w:r>
            <w:r w:rsidRPr="000E4958">
              <w:rPr>
                <w:rFonts w:ascii="Arial" w:hAnsi="Arial" w:cs="Arial"/>
                <w:sz w:val="20"/>
                <w:szCs w:val="20"/>
                <w:vertAlign w:val="superscript"/>
              </w:rPr>
              <w:t>®</w:t>
            </w:r>
            <w:r>
              <w:rPr>
                <w:rFonts w:ascii="Arial" w:hAnsi="Arial" w:cs="Arial"/>
                <w:sz w:val="20"/>
                <w:szCs w:val="20"/>
              </w:rPr>
              <w:t xml:space="preserve"> ER (oxymorphone </w:t>
            </w:r>
            <w:r w:rsidRPr="000E4958">
              <w:rPr>
                <w:rFonts w:ascii="Arial" w:hAnsi="Arial" w:cs="Arial"/>
                <w:sz w:val="20"/>
                <w:szCs w:val="20"/>
              </w:rPr>
              <w:t xml:space="preserve">ER) in patients with other GI obstruction. This agent is contraindicated in the presence of paralytic ileus. Oxymorphone may cause spasm of the sphincter of Oddi. Monitor </w:t>
            </w:r>
            <w:r w:rsidRPr="000E4958">
              <w:rPr>
                <w:rFonts w:ascii="Arial" w:hAnsi="Arial" w:cs="Arial"/>
                <w:sz w:val="20"/>
                <w:szCs w:val="20"/>
              </w:rPr>
              <w:lastRenderedPageBreak/>
              <w:t>patients with biliary tract disease, including acute pancreatitis, for worsening symptoms. Opioids may also cause increases in the serum amylase.</w:t>
            </w:r>
          </w:p>
        </w:tc>
      </w:tr>
      <w:tr w:rsidR="00110299" w:rsidRPr="000E4958" w:rsidTr="00C53D79">
        <w:tc>
          <w:tcPr>
            <w:tcW w:w="1890" w:type="dxa"/>
            <w:vMerge/>
            <w:shd w:val="clear" w:color="auto" w:fill="BFBFBF" w:themeFill="background1" w:themeFillShade="BF"/>
          </w:tcPr>
          <w:p w:rsidR="00110299" w:rsidRPr="000E4958" w:rsidRDefault="00110299" w:rsidP="000E4958">
            <w:pPr>
              <w:spacing w:after="0" w:line="240" w:lineRule="auto"/>
              <w:rPr>
                <w:rFonts w:ascii="Arial" w:hAnsi="Arial" w:cs="Arial"/>
                <w:b/>
                <w:sz w:val="20"/>
                <w:szCs w:val="20"/>
              </w:rPr>
            </w:pPr>
          </w:p>
        </w:tc>
        <w:tc>
          <w:tcPr>
            <w:tcW w:w="7578" w:type="dxa"/>
          </w:tcPr>
          <w:p w:rsidR="00110299" w:rsidRPr="000E4958" w:rsidRDefault="00110299" w:rsidP="000E4958">
            <w:pPr>
              <w:spacing w:before="100" w:beforeAutospacing="1" w:after="100" w:afterAutospacing="1" w:line="240" w:lineRule="auto"/>
              <w:rPr>
                <w:rFonts w:ascii="Arial" w:hAnsi="Arial" w:cs="Arial"/>
                <w:sz w:val="20"/>
                <w:szCs w:val="20"/>
              </w:rPr>
            </w:pPr>
            <w:r w:rsidRPr="000E4958">
              <w:rPr>
                <w:rFonts w:ascii="Arial" w:hAnsi="Arial" w:cs="Arial"/>
                <w:sz w:val="20"/>
                <w:szCs w:val="20"/>
              </w:rPr>
              <w:t>Convulsive or seizure disorders</w:t>
            </w:r>
            <w:r>
              <w:rPr>
                <w:rFonts w:ascii="Arial" w:hAnsi="Arial" w:cs="Arial"/>
                <w:sz w:val="20"/>
                <w:szCs w:val="20"/>
              </w:rPr>
              <w:t xml:space="preserve">; </w:t>
            </w:r>
            <w:r w:rsidRPr="000E4958">
              <w:rPr>
                <w:rFonts w:ascii="Arial" w:hAnsi="Arial" w:cs="Arial"/>
                <w:sz w:val="20"/>
                <w:szCs w:val="20"/>
              </w:rPr>
              <w:t>Oxymorphone may exacerbate seizures in patients with seizure disorders, and may induce or aggravate seizures. Monitor patients with a history of seizure disorders for worsened seizure control during treatment with this agent.</w:t>
            </w:r>
          </w:p>
        </w:tc>
      </w:tr>
      <w:tr w:rsidR="00110299" w:rsidRPr="000E4958" w:rsidTr="00C53D79">
        <w:tc>
          <w:tcPr>
            <w:tcW w:w="1890" w:type="dxa"/>
            <w:vMerge/>
            <w:shd w:val="clear" w:color="auto" w:fill="BFBFBF" w:themeFill="background1" w:themeFillShade="BF"/>
          </w:tcPr>
          <w:p w:rsidR="00110299" w:rsidRPr="000E4958" w:rsidRDefault="00110299" w:rsidP="000E4958">
            <w:pPr>
              <w:spacing w:after="0" w:line="240" w:lineRule="auto"/>
              <w:rPr>
                <w:rFonts w:ascii="Arial" w:hAnsi="Arial" w:cs="Arial"/>
                <w:b/>
                <w:sz w:val="20"/>
                <w:szCs w:val="20"/>
              </w:rPr>
            </w:pPr>
          </w:p>
        </w:tc>
        <w:tc>
          <w:tcPr>
            <w:tcW w:w="7578" w:type="dxa"/>
          </w:tcPr>
          <w:p w:rsidR="00110299" w:rsidRPr="000E4958" w:rsidRDefault="00110299" w:rsidP="000E4958">
            <w:pPr>
              <w:spacing w:before="100" w:beforeAutospacing="1" w:after="100" w:afterAutospacing="1" w:line="240" w:lineRule="auto"/>
              <w:rPr>
                <w:rFonts w:ascii="Arial" w:eastAsia="Times New Roman" w:hAnsi="Arial" w:cs="Arial"/>
                <w:sz w:val="20"/>
                <w:szCs w:val="20"/>
              </w:rPr>
            </w:pPr>
            <w:r w:rsidRPr="000E4958">
              <w:rPr>
                <w:rFonts w:ascii="Arial" w:hAnsi="Arial" w:cs="Arial"/>
                <w:sz w:val="20"/>
                <w:szCs w:val="20"/>
              </w:rPr>
              <w:t>Avoidance of withdrawal</w:t>
            </w:r>
            <w:r>
              <w:rPr>
                <w:rFonts w:ascii="Arial" w:eastAsia="Times New Roman" w:hAnsi="Arial" w:cs="Arial"/>
                <w:sz w:val="20"/>
                <w:szCs w:val="20"/>
              </w:rPr>
              <w:t xml:space="preserve">; </w:t>
            </w:r>
            <w:r w:rsidRPr="000E4958">
              <w:rPr>
                <w:rFonts w:ascii="Arial" w:eastAsia="Times New Roman" w:hAnsi="Arial" w:cs="Arial"/>
                <w:sz w:val="20"/>
                <w:szCs w:val="20"/>
              </w:rPr>
              <w:t xml:space="preserve">Avoid the use of mixed agonist/antagonist (i.e., pentazocine, nalbuphine, and butorphanol) or partial agonist (buprenorphine) analgesics in patients who have received or are receiving a course of therapy with a full opioid agonist analgesic such as </w:t>
            </w:r>
            <w:r w:rsidRPr="000E4958">
              <w:rPr>
                <w:rFonts w:ascii="Arial" w:hAnsi="Arial" w:cs="Arial"/>
                <w:sz w:val="20"/>
                <w:szCs w:val="20"/>
              </w:rPr>
              <w:t>Opana</w:t>
            </w:r>
            <w:r w:rsidRPr="000E4958">
              <w:rPr>
                <w:rFonts w:ascii="Arial" w:hAnsi="Arial" w:cs="Arial"/>
                <w:sz w:val="20"/>
                <w:szCs w:val="20"/>
                <w:vertAlign w:val="superscript"/>
              </w:rPr>
              <w:t>®</w:t>
            </w:r>
            <w:r>
              <w:rPr>
                <w:rFonts w:ascii="Arial" w:hAnsi="Arial" w:cs="Arial"/>
                <w:sz w:val="20"/>
                <w:szCs w:val="20"/>
              </w:rPr>
              <w:t xml:space="preserve"> ER (oxymorphone</w:t>
            </w:r>
            <w:r w:rsidRPr="000E4958">
              <w:rPr>
                <w:rFonts w:ascii="Arial" w:hAnsi="Arial" w:cs="Arial"/>
                <w:sz w:val="20"/>
                <w:szCs w:val="20"/>
              </w:rPr>
              <w:t xml:space="preserve"> ER) </w:t>
            </w:r>
            <w:r w:rsidRPr="000E4958">
              <w:rPr>
                <w:rFonts w:ascii="Arial" w:eastAsia="Times New Roman" w:hAnsi="Arial" w:cs="Arial"/>
                <w:sz w:val="20"/>
                <w:szCs w:val="20"/>
              </w:rPr>
              <w:t xml:space="preserve">as these agents can reduce the analgesic effect and/or may precipitate withdrawal symptoms. When discontinuing </w:t>
            </w:r>
            <w:r w:rsidRPr="000E4958">
              <w:rPr>
                <w:rFonts w:ascii="Arial" w:hAnsi="Arial" w:cs="Arial"/>
                <w:sz w:val="20"/>
                <w:szCs w:val="20"/>
              </w:rPr>
              <w:t>therapy</w:t>
            </w:r>
            <w:r w:rsidRPr="000E4958">
              <w:rPr>
                <w:rFonts w:ascii="Arial" w:eastAsia="Times New Roman" w:hAnsi="Arial" w:cs="Arial"/>
                <w:sz w:val="20"/>
                <w:szCs w:val="20"/>
              </w:rPr>
              <w:t>, gradually taper the dose. Do not abruptly discontinue medication.</w:t>
            </w:r>
          </w:p>
        </w:tc>
      </w:tr>
      <w:tr w:rsidR="00110299" w:rsidRPr="000E4958" w:rsidTr="00C53D79">
        <w:tc>
          <w:tcPr>
            <w:tcW w:w="1890" w:type="dxa"/>
            <w:vMerge/>
            <w:shd w:val="clear" w:color="auto" w:fill="BFBFBF" w:themeFill="background1" w:themeFillShade="BF"/>
          </w:tcPr>
          <w:p w:rsidR="00110299" w:rsidRPr="000E4958" w:rsidRDefault="00110299" w:rsidP="000E4958">
            <w:pPr>
              <w:spacing w:after="0" w:line="240" w:lineRule="auto"/>
              <w:rPr>
                <w:rFonts w:ascii="Arial" w:hAnsi="Arial" w:cs="Arial"/>
                <w:b/>
                <w:sz w:val="20"/>
                <w:szCs w:val="20"/>
              </w:rPr>
            </w:pPr>
          </w:p>
        </w:tc>
        <w:tc>
          <w:tcPr>
            <w:tcW w:w="7578" w:type="dxa"/>
          </w:tcPr>
          <w:p w:rsidR="00110299" w:rsidRPr="000E4958" w:rsidRDefault="00110299" w:rsidP="000E4958">
            <w:pPr>
              <w:spacing w:before="100" w:beforeAutospacing="1" w:after="100" w:afterAutospacing="1" w:line="240" w:lineRule="auto"/>
              <w:rPr>
                <w:rFonts w:ascii="Arial" w:hAnsi="Arial" w:cs="Arial"/>
                <w:sz w:val="20"/>
                <w:szCs w:val="20"/>
              </w:rPr>
            </w:pPr>
            <w:r w:rsidRPr="000E4958">
              <w:rPr>
                <w:rFonts w:ascii="Arial" w:hAnsi="Arial" w:cs="Arial"/>
                <w:sz w:val="20"/>
                <w:szCs w:val="20"/>
              </w:rPr>
              <w:t>Driving and operating machinery</w:t>
            </w:r>
            <w:r>
              <w:rPr>
                <w:rFonts w:ascii="Arial" w:hAnsi="Arial" w:cs="Arial"/>
                <w:sz w:val="20"/>
                <w:szCs w:val="20"/>
              </w:rPr>
              <w:t>; Opioids m</w:t>
            </w:r>
            <w:r w:rsidRPr="000E4958">
              <w:rPr>
                <w:rFonts w:ascii="Arial" w:hAnsi="Arial" w:cs="Arial"/>
                <w:sz w:val="20"/>
                <w:szCs w:val="20"/>
              </w:rPr>
              <w:t>ay impair the mental or physical abilities needed to perform potentially hazardous activities such as driving a car or operating machinery. Counsel patients not to drive or operate dangerous machinery unless they are tolerant to the effects and know how they will react to the medication.</w:t>
            </w:r>
          </w:p>
        </w:tc>
      </w:tr>
    </w:tbl>
    <w:p w:rsidR="000E4958" w:rsidRPr="000E4958" w:rsidRDefault="000E4958" w:rsidP="000E4958">
      <w:pPr>
        <w:spacing w:after="0" w:line="240" w:lineRule="auto"/>
        <w:rPr>
          <w:rFonts w:ascii="Arial" w:hAnsi="Arial" w:cs="Arial"/>
          <w:b/>
          <w:sz w:val="20"/>
          <w:szCs w:val="20"/>
          <w:u w:val="single"/>
        </w:rPr>
      </w:pPr>
    </w:p>
    <w:p w:rsidR="000E4958" w:rsidRPr="000E4958" w:rsidRDefault="000E4958" w:rsidP="000E4958">
      <w:pPr>
        <w:spacing w:after="0" w:line="240" w:lineRule="auto"/>
        <w:ind w:right="-90"/>
        <w:outlineLvl w:val="0"/>
        <w:rPr>
          <w:rFonts w:ascii="Arial" w:hAnsi="Arial" w:cs="Arial"/>
          <w:sz w:val="20"/>
          <w:szCs w:val="20"/>
        </w:rPr>
      </w:pPr>
      <w:r w:rsidRPr="000E4958">
        <w:rPr>
          <w:rFonts w:ascii="Arial" w:hAnsi="Arial" w:cs="Arial"/>
          <w:sz w:val="20"/>
          <w:szCs w:val="20"/>
        </w:rPr>
        <w:t xml:space="preserve">Due to the potential for addiction, abuse, and misuse, the potential for life-threatening respiratory depression, the possibility of accidental ingestion, the risks of neonatal opioid withdrawal syndrome, and the significant interaction with alcohol consumption, this product also has a Black Box Warning. </w:t>
      </w:r>
    </w:p>
    <w:p w:rsidR="00FD799A" w:rsidRDefault="00FD799A" w:rsidP="00567499">
      <w:pPr>
        <w:pStyle w:val="NoSpacing"/>
      </w:pPr>
    </w:p>
    <w:p w:rsidR="000E4958" w:rsidRPr="000E4958" w:rsidRDefault="000E4958" w:rsidP="000E4958">
      <w:pPr>
        <w:spacing w:after="0" w:line="240" w:lineRule="auto"/>
        <w:outlineLvl w:val="0"/>
        <w:rPr>
          <w:rFonts w:ascii="Arial" w:hAnsi="Arial" w:cs="Arial"/>
          <w:b/>
          <w:sz w:val="20"/>
          <w:szCs w:val="20"/>
        </w:rPr>
      </w:pPr>
      <w:r w:rsidRPr="000E4958">
        <w:rPr>
          <w:rFonts w:ascii="Arial" w:hAnsi="Arial" w:cs="Arial"/>
          <w:b/>
          <w:sz w:val="20"/>
          <w:szCs w:val="20"/>
        </w:rPr>
        <w:t>Black Box Warning</w:t>
      </w:r>
      <w:r w:rsidR="008A506C">
        <w:rPr>
          <w:rFonts w:ascii="Arial" w:hAnsi="Arial" w:cs="Arial"/>
          <w:b/>
          <w:sz w:val="20"/>
          <w:szCs w:val="20"/>
          <w:vertAlign w:val="superscript"/>
        </w:rPr>
        <w:t>1</w:t>
      </w:r>
      <w:r w:rsidRPr="000E4958">
        <w:rPr>
          <w:rFonts w:ascii="Arial" w:hAnsi="Arial" w:cs="Arial"/>
          <w:b/>
          <w:sz w:val="20"/>
          <w:szCs w:val="20"/>
        </w:rPr>
        <w:t xml:space="preserve"> </w:t>
      </w:r>
    </w:p>
    <w:tbl>
      <w:tblPr>
        <w:tblW w:w="9460" w:type="dxa"/>
        <w:tblInd w:w="115" w:type="dxa"/>
        <w:tblLayout w:type="fixed"/>
        <w:tblCellMar>
          <w:left w:w="115" w:type="dxa"/>
          <w:right w:w="115" w:type="dxa"/>
        </w:tblCellMar>
        <w:tblLook w:val="0000" w:firstRow="0" w:lastRow="0" w:firstColumn="0" w:lastColumn="0" w:noHBand="0" w:noVBand="0"/>
      </w:tblPr>
      <w:tblGrid>
        <w:gridCol w:w="9460"/>
      </w:tblGrid>
      <w:tr w:rsidR="000E4958" w:rsidRPr="000E4958" w:rsidTr="00C53D79">
        <w:trPr>
          <w:tblHeader/>
        </w:trPr>
        <w:tc>
          <w:tcPr>
            <w:tcW w:w="9460" w:type="dxa"/>
            <w:tcBorders>
              <w:top w:val="single" w:sz="18" w:space="0" w:color="auto"/>
              <w:left w:val="single" w:sz="18" w:space="0" w:color="auto"/>
              <w:bottom w:val="single" w:sz="18" w:space="0" w:color="auto"/>
              <w:right w:val="single" w:sz="18" w:space="0" w:color="auto"/>
            </w:tcBorders>
          </w:tcPr>
          <w:p w:rsidR="000E4958" w:rsidRPr="000E4958" w:rsidRDefault="000E4958" w:rsidP="000E4958">
            <w:pPr>
              <w:spacing w:after="0" w:line="240" w:lineRule="auto"/>
              <w:jc w:val="center"/>
              <w:rPr>
                <w:rFonts w:ascii="Arial" w:hAnsi="Arial" w:cs="Arial"/>
                <w:b/>
                <w:sz w:val="20"/>
                <w:szCs w:val="20"/>
              </w:rPr>
            </w:pPr>
            <w:r w:rsidRPr="000E4958">
              <w:rPr>
                <w:rFonts w:ascii="Arial" w:hAnsi="Arial" w:cs="Arial"/>
                <w:b/>
                <w:sz w:val="20"/>
                <w:szCs w:val="20"/>
              </w:rPr>
              <w:t>WARNING</w:t>
            </w:r>
          </w:p>
        </w:tc>
      </w:tr>
      <w:tr w:rsidR="000E4958" w:rsidRPr="000E4958" w:rsidTr="00C53D79">
        <w:tc>
          <w:tcPr>
            <w:tcW w:w="9460" w:type="dxa"/>
            <w:tcBorders>
              <w:top w:val="nil"/>
              <w:left w:val="single" w:sz="18" w:space="0" w:color="auto"/>
              <w:bottom w:val="single" w:sz="18" w:space="0" w:color="auto"/>
              <w:right w:val="single" w:sz="18" w:space="0" w:color="auto"/>
            </w:tcBorders>
          </w:tcPr>
          <w:p w:rsidR="000E4958" w:rsidRPr="000E4958" w:rsidRDefault="000E4958" w:rsidP="000E4958">
            <w:pPr>
              <w:autoSpaceDE w:val="0"/>
              <w:autoSpaceDN w:val="0"/>
              <w:adjustRightInd w:val="0"/>
              <w:spacing w:after="0" w:line="240" w:lineRule="auto"/>
              <w:rPr>
                <w:rFonts w:ascii="Arial" w:eastAsia="MyriadPro-BoldCond" w:hAnsi="Arial" w:cs="Arial"/>
                <w:bCs/>
                <w:sz w:val="20"/>
                <w:szCs w:val="20"/>
                <w:u w:val="single"/>
              </w:rPr>
            </w:pPr>
            <w:r w:rsidRPr="000E4958">
              <w:rPr>
                <w:rFonts w:ascii="Arial" w:eastAsia="MyriadPro-BoldCond" w:hAnsi="Arial" w:cs="Arial"/>
                <w:bCs/>
                <w:sz w:val="20"/>
                <w:szCs w:val="20"/>
                <w:u w:val="single"/>
              </w:rPr>
              <w:t>Addiction, Abuse, and Misuse</w:t>
            </w:r>
          </w:p>
          <w:p w:rsidR="000E4958" w:rsidRPr="000E4958" w:rsidRDefault="000E4958" w:rsidP="000E4958">
            <w:pPr>
              <w:autoSpaceDE w:val="0"/>
              <w:autoSpaceDN w:val="0"/>
              <w:adjustRightInd w:val="0"/>
              <w:spacing w:after="0" w:line="240" w:lineRule="auto"/>
              <w:rPr>
                <w:rFonts w:ascii="Arial" w:eastAsia="MyriadPro-BoldCond" w:hAnsi="Arial" w:cs="Arial"/>
                <w:bCs/>
                <w:sz w:val="20"/>
                <w:szCs w:val="20"/>
              </w:rPr>
            </w:pPr>
            <w:r w:rsidRPr="000E4958">
              <w:rPr>
                <w:rFonts w:ascii="Arial" w:eastAsia="MyriadPro-BoldCond" w:hAnsi="Arial" w:cs="Arial"/>
                <w:bCs/>
                <w:sz w:val="20"/>
                <w:szCs w:val="20"/>
              </w:rPr>
              <w:t>Opana ER</w:t>
            </w:r>
            <w:r w:rsidR="00A25221" w:rsidRPr="000E4958">
              <w:rPr>
                <w:rFonts w:ascii="Arial" w:hAnsi="Arial" w:cs="Arial"/>
                <w:sz w:val="20"/>
                <w:szCs w:val="20"/>
                <w:vertAlign w:val="superscript"/>
              </w:rPr>
              <w:t>®</w:t>
            </w:r>
            <w:r w:rsidRPr="000E4958">
              <w:rPr>
                <w:rFonts w:ascii="Arial" w:eastAsia="MyriadPro-BoldCond" w:hAnsi="Arial" w:cs="Arial"/>
                <w:bCs/>
                <w:sz w:val="20"/>
                <w:szCs w:val="20"/>
              </w:rPr>
              <w:t xml:space="preserve"> </w:t>
            </w:r>
            <w:r w:rsidR="00371DE3">
              <w:rPr>
                <w:rFonts w:ascii="Arial" w:hAnsi="Arial" w:cs="Arial"/>
                <w:sz w:val="20"/>
                <w:szCs w:val="20"/>
              </w:rPr>
              <w:t>(oxymorphone</w:t>
            </w:r>
            <w:r w:rsidRPr="000E4958">
              <w:rPr>
                <w:rFonts w:ascii="Arial" w:hAnsi="Arial" w:cs="Arial"/>
                <w:sz w:val="20"/>
                <w:szCs w:val="20"/>
              </w:rPr>
              <w:t xml:space="preserve"> ER) </w:t>
            </w:r>
            <w:r w:rsidRPr="000E4958">
              <w:rPr>
                <w:rFonts w:ascii="Arial" w:eastAsia="MyriadPro-BoldCond" w:hAnsi="Arial" w:cs="Arial"/>
                <w:bCs/>
                <w:sz w:val="20"/>
                <w:szCs w:val="20"/>
              </w:rPr>
              <w:t>exposes patients and other users to the risks of opioid addiction, abuse, and misuse, which can lead to overdose and death. Assess each patient's risk prior to prescribing Opana</w:t>
            </w:r>
            <w:r w:rsidRPr="000E4958">
              <w:rPr>
                <w:rFonts w:ascii="Arial" w:eastAsia="MyriadPro-BoldCond" w:hAnsi="Arial" w:cs="Arial"/>
                <w:bCs/>
                <w:sz w:val="20"/>
                <w:szCs w:val="20"/>
                <w:vertAlign w:val="superscript"/>
              </w:rPr>
              <w:t>®</w:t>
            </w:r>
            <w:r w:rsidRPr="000E4958">
              <w:rPr>
                <w:rFonts w:ascii="Arial" w:eastAsia="MyriadPro-BoldCond" w:hAnsi="Arial" w:cs="Arial"/>
                <w:bCs/>
                <w:sz w:val="20"/>
                <w:szCs w:val="20"/>
              </w:rPr>
              <w:t xml:space="preserve"> ER </w:t>
            </w:r>
            <w:r w:rsidR="00371DE3">
              <w:rPr>
                <w:rFonts w:ascii="Arial" w:hAnsi="Arial" w:cs="Arial"/>
                <w:sz w:val="20"/>
                <w:szCs w:val="20"/>
              </w:rPr>
              <w:t xml:space="preserve">(oxymorphone </w:t>
            </w:r>
            <w:r w:rsidRPr="000E4958">
              <w:rPr>
                <w:rFonts w:ascii="Arial" w:hAnsi="Arial" w:cs="Arial"/>
                <w:sz w:val="20"/>
                <w:szCs w:val="20"/>
              </w:rPr>
              <w:t xml:space="preserve">ER), </w:t>
            </w:r>
            <w:r w:rsidRPr="000E4958">
              <w:rPr>
                <w:rFonts w:ascii="Arial" w:eastAsia="MyriadPro-BoldCond" w:hAnsi="Arial" w:cs="Arial"/>
                <w:bCs/>
                <w:sz w:val="20"/>
                <w:szCs w:val="20"/>
              </w:rPr>
              <w:t xml:space="preserve">and monitor all patients regularly for the development of these behaviors or conditions. </w:t>
            </w:r>
          </w:p>
          <w:p w:rsidR="000E4958" w:rsidRPr="000E4958" w:rsidRDefault="000E4958" w:rsidP="000E4958">
            <w:pPr>
              <w:autoSpaceDE w:val="0"/>
              <w:autoSpaceDN w:val="0"/>
              <w:adjustRightInd w:val="0"/>
              <w:spacing w:after="0" w:line="240" w:lineRule="auto"/>
              <w:rPr>
                <w:rFonts w:ascii="Arial" w:eastAsia="MyriadPro-BoldCond" w:hAnsi="Arial" w:cs="Arial"/>
                <w:bCs/>
                <w:sz w:val="20"/>
                <w:szCs w:val="20"/>
                <w:u w:val="single"/>
              </w:rPr>
            </w:pPr>
          </w:p>
          <w:p w:rsidR="000E4958" w:rsidRPr="000E4958" w:rsidRDefault="000E4958" w:rsidP="000E4958">
            <w:pPr>
              <w:autoSpaceDE w:val="0"/>
              <w:autoSpaceDN w:val="0"/>
              <w:adjustRightInd w:val="0"/>
              <w:spacing w:after="0" w:line="240" w:lineRule="auto"/>
              <w:rPr>
                <w:rFonts w:ascii="Arial" w:eastAsia="MyriadPro-BoldCond" w:hAnsi="Arial" w:cs="Arial"/>
                <w:bCs/>
                <w:sz w:val="20"/>
                <w:szCs w:val="20"/>
                <w:u w:val="single"/>
              </w:rPr>
            </w:pPr>
            <w:r w:rsidRPr="000E4958">
              <w:rPr>
                <w:rFonts w:ascii="Arial" w:eastAsia="MyriadPro-BoldCond" w:hAnsi="Arial" w:cs="Arial"/>
                <w:bCs/>
                <w:sz w:val="20"/>
                <w:szCs w:val="20"/>
                <w:u w:val="single"/>
              </w:rPr>
              <w:t>Life-threatening Respiratory Depression</w:t>
            </w:r>
          </w:p>
          <w:p w:rsidR="000E4958" w:rsidRPr="000E4958" w:rsidRDefault="000E4958" w:rsidP="000E4958">
            <w:pPr>
              <w:autoSpaceDE w:val="0"/>
              <w:autoSpaceDN w:val="0"/>
              <w:adjustRightInd w:val="0"/>
              <w:spacing w:after="0" w:line="240" w:lineRule="auto"/>
              <w:ind w:right="-15"/>
              <w:rPr>
                <w:rFonts w:ascii="Arial" w:eastAsia="MyriadPro-BoldCond" w:hAnsi="Arial" w:cs="Arial"/>
                <w:bCs/>
                <w:sz w:val="20"/>
                <w:szCs w:val="20"/>
              </w:rPr>
            </w:pPr>
            <w:r w:rsidRPr="000E4958">
              <w:rPr>
                <w:rFonts w:ascii="Arial" w:eastAsia="MyriadPro-BoldCond" w:hAnsi="Arial" w:cs="Arial"/>
                <w:bCs/>
                <w:sz w:val="20"/>
                <w:szCs w:val="20"/>
              </w:rPr>
              <w:t>Serious, life-threatening, or fatal respiratory depression may occur with use of Opana</w:t>
            </w:r>
            <w:r w:rsidRPr="000E4958">
              <w:rPr>
                <w:rFonts w:ascii="Arial" w:eastAsia="MyriadPro-BoldCond" w:hAnsi="Arial" w:cs="Arial"/>
                <w:bCs/>
                <w:sz w:val="20"/>
                <w:szCs w:val="20"/>
                <w:vertAlign w:val="superscript"/>
              </w:rPr>
              <w:t>®</w:t>
            </w:r>
            <w:r w:rsidRPr="000E4958">
              <w:rPr>
                <w:rFonts w:ascii="Arial" w:eastAsia="MyriadPro-BoldCond" w:hAnsi="Arial" w:cs="Arial"/>
                <w:bCs/>
                <w:sz w:val="20"/>
                <w:szCs w:val="20"/>
              </w:rPr>
              <w:t xml:space="preserve"> ER </w:t>
            </w:r>
            <w:r w:rsidR="00371DE3">
              <w:rPr>
                <w:rFonts w:ascii="Arial" w:hAnsi="Arial" w:cs="Arial"/>
                <w:sz w:val="20"/>
                <w:szCs w:val="20"/>
              </w:rPr>
              <w:t>(oxymorphone</w:t>
            </w:r>
            <w:r w:rsidRPr="000E4958">
              <w:rPr>
                <w:rFonts w:ascii="Arial" w:hAnsi="Arial" w:cs="Arial"/>
                <w:sz w:val="20"/>
                <w:szCs w:val="20"/>
              </w:rPr>
              <w:t xml:space="preserve"> ER).</w:t>
            </w:r>
            <w:r w:rsidRPr="000E4958">
              <w:rPr>
                <w:rFonts w:ascii="Arial" w:eastAsia="MyriadPro-BoldCond" w:hAnsi="Arial" w:cs="Arial"/>
                <w:bCs/>
                <w:sz w:val="20"/>
                <w:szCs w:val="20"/>
              </w:rPr>
              <w:t xml:space="preserve"> Monitor for respiratory depression, especially during initiation of Opana</w:t>
            </w:r>
            <w:r w:rsidRPr="000E4958">
              <w:rPr>
                <w:rFonts w:ascii="Arial" w:eastAsia="MyriadPro-BoldCond" w:hAnsi="Arial" w:cs="Arial"/>
                <w:bCs/>
                <w:sz w:val="20"/>
                <w:szCs w:val="20"/>
                <w:vertAlign w:val="superscript"/>
              </w:rPr>
              <w:t>®</w:t>
            </w:r>
            <w:r w:rsidRPr="000E4958">
              <w:rPr>
                <w:rFonts w:ascii="Arial" w:eastAsia="MyriadPro-BoldCond" w:hAnsi="Arial" w:cs="Arial"/>
                <w:bCs/>
                <w:sz w:val="20"/>
                <w:szCs w:val="20"/>
              </w:rPr>
              <w:t xml:space="preserve"> ER </w:t>
            </w:r>
            <w:r w:rsidR="00371DE3">
              <w:rPr>
                <w:rFonts w:ascii="Arial" w:hAnsi="Arial" w:cs="Arial"/>
                <w:sz w:val="20"/>
                <w:szCs w:val="20"/>
              </w:rPr>
              <w:t>(oxymorphone</w:t>
            </w:r>
            <w:r w:rsidRPr="000E4958">
              <w:rPr>
                <w:rFonts w:ascii="Arial" w:hAnsi="Arial" w:cs="Arial"/>
                <w:sz w:val="20"/>
                <w:szCs w:val="20"/>
              </w:rPr>
              <w:t xml:space="preserve"> ER) </w:t>
            </w:r>
            <w:r w:rsidRPr="000E4958">
              <w:rPr>
                <w:rFonts w:ascii="Arial" w:eastAsia="MyriadPro-BoldCond" w:hAnsi="Arial" w:cs="Arial"/>
                <w:bCs/>
                <w:sz w:val="20"/>
                <w:szCs w:val="20"/>
              </w:rPr>
              <w:t>or following a dose increase. Instruct patients to swallow Opana</w:t>
            </w:r>
            <w:r w:rsidRPr="000E4958">
              <w:rPr>
                <w:rFonts w:ascii="Arial" w:eastAsia="MyriadPro-BoldCond" w:hAnsi="Arial" w:cs="Arial"/>
                <w:bCs/>
                <w:sz w:val="20"/>
                <w:szCs w:val="20"/>
                <w:vertAlign w:val="superscript"/>
              </w:rPr>
              <w:t>®</w:t>
            </w:r>
            <w:r w:rsidRPr="000E4958">
              <w:rPr>
                <w:rFonts w:ascii="Arial" w:eastAsia="MyriadPro-BoldCond" w:hAnsi="Arial" w:cs="Arial"/>
                <w:bCs/>
                <w:sz w:val="20"/>
                <w:szCs w:val="20"/>
              </w:rPr>
              <w:t xml:space="preserve"> ER </w:t>
            </w:r>
            <w:r w:rsidRPr="000E4958">
              <w:rPr>
                <w:rFonts w:ascii="Arial" w:hAnsi="Arial" w:cs="Arial"/>
                <w:sz w:val="20"/>
                <w:szCs w:val="20"/>
              </w:rPr>
              <w:t>(oxymo</w:t>
            </w:r>
            <w:r w:rsidR="00371DE3">
              <w:rPr>
                <w:rFonts w:ascii="Arial" w:hAnsi="Arial" w:cs="Arial"/>
                <w:sz w:val="20"/>
                <w:szCs w:val="20"/>
              </w:rPr>
              <w:t>rphone</w:t>
            </w:r>
            <w:r w:rsidRPr="000E4958">
              <w:rPr>
                <w:rFonts w:ascii="Arial" w:hAnsi="Arial" w:cs="Arial"/>
                <w:sz w:val="20"/>
                <w:szCs w:val="20"/>
              </w:rPr>
              <w:t xml:space="preserve"> ER) </w:t>
            </w:r>
            <w:r w:rsidRPr="000E4958">
              <w:rPr>
                <w:rFonts w:ascii="Arial" w:eastAsia="MyriadPro-BoldCond" w:hAnsi="Arial" w:cs="Arial"/>
                <w:bCs/>
                <w:sz w:val="20"/>
                <w:szCs w:val="20"/>
              </w:rPr>
              <w:t>capsules whole; crushing, chewing, or dissolving Opana</w:t>
            </w:r>
            <w:r w:rsidRPr="000E4958">
              <w:rPr>
                <w:rFonts w:ascii="Arial" w:eastAsia="MyriadPro-BoldCond" w:hAnsi="Arial" w:cs="Arial"/>
                <w:bCs/>
                <w:sz w:val="20"/>
                <w:szCs w:val="20"/>
                <w:vertAlign w:val="superscript"/>
              </w:rPr>
              <w:t>®</w:t>
            </w:r>
            <w:r w:rsidRPr="000E4958">
              <w:rPr>
                <w:rFonts w:ascii="Arial" w:eastAsia="MyriadPro-BoldCond" w:hAnsi="Arial" w:cs="Arial"/>
                <w:bCs/>
                <w:sz w:val="20"/>
                <w:szCs w:val="20"/>
              </w:rPr>
              <w:t xml:space="preserve"> ER </w:t>
            </w:r>
            <w:r w:rsidR="00371DE3">
              <w:rPr>
                <w:rFonts w:ascii="Arial" w:hAnsi="Arial" w:cs="Arial"/>
                <w:sz w:val="20"/>
                <w:szCs w:val="20"/>
              </w:rPr>
              <w:t>(oxymorphone</w:t>
            </w:r>
            <w:r w:rsidRPr="000E4958">
              <w:rPr>
                <w:rFonts w:ascii="Arial" w:hAnsi="Arial" w:cs="Arial"/>
                <w:sz w:val="20"/>
                <w:szCs w:val="20"/>
              </w:rPr>
              <w:t xml:space="preserve"> ER) </w:t>
            </w:r>
            <w:r w:rsidRPr="000E4958">
              <w:rPr>
                <w:rFonts w:ascii="Arial" w:eastAsia="MyriadPro-BoldCond" w:hAnsi="Arial" w:cs="Arial"/>
                <w:bCs/>
                <w:sz w:val="20"/>
                <w:szCs w:val="20"/>
              </w:rPr>
              <w:t>can cause rapid release and absorption of a potentially fatal dose of oxymorphone.</w:t>
            </w:r>
          </w:p>
          <w:p w:rsidR="000E4958" w:rsidRPr="000E4958" w:rsidRDefault="000E4958" w:rsidP="000E4958">
            <w:pPr>
              <w:autoSpaceDE w:val="0"/>
              <w:autoSpaceDN w:val="0"/>
              <w:adjustRightInd w:val="0"/>
              <w:spacing w:after="0" w:line="240" w:lineRule="auto"/>
              <w:rPr>
                <w:rFonts w:ascii="Arial" w:eastAsia="MyriadPro-BoldCond" w:hAnsi="Arial" w:cs="Arial"/>
                <w:bCs/>
                <w:sz w:val="20"/>
                <w:szCs w:val="20"/>
                <w:u w:val="single"/>
              </w:rPr>
            </w:pPr>
          </w:p>
          <w:p w:rsidR="000E4958" w:rsidRPr="000E4958" w:rsidRDefault="000E4958" w:rsidP="000E4958">
            <w:pPr>
              <w:autoSpaceDE w:val="0"/>
              <w:autoSpaceDN w:val="0"/>
              <w:adjustRightInd w:val="0"/>
              <w:spacing w:after="0" w:line="240" w:lineRule="auto"/>
              <w:rPr>
                <w:rFonts w:ascii="Arial" w:eastAsia="MyriadPro-BoldCond" w:hAnsi="Arial" w:cs="Arial"/>
                <w:bCs/>
                <w:sz w:val="20"/>
                <w:szCs w:val="20"/>
                <w:u w:val="single"/>
              </w:rPr>
            </w:pPr>
            <w:r w:rsidRPr="000E4958">
              <w:rPr>
                <w:rFonts w:ascii="Arial" w:eastAsia="MyriadPro-BoldCond" w:hAnsi="Arial" w:cs="Arial"/>
                <w:bCs/>
                <w:sz w:val="20"/>
                <w:szCs w:val="20"/>
                <w:u w:val="single"/>
              </w:rPr>
              <w:t>Accidental Ingestion</w:t>
            </w:r>
          </w:p>
          <w:p w:rsidR="000E4958" w:rsidRPr="000E4958" w:rsidRDefault="000E4958" w:rsidP="000E4958">
            <w:pPr>
              <w:autoSpaceDE w:val="0"/>
              <w:autoSpaceDN w:val="0"/>
              <w:adjustRightInd w:val="0"/>
              <w:spacing w:after="0" w:line="240" w:lineRule="auto"/>
              <w:rPr>
                <w:rFonts w:ascii="Arial" w:eastAsia="MyriadPro-BoldCond" w:hAnsi="Arial" w:cs="Arial"/>
                <w:bCs/>
                <w:sz w:val="20"/>
                <w:szCs w:val="20"/>
              </w:rPr>
            </w:pPr>
            <w:r w:rsidRPr="000E4958">
              <w:rPr>
                <w:rFonts w:ascii="Arial" w:eastAsia="MyriadPro-BoldCond" w:hAnsi="Arial" w:cs="Arial"/>
                <w:bCs/>
                <w:sz w:val="20"/>
                <w:szCs w:val="20"/>
              </w:rPr>
              <w:t>Accidental ingestion of even one dose of Opana</w:t>
            </w:r>
            <w:r w:rsidRPr="000E4958">
              <w:rPr>
                <w:rFonts w:ascii="Arial" w:eastAsia="MyriadPro-BoldCond" w:hAnsi="Arial" w:cs="Arial"/>
                <w:bCs/>
                <w:sz w:val="20"/>
                <w:szCs w:val="20"/>
                <w:vertAlign w:val="superscript"/>
              </w:rPr>
              <w:t>®</w:t>
            </w:r>
            <w:r w:rsidRPr="000E4958">
              <w:rPr>
                <w:rFonts w:ascii="Arial" w:eastAsia="MyriadPro-BoldCond" w:hAnsi="Arial" w:cs="Arial"/>
                <w:bCs/>
                <w:sz w:val="20"/>
                <w:szCs w:val="20"/>
              </w:rPr>
              <w:t xml:space="preserve"> ER </w:t>
            </w:r>
            <w:r w:rsidR="00371DE3">
              <w:rPr>
                <w:rFonts w:ascii="Arial" w:hAnsi="Arial" w:cs="Arial"/>
                <w:sz w:val="20"/>
                <w:szCs w:val="20"/>
              </w:rPr>
              <w:t>(oxymorphone</w:t>
            </w:r>
            <w:r w:rsidRPr="000E4958">
              <w:rPr>
                <w:rFonts w:ascii="Arial" w:hAnsi="Arial" w:cs="Arial"/>
                <w:sz w:val="20"/>
                <w:szCs w:val="20"/>
              </w:rPr>
              <w:t xml:space="preserve"> ER)</w:t>
            </w:r>
            <w:r w:rsidRPr="000E4958">
              <w:rPr>
                <w:rFonts w:ascii="Arial" w:eastAsia="MyriadPro-BoldCond" w:hAnsi="Arial" w:cs="Arial"/>
                <w:bCs/>
                <w:sz w:val="20"/>
                <w:szCs w:val="20"/>
              </w:rPr>
              <w:t xml:space="preserve">, especially by children, can result in a fatal overdose of oxymorphone. </w:t>
            </w:r>
          </w:p>
          <w:p w:rsidR="000E4958" w:rsidRPr="000E4958" w:rsidRDefault="000E4958" w:rsidP="000E4958">
            <w:pPr>
              <w:autoSpaceDE w:val="0"/>
              <w:autoSpaceDN w:val="0"/>
              <w:adjustRightInd w:val="0"/>
              <w:spacing w:after="0" w:line="240" w:lineRule="auto"/>
              <w:rPr>
                <w:rFonts w:ascii="Arial" w:eastAsia="MyriadPro-BoldCond" w:hAnsi="Arial" w:cs="Arial"/>
                <w:bCs/>
                <w:sz w:val="20"/>
                <w:szCs w:val="20"/>
                <w:u w:val="single"/>
              </w:rPr>
            </w:pPr>
          </w:p>
          <w:p w:rsidR="000E4958" w:rsidRPr="000E4958" w:rsidRDefault="000E4958" w:rsidP="000E4958">
            <w:pPr>
              <w:autoSpaceDE w:val="0"/>
              <w:autoSpaceDN w:val="0"/>
              <w:adjustRightInd w:val="0"/>
              <w:spacing w:after="0" w:line="240" w:lineRule="auto"/>
              <w:rPr>
                <w:rFonts w:ascii="Arial" w:eastAsia="MyriadPro-BoldCond" w:hAnsi="Arial" w:cs="Arial"/>
                <w:bCs/>
                <w:sz w:val="20"/>
                <w:szCs w:val="20"/>
                <w:u w:val="single"/>
              </w:rPr>
            </w:pPr>
            <w:r w:rsidRPr="000E4958">
              <w:rPr>
                <w:rFonts w:ascii="Arial" w:eastAsia="MyriadPro-BoldCond" w:hAnsi="Arial" w:cs="Arial"/>
                <w:bCs/>
                <w:sz w:val="20"/>
                <w:szCs w:val="20"/>
                <w:u w:val="single"/>
              </w:rPr>
              <w:t>Neonatal Opioid Withdrawal Syndrome</w:t>
            </w:r>
          </w:p>
          <w:p w:rsidR="000E4958" w:rsidRPr="000E4958" w:rsidRDefault="000E4958" w:rsidP="000E4958">
            <w:pPr>
              <w:autoSpaceDE w:val="0"/>
              <w:autoSpaceDN w:val="0"/>
              <w:adjustRightInd w:val="0"/>
              <w:spacing w:after="0" w:line="240" w:lineRule="auto"/>
              <w:rPr>
                <w:rFonts w:ascii="Arial" w:eastAsia="MyriadPro-BoldCond" w:hAnsi="Arial" w:cs="Arial"/>
                <w:bCs/>
                <w:sz w:val="20"/>
                <w:szCs w:val="20"/>
              </w:rPr>
            </w:pPr>
            <w:r w:rsidRPr="000E4958">
              <w:rPr>
                <w:rFonts w:ascii="Arial" w:eastAsia="MyriadPro-BoldCond" w:hAnsi="Arial" w:cs="Arial"/>
                <w:bCs/>
                <w:sz w:val="20"/>
                <w:szCs w:val="20"/>
              </w:rPr>
              <w:t>Prolonged use of Opana</w:t>
            </w:r>
            <w:r w:rsidRPr="000E4958">
              <w:rPr>
                <w:rFonts w:ascii="Arial" w:eastAsia="MyriadPro-BoldCond" w:hAnsi="Arial" w:cs="Arial"/>
                <w:bCs/>
                <w:sz w:val="20"/>
                <w:szCs w:val="20"/>
                <w:vertAlign w:val="superscript"/>
              </w:rPr>
              <w:t>®</w:t>
            </w:r>
            <w:r w:rsidRPr="000E4958">
              <w:rPr>
                <w:rFonts w:ascii="Arial" w:eastAsia="MyriadPro-BoldCond" w:hAnsi="Arial" w:cs="Arial"/>
                <w:bCs/>
                <w:sz w:val="20"/>
                <w:szCs w:val="20"/>
              </w:rPr>
              <w:t xml:space="preserve"> ER </w:t>
            </w:r>
            <w:r w:rsidR="00371DE3">
              <w:rPr>
                <w:rFonts w:ascii="Arial" w:hAnsi="Arial" w:cs="Arial"/>
                <w:sz w:val="20"/>
                <w:szCs w:val="20"/>
              </w:rPr>
              <w:t>(oxymorphone</w:t>
            </w:r>
            <w:r w:rsidRPr="000E4958">
              <w:rPr>
                <w:rFonts w:ascii="Arial" w:hAnsi="Arial" w:cs="Arial"/>
                <w:sz w:val="20"/>
                <w:szCs w:val="20"/>
              </w:rPr>
              <w:t xml:space="preserve"> ER) </w:t>
            </w:r>
            <w:r w:rsidRPr="000E4958">
              <w:rPr>
                <w:rFonts w:ascii="Arial" w:eastAsia="MyriadPro-BoldCond" w:hAnsi="Arial" w:cs="Arial"/>
                <w:bCs/>
                <w:sz w:val="20"/>
                <w:szCs w:val="20"/>
              </w:rPr>
              <w:t>during pregnancy can result in neonatal opioid withdrawal syndrome, which may be life-threatening if not recognized and treated, and requires management according to protocols developed by neonatology experts. If opioid use is required for a prolonged period in a pregnant woman, advise the patient of the risk of neonatal opioid withdrawal syndrome and ensure that appropriate treatment will be available.</w:t>
            </w:r>
          </w:p>
          <w:p w:rsidR="000E4958" w:rsidRPr="000E4958" w:rsidRDefault="000E4958" w:rsidP="000E4958">
            <w:pPr>
              <w:autoSpaceDE w:val="0"/>
              <w:autoSpaceDN w:val="0"/>
              <w:adjustRightInd w:val="0"/>
              <w:spacing w:after="0" w:line="240" w:lineRule="auto"/>
              <w:rPr>
                <w:rFonts w:ascii="Arial" w:eastAsia="MyriadPro-BoldCond" w:hAnsi="Arial" w:cs="Arial"/>
                <w:bCs/>
                <w:sz w:val="20"/>
                <w:szCs w:val="20"/>
                <w:u w:val="single"/>
              </w:rPr>
            </w:pPr>
          </w:p>
          <w:p w:rsidR="000E4958" w:rsidRPr="000E4958" w:rsidRDefault="000E4958" w:rsidP="000E4958">
            <w:pPr>
              <w:autoSpaceDE w:val="0"/>
              <w:autoSpaceDN w:val="0"/>
              <w:adjustRightInd w:val="0"/>
              <w:spacing w:after="0" w:line="240" w:lineRule="auto"/>
              <w:rPr>
                <w:rFonts w:ascii="Arial" w:eastAsia="MyriadPro-BoldCond" w:hAnsi="Arial" w:cs="Arial"/>
                <w:bCs/>
                <w:sz w:val="20"/>
                <w:szCs w:val="20"/>
                <w:u w:val="single"/>
              </w:rPr>
            </w:pPr>
            <w:r w:rsidRPr="000E4958">
              <w:rPr>
                <w:rFonts w:ascii="Arial" w:eastAsia="MyriadPro-BoldCond" w:hAnsi="Arial" w:cs="Arial"/>
                <w:bCs/>
                <w:sz w:val="20"/>
                <w:szCs w:val="20"/>
                <w:u w:val="single"/>
              </w:rPr>
              <w:t>Interaction with Alcohol</w:t>
            </w:r>
          </w:p>
          <w:p w:rsidR="000E4958" w:rsidRPr="000E4958" w:rsidRDefault="000E4958" w:rsidP="000E4958">
            <w:pPr>
              <w:spacing w:after="0" w:line="240" w:lineRule="auto"/>
              <w:rPr>
                <w:rFonts w:ascii="Arial" w:hAnsi="Arial" w:cs="Arial"/>
                <w:color w:val="339966"/>
                <w:sz w:val="20"/>
                <w:szCs w:val="20"/>
              </w:rPr>
            </w:pPr>
            <w:r w:rsidRPr="00371DE3">
              <w:rPr>
                <w:rFonts w:ascii="Arial" w:eastAsia="MyriadPro-BoldCond" w:hAnsi="Arial" w:cs="Arial"/>
                <w:bCs/>
                <w:sz w:val="20"/>
                <w:szCs w:val="20"/>
              </w:rPr>
              <w:t>Instruct patients not to consume alcoholic beverages or use prescription or non-prescription products that contain alcohol while taking Opana</w:t>
            </w:r>
            <w:r w:rsidRPr="00371DE3">
              <w:rPr>
                <w:rFonts w:ascii="Arial" w:eastAsia="MyriadPro-BoldCond" w:hAnsi="Arial" w:cs="Arial"/>
                <w:bCs/>
                <w:sz w:val="20"/>
                <w:szCs w:val="20"/>
                <w:vertAlign w:val="superscript"/>
              </w:rPr>
              <w:t>®</w:t>
            </w:r>
            <w:r w:rsidRPr="00371DE3">
              <w:rPr>
                <w:rFonts w:ascii="Arial" w:eastAsia="MyriadPro-BoldCond" w:hAnsi="Arial" w:cs="Arial"/>
                <w:bCs/>
                <w:sz w:val="20"/>
                <w:szCs w:val="20"/>
              </w:rPr>
              <w:t xml:space="preserve"> ER </w:t>
            </w:r>
            <w:r w:rsidR="00371DE3">
              <w:rPr>
                <w:rFonts w:ascii="Arial" w:hAnsi="Arial" w:cs="Arial"/>
                <w:sz w:val="20"/>
                <w:szCs w:val="20"/>
              </w:rPr>
              <w:t>(oxymorphone</w:t>
            </w:r>
            <w:r w:rsidRPr="00371DE3">
              <w:rPr>
                <w:rFonts w:ascii="Arial" w:hAnsi="Arial" w:cs="Arial"/>
                <w:sz w:val="20"/>
                <w:szCs w:val="20"/>
              </w:rPr>
              <w:t xml:space="preserve"> ER).</w:t>
            </w:r>
            <w:r w:rsidRPr="00371DE3">
              <w:rPr>
                <w:rFonts w:ascii="Arial" w:eastAsia="MyriadPro-BoldCond" w:hAnsi="Arial" w:cs="Arial"/>
                <w:bCs/>
                <w:sz w:val="20"/>
                <w:szCs w:val="20"/>
              </w:rPr>
              <w:t xml:space="preserve"> The co-ingestion of alcohol with Opana</w:t>
            </w:r>
            <w:r w:rsidRPr="00371DE3">
              <w:rPr>
                <w:rFonts w:ascii="Arial" w:eastAsia="MyriadPro-BoldCond" w:hAnsi="Arial" w:cs="Arial"/>
                <w:bCs/>
                <w:sz w:val="20"/>
                <w:szCs w:val="20"/>
                <w:vertAlign w:val="superscript"/>
              </w:rPr>
              <w:t>®</w:t>
            </w:r>
            <w:r w:rsidRPr="00371DE3">
              <w:rPr>
                <w:rFonts w:ascii="Arial" w:eastAsia="MyriadPro-BoldCond" w:hAnsi="Arial" w:cs="Arial"/>
                <w:bCs/>
                <w:sz w:val="20"/>
                <w:szCs w:val="20"/>
              </w:rPr>
              <w:t xml:space="preserve"> ER </w:t>
            </w:r>
            <w:r w:rsidR="00371DE3">
              <w:rPr>
                <w:rFonts w:ascii="Arial" w:hAnsi="Arial" w:cs="Arial"/>
                <w:sz w:val="20"/>
                <w:szCs w:val="20"/>
              </w:rPr>
              <w:t>(oxymorphone</w:t>
            </w:r>
            <w:r w:rsidRPr="00371DE3">
              <w:rPr>
                <w:rFonts w:ascii="Arial" w:hAnsi="Arial" w:cs="Arial"/>
                <w:sz w:val="20"/>
                <w:szCs w:val="20"/>
              </w:rPr>
              <w:t xml:space="preserve"> ER) </w:t>
            </w:r>
            <w:r w:rsidRPr="00371DE3">
              <w:rPr>
                <w:rFonts w:ascii="Arial" w:eastAsia="MyriadPro-BoldCond" w:hAnsi="Arial" w:cs="Arial"/>
                <w:bCs/>
                <w:sz w:val="20"/>
                <w:szCs w:val="20"/>
              </w:rPr>
              <w:t xml:space="preserve">may result in increased plasma levels and a </w:t>
            </w:r>
            <w:r w:rsidRPr="000E4958">
              <w:rPr>
                <w:rFonts w:ascii="Arial" w:eastAsia="MyriadPro-BoldCond" w:hAnsi="Arial" w:cs="Arial"/>
                <w:bCs/>
                <w:sz w:val="20"/>
                <w:szCs w:val="20"/>
              </w:rPr>
              <w:t xml:space="preserve">potentially fatal overdose of </w:t>
            </w:r>
            <w:r w:rsidRPr="000E4958">
              <w:rPr>
                <w:rFonts w:ascii="Arial" w:eastAsia="MyriadPro-BoldCond" w:hAnsi="Arial" w:cs="Arial"/>
                <w:bCs/>
                <w:sz w:val="20"/>
                <w:szCs w:val="20"/>
              </w:rPr>
              <w:lastRenderedPageBreak/>
              <w:t>oxymorphone.</w:t>
            </w:r>
          </w:p>
        </w:tc>
      </w:tr>
    </w:tbl>
    <w:p w:rsidR="000E4958" w:rsidRDefault="000E4958" w:rsidP="00567499">
      <w:pPr>
        <w:pStyle w:val="NoSpacing"/>
      </w:pPr>
    </w:p>
    <w:p w:rsidR="000E4958" w:rsidRPr="000E4958" w:rsidRDefault="000E4958" w:rsidP="000E4958">
      <w:pPr>
        <w:spacing w:after="0" w:line="240" w:lineRule="auto"/>
        <w:rPr>
          <w:rFonts w:ascii="Arial" w:hAnsi="Arial" w:cs="Arial"/>
          <w:b/>
          <w:sz w:val="20"/>
          <w:szCs w:val="20"/>
          <w:u w:val="single"/>
        </w:rPr>
      </w:pPr>
      <w:r w:rsidRPr="000E4958">
        <w:rPr>
          <w:rFonts w:ascii="Arial" w:hAnsi="Arial" w:cs="Arial"/>
          <w:b/>
          <w:sz w:val="20"/>
          <w:szCs w:val="20"/>
          <w:u w:val="single"/>
        </w:rPr>
        <w:t>Contraindications</w:t>
      </w:r>
    </w:p>
    <w:p w:rsidR="000E4958" w:rsidRPr="00FA290C" w:rsidRDefault="000E4958" w:rsidP="000E4958">
      <w:pPr>
        <w:spacing w:after="0" w:line="240" w:lineRule="auto"/>
        <w:outlineLvl w:val="0"/>
        <w:rPr>
          <w:rFonts w:ascii="Arial" w:hAnsi="Arial" w:cs="Arial"/>
          <w:sz w:val="20"/>
          <w:szCs w:val="20"/>
          <w:vertAlign w:val="superscript"/>
        </w:rPr>
      </w:pPr>
      <w:r w:rsidRPr="000E4958">
        <w:rPr>
          <w:rFonts w:ascii="Arial" w:hAnsi="Arial" w:cs="Arial"/>
          <w:sz w:val="20"/>
          <w:szCs w:val="20"/>
        </w:rPr>
        <w:t>Opana</w:t>
      </w:r>
      <w:r w:rsidRPr="000E4958">
        <w:rPr>
          <w:rFonts w:ascii="Arial" w:hAnsi="Arial" w:cs="Arial"/>
          <w:sz w:val="20"/>
          <w:szCs w:val="20"/>
          <w:vertAlign w:val="superscript"/>
        </w:rPr>
        <w:t>®</w:t>
      </w:r>
      <w:r w:rsidRPr="000E4958">
        <w:rPr>
          <w:rFonts w:ascii="Arial" w:hAnsi="Arial" w:cs="Arial"/>
          <w:sz w:val="20"/>
          <w:szCs w:val="20"/>
        </w:rPr>
        <w:t xml:space="preserve"> ER (oxymo</w:t>
      </w:r>
      <w:r w:rsidR="00371DE3">
        <w:rPr>
          <w:rFonts w:ascii="Arial" w:hAnsi="Arial" w:cs="Arial"/>
          <w:sz w:val="20"/>
          <w:szCs w:val="20"/>
        </w:rPr>
        <w:t>rphone</w:t>
      </w:r>
      <w:r w:rsidRPr="000E4958">
        <w:rPr>
          <w:rFonts w:ascii="Arial" w:hAnsi="Arial" w:cs="Arial"/>
          <w:sz w:val="20"/>
          <w:szCs w:val="20"/>
        </w:rPr>
        <w:t xml:space="preserve"> ER) is contraindicated in patients with significant respiratory depression, acute or severe bronchial asthma or hypercarbia, known or suspected paralytic ileus and gastrointestinal obstruction, moderate and severe hepatic impairment, or a known hypersensitivity (e.g., anaphylaxis) to oxymorphone, any other ingredients in Opana</w:t>
      </w:r>
      <w:r w:rsidRPr="000E4958">
        <w:rPr>
          <w:rFonts w:ascii="Arial" w:hAnsi="Arial" w:cs="Arial"/>
          <w:sz w:val="20"/>
          <w:szCs w:val="20"/>
          <w:vertAlign w:val="superscript"/>
        </w:rPr>
        <w:t>®</w:t>
      </w:r>
      <w:r w:rsidR="00371DE3">
        <w:rPr>
          <w:rFonts w:ascii="Arial" w:hAnsi="Arial" w:cs="Arial"/>
          <w:sz w:val="20"/>
          <w:szCs w:val="20"/>
        </w:rPr>
        <w:t xml:space="preserve"> ER (oxymorphone</w:t>
      </w:r>
      <w:r w:rsidRPr="000E4958">
        <w:rPr>
          <w:rFonts w:ascii="Arial" w:hAnsi="Arial" w:cs="Arial"/>
          <w:sz w:val="20"/>
          <w:szCs w:val="20"/>
        </w:rPr>
        <w:t xml:space="preserve"> ER), or to morphine analogues such as codeine.</w:t>
      </w:r>
      <w:r w:rsidR="00110299">
        <w:rPr>
          <w:rFonts w:ascii="Arial" w:hAnsi="Arial" w:cs="Arial"/>
          <w:sz w:val="20"/>
          <w:szCs w:val="20"/>
          <w:vertAlign w:val="superscript"/>
        </w:rPr>
        <w:t>1</w:t>
      </w:r>
    </w:p>
    <w:p w:rsidR="000E4958" w:rsidRDefault="000E4958" w:rsidP="00567499">
      <w:pPr>
        <w:pStyle w:val="NoSpacing"/>
      </w:pPr>
    </w:p>
    <w:p w:rsidR="000E4958" w:rsidRPr="000E4958" w:rsidRDefault="000E4958" w:rsidP="000E4958">
      <w:pPr>
        <w:spacing w:after="0" w:line="240" w:lineRule="auto"/>
        <w:rPr>
          <w:rFonts w:ascii="Arial" w:hAnsi="Arial" w:cs="Arial"/>
          <w:sz w:val="20"/>
          <w:szCs w:val="20"/>
          <w:vertAlign w:val="superscript"/>
        </w:rPr>
      </w:pPr>
      <w:r w:rsidRPr="000E4958">
        <w:rPr>
          <w:rFonts w:ascii="Arial" w:hAnsi="Arial" w:cs="Arial"/>
          <w:b/>
          <w:sz w:val="20"/>
          <w:szCs w:val="20"/>
          <w:u w:val="single"/>
        </w:rPr>
        <w:t>Adverse Drug Events</w:t>
      </w:r>
    </w:p>
    <w:p w:rsidR="00956A76" w:rsidRDefault="00956A76" w:rsidP="000E4958">
      <w:pPr>
        <w:spacing w:after="0" w:line="240" w:lineRule="auto"/>
        <w:rPr>
          <w:rFonts w:ascii="Arial" w:hAnsi="Arial" w:cs="Arial"/>
          <w:sz w:val="20"/>
          <w:szCs w:val="20"/>
        </w:rPr>
      </w:pPr>
      <w:r>
        <w:rPr>
          <w:rFonts w:ascii="Arial" w:hAnsi="Arial" w:cs="Arial"/>
          <w:sz w:val="20"/>
          <w:szCs w:val="20"/>
        </w:rPr>
        <w:t xml:space="preserve">The safety of </w:t>
      </w:r>
      <w:r w:rsidR="000C4F56" w:rsidRPr="000E4958">
        <w:rPr>
          <w:rFonts w:ascii="Arial" w:hAnsi="Arial" w:cs="Arial"/>
          <w:sz w:val="20"/>
          <w:szCs w:val="20"/>
        </w:rPr>
        <w:t>Opana</w:t>
      </w:r>
      <w:r w:rsidR="000C4F56" w:rsidRPr="000E4958">
        <w:rPr>
          <w:rFonts w:ascii="Arial" w:hAnsi="Arial" w:cs="Arial"/>
          <w:sz w:val="20"/>
          <w:szCs w:val="20"/>
          <w:vertAlign w:val="superscript"/>
        </w:rPr>
        <w:t>®</w:t>
      </w:r>
      <w:r w:rsidR="000C4F56" w:rsidRPr="000E4958">
        <w:rPr>
          <w:rFonts w:ascii="Arial" w:hAnsi="Arial" w:cs="Arial"/>
          <w:sz w:val="20"/>
          <w:szCs w:val="20"/>
        </w:rPr>
        <w:t xml:space="preserve"> ER </w:t>
      </w:r>
      <w:r w:rsidR="000C4F56">
        <w:rPr>
          <w:rFonts w:ascii="Arial" w:hAnsi="Arial" w:cs="Arial"/>
          <w:sz w:val="20"/>
          <w:szCs w:val="20"/>
        </w:rPr>
        <w:t>(</w:t>
      </w:r>
      <w:r>
        <w:rPr>
          <w:rFonts w:ascii="Arial" w:hAnsi="Arial" w:cs="Arial"/>
          <w:sz w:val="20"/>
          <w:szCs w:val="20"/>
        </w:rPr>
        <w:t>oxymorphone ER</w:t>
      </w:r>
      <w:r w:rsidR="000C4F56">
        <w:rPr>
          <w:rFonts w:ascii="Arial" w:hAnsi="Arial" w:cs="Arial"/>
          <w:sz w:val="20"/>
          <w:szCs w:val="20"/>
        </w:rPr>
        <w:t>)</w:t>
      </w:r>
      <w:r>
        <w:rPr>
          <w:rFonts w:ascii="Arial" w:hAnsi="Arial" w:cs="Arial"/>
          <w:sz w:val="20"/>
          <w:szCs w:val="20"/>
        </w:rPr>
        <w:t xml:space="preserve"> was evaluated in 2,011 patients </w:t>
      </w:r>
      <w:r w:rsidR="00A25221">
        <w:rPr>
          <w:rFonts w:ascii="Arial" w:hAnsi="Arial" w:cs="Arial"/>
          <w:sz w:val="20"/>
          <w:szCs w:val="20"/>
        </w:rPr>
        <w:t>with moderate to severe chronic non-malignant pain, cancer pain and post-surgical pain from</w:t>
      </w:r>
      <w:r>
        <w:rPr>
          <w:rFonts w:ascii="Arial" w:hAnsi="Arial" w:cs="Arial"/>
          <w:sz w:val="20"/>
          <w:szCs w:val="20"/>
        </w:rPr>
        <w:t xml:space="preserve"> open-label an</w:t>
      </w:r>
      <w:r w:rsidR="00A25221">
        <w:rPr>
          <w:rFonts w:ascii="Arial" w:hAnsi="Arial" w:cs="Arial"/>
          <w:sz w:val="20"/>
          <w:szCs w:val="20"/>
        </w:rPr>
        <w:t xml:space="preserve">d controlled clinical trials. The most common serious adverse events reported with </w:t>
      </w:r>
      <w:r w:rsidR="000C4F56" w:rsidRPr="000E4958">
        <w:rPr>
          <w:rFonts w:ascii="Arial" w:hAnsi="Arial" w:cs="Arial"/>
          <w:sz w:val="20"/>
          <w:szCs w:val="20"/>
        </w:rPr>
        <w:t>Opana</w:t>
      </w:r>
      <w:r w:rsidR="000C4F56" w:rsidRPr="000E4958">
        <w:rPr>
          <w:rFonts w:ascii="Arial" w:hAnsi="Arial" w:cs="Arial"/>
          <w:sz w:val="20"/>
          <w:szCs w:val="20"/>
          <w:vertAlign w:val="superscript"/>
        </w:rPr>
        <w:t>®</w:t>
      </w:r>
      <w:r w:rsidR="000C4F56" w:rsidRPr="000E4958">
        <w:rPr>
          <w:rFonts w:ascii="Arial" w:hAnsi="Arial" w:cs="Arial"/>
          <w:sz w:val="20"/>
          <w:szCs w:val="20"/>
        </w:rPr>
        <w:t xml:space="preserve"> ER </w:t>
      </w:r>
      <w:r w:rsidR="000C4F56">
        <w:rPr>
          <w:rFonts w:ascii="Arial" w:hAnsi="Arial" w:cs="Arial"/>
          <w:sz w:val="20"/>
          <w:szCs w:val="20"/>
        </w:rPr>
        <w:t>(</w:t>
      </w:r>
      <w:r w:rsidR="00A25221">
        <w:rPr>
          <w:rFonts w:ascii="Arial" w:hAnsi="Arial" w:cs="Arial"/>
          <w:sz w:val="20"/>
          <w:szCs w:val="20"/>
        </w:rPr>
        <w:t>oxymorphone ER</w:t>
      </w:r>
      <w:r w:rsidR="000C4F56">
        <w:rPr>
          <w:rFonts w:ascii="Arial" w:hAnsi="Arial" w:cs="Arial"/>
          <w:sz w:val="20"/>
          <w:szCs w:val="20"/>
        </w:rPr>
        <w:t>)</w:t>
      </w:r>
      <w:r w:rsidR="00A25221">
        <w:rPr>
          <w:rFonts w:ascii="Arial" w:hAnsi="Arial" w:cs="Arial"/>
          <w:sz w:val="20"/>
          <w:szCs w:val="20"/>
        </w:rPr>
        <w:t xml:space="preserve"> included chest pain, pneumonia and vomiting.</w:t>
      </w:r>
      <w:r w:rsidR="00110299">
        <w:rPr>
          <w:rFonts w:ascii="Arial" w:hAnsi="Arial" w:cs="Arial"/>
          <w:sz w:val="20"/>
          <w:szCs w:val="20"/>
          <w:vertAlign w:val="superscript"/>
        </w:rPr>
        <w:t>1</w:t>
      </w:r>
      <w:r w:rsidR="00A25221">
        <w:rPr>
          <w:rFonts w:ascii="Arial" w:hAnsi="Arial" w:cs="Arial"/>
          <w:sz w:val="20"/>
          <w:szCs w:val="20"/>
        </w:rPr>
        <w:t xml:space="preserve"> </w:t>
      </w:r>
    </w:p>
    <w:p w:rsidR="00956A76" w:rsidRDefault="00956A76" w:rsidP="000E4958">
      <w:pPr>
        <w:spacing w:after="0" w:line="240" w:lineRule="auto"/>
        <w:rPr>
          <w:rFonts w:ascii="Arial" w:hAnsi="Arial" w:cs="Arial"/>
          <w:sz w:val="20"/>
          <w:szCs w:val="20"/>
        </w:rPr>
      </w:pPr>
    </w:p>
    <w:p w:rsidR="000C4F56" w:rsidRPr="00CC06E3" w:rsidRDefault="0062381D" w:rsidP="00FD1A37">
      <w:pPr>
        <w:spacing w:after="0" w:line="240" w:lineRule="auto"/>
        <w:ind w:right="-180"/>
        <w:rPr>
          <w:rFonts w:ascii="Arial" w:hAnsi="Arial" w:cs="Arial"/>
          <w:b/>
          <w:sz w:val="20"/>
          <w:szCs w:val="20"/>
          <w:vertAlign w:val="superscript"/>
        </w:rPr>
      </w:pPr>
      <w:r>
        <w:rPr>
          <w:rFonts w:ascii="Arial" w:hAnsi="Arial" w:cs="Arial"/>
          <w:b/>
          <w:sz w:val="20"/>
          <w:szCs w:val="20"/>
        </w:rPr>
        <w:t>Table 7.</w:t>
      </w:r>
      <w:r w:rsidR="00FD1A37">
        <w:rPr>
          <w:rFonts w:ascii="Arial" w:hAnsi="Arial" w:cs="Arial"/>
          <w:b/>
          <w:sz w:val="20"/>
          <w:szCs w:val="20"/>
        </w:rPr>
        <w:t xml:space="preserve"> </w:t>
      </w:r>
      <w:r w:rsidR="000C4F56">
        <w:rPr>
          <w:rFonts w:ascii="Arial" w:hAnsi="Arial" w:cs="Arial"/>
          <w:b/>
          <w:sz w:val="20"/>
          <w:szCs w:val="20"/>
        </w:rPr>
        <w:t>Treatment-Emergent Adverse Reactions Reported by ≥</w:t>
      </w:r>
      <w:r w:rsidR="00FD1A37">
        <w:rPr>
          <w:rFonts w:ascii="Arial" w:hAnsi="Arial" w:cs="Arial"/>
          <w:b/>
          <w:sz w:val="20"/>
          <w:szCs w:val="20"/>
        </w:rPr>
        <w:t xml:space="preserve"> </w:t>
      </w:r>
      <w:r w:rsidR="000C4F56">
        <w:rPr>
          <w:rFonts w:ascii="Arial" w:hAnsi="Arial" w:cs="Arial"/>
          <w:b/>
          <w:sz w:val="20"/>
          <w:szCs w:val="20"/>
        </w:rPr>
        <w:t>5</w:t>
      </w:r>
      <w:r w:rsidR="000C4F56" w:rsidRPr="00AD075A">
        <w:rPr>
          <w:rFonts w:ascii="Arial" w:hAnsi="Arial" w:cs="Arial"/>
          <w:b/>
          <w:sz w:val="20"/>
          <w:szCs w:val="20"/>
        </w:rPr>
        <w:t xml:space="preserve">% of Subjects </w:t>
      </w:r>
      <w:r w:rsidR="000C4F56">
        <w:rPr>
          <w:rFonts w:ascii="Arial" w:hAnsi="Arial" w:cs="Arial"/>
          <w:b/>
          <w:sz w:val="20"/>
          <w:szCs w:val="20"/>
        </w:rPr>
        <w:t>During the Open</w:t>
      </w:r>
      <w:r w:rsidR="00FD1A37">
        <w:rPr>
          <w:rFonts w:ascii="Arial" w:hAnsi="Arial" w:cs="Arial"/>
          <w:b/>
          <w:sz w:val="20"/>
          <w:szCs w:val="20"/>
        </w:rPr>
        <w:t>-Label</w:t>
      </w:r>
      <w:r w:rsidR="000C4F56">
        <w:rPr>
          <w:rFonts w:ascii="Arial" w:hAnsi="Arial" w:cs="Arial"/>
          <w:b/>
          <w:sz w:val="20"/>
          <w:szCs w:val="20"/>
        </w:rPr>
        <w:t xml:space="preserve"> Titration Period and Double-Blind Treatment Period by Preferred Term- 12-Week Study in Opioid-Naïve Subjects with Low Back </w:t>
      </w:r>
      <w:r w:rsidR="00FD1A37">
        <w:rPr>
          <w:rFonts w:ascii="Arial" w:hAnsi="Arial" w:cs="Arial"/>
          <w:b/>
          <w:sz w:val="20"/>
          <w:szCs w:val="20"/>
        </w:rPr>
        <w:t>Pain</w:t>
      </w:r>
      <w:r w:rsidR="00CC06E3">
        <w:rPr>
          <w:rFonts w:ascii="Arial" w:hAnsi="Arial" w:cs="Arial"/>
          <w:b/>
          <w:sz w:val="20"/>
          <w:szCs w:val="20"/>
          <w:vertAlign w:val="superscript"/>
        </w:rPr>
        <w:t>1</w:t>
      </w:r>
    </w:p>
    <w:tbl>
      <w:tblPr>
        <w:tblStyle w:val="TableGrid"/>
        <w:tblW w:w="0" w:type="auto"/>
        <w:tblInd w:w="108" w:type="dxa"/>
        <w:tblLook w:val="04A0" w:firstRow="1" w:lastRow="0" w:firstColumn="1" w:lastColumn="0" w:noHBand="0" w:noVBand="1"/>
      </w:tblPr>
      <w:tblGrid>
        <w:gridCol w:w="2286"/>
        <w:gridCol w:w="2394"/>
        <w:gridCol w:w="2394"/>
        <w:gridCol w:w="2394"/>
      </w:tblGrid>
      <w:tr w:rsidR="0062381D" w:rsidRPr="00FD1A37" w:rsidTr="005F1A5E">
        <w:tc>
          <w:tcPr>
            <w:tcW w:w="2286" w:type="dxa"/>
            <w:shd w:val="clear" w:color="auto" w:fill="BFBFBF" w:themeFill="background1" w:themeFillShade="BF"/>
          </w:tcPr>
          <w:p w:rsidR="0062381D" w:rsidRPr="00FD1A37" w:rsidRDefault="0062381D" w:rsidP="000E4958">
            <w:pPr>
              <w:spacing w:after="0" w:line="240" w:lineRule="auto"/>
              <w:rPr>
                <w:rFonts w:ascii="Arial" w:hAnsi="Arial" w:cs="Arial"/>
                <w:b/>
                <w:sz w:val="20"/>
                <w:szCs w:val="20"/>
              </w:rPr>
            </w:pPr>
          </w:p>
        </w:tc>
        <w:tc>
          <w:tcPr>
            <w:tcW w:w="2394" w:type="dxa"/>
            <w:shd w:val="clear" w:color="auto" w:fill="BFBFBF" w:themeFill="background1" w:themeFillShade="BF"/>
          </w:tcPr>
          <w:p w:rsidR="0062381D" w:rsidRPr="00FD1A37" w:rsidRDefault="0062381D" w:rsidP="000C4F56">
            <w:pPr>
              <w:spacing w:after="0" w:line="240" w:lineRule="auto"/>
              <w:jc w:val="center"/>
              <w:rPr>
                <w:rFonts w:ascii="Arial" w:hAnsi="Arial" w:cs="Arial"/>
                <w:b/>
                <w:sz w:val="20"/>
                <w:szCs w:val="20"/>
              </w:rPr>
            </w:pPr>
            <w:r w:rsidRPr="00FD1A37">
              <w:rPr>
                <w:rFonts w:ascii="Arial" w:hAnsi="Arial" w:cs="Arial"/>
                <w:b/>
                <w:sz w:val="20"/>
                <w:szCs w:val="20"/>
              </w:rPr>
              <w:t>Open-Label Titration Period</w:t>
            </w:r>
          </w:p>
        </w:tc>
        <w:tc>
          <w:tcPr>
            <w:tcW w:w="4788" w:type="dxa"/>
            <w:gridSpan w:val="2"/>
            <w:shd w:val="clear" w:color="auto" w:fill="BFBFBF" w:themeFill="background1" w:themeFillShade="BF"/>
          </w:tcPr>
          <w:p w:rsidR="0062381D" w:rsidRPr="00FD1A37" w:rsidRDefault="0062381D" w:rsidP="0062381D">
            <w:pPr>
              <w:spacing w:after="0" w:line="240" w:lineRule="auto"/>
              <w:jc w:val="center"/>
              <w:rPr>
                <w:rFonts w:ascii="Arial" w:hAnsi="Arial" w:cs="Arial"/>
                <w:b/>
                <w:sz w:val="20"/>
                <w:szCs w:val="20"/>
              </w:rPr>
            </w:pPr>
            <w:r w:rsidRPr="00FD1A37">
              <w:rPr>
                <w:rFonts w:ascii="Arial" w:hAnsi="Arial" w:cs="Arial"/>
                <w:b/>
                <w:sz w:val="20"/>
                <w:szCs w:val="20"/>
              </w:rPr>
              <w:t>Double-Blind Treatment Period</w:t>
            </w:r>
          </w:p>
        </w:tc>
      </w:tr>
      <w:tr w:rsidR="000C4F56" w:rsidRPr="00FD1A37" w:rsidTr="005F1A5E">
        <w:tc>
          <w:tcPr>
            <w:tcW w:w="2286" w:type="dxa"/>
            <w:shd w:val="clear" w:color="auto" w:fill="BFBFBF" w:themeFill="background1" w:themeFillShade="BF"/>
          </w:tcPr>
          <w:p w:rsidR="000C4F56" w:rsidRPr="00FD1A37" w:rsidRDefault="000C4F56" w:rsidP="000E4958">
            <w:pPr>
              <w:spacing w:after="0" w:line="240" w:lineRule="auto"/>
              <w:rPr>
                <w:rFonts w:ascii="Arial" w:hAnsi="Arial" w:cs="Arial"/>
                <w:b/>
                <w:sz w:val="20"/>
                <w:szCs w:val="20"/>
              </w:rPr>
            </w:pPr>
          </w:p>
        </w:tc>
        <w:tc>
          <w:tcPr>
            <w:tcW w:w="2394" w:type="dxa"/>
            <w:shd w:val="clear" w:color="auto" w:fill="BFBFBF" w:themeFill="background1" w:themeFillShade="BF"/>
          </w:tcPr>
          <w:p w:rsidR="000C4F56" w:rsidRPr="00FD1A37" w:rsidRDefault="000C4F56" w:rsidP="000C4F56">
            <w:pPr>
              <w:spacing w:after="0" w:line="240" w:lineRule="auto"/>
              <w:jc w:val="center"/>
              <w:rPr>
                <w:rFonts w:ascii="Arial" w:hAnsi="Arial" w:cs="Arial"/>
                <w:b/>
                <w:sz w:val="20"/>
                <w:szCs w:val="20"/>
              </w:rPr>
            </w:pPr>
            <w:r w:rsidRPr="00FD1A37">
              <w:rPr>
                <w:rFonts w:ascii="Arial" w:hAnsi="Arial" w:cs="Arial"/>
                <w:b/>
                <w:sz w:val="20"/>
                <w:szCs w:val="20"/>
              </w:rPr>
              <w:t>Oxymorphone ER Tablets</w:t>
            </w:r>
          </w:p>
        </w:tc>
        <w:tc>
          <w:tcPr>
            <w:tcW w:w="2394" w:type="dxa"/>
            <w:shd w:val="clear" w:color="auto" w:fill="BFBFBF" w:themeFill="background1" w:themeFillShade="BF"/>
          </w:tcPr>
          <w:p w:rsidR="000C4F56" w:rsidRPr="00FD1A37" w:rsidRDefault="000C4F56" w:rsidP="000C4F56">
            <w:pPr>
              <w:spacing w:after="0" w:line="240" w:lineRule="auto"/>
              <w:jc w:val="center"/>
              <w:rPr>
                <w:rFonts w:ascii="Arial" w:hAnsi="Arial" w:cs="Arial"/>
                <w:b/>
                <w:sz w:val="20"/>
                <w:szCs w:val="20"/>
              </w:rPr>
            </w:pPr>
            <w:r w:rsidRPr="00FD1A37">
              <w:rPr>
                <w:rFonts w:ascii="Arial" w:hAnsi="Arial" w:cs="Arial"/>
                <w:b/>
                <w:sz w:val="20"/>
                <w:szCs w:val="20"/>
              </w:rPr>
              <w:t>Oxymorphone ER Tablets</w:t>
            </w:r>
          </w:p>
        </w:tc>
        <w:tc>
          <w:tcPr>
            <w:tcW w:w="2394" w:type="dxa"/>
            <w:shd w:val="clear" w:color="auto" w:fill="BFBFBF" w:themeFill="background1" w:themeFillShade="BF"/>
          </w:tcPr>
          <w:p w:rsidR="000C4F56" w:rsidRPr="00FD1A37" w:rsidRDefault="000C4F56" w:rsidP="000C4F56">
            <w:pPr>
              <w:spacing w:after="0" w:line="240" w:lineRule="auto"/>
              <w:jc w:val="center"/>
              <w:rPr>
                <w:rFonts w:ascii="Arial" w:hAnsi="Arial" w:cs="Arial"/>
                <w:b/>
                <w:sz w:val="20"/>
                <w:szCs w:val="20"/>
              </w:rPr>
            </w:pPr>
            <w:r w:rsidRPr="00FD1A37">
              <w:rPr>
                <w:rFonts w:ascii="Arial" w:hAnsi="Arial" w:cs="Arial"/>
                <w:b/>
                <w:sz w:val="20"/>
                <w:szCs w:val="20"/>
              </w:rPr>
              <w:t>Placebo</w:t>
            </w:r>
          </w:p>
        </w:tc>
      </w:tr>
      <w:tr w:rsidR="000C4F56" w:rsidTr="005F1A5E">
        <w:tc>
          <w:tcPr>
            <w:tcW w:w="2286" w:type="dxa"/>
          </w:tcPr>
          <w:p w:rsidR="000C4F56" w:rsidRDefault="000C4F56" w:rsidP="000E4958">
            <w:pPr>
              <w:spacing w:after="0" w:line="240" w:lineRule="auto"/>
              <w:rPr>
                <w:rFonts w:ascii="Arial" w:hAnsi="Arial" w:cs="Arial"/>
                <w:sz w:val="20"/>
                <w:szCs w:val="20"/>
              </w:rPr>
            </w:pPr>
            <w:r>
              <w:rPr>
                <w:rFonts w:ascii="Arial" w:hAnsi="Arial" w:cs="Arial"/>
                <w:sz w:val="20"/>
                <w:szCs w:val="20"/>
              </w:rPr>
              <w:t>Preferred Term</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(N=325); n (%)</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(N=105); n (%)</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(N=100); n (%)</w:t>
            </w:r>
          </w:p>
        </w:tc>
      </w:tr>
      <w:tr w:rsidR="000C4F56" w:rsidTr="005F1A5E">
        <w:tc>
          <w:tcPr>
            <w:tcW w:w="2286" w:type="dxa"/>
          </w:tcPr>
          <w:p w:rsidR="000C4F56" w:rsidRDefault="000C4F56" w:rsidP="000E4958">
            <w:pPr>
              <w:spacing w:after="0" w:line="240" w:lineRule="auto"/>
              <w:rPr>
                <w:rFonts w:ascii="Arial" w:hAnsi="Arial" w:cs="Arial"/>
                <w:sz w:val="20"/>
                <w:szCs w:val="20"/>
              </w:rPr>
            </w:pPr>
            <w:r>
              <w:rPr>
                <w:rFonts w:ascii="Arial" w:hAnsi="Arial" w:cs="Arial"/>
                <w:sz w:val="20"/>
                <w:szCs w:val="20"/>
              </w:rPr>
              <w:t>Constipation</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26</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7</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1</w:t>
            </w:r>
          </w:p>
        </w:tc>
      </w:tr>
      <w:tr w:rsidR="000C4F56" w:rsidTr="005F1A5E">
        <w:tc>
          <w:tcPr>
            <w:tcW w:w="2286" w:type="dxa"/>
          </w:tcPr>
          <w:p w:rsidR="000C4F56" w:rsidRDefault="000C4F56" w:rsidP="000E4958">
            <w:pPr>
              <w:spacing w:after="0" w:line="240" w:lineRule="auto"/>
              <w:rPr>
                <w:rFonts w:ascii="Arial" w:hAnsi="Arial" w:cs="Arial"/>
                <w:sz w:val="20"/>
                <w:szCs w:val="20"/>
              </w:rPr>
            </w:pPr>
            <w:r>
              <w:rPr>
                <w:rFonts w:ascii="Arial" w:hAnsi="Arial" w:cs="Arial"/>
                <w:sz w:val="20"/>
                <w:szCs w:val="20"/>
              </w:rPr>
              <w:t>Dizziness</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11</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5</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3</w:t>
            </w:r>
          </w:p>
        </w:tc>
      </w:tr>
      <w:tr w:rsidR="000C4F56" w:rsidTr="005F1A5E">
        <w:tc>
          <w:tcPr>
            <w:tcW w:w="2286" w:type="dxa"/>
          </w:tcPr>
          <w:p w:rsidR="000C4F56" w:rsidRDefault="000C4F56" w:rsidP="000E4958">
            <w:pPr>
              <w:spacing w:after="0" w:line="240" w:lineRule="auto"/>
              <w:rPr>
                <w:rFonts w:ascii="Arial" w:hAnsi="Arial" w:cs="Arial"/>
                <w:sz w:val="20"/>
                <w:szCs w:val="20"/>
              </w:rPr>
            </w:pPr>
            <w:r>
              <w:rPr>
                <w:rFonts w:ascii="Arial" w:hAnsi="Arial" w:cs="Arial"/>
                <w:sz w:val="20"/>
                <w:szCs w:val="20"/>
              </w:rPr>
              <w:t>Headache</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11</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4</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2</w:t>
            </w:r>
          </w:p>
        </w:tc>
      </w:tr>
      <w:tr w:rsidR="000C4F56" w:rsidTr="005F1A5E">
        <w:tc>
          <w:tcPr>
            <w:tcW w:w="2286" w:type="dxa"/>
          </w:tcPr>
          <w:p w:rsidR="000C4F56" w:rsidRDefault="000C4F56" w:rsidP="000E4958">
            <w:pPr>
              <w:spacing w:after="0" w:line="240" w:lineRule="auto"/>
              <w:rPr>
                <w:rFonts w:ascii="Arial" w:hAnsi="Arial" w:cs="Arial"/>
                <w:sz w:val="20"/>
                <w:szCs w:val="20"/>
              </w:rPr>
            </w:pPr>
            <w:r>
              <w:rPr>
                <w:rFonts w:ascii="Arial" w:hAnsi="Arial" w:cs="Arial"/>
                <w:sz w:val="20"/>
                <w:szCs w:val="20"/>
              </w:rPr>
              <w:t>Nausea</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18</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11</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9</w:t>
            </w:r>
          </w:p>
        </w:tc>
      </w:tr>
      <w:tr w:rsidR="000C4F56" w:rsidTr="005F1A5E">
        <w:tc>
          <w:tcPr>
            <w:tcW w:w="2286" w:type="dxa"/>
          </w:tcPr>
          <w:p w:rsidR="000C4F56" w:rsidRDefault="000C4F56" w:rsidP="000E4958">
            <w:pPr>
              <w:spacing w:after="0" w:line="240" w:lineRule="auto"/>
              <w:rPr>
                <w:rFonts w:ascii="Arial" w:hAnsi="Arial" w:cs="Arial"/>
                <w:sz w:val="20"/>
                <w:szCs w:val="20"/>
              </w:rPr>
            </w:pPr>
            <w:r>
              <w:rPr>
                <w:rFonts w:ascii="Arial" w:hAnsi="Arial" w:cs="Arial"/>
                <w:sz w:val="20"/>
                <w:szCs w:val="20"/>
              </w:rPr>
              <w:t>Pruritus</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7</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3</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1</w:t>
            </w:r>
          </w:p>
        </w:tc>
      </w:tr>
      <w:tr w:rsidR="000C4F56" w:rsidTr="005F1A5E">
        <w:tc>
          <w:tcPr>
            <w:tcW w:w="2286" w:type="dxa"/>
          </w:tcPr>
          <w:p w:rsidR="000C4F56" w:rsidRDefault="000C4F56" w:rsidP="000E4958">
            <w:pPr>
              <w:spacing w:after="0" w:line="240" w:lineRule="auto"/>
              <w:rPr>
                <w:rFonts w:ascii="Arial" w:hAnsi="Arial" w:cs="Arial"/>
                <w:sz w:val="20"/>
                <w:szCs w:val="20"/>
              </w:rPr>
            </w:pPr>
            <w:r>
              <w:rPr>
                <w:rFonts w:ascii="Arial" w:hAnsi="Arial" w:cs="Arial"/>
                <w:sz w:val="20"/>
                <w:szCs w:val="20"/>
              </w:rPr>
              <w:t>Somnolence</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19</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2</w:t>
            </w:r>
          </w:p>
        </w:tc>
        <w:tc>
          <w:tcPr>
            <w:tcW w:w="2394" w:type="dxa"/>
          </w:tcPr>
          <w:p w:rsidR="000C4F56" w:rsidRDefault="000C4F56" w:rsidP="000C4F56">
            <w:pPr>
              <w:spacing w:after="0" w:line="240" w:lineRule="auto"/>
              <w:jc w:val="center"/>
              <w:rPr>
                <w:rFonts w:ascii="Arial" w:hAnsi="Arial" w:cs="Arial"/>
                <w:sz w:val="20"/>
                <w:szCs w:val="20"/>
              </w:rPr>
            </w:pPr>
            <w:r>
              <w:rPr>
                <w:rFonts w:ascii="Arial" w:hAnsi="Arial" w:cs="Arial"/>
                <w:sz w:val="20"/>
                <w:szCs w:val="20"/>
              </w:rPr>
              <w:t>0</w:t>
            </w:r>
          </w:p>
        </w:tc>
      </w:tr>
    </w:tbl>
    <w:p w:rsidR="00956A76" w:rsidRDefault="00956A76" w:rsidP="000E4958">
      <w:pPr>
        <w:spacing w:after="0" w:line="240" w:lineRule="auto"/>
        <w:rPr>
          <w:rFonts w:ascii="Arial" w:hAnsi="Arial" w:cs="Arial"/>
          <w:sz w:val="20"/>
          <w:szCs w:val="20"/>
        </w:rPr>
      </w:pPr>
    </w:p>
    <w:p w:rsidR="00956A76" w:rsidRDefault="00FD1A37" w:rsidP="000E4958">
      <w:pPr>
        <w:spacing w:after="0" w:line="240" w:lineRule="auto"/>
        <w:rPr>
          <w:rFonts w:ascii="Arial" w:hAnsi="Arial" w:cs="Arial"/>
          <w:sz w:val="20"/>
          <w:szCs w:val="20"/>
        </w:rPr>
      </w:pPr>
      <w:r>
        <w:rPr>
          <w:rFonts w:ascii="Arial" w:hAnsi="Arial" w:cs="Arial"/>
          <w:b/>
          <w:sz w:val="20"/>
          <w:szCs w:val="20"/>
        </w:rPr>
        <w:t xml:space="preserve">Table </w:t>
      </w:r>
      <w:r w:rsidR="0062381D">
        <w:rPr>
          <w:rFonts w:ascii="Arial" w:hAnsi="Arial" w:cs="Arial"/>
          <w:b/>
          <w:sz w:val="20"/>
          <w:szCs w:val="20"/>
        </w:rPr>
        <w:t>8</w:t>
      </w:r>
      <w:r>
        <w:rPr>
          <w:rFonts w:ascii="Arial" w:hAnsi="Arial" w:cs="Arial"/>
          <w:sz w:val="20"/>
          <w:szCs w:val="20"/>
        </w:rPr>
        <w:t xml:space="preserve">. </w:t>
      </w:r>
      <w:r>
        <w:rPr>
          <w:rFonts w:ascii="Arial" w:hAnsi="Arial" w:cs="Arial"/>
          <w:b/>
          <w:sz w:val="20"/>
          <w:szCs w:val="20"/>
        </w:rPr>
        <w:t>Treatment-Emergent Adverse Reactions Reported by ≥ 5</w:t>
      </w:r>
      <w:r w:rsidRPr="00AD075A">
        <w:rPr>
          <w:rFonts w:ascii="Arial" w:hAnsi="Arial" w:cs="Arial"/>
          <w:b/>
          <w:sz w:val="20"/>
          <w:szCs w:val="20"/>
        </w:rPr>
        <w:t xml:space="preserve">% of Subjects </w:t>
      </w:r>
      <w:r>
        <w:rPr>
          <w:rFonts w:ascii="Arial" w:hAnsi="Arial" w:cs="Arial"/>
          <w:b/>
          <w:sz w:val="20"/>
          <w:szCs w:val="20"/>
        </w:rPr>
        <w:t>During the Open- Label Titration Period and Double-Blind Treatment Period by Preferred Term- 12-Week Study in Opioid-Experienced Subjects with Low Back Pain</w:t>
      </w:r>
      <w:r w:rsidR="00CC06E3">
        <w:rPr>
          <w:rFonts w:ascii="Arial" w:hAnsi="Arial" w:cs="Arial"/>
          <w:b/>
          <w:sz w:val="20"/>
          <w:szCs w:val="20"/>
          <w:vertAlign w:val="superscript"/>
        </w:rPr>
        <w:t>1</w:t>
      </w:r>
      <w:r>
        <w:rPr>
          <w:rFonts w:ascii="Arial" w:hAnsi="Arial" w:cs="Arial"/>
          <w:b/>
          <w:sz w:val="20"/>
          <w:szCs w:val="20"/>
        </w:rPr>
        <w:t xml:space="preserve"> </w:t>
      </w:r>
    </w:p>
    <w:tbl>
      <w:tblPr>
        <w:tblStyle w:val="TableGrid"/>
        <w:tblW w:w="0" w:type="auto"/>
        <w:tblInd w:w="108" w:type="dxa"/>
        <w:tblLook w:val="04A0" w:firstRow="1" w:lastRow="0" w:firstColumn="1" w:lastColumn="0" w:noHBand="0" w:noVBand="1"/>
      </w:tblPr>
      <w:tblGrid>
        <w:gridCol w:w="2286"/>
        <w:gridCol w:w="2394"/>
        <w:gridCol w:w="2394"/>
        <w:gridCol w:w="2394"/>
      </w:tblGrid>
      <w:tr w:rsidR="0062381D" w:rsidRPr="00FD1A37" w:rsidTr="005F1A5E">
        <w:tc>
          <w:tcPr>
            <w:tcW w:w="2286" w:type="dxa"/>
            <w:shd w:val="clear" w:color="auto" w:fill="BFBFBF" w:themeFill="background1" w:themeFillShade="BF"/>
          </w:tcPr>
          <w:p w:rsidR="0062381D" w:rsidRPr="00FD1A37" w:rsidRDefault="0062381D" w:rsidP="00CA4204">
            <w:pPr>
              <w:spacing w:after="0" w:line="240" w:lineRule="auto"/>
              <w:rPr>
                <w:rFonts w:ascii="Arial" w:hAnsi="Arial" w:cs="Arial"/>
                <w:b/>
                <w:sz w:val="20"/>
                <w:szCs w:val="20"/>
              </w:rPr>
            </w:pPr>
          </w:p>
        </w:tc>
        <w:tc>
          <w:tcPr>
            <w:tcW w:w="2394" w:type="dxa"/>
            <w:shd w:val="clear" w:color="auto" w:fill="BFBFBF" w:themeFill="background1" w:themeFillShade="BF"/>
          </w:tcPr>
          <w:p w:rsidR="0062381D" w:rsidRPr="00FD1A37" w:rsidRDefault="0062381D" w:rsidP="00CA4204">
            <w:pPr>
              <w:spacing w:after="0" w:line="240" w:lineRule="auto"/>
              <w:jc w:val="center"/>
              <w:rPr>
                <w:rFonts w:ascii="Arial" w:hAnsi="Arial" w:cs="Arial"/>
                <w:b/>
                <w:sz w:val="20"/>
                <w:szCs w:val="20"/>
              </w:rPr>
            </w:pPr>
            <w:r w:rsidRPr="00FD1A37">
              <w:rPr>
                <w:rFonts w:ascii="Arial" w:hAnsi="Arial" w:cs="Arial"/>
                <w:b/>
                <w:sz w:val="20"/>
                <w:szCs w:val="20"/>
              </w:rPr>
              <w:t>Open-Label Titration Period</w:t>
            </w:r>
          </w:p>
        </w:tc>
        <w:tc>
          <w:tcPr>
            <w:tcW w:w="4788" w:type="dxa"/>
            <w:gridSpan w:val="2"/>
            <w:shd w:val="clear" w:color="auto" w:fill="BFBFBF" w:themeFill="background1" w:themeFillShade="BF"/>
          </w:tcPr>
          <w:p w:rsidR="0062381D" w:rsidRPr="00FD1A37" w:rsidRDefault="0062381D" w:rsidP="0062381D">
            <w:pPr>
              <w:spacing w:after="0" w:line="240" w:lineRule="auto"/>
              <w:jc w:val="center"/>
              <w:rPr>
                <w:rFonts w:ascii="Arial" w:hAnsi="Arial" w:cs="Arial"/>
                <w:b/>
                <w:sz w:val="20"/>
                <w:szCs w:val="20"/>
              </w:rPr>
            </w:pPr>
            <w:r w:rsidRPr="00FD1A37">
              <w:rPr>
                <w:rFonts w:ascii="Arial" w:hAnsi="Arial" w:cs="Arial"/>
                <w:b/>
                <w:sz w:val="20"/>
                <w:szCs w:val="20"/>
              </w:rPr>
              <w:t>Double-Blind Treatment Period</w:t>
            </w:r>
          </w:p>
        </w:tc>
      </w:tr>
      <w:tr w:rsidR="00FD1A37" w:rsidRPr="00FD1A37" w:rsidTr="005F1A5E">
        <w:tc>
          <w:tcPr>
            <w:tcW w:w="2286" w:type="dxa"/>
            <w:shd w:val="clear" w:color="auto" w:fill="BFBFBF" w:themeFill="background1" w:themeFillShade="BF"/>
          </w:tcPr>
          <w:p w:rsidR="00FD1A37" w:rsidRPr="00FD1A37" w:rsidRDefault="00FD1A37" w:rsidP="00CA4204">
            <w:pPr>
              <w:spacing w:after="0" w:line="240" w:lineRule="auto"/>
              <w:rPr>
                <w:rFonts w:ascii="Arial" w:hAnsi="Arial" w:cs="Arial"/>
                <w:b/>
                <w:sz w:val="20"/>
                <w:szCs w:val="20"/>
              </w:rPr>
            </w:pPr>
          </w:p>
        </w:tc>
        <w:tc>
          <w:tcPr>
            <w:tcW w:w="2394" w:type="dxa"/>
            <w:shd w:val="clear" w:color="auto" w:fill="BFBFBF" w:themeFill="background1" w:themeFillShade="BF"/>
          </w:tcPr>
          <w:p w:rsidR="00FD1A37" w:rsidRPr="00FD1A37" w:rsidRDefault="00FD1A37" w:rsidP="00CA4204">
            <w:pPr>
              <w:spacing w:after="0" w:line="240" w:lineRule="auto"/>
              <w:jc w:val="center"/>
              <w:rPr>
                <w:rFonts w:ascii="Arial" w:hAnsi="Arial" w:cs="Arial"/>
                <w:b/>
                <w:sz w:val="20"/>
                <w:szCs w:val="20"/>
              </w:rPr>
            </w:pPr>
            <w:r w:rsidRPr="00FD1A37">
              <w:rPr>
                <w:rFonts w:ascii="Arial" w:hAnsi="Arial" w:cs="Arial"/>
                <w:b/>
                <w:sz w:val="20"/>
                <w:szCs w:val="20"/>
              </w:rPr>
              <w:t>Oxymorphone ER Tablets</w:t>
            </w:r>
          </w:p>
        </w:tc>
        <w:tc>
          <w:tcPr>
            <w:tcW w:w="2394" w:type="dxa"/>
            <w:shd w:val="clear" w:color="auto" w:fill="BFBFBF" w:themeFill="background1" w:themeFillShade="BF"/>
          </w:tcPr>
          <w:p w:rsidR="00FD1A37" w:rsidRPr="00FD1A37" w:rsidRDefault="00FD1A37" w:rsidP="00CA4204">
            <w:pPr>
              <w:spacing w:after="0" w:line="240" w:lineRule="auto"/>
              <w:jc w:val="center"/>
              <w:rPr>
                <w:rFonts w:ascii="Arial" w:hAnsi="Arial" w:cs="Arial"/>
                <w:b/>
                <w:sz w:val="20"/>
                <w:szCs w:val="20"/>
              </w:rPr>
            </w:pPr>
            <w:r w:rsidRPr="00FD1A37">
              <w:rPr>
                <w:rFonts w:ascii="Arial" w:hAnsi="Arial" w:cs="Arial"/>
                <w:b/>
                <w:sz w:val="20"/>
                <w:szCs w:val="20"/>
              </w:rPr>
              <w:t>Oxymorphone ER Tablets</w:t>
            </w:r>
          </w:p>
        </w:tc>
        <w:tc>
          <w:tcPr>
            <w:tcW w:w="2394" w:type="dxa"/>
            <w:shd w:val="clear" w:color="auto" w:fill="BFBFBF" w:themeFill="background1" w:themeFillShade="BF"/>
          </w:tcPr>
          <w:p w:rsidR="00FD1A37" w:rsidRPr="00FD1A37" w:rsidRDefault="00FD1A37" w:rsidP="00CA4204">
            <w:pPr>
              <w:spacing w:after="0" w:line="240" w:lineRule="auto"/>
              <w:jc w:val="center"/>
              <w:rPr>
                <w:rFonts w:ascii="Arial" w:hAnsi="Arial" w:cs="Arial"/>
                <w:b/>
                <w:sz w:val="20"/>
                <w:szCs w:val="20"/>
              </w:rPr>
            </w:pPr>
            <w:r w:rsidRPr="00FD1A37">
              <w:rPr>
                <w:rFonts w:ascii="Arial" w:hAnsi="Arial" w:cs="Arial"/>
                <w:b/>
                <w:sz w:val="20"/>
                <w:szCs w:val="20"/>
              </w:rPr>
              <w:t>Placebo</w:t>
            </w:r>
          </w:p>
        </w:tc>
      </w:tr>
      <w:tr w:rsidR="00FD1A37" w:rsidTr="005F1A5E">
        <w:tc>
          <w:tcPr>
            <w:tcW w:w="2286" w:type="dxa"/>
          </w:tcPr>
          <w:p w:rsidR="00FD1A37" w:rsidRDefault="00FD1A37" w:rsidP="00CA4204">
            <w:pPr>
              <w:spacing w:after="0" w:line="240" w:lineRule="auto"/>
              <w:rPr>
                <w:rFonts w:ascii="Arial" w:hAnsi="Arial" w:cs="Arial"/>
                <w:sz w:val="20"/>
                <w:szCs w:val="20"/>
              </w:rPr>
            </w:pPr>
            <w:r>
              <w:rPr>
                <w:rFonts w:ascii="Arial" w:hAnsi="Arial" w:cs="Arial"/>
                <w:sz w:val="20"/>
                <w:szCs w:val="20"/>
              </w:rPr>
              <w:t>Preferred Term</w:t>
            </w:r>
          </w:p>
        </w:tc>
        <w:tc>
          <w:tcPr>
            <w:tcW w:w="2394" w:type="dxa"/>
          </w:tcPr>
          <w:p w:rsidR="00FD1A37" w:rsidRDefault="00FD1A37" w:rsidP="00FD1A37">
            <w:pPr>
              <w:spacing w:after="0" w:line="240" w:lineRule="auto"/>
              <w:jc w:val="center"/>
              <w:rPr>
                <w:rFonts w:ascii="Arial" w:hAnsi="Arial" w:cs="Arial"/>
                <w:sz w:val="20"/>
                <w:szCs w:val="20"/>
              </w:rPr>
            </w:pPr>
            <w:r>
              <w:rPr>
                <w:rFonts w:ascii="Arial" w:hAnsi="Arial" w:cs="Arial"/>
                <w:sz w:val="20"/>
                <w:szCs w:val="20"/>
              </w:rPr>
              <w:t>(N=250); n (%)</w:t>
            </w:r>
          </w:p>
        </w:tc>
        <w:tc>
          <w:tcPr>
            <w:tcW w:w="2394" w:type="dxa"/>
          </w:tcPr>
          <w:p w:rsidR="00FD1A37" w:rsidRDefault="00FD1A37" w:rsidP="00FD1A37">
            <w:pPr>
              <w:spacing w:after="0" w:line="240" w:lineRule="auto"/>
              <w:jc w:val="center"/>
              <w:rPr>
                <w:rFonts w:ascii="Arial" w:hAnsi="Arial" w:cs="Arial"/>
                <w:sz w:val="20"/>
                <w:szCs w:val="20"/>
              </w:rPr>
            </w:pPr>
            <w:r>
              <w:rPr>
                <w:rFonts w:ascii="Arial" w:hAnsi="Arial" w:cs="Arial"/>
                <w:sz w:val="20"/>
                <w:szCs w:val="20"/>
              </w:rPr>
              <w:t>(N=70); n (%)</w:t>
            </w:r>
          </w:p>
        </w:tc>
        <w:tc>
          <w:tcPr>
            <w:tcW w:w="2394" w:type="dxa"/>
          </w:tcPr>
          <w:p w:rsidR="00FD1A37" w:rsidRDefault="00FD1A37" w:rsidP="00FD1A37">
            <w:pPr>
              <w:spacing w:after="0" w:line="240" w:lineRule="auto"/>
              <w:jc w:val="center"/>
              <w:rPr>
                <w:rFonts w:ascii="Arial" w:hAnsi="Arial" w:cs="Arial"/>
                <w:sz w:val="20"/>
                <w:szCs w:val="20"/>
              </w:rPr>
            </w:pPr>
            <w:r>
              <w:rPr>
                <w:rFonts w:ascii="Arial" w:hAnsi="Arial" w:cs="Arial"/>
                <w:sz w:val="20"/>
                <w:szCs w:val="20"/>
              </w:rPr>
              <w:t>(N=72); n (%)</w:t>
            </w:r>
          </w:p>
        </w:tc>
      </w:tr>
      <w:tr w:rsidR="00FD1A37" w:rsidTr="005F1A5E">
        <w:tc>
          <w:tcPr>
            <w:tcW w:w="2286" w:type="dxa"/>
          </w:tcPr>
          <w:p w:rsidR="00FD1A37" w:rsidRDefault="00FD1A37" w:rsidP="00CA4204">
            <w:pPr>
              <w:spacing w:after="0" w:line="240" w:lineRule="auto"/>
              <w:rPr>
                <w:rFonts w:ascii="Arial" w:hAnsi="Arial" w:cs="Arial"/>
                <w:sz w:val="20"/>
                <w:szCs w:val="20"/>
              </w:rPr>
            </w:pPr>
            <w:r>
              <w:rPr>
                <w:rFonts w:ascii="Arial" w:hAnsi="Arial" w:cs="Arial"/>
                <w:sz w:val="20"/>
                <w:szCs w:val="20"/>
              </w:rPr>
              <w:t>Constipation</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12</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6</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1</w:t>
            </w:r>
          </w:p>
        </w:tc>
      </w:tr>
      <w:tr w:rsidR="00FD1A37" w:rsidTr="005F1A5E">
        <w:tc>
          <w:tcPr>
            <w:tcW w:w="2286" w:type="dxa"/>
          </w:tcPr>
          <w:p w:rsidR="00FD1A37" w:rsidRDefault="00FD1A37" w:rsidP="00CA4204">
            <w:pPr>
              <w:spacing w:after="0" w:line="240" w:lineRule="auto"/>
              <w:rPr>
                <w:rFonts w:ascii="Arial" w:hAnsi="Arial" w:cs="Arial"/>
                <w:sz w:val="20"/>
                <w:szCs w:val="20"/>
              </w:rPr>
            </w:pPr>
            <w:r>
              <w:rPr>
                <w:rFonts w:ascii="Arial" w:hAnsi="Arial" w:cs="Arial"/>
                <w:sz w:val="20"/>
                <w:szCs w:val="20"/>
              </w:rPr>
              <w:t>Dizziness</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6</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0</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0</w:t>
            </w:r>
          </w:p>
        </w:tc>
      </w:tr>
      <w:tr w:rsidR="00FD1A37" w:rsidTr="005F1A5E">
        <w:tc>
          <w:tcPr>
            <w:tcW w:w="2286" w:type="dxa"/>
          </w:tcPr>
          <w:p w:rsidR="00FD1A37" w:rsidRDefault="00FD1A37" w:rsidP="00CA4204">
            <w:pPr>
              <w:spacing w:after="0" w:line="240" w:lineRule="auto"/>
              <w:rPr>
                <w:rFonts w:ascii="Arial" w:hAnsi="Arial" w:cs="Arial"/>
                <w:sz w:val="20"/>
                <w:szCs w:val="20"/>
              </w:rPr>
            </w:pPr>
            <w:r>
              <w:rPr>
                <w:rFonts w:ascii="Arial" w:hAnsi="Arial" w:cs="Arial"/>
                <w:sz w:val="20"/>
                <w:szCs w:val="20"/>
              </w:rPr>
              <w:t>Headache</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12</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3</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0</w:t>
            </w:r>
          </w:p>
        </w:tc>
      </w:tr>
      <w:tr w:rsidR="00FD1A37" w:rsidTr="005F1A5E">
        <w:tc>
          <w:tcPr>
            <w:tcW w:w="2286" w:type="dxa"/>
          </w:tcPr>
          <w:p w:rsidR="00FD1A37" w:rsidRDefault="00FD1A37" w:rsidP="00CA4204">
            <w:pPr>
              <w:spacing w:after="0" w:line="240" w:lineRule="auto"/>
              <w:rPr>
                <w:rFonts w:ascii="Arial" w:hAnsi="Arial" w:cs="Arial"/>
                <w:sz w:val="20"/>
                <w:szCs w:val="20"/>
              </w:rPr>
            </w:pPr>
            <w:r>
              <w:rPr>
                <w:rFonts w:ascii="Arial" w:hAnsi="Arial" w:cs="Arial"/>
                <w:sz w:val="20"/>
                <w:szCs w:val="20"/>
              </w:rPr>
              <w:t>Nausea</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20</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3</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1</w:t>
            </w:r>
          </w:p>
        </w:tc>
      </w:tr>
      <w:tr w:rsidR="00FD1A37" w:rsidTr="005F1A5E">
        <w:tc>
          <w:tcPr>
            <w:tcW w:w="2286" w:type="dxa"/>
          </w:tcPr>
          <w:p w:rsidR="00FD1A37" w:rsidRDefault="00FD1A37" w:rsidP="00CA4204">
            <w:pPr>
              <w:spacing w:after="0" w:line="240" w:lineRule="auto"/>
              <w:rPr>
                <w:rFonts w:ascii="Arial" w:hAnsi="Arial" w:cs="Arial"/>
                <w:sz w:val="20"/>
                <w:szCs w:val="20"/>
              </w:rPr>
            </w:pPr>
            <w:r>
              <w:rPr>
                <w:rFonts w:ascii="Arial" w:hAnsi="Arial" w:cs="Arial"/>
                <w:sz w:val="20"/>
                <w:szCs w:val="20"/>
              </w:rPr>
              <w:t>Pruritus</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8</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0</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0</w:t>
            </w:r>
          </w:p>
        </w:tc>
      </w:tr>
      <w:tr w:rsidR="00FD1A37" w:rsidTr="005F1A5E">
        <w:tc>
          <w:tcPr>
            <w:tcW w:w="2286" w:type="dxa"/>
          </w:tcPr>
          <w:p w:rsidR="00FD1A37" w:rsidRDefault="00FD1A37" w:rsidP="00CA4204">
            <w:pPr>
              <w:spacing w:after="0" w:line="240" w:lineRule="auto"/>
              <w:rPr>
                <w:rFonts w:ascii="Arial" w:hAnsi="Arial" w:cs="Arial"/>
                <w:sz w:val="20"/>
                <w:szCs w:val="20"/>
              </w:rPr>
            </w:pPr>
            <w:r>
              <w:rPr>
                <w:rFonts w:ascii="Arial" w:hAnsi="Arial" w:cs="Arial"/>
                <w:sz w:val="20"/>
                <w:szCs w:val="20"/>
              </w:rPr>
              <w:t>Somnolence</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11</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3</w:t>
            </w:r>
          </w:p>
        </w:tc>
        <w:tc>
          <w:tcPr>
            <w:tcW w:w="2394" w:type="dxa"/>
          </w:tcPr>
          <w:p w:rsidR="00FD1A37" w:rsidRDefault="00FD1A37" w:rsidP="00CA4204">
            <w:pPr>
              <w:spacing w:after="0" w:line="240" w:lineRule="auto"/>
              <w:jc w:val="center"/>
              <w:rPr>
                <w:rFonts w:ascii="Arial" w:hAnsi="Arial" w:cs="Arial"/>
                <w:sz w:val="20"/>
                <w:szCs w:val="20"/>
              </w:rPr>
            </w:pPr>
            <w:r>
              <w:rPr>
                <w:rFonts w:ascii="Arial" w:hAnsi="Arial" w:cs="Arial"/>
                <w:sz w:val="20"/>
                <w:szCs w:val="20"/>
              </w:rPr>
              <w:t>0</w:t>
            </w:r>
          </w:p>
        </w:tc>
      </w:tr>
    </w:tbl>
    <w:p w:rsidR="00956A76" w:rsidRDefault="00956A76" w:rsidP="000E4958">
      <w:pPr>
        <w:spacing w:after="0" w:line="240" w:lineRule="auto"/>
        <w:rPr>
          <w:rFonts w:ascii="Arial" w:hAnsi="Arial" w:cs="Arial"/>
          <w:sz w:val="20"/>
          <w:szCs w:val="20"/>
        </w:rPr>
      </w:pPr>
    </w:p>
    <w:p w:rsidR="00A25221" w:rsidRPr="00CC06E3" w:rsidRDefault="00A25221" w:rsidP="00A25221">
      <w:pPr>
        <w:spacing w:after="0" w:line="240" w:lineRule="auto"/>
        <w:rPr>
          <w:rFonts w:ascii="Arial" w:hAnsi="Arial" w:cs="Arial"/>
          <w:sz w:val="20"/>
          <w:szCs w:val="20"/>
          <w:vertAlign w:val="superscript"/>
        </w:rPr>
      </w:pPr>
      <w:r>
        <w:rPr>
          <w:rFonts w:ascii="Arial" w:hAnsi="Arial" w:cs="Arial"/>
          <w:sz w:val="20"/>
          <w:szCs w:val="20"/>
        </w:rPr>
        <w:t xml:space="preserve">The most common adverse drug reactions with </w:t>
      </w:r>
      <w:r w:rsidR="00FD1A37">
        <w:rPr>
          <w:rFonts w:ascii="Arial" w:hAnsi="Arial" w:cs="Arial"/>
          <w:sz w:val="20"/>
          <w:szCs w:val="20"/>
        </w:rPr>
        <w:t>Opana</w:t>
      </w:r>
      <w:r w:rsidR="00FD1A37">
        <w:rPr>
          <w:rFonts w:cs="Arial"/>
          <w:sz w:val="20"/>
          <w:szCs w:val="20"/>
        </w:rPr>
        <w:t>®</w:t>
      </w:r>
      <w:r w:rsidR="00FD1A37">
        <w:rPr>
          <w:rFonts w:ascii="Arial" w:hAnsi="Arial" w:cs="Arial"/>
          <w:sz w:val="20"/>
          <w:szCs w:val="20"/>
        </w:rPr>
        <w:t xml:space="preserve"> ER (</w:t>
      </w:r>
      <w:r>
        <w:rPr>
          <w:rFonts w:ascii="Arial" w:hAnsi="Arial" w:cs="Arial"/>
          <w:sz w:val="20"/>
          <w:szCs w:val="20"/>
        </w:rPr>
        <w:t>oxymorphone ER</w:t>
      </w:r>
      <w:r w:rsidR="00FD1A37">
        <w:rPr>
          <w:rFonts w:ascii="Arial" w:hAnsi="Arial" w:cs="Arial"/>
          <w:sz w:val="20"/>
          <w:szCs w:val="20"/>
        </w:rPr>
        <w:t>)</w:t>
      </w:r>
      <w:r>
        <w:rPr>
          <w:rFonts w:ascii="Arial" w:hAnsi="Arial" w:cs="Arial"/>
          <w:sz w:val="20"/>
          <w:szCs w:val="20"/>
        </w:rPr>
        <w:t xml:space="preserve"> in the clinical trials organized by Medical Dictionary for Regulatory Activities (</w:t>
      </w:r>
      <w:proofErr w:type="spellStart"/>
      <w:r>
        <w:rPr>
          <w:rFonts w:ascii="Arial" w:hAnsi="Arial" w:cs="Arial"/>
          <w:sz w:val="20"/>
          <w:szCs w:val="20"/>
        </w:rPr>
        <w:t>MedDRA’s</w:t>
      </w:r>
      <w:proofErr w:type="spellEnd"/>
      <w:r>
        <w:rPr>
          <w:rFonts w:ascii="Arial" w:hAnsi="Arial" w:cs="Arial"/>
          <w:sz w:val="20"/>
          <w:szCs w:val="20"/>
        </w:rPr>
        <w:t xml:space="preserve">) System Organ Class include: blurred vision, diarrhea, abdominal pain, dyspepsia, dry mouth, decreased appetite, fatigue, lethargy, dehydration, decreased weight, edema, insomnia, anxiety, confusion, restlessness, depression, dyspnea, flushing and hypertension. </w:t>
      </w:r>
      <w:r w:rsidR="00CC06E3">
        <w:rPr>
          <w:rFonts w:ascii="Arial" w:hAnsi="Arial" w:cs="Arial"/>
          <w:sz w:val="20"/>
          <w:szCs w:val="20"/>
          <w:vertAlign w:val="superscript"/>
        </w:rPr>
        <w:t>1</w:t>
      </w:r>
    </w:p>
    <w:p w:rsidR="00567499" w:rsidRDefault="00567499" w:rsidP="00567499">
      <w:pPr>
        <w:pStyle w:val="NoSpacing"/>
        <w:rPr>
          <w:rFonts w:ascii="Arial" w:hAnsi="Arial" w:cs="Arial"/>
          <w:sz w:val="20"/>
          <w:szCs w:val="20"/>
        </w:rPr>
      </w:pPr>
    </w:p>
    <w:p w:rsidR="00371DE3" w:rsidRDefault="00567499" w:rsidP="00371DE3">
      <w:pPr>
        <w:pStyle w:val="NoSpacing"/>
        <w:rPr>
          <w:rFonts w:ascii="Arial" w:hAnsi="Arial" w:cs="Arial"/>
          <w:i/>
          <w:sz w:val="20"/>
          <w:szCs w:val="20"/>
        </w:rPr>
      </w:pPr>
      <w:r w:rsidRPr="00B61C69">
        <w:rPr>
          <w:rFonts w:ascii="Arial" w:hAnsi="Arial" w:cs="Arial"/>
          <w:i/>
          <w:sz w:val="20"/>
          <w:szCs w:val="20"/>
        </w:rPr>
        <w:lastRenderedPageBreak/>
        <w:t>Postmarketing experience:</w:t>
      </w:r>
      <w:bookmarkStart w:id="7" w:name="p151097221366296841"/>
      <w:bookmarkEnd w:id="7"/>
    </w:p>
    <w:p w:rsidR="00371DE3" w:rsidRPr="00CC06E3" w:rsidRDefault="00371DE3" w:rsidP="00371DE3">
      <w:pPr>
        <w:pStyle w:val="NoSpacing"/>
        <w:rPr>
          <w:rFonts w:ascii="Arial" w:hAnsi="Arial" w:cs="Arial"/>
          <w:i/>
          <w:sz w:val="20"/>
          <w:szCs w:val="20"/>
          <w:vertAlign w:val="superscript"/>
        </w:rPr>
      </w:pPr>
      <w:r w:rsidRPr="00371DE3">
        <w:rPr>
          <w:rFonts w:ascii="Arial" w:eastAsia="Times New Roman" w:hAnsi="Arial" w:cs="Arial"/>
          <w:sz w:val="20"/>
          <w:szCs w:val="20"/>
        </w:rPr>
        <w:t xml:space="preserve">The following adverse reactions have been identified during post approval use of </w:t>
      </w:r>
      <w:r w:rsidRPr="000E4958">
        <w:rPr>
          <w:rFonts w:ascii="Arial" w:hAnsi="Arial" w:cs="Arial"/>
          <w:sz w:val="20"/>
          <w:szCs w:val="20"/>
        </w:rPr>
        <w:t>Opana</w:t>
      </w:r>
      <w:r w:rsidRPr="000E4958">
        <w:rPr>
          <w:rFonts w:ascii="Arial" w:hAnsi="Arial" w:cs="Arial"/>
          <w:sz w:val="20"/>
          <w:szCs w:val="20"/>
          <w:vertAlign w:val="superscript"/>
        </w:rPr>
        <w:t>®</w:t>
      </w:r>
      <w:r w:rsidRPr="000E4958">
        <w:rPr>
          <w:rFonts w:ascii="Arial" w:hAnsi="Arial" w:cs="Arial"/>
          <w:sz w:val="20"/>
          <w:szCs w:val="20"/>
        </w:rPr>
        <w:t xml:space="preserve"> ER (oxymo</w:t>
      </w:r>
      <w:r>
        <w:rPr>
          <w:rFonts w:ascii="Arial" w:hAnsi="Arial" w:cs="Arial"/>
          <w:sz w:val="20"/>
          <w:szCs w:val="20"/>
        </w:rPr>
        <w:t>rphone</w:t>
      </w:r>
      <w:r w:rsidRPr="000E4958">
        <w:rPr>
          <w:rFonts w:ascii="Arial" w:hAnsi="Arial" w:cs="Arial"/>
          <w:sz w:val="20"/>
          <w:szCs w:val="20"/>
        </w:rPr>
        <w:t xml:space="preserve"> ER)</w:t>
      </w:r>
      <w:r>
        <w:rPr>
          <w:rFonts w:ascii="Arial" w:eastAsia="Times New Roman" w:hAnsi="Arial" w:cs="Arial"/>
          <w:sz w:val="20"/>
          <w:szCs w:val="20"/>
        </w:rPr>
        <w:t xml:space="preserve">: amnesia, convulsion and </w:t>
      </w:r>
      <w:r w:rsidRPr="00371DE3">
        <w:rPr>
          <w:rFonts w:ascii="Arial" w:eastAsia="Times New Roman" w:hAnsi="Arial" w:cs="Arial"/>
          <w:sz w:val="20"/>
          <w:szCs w:val="20"/>
        </w:rPr>
        <w:t>memory impairment</w:t>
      </w:r>
      <w:r>
        <w:rPr>
          <w:rFonts w:ascii="Arial" w:eastAsia="Times New Roman" w:hAnsi="Arial" w:cs="Arial"/>
          <w:sz w:val="20"/>
          <w:szCs w:val="20"/>
        </w:rPr>
        <w:t>.</w:t>
      </w:r>
      <w:r w:rsidR="00CC06E3">
        <w:rPr>
          <w:rFonts w:ascii="Arial" w:eastAsia="Times New Roman" w:hAnsi="Arial" w:cs="Arial"/>
          <w:sz w:val="20"/>
          <w:szCs w:val="20"/>
          <w:vertAlign w:val="superscript"/>
        </w:rPr>
        <w:t>1</w:t>
      </w:r>
    </w:p>
    <w:p w:rsidR="00567499" w:rsidRDefault="00567499" w:rsidP="008B0860">
      <w:pPr>
        <w:pStyle w:val="NoSpacing"/>
      </w:pPr>
    </w:p>
    <w:p w:rsidR="00567499" w:rsidRPr="00CC06E3" w:rsidRDefault="00567499" w:rsidP="00567499">
      <w:pPr>
        <w:pStyle w:val="NoSpacing"/>
        <w:rPr>
          <w:rFonts w:ascii="Arial" w:hAnsi="Arial" w:cs="Arial"/>
          <w:b/>
          <w:sz w:val="20"/>
          <w:szCs w:val="20"/>
          <w:u w:val="single"/>
          <w:vertAlign w:val="superscript"/>
        </w:rPr>
      </w:pPr>
      <w:bookmarkStart w:id="8" w:name="DrugInteractions"/>
      <w:r w:rsidRPr="0044122B">
        <w:rPr>
          <w:rFonts w:ascii="Arial" w:hAnsi="Arial" w:cs="Arial"/>
          <w:b/>
          <w:sz w:val="20"/>
          <w:szCs w:val="20"/>
          <w:u w:val="single"/>
        </w:rPr>
        <w:t>Drug Interactions</w:t>
      </w:r>
      <w:bookmarkEnd w:id="8"/>
    </w:p>
    <w:p w:rsidR="00C7487D" w:rsidRDefault="00C7487D" w:rsidP="00567499">
      <w:pPr>
        <w:pStyle w:val="NoSpacing"/>
        <w:rPr>
          <w:rFonts w:ascii="Arial" w:hAnsi="Arial" w:cs="Arial"/>
          <w:sz w:val="20"/>
          <w:szCs w:val="20"/>
        </w:rPr>
      </w:pPr>
    </w:p>
    <w:p w:rsidR="00AD075A" w:rsidRPr="00CC06E3" w:rsidRDefault="00AD075A" w:rsidP="00AD075A">
      <w:pPr>
        <w:spacing w:after="0" w:line="240" w:lineRule="auto"/>
        <w:rPr>
          <w:rFonts w:ascii="Arial" w:hAnsi="Arial" w:cs="Arial"/>
          <w:b/>
          <w:sz w:val="20"/>
          <w:szCs w:val="20"/>
          <w:vertAlign w:val="superscript"/>
        </w:rPr>
      </w:pPr>
      <w:r w:rsidRPr="00AD075A">
        <w:rPr>
          <w:rFonts w:ascii="Arial" w:hAnsi="Arial" w:cs="Arial"/>
          <w:b/>
          <w:sz w:val="20"/>
          <w:szCs w:val="20"/>
        </w:rPr>
        <w:t xml:space="preserve">Table </w:t>
      </w:r>
      <w:r w:rsidR="00CC06E3">
        <w:rPr>
          <w:rFonts w:ascii="Arial" w:hAnsi="Arial" w:cs="Arial"/>
          <w:b/>
          <w:sz w:val="20"/>
          <w:szCs w:val="20"/>
        </w:rPr>
        <w:t>9</w:t>
      </w:r>
      <w:r w:rsidRPr="00AD075A">
        <w:rPr>
          <w:rFonts w:ascii="Arial" w:hAnsi="Arial" w:cs="Arial"/>
          <w:b/>
          <w:sz w:val="20"/>
          <w:szCs w:val="20"/>
        </w:rPr>
        <w:t>. Drug and Food Interactions</w:t>
      </w:r>
      <w:r w:rsidR="00CC06E3">
        <w:rPr>
          <w:rFonts w:ascii="Arial" w:hAnsi="Arial" w:cs="Arial"/>
          <w:b/>
          <w:sz w:val="20"/>
          <w:szCs w:val="20"/>
          <w:vertAlign w:val="superscript"/>
        </w:rPr>
        <w:t>1</w:t>
      </w:r>
      <w:proofErr w:type="gramStart"/>
      <w:r w:rsidR="00CC06E3">
        <w:rPr>
          <w:rFonts w:ascii="Arial" w:hAnsi="Arial" w:cs="Arial"/>
          <w:b/>
          <w:sz w:val="20"/>
          <w:szCs w:val="20"/>
          <w:vertAlign w:val="superscript"/>
        </w:rPr>
        <w:t>,2</w:t>
      </w:r>
      <w:proofErr w:type="gramEnd"/>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800"/>
        <w:gridCol w:w="5688"/>
      </w:tblGrid>
      <w:tr w:rsidR="00AD075A" w:rsidRPr="00AD075A" w:rsidTr="00C53D79">
        <w:tc>
          <w:tcPr>
            <w:tcW w:w="1980" w:type="dxa"/>
            <w:shd w:val="clear" w:color="auto" w:fill="C0C0C0"/>
          </w:tcPr>
          <w:p w:rsidR="00AD075A" w:rsidRPr="00AD075A" w:rsidRDefault="00AD075A" w:rsidP="00AD075A">
            <w:pPr>
              <w:spacing w:after="0" w:line="240" w:lineRule="auto"/>
              <w:jc w:val="center"/>
              <w:rPr>
                <w:rFonts w:ascii="Arial" w:hAnsi="Arial" w:cs="Arial"/>
                <w:b/>
                <w:sz w:val="20"/>
                <w:szCs w:val="20"/>
              </w:rPr>
            </w:pPr>
            <w:r w:rsidRPr="00AD075A">
              <w:rPr>
                <w:rFonts w:ascii="Arial" w:hAnsi="Arial" w:cs="Arial"/>
                <w:b/>
                <w:sz w:val="20"/>
                <w:szCs w:val="20"/>
              </w:rPr>
              <w:t>Interacting Medication or Disease</w:t>
            </w:r>
          </w:p>
        </w:tc>
        <w:tc>
          <w:tcPr>
            <w:tcW w:w="1800" w:type="dxa"/>
            <w:shd w:val="clear" w:color="auto" w:fill="C0C0C0"/>
          </w:tcPr>
          <w:p w:rsidR="00AD075A" w:rsidRPr="00AD075A" w:rsidRDefault="00AD075A" w:rsidP="00AD075A">
            <w:pPr>
              <w:spacing w:after="0" w:line="240" w:lineRule="auto"/>
              <w:jc w:val="center"/>
              <w:rPr>
                <w:rFonts w:ascii="Arial" w:hAnsi="Arial" w:cs="Arial"/>
                <w:b/>
                <w:sz w:val="20"/>
                <w:szCs w:val="20"/>
                <w:vertAlign w:val="superscript"/>
              </w:rPr>
            </w:pPr>
            <w:r w:rsidRPr="00AD075A">
              <w:rPr>
                <w:rFonts w:ascii="Arial" w:hAnsi="Arial" w:cs="Arial"/>
                <w:b/>
                <w:sz w:val="20"/>
                <w:szCs w:val="20"/>
              </w:rPr>
              <w:t>Interaction Severity Rating</w:t>
            </w:r>
            <w:r w:rsidRPr="00AD075A">
              <w:rPr>
                <w:rFonts w:ascii="Arial" w:hAnsi="Arial" w:cs="Arial"/>
                <w:b/>
                <w:sz w:val="20"/>
                <w:szCs w:val="20"/>
                <w:vertAlign w:val="superscript"/>
              </w:rPr>
              <w:t>*</w:t>
            </w:r>
          </w:p>
        </w:tc>
        <w:tc>
          <w:tcPr>
            <w:tcW w:w="5688" w:type="dxa"/>
            <w:shd w:val="clear" w:color="auto" w:fill="C0C0C0"/>
          </w:tcPr>
          <w:p w:rsidR="00AD075A" w:rsidRPr="00AD075A" w:rsidRDefault="00AD075A" w:rsidP="00AD075A">
            <w:pPr>
              <w:spacing w:after="0" w:line="240" w:lineRule="auto"/>
              <w:jc w:val="center"/>
              <w:rPr>
                <w:rFonts w:ascii="Arial" w:hAnsi="Arial" w:cs="Arial"/>
                <w:b/>
                <w:sz w:val="20"/>
                <w:szCs w:val="20"/>
              </w:rPr>
            </w:pPr>
            <w:r w:rsidRPr="00AD075A">
              <w:rPr>
                <w:rFonts w:ascii="Arial" w:hAnsi="Arial" w:cs="Arial"/>
                <w:b/>
                <w:sz w:val="20"/>
                <w:szCs w:val="20"/>
              </w:rPr>
              <w:t>Potential Result</w:t>
            </w:r>
          </w:p>
        </w:tc>
      </w:tr>
      <w:tr w:rsidR="006D5289" w:rsidRPr="006D5289" w:rsidTr="006D5289">
        <w:tc>
          <w:tcPr>
            <w:tcW w:w="1980" w:type="dxa"/>
            <w:shd w:val="clear" w:color="auto" w:fill="FFFFFF" w:themeFill="background1"/>
          </w:tcPr>
          <w:p w:rsidR="006D5289" w:rsidRPr="006D5289" w:rsidRDefault="006D5289" w:rsidP="006D5289">
            <w:pPr>
              <w:spacing w:after="0" w:line="240" w:lineRule="auto"/>
              <w:rPr>
                <w:rFonts w:ascii="Arial" w:hAnsi="Arial" w:cs="Arial"/>
                <w:sz w:val="20"/>
                <w:szCs w:val="20"/>
              </w:rPr>
            </w:pPr>
            <w:r w:rsidRPr="006D5289">
              <w:rPr>
                <w:rFonts w:ascii="Arial" w:hAnsi="Arial" w:cs="Arial"/>
                <w:sz w:val="20"/>
                <w:szCs w:val="20"/>
              </w:rPr>
              <w:t>Naltrexone</w:t>
            </w:r>
          </w:p>
        </w:tc>
        <w:tc>
          <w:tcPr>
            <w:tcW w:w="1800" w:type="dxa"/>
            <w:shd w:val="clear" w:color="auto" w:fill="FFFFFF" w:themeFill="background1"/>
          </w:tcPr>
          <w:p w:rsidR="006D5289" w:rsidRPr="006D5289" w:rsidRDefault="006D5289" w:rsidP="00AD075A">
            <w:pPr>
              <w:spacing w:after="0" w:line="240" w:lineRule="auto"/>
              <w:jc w:val="center"/>
              <w:rPr>
                <w:rFonts w:ascii="Arial" w:hAnsi="Arial" w:cs="Arial"/>
                <w:sz w:val="20"/>
                <w:szCs w:val="20"/>
              </w:rPr>
            </w:pPr>
            <w:r>
              <w:rPr>
                <w:rFonts w:ascii="Arial" w:hAnsi="Arial" w:cs="Arial"/>
                <w:sz w:val="20"/>
                <w:szCs w:val="20"/>
              </w:rPr>
              <w:t>Contraindicated</w:t>
            </w:r>
          </w:p>
        </w:tc>
        <w:tc>
          <w:tcPr>
            <w:tcW w:w="5688" w:type="dxa"/>
            <w:shd w:val="clear" w:color="auto" w:fill="FFFFFF" w:themeFill="background1"/>
          </w:tcPr>
          <w:p w:rsidR="006D5289" w:rsidRPr="006D5289" w:rsidRDefault="006D5289" w:rsidP="006D5289">
            <w:pPr>
              <w:spacing w:after="0" w:line="240" w:lineRule="auto"/>
              <w:rPr>
                <w:rFonts w:ascii="Arial" w:hAnsi="Arial" w:cs="Arial"/>
                <w:sz w:val="20"/>
                <w:szCs w:val="20"/>
              </w:rPr>
            </w:pPr>
            <w:r>
              <w:rPr>
                <w:rFonts w:ascii="Arial" w:hAnsi="Arial" w:cs="Arial"/>
                <w:sz w:val="20"/>
                <w:szCs w:val="20"/>
              </w:rPr>
              <w:t>Concurrent use of naltrexone with opioids may result in precipitation of opioid withdrawal symptoms due to decreased opioid effectiveness.</w:t>
            </w:r>
          </w:p>
        </w:tc>
      </w:tr>
      <w:tr w:rsidR="00AD075A" w:rsidRPr="00AD075A" w:rsidTr="00C53D79">
        <w:tc>
          <w:tcPr>
            <w:tcW w:w="1980"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Alcohol (ethanol)</w:t>
            </w:r>
          </w:p>
        </w:tc>
        <w:tc>
          <w:tcPr>
            <w:tcW w:w="1800" w:type="dxa"/>
          </w:tcPr>
          <w:p w:rsidR="00AD075A" w:rsidRPr="00AD075A" w:rsidRDefault="00AD075A" w:rsidP="00AD075A">
            <w:pPr>
              <w:spacing w:after="0" w:line="240" w:lineRule="auto"/>
              <w:jc w:val="center"/>
              <w:rPr>
                <w:rFonts w:ascii="Arial" w:hAnsi="Arial" w:cs="Arial"/>
                <w:sz w:val="20"/>
                <w:szCs w:val="20"/>
              </w:rPr>
            </w:pPr>
            <w:r w:rsidRPr="00AD075A">
              <w:rPr>
                <w:rFonts w:ascii="Arial" w:hAnsi="Arial" w:cs="Arial"/>
                <w:sz w:val="20"/>
                <w:szCs w:val="20"/>
              </w:rPr>
              <w:t>Major</w:t>
            </w:r>
          </w:p>
        </w:tc>
        <w:tc>
          <w:tcPr>
            <w:tcW w:w="5688" w:type="dxa"/>
          </w:tcPr>
          <w:p w:rsidR="00AD075A" w:rsidRPr="00AD075A" w:rsidRDefault="00AD075A" w:rsidP="00AD075A">
            <w:pPr>
              <w:spacing w:after="0" w:line="240" w:lineRule="auto"/>
              <w:rPr>
                <w:rFonts w:ascii="Arial" w:hAnsi="Arial" w:cs="Arial"/>
                <w:sz w:val="20"/>
                <w:szCs w:val="20"/>
                <w:shd w:val="clear" w:color="auto" w:fill="FFFFFF"/>
              </w:rPr>
            </w:pPr>
            <w:r w:rsidRPr="00AD075A">
              <w:rPr>
                <w:rFonts w:ascii="Arial" w:hAnsi="Arial" w:cs="Arial"/>
                <w:sz w:val="20"/>
                <w:szCs w:val="20"/>
              </w:rPr>
              <w:t>Concomitant use of alcohol may result in increased oxymorphone plasma levels and potentially fatal overdose of oxymorphone. Counsel patients not to consume alcoholic beverages or use prescription or non-prescription products containing alcohol.</w:t>
            </w:r>
            <w:r w:rsidRPr="00AD075A">
              <w:rPr>
                <w:rFonts w:ascii="Arial" w:hAnsi="Arial" w:cs="Arial"/>
                <w:sz w:val="20"/>
                <w:szCs w:val="20"/>
                <w:shd w:val="clear" w:color="auto" w:fill="FFFFFF"/>
              </w:rPr>
              <w:t xml:space="preserve"> </w:t>
            </w:r>
          </w:p>
        </w:tc>
      </w:tr>
      <w:tr w:rsidR="00AD075A" w:rsidRPr="00AD075A" w:rsidTr="00C53D79">
        <w:tc>
          <w:tcPr>
            <w:tcW w:w="1980"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Central nervous system (CNS) Depressants (e.g., sedatives, hypnotics, tranquilizers, general anesthetics, phenothiazines, other opioids, alcohol, etc.)</w:t>
            </w:r>
          </w:p>
        </w:tc>
        <w:tc>
          <w:tcPr>
            <w:tcW w:w="1800" w:type="dxa"/>
          </w:tcPr>
          <w:p w:rsidR="00AD075A" w:rsidRPr="00AD075A" w:rsidRDefault="00AD075A" w:rsidP="00AD075A">
            <w:pPr>
              <w:spacing w:after="0" w:line="240" w:lineRule="auto"/>
              <w:jc w:val="center"/>
              <w:rPr>
                <w:rFonts w:ascii="Arial" w:hAnsi="Arial" w:cs="Arial"/>
                <w:sz w:val="20"/>
                <w:szCs w:val="20"/>
              </w:rPr>
            </w:pPr>
            <w:r w:rsidRPr="00AD075A">
              <w:rPr>
                <w:rFonts w:ascii="Arial" w:hAnsi="Arial" w:cs="Arial"/>
                <w:sz w:val="20"/>
                <w:szCs w:val="20"/>
              </w:rPr>
              <w:t>Major</w:t>
            </w:r>
          </w:p>
        </w:tc>
        <w:tc>
          <w:tcPr>
            <w:tcW w:w="5688"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Caution should be used in patients concurrently taking other CNS depressants as they can increase the risk of respiratory depression, profound sedation, coma, and death. When used together, the dose of one or both agents should be reduced. Assess the duration of use of the CNS depressant and individual response, including the degree of tolerance that has developed to CNS depression. Start with Opana</w:t>
            </w:r>
            <w:r w:rsidRPr="00AD075A">
              <w:rPr>
                <w:rFonts w:ascii="Arial" w:hAnsi="Arial" w:cs="Arial"/>
                <w:sz w:val="20"/>
                <w:szCs w:val="20"/>
                <w:vertAlign w:val="superscript"/>
              </w:rPr>
              <w:t>®</w:t>
            </w:r>
            <w:r w:rsidR="00371DE3">
              <w:rPr>
                <w:rFonts w:ascii="Arial" w:hAnsi="Arial" w:cs="Arial"/>
                <w:sz w:val="20"/>
                <w:szCs w:val="20"/>
              </w:rPr>
              <w:t xml:space="preserve"> ER (oxymorphone</w:t>
            </w:r>
            <w:r w:rsidRPr="00AD075A">
              <w:rPr>
                <w:rFonts w:ascii="Arial" w:hAnsi="Arial" w:cs="Arial"/>
                <w:sz w:val="20"/>
                <w:szCs w:val="20"/>
              </w:rPr>
              <w:t xml:space="preserve"> ER) 5 mg every 12 hours, monitor closely, and consider using a lower dose of the concomitant CNS depressant. </w:t>
            </w:r>
          </w:p>
        </w:tc>
      </w:tr>
      <w:tr w:rsidR="00AD075A" w:rsidRPr="00AD075A" w:rsidTr="00C53D79">
        <w:tc>
          <w:tcPr>
            <w:tcW w:w="1980"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Mixed Agonist/Antagonist (pentazocine, nalbuphine, &amp; butorphanol) and</w:t>
            </w:r>
          </w:p>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Partial Agonist (e.g., buprenorphine) Opioid Analgesics</w:t>
            </w:r>
          </w:p>
        </w:tc>
        <w:tc>
          <w:tcPr>
            <w:tcW w:w="1800" w:type="dxa"/>
          </w:tcPr>
          <w:p w:rsidR="00AD075A" w:rsidRPr="00AD075A" w:rsidRDefault="00AD075A" w:rsidP="00AD075A">
            <w:pPr>
              <w:spacing w:after="0" w:line="240" w:lineRule="auto"/>
              <w:jc w:val="center"/>
              <w:rPr>
                <w:rFonts w:ascii="Arial" w:hAnsi="Arial" w:cs="Arial"/>
                <w:sz w:val="20"/>
                <w:szCs w:val="20"/>
              </w:rPr>
            </w:pPr>
            <w:r w:rsidRPr="00AD075A">
              <w:rPr>
                <w:rFonts w:ascii="Arial" w:hAnsi="Arial" w:cs="Arial"/>
                <w:sz w:val="20"/>
                <w:szCs w:val="20"/>
              </w:rPr>
              <w:t>Major</w:t>
            </w:r>
          </w:p>
        </w:tc>
        <w:tc>
          <w:tcPr>
            <w:tcW w:w="5688" w:type="dxa"/>
          </w:tcPr>
          <w:p w:rsidR="00AD075A" w:rsidRPr="00AD075A" w:rsidRDefault="00CC06E3" w:rsidP="00AD075A">
            <w:pPr>
              <w:spacing w:after="0" w:line="240" w:lineRule="auto"/>
              <w:rPr>
                <w:rFonts w:ascii="Arial" w:hAnsi="Arial" w:cs="Arial"/>
                <w:sz w:val="20"/>
                <w:szCs w:val="20"/>
              </w:rPr>
            </w:pPr>
            <w:r>
              <w:rPr>
                <w:rFonts w:ascii="Arial" w:hAnsi="Arial" w:cs="Arial"/>
                <w:sz w:val="20"/>
                <w:szCs w:val="20"/>
              </w:rPr>
              <w:t>Concomitant use of mixed agonist/antagonist with opioids or partial agonists m</w:t>
            </w:r>
            <w:r w:rsidR="00AD075A" w:rsidRPr="00AD075A">
              <w:rPr>
                <w:rFonts w:ascii="Arial" w:hAnsi="Arial" w:cs="Arial"/>
                <w:sz w:val="20"/>
                <w:szCs w:val="20"/>
              </w:rPr>
              <w:t xml:space="preserve">ay reduce the analgesic effect and/or may precipitate withdrawal symptoms. Avoid concomitant administration. </w:t>
            </w:r>
          </w:p>
        </w:tc>
      </w:tr>
      <w:tr w:rsidR="00AD075A" w:rsidRPr="00AD075A" w:rsidTr="00C53D79">
        <w:tc>
          <w:tcPr>
            <w:tcW w:w="1980"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Muscle Relaxants</w:t>
            </w:r>
          </w:p>
        </w:tc>
        <w:tc>
          <w:tcPr>
            <w:tcW w:w="1800" w:type="dxa"/>
          </w:tcPr>
          <w:p w:rsidR="00AD075A" w:rsidRPr="00AD075A" w:rsidRDefault="00AD075A" w:rsidP="00AD075A">
            <w:pPr>
              <w:spacing w:after="0" w:line="240" w:lineRule="auto"/>
              <w:jc w:val="center"/>
              <w:rPr>
                <w:rFonts w:ascii="Arial" w:hAnsi="Arial" w:cs="Arial"/>
                <w:sz w:val="20"/>
                <w:szCs w:val="20"/>
              </w:rPr>
            </w:pPr>
            <w:r w:rsidRPr="00AD075A">
              <w:rPr>
                <w:rFonts w:ascii="Arial" w:hAnsi="Arial" w:cs="Arial"/>
                <w:sz w:val="20"/>
                <w:szCs w:val="20"/>
              </w:rPr>
              <w:t>Major</w:t>
            </w:r>
          </w:p>
        </w:tc>
        <w:tc>
          <w:tcPr>
            <w:tcW w:w="5688"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Oxymorphone may result in enhanced neuromuscular blocking action of skeletal muscle relaxants and produce an increased degree of respiratory depression.</w:t>
            </w:r>
          </w:p>
        </w:tc>
      </w:tr>
      <w:tr w:rsidR="00AD075A" w:rsidRPr="00AD075A" w:rsidTr="00C53D79">
        <w:tc>
          <w:tcPr>
            <w:tcW w:w="1980"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Cimetidine</w:t>
            </w:r>
          </w:p>
        </w:tc>
        <w:tc>
          <w:tcPr>
            <w:tcW w:w="1800" w:type="dxa"/>
          </w:tcPr>
          <w:p w:rsidR="00AD075A" w:rsidRPr="00AD075A" w:rsidRDefault="00AD075A" w:rsidP="00AD075A">
            <w:pPr>
              <w:spacing w:after="0" w:line="240" w:lineRule="auto"/>
              <w:jc w:val="center"/>
              <w:rPr>
                <w:rFonts w:ascii="Arial" w:hAnsi="Arial" w:cs="Arial"/>
                <w:sz w:val="20"/>
                <w:szCs w:val="20"/>
              </w:rPr>
            </w:pPr>
            <w:r w:rsidRPr="00AD075A">
              <w:rPr>
                <w:rFonts w:ascii="Arial" w:hAnsi="Arial" w:cs="Arial"/>
                <w:sz w:val="20"/>
                <w:szCs w:val="20"/>
              </w:rPr>
              <w:t>Major</w:t>
            </w:r>
          </w:p>
        </w:tc>
        <w:tc>
          <w:tcPr>
            <w:tcW w:w="5688"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Cimetidine may potentiate opioid-induced respiratory depression.</w:t>
            </w:r>
          </w:p>
        </w:tc>
      </w:tr>
      <w:tr w:rsidR="00AD075A" w:rsidRPr="00AD075A" w:rsidTr="00C53D79">
        <w:tc>
          <w:tcPr>
            <w:tcW w:w="1980"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Anticholinergics</w:t>
            </w:r>
          </w:p>
        </w:tc>
        <w:tc>
          <w:tcPr>
            <w:tcW w:w="1800" w:type="dxa"/>
          </w:tcPr>
          <w:p w:rsidR="00AD075A" w:rsidRPr="00AD075A" w:rsidRDefault="00AD075A" w:rsidP="00AD075A">
            <w:pPr>
              <w:spacing w:after="0" w:line="240" w:lineRule="auto"/>
              <w:jc w:val="center"/>
              <w:rPr>
                <w:rFonts w:ascii="Arial" w:hAnsi="Arial" w:cs="Arial"/>
                <w:sz w:val="20"/>
                <w:szCs w:val="20"/>
              </w:rPr>
            </w:pPr>
            <w:r w:rsidRPr="00AD075A">
              <w:rPr>
                <w:rFonts w:ascii="Arial" w:hAnsi="Arial" w:cs="Arial"/>
                <w:sz w:val="20"/>
                <w:szCs w:val="20"/>
              </w:rPr>
              <w:t>Major</w:t>
            </w:r>
          </w:p>
        </w:tc>
        <w:tc>
          <w:tcPr>
            <w:tcW w:w="5688"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An increased risk of urinary retention and/or severe constipation, which may lead to paralytic ileus, may result from concurrent use with anticholinergics or other medications with anticholinergic activity.</w:t>
            </w:r>
          </w:p>
        </w:tc>
      </w:tr>
      <w:tr w:rsidR="006D5289" w:rsidRPr="00AD075A" w:rsidTr="00C53D79">
        <w:tc>
          <w:tcPr>
            <w:tcW w:w="1980" w:type="dxa"/>
          </w:tcPr>
          <w:p w:rsidR="006D5289" w:rsidRPr="00AD075A" w:rsidRDefault="006D5289" w:rsidP="00AD075A">
            <w:pPr>
              <w:spacing w:after="0" w:line="240" w:lineRule="auto"/>
              <w:rPr>
                <w:rFonts w:ascii="Arial" w:hAnsi="Arial" w:cs="Arial"/>
                <w:sz w:val="20"/>
                <w:szCs w:val="20"/>
              </w:rPr>
            </w:pPr>
            <w:r>
              <w:rPr>
                <w:rFonts w:ascii="Arial" w:hAnsi="Arial" w:cs="Arial"/>
                <w:sz w:val="20"/>
                <w:szCs w:val="20"/>
              </w:rPr>
              <w:t>Carbinoxamine</w:t>
            </w:r>
          </w:p>
        </w:tc>
        <w:tc>
          <w:tcPr>
            <w:tcW w:w="1800" w:type="dxa"/>
          </w:tcPr>
          <w:p w:rsidR="006D5289" w:rsidRPr="00AD075A" w:rsidRDefault="006D5289" w:rsidP="00AD075A">
            <w:pPr>
              <w:spacing w:after="0" w:line="240" w:lineRule="auto"/>
              <w:jc w:val="center"/>
              <w:rPr>
                <w:rFonts w:ascii="Arial" w:hAnsi="Arial" w:cs="Arial"/>
                <w:sz w:val="20"/>
                <w:szCs w:val="20"/>
              </w:rPr>
            </w:pPr>
            <w:r>
              <w:rPr>
                <w:rFonts w:ascii="Arial" w:hAnsi="Arial" w:cs="Arial"/>
                <w:sz w:val="20"/>
                <w:szCs w:val="20"/>
              </w:rPr>
              <w:t>Major</w:t>
            </w:r>
          </w:p>
        </w:tc>
        <w:tc>
          <w:tcPr>
            <w:tcW w:w="5688" w:type="dxa"/>
          </w:tcPr>
          <w:p w:rsidR="006D5289" w:rsidRPr="00AD075A" w:rsidRDefault="006D5289" w:rsidP="00AD075A">
            <w:pPr>
              <w:spacing w:after="0" w:line="240" w:lineRule="auto"/>
              <w:rPr>
                <w:rFonts w:ascii="Arial" w:hAnsi="Arial" w:cs="Arial"/>
                <w:sz w:val="20"/>
                <w:szCs w:val="20"/>
              </w:rPr>
            </w:pPr>
            <w:r>
              <w:rPr>
                <w:rFonts w:ascii="Arial" w:hAnsi="Arial" w:cs="Arial"/>
                <w:sz w:val="20"/>
                <w:szCs w:val="20"/>
              </w:rPr>
              <w:t>Concurrent use may result in increased risk of paralytic ileus, increased risk of respiratory depression as well as CNS depression.</w:t>
            </w:r>
          </w:p>
        </w:tc>
      </w:tr>
      <w:tr w:rsidR="00AD075A" w:rsidRPr="00AD075A" w:rsidTr="00C53D79">
        <w:tc>
          <w:tcPr>
            <w:tcW w:w="1980"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Meclizine</w:t>
            </w:r>
          </w:p>
        </w:tc>
        <w:tc>
          <w:tcPr>
            <w:tcW w:w="1800" w:type="dxa"/>
          </w:tcPr>
          <w:p w:rsidR="00AD075A" w:rsidRPr="00AD075A" w:rsidRDefault="00AD075A" w:rsidP="00AD075A">
            <w:pPr>
              <w:spacing w:after="0" w:line="240" w:lineRule="auto"/>
              <w:jc w:val="center"/>
              <w:rPr>
                <w:rFonts w:ascii="Arial" w:hAnsi="Arial" w:cs="Arial"/>
                <w:sz w:val="20"/>
                <w:szCs w:val="20"/>
              </w:rPr>
            </w:pPr>
            <w:r w:rsidRPr="00AD075A">
              <w:rPr>
                <w:rFonts w:ascii="Arial" w:hAnsi="Arial" w:cs="Arial"/>
                <w:sz w:val="20"/>
                <w:szCs w:val="20"/>
              </w:rPr>
              <w:t>Major</w:t>
            </w:r>
          </w:p>
        </w:tc>
        <w:tc>
          <w:tcPr>
            <w:tcW w:w="5688" w:type="dxa"/>
          </w:tcPr>
          <w:p w:rsidR="00AD075A" w:rsidRPr="00AD075A" w:rsidRDefault="006D5289" w:rsidP="00AD075A">
            <w:pPr>
              <w:spacing w:after="0" w:line="240" w:lineRule="auto"/>
              <w:rPr>
                <w:rFonts w:ascii="Arial" w:hAnsi="Arial" w:cs="Arial"/>
                <w:sz w:val="20"/>
                <w:szCs w:val="20"/>
              </w:rPr>
            </w:pPr>
            <w:r>
              <w:rPr>
                <w:rFonts w:ascii="Arial" w:hAnsi="Arial" w:cs="Arial"/>
                <w:sz w:val="20"/>
                <w:szCs w:val="20"/>
                <w:shd w:val="clear" w:color="auto" w:fill="FFFFFF"/>
              </w:rPr>
              <w:t>Concurrent use m</w:t>
            </w:r>
            <w:r w:rsidR="00AD075A" w:rsidRPr="00AD075A">
              <w:rPr>
                <w:rFonts w:ascii="Arial" w:hAnsi="Arial" w:cs="Arial"/>
                <w:sz w:val="20"/>
                <w:szCs w:val="20"/>
                <w:shd w:val="clear" w:color="auto" w:fill="FFFFFF"/>
              </w:rPr>
              <w:t>ay result in increased risk of paralytic ileus and increased risk of respiratory and CNS depression.</w:t>
            </w:r>
          </w:p>
        </w:tc>
      </w:tr>
      <w:tr w:rsidR="006D5289" w:rsidRPr="00AD075A" w:rsidTr="00C53D79">
        <w:tc>
          <w:tcPr>
            <w:tcW w:w="1980" w:type="dxa"/>
          </w:tcPr>
          <w:p w:rsidR="006D5289" w:rsidRPr="00AD075A" w:rsidRDefault="006D5289" w:rsidP="00AD075A">
            <w:pPr>
              <w:spacing w:after="0" w:line="240" w:lineRule="auto"/>
              <w:rPr>
                <w:rFonts w:ascii="Arial" w:hAnsi="Arial" w:cs="Arial"/>
                <w:sz w:val="20"/>
                <w:szCs w:val="20"/>
              </w:rPr>
            </w:pPr>
            <w:r>
              <w:rPr>
                <w:rFonts w:ascii="Arial" w:hAnsi="Arial" w:cs="Arial"/>
                <w:sz w:val="20"/>
                <w:szCs w:val="20"/>
              </w:rPr>
              <w:t>Loxapine</w:t>
            </w:r>
          </w:p>
        </w:tc>
        <w:tc>
          <w:tcPr>
            <w:tcW w:w="1800" w:type="dxa"/>
          </w:tcPr>
          <w:p w:rsidR="006D5289" w:rsidRPr="00AD075A" w:rsidRDefault="006D5289" w:rsidP="00AD075A">
            <w:pPr>
              <w:spacing w:after="0" w:line="240" w:lineRule="auto"/>
              <w:jc w:val="center"/>
              <w:rPr>
                <w:rFonts w:ascii="Arial" w:hAnsi="Arial" w:cs="Arial"/>
                <w:sz w:val="20"/>
                <w:szCs w:val="20"/>
              </w:rPr>
            </w:pPr>
            <w:r>
              <w:rPr>
                <w:rFonts w:ascii="Arial" w:hAnsi="Arial" w:cs="Arial"/>
                <w:sz w:val="20"/>
                <w:szCs w:val="20"/>
              </w:rPr>
              <w:t>Major</w:t>
            </w:r>
          </w:p>
        </w:tc>
        <w:tc>
          <w:tcPr>
            <w:tcW w:w="5688" w:type="dxa"/>
          </w:tcPr>
          <w:p w:rsidR="006D5289" w:rsidRPr="00AD075A" w:rsidRDefault="006D5289" w:rsidP="00AD075A">
            <w:pPr>
              <w:spacing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Concurrent use may </w:t>
            </w:r>
            <w:r>
              <w:rPr>
                <w:rFonts w:ascii="Arial" w:hAnsi="Arial" w:cs="Arial"/>
                <w:sz w:val="20"/>
                <w:szCs w:val="20"/>
              </w:rPr>
              <w:t xml:space="preserve">result in increased risk of paralytic ileus, increased risk of respiratory depression as well as CNS </w:t>
            </w:r>
            <w:r>
              <w:rPr>
                <w:rFonts w:ascii="Arial" w:hAnsi="Arial" w:cs="Arial"/>
                <w:sz w:val="20"/>
                <w:szCs w:val="20"/>
              </w:rPr>
              <w:lastRenderedPageBreak/>
              <w:t>depression.</w:t>
            </w:r>
          </w:p>
        </w:tc>
      </w:tr>
      <w:tr w:rsidR="00AD075A" w:rsidRPr="00AD075A" w:rsidTr="00C53D79">
        <w:tc>
          <w:tcPr>
            <w:tcW w:w="1980"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lastRenderedPageBreak/>
              <w:t>Ginseng</w:t>
            </w:r>
          </w:p>
        </w:tc>
        <w:tc>
          <w:tcPr>
            <w:tcW w:w="1800" w:type="dxa"/>
          </w:tcPr>
          <w:p w:rsidR="00AD075A" w:rsidRPr="00AD075A" w:rsidRDefault="00AD075A" w:rsidP="00AD075A">
            <w:pPr>
              <w:spacing w:after="0" w:line="240" w:lineRule="auto"/>
              <w:jc w:val="center"/>
              <w:rPr>
                <w:rFonts w:ascii="Arial" w:hAnsi="Arial" w:cs="Arial"/>
                <w:sz w:val="20"/>
                <w:szCs w:val="20"/>
              </w:rPr>
            </w:pPr>
            <w:r w:rsidRPr="00AD075A">
              <w:rPr>
                <w:rFonts w:ascii="Arial" w:hAnsi="Arial" w:cs="Arial"/>
                <w:sz w:val="20"/>
                <w:szCs w:val="20"/>
              </w:rPr>
              <w:t>Moderate</w:t>
            </w:r>
          </w:p>
        </w:tc>
        <w:tc>
          <w:tcPr>
            <w:tcW w:w="5688"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shd w:val="clear" w:color="auto" w:fill="FFFFFF"/>
              </w:rPr>
              <w:t>Concurrent use may result in reduced opioid analgesic effectiveness.</w:t>
            </w:r>
          </w:p>
        </w:tc>
      </w:tr>
      <w:tr w:rsidR="00AD075A" w:rsidRPr="00AD075A" w:rsidTr="00C53D79">
        <w:tc>
          <w:tcPr>
            <w:tcW w:w="1980"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Kava</w:t>
            </w:r>
          </w:p>
        </w:tc>
        <w:tc>
          <w:tcPr>
            <w:tcW w:w="1800" w:type="dxa"/>
          </w:tcPr>
          <w:p w:rsidR="00AD075A" w:rsidRPr="00AD075A" w:rsidRDefault="00AD075A" w:rsidP="00AD075A">
            <w:pPr>
              <w:spacing w:after="0" w:line="240" w:lineRule="auto"/>
              <w:jc w:val="center"/>
              <w:rPr>
                <w:rFonts w:ascii="Arial" w:hAnsi="Arial" w:cs="Arial"/>
                <w:sz w:val="20"/>
                <w:szCs w:val="20"/>
              </w:rPr>
            </w:pPr>
            <w:r w:rsidRPr="00AD075A">
              <w:rPr>
                <w:rFonts w:ascii="Arial" w:hAnsi="Arial" w:cs="Arial"/>
                <w:sz w:val="20"/>
                <w:szCs w:val="20"/>
              </w:rPr>
              <w:t>Moderate</w:t>
            </w:r>
          </w:p>
        </w:tc>
        <w:tc>
          <w:tcPr>
            <w:tcW w:w="5688" w:type="dxa"/>
          </w:tcPr>
          <w:p w:rsidR="00AD075A" w:rsidRPr="00AD075A" w:rsidRDefault="00AD075A" w:rsidP="00AD075A">
            <w:pPr>
              <w:spacing w:after="0" w:line="240" w:lineRule="auto"/>
              <w:rPr>
                <w:rFonts w:ascii="Arial" w:hAnsi="Arial" w:cs="Arial"/>
                <w:sz w:val="20"/>
                <w:szCs w:val="20"/>
                <w:shd w:val="clear" w:color="auto" w:fill="FFFFFF"/>
              </w:rPr>
            </w:pPr>
            <w:r w:rsidRPr="00AD075A">
              <w:rPr>
                <w:rFonts w:ascii="Arial" w:hAnsi="Arial" w:cs="Arial"/>
                <w:sz w:val="20"/>
                <w:szCs w:val="20"/>
                <w:shd w:val="clear" w:color="auto" w:fill="FFFFFF"/>
              </w:rPr>
              <w:t>Concurrent use may result in increased central nervous system depression.</w:t>
            </w:r>
          </w:p>
        </w:tc>
      </w:tr>
      <w:tr w:rsidR="00AD075A" w:rsidRPr="00AD075A" w:rsidTr="00C53D79">
        <w:tc>
          <w:tcPr>
            <w:tcW w:w="1980"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Valerian</w:t>
            </w:r>
          </w:p>
        </w:tc>
        <w:tc>
          <w:tcPr>
            <w:tcW w:w="1800" w:type="dxa"/>
          </w:tcPr>
          <w:p w:rsidR="00AD075A" w:rsidRPr="00AD075A" w:rsidRDefault="00AD075A" w:rsidP="00AD075A">
            <w:pPr>
              <w:spacing w:after="0" w:line="240" w:lineRule="auto"/>
              <w:jc w:val="center"/>
              <w:rPr>
                <w:rFonts w:ascii="Arial" w:hAnsi="Arial" w:cs="Arial"/>
                <w:sz w:val="20"/>
                <w:szCs w:val="20"/>
              </w:rPr>
            </w:pPr>
            <w:r w:rsidRPr="00AD075A">
              <w:rPr>
                <w:rFonts w:ascii="Arial" w:hAnsi="Arial" w:cs="Arial"/>
                <w:sz w:val="20"/>
                <w:szCs w:val="20"/>
              </w:rPr>
              <w:t>Moderate</w:t>
            </w:r>
          </w:p>
        </w:tc>
        <w:tc>
          <w:tcPr>
            <w:tcW w:w="5688" w:type="dxa"/>
          </w:tcPr>
          <w:p w:rsidR="00AD075A" w:rsidRPr="00AD075A" w:rsidRDefault="00AD075A" w:rsidP="00AD075A">
            <w:pPr>
              <w:spacing w:after="0" w:line="240" w:lineRule="auto"/>
              <w:rPr>
                <w:rFonts w:ascii="Arial" w:hAnsi="Arial" w:cs="Arial"/>
                <w:sz w:val="20"/>
                <w:szCs w:val="20"/>
                <w:shd w:val="clear" w:color="auto" w:fill="FFFFFF"/>
              </w:rPr>
            </w:pPr>
            <w:r w:rsidRPr="00AD075A">
              <w:rPr>
                <w:rFonts w:ascii="Arial" w:hAnsi="Arial" w:cs="Arial"/>
                <w:sz w:val="20"/>
                <w:szCs w:val="20"/>
                <w:shd w:val="clear" w:color="auto" w:fill="FFFFFF"/>
              </w:rPr>
              <w:t>Concurrent use may result in additive central nervous system depression.</w:t>
            </w:r>
          </w:p>
        </w:tc>
      </w:tr>
      <w:tr w:rsidR="00AD075A" w:rsidRPr="00AD075A" w:rsidTr="00C53D79">
        <w:tc>
          <w:tcPr>
            <w:tcW w:w="1980" w:type="dxa"/>
          </w:tcPr>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Food</w:t>
            </w:r>
          </w:p>
        </w:tc>
        <w:tc>
          <w:tcPr>
            <w:tcW w:w="1800" w:type="dxa"/>
          </w:tcPr>
          <w:p w:rsidR="00AD075A" w:rsidRPr="00AD075A" w:rsidRDefault="00AD075A" w:rsidP="00AD075A">
            <w:pPr>
              <w:spacing w:after="0" w:line="240" w:lineRule="auto"/>
              <w:jc w:val="center"/>
              <w:rPr>
                <w:rFonts w:ascii="Arial" w:hAnsi="Arial" w:cs="Arial"/>
                <w:sz w:val="20"/>
                <w:szCs w:val="20"/>
              </w:rPr>
            </w:pPr>
            <w:r w:rsidRPr="00AD075A">
              <w:rPr>
                <w:rFonts w:ascii="Arial" w:hAnsi="Arial" w:cs="Arial"/>
                <w:sz w:val="20"/>
                <w:szCs w:val="20"/>
              </w:rPr>
              <w:t>Moderate</w:t>
            </w:r>
          </w:p>
        </w:tc>
        <w:tc>
          <w:tcPr>
            <w:tcW w:w="5688" w:type="dxa"/>
          </w:tcPr>
          <w:p w:rsidR="00AD075A" w:rsidRPr="00AD075A" w:rsidRDefault="006D5289" w:rsidP="00AD075A">
            <w:pPr>
              <w:spacing w:after="0" w:line="240" w:lineRule="auto"/>
              <w:rPr>
                <w:rFonts w:ascii="Arial" w:hAnsi="Arial" w:cs="Arial"/>
                <w:sz w:val="20"/>
                <w:szCs w:val="20"/>
              </w:rPr>
            </w:pPr>
            <w:r>
              <w:rPr>
                <w:rFonts w:ascii="Arial" w:hAnsi="Arial" w:cs="Arial"/>
                <w:sz w:val="20"/>
                <w:szCs w:val="20"/>
                <w:shd w:val="clear" w:color="auto" w:fill="FFFFFF"/>
              </w:rPr>
              <w:t>Concurrent use m</w:t>
            </w:r>
            <w:r w:rsidR="00AD075A" w:rsidRPr="00AD075A">
              <w:rPr>
                <w:rFonts w:ascii="Arial" w:hAnsi="Arial" w:cs="Arial"/>
                <w:sz w:val="20"/>
                <w:szCs w:val="20"/>
                <w:shd w:val="clear" w:color="auto" w:fill="FFFFFF"/>
              </w:rPr>
              <w:t>ay result in increased oxymorphone exposure and plasma concentrations.</w:t>
            </w:r>
          </w:p>
        </w:tc>
      </w:tr>
    </w:tbl>
    <w:p w:rsidR="00AD075A" w:rsidRPr="00AD075A" w:rsidRDefault="00AD075A" w:rsidP="00AD075A">
      <w:pPr>
        <w:spacing w:after="0" w:line="240" w:lineRule="auto"/>
        <w:rPr>
          <w:rFonts w:ascii="Arial" w:hAnsi="Arial" w:cs="Arial"/>
          <w:sz w:val="16"/>
          <w:szCs w:val="16"/>
        </w:rPr>
      </w:pPr>
      <w:r w:rsidRPr="00AD075A">
        <w:rPr>
          <w:rFonts w:ascii="Arial" w:hAnsi="Arial" w:cs="Arial"/>
          <w:sz w:val="18"/>
          <w:szCs w:val="18"/>
        </w:rPr>
        <w:t>*</w:t>
      </w:r>
      <w:r w:rsidRPr="00AD075A">
        <w:rPr>
          <w:rFonts w:ascii="Arial" w:hAnsi="Arial" w:cs="Arial"/>
          <w:sz w:val="16"/>
          <w:szCs w:val="16"/>
        </w:rPr>
        <w:t>Severity rating per Micromedex</w:t>
      </w:r>
    </w:p>
    <w:p w:rsidR="00F84C8C" w:rsidRDefault="00F84C8C" w:rsidP="00AD075A">
      <w:pPr>
        <w:spacing w:after="0" w:line="240" w:lineRule="auto"/>
        <w:rPr>
          <w:rFonts w:ascii="Arial" w:hAnsi="Arial" w:cs="Arial"/>
          <w:b/>
          <w:sz w:val="20"/>
          <w:szCs w:val="20"/>
          <w:u w:val="single"/>
        </w:rPr>
      </w:pPr>
    </w:p>
    <w:p w:rsidR="00AD075A" w:rsidRPr="00AD075A" w:rsidRDefault="00AD075A" w:rsidP="00AD075A">
      <w:pPr>
        <w:spacing w:after="0" w:line="240" w:lineRule="auto"/>
        <w:rPr>
          <w:rFonts w:ascii="Arial" w:hAnsi="Arial" w:cs="Arial"/>
          <w:sz w:val="20"/>
          <w:szCs w:val="20"/>
          <w:vertAlign w:val="superscript"/>
        </w:rPr>
      </w:pPr>
      <w:r w:rsidRPr="00AD075A">
        <w:rPr>
          <w:rFonts w:ascii="Arial" w:hAnsi="Arial" w:cs="Arial"/>
          <w:b/>
          <w:sz w:val="20"/>
          <w:szCs w:val="20"/>
          <w:u w:val="single"/>
        </w:rPr>
        <w:t>Patient Monitoring Guidelines</w:t>
      </w:r>
      <w:r w:rsidR="00CC06E3">
        <w:rPr>
          <w:rFonts w:ascii="Arial" w:hAnsi="Arial" w:cs="Arial"/>
          <w:b/>
          <w:sz w:val="20"/>
          <w:szCs w:val="20"/>
          <w:vertAlign w:val="superscript"/>
        </w:rPr>
        <w:t>1</w:t>
      </w:r>
      <w:proofErr w:type="gramStart"/>
      <w:r w:rsidR="00CC06E3">
        <w:rPr>
          <w:rFonts w:ascii="Arial" w:hAnsi="Arial" w:cs="Arial"/>
          <w:b/>
          <w:sz w:val="20"/>
          <w:szCs w:val="20"/>
          <w:vertAlign w:val="superscript"/>
        </w:rPr>
        <w:t>,2</w:t>
      </w:r>
      <w:proofErr w:type="gramEnd"/>
    </w:p>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 xml:space="preserve">Assess each patient's risk for opioid addiction, abuse, or misuse prior to initiating therapy and monitor all patients for the development of these behaviors or conditions. “Drug seeking” behaviors should also be monitored to help identify these potential concerns. </w:t>
      </w:r>
    </w:p>
    <w:p w:rsidR="00AD075A" w:rsidRPr="00AD075A" w:rsidRDefault="00AD075A" w:rsidP="00AD075A">
      <w:pPr>
        <w:spacing w:after="0" w:line="240" w:lineRule="auto"/>
        <w:rPr>
          <w:rFonts w:ascii="Arial" w:hAnsi="Arial" w:cs="Arial"/>
          <w:sz w:val="20"/>
          <w:szCs w:val="20"/>
        </w:rPr>
      </w:pPr>
    </w:p>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Continually re-evaluate patients to assess the maintenance of pain control and the development of adverse reactions. Frequent communication is important among the prescriber, other members of the healthcare team, the patient, and the caregiver/family during periods of changing analgesic requirements, including initial titration. During chronic therapy, periodically reassess the continued need for opioid analgesics.</w:t>
      </w:r>
    </w:p>
    <w:p w:rsidR="00AD075A" w:rsidRPr="00AD075A" w:rsidRDefault="00AD075A" w:rsidP="00AD075A">
      <w:pPr>
        <w:spacing w:after="0" w:line="240" w:lineRule="auto"/>
        <w:rPr>
          <w:rFonts w:ascii="Arial" w:hAnsi="Arial" w:cs="Arial"/>
          <w:sz w:val="20"/>
          <w:szCs w:val="20"/>
        </w:rPr>
      </w:pPr>
    </w:p>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 xml:space="preserve">Continuously monitor patients for new or worsening adverse events or changes in medication efficacy, particularly with changes in drug doses and/or frequency. Closely monitor patients when there is the addition or elimination of other agents that may alter the efficacy or adverse event profile of the interacting agent(s). Individuals with renal and/or hepatic impairment as well as the elderly should have initial doses adjusted to account for impaired ability to metabolize and eliminate oxymorphone and its metabolites. These individuals should be closely monitored as there is the increased risk of adverse events, particularly with changes in the underlying disease impairment and/or dose adjustments.  </w:t>
      </w:r>
    </w:p>
    <w:p w:rsidR="00E3701F" w:rsidRDefault="00E3701F" w:rsidP="00567499">
      <w:pPr>
        <w:pStyle w:val="NoSpacing"/>
        <w:rPr>
          <w:rFonts w:ascii="Arial" w:hAnsi="Arial" w:cs="Arial"/>
          <w:b/>
          <w:sz w:val="20"/>
          <w:szCs w:val="20"/>
          <w:u w:val="single"/>
        </w:rPr>
      </w:pPr>
    </w:p>
    <w:p w:rsidR="00956A76" w:rsidRPr="00956A76" w:rsidRDefault="00956A76" w:rsidP="00956A76">
      <w:pPr>
        <w:spacing w:after="0" w:line="240" w:lineRule="auto"/>
        <w:rPr>
          <w:rFonts w:ascii="Arial" w:hAnsi="Arial" w:cs="Arial"/>
          <w:sz w:val="20"/>
          <w:szCs w:val="20"/>
        </w:rPr>
      </w:pPr>
      <w:r w:rsidRPr="00956A76">
        <w:rPr>
          <w:rFonts w:ascii="Arial" w:hAnsi="Arial" w:cs="Arial"/>
          <w:sz w:val="20"/>
          <w:szCs w:val="20"/>
        </w:rPr>
        <w:t>The following signs and symptoms should be monitored during therapy with opioids:</w:t>
      </w:r>
    </w:p>
    <w:p w:rsidR="00956A76" w:rsidRPr="00956A76" w:rsidRDefault="00956A76" w:rsidP="00956A76">
      <w:pPr>
        <w:numPr>
          <w:ilvl w:val="0"/>
          <w:numId w:val="14"/>
        </w:numPr>
        <w:spacing w:after="0" w:line="240" w:lineRule="auto"/>
        <w:rPr>
          <w:rFonts w:ascii="Arial" w:eastAsia="Times New Roman" w:hAnsi="Arial" w:cs="Arial"/>
          <w:sz w:val="20"/>
          <w:szCs w:val="20"/>
        </w:rPr>
      </w:pPr>
      <w:r w:rsidRPr="00956A76">
        <w:rPr>
          <w:rFonts w:ascii="Arial" w:eastAsia="Times New Roman" w:hAnsi="Arial" w:cs="Arial"/>
          <w:sz w:val="20"/>
          <w:szCs w:val="20"/>
        </w:rPr>
        <w:t xml:space="preserve">respiratory depression and sedation; following treatment initiation and after dose increases; and particularly in high risk patient (elderly, cachectic, and debilitated patients and those with preexisting respiratory depression or otherwise significantly reduced respiratory reserve) </w:t>
      </w:r>
    </w:p>
    <w:p w:rsidR="00956A76" w:rsidRPr="00956A76" w:rsidRDefault="00956A76" w:rsidP="00956A76">
      <w:pPr>
        <w:numPr>
          <w:ilvl w:val="0"/>
          <w:numId w:val="14"/>
        </w:numPr>
        <w:spacing w:after="0" w:line="240" w:lineRule="auto"/>
        <w:rPr>
          <w:rFonts w:ascii="Arial" w:eastAsia="Times New Roman" w:hAnsi="Arial" w:cs="Arial"/>
          <w:sz w:val="20"/>
          <w:szCs w:val="20"/>
        </w:rPr>
      </w:pPr>
      <w:r w:rsidRPr="00956A76">
        <w:rPr>
          <w:rFonts w:ascii="Arial" w:eastAsia="Times New Roman" w:hAnsi="Arial" w:cs="Arial"/>
          <w:sz w:val="20"/>
          <w:szCs w:val="20"/>
        </w:rPr>
        <w:t>exacer</w:t>
      </w:r>
      <w:r>
        <w:rPr>
          <w:rFonts w:ascii="Arial" w:eastAsia="Times New Roman" w:hAnsi="Arial" w:cs="Arial"/>
          <w:sz w:val="20"/>
          <w:szCs w:val="20"/>
        </w:rPr>
        <w:t>bation of biliary tract disease, including acute pancreatitis, in patients with a medical history of these disorders</w:t>
      </w:r>
    </w:p>
    <w:p w:rsidR="00956A76" w:rsidRPr="00956A76" w:rsidRDefault="00956A76" w:rsidP="00956A76">
      <w:pPr>
        <w:numPr>
          <w:ilvl w:val="0"/>
          <w:numId w:val="14"/>
        </w:numPr>
        <w:spacing w:after="0" w:line="240" w:lineRule="auto"/>
        <w:rPr>
          <w:rFonts w:ascii="Arial" w:eastAsia="Times New Roman" w:hAnsi="Arial" w:cs="Arial"/>
          <w:sz w:val="20"/>
          <w:szCs w:val="20"/>
        </w:rPr>
      </w:pPr>
      <w:r w:rsidRPr="00956A76">
        <w:rPr>
          <w:rFonts w:ascii="Arial" w:eastAsia="Times New Roman" w:hAnsi="Arial" w:cs="Arial"/>
          <w:sz w:val="20"/>
          <w:szCs w:val="20"/>
        </w:rPr>
        <w:t xml:space="preserve">hypotension; in ambulatory patients; on initiation and with dose titration; especially when ability to maintain blood pressure is compromised </w:t>
      </w:r>
    </w:p>
    <w:p w:rsidR="00956A76" w:rsidRDefault="00956A76" w:rsidP="00956A76">
      <w:pPr>
        <w:numPr>
          <w:ilvl w:val="0"/>
          <w:numId w:val="14"/>
        </w:numPr>
        <w:spacing w:after="0" w:line="240" w:lineRule="auto"/>
        <w:rPr>
          <w:rFonts w:ascii="Arial" w:eastAsia="Times New Roman" w:hAnsi="Arial" w:cs="Arial"/>
          <w:sz w:val="20"/>
          <w:szCs w:val="20"/>
        </w:rPr>
      </w:pPr>
      <w:r w:rsidRPr="00956A76">
        <w:rPr>
          <w:rFonts w:ascii="Arial" w:eastAsia="Times New Roman" w:hAnsi="Arial" w:cs="Arial"/>
          <w:sz w:val="20"/>
          <w:szCs w:val="20"/>
        </w:rPr>
        <w:t>worsened seizure control; in patients with a history of seizure disorders</w:t>
      </w:r>
    </w:p>
    <w:p w:rsidR="006F246D" w:rsidRDefault="00956A76" w:rsidP="006F246D">
      <w:pPr>
        <w:pStyle w:val="NoSpacing"/>
        <w:ind w:left="360"/>
        <w:rPr>
          <w:rFonts w:ascii="Arial" w:hAnsi="Arial" w:cs="Arial"/>
          <w:b/>
          <w:sz w:val="20"/>
          <w:szCs w:val="20"/>
          <w:u w:val="single"/>
        </w:rPr>
      </w:pPr>
      <w:r>
        <w:rPr>
          <w:rFonts w:ascii="Arial" w:eastAsia="Times New Roman" w:hAnsi="Arial" w:cs="Arial"/>
          <w:sz w:val="20"/>
          <w:szCs w:val="20"/>
        </w:rPr>
        <w:t>CNS depression</w:t>
      </w:r>
      <w:bookmarkStart w:id="9" w:name="ContraindicationsandWarningsPrecautions"/>
      <w:bookmarkEnd w:id="9"/>
      <w:r w:rsidR="006F246D" w:rsidRPr="006F246D">
        <w:rPr>
          <w:rFonts w:ascii="Arial" w:hAnsi="Arial" w:cs="Arial"/>
          <w:b/>
          <w:sz w:val="20"/>
          <w:szCs w:val="20"/>
          <w:u w:val="single"/>
        </w:rPr>
        <w:t xml:space="preserve"> </w:t>
      </w:r>
    </w:p>
    <w:p w:rsidR="006F246D" w:rsidRDefault="006F246D" w:rsidP="006F246D">
      <w:pPr>
        <w:pStyle w:val="NoSpacing"/>
        <w:rPr>
          <w:rFonts w:ascii="Arial" w:hAnsi="Arial" w:cs="Arial"/>
          <w:b/>
          <w:sz w:val="20"/>
          <w:szCs w:val="20"/>
          <w:u w:val="single"/>
        </w:rPr>
      </w:pPr>
    </w:p>
    <w:p w:rsidR="006F246D" w:rsidRDefault="006F246D" w:rsidP="006F246D">
      <w:pPr>
        <w:pStyle w:val="NoSpacing"/>
        <w:rPr>
          <w:rFonts w:ascii="Arial" w:hAnsi="Arial" w:cs="Arial"/>
          <w:b/>
          <w:sz w:val="20"/>
          <w:szCs w:val="20"/>
          <w:u w:val="single"/>
        </w:rPr>
      </w:pPr>
      <w:r w:rsidRPr="0044122B">
        <w:rPr>
          <w:rFonts w:ascii="Arial" w:hAnsi="Arial" w:cs="Arial"/>
          <w:b/>
          <w:sz w:val="20"/>
          <w:szCs w:val="20"/>
          <w:u w:val="single"/>
        </w:rPr>
        <w:t>References</w:t>
      </w:r>
    </w:p>
    <w:p w:rsidR="006F246D" w:rsidRPr="00CC06E3" w:rsidRDefault="006F246D" w:rsidP="006F246D">
      <w:pPr>
        <w:pStyle w:val="ListParagraph"/>
        <w:numPr>
          <w:ilvl w:val="0"/>
          <w:numId w:val="4"/>
        </w:numPr>
        <w:outlineLvl w:val="0"/>
        <w:rPr>
          <w:rFonts w:ascii="Arial" w:hAnsi="Arial" w:cs="Arial"/>
          <w:sz w:val="20"/>
          <w:szCs w:val="20"/>
        </w:rPr>
      </w:pPr>
      <w:r w:rsidRPr="00CC06E3">
        <w:rPr>
          <w:rFonts w:ascii="Arial" w:hAnsi="Arial" w:cs="Arial"/>
          <w:sz w:val="20"/>
          <w:szCs w:val="20"/>
        </w:rPr>
        <w:t>Opana</w:t>
      </w:r>
      <w:r w:rsidRPr="00CC06E3">
        <w:rPr>
          <w:rFonts w:ascii="Arial" w:hAnsi="Arial" w:cs="Arial"/>
          <w:sz w:val="20"/>
          <w:szCs w:val="20"/>
          <w:vertAlign w:val="superscript"/>
        </w:rPr>
        <w:t>®</w:t>
      </w:r>
      <w:r w:rsidRPr="00CC06E3">
        <w:rPr>
          <w:rFonts w:ascii="Arial" w:hAnsi="Arial" w:cs="Arial"/>
          <w:sz w:val="20"/>
          <w:szCs w:val="20"/>
        </w:rPr>
        <w:t xml:space="preserve"> ER [package insert]. Malvern (PA): Endo Pharmaceuticals Inc.; 2014 Apr.</w:t>
      </w:r>
    </w:p>
    <w:p w:rsidR="006F246D" w:rsidRPr="00CC06E3" w:rsidRDefault="006F246D" w:rsidP="006F246D">
      <w:pPr>
        <w:numPr>
          <w:ilvl w:val="0"/>
          <w:numId w:val="4"/>
        </w:numPr>
        <w:spacing w:after="0" w:line="240" w:lineRule="auto"/>
        <w:rPr>
          <w:rFonts w:ascii="Arial" w:hAnsi="Arial" w:cs="Arial"/>
          <w:bCs/>
          <w:sz w:val="20"/>
          <w:szCs w:val="20"/>
        </w:rPr>
      </w:pPr>
      <w:r w:rsidRPr="00CC06E3">
        <w:rPr>
          <w:rFonts w:ascii="Arial" w:hAnsi="Arial" w:cs="Arial"/>
          <w:bCs/>
          <w:sz w:val="20"/>
          <w:szCs w:val="20"/>
        </w:rPr>
        <w:t>Micromedex</w:t>
      </w:r>
      <w:r w:rsidRPr="00CC06E3">
        <w:rPr>
          <w:rFonts w:ascii="Arial" w:hAnsi="Arial" w:cs="Arial"/>
          <w:bCs/>
          <w:sz w:val="20"/>
          <w:szCs w:val="20"/>
          <w:vertAlign w:val="superscript"/>
        </w:rPr>
        <w:t xml:space="preserve">® </w:t>
      </w:r>
      <w:r w:rsidRPr="00CC06E3">
        <w:rPr>
          <w:rFonts w:ascii="Arial" w:hAnsi="Arial" w:cs="Arial"/>
          <w:bCs/>
          <w:sz w:val="20"/>
          <w:szCs w:val="20"/>
        </w:rPr>
        <w:t xml:space="preserve">Healthcare Series [database on the Internet].  Greenwood Village (CO): Thomson Reuters (Healthcare) Inc.; Updated periodically [cited 2015 Dec 8].  Available from: </w:t>
      </w:r>
      <w:hyperlink r:id="rId16" w:history="1">
        <w:r w:rsidRPr="00CC06E3">
          <w:rPr>
            <w:rFonts w:ascii="Arial" w:hAnsi="Arial" w:cs="Arial"/>
            <w:sz w:val="20"/>
            <w:szCs w:val="20"/>
          </w:rPr>
          <w:t>http://www.thomsonhc.com/</w:t>
        </w:r>
      </w:hyperlink>
      <w:r w:rsidRPr="00CC06E3">
        <w:rPr>
          <w:rFonts w:ascii="Arial" w:hAnsi="Arial" w:cs="Arial"/>
          <w:bCs/>
          <w:sz w:val="20"/>
          <w:szCs w:val="20"/>
        </w:rPr>
        <w:t>.</w:t>
      </w:r>
    </w:p>
    <w:p w:rsidR="006F246D" w:rsidRPr="00CC06E3" w:rsidRDefault="006F246D" w:rsidP="006F246D">
      <w:pPr>
        <w:pStyle w:val="CommentText"/>
        <w:numPr>
          <w:ilvl w:val="0"/>
          <w:numId w:val="4"/>
        </w:numPr>
        <w:spacing w:after="0" w:line="240" w:lineRule="auto"/>
        <w:rPr>
          <w:rFonts w:ascii="Arial" w:hAnsi="Arial" w:cs="Arial"/>
        </w:rPr>
      </w:pPr>
      <w:r w:rsidRPr="00CC06E3">
        <w:rPr>
          <w:rFonts w:ascii="Arial" w:hAnsi="Arial" w:cs="Arial"/>
        </w:rPr>
        <w:t xml:space="preserve">Katz N, </w:t>
      </w:r>
      <w:proofErr w:type="spellStart"/>
      <w:r w:rsidRPr="00CC06E3">
        <w:rPr>
          <w:rFonts w:ascii="Arial" w:hAnsi="Arial" w:cs="Arial"/>
        </w:rPr>
        <w:t>Rauck</w:t>
      </w:r>
      <w:proofErr w:type="spellEnd"/>
      <w:r w:rsidRPr="00CC06E3">
        <w:rPr>
          <w:rFonts w:ascii="Arial" w:hAnsi="Arial" w:cs="Arial"/>
        </w:rPr>
        <w:t xml:space="preserve"> R, </w:t>
      </w:r>
      <w:proofErr w:type="spellStart"/>
      <w:r w:rsidRPr="00CC06E3">
        <w:rPr>
          <w:rFonts w:ascii="Arial" w:hAnsi="Arial" w:cs="Arial"/>
        </w:rPr>
        <w:t>Ahdieh</w:t>
      </w:r>
      <w:proofErr w:type="spellEnd"/>
      <w:r w:rsidRPr="00CC06E3">
        <w:rPr>
          <w:rFonts w:ascii="Arial" w:hAnsi="Arial" w:cs="Arial"/>
        </w:rPr>
        <w:t xml:space="preserve"> H, Ma T, </w:t>
      </w:r>
      <w:proofErr w:type="spellStart"/>
      <w:r w:rsidRPr="00CC06E3">
        <w:rPr>
          <w:rFonts w:ascii="Arial" w:hAnsi="Arial" w:cs="Arial"/>
        </w:rPr>
        <w:t>Gerritsen</w:t>
      </w:r>
      <w:proofErr w:type="spellEnd"/>
      <w:r w:rsidRPr="00CC06E3">
        <w:rPr>
          <w:rFonts w:ascii="Arial" w:hAnsi="Arial" w:cs="Arial"/>
        </w:rPr>
        <w:t xml:space="preserve"> van der Hoop R, </w:t>
      </w:r>
      <w:proofErr w:type="spellStart"/>
      <w:r w:rsidRPr="00CC06E3">
        <w:rPr>
          <w:rFonts w:ascii="Arial" w:hAnsi="Arial" w:cs="Arial"/>
        </w:rPr>
        <w:t>Kerwin</w:t>
      </w:r>
      <w:proofErr w:type="spellEnd"/>
      <w:r w:rsidRPr="00CC06E3">
        <w:rPr>
          <w:rFonts w:ascii="Arial" w:hAnsi="Arial" w:cs="Arial"/>
        </w:rPr>
        <w:t xml:space="preserve"> R, </w:t>
      </w:r>
      <w:proofErr w:type="spellStart"/>
      <w:r w:rsidRPr="00CC06E3">
        <w:rPr>
          <w:rFonts w:ascii="Arial" w:hAnsi="Arial" w:cs="Arial"/>
        </w:rPr>
        <w:t>Podolsky</w:t>
      </w:r>
      <w:proofErr w:type="spellEnd"/>
      <w:r w:rsidRPr="00CC06E3">
        <w:rPr>
          <w:rFonts w:ascii="Arial" w:hAnsi="Arial" w:cs="Arial"/>
        </w:rPr>
        <w:t xml:space="preserve"> G. A 12-week, randomized, placebo-controlled trial assessing the safety and efficacy of oxymorphone extended release for opioid-naïve patients with chronic low back pain (abstract). </w:t>
      </w:r>
      <w:proofErr w:type="spellStart"/>
      <w:r w:rsidRPr="00CC06E3">
        <w:rPr>
          <w:rFonts w:ascii="Arial" w:hAnsi="Arial" w:cs="Arial"/>
        </w:rPr>
        <w:t>Curr</w:t>
      </w:r>
      <w:proofErr w:type="spellEnd"/>
      <w:r w:rsidRPr="00CC06E3">
        <w:rPr>
          <w:rFonts w:ascii="Arial" w:hAnsi="Arial" w:cs="Arial"/>
        </w:rPr>
        <w:t xml:space="preserve"> Med Res </w:t>
      </w:r>
      <w:proofErr w:type="spellStart"/>
      <w:r w:rsidRPr="00CC06E3">
        <w:rPr>
          <w:rFonts w:ascii="Arial" w:hAnsi="Arial" w:cs="Arial"/>
        </w:rPr>
        <w:t>Opin</w:t>
      </w:r>
      <w:proofErr w:type="spellEnd"/>
      <w:r w:rsidRPr="00CC06E3">
        <w:rPr>
          <w:rFonts w:ascii="Arial" w:hAnsi="Arial" w:cs="Arial"/>
        </w:rPr>
        <w:t>. 2007 Jan</w:t>
      </w:r>
      <w:proofErr w:type="gramStart"/>
      <w:r w:rsidRPr="00CC06E3">
        <w:rPr>
          <w:rFonts w:ascii="Arial" w:hAnsi="Arial" w:cs="Arial"/>
        </w:rPr>
        <w:t>;23</w:t>
      </w:r>
      <w:proofErr w:type="gramEnd"/>
      <w:r w:rsidRPr="00CC06E3">
        <w:rPr>
          <w:rFonts w:ascii="Arial" w:hAnsi="Arial" w:cs="Arial"/>
        </w:rPr>
        <w:t>(1):117-28.</w:t>
      </w:r>
    </w:p>
    <w:p w:rsidR="006F246D" w:rsidRPr="00CC06E3" w:rsidRDefault="006F246D" w:rsidP="006F246D">
      <w:pPr>
        <w:pStyle w:val="ListParagraph"/>
        <w:numPr>
          <w:ilvl w:val="0"/>
          <w:numId w:val="4"/>
        </w:numPr>
        <w:autoSpaceDE w:val="0"/>
        <w:autoSpaceDN w:val="0"/>
        <w:adjustRightInd w:val="0"/>
        <w:rPr>
          <w:rFonts w:ascii="Arial" w:eastAsiaTheme="minorHAnsi" w:hAnsi="Arial" w:cs="Arial"/>
          <w:sz w:val="20"/>
          <w:szCs w:val="20"/>
        </w:rPr>
      </w:pPr>
      <w:r w:rsidRPr="00CC06E3">
        <w:rPr>
          <w:rFonts w:ascii="Arial" w:eastAsiaTheme="minorHAnsi" w:hAnsi="Arial" w:cs="Arial"/>
          <w:sz w:val="20"/>
          <w:szCs w:val="20"/>
        </w:rPr>
        <w:t xml:space="preserve">Hale ME, </w:t>
      </w:r>
      <w:proofErr w:type="spellStart"/>
      <w:r w:rsidRPr="00CC06E3">
        <w:rPr>
          <w:rFonts w:ascii="Arial" w:eastAsiaTheme="minorHAnsi" w:hAnsi="Arial" w:cs="Arial"/>
          <w:sz w:val="20"/>
          <w:szCs w:val="20"/>
        </w:rPr>
        <w:t>Ahdieh</w:t>
      </w:r>
      <w:proofErr w:type="spellEnd"/>
      <w:r w:rsidRPr="00CC06E3">
        <w:rPr>
          <w:rFonts w:ascii="Arial" w:eastAsiaTheme="minorHAnsi" w:hAnsi="Arial" w:cs="Arial"/>
          <w:sz w:val="20"/>
          <w:szCs w:val="20"/>
        </w:rPr>
        <w:t xml:space="preserve"> H, Ma T, </w:t>
      </w:r>
      <w:proofErr w:type="spellStart"/>
      <w:r w:rsidRPr="00CC06E3">
        <w:rPr>
          <w:rFonts w:ascii="Arial" w:eastAsiaTheme="minorHAnsi" w:hAnsi="Arial" w:cs="Arial"/>
          <w:sz w:val="20"/>
          <w:szCs w:val="20"/>
        </w:rPr>
        <w:t>Rauck</w:t>
      </w:r>
      <w:proofErr w:type="spellEnd"/>
      <w:r w:rsidRPr="00CC06E3">
        <w:rPr>
          <w:rFonts w:ascii="Arial" w:eastAsiaTheme="minorHAnsi" w:hAnsi="Arial" w:cs="Arial"/>
          <w:sz w:val="20"/>
          <w:szCs w:val="20"/>
        </w:rPr>
        <w:t xml:space="preserve"> R, for the Oxymorphone ER Study Group 1. Efficacy and safety of OPANA ER (oxymorphone extended release) for relief of moderate to severe chronic low back pain in opioid-experienced patients: A 12-week, randomized, double-blind, placebo-controlled study. The Journal of Pain. 2007 Feb</w:t>
      </w:r>
      <w:proofErr w:type="gramStart"/>
      <w:r w:rsidRPr="00CC06E3">
        <w:rPr>
          <w:rFonts w:ascii="Arial" w:eastAsiaTheme="minorHAnsi" w:hAnsi="Arial" w:cs="Arial"/>
          <w:sz w:val="20"/>
          <w:szCs w:val="20"/>
        </w:rPr>
        <w:t>;8</w:t>
      </w:r>
      <w:proofErr w:type="gramEnd"/>
      <w:r w:rsidRPr="00CC06E3">
        <w:rPr>
          <w:rFonts w:ascii="Arial" w:eastAsiaTheme="minorHAnsi" w:hAnsi="Arial" w:cs="Arial"/>
          <w:sz w:val="20"/>
          <w:szCs w:val="20"/>
        </w:rPr>
        <w:t>(2): 175-84.</w:t>
      </w:r>
    </w:p>
    <w:p w:rsidR="006F246D" w:rsidRPr="00CC06E3" w:rsidRDefault="006F246D" w:rsidP="006F246D">
      <w:pPr>
        <w:pStyle w:val="ListParagraph"/>
        <w:numPr>
          <w:ilvl w:val="0"/>
          <w:numId w:val="4"/>
        </w:numPr>
        <w:rPr>
          <w:rFonts w:ascii="Arial" w:hAnsi="Arial" w:cs="Arial"/>
          <w:sz w:val="20"/>
          <w:szCs w:val="20"/>
        </w:rPr>
      </w:pPr>
      <w:r w:rsidRPr="00CC06E3">
        <w:rPr>
          <w:rFonts w:ascii="Arial" w:hAnsi="Arial" w:cs="Arial"/>
          <w:sz w:val="20"/>
          <w:szCs w:val="20"/>
        </w:rPr>
        <w:lastRenderedPageBreak/>
        <w:t xml:space="preserve">Sloan P, </w:t>
      </w:r>
      <w:proofErr w:type="spellStart"/>
      <w:r w:rsidRPr="00CC06E3">
        <w:rPr>
          <w:rFonts w:ascii="Arial" w:hAnsi="Arial" w:cs="Arial"/>
          <w:sz w:val="20"/>
          <w:szCs w:val="20"/>
        </w:rPr>
        <w:t>Slatkin</w:t>
      </w:r>
      <w:proofErr w:type="spellEnd"/>
      <w:r w:rsidRPr="00CC06E3">
        <w:rPr>
          <w:rFonts w:ascii="Arial" w:hAnsi="Arial" w:cs="Arial"/>
          <w:sz w:val="20"/>
          <w:szCs w:val="20"/>
        </w:rPr>
        <w:t xml:space="preserve"> N, </w:t>
      </w:r>
      <w:proofErr w:type="spellStart"/>
      <w:r w:rsidRPr="00CC06E3">
        <w:rPr>
          <w:rFonts w:ascii="Arial" w:hAnsi="Arial" w:cs="Arial"/>
          <w:sz w:val="20"/>
          <w:szCs w:val="20"/>
        </w:rPr>
        <w:t>Ahdieh</w:t>
      </w:r>
      <w:proofErr w:type="spellEnd"/>
      <w:r w:rsidRPr="00CC06E3">
        <w:rPr>
          <w:rFonts w:ascii="Arial" w:hAnsi="Arial" w:cs="Arial"/>
          <w:sz w:val="20"/>
          <w:szCs w:val="20"/>
        </w:rPr>
        <w:t xml:space="preserve"> H. Effectiveness and safety of oral extended-release oxymorphone for the treatment of cancer pain: a pilot study. Support Care Cancer. 2005</w:t>
      </w:r>
      <w:proofErr w:type="gramStart"/>
      <w:r w:rsidRPr="00CC06E3">
        <w:rPr>
          <w:rFonts w:ascii="Arial" w:hAnsi="Arial" w:cs="Arial"/>
          <w:sz w:val="20"/>
          <w:szCs w:val="20"/>
        </w:rPr>
        <w:t>;13:57</w:t>
      </w:r>
      <w:proofErr w:type="gramEnd"/>
      <w:r w:rsidRPr="00CC06E3">
        <w:rPr>
          <w:rFonts w:ascii="Arial" w:hAnsi="Arial" w:cs="Arial"/>
          <w:sz w:val="20"/>
          <w:szCs w:val="20"/>
        </w:rPr>
        <w:t>-65.</w:t>
      </w:r>
    </w:p>
    <w:p w:rsidR="006F246D" w:rsidRPr="00CC06E3" w:rsidRDefault="006F246D" w:rsidP="006F246D">
      <w:pPr>
        <w:pStyle w:val="CommentText"/>
        <w:numPr>
          <w:ilvl w:val="0"/>
          <w:numId w:val="4"/>
        </w:numPr>
        <w:spacing w:after="0" w:line="240" w:lineRule="auto"/>
        <w:rPr>
          <w:rFonts w:ascii="Arial" w:hAnsi="Arial" w:cs="Arial"/>
        </w:rPr>
      </w:pPr>
      <w:proofErr w:type="spellStart"/>
      <w:r w:rsidRPr="00CC06E3">
        <w:rPr>
          <w:rFonts w:ascii="Arial" w:hAnsi="Arial" w:cs="Arial"/>
        </w:rPr>
        <w:t>Slatkin</w:t>
      </w:r>
      <w:proofErr w:type="spellEnd"/>
      <w:r w:rsidRPr="00CC06E3">
        <w:rPr>
          <w:rFonts w:ascii="Arial" w:hAnsi="Arial" w:cs="Arial"/>
        </w:rPr>
        <w:t xml:space="preserve"> NE, </w:t>
      </w:r>
      <w:proofErr w:type="spellStart"/>
      <w:r w:rsidRPr="00CC06E3">
        <w:rPr>
          <w:rFonts w:ascii="Arial" w:hAnsi="Arial" w:cs="Arial"/>
        </w:rPr>
        <w:t>Rhiner</w:t>
      </w:r>
      <w:proofErr w:type="spellEnd"/>
      <w:r w:rsidRPr="00CC06E3">
        <w:rPr>
          <w:rFonts w:ascii="Arial" w:hAnsi="Arial" w:cs="Arial"/>
        </w:rPr>
        <w:t xml:space="preserve"> MI, Gould EM, Ma T, </w:t>
      </w:r>
      <w:proofErr w:type="spellStart"/>
      <w:r w:rsidRPr="00CC06E3">
        <w:rPr>
          <w:rFonts w:ascii="Arial" w:hAnsi="Arial" w:cs="Arial"/>
        </w:rPr>
        <w:t>Ahdieh</w:t>
      </w:r>
      <w:proofErr w:type="spellEnd"/>
      <w:r w:rsidRPr="00CC06E3">
        <w:rPr>
          <w:rFonts w:ascii="Arial" w:hAnsi="Arial" w:cs="Arial"/>
        </w:rPr>
        <w:t xml:space="preserve"> H. Long-term tolerability and effectiveness of oxymorphone extended release in patients with cancer (abstract). J Opioid </w:t>
      </w:r>
      <w:proofErr w:type="spellStart"/>
      <w:r w:rsidRPr="00CC06E3">
        <w:rPr>
          <w:rFonts w:ascii="Arial" w:hAnsi="Arial" w:cs="Arial"/>
        </w:rPr>
        <w:t>Manag</w:t>
      </w:r>
      <w:proofErr w:type="spellEnd"/>
      <w:r w:rsidRPr="00CC06E3">
        <w:rPr>
          <w:rFonts w:ascii="Arial" w:hAnsi="Arial" w:cs="Arial"/>
        </w:rPr>
        <w:t>. 2010</w:t>
      </w:r>
      <w:proofErr w:type="gramStart"/>
      <w:r w:rsidRPr="00CC06E3">
        <w:rPr>
          <w:rFonts w:ascii="Arial" w:hAnsi="Arial" w:cs="Arial"/>
        </w:rPr>
        <w:t>;6</w:t>
      </w:r>
      <w:proofErr w:type="gramEnd"/>
      <w:r w:rsidRPr="00CC06E3">
        <w:rPr>
          <w:rFonts w:ascii="Arial" w:hAnsi="Arial" w:cs="Arial"/>
        </w:rPr>
        <w:t>(3):181-91.</w:t>
      </w:r>
    </w:p>
    <w:p w:rsidR="006F246D" w:rsidRPr="00CC06E3" w:rsidRDefault="006F246D" w:rsidP="006F246D">
      <w:pPr>
        <w:pStyle w:val="ListParagraph"/>
        <w:numPr>
          <w:ilvl w:val="0"/>
          <w:numId w:val="4"/>
        </w:numPr>
        <w:rPr>
          <w:rFonts w:ascii="Arial" w:hAnsi="Arial" w:cs="Arial"/>
          <w:sz w:val="20"/>
          <w:szCs w:val="20"/>
        </w:rPr>
      </w:pPr>
      <w:proofErr w:type="spellStart"/>
      <w:r w:rsidRPr="00CC06E3">
        <w:rPr>
          <w:rFonts w:ascii="Arial" w:hAnsi="Arial" w:cs="Arial"/>
          <w:sz w:val="20"/>
          <w:szCs w:val="20"/>
        </w:rPr>
        <w:t>Kivitz</w:t>
      </w:r>
      <w:proofErr w:type="spellEnd"/>
      <w:r w:rsidRPr="00CC06E3">
        <w:rPr>
          <w:rFonts w:ascii="Arial" w:hAnsi="Arial" w:cs="Arial"/>
          <w:sz w:val="20"/>
          <w:szCs w:val="20"/>
        </w:rPr>
        <w:t xml:space="preserve"> A., Ma C., </w:t>
      </w:r>
      <w:proofErr w:type="spellStart"/>
      <w:r w:rsidRPr="00CC06E3">
        <w:rPr>
          <w:rFonts w:ascii="Arial" w:hAnsi="Arial" w:cs="Arial"/>
          <w:sz w:val="20"/>
          <w:szCs w:val="20"/>
        </w:rPr>
        <w:t>Ahdieh</w:t>
      </w:r>
      <w:proofErr w:type="spellEnd"/>
      <w:r w:rsidRPr="00CC06E3">
        <w:rPr>
          <w:rFonts w:ascii="Arial" w:hAnsi="Arial" w:cs="Arial"/>
          <w:sz w:val="20"/>
          <w:szCs w:val="20"/>
        </w:rPr>
        <w:t xml:space="preserve"> H., </w:t>
      </w:r>
      <w:proofErr w:type="spellStart"/>
      <w:r w:rsidRPr="00CC06E3">
        <w:rPr>
          <w:rFonts w:ascii="Arial" w:hAnsi="Arial" w:cs="Arial"/>
          <w:sz w:val="20"/>
          <w:szCs w:val="20"/>
        </w:rPr>
        <w:t>Galer</w:t>
      </w:r>
      <w:proofErr w:type="spellEnd"/>
      <w:r w:rsidRPr="00CC06E3">
        <w:rPr>
          <w:rFonts w:ascii="Arial" w:hAnsi="Arial" w:cs="Arial"/>
          <w:sz w:val="20"/>
          <w:szCs w:val="20"/>
        </w:rPr>
        <w:t xml:space="preserve"> BS. A 2-week, multicenter, randomized, double-blind, placebo-controlled, dose-ranging, phase III trial comparing the efficacy of oxymorphone extended release and placebo in adults with pain associated with osteoarthritis of the hip or knee. Clinical Therapeutics. 2006</w:t>
      </w:r>
      <w:proofErr w:type="gramStart"/>
      <w:r w:rsidRPr="00CC06E3">
        <w:rPr>
          <w:rFonts w:ascii="Arial" w:hAnsi="Arial" w:cs="Arial"/>
          <w:sz w:val="20"/>
          <w:szCs w:val="20"/>
        </w:rPr>
        <w:t>;38</w:t>
      </w:r>
      <w:proofErr w:type="gramEnd"/>
      <w:r w:rsidRPr="00CC06E3">
        <w:rPr>
          <w:rFonts w:ascii="Arial" w:hAnsi="Arial" w:cs="Arial"/>
          <w:sz w:val="20"/>
          <w:szCs w:val="20"/>
        </w:rPr>
        <w:t>(3):352-64.</w:t>
      </w:r>
    </w:p>
    <w:p w:rsidR="006F246D" w:rsidRPr="00CC06E3" w:rsidRDefault="006F246D" w:rsidP="006F246D">
      <w:pPr>
        <w:pStyle w:val="CommentText"/>
        <w:numPr>
          <w:ilvl w:val="0"/>
          <w:numId w:val="4"/>
        </w:numPr>
        <w:spacing w:after="0" w:line="240" w:lineRule="auto"/>
        <w:rPr>
          <w:rFonts w:ascii="Arial" w:hAnsi="Arial" w:cs="Arial"/>
        </w:rPr>
      </w:pPr>
      <w:proofErr w:type="spellStart"/>
      <w:r>
        <w:rPr>
          <w:rFonts w:ascii="Arial" w:hAnsi="Arial" w:cs="Arial"/>
        </w:rPr>
        <w:t>Ahdieh</w:t>
      </w:r>
      <w:proofErr w:type="spellEnd"/>
      <w:r>
        <w:rPr>
          <w:rFonts w:ascii="Arial" w:hAnsi="Arial" w:cs="Arial"/>
        </w:rPr>
        <w:t xml:space="preserve"> H, Ma T, Babul N, Lee D. Efficacy</w:t>
      </w:r>
      <w:r w:rsidRPr="00CC06E3">
        <w:rPr>
          <w:rFonts w:ascii="Arial" w:hAnsi="Arial" w:cs="Arial"/>
        </w:rPr>
        <w:t xml:space="preserve"> of oxymorphone extended release in </w:t>
      </w:r>
      <w:r>
        <w:rPr>
          <w:rFonts w:ascii="Arial" w:hAnsi="Arial" w:cs="Arial"/>
        </w:rPr>
        <w:t>postsurgical pain: a randomized</w:t>
      </w:r>
      <w:r w:rsidRPr="00CC06E3">
        <w:rPr>
          <w:rFonts w:ascii="Arial" w:hAnsi="Arial" w:cs="Arial"/>
        </w:rPr>
        <w:t xml:space="preserve"> </w:t>
      </w:r>
      <w:r>
        <w:rPr>
          <w:rFonts w:ascii="Arial" w:hAnsi="Arial" w:cs="Arial"/>
        </w:rPr>
        <w:t>clinical trial in knee arthroplasty</w:t>
      </w:r>
      <w:r w:rsidRPr="00CC06E3">
        <w:rPr>
          <w:rFonts w:ascii="Arial" w:hAnsi="Arial" w:cs="Arial"/>
        </w:rPr>
        <w:t xml:space="preserve">. Journal of </w:t>
      </w:r>
      <w:r>
        <w:rPr>
          <w:rFonts w:ascii="Arial" w:hAnsi="Arial" w:cs="Arial"/>
        </w:rPr>
        <w:t>Clinical Pharmacology. 2004</w:t>
      </w:r>
      <w:proofErr w:type="gramStart"/>
      <w:r>
        <w:rPr>
          <w:rFonts w:ascii="Arial" w:hAnsi="Arial" w:cs="Arial"/>
        </w:rPr>
        <w:t>;44:767</w:t>
      </w:r>
      <w:proofErr w:type="gramEnd"/>
      <w:r>
        <w:rPr>
          <w:rFonts w:ascii="Arial" w:hAnsi="Arial" w:cs="Arial"/>
        </w:rPr>
        <w:t>-76</w:t>
      </w:r>
      <w:r w:rsidRPr="00CC06E3">
        <w:rPr>
          <w:rFonts w:ascii="Arial" w:hAnsi="Arial" w:cs="Arial"/>
        </w:rPr>
        <w:t>.</w:t>
      </w:r>
    </w:p>
    <w:p w:rsidR="006F246D" w:rsidRPr="00CC06E3" w:rsidRDefault="006F246D" w:rsidP="006F246D">
      <w:pPr>
        <w:pStyle w:val="CommentText"/>
        <w:numPr>
          <w:ilvl w:val="0"/>
          <w:numId w:val="4"/>
        </w:numPr>
        <w:spacing w:after="0" w:line="240" w:lineRule="auto"/>
        <w:rPr>
          <w:rFonts w:ascii="Arial" w:hAnsi="Arial" w:cs="Arial"/>
        </w:rPr>
      </w:pPr>
      <w:r w:rsidRPr="00CC06E3">
        <w:rPr>
          <w:rFonts w:ascii="Arial" w:hAnsi="Arial" w:cs="Arial"/>
        </w:rPr>
        <w:t xml:space="preserve">Abandoned painkiller makes a comeback- here’s how the FDA let a widely abused opioid back on the market. </w:t>
      </w:r>
      <w:r>
        <w:rPr>
          <w:rFonts w:ascii="Arial" w:hAnsi="Arial" w:cs="Arial"/>
        </w:rPr>
        <w:t>[</w:t>
      </w:r>
      <w:proofErr w:type="gramStart"/>
      <w:r>
        <w:rPr>
          <w:rFonts w:ascii="Arial" w:hAnsi="Arial" w:cs="Arial"/>
        </w:rPr>
        <w:t>press</w:t>
      </w:r>
      <w:proofErr w:type="gramEnd"/>
      <w:r>
        <w:rPr>
          <w:rFonts w:ascii="Arial" w:hAnsi="Arial" w:cs="Arial"/>
        </w:rPr>
        <w:t xml:space="preserve"> release on the Internet]. </w:t>
      </w:r>
      <w:proofErr w:type="spellStart"/>
      <w:r>
        <w:rPr>
          <w:rFonts w:ascii="Arial" w:hAnsi="Arial" w:cs="Arial"/>
        </w:rPr>
        <w:t>Medpage</w:t>
      </w:r>
      <w:proofErr w:type="spellEnd"/>
      <w:r>
        <w:rPr>
          <w:rFonts w:ascii="Arial" w:hAnsi="Arial" w:cs="Arial"/>
        </w:rPr>
        <w:t xml:space="preserve">. </w:t>
      </w:r>
      <w:r w:rsidRPr="00CC06E3">
        <w:rPr>
          <w:rFonts w:ascii="Arial" w:hAnsi="Arial" w:cs="Arial"/>
        </w:rPr>
        <w:t xml:space="preserve">2015 May </w:t>
      </w:r>
      <w:r>
        <w:rPr>
          <w:rFonts w:ascii="Arial" w:hAnsi="Arial" w:cs="Arial"/>
        </w:rPr>
        <w:t>10</w:t>
      </w:r>
      <w:r w:rsidRPr="00CC06E3">
        <w:rPr>
          <w:rFonts w:ascii="Arial" w:hAnsi="Arial" w:cs="Arial"/>
        </w:rPr>
        <w:t xml:space="preserve"> [cited 2015 Dec 13]. Available from: http://www.medpagetoday.com/Psychiatry/Addictions/51448</w:t>
      </w:r>
      <w:r>
        <w:rPr>
          <w:rFonts w:ascii="Arial" w:hAnsi="Arial" w:cs="Arial"/>
        </w:rPr>
        <w:t>.</w:t>
      </w:r>
    </w:p>
    <w:p w:rsidR="006F246D" w:rsidRPr="00CC06E3" w:rsidRDefault="006F246D" w:rsidP="006F246D">
      <w:pPr>
        <w:pStyle w:val="NormalWeb"/>
        <w:numPr>
          <w:ilvl w:val="0"/>
          <w:numId w:val="4"/>
        </w:numPr>
        <w:spacing w:before="0" w:beforeAutospacing="0" w:after="0" w:afterAutospacing="0"/>
        <w:rPr>
          <w:rFonts w:ascii="Arial" w:hAnsi="Arial" w:cs="Arial"/>
          <w:sz w:val="20"/>
          <w:szCs w:val="20"/>
          <w:lang w:val="en"/>
        </w:rPr>
      </w:pPr>
      <w:r w:rsidRPr="00CC06E3">
        <w:rPr>
          <w:rFonts w:ascii="Arial" w:hAnsi="Arial" w:cs="Arial"/>
          <w:sz w:val="20"/>
          <w:szCs w:val="20"/>
          <w:lang w:val="en"/>
        </w:rPr>
        <w:t xml:space="preserve">FDA Statement: Original Opana ER Relisting Determination </w:t>
      </w:r>
      <w:r w:rsidRPr="00CC06E3">
        <w:rPr>
          <w:rFonts w:ascii="Arial" w:hAnsi="Arial" w:cs="Arial"/>
          <w:sz w:val="20"/>
          <w:szCs w:val="20"/>
        </w:rPr>
        <w:t xml:space="preserve">[press release on the internet]. Rockville (MD): Food and Drug Administration (US): </w:t>
      </w:r>
      <w:r w:rsidRPr="00CC06E3">
        <w:rPr>
          <w:rFonts w:ascii="Arial" w:hAnsi="Arial" w:cs="Arial"/>
          <w:sz w:val="20"/>
          <w:szCs w:val="20"/>
          <w:lang w:val="en"/>
        </w:rPr>
        <w:t>2013 May 10 [cited 2015 Dec 10]. Available from: http://www.fda.gov/Drugs/DrugSafety/ucm351357.</w:t>
      </w:r>
    </w:p>
    <w:p w:rsidR="006F246D" w:rsidRPr="00CC06E3" w:rsidRDefault="006F246D" w:rsidP="006F246D">
      <w:pPr>
        <w:pStyle w:val="CommentText"/>
        <w:numPr>
          <w:ilvl w:val="0"/>
          <w:numId w:val="4"/>
        </w:numPr>
        <w:spacing w:after="0" w:line="240" w:lineRule="auto"/>
        <w:rPr>
          <w:rFonts w:ascii="Arial" w:hAnsi="Arial" w:cs="Arial"/>
        </w:rPr>
      </w:pPr>
      <w:r w:rsidRPr="00CC06E3">
        <w:rPr>
          <w:rFonts w:ascii="Arial" w:hAnsi="Arial" w:cs="Arial"/>
        </w:rPr>
        <w:t>Abuse of Endo’s second-generation Opana ER formulation implicated in Indiana HIV epidemic. [</w:t>
      </w:r>
      <w:proofErr w:type="gramStart"/>
      <w:r w:rsidRPr="00CC06E3">
        <w:rPr>
          <w:rFonts w:ascii="Arial" w:hAnsi="Arial" w:cs="Arial"/>
        </w:rPr>
        <w:t>press</w:t>
      </w:r>
      <w:proofErr w:type="gramEnd"/>
      <w:r w:rsidRPr="00CC06E3">
        <w:rPr>
          <w:rFonts w:ascii="Arial" w:hAnsi="Arial" w:cs="Arial"/>
        </w:rPr>
        <w:t xml:space="preserve"> release on the Internet]. </w:t>
      </w:r>
      <w:proofErr w:type="spellStart"/>
      <w:r w:rsidRPr="00CC06E3">
        <w:rPr>
          <w:rFonts w:ascii="Arial" w:hAnsi="Arial" w:cs="Arial"/>
        </w:rPr>
        <w:t>FiercePharma</w:t>
      </w:r>
      <w:proofErr w:type="spellEnd"/>
      <w:r w:rsidRPr="00CC06E3">
        <w:rPr>
          <w:rFonts w:ascii="Arial" w:hAnsi="Arial" w:cs="Arial"/>
        </w:rPr>
        <w:t xml:space="preserve">. 2015 Jun 16 [cited 2015 Dec 10]. Available from: </w:t>
      </w:r>
      <w:hyperlink r:id="rId17" w:history="1">
        <w:r w:rsidRPr="00CC06E3">
          <w:rPr>
            <w:rStyle w:val="Hyperlink"/>
            <w:rFonts w:ascii="Arial" w:hAnsi="Arial" w:cs="Arial"/>
            <w:color w:val="auto"/>
          </w:rPr>
          <w:t>http://www.fiercedrugdelivery.com/story/abuse-endos-second-generation-opana-er-formulation-implicated-indiana-hiv-e/2015-06-16</w:t>
        </w:r>
      </w:hyperlink>
      <w:r w:rsidRPr="00CC06E3">
        <w:rPr>
          <w:rFonts w:ascii="Arial" w:hAnsi="Arial" w:cs="Arial"/>
        </w:rPr>
        <w:t>.</w:t>
      </w:r>
    </w:p>
    <w:p w:rsidR="006F246D" w:rsidRDefault="006F246D" w:rsidP="006F246D">
      <w:pPr>
        <w:pStyle w:val="CommentText"/>
        <w:numPr>
          <w:ilvl w:val="0"/>
          <w:numId w:val="4"/>
        </w:numPr>
        <w:spacing w:after="0" w:line="240" w:lineRule="auto"/>
        <w:rPr>
          <w:rStyle w:val="Hyperlink"/>
          <w:rFonts w:ascii="Arial" w:hAnsi="Arial" w:cs="Arial"/>
          <w:color w:val="auto"/>
        </w:rPr>
      </w:pPr>
      <w:r w:rsidRPr="00CC06E3">
        <w:rPr>
          <w:rFonts w:ascii="Arial" w:hAnsi="Arial" w:cs="Arial"/>
        </w:rPr>
        <w:t xml:space="preserve">FDA/CDER final response to Endo Pharmaceuticals Inc petition denial. Regulations.gov. Rockville (MD): Food and Drug Administration (US); 2013 May 10 [cited 2015 Dec 9]. Available from: </w:t>
      </w:r>
      <w:hyperlink r:id="rId18" w:anchor="!documentDetail;D=FDA-2012-P-0895-0014" w:history="1">
        <w:r w:rsidRPr="006160A7">
          <w:rPr>
            <w:rStyle w:val="Hyperlink"/>
            <w:rFonts w:ascii="Arial" w:hAnsi="Arial" w:cs="Arial"/>
            <w:color w:val="auto"/>
          </w:rPr>
          <w:t>http://www.regulations.gov/#!documentDetail;D=FDA-2012-P-0895-0014</w:t>
        </w:r>
      </w:hyperlink>
    </w:p>
    <w:p w:rsidR="006F246D" w:rsidRPr="00D1633E" w:rsidRDefault="006F246D" w:rsidP="006F246D">
      <w:pPr>
        <w:pStyle w:val="ListParagraph"/>
        <w:numPr>
          <w:ilvl w:val="0"/>
          <w:numId w:val="4"/>
        </w:numPr>
        <w:ind w:right="-90"/>
        <w:contextualSpacing/>
        <w:rPr>
          <w:rFonts w:ascii="Arial" w:hAnsi="Arial" w:cs="Arial"/>
          <w:sz w:val="20"/>
          <w:szCs w:val="20"/>
          <w:highlight w:val="yellow"/>
        </w:rPr>
      </w:pPr>
      <w:r w:rsidRPr="00FB678A">
        <w:rPr>
          <w:rFonts w:ascii="Arial" w:hAnsi="Arial" w:cs="Arial"/>
          <w:sz w:val="20"/>
          <w:szCs w:val="20"/>
          <w:highlight w:val="yellow"/>
        </w:rPr>
        <w:t>REMS</w:t>
      </w:r>
      <w:r>
        <w:rPr>
          <w:rFonts w:ascii="Arial" w:hAnsi="Arial" w:cs="Arial"/>
          <w:sz w:val="20"/>
          <w:szCs w:val="20"/>
          <w:highlight w:val="yellow"/>
        </w:rPr>
        <w:t xml:space="preserve">@FDA </w:t>
      </w:r>
      <w:r w:rsidRPr="00D23793">
        <w:rPr>
          <w:rFonts w:ascii="Arial" w:hAnsi="Arial" w:cs="Arial"/>
          <w:sz w:val="20"/>
          <w:szCs w:val="20"/>
          <w:highlight w:val="yellow"/>
        </w:rPr>
        <w:t>[database on the Internet]. Rockville (MD): Food and Drug Administration (US), Center for Dr</w:t>
      </w:r>
      <w:r>
        <w:rPr>
          <w:rFonts w:ascii="Arial" w:hAnsi="Arial" w:cs="Arial"/>
          <w:sz w:val="20"/>
          <w:szCs w:val="20"/>
          <w:highlight w:val="yellow"/>
        </w:rPr>
        <w:t>ug Evaluation and Research; 2015 [cited 2015 Dec 28</w:t>
      </w:r>
      <w:r w:rsidRPr="00D23793">
        <w:rPr>
          <w:rFonts w:ascii="Arial" w:hAnsi="Arial" w:cs="Arial"/>
          <w:sz w:val="20"/>
          <w:szCs w:val="20"/>
          <w:highlight w:val="yellow"/>
        </w:rPr>
        <w:t>]. Available from:</w:t>
      </w:r>
      <w:r>
        <w:rPr>
          <w:rFonts w:ascii="Arial" w:hAnsi="Arial" w:cs="Arial"/>
          <w:sz w:val="20"/>
          <w:szCs w:val="20"/>
          <w:highlight w:val="yellow"/>
        </w:rPr>
        <w:t xml:space="preserve"> </w:t>
      </w:r>
      <w:hyperlink r:id="rId19" w:history="1">
        <w:r w:rsidRPr="00D23793">
          <w:rPr>
            <w:rStyle w:val="Hyperlink"/>
            <w:rFonts w:ascii="Arial" w:hAnsi="Arial" w:cs="Arial"/>
            <w:sz w:val="20"/>
            <w:szCs w:val="20"/>
            <w:highlight w:val="yellow"/>
          </w:rPr>
          <w:t>http://www.accessdata.fda.gov/scripts/cder/rems/index.cfm</w:t>
        </w:r>
      </w:hyperlink>
    </w:p>
    <w:p w:rsidR="006F246D" w:rsidRPr="00816987" w:rsidRDefault="006F246D" w:rsidP="006F246D">
      <w:pPr>
        <w:pStyle w:val="CommentText"/>
        <w:numPr>
          <w:ilvl w:val="0"/>
          <w:numId w:val="4"/>
        </w:numPr>
        <w:spacing w:after="0" w:line="240" w:lineRule="auto"/>
        <w:rPr>
          <w:rFonts w:ascii="Arial" w:hAnsi="Arial" w:cs="Arial"/>
        </w:rPr>
      </w:pPr>
      <w:r>
        <w:rPr>
          <w:rFonts w:ascii="Arial" w:hAnsi="Arial" w:cs="Arial"/>
        </w:rPr>
        <w:t>U.S. Food and Drug Administration. Opioid Medications; Information on Opioid Medications. Silver Spring (</w:t>
      </w:r>
      <w:r w:rsidRPr="00F33C45">
        <w:rPr>
          <w:rFonts w:ascii="Arial" w:hAnsi="Arial" w:cs="Arial"/>
        </w:rPr>
        <w:t>MD</w:t>
      </w:r>
      <w:r>
        <w:rPr>
          <w:rFonts w:ascii="Arial" w:hAnsi="Arial" w:cs="Arial"/>
        </w:rPr>
        <w:t>)</w:t>
      </w:r>
      <w:r w:rsidRPr="00F33C45">
        <w:rPr>
          <w:rFonts w:ascii="Arial" w:hAnsi="Arial" w:cs="Arial"/>
        </w:rPr>
        <w:t>: Food and Drug Administration</w:t>
      </w:r>
      <w:r>
        <w:rPr>
          <w:rFonts w:ascii="Arial" w:hAnsi="Arial" w:cs="Arial"/>
        </w:rPr>
        <w:t>; 2015 Nov 25. [</w:t>
      </w:r>
      <w:proofErr w:type="gramStart"/>
      <w:r>
        <w:rPr>
          <w:rFonts w:ascii="Arial" w:hAnsi="Arial" w:cs="Arial"/>
        </w:rPr>
        <w:t>cited</w:t>
      </w:r>
      <w:proofErr w:type="gramEnd"/>
      <w:r>
        <w:rPr>
          <w:rFonts w:ascii="Arial" w:hAnsi="Arial" w:cs="Arial"/>
        </w:rPr>
        <w:t xml:space="preserve"> 2015 Dec 3]. Available from: </w:t>
      </w:r>
      <w:r w:rsidRPr="00466D74">
        <w:rPr>
          <w:rFonts w:ascii="Arial" w:hAnsi="Arial" w:cs="Arial"/>
        </w:rPr>
        <w:t>http://www.fda.gov/Drugs/DrugSafety/InformationbyDrugClass/ucm337066.htm</w:t>
      </w:r>
      <w:r>
        <w:rPr>
          <w:rFonts w:ascii="Arial" w:hAnsi="Arial" w:cs="Arial"/>
        </w:rPr>
        <w:t>.</w:t>
      </w:r>
    </w:p>
    <w:p w:rsidR="005753E3" w:rsidRPr="006F246D" w:rsidRDefault="006F246D" w:rsidP="009D5F7F">
      <w:pPr>
        <w:pStyle w:val="CommentText"/>
        <w:numPr>
          <w:ilvl w:val="0"/>
          <w:numId w:val="4"/>
        </w:numPr>
        <w:autoSpaceDE w:val="0"/>
        <w:autoSpaceDN w:val="0"/>
        <w:adjustRightInd w:val="0"/>
        <w:spacing w:after="0" w:line="240" w:lineRule="auto"/>
        <w:rPr>
          <w:rFonts w:ascii="Arial" w:hAnsi="Arial" w:cs="Arial"/>
          <w:color w:val="000000"/>
        </w:rPr>
      </w:pPr>
      <w:r w:rsidRPr="006F246D">
        <w:rPr>
          <w:rFonts w:ascii="Arial" w:hAnsi="Arial" w:cs="Arial"/>
        </w:rPr>
        <w:t xml:space="preserve">Hale ME, </w:t>
      </w:r>
      <w:proofErr w:type="spellStart"/>
      <w:r w:rsidRPr="006F246D">
        <w:rPr>
          <w:rFonts w:ascii="Arial" w:hAnsi="Arial" w:cs="Arial"/>
        </w:rPr>
        <w:t>Dvergsten</w:t>
      </w:r>
      <w:proofErr w:type="spellEnd"/>
      <w:r w:rsidRPr="006F246D">
        <w:rPr>
          <w:rFonts w:ascii="Arial" w:hAnsi="Arial" w:cs="Arial"/>
        </w:rPr>
        <w:t xml:space="preserve"> C, Gimbel J. Efficacy and safety of oxymorphone extended release in chronic low back pain: results of a randomized, double-blind, placebo- and active-controlled Phase III study. The Journal of Pain. 2005 Jan</w:t>
      </w:r>
      <w:proofErr w:type="gramStart"/>
      <w:r w:rsidRPr="006F246D">
        <w:rPr>
          <w:rFonts w:ascii="Arial" w:hAnsi="Arial" w:cs="Arial"/>
        </w:rPr>
        <w:t>;6</w:t>
      </w:r>
      <w:proofErr w:type="gramEnd"/>
      <w:r w:rsidRPr="006F246D">
        <w:rPr>
          <w:rFonts w:ascii="Arial" w:hAnsi="Arial" w:cs="Arial"/>
        </w:rPr>
        <w:t>(1):21-28.</w:t>
      </w:r>
    </w:p>
    <w:sectPr w:rsidR="005753E3" w:rsidRPr="006F246D" w:rsidSect="00162B15">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1E" w:rsidRDefault="004A581E" w:rsidP="001E5F88">
      <w:pPr>
        <w:spacing w:after="0" w:line="240" w:lineRule="auto"/>
      </w:pPr>
      <w:r>
        <w:separator/>
      </w:r>
    </w:p>
  </w:endnote>
  <w:endnote w:type="continuationSeparator" w:id="0">
    <w:p w:rsidR="004A581E" w:rsidRDefault="004A581E" w:rsidP="001E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yriadPro-BoldCon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5F" w:rsidRPr="00071184" w:rsidRDefault="0035625F" w:rsidP="007219C0">
    <w:pPr>
      <w:pStyle w:val="Footer"/>
      <w:pBdr>
        <w:bottom w:val="double" w:sz="12" w:space="1"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35625F" w:rsidTr="00C11BC4">
      <w:trPr>
        <w:jc w:val="center"/>
      </w:trPr>
      <w:tc>
        <w:tcPr>
          <w:tcW w:w="1420" w:type="pct"/>
        </w:tcPr>
        <w:p w:rsidR="0035625F" w:rsidRPr="005C154A" w:rsidRDefault="0035625F" w:rsidP="00C11BC4">
          <w:pPr>
            <w:pStyle w:val="Footer"/>
            <w:spacing w:after="0"/>
          </w:pPr>
          <w:r>
            <w:rPr>
              <w:noProof/>
            </w:rPr>
            <w:drawing>
              <wp:inline distT="0" distB="0" distL="0" distR="0" wp14:anchorId="635AF9F1" wp14:editId="343375D5">
                <wp:extent cx="1391285" cy="492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35625F" w:rsidRPr="00C11BC4" w:rsidRDefault="0035625F"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486C9D">
            <w:rPr>
              <w:rStyle w:val="PageNumber"/>
              <w:rFonts w:ascii="Arial" w:hAnsi="Arial" w:cs="Arial"/>
              <w:noProof/>
              <w:sz w:val="18"/>
              <w:szCs w:val="18"/>
            </w:rPr>
            <w:t>5</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486C9D">
            <w:rPr>
              <w:rStyle w:val="PageNumber"/>
              <w:rFonts w:ascii="Arial" w:hAnsi="Arial" w:cs="Arial"/>
              <w:noProof/>
              <w:sz w:val="18"/>
              <w:szCs w:val="18"/>
            </w:rPr>
            <w:t>9</w:t>
          </w:r>
          <w:r w:rsidRPr="00C11BC4">
            <w:rPr>
              <w:rStyle w:val="PageNumber"/>
              <w:rFonts w:ascii="Arial" w:hAnsi="Arial" w:cs="Arial"/>
              <w:sz w:val="18"/>
              <w:szCs w:val="18"/>
            </w:rPr>
            <w:fldChar w:fldCharType="end"/>
          </w:r>
        </w:p>
        <w:p w:rsidR="0035625F" w:rsidRDefault="0035625F" w:rsidP="00C06B2D">
          <w:pPr>
            <w:pStyle w:val="Footer"/>
            <w:spacing w:after="0"/>
            <w:jc w:val="center"/>
          </w:pPr>
          <w:r w:rsidRPr="00C11BC4">
            <w:rPr>
              <w:rStyle w:val="PageNumber"/>
              <w:rFonts w:ascii="Arial" w:hAnsi="Arial" w:cs="Arial"/>
              <w:sz w:val="18"/>
              <w:szCs w:val="18"/>
            </w:rPr>
            <w:t>C</w:t>
          </w:r>
          <w:r w:rsidRPr="00C11BC4">
            <w:rPr>
              <w:rFonts w:ascii="Arial" w:hAnsi="Arial" w:cs="Arial"/>
              <w:sz w:val="18"/>
              <w:szCs w:val="18"/>
            </w:rPr>
            <w:t xml:space="preserve">opyright </w:t>
          </w:r>
          <w:r>
            <w:rPr>
              <w:rFonts w:ascii="Arial" w:hAnsi="Arial" w:cs="Arial"/>
              <w:sz w:val="18"/>
              <w:szCs w:val="18"/>
            </w:rPr>
            <w:t>2015</w:t>
          </w:r>
          <w:r w:rsidRPr="0079370C">
            <w:rPr>
              <w:rFonts w:ascii="Arial" w:hAnsi="Arial" w:cs="Arial"/>
              <w:sz w:val="18"/>
              <w:szCs w:val="18"/>
            </w:rPr>
            <w:t xml:space="preserve"> </w:t>
          </w:r>
          <w:r w:rsidRPr="00C11BC4">
            <w:rPr>
              <w:rFonts w:ascii="Arial" w:hAnsi="Arial" w:cs="Arial"/>
              <w:sz w:val="18"/>
              <w:szCs w:val="18"/>
            </w:rPr>
            <w:t xml:space="preserve">• Review Completed on </w:t>
          </w:r>
          <w:r>
            <w:rPr>
              <w:rFonts w:ascii="Arial" w:hAnsi="Arial" w:cs="Arial"/>
              <w:sz w:val="18"/>
              <w:szCs w:val="18"/>
            </w:rPr>
            <w:t>12/15/2015</w:t>
          </w:r>
        </w:p>
      </w:tc>
      <w:tc>
        <w:tcPr>
          <w:tcW w:w="1306" w:type="pct"/>
        </w:tcPr>
        <w:p w:rsidR="0035625F" w:rsidRDefault="0035625F" w:rsidP="00C11BC4">
          <w:pPr>
            <w:pStyle w:val="Footer"/>
            <w:spacing w:after="0"/>
            <w:jc w:val="right"/>
          </w:pPr>
        </w:p>
      </w:tc>
    </w:tr>
  </w:tbl>
  <w:p w:rsidR="0035625F" w:rsidRPr="00071184" w:rsidRDefault="0035625F" w:rsidP="00763120">
    <w:pPr>
      <w:pStyle w:val="NoSpacing"/>
      <w:rPr>
        <w:rFonts w:ascii="Arial" w:hAnsi="Arial" w:cs="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5F" w:rsidRPr="00071184" w:rsidRDefault="0035625F" w:rsidP="009632B9">
    <w:pPr>
      <w:pStyle w:val="Footer"/>
      <w:pBdr>
        <w:bottom w:val="double" w:sz="12" w:space="1" w:color="auto"/>
      </w:pBdr>
      <w:spacing w:after="120"/>
      <w:rPr>
        <w:rFonts w:ascii="Arial" w:hAnsi="Arial" w:cs="Arial"/>
        <w:sz w:val="2"/>
        <w:szCs w:val="16"/>
      </w:rPr>
    </w:pPr>
  </w:p>
  <w:tbl>
    <w:tblPr>
      <w:tblW w:w="4895" w:type="pct"/>
      <w:jc w:val="center"/>
      <w:tblLayout w:type="fixed"/>
      <w:tblCellMar>
        <w:left w:w="115" w:type="dxa"/>
        <w:right w:w="115" w:type="dxa"/>
      </w:tblCellMar>
      <w:tblLook w:val="01E0" w:firstRow="1" w:lastRow="1" w:firstColumn="1" w:lastColumn="1" w:noHBand="0" w:noVBand="0"/>
    </w:tblPr>
    <w:tblGrid>
      <w:gridCol w:w="2674"/>
      <w:gridCol w:w="4283"/>
      <w:gridCol w:w="2432"/>
    </w:tblGrid>
    <w:tr w:rsidR="0035625F" w:rsidTr="004B173B">
      <w:trPr>
        <w:jc w:val="center"/>
      </w:trPr>
      <w:tc>
        <w:tcPr>
          <w:tcW w:w="1424" w:type="pct"/>
        </w:tcPr>
        <w:p w:rsidR="0035625F" w:rsidRPr="005C154A" w:rsidRDefault="0035625F" w:rsidP="00C11BC4">
          <w:pPr>
            <w:pStyle w:val="Footer"/>
            <w:spacing w:after="0"/>
          </w:pPr>
          <w:r>
            <w:rPr>
              <w:noProof/>
            </w:rPr>
            <w:drawing>
              <wp:inline distT="0" distB="0" distL="0" distR="0" wp14:anchorId="6CF63CFE" wp14:editId="3D8EC480">
                <wp:extent cx="1391285" cy="492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81" w:type="pct"/>
        </w:tcPr>
        <w:p w:rsidR="0035625F" w:rsidRPr="00C11BC4" w:rsidRDefault="0035625F"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486C9D">
            <w:rPr>
              <w:rStyle w:val="PageNumber"/>
              <w:rFonts w:ascii="Arial" w:hAnsi="Arial" w:cs="Arial"/>
              <w:noProof/>
              <w:sz w:val="18"/>
              <w:szCs w:val="18"/>
            </w:rPr>
            <w:t>1</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486C9D">
            <w:rPr>
              <w:rStyle w:val="PageNumber"/>
              <w:rFonts w:ascii="Arial" w:hAnsi="Arial" w:cs="Arial"/>
              <w:noProof/>
              <w:sz w:val="18"/>
              <w:szCs w:val="18"/>
            </w:rPr>
            <w:t>24</w:t>
          </w:r>
          <w:r w:rsidRPr="00C11BC4">
            <w:rPr>
              <w:rStyle w:val="PageNumber"/>
              <w:rFonts w:ascii="Arial" w:hAnsi="Arial" w:cs="Arial"/>
              <w:sz w:val="18"/>
              <w:szCs w:val="18"/>
            </w:rPr>
            <w:fldChar w:fldCharType="end"/>
          </w:r>
        </w:p>
        <w:p w:rsidR="0035625F" w:rsidRDefault="0035625F" w:rsidP="00CC06E3">
          <w:pPr>
            <w:pStyle w:val="Footer"/>
            <w:spacing w:after="0"/>
            <w:jc w:val="center"/>
          </w:pPr>
          <w:r w:rsidRPr="00C11BC4">
            <w:rPr>
              <w:rStyle w:val="PageNumber"/>
              <w:rFonts w:ascii="Arial" w:hAnsi="Arial" w:cs="Arial"/>
              <w:sz w:val="18"/>
              <w:szCs w:val="18"/>
            </w:rPr>
            <w:t>C</w:t>
          </w:r>
          <w:r w:rsidRPr="00C11BC4">
            <w:rPr>
              <w:rFonts w:ascii="Arial" w:hAnsi="Arial" w:cs="Arial"/>
              <w:sz w:val="18"/>
              <w:szCs w:val="18"/>
            </w:rPr>
            <w:t xml:space="preserve">opyright </w:t>
          </w:r>
          <w:r>
            <w:rPr>
              <w:rFonts w:ascii="Arial" w:hAnsi="Arial" w:cs="Arial"/>
              <w:sz w:val="18"/>
              <w:szCs w:val="18"/>
            </w:rPr>
            <w:t>2015</w:t>
          </w:r>
          <w:r w:rsidRPr="0079370C">
            <w:rPr>
              <w:rFonts w:ascii="Arial" w:hAnsi="Arial" w:cs="Arial"/>
              <w:sz w:val="18"/>
              <w:szCs w:val="18"/>
            </w:rPr>
            <w:t xml:space="preserve"> </w:t>
          </w:r>
          <w:r w:rsidRPr="00C11BC4">
            <w:rPr>
              <w:rFonts w:ascii="Arial" w:hAnsi="Arial" w:cs="Arial"/>
              <w:sz w:val="18"/>
              <w:szCs w:val="18"/>
            </w:rPr>
            <w:t xml:space="preserve">• Review Completed on </w:t>
          </w:r>
          <w:r>
            <w:rPr>
              <w:rFonts w:ascii="Arial" w:hAnsi="Arial" w:cs="Arial"/>
              <w:sz w:val="18"/>
              <w:szCs w:val="18"/>
            </w:rPr>
            <w:t>12/15/2015</w:t>
          </w:r>
        </w:p>
      </w:tc>
      <w:tc>
        <w:tcPr>
          <w:tcW w:w="1295" w:type="pct"/>
        </w:tcPr>
        <w:p w:rsidR="0035625F" w:rsidRDefault="0035625F" w:rsidP="004B173B">
          <w:pPr>
            <w:pStyle w:val="Footer"/>
            <w:spacing w:after="0"/>
            <w:jc w:val="center"/>
          </w:pPr>
        </w:p>
      </w:tc>
    </w:tr>
  </w:tbl>
  <w:p w:rsidR="0035625F" w:rsidRDefault="0035625F" w:rsidP="009632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5F" w:rsidRPr="00071184" w:rsidRDefault="0035625F" w:rsidP="007219C0">
    <w:pPr>
      <w:pStyle w:val="Footer"/>
      <w:pBdr>
        <w:bottom w:val="double" w:sz="12" w:space="1"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3679"/>
      <w:gridCol w:w="5891"/>
      <w:gridCol w:w="3383"/>
    </w:tblGrid>
    <w:tr w:rsidR="0035625F" w:rsidTr="00C11BC4">
      <w:trPr>
        <w:jc w:val="center"/>
      </w:trPr>
      <w:tc>
        <w:tcPr>
          <w:tcW w:w="1420" w:type="pct"/>
        </w:tcPr>
        <w:p w:rsidR="0035625F" w:rsidRPr="005C154A" w:rsidRDefault="0035625F" w:rsidP="00C11BC4">
          <w:pPr>
            <w:pStyle w:val="Footer"/>
            <w:spacing w:after="0"/>
          </w:pPr>
          <w:r>
            <w:rPr>
              <w:noProof/>
            </w:rPr>
            <w:drawing>
              <wp:inline distT="0" distB="0" distL="0" distR="0" wp14:anchorId="0D89DF88" wp14:editId="7D512DAF">
                <wp:extent cx="1391285" cy="492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35625F" w:rsidRPr="00C11BC4" w:rsidRDefault="0035625F"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486C9D">
            <w:rPr>
              <w:rStyle w:val="PageNumber"/>
              <w:rFonts w:ascii="Arial" w:hAnsi="Arial" w:cs="Arial"/>
              <w:noProof/>
              <w:sz w:val="18"/>
              <w:szCs w:val="18"/>
            </w:rPr>
            <w:t>13</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486C9D">
            <w:rPr>
              <w:rStyle w:val="PageNumber"/>
              <w:rFonts w:ascii="Arial" w:hAnsi="Arial" w:cs="Arial"/>
              <w:noProof/>
              <w:sz w:val="18"/>
              <w:szCs w:val="18"/>
            </w:rPr>
            <w:t>17</w:t>
          </w:r>
          <w:r w:rsidRPr="00C11BC4">
            <w:rPr>
              <w:rStyle w:val="PageNumber"/>
              <w:rFonts w:ascii="Arial" w:hAnsi="Arial" w:cs="Arial"/>
              <w:sz w:val="18"/>
              <w:szCs w:val="18"/>
            </w:rPr>
            <w:fldChar w:fldCharType="end"/>
          </w:r>
        </w:p>
        <w:p w:rsidR="0035625F" w:rsidRDefault="0035625F" w:rsidP="00CC06E3">
          <w:pPr>
            <w:pStyle w:val="Footer"/>
            <w:spacing w:after="0"/>
            <w:jc w:val="center"/>
          </w:pPr>
          <w:r w:rsidRPr="00C11BC4">
            <w:rPr>
              <w:rStyle w:val="PageNumber"/>
              <w:rFonts w:ascii="Arial" w:hAnsi="Arial" w:cs="Arial"/>
              <w:sz w:val="18"/>
              <w:szCs w:val="18"/>
            </w:rPr>
            <w:t>C</w:t>
          </w:r>
          <w:r w:rsidRPr="00C11BC4">
            <w:rPr>
              <w:rFonts w:ascii="Arial" w:hAnsi="Arial" w:cs="Arial"/>
              <w:sz w:val="18"/>
              <w:szCs w:val="18"/>
            </w:rPr>
            <w:t xml:space="preserve">opyright </w:t>
          </w:r>
          <w:r>
            <w:rPr>
              <w:rFonts w:ascii="Arial" w:hAnsi="Arial" w:cs="Arial"/>
              <w:sz w:val="18"/>
              <w:szCs w:val="18"/>
            </w:rPr>
            <w:t>2015</w:t>
          </w:r>
          <w:r w:rsidRPr="0079370C">
            <w:rPr>
              <w:rFonts w:ascii="Arial" w:hAnsi="Arial" w:cs="Arial"/>
              <w:sz w:val="18"/>
              <w:szCs w:val="18"/>
            </w:rPr>
            <w:t xml:space="preserve"> </w:t>
          </w:r>
          <w:r w:rsidRPr="00C11BC4">
            <w:rPr>
              <w:rFonts w:ascii="Arial" w:hAnsi="Arial" w:cs="Arial"/>
              <w:sz w:val="18"/>
              <w:szCs w:val="18"/>
            </w:rPr>
            <w:t xml:space="preserve">• Review Completed on </w:t>
          </w:r>
          <w:r>
            <w:rPr>
              <w:rFonts w:ascii="Arial" w:hAnsi="Arial" w:cs="Arial"/>
              <w:sz w:val="18"/>
              <w:szCs w:val="18"/>
            </w:rPr>
            <w:t>12/15/2015</w:t>
          </w:r>
        </w:p>
      </w:tc>
      <w:tc>
        <w:tcPr>
          <w:tcW w:w="1306" w:type="pct"/>
        </w:tcPr>
        <w:p w:rsidR="0035625F" w:rsidRDefault="0035625F" w:rsidP="00C11BC4">
          <w:pPr>
            <w:pStyle w:val="Footer"/>
            <w:spacing w:after="0"/>
            <w:jc w:val="right"/>
          </w:pPr>
        </w:p>
      </w:tc>
    </w:tr>
  </w:tbl>
  <w:p w:rsidR="0035625F" w:rsidRPr="00071184" w:rsidRDefault="0035625F" w:rsidP="00763120">
    <w:pPr>
      <w:pStyle w:val="NoSpacing"/>
      <w:rPr>
        <w:rFonts w:ascii="Arial" w:hAnsi="Arial" w:cs="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5F" w:rsidRPr="00071184" w:rsidRDefault="0035625F" w:rsidP="007F22D1">
    <w:pPr>
      <w:pStyle w:val="Footer"/>
      <w:pBdr>
        <w:bottom w:val="double" w:sz="12" w:space="0"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35625F" w:rsidTr="00C11BC4">
      <w:trPr>
        <w:jc w:val="center"/>
      </w:trPr>
      <w:tc>
        <w:tcPr>
          <w:tcW w:w="1420" w:type="pct"/>
        </w:tcPr>
        <w:p w:rsidR="0035625F" w:rsidRPr="005C154A" w:rsidRDefault="0035625F" w:rsidP="00C11BC4">
          <w:pPr>
            <w:pStyle w:val="Footer"/>
            <w:spacing w:after="0"/>
          </w:pPr>
          <w:r>
            <w:rPr>
              <w:noProof/>
            </w:rPr>
            <w:drawing>
              <wp:inline distT="0" distB="0" distL="0" distR="0" wp14:anchorId="56FAEDF8" wp14:editId="738817AF">
                <wp:extent cx="1391285" cy="49276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35625F" w:rsidRPr="00C11BC4" w:rsidRDefault="0035625F"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486C9D">
            <w:rPr>
              <w:rStyle w:val="PageNumber"/>
              <w:rFonts w:ascii="Arial" w:hAnsi="Arial" w:cs="Arial"/>
              <w:noProof/>
              <w:sz w:val="18"/>
              <w:szCs w:val="18"/>
            </w:rPr>
            <w:t>24</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486C9D">
            <w:rPr>
              <w:rStyle w:val="PageNumber"/>
              <w:rFonts w:ascii="Arial" w:hAnsi="Arial" w:cs="Arial"/>
              <w:noProof/>
              <w:sz w:val="18"/>
              <w:szCs w:val="18"/>
            </w:rPr>
            <w:t>24</w:t>
          </w:r>
          <w:r w:rsidRPr="00C11BC4">
            <w:rPr>
              <w:rStyle w:val="PageNumber"/>
              <w:rFonts w:ascii="Arial" w:hAnsi="Arial" w:cs="Arial"/>
              <w:sz w:val="18"/>
              <w:szCs w:val="18"/>
            </w:rPr>
            <w:fldChar w:fldCharType="end"/>
          </w:r>
        </w:p>
        <w:p w:rsidR="0035625F" w:rsidRDefault="0035625F" w:rsidP="0079370C">
          <w:pPr>
            <w:pStyle w:val="Footer"/>
            <w:spacing w:after="0"/>
            <w:jc w:val="center"/>
          </w:pPr>
          <w:r w:rsidRPr="00C11BC4">
            <w:rPr>
              <w:rStyle w:val="PageNumber"/>
              <w:rFonts w:ascii="Arial" w:hAnsi="Arial" w:cs="Arial"/>
              <w:sz w:val="18"/>
              <w:szCs w:val="18"/>
            </w:rPr>
            <w:t>C</w:t>
          </w:r>
          <w:r w:rsidRPr="00C11BC4">
            <w:rPr>
              <w:rFonts w:ascii="Arial" w:hAnsi="Arial" w:cs="Arial"/>
              <w:sz w:val="18"/>
              <w:szCs w:val="18"/>
            </w:rPr>
            <w:t xml:space="preserve">opyright </w:t>
          </w:r>
          <w:r>
            <w:rPr>
              <w:rFonts w:ascii="Arial" w:hAnsi="Arial" w:cs="Arial"/>
              <w:sz w:val="18"/>
              <w:szCs w:val="18"/>
            </w:rPr>
            <w:t>2015</w:t>
          </w:r>
          <w:r w:rsidRPr="0079370C">
            <w:rPr>
              <w:rFonts w:ascii="Arial" w:hAnsi="Arial" w:cs="Arial"/>
              <w:sz w:val="18"/>
              <w:szCs w:val="18"/>
            </w:rPr>
            <w:t xml:space="preserve"> </w:t>
          </w:r>
          <w:r w:rsidRPr="00C11BC4">
            <w:rPr>
              <w:rFonts w:ascii="Arial" w:hAnsi="Arial" w:cs="Arial"/>
              <w:sz w:val="18"/>
              <w:szCs w:val="18"/>
            </w:rPr>
            <w:t xml:space="preserve">• Review Completed on </w:t>
          </w:r>
          <w:r>
            <w:rPr>
              <w:rFonts w:ascii="Arial" w:hAnsi="Arial" w:cs="Arial"/>
              <w:sz w:val="18"/>
              <w:szCs w:val="18"/>
            </w:rPr>
            <w:t>12/15/2015</w:t>
          </w:r>
        </w:p>
      </w:tc>
      <w:tc>
        <w:tcPr>
          <w:tcW w:w="1306" w:type="pct"/>
        </w:tcPr>
        <w:p w:rsidR="0035625F" w:rsidRDefault="0035625F" w:rsidP="00C11BC4">
          <w:pPr>
            <w:pStyle w:val="Footer"/>
            <w:spacing w:after="0"/>
            <w:jc w:val="right"/>
          </w:pPr>
        </w:p>
      </w:tc>
    </w:tr>
  </w:tbl>
  <w:p w:rsidR="0035625F" w:rsidRPr="00071184" w:rsidRDefault="0035625F" w:rsidP="00071184">
    <w:pPr>
      <w:pStyle w:val="NoSpacing"/>
      <w:rPr>
        <w:rFonts w:ascii="Arial" w:hAnsi="Arial" w:cs="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1E" w:rsidRDefault="004A581E" w:rsidP="001E5F88">
      <w:pPr>
        <w:spacing w:after="0" w:line="240" w:lineRule="auto"/>
      </w:pPr>
      <w:r>
        <w:separator/>
      </w:r>
    </w:p>
  </w:footnote>
  <w:footnote w:type="continuationSeparator" w:id="0">
    <w:p w:rsidR="004A581E" w:rsidRDefault="004A581E" w:rsidP="001E5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5F" w:rsidRPr="008B0860" w:rsidRDefault="0035625F" w:rsidP="008B0860">
    <w:pPr>
      <w:pBdr>
        <w:bottom w:val="double" w:sz="12" w:space="1" w:color="auto"/>
      </w:pBdr>
      <w:tabs>
        <w:tab w:val="center" w:pos="4680"/>
        <w:tab w:val="right" w:pos="9360"/>
      </w:tabs>
      <w:spacing w:after="0"/>
      <w:rPr>
        <w:rFonts w:ascii="Arial" w:hAnsi="Arial" w:cs="Arial"/>
        <w:color w:val="FF0000"/>
        <w:sz w:val="18"/>
        <w:szCs w:val="18"/>
        <w:u w:val="single"/>
      </w:rPr>
    </w:pPr>
    <w:r>
      <w:rPr>
        <w:rFonts w:ascii="Arial" w:hAnsi="Arial" w:cs="Arial"/>
        <w:sz w:val="18"/>
        <w:szCs w:val="18"/>
        <w:u w:val="single"/>
      </w:rPr>
      <w:t>Drug Formulary Commission Monograph</w:t>
    </w:r>
    <w:r w:rsidRPr="008B0860">
      <w:rPr>
        <w:rFonts w:ascii="Arial" w:hAnsi="Arial" w:cs="Arial"/>
        <w:sz w:val="18"/>
        <w:szCs w:val="18"/>
        <w:u w:val="single"/>
      </w:rPr>
      <w:t>:</w:t>
    </w:r>
    <w:r w:rsidRPr="008B0860">
      <w:rPr>
        <w:rFonts w:ascii="Arial" w:hAnsi="Arial" w:cs="Arial"/>
        <w:color w:val="FF0000"/>
        <w:sz w:val="18"/>
        <w:szCs w:val="18"/>
        <w:u w:val="single"/>
      </w:rPr>
      <w:t xml:space="preserve"> </w:t>
    </w:r>
    <w:r>
      <w:rPr>
        <w:rFonts w:ascii="Arial" w:hAnsi="Arial" w:cs="Arial"/>
        <w:color w:val="000000"/>
        <w:sz w:val="18"/>
        <w:szCs w:val="18"/>
        <w:u w:val="single"/>
      </w:rPr>
      <w:t>oxymorphone extended-release (</w:t>
    </w:r>
    <w:r w:rsidRPr="000C4F56">
      <w:rPr>
        <w:rFonts w:ascii="Arial" w:hAnsi="Arial" w:cs="Arial"/>
        <w:color w:val="000000"/>
        <w:sz w:val="18"/>
        <w:szCs w:val="18"/>
        <w:u w:val="single"/>
      </w:rPr>
      <w:t>Opana</w:t>
    </w:r>
    <w:r w:rsidRPr="000C4F56">
      <w:rPr>
        <w:rFonts w:ascii="Arial" w:hAnsi="Arial" w:cs="Arial"/>
        <w:sz w:val="20"/>
        <w:szCs w:val="20"/>
        <w:u w:val="single"/>
        <w:vertAlign w:val="superscript"/>
      </w:rPr>
      <w:t>®</w:t>
    </w:r>
    <w:r>
      <w:rPr>
        <w:rFonts w:ascii="Arial" w:hAnsi="Arial" w:cs="Arial"/>
        <w:color w:val="000000"/>
        <w:sz w:val="18"/>
        <w:szCs w:val="18"/>
        <w:u w:val="single"/>
      </w:rPr>
      <w:t xml:space="preserve"> ER</w:t>
    </w:r>
    <w:r w:rsidRPr="008B0860">
      <w:rPr>
        <w:rFonts w:ascii="Arial" w:hAnsi="Arial" w:cs="Arial"/>
        <w:color w:val="000000"/>
        <w:sz w:val="18"/>
        <w:szCs w:val="18"/>
        <w:u w:val="single"/>
      </w:rPr>
      <w:t>)</w:t>
    </w:r>
    <w:r w:rsidRPr="008B0860">
      <w:rPr>
        <w:rFonts w:ascii="Arial" w:hAnsi="Arial" w:cs="Arial"/>
        <w:color w:val="FF0000"/>
        <w:sz w:val="18"/>
        <w:szCs w:val="18"/>
      </w:rPr>
      <w:t xml:space="preserve"> </w:t>
    </w:r>
    <w:r w:rsidRPr="008B0860">
      <w:rPr>
        <w:rFonts w:ascii="Arial" w:hAnsi="Arial" w:cs="Arial"/>
        <w:color w:val="FF0000"/>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5F" w:rsidRPr="00D40A11" w:rsidRDefault="0035625F" w:rsidP="009632B9">
    <w:pPr>
      <w:pStyle w:val="Header"/>
      <w:pBdr>
        <w:bottom w:val="double" w:sz="12" w:space="1" w:color="auto"/>
      </w:pBdr>
      <w:rPr>
        <w:rFonts w:ascii="Arial" w:hAnsi="Arial" w:cs="Arial"/>
        <w:color w:val="FF0000"/>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27B8"/>
    <w:multiLevelType w:val="multilevel"/>
    <w:tmpl w:val="713470E8"/>
    <w:lvl w:ilvl="0">
      <w:start w:val="1"/>
      <w:numFmt w:val="bullet"/>
      <w:lvlText w:val=""/>
      <w:lvlJc w:val="left"/>
      <w:pPr>
        <w:tabs>
          <w:tab w:val="num" w:pos="-7710"/>
        </w:tabs>
        <w:ind w:left="-7710" w:hanging="360"/>
      </w:pPr>
      <w:rPr>
        <w:rFonts w:ascii="Symbol" w:hAnsi="Symbol" w:hint="default"/>
        <w:sz w:val="20"/>
      </w:rPr>
    </w:lvl>
    <w:lvl w:ilvl="1" w:tentative="1">
      <w:start w:val="1"/>
      <w:numFmt w:val="bullet"/>
      <w:lvlText w:val="o"/>
      <w:lvlJc w:val="left"/>
      <w:pPr>
        <w:tabs>
          <w:tab w:val="num" w:pos="-6990"/>
        </w:tabs>
        <w:ind w:left="-6990" w:hanging="360"/>
      </w:pPr>
      <w:rPr>
        <w:rFonts w:ascii="Courier New" w:hAnsi="Courier New" w:hint="default"/>
        <w:sz w:val="20"/>
      </w:rPr>
    </w:lvl>
    <w:lvl w:ilvl="2" w:tentative="1">
      <w:start w:val="1"/>
      <w:numFmt w:val="bullet"/>
      <w:lvlText w:val=""/>
      <w:lvlJc w:val="left"/>
      <w:pPr>
        <w:tabs>
          <w:tab w:val="num" w:pos="-6270"/>
        </w:tabs>
        <w:ind w:left="-6270" w:hanging="360"/>
      </w:pPr>
      <w:rPr>
        <w:rFonts w:ascii="Wingdings" w:hAnsi="Wingdings" w:hint="default"/>
        <w:sz w:val="20"/>
      </w:rPr>
    </w:lvl>
    <w:lvl w:ilvl="3" w:tentative="1">
      <w:start w:val="1"/>
      <w:numFmt w:val="bullet"/>
      <w:lvlText w:val=""/>
      <w:lvlJc w:val="left"/>
      <w:pPr>
        <w:tabs>
          <w:tab w:val="num" w:pos="-5550"/>
        </w:tabs>
        <w:ind w:left="-5550" w:hanging="360"/>
      </w:pPr>
      <w:rPr>
        <w:rFonts w:ascii="Wingdings" w:hAnsi="Wingdings" w:hint="default"/>
        <w:sz w:val="20"/>
      </w:rPr>
    </w:lvl>
    <w:lvl w:ilvl="4" w:tentative="1">
      <w:start w:val="1"/>
      <w:numFmt w:val="bullet"/>
      <w:lvlText w:val=""/>
      <w:lvlJc w:val="left"/>
      <w:pPr>
        <w:tabs>
          <w:tab w:val="num" w:pos="-4830"/>
        </w:tabs>
        <w:ind w:left="-4830" w:hanging="360"/>
      </w:pPr>
      <w:rPr>
        <w:rFonts w:ascii="Wingdings" w:hAnsi="Wingdings" w:hint="default"/>
        <w:sz w:val="20"/>
      </w:rPr>
    </w:lvl>
    <w:lvl w:ilvl="5" w:tentative="1">
      <w:start w:val="1"/>
      <w:numFmt w:val="bullet"/>
      <w:lvlText w:val=""/>
      <w:lvlJc w:val="left"/>
      <w:pPr>
        <w:tabs>
          <w:tab w:val="num" w:pos="-4110"/>
        </w:tabs>
        <w:ind w:left="-4110" w:hanging="360"/>
      </w:pPr>
      <w:rPr>
        <w:rFonts w:ascii="Wingdings" w:hAnsi="Wingdings" w:hint="default"/>
        <w:sz w:val="20"/>
      </w:rPr>
    </w:lvl>
    <w:lvl w:ilvl="6" w:tentative="1">
      <w:start w:val="1"/>
      <w:numFmt w:val="bullet"/>
      <w:lvlText w:val=""/>
      <w:lvlJc w:val="left"/>
      <w:pPr>
        <w:tabs>
          <w:tab w:val="num" w:pos="-3390"/>
        </w:tabs>
        <w:ind w:left="-3390" w:hanging="360"/>
      </w:pPr>
      <w:rPr>
        <w:rFonts w:ascii="Wingdings" w:hAnsi="Wingdings" w:hint="default"/>
        <w:sz w:val="20"/>
      </w:rPr>
    </w:lvl>
    <w:lvl w:ilvl="7" w:tentative="1">
      <w:start w:val="1"/>
      <w:numFmt w:val="bullet"/>
      <w:lvlText w:val=""/>
      <w:lvlJc w:val="left"/>
      <w:pPr>
        <w:tabs>
          <w:tab w:val="num" w:pos="-2670"/>
        </w:tabs>
        <w:ind w:left="-2670" w:hanging="360"/>
      </w:pPr>
      <w:rPr>
        <w:rFonts w:ascii="Wingdings" w:hAnsi="Wingdings" w:hint="default"/>
        <w:sz w:val="20"/>
      </w:rPr>
    </w:lvl>
    <w:lvl w:ilvl="8" w:tentative="1">
      <w:start w:val="1"/>
      <w:numFmt w:val="bullet"/>
      <w:lvlText w:val=""/>
      <w:lvlJc w:val="left"/>
      <w:pPr>
        <w:tabs>
          <w:tab w:val="num" w:pos="-1950"/>
        </w:tabs>
        <w:ind w:left="-1950" w:hanging="360"/>
      </w:pPr>
      <w:rPr>
        <w:rFonts w:ascii="Wingdings" w:hAnsi="Wingdings" w:hint="default"/>
        <w:sz w:val="20"/>
      </w:rPr>
    </w:lvl>
  </w:abstractNum>
  <w:abstractNum w:abstractNumId="1">
    <w:nsid w:val="069075AB"/>
    <w:multiLevelType w:val="hybridMultilevel"/>
    <w:tmpl w:val="AA725C2A"/>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54837"/>
    <w:multiLevelType w:val="multilevel"/>
    <w:tmpl w:val="32F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D19DA"/>
    <w:multiLevelType w:val="hybridMultilevel"/>
    <w:tmpl w:val="DF882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AE4833"/>
    <w:multiLevelType w:val="hybridMultilevel"/>
    <w:tmpl w:val="7334ED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6B31BA"/>
    <w:multiLevelType w:val="hybridMultilevel"/>
    <w:tmpl w:val="4508B0DC"/>
    <w:lvl w:ilvl="0" w:tplc="6218D1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36AFC"/>
    <w:multiLevelType w:val="multilevel"/>
    <w:tmpl w:val="19D8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07995"/>
    <w:multiLevelType w:val="hybridMultilevel"/>
    <w:tmpl w:val="E5E066D8"/>
    <w:lvl w:ilvl="0" w:tplc="02C23B20">
      <w:start w:val="1"/>
      <w:numFmt w:val="decimal"/>
      <w:lvlText w:val="%1."/>
      <w:lvlJc w:val="left"/>
      <w:pPr>
        <w:ind w:left="360" w:hanging="360"/>
      </w:pPr>
      <w:rPr>
        <w:rFonts w:ascii="Arial" w:eastAsia="Calibri" w:hAnsi="Arial" w:cs="Arial"/>
        <w:b w:val="0"/>
        <w:color w:val="auto"/>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97F270A"/>
    <w:multiLevelType w:val="multilevel"/>
    <w:tmpl w:val="DD2C6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E77DB7"/>
    <w:multiLevelType w:val="hybridMultilevel"/>
    <w:tmpl w:val="AA505A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AE0481"/>
    <w:multiLevelType w:val="hybridMultilevel"/>
    <w:tmpl w:val="090C57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D021C46"/>
    <w:multiLevelType w:val="multilevel"/>
    <w:tmpl w:val="A802C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B67F23"/>
    <w:multiLevelType w:val="hybridMultilevel"/>
    <w:tmpl w:val="7288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561BC8"/>
    <w:multiLevelType w:val="hybridMultilevel"/>
    <w:tmpl w:val="672C982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B86345"/>
    <w:multiLevelType w:val="multilevel"/>
    <w:tmpl w:val="3C66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F82340"/>
    <w:multiLevelType w:val="hybridMultilevel"/>
    <w:tmpl w:val="5B0423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231A9E"/>
    <w:multiLevelType w:val="hybridMultilevel"/>
    <w:tmpl w:val="F03A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F51A10"/>
    <w:multiLevelType w:val="multilevel"/>
    <w:tmpl w:val="1EB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DF142F"/>
    <w:multiLevelType w:val="multilevel"/>
    <w:tmpl w:val="0454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1"/>
  </w:num>
  <w:num w:numId="4">
    <w:abstractNumId w:val="7"/>
  </w:num>
  <w:num w:numId="5">
    <w:abstractNumId w:val="13"/>
  </w:num>
  <w:num w:numId="6">
    <w:abstractNumId w:val="14"/>
  </w:num>
  <w:num w:numId="7">
    <w:abstractNumId w:val="8"/>
  </w:num>
  <w:num w:numId="8">
    <w:abstractNumId w:val="12"/>
  </w:num>
  <w:num w:numId="9">
    <w:abstractNumId w:val="7"/>
  </w:num>
  <w:num w:numId="10">
    <w:abstractNumId w:val="16"/>
  </w:num>
  <w:num w:numId="11">
    <w:abstractNumId w:val="10"/>
  </w:num>
  <w:num w:numId="12">
    <w:abstractNumId w:val="5"/>
  </w:num>
  <w:num w:numId="13">
    <w:abstractNumId w:val="1"/>
  </w:num>
  <w:num w:numId="14">
    <w:abstractNumId w:val="3"/>
  </w:num>
  <w:num w:numId="15">
    <w:abstractNumId w:val="17"/>
  </w:num>
  <w:num w:numId="16">
    <w:abstractNumId w:val="6"/>
  </w:num>
  <w:num w:numId="17">
    <w:abstractNumId w:val="18"/>
  </w:num>
  <w:num w:numId="18">
    <w:abstractNumId w:val="4"/>
  </w:num>
  <w:num w:numId="19">
    <w:abstractNumId w:val="9"/>
  </w:num>
  <w:num w:numId="20">
    <w:abstractNumId w:val="1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71"/>
    <w:rsid w:val="0000154D"/>
    <w:rsid w:val="00002388"/>
    <w:rsid w:val="00002A01"/>
    <w:rsid w:val="00002BE5"/>
    <w:rsid w:val="00002F2E"/>
    <w:rsid w:val="000037A4"/>
    <w:rsid w:val="00007BBF"/>
    <w:rsid w:val="0001042C"/>
    <w:rsid w:val="0001200F"/>
    <w:rsid w:val="00012DEA"/>
    <w:rsid w:val="000130B1"/>
    <w:rsid w:val="00015B2B"/>
    <w:rsid w:val="00017E9E"/>
    <w:rsid w:val="00017FDA"/>
    <w:rsid w:val="00020A18"/>
    <w:rsid w:val="00021D4C"/>
    <w:rsid w:val="00022FA4"/>
    <w:rsid w:val="00024206"/>
    <w:rsid w:val="0002430F"/>
    <w:rsid w:val="000276E1"/>
    <w:rsid w:val="0003168B"/>
    <w:rsid w:val="00032D3C"/>
    <w:rsid w:val="00035A44"/>
    <w:rsid w:val="00036519"/>
    <w:rsid w:val="000401E7"/>
    <w:rsid w:val="00041D0D"/>
    <w:rsid w:val="00043847"/>
    <w:rsid w:val="00047134"/>
    <w:rsid w:val="000500BF"/>
    <w:rsid w:val="00052548"/>
    <w:rsid w:val="000537EE"/>
    <w:rsid w:val="00060FDE"/>
    <w:rsid w:val="0006427F"/>
    <w:rsid w:val="00070D57"/>
    <w:rsid w:val="00071132"/>
    <w:rsid w:val="00071184"/>
    <w:rsid w:val="00071643"/>
    <w:rsid w:val="00071D84"/>
    <w:rsid w:val="00071E71"/>
    <w:rsid w:val="00073EF2"/>
    <w:rsid w:val="00076356"/>
    <w:rsid w:val="00076E2E"/>
    <w:rsid w:val="000776FD"/>
    <w:rsid w:val="00080C8B"/>
    <w:rsid w:val="00081BA6"/>
    <w:rsid w:val="000860CC"/>
    <w:rsid w:val="000875C4"/>
    <w:rsid w:val="00090699"/>
    <w:rsid w:val="000958C3"/>
    <w:rsid w:val="00096DB9"/>
    <w:rsid w:val="00097922"/>
    <w:rsid w:val="000A1B53"/>
    <w:rsid w:val="000A21B4"/>
    <w:rsid w:val="000A23C9"/>
    <w:rsid w:val="000A30B4"/>
    <w:rsid w:val="000A3FAA"/>
    <w:rsid w:val="000A41C7"/>
    <w:rsid w:val="000A5F73"/>
    <w:rsid w:val="000A6BC9"/>
    <w:rsid w:val="000A6E0B"/>
    <w:rsid w:val="000B40B7"/>
    <w:rsid w:val="000B6100"/>
    <w:rsid w:val="000B6AF9"/>
    <w:rsid w:val="000C143E"/>
    <w:rsid w:val="000C3556"/>
    <w:rsid w:val="000C4953"/>
    <w:rsid w:val="000C4F56"/>
    <w:rsid w:val="000D193B"/>
    <w:rsid w:val="000D2531"/>
    <w:rsid w:val="000D2B95"/>
    <w:rsid w:val="000D3669"/>
    <w:rsid w:val="000D4F05"/>
    <w:rsid w:val="000D5EE3"/>
    <w:rsid w:val="000D677D"/>
    <w:rsid w:val="000E049B"/>
    <w:rsid w:val="000E29CF"/>
    <w:rsid w:val="000E46FF"/>
    <w:rsid w:val="000E4958"/>
    <w:rsid w:val="000E6890"/>
    <w:rsid w:val="000E6E8D"/>
    <w:rsid w:val="000F132F"/>
    <w:rsid w:val="000F1CAD"/>
    <w:rsid w:val="000F1EE0"/>
    <w:rsid w:val="000F40CE"/>
    <w:rsid w:val="000F4975"/>
    <w:rsid w:val="000F693A"/>
    <w:rsid w:val="00100784"/>
    <w:rsid w:val="00103E40"/>
    <w:rsid w:val="00104FE4"/>
    <w:rsid w:val="00105685"/>
    <w:rsid w:val="001074E4"/>
    <w:rsid w:val="00110299"/>
    <w:rsid w:val="00111FF8"/>
    <w:rsid w:val="00114EC9"/>
    <w:rsid w:val="00120BF4"/>
    <w:rsid w:val="00123D19"/>
    <w:rsid w:val="00125467"/>
    <w:rsid w:val="00131F3A"/>
    <w:rsid w:val="00134B51"/>
    <w:rsid w:val="001350F9"/>
    <w:rsid w:val="00135AF1"/>
    <w:rsid w:val="001360E8"/>
    <w:rsid w:val="00137C1F"/>
    <w:rsid w:val="00140859"/>
    <w:rsid w:val="0014148C"/>
    <w:rsid w:val="001421D0"/>
    <w:rsid w:val="00142914"/>
    <w:rsid w:val="0014381E"/>
    <w:rsid w:val="00146708"/>
    <w:rsid w:val="00146956"/>
    <w:rsid w:val="00147A3E"/>
    <w:rsid w:val="00147C05"/>
    <w:rsid w:val="00150F67"/>
    <w:rsid w:val="0015387C"/>
    <w:rsid w:val="00154AD8"/>
    <w:rsid w:val="00161C5D"/>
    <w:rsid w:val="00162B15"/>
    <w:rsid w:val="00164191"/>
    <w:rsid w:val="00165704"/>
    <w:rsid w:val="001709D0"/>
    <w:rsid w:val="001740BE"/>
    <w:rsid w:val="001740EA"/>
    <w:rsid w:val="001744BA"/>
    <w:rsid w:val="00175D67"/>
    <w:rsid w:val="00177E99"/>
    <w:rsid w:val="001811FE"/>
    <w:rsid w:val="00182F9B"/>
    <w:rsid w:val="00184EC9"/>
    <w:rsid w:val="00187660"/>
    <w:rsid w:val="0019074D"/>
    <w:rsid w:val="0019088E"/>
    <w:rsid w:val="00190B26"/>
    <w:rsid w:val="00190D1E"/>
    <w:rsid w:val="001911C2"/>
    <w:rsid w:val="00191349"/>
    <w:rsid w:val="0019281D"/>
    <w:rsid w:val="00192A63"/>
    <w:rsid w:val="00192D81"/>
    <w:rsid w:val="0019441C"/>
    <w:rsid w:val="001950F9"/>
    <w:rsid w:val="001961D2"/>
    <w:rsid w:val="001A032B"/>
    <w:rsid w:val="001A3DE1"/>
    <w:rsid w:val="001A5109"/>
    <w:rsid w:val="001A54FB"/>
    <w:rsid w:val="001A5BB9"/>
    <w:rsid w:val="001A70F1"/>
    <w:rsid w:val="001B0A26"/>
    <w:rsid w:val="001B2AD0"/>
    <w:rsid w:val="001B35F6"/>
    <w:rsid w:val="001B7140"/>
    <w:rsid w:val="001B7F23"/>
    <w:rsid w:val="001C18D9"/>
    <w:rsid w:val="001C2825"/>
    <w:rsid w:val="001C4048"/>
    <w:rsid w:val="001C527E"/>
    <w:rsid w:val="001C5893"/>
    <w:rsid w:val="001C627C"/>
    <w:rsid w:val="001C76B9"/>
    <w:rsid w:val="001D194F"/>
    <w:rsid w:val="001D198E"/>
    <w:rsid w:val="001D19C0"/>
    <w:rsid w:val="001D3188"/>
    <w:rsid w:val="001D3C42"/>
    <w:rsid w:val="001D3C7A"/>
    <w:rsid w:val="001D4078"/>
    <w:rsid w:val="001E00DD"/>
    <w:rsid w:val="001E00E6"/>
    <w:rsid w:val="001E2A1A"/>
    <w:rsid w:val="001E2C80"/>
    <w:rsid w:val="001E2DAC"/>
    <w:rsid w:val="001E3AF7"/>
    <w:rsid w:val="001E4E9A"/>
    <w:rsid w:val="001E5F88"/>
    <w:rsid w:val="001E694B"/>
    <w:rsid w:val="001F3F59"/>
    <w:rsid w:val="001F408A"/>
    <w:rsid w:val="001F5E79"/>
    <w:rsid w:val="001F7CFE"/>
    <w:rsid w:val="0020050E"/>
    <w:rsid w:val="002020FA"/>
    <w:rsid w:val="00202605"/>
    <w:rsid w:val="002028B0"/>
    <w:rsid w:val="0021183C"/>
    <w:rsid w:val="002127A5"/>
    <w:rsid w:val="0021417B"/>
    <w:rsid w:val="0021782F"/>
    <w:rsid w:val="00217FE2"/>
    <w:rsid w:val="00224D80"/>
    <w:rsid w:val="00226AFB"/>
    <w:rsid w:val="00227103"/>
    <w:rsid w:val="002279A4"/>
    <w:rsid w:val="00227F5E"/>
    <w:rsid w:val="00233646"/>
    <w:rsid w:val="00233C28"/>
    <w:rsid w:val="00233EEC"/>
    <w:rsid w:val="00234764"/>
    <w:rsid w:val="00234E13"/>
    <w:rsid w:val="0023638B"/>
    <w:rsid w:val="00237628"/>
    <w:rsid w:val="00237A44"/>
    <w:rsid w:val="00241B07"/>
    <w:rsid w:val="0024472B"/>
    <w:rsid w:val="002456E8"/>
    <w:rsid w:val="00250342"/>
    <w:rsid w:val="002574C5"/>
    <w:rsid w:val="00265FC2"/>
    <w:rsid w:val="002732BC"/>
    <w:rsid w:val="00274907"/>
    <w:rsid w:val="0027610C"/>
    <w:rsid w:val="0027648B"/>
    <w:rsid w:val="002764C8"/>
    <w:rsid w:val="00276A1F"/>
    <w:rsid w:val="00276B24"/>
    <w:rsid w:val="00280890"/>
    <w:rsid w:val="00282805"/>
    <w:rsid w:val="00290082"/>
    <w:rsid w:val="0029098E"/>
    <w:rsid w:val="00290D6C"/>
    <w:rsid w:val="00291BAD"/>
    <w:rsid w:val="00291D40"/>
    <w:rsid w:val="00292A49"/>
    <w:rsid w:val="00297265"/>
    <w:rsid w:val="002A07F7"/>
    <w:rsid w:val="002A15C7"/>
    <w:rsid w:val="002A1FD5"/>
    <w:rsid w:val="002A2397"/>
    <w:rsid w:val="002A281B"/>
    <w:rsid w:val="002A467C"/>
    <w:rsid w:val="002A4748"/>
    <w:rsid w:val="002A5D34"/>
    <w:rsid w:val="002A6481"/>
    <w:rsid w:val="002A7CBA"/>
    <w:rsid w:val="002A7D0D"/>
    <w:rsid w:val="002B0688"/>
    <w:rsid w:val="002B15F5"/>
    <w:rsid w:val="002B4328"/>
    <w:rsid w:val="002B7691"/>
    <w:rsid w:val="002B7E9B"/>
    <w:rsid w:val="002C1389"/>
    <w:rsid w:val="002C16A4"/>
    <w:rsid w:val="002C26EC"/>
    <w:rsid w:val="002C368C"/>
    <w:rsid w:val="002C641C"/>
    <w:rsid w:val="002D4368"/>
    <w:rsid w:val="002D5E5B"/>
    <w:rsid w:val="002E26F9"/>
    <w:rsid w:val="002E3670"/>
    <w:rsid w:val="002E3DE5"/>
    <w:rsid w:val="002E4DE6"/>
    <w:rsid w:val="002E50E2"/>
    <w:rsid w:val="002E5FA4"/>
    <w:rsid w:val="002E6EED"/>
    <w:rsid w:val="002F13C8"/>
    <w:rsid w:val="002F27A2"/>
    <w:rsid w:val="002F320A"/>
    <w:rsid w:val="002F40FA"/>
    <w:rsid w:val="002F5305"/>
    <w:rsid w:val="002F729B"/>
    <w:rsid w:val="002F74AF"/>
    <w:rsid w:val="002F788D"/>
    <w:rsid w:val="003058B9"/>
    <w:rsid w:val="00311F38"/>
    <w:rsid w:val="0031256C"/>
    <w:rsid w:val="00312586"/>
    <w:rsid w:val="003140E7"/>
    <w:rsid w:val="00317076"/>
    <w:rsid w:val="00320F4C"/>
    <w:rsid w:val="00323796"/>
    <w:rsid w:val="00323C87"/>
    <w:rsid w:val="00324083"/>
    <w:rsid w:val="003240E1"/>
    <w:rsid w:val="0032428B"/>
    <w:rsid w:val="0032549C"/>
    <w:rsid w:val="003268DE"/>
    <w:rsid w:val="00327E4C"/>
    <w:rsid w:val="00331AD7"/>
    <w:rsid w:val="00333613"/>
    <w:rsid w:val="003344D9"/>
    <w:rsid w:val="0033496E"/>
    <w:rsid w:val="00336EF4"/>
    <w:rsid w:val="0033720B"/>
    <w:rsid w:val="00346672"/>
    <w:rsid w:val="003518FB"/>
    <w:rsid w:val="00352D7C"/>
    <w:rsid w:val="00352E38"/>
    <w:rsid w:val="003554BE"/>
    <w:rsid w:val="0035625F"/>
    <w:rsid w:val="003573F2"/>
    <w:rsid w:val="00361D47"/>
    <w:rsid w:val="003640E2"/>
    <w:rsid w:val="00364255"/>
    <w:rsid w:val="00366EED"/>
    <w:rsid w:val="003711D7"/>
    <w:rsid w:val="00371846"/>
    <w:rsid w:val="00371A0F"/>
    <w:rsid w:val="00371DE3"/>
    <w:rsid w:val="00372B4E"/>
    <w:rsid w:val="00377AC8"/>
    <w:rsid w:val="003811C7"/>
    <w:rsid w:val="00382360"/>
    <w:rsid w:val="00383488"/>
    <w:rsid w:val="00384366"/>
    <w:rsid w:val="00385ECC"/>
    <w:rsid w:val="0038735C"/>
    <w:rsid w:val="00390BED"/>
    <w:rsid w:val="0039107C"/>
    <w:rsid w:val="00391837"/>
    <w:rsid w:val="003931D3"/>
    <w:rsid w:val="0039355A"/>
    <w:rsid w:val="003975A2"/>
    <w:rsid w:val="0039790E"/>
    <w:rsid w:val="003A09E2"/>
    <w:rsid w:val="003A120E"/>
    <w:rsid w:val="003A1B44"/>
    <w:rsid w:val="003A1D52"/>
    <w:rsid w:val="003A22B6"/>
    <w:rsid w:val="003A6096"/>
    <w:rsid w:val="003A67F1"/>
    <w:rsid w:val="003A718C"/>
    <w:rsid w:val="003B010A"/>
    <w:rsid w:val="003B04FA"/>
    <w:rsid w:val="003B14B9"/>
    <w:rsid w:val="003B2312"/>
    <w:rsid w:val="003B5B3E"/>
    <w:rsid w:val="003B7237"/>
    <w:rsid w:val="003B7C44"/>
    <w:rsid w:val="003C0692"/>
    <w:rsid w:val="003C2B14"/>
    <w:rsid w:val="003C68A8"/>
    <w:rsid w:val="003D04BA"/>
    <w:rsid w:val="003D499D"/>
    <w:rsid w:val="003D6394"/>
    <w:rsid w:val="003D7BBC"/>
    <w:rsid w:val="003E1F82"/>
    <w:rsid w:val="003E241E"/>
    <w:rsid w:val="003E6965"/>
    <w:rsid w:val="003E7337"/>
    <w:rsid w:val="003E780B"/>
    <w:rsid w:val="003E7B65"/>
    <w:rsid w:val="003F046B"/>
    <w:rsid w:val="003F0835"/>
    <w:rsid w:val="003F104E"/>
    <w:rsid w:val="003F1AA3"/>
    <w:rsid w:val="003F5074"/>
    <w:rsid w:val="003F77DA"/>
    <w:rsid w:val="0040037A"/>
    <w:rsid w:val="004009F2"/>
    <w:rsid w:val="00406D3B"/>
    <w:rsid w:val="00407EE9"/>
    <w:rsid w:val="00410457"/>
    <w:rsid w:val="00410FDE"/>
    <w:rsid w:val="004128F5"/>
    <w:rsid w:val="00414944"/>
    <w:rsid w:val="00414C86"/>
    <w:rsid w:val="00414DC1"/>
    <w:rsid w:val="0041563F"/>
    <w:rsid w:val="00416DDD"/>
    <w:rsid w:val="0041702F"/>
    <w:rsid w:val="004178F0"/>
    <w:rsid w:val="00417AA4"/>
    <w:rsid w:val="00421EA1"/>
    <w:rsid w:val="0042324A"/>
    <w:rsid w:val="004261F2"/>
    <w:rsid w:val="00426B73"/>
    <w:rsid w:val="004319A8"/>
    <w:rsid w:val="004325F9"/>
    <w:rsid w:val="00432868"/>
    <w:rsid w:val="004333DA"/>
    <w:rsid w:val="004362BD"/>
    <w:rsid w:val="0044122B"/>
    <w:rsid w:val="00443596"/>
    <w:rsid w:val="00446C14"/>
    <w:rsid w:val="00450975"/>
    <w:rsid w:val="004521A7"/>
    <w:rsid w:val="00452ED0"/>
    <w:rsid w:val="00453785"/>
    <w:rsid w:val="00453ED7"/>
    <w:rsid w:val="0045413A"/>
    <w:rsid w:val="00455700"/>
    <w:rsid w:val="00457029"/>
    <w:rsid w:val="00462485"/>
    <w:rsid w:val="00464B72"/>
    <w:rsid w:val="00465812"/>
    <w:rsid w:val="00466D74"/>
    <w:rsid w:val="00467516"/>
    <w:rsid w:val="004704C6"/>
    <w:rsid w:val="00470A3F"/>
    <w:rsid w:val="00471110"/>
    <w:rsid w:val="00471428"/>
    <w:rsid w:val="00474A1C"/>
    <w:rsid w:val="0047527D"/>
    <w:rsid w:val="00480AD3"/>
    <w:rsid w:val="004828E1"/>
    <w:rsid w:val="004844ED"/>
    <w:rsid w:val="00486022"/>
    <w:rsid w:val="00486C9D"/>
    <w:rsid w:val="00486CF1"/>
    <w:rsid w:val="00487A88"/>
    <w:rsid w:val="00491914"/>
    <w:rsid w:val="00491AFA"/>
    <w:rsid w:val="00491C14"/>
    <w:rsid w:val="004920E8"/>
    <w:rsid w:val="0049378B"/>
    <w:rsid w:val="00494196"/>
    <w:rsid w:val="00494AB5"/>
    <w:rsid w:val="00494EFD"/>
    <w:rsid w:val="004958D5"/>
    <w:rsid w:val="004A0A9C"/>
    <w:rsid w:val="004A15B3"/>
    <w:rsid w:val="004A4C6D"/>
    <w:rsid w:val="004A5149"/>
    <w:rsid w:val="004A581E"/>
    <w:rsid w:val="004A7053"/>
    <w:rsid w:val="004B03F3"/>
    <w:rsid w:val="004B173B"/>
    <w:rsid w:val="004B299E"/>
    <w:rsid w:val="004B2E6F"/>
    <w:rsid w:val="004B2E7B"/>
    <w:rsid w:val="004B4C21"/>
    <w:rsid w:val="004B64C1"/>
    <w:rsid w:val="004B774C"/>
    <w:rsid w:val="004C3FBA"/>
    <w:rsid w:val="004C4383"/>
    <w:rsid w:val="004C7B04"/>
    <w:rsid w:val="004C7C2F"/>
    <w:rsid w:val="004D0385"/>
    <w:rsid w:val="004D2522"/>
    <w:rsid w:val="004D601A"/>
    <w:rsid w:val="004D6238"/>
    <w:rsid w:val="004E3470"/>
    <w:rsid w:val="004E58BF"/>
    <w:rsid w:val="004E5C58"/>
    <w:rsid w:val="004E7C56"/>
    <w:rsid w:val="004F261E"/>
    <w:rsid w:val="004F3495"/>
    <w:rsid w:val="004F4AA4"/>
    <w:rsid w:val="004F5A2D"/>
    <w:rsid w:val="004F61C6"/>
    <w:rsid w:val="005014C0"/>
    <w:rsid w:val="00501AAA"/>
    <w:rsid w:val="00501B1B"/>
    <w:rsid w:val="00501CF7"/>
    <w:rsid w:val="00504E03"/>
    <w:rsid w:val="00504F6B"/>
    <w:rsid w:val="00504F97"/>
    <w:rsid w:val="00505301"/>
    <w:rsid w:val="0050546F"/>
    <w:rsid w:val="005065E9"/>
    <w:rsid w:val="00506A2B"/>
    <w:rsid w:val="00507524"/>
    <w:rsid w:val="005103C2"/>
    <w:rsid w:val="00513476"/>
    <w:rsid w:val="0051607F"/>
    <w:rsid w:val="005162E8"/>
    <w:rsid w:val="00516490"/>
    <w:rsid w:val="00522099"/>
    <w:rsid w:val="00524198"/>
    <w:rsid w:val="0052433B"/>
    <w:rsid w:val="00530E11"/>
    <w:rsid w:val="005333FA"/>
    <w:rsid w:val="00534E5A"/>
    <w:rsid w:val="005356E5"/>
    <w:rsid w:val="005375FE"/>
    <w:rsid w:val="00537903"/>
    <w:rsid w:val="00537D9B"/>
    <w:rsid w:val="00543E6E"/>
    <w:rsid w:val="00546A0E"/>
    <w:rsid w:val="00547FAB"/>
    <w:rsid w:val="0055007D"/>
    <w:rsid w:val="00551BF1"/>
    <w:rsid w:val="00553AF3"/>
    <w:rsid w:val="00555565"/>
    <w:rsid w:val="005560AB"/>
    <w:rsid w:val="0055637E"/>
    <w:rsid w:val="00556E25"/>
    <w:rsid w:val="00556EA8"/>
    <w:rsid w:val="0055761F"/>
    <w:rsid w:val="00557E62"/>
    <w:rsid w:val="005606C3"/>
    <w:rsid w:val="00560B8F"/>
    <w:rsid w:val="00560CAF"/>
    <w:rsid w:val="00561D82"/>
    <w:rsid w:val="00562216"/>
    <w:rsid w:val="00563EE4"/>
    <w:rsid w:val="00564887"/>
    <w:rsid w:val="0056545F"/>
    <w:rsid w:val="005664A1"/>
    <w:rsid w:val="00567499"/>
    <w:rsid w:val="005714DD"/>
    <w:rsid w:val="00571FD9"/>
    <w:rsid w:val="00572EAE"/>
    <w:rsid w:val="005742B7"/>
    <w:rsid w:val="0057477C"/>
    <w:rsid w:val="005753E3"/>
    <w:rsid w:val="00575873"/>
    <w:rsid w:val="00577595"/>
    <w:rsid w:val="00590046"/>
    <w:rsid w:val="00591FA5"/>
    <w:rsid w:val="005921EF"/>
    <w:rsid w:val="00593CEB"/>
    <w:rsid w:val="00594B8D"/>
    <w:rsid w:val="0059558B"/>
    <w:rsid w:val="005960E0"/>
    <w:rsid w:val="005973B2"/>
    <w:rsid w:val="00597C9B"/>
    <w:rsid w:val="005A03E1"/>
    <w:rsid w:val="005A0570"/>
    <w:rsid w:val="005A2733"/>
    <w:rsid w:val="005A4619"/>
    <w:rsid w:val="005A5792"/>
    <w:rsid w:val="005A5B2C"/>
    <w:rsid w:val="005A7516"/>
    <w:rsid w:val="005B18BD"/>
    <w:rsid w:val="005B337C"/>
    <w:rsid w:val="005B44CD"/>
    <w:rsid w:val="005B6BC2"/>
    <w:rsid w:val="005C2D88"/>
    <w:rsid w:val="005C50DB"/>
    <w:rsid w:val="005C60D0"/>
    <w:rsid w:val="005C66A8"/>
    <w:rsid w:val="005C66DD"/>
    <w:rsid w:val="005C78A9"/>
    <w:rsid w:val="005C7923"/>
    <w:rsid w:val="005D22D4"/>
    <w:rsid w:val="005D2663"/>
    <w:rsid w:val="005D548A"/>
    <w:rsid w:val="005E0EBE"/>
    <w:rsid w:val="005E1F1D"/>
    <w:rsid w:val="005E419D"/>
    <w:rsid w:val="005E43AE"/>
    <w:rsid w:val="005E4AEE"/>
    <w:rsid w:val="005E5637"/>
    <w:rsid w:val="005E67CF"/>
    <w:rsid w:val="005E6F0B"/>
    <w:rsid w:val="005E7A09"/>
    <w:rsid w:val="005F180A"/>
    <w:rsid w:val="005F1A5E"/>
    <w:rsid w:val="005F5F0E"/>
    <w:rsid w:val="005F78F7"/>
    <w:rsid w:val="00600064"/>
    <w:rsid w:val="00602D14"/>
    <w:rsid w:val="00603258"/>
    <w:rsid w:val="0060683C"/>
    <w:rsid w:val="006068CC"/>
    <w:rsid w:val="00606A3E"/>
    <w:rsid w:val="00611116"/>
    <w:rsid w:val="00611C73"/>
    <w:rsid w:val="0061380F"/>
    <w:rsid w:val="00613973"/>
    <w:rsid w:val="00614EFC"/>
    <w:rsid w:val="006152BA"/>
    <w:rsid w:val="00615CD0"/>
    <w:rsid w:val="006160A7"/>
    <w:rsid w:val="0062206A"/>
    <w:rsid w:val="00622D12"/>
    <w:rsid w:val="00622DD3"/>
    <w:rsid w:val="00622DEE"/>
    <w:rsid w:val="0062381D"/>
    <w:rsid w:val="00624518"/>
    <w:rsid w:val="006263E4"/>
    <w:rsid w:val="00630987"/>
    <w:rsid w:val="0063259B"/>
    <w:rsid w:val="00632B80"/>
    <w:rsid w:val="00632C79"/>
    <w:rsid w:val="00633D7D"/>
    <w:rsid w:val="00634C49"/>
    <w:rsid w:val="00635C2A"/>
    <w:rsid w:val="0064009E"/>
    <w:rsid w:val="0064150B"/>
    <w:rsid w:val="00642830"/>
    <w:rsid w:val="00642FEA"/>
    <w:rsid w:val="00644A77"/>
    <w:rsid w:val="00645E1A"/>
    <w:rsid w:val="006461DD"/>
    <w:rsid w:val="006470EC"/>
    <w:rsid w:val="0064729F"/>
    <w:rsid w:val="006479A6"/>
    <w:rsid w:val="00650961"/>
    <w:rsid w:val="0065124D"/>
    <w:rsid w:val="0065182B"/>
    <w:rsid w:val="00654921"/>
    <w:rsid w:val="00660875"/>
    <w:rsid w:val="0066161C"/>
    <w:rsid w:val="00661FB8"/>
    <w:rsid w:val="006626A1"/>
    <w:rsid w:val="006638D5"/>
    <w:rsid w:val="006652D0"/>
    <w:rsid w:val="00671B80"/>
    <w:rsid w:val="0067232D"/>
    <w:rsid w:val="006737B1"/>
    <w:rsid w:val="00673A2A"/>
    <w:rsid w:val="0067534B"/>
    <w:rsid w:val="006770D2"/>
    <w:rsid w:val="0068024C"/>
    <w:rsid w:val="00680675"/>
    <w:rsid w:val="00681AB5"/>
    <w:rsid w:val="00683574"/>
    <w:rsid w:val="00685A61"/>
    <w:rsid w:val="00691F9C"/>
    <w:rsid w:val="006923E5"/>
    <w:rsid w:val="0069273B"/>
    <w:rsid w:val="00695A7B"/>
    <w:rsid w:val="00696060"/>
    <w:rsid w:val="00697EAE"/>
    <w:rsid w:val="006A24AC"/>
    <w:rsid w:val="006A4F30"/>
    <w:rsid w:val="006A7529"/>
    <w:rsid w:val="006B0A16"/>
    <w:rsid w:val="006B153F"/>
    <w:rsid w:val="006B18B5"/>
    <w:rsid w:val="006B1F86"/>
    <w:rsid w:val="006B2BB7"/>
    <w:rsid w:val="006B5FE0"/>
    <w:rsid w:val="006B6AD3"/>
    <w:rsid w:val="006B7813"/>
    <w:rsid w:val="006B7EF5"/>
    <w:rsid w:val="006C09D6"/>
    <w:rsid w:val="006C25AF"/>
    <w:rsid w:val="006C4D6D"/>
    <w:rsid w:val="006C4FB2"/>
    <w:rsid w:val="006C507D"/>
    <w:rsid w:val="006C61DC"/>
    <w:rsid w:val="006C7016"/>
    <w:rsid w:val="006D3F1C"/>
    <w:rsid w:val="006D420E"/>
    <w:rsid w:val="006D4974"/>
    <w:rsid w:val="006D5289"/>
    <w:rsid w:val="006D5290"/>
    <w:rsid w:val="006D5943"/>
    <w:rsid w:val="006D7873"/>
    <w:rsid w:val="006E0759"/>
    <w:rsid w:val="006E3EE2"/>
    <w:rsid w:val="006E6E23"/>
    <w:rsid w:val="006E7963"/>
    <w:rsid w:val="006F0049"/>
    <w:rsid w:val="006F205B"/>
    <w:rsid w:val="006F246D"/>
    <w:rsid w:val="006F2D14"/>
    <w:rsid w:val="006F4A38"/>
    <w:rsid w:val="006F4FFF"/>
    <w:rsid w:val="006F76F0"/>
    <w:rsid w:val="007022AE"/>
    <w:rsid w:val="007033A9"/>
    <w:rsid w:val="00707055"/>
    <w:rsid w:val="00712887"/>
    <w:rsid w:val="007159AA"/>
    <w:rsid w:val="0071785B"/>
    <w:rsid w:val="007179DE"/>
    <w:rsid w:val="00720E95"/>
    <w:rsid w:val="00721569"/>
    <w:rsid w:val="007219C0"/>
    <w:rsid w:val="00723EE4"/>
    <w:rsid w:val="007255E9"/>
    <w:rsid w:val="00727AB5"/>
    <w:rsid w:val="00730BE7"/>
    <w:rsid w:val="00731BF3"/>
    <w:rsid w:val="007328D9"/>
    <w:rsid w:val="00733EED"/>
    <w:rsid w:val="007340DD"/>
    <w:rsid w:val="007349F7"/>
    <w:rsid w:val="00735FA0"/>
    <w:rsid w:val="007375ED"/>
    <w:rsid w:val="00737B09"/>
    <w:rsid w:val="00740131"/>
    <w:rsid w:val="0074106F"/>
    <w:rsid w:val="007417AA"/>
    <w:rsid w:val="00742335"/>
    <w:rsid w:val="007503D1"/>
    <w:rsid w:val="00750E22"/>
    <w:rsid w:val="0075323C"/>
    <w:rsid w:val="0075538D"/>
    <w:rsid w:val="007567EF"/>
    <w:rsid w:val="00761627"/>
    <w:rsid w:val="007624C8"/>
    <w:rsid w:val="00762572"/>
    <w:rsid w:val="00763120"/>
    <w:rsid w:val="007672BA"/>
    <w:rsid w:val="00767C27"/>
    <w:rsid w:val="007708FC"/>
    <w:rsid w:val="00770B40"/>
    <w:rsid w:val="00770FA6"/>
    <w:rsid w:val="007715DD"/>
    <w:rsid w:val="00772162"/>
    <w:rsid w:val="00773158"/>
    <w:rsid w:val="00777EFC"/>
    <w:rsid w:val="0078208E"/>
    <w:rsid w:val="00783A18"/>
    <w:rsid w:val="00784730"/>
    <w:rsid w:val="00786E4C"/>
    <w:rsid w:val="007907CD"/>
    <w:rsid w:val="007911FE"/>
    <w:rsid w:val="00791BB0"/>
    <w:rsid w:val="0079210A"/>
    <w:rsid w:val="0079370C"/>
    <w:rsid w:val="00794744"/>
    <w:rsid w:val="00795D0B"/>
    <w:rsid w:val="007966C1"/>
    <w:rsid w:val="007A00B9"/>
    <w:rsid w:val="007A3665"/>
    <w:rsid w:val="007A4633"/>
    <w:rsid w:val="007B04E9"/>
    <w:rsid w:val="007B04F7"/>
    <w:rsid w:val="007B0B4D"/>
    <w:rsid w:val="007B29EB"/>
    <w:rsid w:val="007B4728"/>
    <w:rsid w:val="007B54FB"/>
    <w:rsid w:val="007C12D7"/>
    <w:rsid w:val="007C627C"/>
    <w:rsid w:val="007C7428"/>
    <w:rsid w:val="007D05D5"/>
    <w:rsid w:val="007D17D2"/>
    <w:rsid w:val="007D17F4"/>
    <w:rsid w:val="007D1F92"/>
    <w:rsid w:val="007D2C83"/>
    <w:rsid w:val="007D4A5B"/>
    <w:rsid w:val="007D4CC0"/>
    <w:rsid w:val="007D4F2F"/>
    <w:rsid w:val="007D50DD"/>
    <w:rsid w:val="007D5F1F"/>
    <w:rsid w:val="007E1728"/>
    <w:rsid w:val="007E3077"/>
    <w:rsid w:val="007E500A"/>
    <w:rsid w:val="007E6201"/>
    <w:rsid w:val="007F0562"/>
    <w:rsid w:val="007F1E0A"/>
    <w:rsid w:val="007F22D1"/>
    <w:rsid w:val="007F2D3F"/>
    <w:rsid w:val="007F423A"/>
    <w:rsid w:val="007F4DF8"/>
    <w:rsid w:val="0080073D"/>
    <w:rsid w:val="0080135E"/>
    <w:rsid w:val="00801B56"/>
    <w:rsid w:val="0080603F"/>
    <w:rsid w:val="008064DD"/>
    <w:rsid w:val="00806843"/>
    <w:rsid w:val="00806962"/>
    <w:rsid w:val="008069BE"/>
    <w:rsid w:val="00810AF7"/>
    <w:rsid w:val="00815007"/>
    <w:rsid w:val="0081546F"/>
    <w:rsid w:val="00816987"/>
    <w:rsid w:val="00817C90"/>
    <w:rsid w:val="00820117"/>
    <w:rsid w:val="008225F8"/>
    <w:rsid w:val="00823F9B"/>
    <w:rsid w:val="00825719"/>
    <w:rsid w:val="00827443"/>
    <w:rsid w:val="00830201"/>
    <w:rsid w:val="008302E6"/>
    <w:rsid w:val="00831EDE"/>
    <w:rsid w:val="00832C0A"/>
    <w:rsid w:val="00832C8C"/>
    <w:rsid w:val="008346AF"/>
    <w:rsid w:val="00834EFB"/>
    <w:rsid w:val="008418E8"/>
    <w:rsid w:val="00841A07"/>
    <w:rsid w:val="00843ED9"/>
    <w:rsid w:val="00844C58"/>
    <w:rsid w:val="008476DC"/>
    <w:rsid w:val="0085144B"/>
    <w:rsid w:val="00851D5F"/>
    <w:rsid w:val="00851ECF"/>
    <w:rsid w:val="008528A2"/>
    <w:rsid w:val="00852C20"/>
    <w:rsid w:val="00854D2B"/>
    <w:rsid w:val="00855B3E"/>
    <w:rsid w:val="00856832"/>
    <w:rsid w:val="00862AE8"/>
    <w:rsid w:val="008641CA"/>
    <w:rsid w:val="00867BF9"/>
    <w:rsid w:val="0087212F"/>
    <w:rsid w:val="0087459E"/>
    <w:rsid w:val="00874A19"/>
    <w:rsid w:val="00882CF4"/>
    <w:rsid w:val="00882DB7"/>
    <w:rsid w:val="008839EE"/>
    <w:rsid w:val="00883EB4"/>
    <w:rsid w:val="00885088"/>
    <w:rsid w:val="0088604C"/>
    <w:rsid w:val="00886C0A"/>
    <w:rsid w:val="0089006E"/>
    <w:rsid w:val="0089051B"/>
    <w:rsid w:val="00890985"/>
    <w:rsid w:val="008918C9"/>
    <w:rsid w:val="00891F9D"/>
    <w:rsid w:val="0089391A"/>
    <w:rsid w:val="008945DA"/>
    <w:rsid w:val="008A2E83"/>
    <w:rsid w:val="008A2F52"/>
    <w:rsid w:val="008A3CC9"/>
    <w:rsid w:val="008A506C"/>
    <w:rsid w:val="008A64F7"/>
    <w:rsid w:val="008A70B6"/>
    <w:rsid w:val="008B0860"/>
    <w:rsid w:val="008B2586"/>
    <w:rsid w:val="008B2797"/>
    <w:rsid w:val="008B32A0"/>
    <w:rsid w:val="008B40A6"/>
    <w:rsid w:val="008B72C5"/>
    <w:rsid w:val="008C0440"/>
    <w:rsid w:val="008C3CA5"/>
    <w:rsid w:val="008D07AD"/>
    <w:rsid w:val="008D0978"/>
    <w:rsid w:val="008D0C17"/>
    <w:rsid w:val="008D2420"/>
    <w:rsid w:val="008D7E1F"/>
    <w:rsid w:val="008E020A"/>
    <w:rsid w:val="008E0D2E"/>
    <w:rsid w:val="008E41E0"/>
    <w:rsid w:val="008E4DB5"/>
    <w:rsid w:val="008E563B"/>
    <w:rsid w:val="008E5ABA"/>
    <w:rsid w:val="008F1EBB"/>
    <w:rsid w:val="008F24F3"/>
    <w:rsid w:val="008F26D6"/>
    <w:rsid w:val="008F3405"/>
    <w:rsid w:val="008F42FD"/>
    <w:rsid w:val="00900E28"/>
    <w:rsid w:val="00901D1A"/>
    <w:rsid w:val="00904D3C"/>
    <w:rsid w:val="0090535C"/>
    <w:rsid w:val="00905CE9"/>
    <w:rsid w:val="00906019"/>
    <w:rsid w:val="009067B9"/>
    <w:rsid w:val="00906BD1"/>
    <w:rsid w:val="00910105"/>
    <w:rsid w:val="009124A6"/>
    <w:rsid w:val="00913014"/>
    <w:rsid w:val="00913644"/>
    <w:rsid w:val="00917378"/>
    <w:rsid w:val="00917F2E"/>
    <w:rsid w:val="00920DA7"/>
    <w:rsid w:val="009210ED"/>
    <w:rsid w:val="00921BCB"/>
    <w:rsid w:val="0092328E"/>
    <w:rsid w:val="00923851"/>
    <w:rsid w:val="00924F3E"/>
    <w:rsid w:val="009348F2"/>
    <w:rsid w:val="00935A66"/>
    <w:rsid w:val="009361B3"/>
    <w:rsid w:val="009361C2"/>
    <w:rsid w:val="00936531"/>
    <w:rsid w:val="00937DD0"/>
    <w:rsid w:val="00942119"/>
    <w:rsid w:val="00942AF6"/>
    <w:rsid w:val="00945436"/>
    <w:rsid w:val="00947D4D"/>
    <w:rsid w:val="009504FE"/>
    <w:rsid w:val="00950689"/>
    <w:rsid w:val="0095079D"/>
    <w:rsid w:val="009515CD"/>
    <w:rsid w:val="009528B7"/>
    <w:rsid w:val="00953D77"/>
    <w:rsid w:val="0095556A"/>
    <w:rsid w:val="00956A76"/>
    <w:rsid w:val="00957BBA"/>
    <w:rsid w:val="009630BB"/>
    <w:rsid w:val="009632B9"/>
    <w:rsid w:val="009646DF"/>
    <w:rsid w:val="00965695"/>
    <w:rsid w:val="0096642F"/>
    <w:rsid w:val="0096691E"/>
    <w:rsid w:val="00967D88"/>
    <w:rsid w:val="0097069C"/>
    <w:rsid w:val="00970A1F"/>
    <w:rsid w:val="00972E5B"/>
    <w:rsid w:val="009738DE"/>
    <w:rsid w:val="00974BD8"/>
    <w:rsid w:val="00976BFE"/>
    <w:rsid w:val="0097717A"/>
    <w:rsid w:val="00982600"/>
    <w:rsid w:val="0098345E"/>
    <w:rsid w:val="00983964"/>
    <w:rsid w:val="009867BE"/>
    <w:rsid w:val="00986952"/>
    <w:rsid w:val="00987E8A"/>
    <w:rsid w:val="0099155D"/>
    <w:rsid w:val="00992C06"/>
    <w:rsid w:val="00995C3C"/>
    <w:rsid w:val="0099741E"/>
    <w:rsid w:val="009A05AD"/>
    <w:rsid w:val="009A0998"/>
    <w:rsid w:val="009A61FA"/>
    <w:rsid w:val="009A63D8"/>
    <w:rsid w:val="009A6495"/>
    <w:rsid w:val="009A67E2"/>
    <w:rsid w:val="009A6AD5"/>
    <w:rsid w:val="009B278B"/>
    <w:rsid w:val="009B2A57"/>
    <w:rsid w:val="009B69D3"/>
    <w:rsid w:val="009B7C8D"/>
    <w:rsid w:val="009B7CBE"/>
    <w:rsid w:val="009B7DCB"/>
    <w:rsid w:val="009C2B4B"/>
    <w:rsid w:val="009C368A"/>
    <w:rsid w:val="009C5A51"/>
    <w:rsid w:val="009C6D9C"/>
    <w:rsid w:val="009C7CA7"/>
    <w:rsid w:val="009D19C3"/>
    <w:rsid w:val="009D1A73"/>
    <w:rsid w:val="009D6C4D"/>
    <w:rsid w:val="009E0670"/>
    <w:rsid w:val="009E0B49"/>
    <w:rsid w:val="009E25F9"/>
    <w:rsid w:val="009E4111"/>
    <w:rsid w:val="009E4D14"/>
    <w:rsid w:val="009E51EC"/>
    <w:rsid w:val="009E7874"/>
    <w:rsid w:val="009F02E1"/>
    <w:rsid w:val="009F0377"/>
    <w:rsid w:val="009F04CC"/>
    <w:rsid w:val="009F2492"/>
    <w:rsid w:val="009F4123"/>
    <w:rsid w:val="009F434C"/>
    <w:rsid w:val="009F5A3B"/>
    <w:rsid w:val="00A0078C"/>
    <w:rsid w:val="00A0084A"/>
    <w:rsid w:val="00A04901"/>
    <w:rsid w:val="00A05DDB"/>
    <w:rsid w:val="00A100F3"/>
    <w:rsid w:val="00A128DC"/>
    <w:rsid w:val="00A13B5D"/>
    <w:rsid w:val="00A154B7"/>
    <w:rsid w:val="00A16167"/>
    <w:rsid w:val="00A2107E"/>
    <w:rsid w:val="00A21E3F"/>
    <w:rsid w:val="00A24FF3"/>
    <w:rsid w:val="00A25221"/>
    <w:rsid w:val="00A30C6F"/>
    <w:rsid w:val="00A33F02"/>
    <w:rsid w:val="00A347C5"/>
    <w:rsid w:val="00A37C5C"/>
    <w:rsid w:val="00A4262B"/>
    <w:rsid w:val="00A4269A"/>
    <w:rsid w:val="00A43E45"/>
    <w:rsid w:val="00A4565E"/>
    <w:rsid w:val="00A4799A"/>
    <w:rsid w:val="00A508C9"/>
    <w:rsid w:val="00A50988"/>
    <w:rsid w:val="00A50C9B"/>
    <w:rsid w:val="00A511A4"/>
    <w:rsid w:val="00A519A5"/>
    <w:rsid w:val="00A521B2"/>
    <w:rsid w:val="00A5258A"/>
    <w:rsid w:val="00A55267"/>
    <w:rsid w:val="00A6066F"/>
    <w:rsid w:val="00A60FA3"/>
    <w:rsid w:val="00A621EE"/>
    <w:rsid w:val="00A629F7"/>
    <w:rsid w:val="00A6477E"/>
    <w:rsid w:val="00A647F0"/>
    <w:rsid w:val="00A65583"/>
    <w:rsid w:val="00A65911"/>
    <w:rsid w:val="00A664E4"/>
    <w:rsid w:val="00A770B6"/>
    <w:rsid w:val="00A77B7E"/>
    <w:rsid w:val="00A8226D"/>
    <w:rsid w:val="00A90545"/>
    <w:rsid w:val="00A9252C"/>
    <w:rsid w:val="00A93784"/>
    <w:rsid w:val="00A939E5"/>
    <w:rsid w:val="00A93AC3"/>
    <w:rsid w:val="00A94183"/>
    <w:rsid w:val="00A94BE6"/>
    <w:rsid w:val="00A94F49"/>
    <w:rsid w:val="00A94FDD"/>
    <w:rsid w:val="00A957C1"/>
    <w:rsid w:val="00A95E04"/>
    <w:rsid w:val="00A968A5"/>
    <w:rsid w:val="00A97397"/>
    <w:rsid w:val="00AA2758"/>
    <w:rsid w:val="00AA4C65"/>
    <w:rsid w:val="00AA5CB1"/>
    <w:rsid w:val="00AA60C8"/>
    <w:rsid w:val="00AA6AAC"/>
    <w:rsid w:val="00AB0F7F"/>
    <w:rsid w:val="00AB2378"/>
    <w:rsid w:val="00AB2740"/>
    <w:rsid w:val="00AB3736"/>
    <w:rsid w:val="00AB3934"/>
    <w:rsid w:val="00AB4FCE"/>
    <w:rsid w:val="00AB521E"/>
    <w:rsid w:val="00AB5347"/>
    <w:rsid w:val="00AC1A0D"/>
    <w:rsid w:val="00AC3D8B"/>
    <w:rsid w:val="00AC534E"/>
    <w:rsid w:val="00AC6518"/>
    <w:rsid w:val="00AD075A"/>
    <w:rsid w:val="00AD0F47"/>
    <w:rsid w:val="00AD2821"/>
    <w:rsid w:val="00AD32A6"/>
    <w:rsid w:val="00AD5D98"/>
    <w:rsid w:val="00AE12E6"/>
    <w:rsid w:val="00AE2C20"/>
    <w:rsid w:val="00AE304E"/>
    <w:rsid w:val="00AE4171"/>
    <w:rsid w:val="00AE42C9"/>
    <w:rsid w:val="00AE5F46"/>
    <w:rsid w:val="00AE634F"/>
    <w:rsid w:val="00AE6CF6"/>
    <w:rsid w:val="00AE7966"/>
    <w:rsid w:val="00AE7D84"/>
    <w:rsid w:val="00AF070C"/>
    <w:rsid w:val="00AF1CC2"/>
    <w:rsid w:val="00AF1F1A"/>
    <w:rsid w:val="00AF6B36"/>
    <w:rsid w:val="00B01836"/>
    <w:rsid w:val="00B029D3"/>
    <w:rsid w:val="00B031E9"/>
    <w:rsid w:val="00B03C22"/>
    <w:rsid w:val="00B04396"/>
    <w:rsid w:val="00B04567"/>
    <w:rsid w:val="00B10017"/>
    <w:rsid w:val="00B11BCD"/>
    <w:rsid w:val="00B1230B"/>
    <w:rsid w:val="00B155E8"/>
    <w:rsid w:val="00B159E4"/>
    <w:rsid w:val="00B16775"/>
    <w:rsid w:val="00B16AB7"/>
    <w:rsid w:val="00B21B67"/>
    <w:rsid w:val="00B22B62"/>
    <w:rsid w:val="00B24867"/>
    <w:rsid w:val="00B27528"/>
    <w:rsid w:val="00B277FF"/>
    <w:rsid w:val="00B321D4"/>
    <w:rsid w:val="00B34030"/>
    <w:rsid w:val="00B34C65"/>
    <w:rsid w:val="00B37D91"/>
    <w:rsid w:val="00B37D97"/>
    <w:rsid w:val="00B4265B"/>
    <w:rsid w:val="00B42969"/>
    <w:rsid w:val="00B43B21"/>
    <w:rsid w:val="00B44950"/>
    <w:rsid w:val="00B51E65"/>
    <w:rsid w:val="00B53340"/>
    <w:rsid w:val="00B604FA"/>
    <w:rsid w:val="00B61890"/>
    <w:rsid w:val="00B619F5"/>
    <w:rsid w:val="00B61C69"/>
    <w:rsid w:val="00B62233"/>
    <w:rsid w:val="00B62A3E"/>
    <w:rsid w:val="00B63396"/>
    <w:rsid w:val="00B65D71"/>
    <w:rsid w:val="00B668A6"/>
    <w:rsid w:val="00B67841"/>
    <w:rsid w:val="00B7040E"/>
    <w:rsid w:val="00B72E6C"/>
    <w:rsid w:val="00B73471"/>
    <w:rsid w:val="00B76C16"/>
    <w:rsid w:val="00B83AFA"/>
    <w:rsid w:val="00B8553F"/>
    <w:rsid w:val="00B85E9A"/>
    <w:rsid w:val="00B869D3"/>
    <w:rsid w:val="00B9157E"/>
    <w:rsid w:val="00B92964"/>
    <w:rsid w:val="00B92ABB"/>
    <w:rsid w:val="00B946D8"/>
    <w:rsid w:val="00BA0F06"/>
    <w:rsid w:val="00BA31DC"/>
    <w:rsid w:val="00BA5783"/>
    <w:rsid w:val="00BA70AC"/>
    <w:rsid w:val="00BA7609"/>
    <w:rsid w:val="00BB038F"/>
    <w:rsid w:val="00BB155B"/>
    <w:rsid w:val="00BB73B2"/>
    <w:rsid w:val="00BB7AFA"/>
    <w:rsid w:val="00BB7AFF"/>
    <w:rsid w:val="00BC1982"/>
    <w:rsid w:val="00BC309F"/>
    <w:rsid w:val="00BC3695"/>
    <w:rsid w:val="00BC48B5"/>
    <w:rsid w:val="00BC6030"/>
    <w:rsid w:val="00BC6170"/>
    <w:rsid w:val="00BD00E9"/>
    <w:rsid w:val="00BD5844"/>
    <w:rsid w:val="00BD6A3D"/>
    <w:rsid w:val="00BE0718"/>
    <w:rsid w:val="00BE097A"/>
    <w:rsid w:val="00BE1194"/>
    <w:rsid w:val="00BE43D5"/>
    <w:rsid w:val="00BE7978"/>
    <w:rsid w:val="00BE7A4A"/>
    <w:rsid w:val="00BF2266"/>
    <w:rsid w:val="00BF498B"/>
    <w:rsid w:val="00BF70B8"/>
    <w:rsid w:val="00BF7374"/>
    <w:rsid w:val="00C014A2"/>
    <w:rsid w:val="00C01C84"/>
    <w:rsid w:val="00C0239E"/>
    <w:rsid w:val="00C02F04"/>
    <w:rsid w:val="00C031FB"/>
    <w:rsid w:val="00C03AE0"/>
    <w:rsid w:val="00C04531"/>
    <w:rsid w:val="00C05220"/>
    <w:rsid w:val="00C06255"/>
    <w:rsid w:val="00C06B2D"/>
    <w:rsid w:val="00C07505"/>
    <w:rsid w:val="00C118FE"/>
    <w:rsid w:val="00C11BC4"/>
    <w:rsid w:val="00C158DC"/>
    <w:rsid w:val="00C15911"/>
    <w:rsid w:val="00C22392"/>
    <w:rsid w:val="00C25C10"/>
    <w:rsid w:val="00C26013"/>
    <w:rsid w:val="00C30069"/>
    <w:rsid w:val="00C31946"/>
    <w:rsid w:val="00C3416C"/>
    <w:rsid w:val="00C35434"/>
    <w:rsid w:val="00C36D7E"/>
    <w:rsid w:val="00C37B60"/>
    <w:rsid w:val="00C37D06"/>
    <w:rsid w:val="00C50B84"/>
    <w:rsid w:val="00C51FFB"/>
    <w:rsid w:val="00C53776"/>
    <w:rsid w:val="00C53857"/>
    <w:rsid w:val="00C53D79"/>
    <w:rsid w:val="00C6256E"/>
    <w:rsid w:val="00C6432A"/>
    <w:rsid w:val="00C64786"/>
    <w:rsid w:val="00C6714D"/>
    <w:rsid w:val="00C6726B"/>
    <w:rsid w:val="00C67BAE"/>
    <w:rsid w:val="00C70916"/>
    <w:rsid w:val="00C71E81"/>
    <w:rsid w:val="00C7487D"/>
    <w:rsid w:val="00C75E57"/>
    <w:rsid w:val="00C77660"/>
    <w:rsid w:val="00C77728"/>
    <w:rsid w:val="00C81EE9"/>
    <w:rsid w:val="00C83339"/>
    <w:rsid w:val="00C83D37"/>
    <w:rsid w:val="00C85446"/>
    <w:rsid w:val="00C86093"/>
    <w:rsid w:val="00C864EF"/>
    <w:rsid w:val="00C8798C"/>
    <w:rsid w:val="00C87D54"/>
    <w:rsid w:val="00C91165"/>
    <w:rsid w:val="00C91772"/>
    <w:rsid w:val="00C928E9"/>
    <w:rsid w:val="00C9485C"/>
    <w:rsid w:val="00C94E09"/>
    <w:rsid w:val="00C97405"/>
    <w:rsid w:val="00CA30F2"/>
    <w:rsid w:val="00CA3629"/>
    <w:rsid w:val="00CA4204"/>
    <w:rsid w:val="00CA75ED"/>
    <w:rsid w:val="00CB0C69"/>
    <w:rsid w:val="00CB48BB"/>
    <w:rsid w:val="00CB5B3E"/>
    <w:rsid w:val="00CB5C40"/>
    <w:rsid w:val="00CC06E3"/>
    <w:rsid w:val="00CC437C"/>
    <w:rsid w:val="00CC5CE4"/>
    <w:rsid w:val="00CC62FC"/>
    <w:rsid w:val="00CD1D29"/>
    <w:rsid w:val="00CD38E4"/>
    <w:rsid w:val="00CD6FE8"/>
    <w:rsid w:val="00CD7878"/>
    <w:rsid w:val="00CE38A4"/>
    <w:rsid w:val="00CE4FB8"/>
    <w:rsid w:val="00CE5576"/>
    <w:rsid w:val="00CE64F9"/>
    <w:rsid w:val="00CE6B60"/>
    <w:rsid w:val="00CF169B"/>
    <w:rsid w:val="00CF3D10"/>
    <w:rsid w:val="00CF49CF"/>
    <w:rsid w:val="00D0086D"/>
    <w:rsid w:val="00D0246C"/>
    <w:rsid w:val="00D0258A"/>
    <w:rsid w:val="00D02A3A"/>
    <w:rsid w:val="00D03377"/>
    <w:rsid w:val="00D10504"/>
    <w:rsid w:val="00D11243"/>
    <w:rsid w:val="00D14E3E"/>
    <w:rsid w:val="00D15075"/>
    <w:rsid w:val="00D1633E"/>
    <w:rsid w:val="00D211BB"/>
    <w:rsid w:val="00D244C9"/>
    <w:rsid w:val="00D247B7"/>
    <w:rsid w:val="00D24CFC"/>
    <w:rsid w:val="00D2575B"/>
    <w:rsid w:val="00D26202"/>
    <w:rsid w:val="00D306A1"/>
    <w:rsid w:val="00D350F0"/>
    <w:rsid w:val="00D360A6"/>
    <w:rsid w:val="00D371F9"/>
    <w:rsid w:val="00D40A11"/>
    <w:rsid w:val="00D41025"/>
    <w:rsid w:val="00D411A1"/>
    <w:rsid w:val="00D4190C"/>
    <w:rsid w:val="00D4199D"/>
    <w:rsid w:val="00D41F9C"/>
    <w:rsid w:val="00D443FF"/>
    <w:rsid w:val="00D45485"/>
    <w:rsid w:val="00D457A9"/>
    <w:rsid w:val="00D52A14"/>
    <w:rsid w:val="00D5715D"/>
    <w:rsid w:val="00D573F4"/>
    <w:rsid w:val="00D6124D"/>
    <w:rsid w:val="00D63407"/>
    <w:rsid w:val="00D63D25"/>
    <w:rsid w:val="00D6554F"/>
    <w:rsid w:val="00D67167"/>
    <w:rsid w:val="00D672CF"/>
    <w:rsid w:val="00D67CCB"/>
    <w:rsid w:val="00D711BB"/>
    <w:rsid w:val="00D7176D"/>
    <w:rsid w:val="00D7395C"/>
    <w:rsid w:val="00D825FC"/>
    <w:rsid w:val="00D82BDB"/>
    <w:rsid w:val="00D82FB1"/>
    <w:rsid w:val="00D83338"/>
    <w:rsid w:val="00D83513"/>
    <w:rsid w:val="00D84CBA"/>
    <w:rsid w:val="00D85D23"/>
    <w:rsid w:val="00D9014E"/>
    <w:rsid w:val="00D90A0D"/>
    <w:rsid w:val="00D90BD5"/>
    <w:rsid w:val="00D93DFA"/>
    <w:rsid w:val="00D95426"/>
    <w:rsid w:val="00D963AE"/>
    <w:rsid w:val="00D97BD9"/>
    <w:rsid w:val="00DA6116"/>
    <w:rsid w:val="00DA6A48"/>
    <w:rsid w:val="00DB23C0"/>
    <w:rsid w:val="00DB498A"/>
    <w:rsid w:val="00DB62B1"/>
    <w:rsid w:val="00DB7665"/>
    <w:rsid w:val="00DC0349"/>
    <w:rsid w:val="00DC1CA8"/>
    <w:rsid w:val="00DC23AF"/>
    <w:rsid w:val="00DC2A83"/>
    <w:rsid w:val="00DC3D59"/>
    <w:rsid w:val="00DC4C6C"/>
    <w:rsid w:val="00DC638D"/>
    <w:rsid w:val="00DD03B1"/>
    <w:rsid w:val="00DD06A2"/>
    <w:rsid w:val="00DD0F1A"/>
    <w:rsid w:val="00DD5797"/>
    <w:rsid w:val="00DD66D0"/>
    <w:rsid w:val="00DD6D63"/>
    <w:rsid w:val="00DD6DA5"/>
    <w:rsid w:val="00DE09CD"/>
    <w:rsid w:val="00DE11BA"/>
    <w:rsid w:val="00DE255D"/>
    <w:rsid w:val="00DE2B02"/>
    <w:rsid w:val="00DE42C9"/>
    <w:rsid w:val="00DE52BA"/>
    <w:rsid w:val="00DF025E"/>
    <w:rsid w:val="00DF0CCE"/>
    <w:rsid w:val="00DF167B"/>
    <w:rsid w:val="00DF4194"/>
    <w:rsid w:val="00DF4C74"/>
    <w:rsid w:val="00DF5DBF"/>
    <w:rsid w:val="00DF63E5"/>
    <w:rsid w:val="00DF6618"/>
    <w:rsid w:val="00E02DF7"/>
    <w:rsid w:val="00E0368E"/>
    <w:rsid w:val="00E139EB"/>
    <w:rsid w:val="00E148D0"/>
    <w:rsid w:val="00E16A5D"/>
    <w:rsid w:val="00E16B34"/>
    <w:rsid w:val="00E1752A"/>
    <w:rsid w:val="00E212A9"/>
    <w:rsid w:val="00E23EC6"/>
    <w:rsid w:val="00E25AAA"/>
    <w:rsid w:val="00E2747D"/>
    <w:rsid w:val="00E27F4C"/>
    <w:rsid w:val="00E3049B"/>
    <w:rsid w:val="00E31C46"/>
    <w:rsid w:val="00E3701F"/>
    <w:rsid w:val="00E41DD3"/>
    <w:rsid w:val="00E42D11"/>
    <w:rsid w:val="00E457E8"/>
    <w:rsid w:val="00E463B5"/>
    <w:rsid w:val="00E47610"/>
    <w:rsid w:val="00E47AF3"/>
    <w:rsid w:val="00E52CD8"/>
    <w:rsid w:val="00E5349B"/>
    <w:rsid w:val="00E53D19"/>
    <w:rsid w:val="00E56537"/>
    <w:rsid w:val="00E566BE"/>
    <w:rsid w:val="00E56E8B"/>
    <w:rsid w:val="00E612A1"/>
    <w:rsid w:val="00E6357E"/>
    <w:rsid w:val="00E65319"/>
    <w:rsid w:val="00E660F0"/>
    <w:rsid w:val="00E6654D"/>
    <w:rsid w:val="00E679A9"/>
    <w:rsid w:val="00E70494"/>
    <w:rsid w:val="00E70B7C"/>
    <w:rsid w:val="00E70CBD"/>
    <w:rsid w:val="00E71641"/>
    <w:rsid w:val="00E73285"/>
    <w:rsid w:val="00E7512F"/>
    <w:rsid w:val="00E75A24"/>
    <w:rsid w:val="00E770F7"/>
    <w:rsid w:val="00E80179"/>
    <w:rsid w:val="00E81A86"/>
    <w:rsid w:val="00E82FF6"/>
    <w:rsid w:val="00E8326C"/>
    <w:rsid w:val="00E83FB7"/>
    <w:rsid w:val="00E84C75"/>
    <w:rsid w:val="00E85735"/>
    <w:rsid w:val="00E878A8"/>
    <w:rsid w:val="00E927BB"/>
    <w:rsid w:val="00E95C66"/>
    <w:rsid w:val="00E976A9"/>
    <w:rsid w:val="00E97DD8"/>
    <w:rsid w:val="00EA0E24"/>
    <w:rsid w:val="00EA60A3"/>
    <w:rsid w:val="00EB0081"/>
    <w:rsid w:val="00EB0337"/>
    <w:rsid w:val="00EB048A"/>
    <w:rsid w:val="00EB24B6"/>
    <w:rsid w:val="00EC0F96"/>
    <w:rsid w:val="00EC19F0"/>
    <w:rsid w:val="00EC2587"/>
    <w:rsid w:val="00EC3C69"/>
    <w:rsid w:val="00EC44A2"/>
    <w:rsid w:val="00EC68F4"/>
    <w:rsid w:val="00EC6AF0"/>
    <w:rsid w:val="00ED1379"/>
    <w:rsid w:val="00ED23F7"/>
    <w:rsid w:val="00ED2466"/>
    <w:rsid w:val="00ED43BB"/>
    <w:rsid w:val="00ED4604"/>
    <w:rsid w:val="00EF2E91"/>
    <w:rsid w:val="00EF3028"/>
    <w:rsid w:val="00EF791A"/>
    <w:rsid w:val="00F01BAA"/>
    <w:rsid w:val="00F01BF1"/>
    <w:rsid w:val="00F03EE5"/>
    <w:rsid w:val="00F056AB"/>
    <w:rsid w:val="00F077AF"/>
    <w:rsid w:val="00F105E2"/>
    <w:rsid w:val="00F117A0"/>
    <w:rsid w:val="00F12066"/>
    <w:rsid w:val="00F13597"/>
    <w:rsid w:val="00F151E4"/>
    <w:rsid w:val="00F20F62"/>
    <w:rsid w:val="00F21679"/>
    <w:rsid w:val="00F24F2B"/>
    <w:rsid w:val="00F255F9"/>
    <w:rsid w:val="00F267E0"/>
    <w:rsid w:val="00F279BB"/>
    <w:rsid w:val="00F33C45"/>
    <w:rsid w:val="00F33D04"/>
    <w:rsid w:val="00F341D4"/>
    <w:rsid w:val="00F34BB6"/>
    <w:rsid w:val="00F35623"/>
    <w:rsid w:val="00F36F63"/>
    <w:rsid w:val="00F37B87"/>
    <w:rsid w:val="00F43B91"/>
    <w:rsid w:val="00F45082"/>
    <w:rsid w:val="00F477A8"/>
    <w:rsid w:val="00F47F75"/>
    <w:rsid w:val="00F50E7F"/>
    <w:rsid w:val="00F51370"/>
    <w:rsid w:val="00F515EB"/>
    <w:rsid w:val="00F52C06"/>
    <w:rsid w:val="00F53F2C"/>
    <w:rsid w:val="00F5463C"/>
    <w:rsid w:val="00F55029"/>
    <w:rsid w:val="00F564BA"/>
    <w:rsid w:val="00F61A25"/>
    <w:rsid w:val="00F65C8D"/>
    <w:rsid w:val="00F66669"/>
    <w:rsid w:val="00F672E5"/>
    <w:rsid w:val="00F7214F"/>
    <w:rsid w:val="00F738A1"/>
    <w:rsid w:val="00F76569"/>
    <w:rsid w:val="00F77F80"/>
    <w:rsid w:val="00F84879"/>
    <w:rsid w:val="00F84C8C"/>
    <w:rsid w:val="00F8536B"/>
    <w:rsid w:val="00F859E4"/>
    <w:rsid w:val="00F8671E"/>
    <w:rsid w:val="00F867F3"/>
    <w:rsid w:val="00F937EC"/>
    <w:rsid w:val="00F94E22"/>
    <w:rsid w:val="00F952E7"/>
    <w:rsid w:val="00F968CF"/>
    <w:rsid w:val="00FA290C"/>
    <w:rsid w:val="00FA3D8B"/>
    <w:rsid w:val="00FA4396"/>
    <w:rsid w:val="00FA4F95"/>
    <w:rsid w:val="00FA7308"/>
    <w:rsid w:val="00FB0E1D"/>
    <w:rsid w:val="00FB1334"/>
    <w:rsid w:val="00FB20D1"/>
    <w:rsid w:val="00FB23A8"/>
    <w:rsid w:val="00FB3476"/>
    <w:rsid w:val="00FB4F98"/>
    <w:rsid w:val="00FB6944"/>
    <w:rsid w:val="00FC007E"/>
    <w:rsid w:val="00FC0F1E"/>
    <w:rsid w:val="00FC3518"/>
    <w:rsid w:val="00FC4DDA"/>
    <w:rsid w:val="00FC72F3"/>
    <w:rsid w:val="00FD1A37"/>
    <w:rsid w:val="00FD2D7E"/>
    <w:rsid w:val="00FD799A"/>
    <w:rsid w:val="00FE0A5B"/>
    <w:rsid w:val="00FE17D5"/>
    <w:rsid w:val="00FE39F0"/>
    <w:rsid w:val="00FE4D39"/>
    <w:rsid w:val="00FE61CD"/>
    <w:rsid w:val="00FF18FA"/>
    <w:rsid w:val="00FF2DBD"/>
    <w:rsid w:val="00FF3B54"/>
    <w:rsid w:val="00FF6564"/>
    <w:rsid w:val="00FF6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8DC"/>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6A75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1950F9"/>
    <w:rPr>
      <w:sz w:val="16"/>
      <w:szCs w:val="16"/>
    </w:rPr>
  </w:style>
  <w:style w:type="paragraph" w:styleId="CommentText">
    <w:name w:val="annotation text"/>
    <w:basedOn w:val="Normal"/>
    <w:semiHidden/>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link w:val="BodyTextIndentChar"/>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uiPriority w:val="99"/>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NoSpacingChar">
    <w:name w:val="No Spacing Char"/>
    <w:link w:val="NoSpacing"/>
    <w:uiPriority w:val="1"/>
    <w:locked/>
    <w:rsid w:val="00052548"/>
    <w:rPr>
      <w:sz w:val="22"/>
      <w:szCs w:val="22"/>
    </w:rPr>
  </w:style>
  <w:style w:type="character" w:customStyle="1" w:styleId="underline">
    <w:name w:val="underline"/>
    <w:basedOn w:val="DefaultParagraphFont"/>
    <w:rsid w:val="00D672CF"/>
  </w:style>
  <w:style w:type="paragraph" w:customStyle="1" w:styleId="first">
    <w:name w:val="first"/>
    <w:basedOn w:val="Normal"/>
    <w:rsid w:val="00D211BB"/>
    <w:pPr>
      <w:spacing w:before="100" w:beforeAutospacing="1" w:after="100" w:afterAutospacing="1" w:line="240" w:lineRule="auto"/>
    </w:pPr>
    <w:rPr>
      <w:rFonts w:ascii="Times New Roman" w:eastAsia="Times New Roman" w:hAnsi="Times New Roman"/>
      <w:sz w:val="24"/>
      <w:szCs w:val="24"/>
    </w:rPr>
  </w:style>
  <w:style w:type="character" w:customStyle="1" w:styleId="xmchange">
    <w:name w:val="xmchange"/>
    <w:basedOn w:val="DefaultParagraphFont"/>
    <w:rsid w:val="00644A77"/>
  </w:style>
  <w:style w:type="character" w:customStyle="1" w:styleId="italics">
    <w:name w:val="italics"/>
    <w:basedOn w:val="DefaultParagraphFont"/>
    <w:rsid w:val="00E85735"/>
  </w:style>
  <w:style w:type="character" w:styleId="PlaceholderText">
    <w:name w:val="Placeholder Text"/>
    <w:basedOn w:val="DefaultParagraphFont"/>
    <w:uiPriority w:val="99"/>
    <w:semiHidden/>
    <w:rsid w:val="00567499"/>
    <w:rPr>
      <w:color w:val="808080"/>
    </w:rPr>
  </w:style>
  <w:style w:type="character" w:customStyle="1" w:styleId="highlight2">
    <w:name w:val="highlight2"/>
    <w:basedOn w:val="DefaultParagraphFont"/>
    <w:rsid w:val="00F056AB"/>
  </w:style>
  <w:style w:type="paragraph" w:customStyle="1" w:styleId="Default">
    <w:name w:val="Default"/>
    <w:rsid w:val="00801B56"/>
    <w:pPr>
      <w:autoSpaceDE w:val="0"/>
      <w:autoSpaceDN w:val="0"/>
      <w:adjustRightInd w:val="0"/>
    </w:pPr>
    <w:rPr>
      <w:rFonts w:ascii="Arial" w:hAnsi="Arial" w:cs="Arial"/>
      <w:color w:val="000000"/>
      <w:sz w:val="24"/>
      <w:szCs w:val="24"/>
    </w:rPr>
  </w:style>
  <w:style w:type="character" w:customStyle="1" w:styleId="st1">
    <w:name w:val="st1"/>
    <w:basedOn w:val="DefaultParagraphFont"/>
    <w:rsid w:val="00986952"/>
  </w:style>
  <w:style w:type="paragraph" w:customStyle="1" w:styleId="svarticle">
    <w:name w:val="svarticle"/>
    <w:basedOn w:val="Normal"/>
    <w:rsid w:val="00A05DD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07BBF"/>
  </w:style>
  <w:style w:type="character" w:customStyle="1" w:styleId="cit-print-date">
    <w:name w:val="cit-print-date"/>
    <w:basedOn w:val="DefaultParagraphFont"/>
    <w:rsid w:val="003811C7"/>
  </w:style>
  <w:style w:type="character" w:customStyle="1" w:styleId="cit-vol">
    <w:name w:val="cit-vol"/>
    <w:basedOn w:val="DefaultParagraphFont"/>
    <w:rsid w:val="003811C7"/>
  </w:style>
  <w:style w:type="character" w:customStyle="1" w:styleId="cit-sep">
    <w:name w:val="cit-sep"/>
    <w:basedOn w:val="DefaultParagraphFont"/>
    <w:rsid w:val="003811C7"/>
  </w:style>
  <w:style w:type="character" w:customStyle="1" w:styleId="cit-first-page">
    <w:name w:val="cit-first-page"/>
    <w:basedOn w:val="DefaultParagraphFont"/>
    <w:rsid w:val="003811C7"/>
  </w:style>
  <w:style w:type="character" w:customStyle="1" w:styleId="cit-last-page">
    <w:name w:val="cit-last-page"/>
    <w:basedOn w:val="DefaultParagraphFont"/>
    <w:rsid w:val="003811C7"/>
  </w:style>
  <w:style w:type="character" w:customStyle="1" w:styleId="cit-ahead-of-print-date">
    <w:name w:val="cit-ahead-of-print-date"/>
    <w:basedOn w:val="DefaultParagraphFont"/>
    <w:rsid w:val="003811C7"/>
  </w:style>
  <w:style w:type="character" w:customStyle="1" w:styleId="Heading2Char">
    <w:name w:val="Heading 2 Char"/>
    <w:basedOn w:val="DefaultParagraphFont"/>
    <w:link w:val="Heading2"/>
    <w:semiHidden/>
    <w:rsid w:val="006A7529"/>
    <w:rPr>
      <w:rFonts w:asciiTheme="majorHAnsi" w:eastAsiaTheme="majorEastAsia" w:hAnsiTheme="majorHAnsi" w:cstheme="majorBidi"/>
      <w:b/>
      <w:bCs/>
      <w:color w:val="4F81BD" w:themeColor="accent1"/>
      <w:sz w:val="26"/>
      <w:szCs w:val="26"/>
    </w:rPr>
  </w:style>
  <w:style w:type="character" w:customStyle="1" w:styleId="BodyTextIndentChar">
    <w:name w:val="Body Text Indent Char"/>
    <w:basedOn w:val="DefaultParagraphFont"/>
    <w:link w:val="BodyTextIndent"/>
    <w:rsid w:val="000E4958"/>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8DC"/>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6A75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1950F9"/>
    <w:rPr>
      <w:sz w:val="16"/>
      <w:szCs w:val="16"/>
    </w:rPr>
  </w:style>
  <w:style w:type="paragraph" w:styleId="CommentText">
    <w:name w:val="annotation text"/>
    <w:basedOn w:val="Normal"/>
    <w:semiHidden/>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link w:val="BodyTextIndentChar"/>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uiPriority w:val="99"/>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NoSpacingChar">
    <w:name w:val="No Spacing Char"/>
    <w:link w:val="NoSpacing"/>
    <w:uiPriority w:val="1"/>
    <w:locked/>
    <w:rsid w:val="00052548"/>
    <w:rPr>
      <w:sz w:val="22"/>
      <w:szCs w:val="22"/>
    </w:rPr>
  </w:style>
  <w:style w:type="character" w:customStyle="1" w:styleId="underline">
    <w:name w:val="underline"/>
    <w:basedOn w:val="DefaultParagraphFont"/>
    <w:rsid w:val="00D672CF"/>
  </w:style>
  <w:style w:type="paragraph" w:customStyle="1" w:styleId="first">
    <w:name w:val="first"/>
    <w:basedOn w:val="Normal"/>
    <w:rsid w:val="00D211BB"/>
    <w:pPr>
      <w:spacing w:before="100" w:beforeAutospacing="1" w:after="100" w:afterAutospacing="1" w:line="240" w:lineRule="auto"/>
    </w:pPr>
    <w:rPr>
      <w:rFonts w:ascii="Times New Roman" w:eastAsia="Times New Roman" w:hAnsi="Times New Roman"/>
      <w:sz w:val="24"/>
      <w:szCs w:val="24"/>
    </w:rPr>
  </w:style>
  <w:style w:type="character" w:customStyle="1" w:styleId="xmchange">
    <w:name w:val="xmchange"/>
    <w:basedOn w:val="DefaultParagraphFont"/>
    <w:rsid w:val="00644A77"/>
  </w:style>
  <w:style w:type="character" w:customStyle="1" w:styleId="italics">
    <w:name w:val="italics"/>
    <w:basedOn w:val="DefaultParagraphFont"/>
    <w:rsid w:val="00E85735"/>
  </w:style>
  <w:style w:type="character" w:styleId="PlaceholderText">
    <w:name w:val="Placeholder Text"/>
    <w:basedOn w:val="DefaultParagraphFont"/>
    <w:uiPriority w:val="99"/>
    <w:semiHidden/>
    <w:rsid w:val="00567499"/>
    <w:rPr>
      <w:color w:val="808080"/>
    </w:rPr>
  </w:style>
  <w:style w:type="character" w:customStyle="1" w:styleId="highlight2">
    <w:name w:val="highlight2"/>
    <w:basedOn w:val="DefaultParagraphFont"/>
    <w:rsid w:val="00F056AB"/>
  </w:style>
  <w:style w:type="paragraph" w:customStyle="1" w:styleId="Default">
    <w:name w:val="Default"/>
    <w:rsid w:val="00801B56"/>
    <w:pPr>
      <w:autoSpaceDE w:val="0"/>
      <w:autoSpaceDN w:val="0"/>
      <w:adjustRightInd w:val="0"/>
    </w:pPr>
    <w:rPr>
      <w:rFonts w:ascii="Arial" w:hAnsi="Arial" w:cs="Arial"/>
      <w:color w:val="000000"/>
      <w:sz w:val="24"/>
      <w:szCs w:val="24"/>
    </w:rPr>
  </w:style>
  <w:style w:type="character" w:customStyle="1" w:styleId="st1">
    <w:name w:val="st1"/>
    <w:basedOn w:val="DefaultParagraphFont"/>
    <w:rsid w:val="00986952"/>
  </w:style>
  <w:style w:type="paragraph" w:customStyle="1" w:styleId="svarticle">
    <w:name w:val="svarticle"/>
    <w:basedOn w:val="Normal"/>
    <w:rsid w:val="00A05DD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07BBF"/>
  </w:style>
  <w:style w:type="character" w:customStyle="1" w:styleId="cit-print-date">
    <w:name w:val="cit-print-date"/>
    <w:basedOn w:val="DefaultParagraphFont"/>
    <w:rsid w:val="003811C7"/>
  </w:style>
  <w:style w:type="character" w:customStyle="1" w:styleId="cit-vol">
    <w:name w:val="cit-vol"/>
    <w:basedOn w:val="DefaultParagraphFont"/>
    <w:rsid w:val="003811C7"/>
  </w:style>
  <w:style w:type="character" w:customStyle="1" w:styleId="cit-sep">
    <w:name w:val="cit-sep"/>
    <w:basedOn w:val="DefaultParagraphFont"/>
    <w:rsid w:val="003811C7"/>
  </w:style>
  <w:style w:type="character" w:customStyle="1" w:styleId="cit-first-page">
    <w:name w:val="cit-first-page"/>
    <w:basedOn w:val="DefaultParagraphFont"/>
    <w:rsid w:val="003811C7"/>
  </w:style>
  <w:style w:type="character" w:customStyle="1" w:styleId="cit-last-page">
    <w:name w:val="cit-last-page"/>
    <w:basedOn w:val="DefaultParagraphFont"/>
    <w:rsid w:val="003811C7"/>
  </w:style>
  <w:style w:type="character" w:customStyle="1" w:styleId="cit-ahead-of-print-date">
    <w:name w:val="cit-ahead-of-print-date"/>
    <w:basedOn w:val="DefaultParagraphFont"/>
    <w:rsid w:val="003811C7"/>
  </w:style>
  <w:style w:type="character" w:customStyle="1" w:styleId="Heading2Char">
    <w:name w:val="Heading 2 Char"/>
    <w:basedOn w:val="DefaultParagraphFont"/>
    <w:link w:val="Heading2"/>
    <w:semiHidden/>
    <w:rsid w:val="006A7529"/>
    <w:rPr>
      <w:rFonts w:asciiTheme="majorHAnsi" w:eastAsiaTheme="majorEastAsia" w:hAnsiTheme="majorHAnsi" w:cstheme="majorBidi"/>
      <w:b/>
      <w:bCs/>
      <w:color w:val="4F81BD" w:themeColor="accent1"/>
      <w:sz w:val="26"/>
      <w:szCs w:val="26"/>
    </w:rPr>
  </w:style>
  <w:style w:type="character" w:customStyle="1" w:styleId="BodyTextIndentChar">
    <w:name w:val="Body Text Indent Char"/>
    <w:basedOn w:val="DefaultParagraphFont"/>
    <w:link w:val="BodyTextIndent"/>
    <w:rsid w:val="000E495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91">
      <w:bodyDiv w:val="1"/>
      <w:marLeft w:val="0"/>
      <w:marRight w:val="0"/>
      <w:marTop w:val="0"/>
      <w:marBottom w:val="0"/>
      <w:divBdr>
        <w:top w:val="none" w:sz="0" w:space="0" w:color="auto"/>
        <w:left w:val="none" w:sz="0" w:space="0" w:color="auto"/>
        <w:bottom w:val="none" w:sz="0" w:space="0" w:color="auto"/>
        <w:right w:val="none" w:sz="0" w:space="0" w:color="auto"/>
      </w:divBdr>
    </w:div>
    <w:div w:id="48116070">
      <w:bodyDiv w:val="1"/>
      <w:marLeft w:val="0"/>
      <w:marRight w:val="0"/>
      <w:marTop w:val="0"/>
      <w:marBottom w:val="0"/>
      <w:divBdr>
        <w:top w:val="none" w:sz="0" w:space="0" w:color="auto"/>
        <w:left w:val="none" w:sz="0" w:space="0" w:color="auto"/>
        <w:bottom w:val="none" w:sz="0" w:space="0" w:color="auto"/>
        <w:right w:val="none" w:sz="0" w:space="0" w:color="auto"/>
      </w:divBdr>
      <w:divsChild>
        <w:div w:id="1997416591">
          <w:marLeft w:val="0"/>
          <w:marRight w:val="0"/>
          <w:marTop w:val="0"/>
          <w:marBottom w:val="0"/>
          <w:divBdr>
            <w:top w:val="none" w:sz="0" w:space="0" w:color="auto"/>
            <w:left w:val="none" w:sz="0" w:space="0" w:color="auto"/>
            <w:bottom w:val="none" w:sz="0" w:space="0" w:color="auto"/>
            <w:right w:val="none" w:sz="0" w:space="0" w:color="auto"/>
          </w:divBdr>
          <w:divsChild>
            <w:div w:id="1662734081">
              <w:marLeft w:val="0"/>
              <w:marRight w:val="0"/>
              <w:marTop w:val="0"/>
              <w:marBottom w:val="0"/>
              <w:divBdr>
                <w:top w:val="none" w:sz="0" w:space="0" w:color="auto"/>
                <w:left w:val="none" w:sz="0" w:space="0" w:color="auto"/>
                <w:bottom w:val="none" w:sz="0" w:space="0" w:color="auto"/>
                <w:right w:val="none" w:sz="0" w:space="0" w:color="auto"/>
              </w:divBdr>
              <w:divsChild>
                <w:div w:id="768231388">
                  <w:marLeft w:val="0"/>
                  <w:marRight w:val="0"/>
                  <w:marTop w:val="0"/>
                  <w:marBottom w:val="0"/>
                  <w:divBdr>
                    <w:top w:val="none" w:sz="0" w:space="0" w:color="auto"/>
                    <w:left w:val="none" w:sz="0" w:space="0" w:color="auto"/>
                    <w:bottom w:val="none" w:sz="0" w:space="0" w:color="auto"/>
                    <w:right w:val="none" w:sz="0" w:space="0" w:color="auto"/>
                  </w:divBdr>
                  <w:divsChild>
                    <w:div w:id="1527475622">
                      <w:marLeft w:val="0"/>
                      <w:marRight w:val="0"/>
                      <w:marTop w:val="0"/>
                      <w:marBottom w:val="0"/>
                      <w:divBdr>
                        <w:top w:val="none" w:sz="0" w:space="0" w:color="auto"/>
                        <w:left w:val="none" w:sz="0" w:space="0" w:color="auto"/>
                        <w:bottom w:val="none" w:sz="0" w:space="0" w:color="auto"/>
                        <w:right w:val="none" w:sz="0" w:space="0" w:color="auto"/>
                      </w:divBdr>
                      <w:divsChild>
                        <w:div w:id="439376678">
                          <w:marLeft w:val="0"/>
                          <w:marRight w:val="0"/>
                          <w:marTop w:val="0"/>
                          <w:marBottom w:val="0"/>
                          <w:divBdr>
                            <w:top w:val="none" w:sz="0" w:space="0" w:color="auto"/>
                            <w:left w:val="none" w:sz="0" w:space="0" w:color="auto"/>
                            <w:bottom w:val="none" w:sz="0" w:space="0" w:color="auto"/>
                            <w:right w:val="none" w:sz="0" w:space="0" w:color="auto"/>
                          </w:divBdr>
                          <w:divsChild>
                            <w:div w:id="1206675904">
                              <w:marLeft w:val="0"/>
                              <w:marRight w:val="0"/>
                              <w:marTop w:val="0"/>
                              <w:marBottom w:val="0"/>
                              <w:divBdr>
                                <w:top w:val="none" w:sz="0" w:space="0" w:color="auto"/>
                                <w:left w:val="none" w:sz="0" w:space="0" w:color="auto"/>
                                <w:bottom w:val="none" w:sz="0" w:space="0" w:color="auto"/>
                                <w:right w:val="none" w:sz="0" w:space="0" w:color="auto"/>
                              </w:divBdr>
                              <w:divsChild>
                                <w:div w:id="2026400917">
                                  <w:marLeft w:val="0"/>
                                  <w:marRight w:val="0"/>
                                  <w:marTop w:val="0"/>
                                  <w:marBottom w:val="0"/>
                                  <w:divBdr>
                                    <w:top w:val="none" w:sz="0" w:space="0" w:color="auto"/>
                                    <w:left w:val="none" w:sz="0" w:space="0" w:color="auto"/>
                                    <w:bottom w:val="none" w:sz="0" w:space="0" w:color="auto"/>
                                    <w:right w:val="none" w:sz="0" w:space="0" w:color="auto"/>
                                  </w:divBdr>
                                  <w:divsChild>
                                    <w:div w:id="15231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07433">
      <w:bodyDiv w:val="1"/>
      <w:marLeft w:val="0"/>
      <w:marRight w:val="0"/>
      <w:marTop w:val="0"/>
      <w:marBottom w:val="0"/>
      <w:divBdr>
        <w:top w:val="none" w:sz="0" w:space="0" w:color="auto"/>
        <w:left w:val="none" w:sz="0" w:space="0" w:color="auto"/>
        <w:bottom w:val="none" w:sz="0" w:space="0" w:color="auto"/>
        <w:right w:val="none" w:sz="0" w:space="0" w:color="auto"/>
      </w:divBdr>
    </w:div>
    <w:div w:id="76561849">
      <w:bodyDiv w:val="1"/>
      <w:marLeft w:val="0"/>
      <w:marRight w:val="0"/>
      <w:marTop w:val="0"/>
      <w:marBottom w:val="0"/>
      <w:divBdr>
        <w:top w:val="none" w:sz="0" w:space="0" w:color="auto"/>
        <w:left w:val="none" w:sz="0" w:space="0" w:color="auto"/>
        <w:bottom w:val="none" w:sz="0" w:space="0" w:color="auto"/>
        <w:right w:val="none" w:sz="0" w:space="0" w:color="auto"/>
      </w:divBdr>
      <w:divsChild>
        <w:div w:id="2145345196">
          <w:marLeft w:val="0"/>
          <w:marRight w:val="0"/>
          <w:marTop w:val="0"/>
          <w:marBottom w:val="0"/>
          <w:divBdr>
            <w:top w:val="none" w:sz="0" w:space="0" w:color="auto"/>
            <w:left w:val="none" w:sz="0" w:space="0" w:color="auto"/>
            <w:bottom w:val="none" w:sz="0" w:space="0" w:color="auto"/>
            <w:right w:val="none" w:sz="0" w:space="0" w:color="auto"/>
          </w:divBdr>
          <w:divsChild>
            <w:div w:id="225839705">
              <w:marLeft w:val="0"/>
              <w:marRight w:val="0"/>
              <w:marTop w:val="0"/>
              <w:marBottom w:val="0"/>
              <w:divBdr>
                <w:top w:val="none" w:sz="0" w:space="0" w:color="auto"/>
                <w:left w:val="none" w:sz="0" w:space="0" w:color="auto"/>
                <w:bottom w:val="none" w:sz="0" w:space="0" w:color="auto"/>
                <w:right w:val="none" w:sz="0" w:space="0" w:color="auto"/>
              </w:divBdr>
              <w:divsChild>
                <w:div w:id="1735933136">
                  <w:marLeft w:val="0"/>
                  <w:marRight w:val="0"/>
                  <w:marTop w:val="0"/>
                  <w:marBottom w:val="0"/>
                  <w:divBdr>
                    <w:top w:val="none" w:sz="0" w:space="0" w:color="auto"/>
                    <w:left w:val="none" w:sz="0" w:space="0" w:color="auto"/>
                    <w:bottom w:val="none" w:sz="0" w:space="0" w:color="auto"/>
                    <w:right w:val="none" w:sz="0" w:space="0" w:color="auto"/>
                  </w:divBdr>
                  <w:divsChild>
                    <w:div w:id="1098597874">
                      <w:marLeft w:val="0"/>
                      <w:marRight w:val="0"/>
                      <w:marTop w:val="0"/>
                      <w:marBottom w:val="0"/>
                      <w:divBdr>
                        <w:top w:val="none" w:sz="0" w:space="0" w:color="auto"/>
                        <w:left w:val="none" w:sz="0" w:space="0" w:color="auto"/>
                        <w:bottom w:val="none" w:sz="0" w:space="0" w:color="auto"/>
                        <w:right w:val="none" w:sz="0" w:space="0" w:color="auto"/>
                      </w:divBdr>
                      <w:divsChild>
                        <w:div w:id="1697193104">
                          <w:marLeft w:val="0"/>
                          <w:marRight w:val="0"/>
                          <w:marTop w:val="0"/>
                          <w:marBottom w:val="0"/>
                          <w:divBdr>
                            <w:top w:val="none" w:sz="0" w:space="0" w:color="auto"/>
                            <w:left w:val="none" w:sz="0" w:space="0" w:color="auto"/>
                            <w:bottom w:val="none" w:sz="0" w:space="0" w:color="auto"/>
                            <w:right w:val="none" w:sz="0" w:space="0" w:color="auto"/>
                          </w:divBdr>
                          <w:divsChild>
                            <w:div w:id="1821733088">
                              <w:marLeft w:val="0"/>
                              <w:marRight w:val="0"/>
                              <w:marTop w:val="0"/>
                              <w:marBottom w:val="0"/>
                              <w:divBdr>
                                <w:top w:val="none" w:sz="0" w:space="0" w:color="auto"/>
                                <w:left w:val="none" w:sz="0" w:space="0" w:color="auto"/>
                                <w:bottom w:val="none" w:sz="0" w:space="0" w:color="auto"/>
                                <w:right w:val="none" w:sz="0" w:space="0" w:color="auto"/>
                              </w:divBdr>
                              <w:divsChild>
                                <w:div w:id="963001101">
                                  <w:marLeft w:val="0"/>
                                  <w:marRight w:val="0"/>
                                  <w:marTop w:val="0"/>
                                  <w:marBottom w:val="0"/>
                                  <w:divBdr>
                                    <w:top w:val="none" w:sz="0" w:space="0" w:color="auto"/>
                                    <w:left w:val="none" w:sz="0" w:space="0" w:color="auto"/>
                                    <w:bottom w:val="none" w:sz="0" w:space="0" w:color="auto"/>
                                    <w:right w:val="none" w:sz="0" w:space="0" w:color="auto"/>
                                  </w:divBdr>
                                  <w:divsChild>
                                    <w:div w:id="14017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77692">
      <w:bodyDiv w:val="1"/>
      <w:marLeft w:val="0"/>
      <w:marRight w:val="0"/>
      <w:marTop w:val="0"/>
      <w:marBottom w:val="0"/>
      <w:divBdr>
        <w:top w:val="none" w:sz="0" w:space="0" w:color="auto"/>
        <w:left w:val="none" w:sz="0" w:space="0" w:color="auto"/>
        <w:bottom w:val="none" w:sz="0" w:space="0" w:color="auto"/>
        <w:right w:val="none" w:sz="0" w:space="0" w:color="auto"/>
      </w:divBdr>
      <w:divsChild>
        <w:div w:id="1830438984">
          <w:marLeft w:val="0"/>
          <w:marRight w:val="0"/>
          <w:marTop w:val="0"/>
          <w:marBottom w:val="0"/>
          <w:divBdr>
            <w:top w:val="none" w:sz="0" w:space="0" w:color="auto"/>
            <w:left w:val="none" w:sz="0" w:space="0" w:color="auto"/>
            <w:bottom w:val="none" w:sz="0" w:space="0" w:color="auto"/>
            <w:right w:val="none" w:sz="0" w:space="0" w:color="auto"/>
          </w:divBdr>
          <w:divsChild>
            <w:div w:id="1020468112">
              <w:marLeft w:val="0"/>
              <w:marRight w:val="0"/>
              <w:marTop w:val="0"/>
              <w:marBottom w:val="0"/>
              <w:divBdr>
                <w:top w:val="none" w:sz="0" w:space="0" w:color="auto"/>
                <w:left w:val="none" w:sz="0" w:space="0" w:color="auto"/>
                <w:bottom w:val="none" w:sz="0" w:space="0" w:color="auto"/>
                <w:right w:val="none" w:sz="0" w:space="0" w:color="auto"/>
              </w:divBdr>
              <w:divsChild>
                <w:div w:id="1511720728">
                  <w:marLeft w:val="0"/>
                  <w:marRight w:val="0"/>
                  <w:marTop w:val="0"/>
                  <w:marBottom w:val="0"/>
                  <w:divBdr>
                    <w:top w:val="none" w:sz="0" w:space="0" w:color="auto"/>
                    <w:left w:val="none" w:sz="0" w:space="0" w:color="auto"/>
                    <w:bottom w:val="none" w:sz="0" w:space="0" w:color="auto"/>
                    <w:right w:val="none" w:sz="0" w:space="0" w:color="auto"/>
                  </w:divBdr>
                  <w:divsChild>
                    <w:div w:id="1112744384">
                      <w:marLeft w:val="0"/>
                      <w:marRight w:val="0"/>
                      <w:marTop w:val="0"/>
                      <w:marBottom w:val="0"/>
                      <w:divBdr>
                        <w:top w:val="none" w:sz="0" w:space="0" w:color="auto"/>
                        <w:left w:val="none" w:sz="0" w:space="0" w:color="auto"/>
                        <w:bottom w:val="none" w:sz="0" w:space="0" w:color="auto"/>
                        <w:right w:val="none" w:sz="0" w:space="0" w:color="auto"/>
                      </w:divBdr>
                      <w:divsChild>
                        <w:div w:id="1922987592">
                          <w:marLeft w:val="0"/>
                          <w:marRight w:val="0"/>
                          <w:marTop w:val="0"/>
                          <w:marBottom w:val="0"/>
                          <w:divBdr>
                            <w:top w:val="none" w:sz="0" w:space="0" w:color="auto"/>
                            <w:left w:val="none" w:sz="0" w:space="0" w:color="auto"/>
                            <w:bottom w:val="none" w:sz="0" w:space="0" w:color="auto"/>
                            <w:right w:val="none" w:sz="0" w:space="0" w:color="auto"/>
                          </w:divBdr>
                          <w:divsChild>
                            <w:div w:id="1907257638">
                              <w:marLeft w:val="0"/>
                              <w:marRight w:val="0"/>
                              <w:marTop w:val="0"/>
                              <w:marBottom w:val="0"/>
                              <w:divBdr>
                                <w:top w:val="none" w:sz="0" w:space="0" w:color="auto"/>
                                <w:left w:val="none" w:sz="0" w:space="0" w:color="auto"/>
                                <w:bottom w:val="none" w:sz="0" w:space="0" w:color="auto"/>
                                <w:right w:val="none" w:sz="0" w:space="0" w:color="auto"/>
                              </w:divBdr>
                              <w:divsChild>
                                <w:div w:id="48765740">
                                  <w:marLeft w:val="0"/>
                                  <w:marRight w:val="0"/>
                                  <w:marTop w:val="0"/>
                                  <w:marBottom w:val="0"/>
                                  <w:divBdr>
                                    <w:top w:val="none" w:sz="0" w:space="0" w:color="auto"/>
                                    <w:left w:val="none" w:sz="0" w:space="0" w:color="auto"/>
                                    <w:bottom w:val="none" w:sz="0" w:space="0" w:color="auto"/>
                                    <w:right w:val="none" w:sz="0" w:space="0" w:color="auto"/>
                                  </w:divBdr>
                                  <w:divsChild>
                                    <w:div w:id="50830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19634">
      <w:bodyDiv w:val="1"/>
      <w:marLeft w:val="0"/>
      <w:marRight w:val="0"/>
      <w:marTop w:val="0"/>
      <w:marBottom w:val="0"/>
      <w:divBdr>
        <w:top w:val="none" w:sz="0" w:space="0" w:color="auto"/>
        <w:left w:val="none" w:sz="0" w:space="0" w:color="auto"/>
        <w:bottom w:val="none" w:sz="0" w:space="0" w:color="auto"/>
        <w:right w:val="none" w:sz="0" w:space="0" w:color="auto"/>
      </w:divBdr>
    </w:div>
    <w:div w:id="171919085">
      <w:bodyDiv w:val="1"/>
      <w:marLeft w:val="0"/>
      <w:marRight w:val="0"/>
      <w:marTop w:val="0"/>
      <w:marBottom w:val="0"/>
      <w:divBdr>
        <w:top w:val="none" w:sz="0" w:space="0" w:color="auto"/>
        <w:left w:val="none" w:sz="0" w:space="0" w:color="auto"/>
        <w:bottom w:val="none" w:sz="0" w:space="0" w:color="auto"/>
        <w:right w:val="none" w:sz="0" w:space="0" w:color="auto"/>
      </w:divBdr>
    </w:div>
    <w:div w:id="196166181">
      <w:bodyDiv w:val="1"/>
      <w:marLeft w:val="0"/>
      <w:marRight w:val="0"/>
      <w:marTop w:val="0"/>
      <w:marBottom w:val="0"/>
      <w:divBdr>
        <w:top w:val="none" w:sz="0" w:space="0" w:color="auto"/>
        <w:left w:val="none" w:sz="0" w:space="0" w:color="auto"/>
        <w:bottom w:val="none" w:sz="0" w:space="0" w:color="auto"/>
        <w:right w:val="none" w:sz="0" w:space="0" w:color="auto"/>
      </w:divBdr>
      <w:divsChild>
        <w:div w:id="1201167243">
          <w:marLeft w:val="0"/>
          <w:marRight w:val="0"/>
          <w:marTop w:val="0"/>
          <w:marBottom w:val="0"/>
          <w:divBdr>
            <w:top w:val="none" w:sz="0" w:space="0" w:color="auto"/>
            <w:left w:val="none" w:sz="0" w:space="0" w:color="auto"/>
            <w:bottom w:val="none" w:sz="0" w:space="0" w:color="auto"/>
            <w:right w:val="none" w:sz="0" w:space="0" w:color="auto"/>
          </w:divBdr>
          <w:divsChild>
            <w:div w:id="1064333075">
              <w:marLeft w:val="0"/>
              <w:marRight w:val="0"/>
              <w:marTop w:val="0"/>
              <w:marBottom w:val="0"/>
              <w:divBdr>
                <w:top w:val="none" w:sz="0" w:space="0" w:color="auto"/>
                <w:left w:val="none" w:sz="0" w:space="0" w:color="auto"/>
                <w:bottom w:val="none" w:sz="0" w:space="0" w:color="auto"/>
                <w:right w:val="none" w:sz="0" w:space="0" w:color="auto"/>
              </w:divBdr>
              <w:divsChild>
                <w:div w:id="425418640">
                  <w:marLeft w:val="0"/>
                  <w:marRight w:val="0"/>
                  <w:marTop w:val="0"/>
                  <w:marBottom w:val="0"/>
                  <w:divBdr>
                    <w:top w:val="none" w:sz="0" w:space="0" w:color="auto"/>
                    <w:left w:val="none" w:sz="0" w:space="0" w:color="auto"/>
                    <w:bottom w:val="none" w:sz="0" w:space="0" w:color="auto"/>
                    <w:right w:val="none" w:sz="0" w:space="0" w:color="auto"/>
                  </w:divBdr>
                  <w:divsChild>
                    <w:div w:id="1342703767">
                      <w:marLeft w:val="0"/>
                      <w:marRight w:val="0"/>
                      <w:marTop w:val="0"/>
                      <w:marBottom w:val="0"/>
                      <w:divBdr>
                        <w:top w:val="none" w:sz="0" w:space="0" w:color="auto"/>
                        <w:left w:val="none" w:sz="0" w:space="0" w:color="auto"/>
                        <w:bottom w:val="none" w:sz="0" w:space="0" w:color="auto"/>
                        <w:right w:val="none" w:sz="0" w:space="0" w:color="auto"/>
                      </w:divBdr>
                      <w:divsChild>
                        <w:div w:id="1690982144">
                          <w:marLeft w:val="0"/>
                          <w:marRight w:val="0"/>
                          <w:marTop w:val="0"/>
                          <w:marBottom w:val="0"/>
                          <w:divBdr>
                            <w:top w:val="none" w:sz="0" w:space="0" w:color="auto"/>
                            <w:left w:val="none" w:sz="0" w:space="0" w:color="auto"/>
                            <w:bottom w:val="none" w:sz="0" w:space="0" w:color="auto"/>
                            <w:right w:val="none" w:sz="0" w:space="0" w:color="auto"/>
                          </w:divBdr>
                          <w:divsChild>
                            <w:div w:id="935291107">
                              <w:marLeft w:val="0"/>
                              <w:marRight w:val="0"/>
                              <w:marTop w:val="0"/>
                              <w:marBottom w:val="0"/>
                              <w:divBdr>
                                <w:top w:val="none" w:sz="0" w:space="0" w:color="auto"/>
                                <w:left w:val="none" w:sz="0" w:space="0" w:color="auto"/>
                                <w:bottom w:val="none" w:sz="0" w:space="0" w:color="auto"/>
                                <w:right w:val="none" w:sz="0" w:space="0" w:color="auto"/>
                              </w:divBdr>
                              <w:divsChild>
                                <w:div w:id="92828701">
                                  <w:marLeft w:val="0"/>
                                  <w:marRight w:val="0"/>
                                  <w:marTop w:val="0"/>
                                  <w:marBottom w:val="0"/>
                                  <w:divBdr>
                                    <w:top w:val="none" w:sz="0" w:space="0" w:color="auto"/>
                                    <w:left w:val="none" w:sz="0" w:space="0" w:color="auto"/>
                                    <w:bottom w:val="none" w:sz="0" w:space="0" w:color="auto"/>
                                    <w:right w:val="none" w:sz="0" w:space="0" w:color="auto"/>
                                  </w:divBdr>
                                  <w:divsChild>
                                    <w:div w:id="1675645621">
                                      <w:marLeft w:val="0"/>
                                      <w:marRight w:val="0"/>
                                      <w:marTop w:val="0"/>
                                      <w:marBottom w:val="0"/>
                                      <w:divBdr>
                                        <w:top w:val="none" w:sz="0" w:space="0" w:color="auto"/>
                                        <w:left w:val="none" w:sz="0" w:space="0" w:color="auto"/>
                                        <w:bottom w:val="none" w:sz="0" w:space="0" w:color="auto"/>
                                        <w:right w:val="none" w:sz="0" w:space="0" w:color="auto"/>
                                      </w:divBdr>
                                      <w:divsChild>
                                        <w:div w:id="739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678698">
      <w:bodyDiv w:val="1"/>
      <w:marLeft w:val="75"/>
      <w:marRight w:val="75"/>
      <w:marTop w:val="75"/>
      <w:marBottom w:val="75"/>
      <w:divBdr>
        <w:top w:val="none" w:sz="0" w:space="0" w:color="auto"/>
        <w:left w:val="none" w:sz="0" w:space="0" w:color="auto"/>
        <w:bottom w:val="none" w:sz="0" w:space="0" w:color="auto"/>
        <w:right w:val="none" w:sz="0" w:space="0" w:color="auto"/>
      </w:divBdr>
      <w:divsChild>
        <w:div w:id="163474443">
          <w:marLeft w:val="120"/>
          <w:marRight w:val="0"/>
          <w:marTop w:val="150"/>
          <w:marBottom w:val="0"/>
          <w:divBdr>
            <w:top w:val="none" w:sz="0" w:space="0" w:color="auto"/>
            <w:left w:val="none" w:sz="0" w:space="0" w:color="auto"/>
            <w:bottom w:val="none" w:sz="0" w:space="0" w:color="auto"/>
            <w:right w:val="none" w:sz="0" w:space="0" w:color="auto"/>
          </w:divBdr>
          <w:divsChild>
            <w:div w:id="4359076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44651476">
      <w:bodyDiv w:val="1"/>
      <w:marLeft w:val="0"/>
      <w:marRight w:val="0"/>
      <w:marTop w:val="0"/>
      <w:marBottom w:val="0"/>
      <w:divBdr>
        <w:top w:val="none" w:sz="0" w:space="0" w:color="auto"/>
        <w:left w:val="none" w:sz="0" w:space="0" w:color="auto"/>
        <w:bottom w:val="none" w:sz="0" w:space="0" w:color="auto"/>
        <w:right w:val="none" w:sz="0" w:space="0" w:color="auto"/>
      </w:divBdr>
    </w:div>
    <w:div w:id="396901907">
      <w:bodyDiv w:val="1"/>
      <w:marLeft w:val="0"/>
      <w:marRight w:val="0"/>
      <w:marTop w:val="0"/>
      <w:marBottom w:val="0"/>
      <w:divBdr>
        <w:top w:val="none" w:sz="0" w:space="0" w:color="auto"/>
        <w:left w:val="none" w:sz="0" w:space="0" w:color="auto"/>
        <w:bottom w:val="none" w:sz="0" w:space="0" w:color="auto"/>
        <w:right w:val="none" w:sz="0" w:space="0" w:color="auto"/>
      </w:divBdr>
    </w:div>
    <w:div w:id="427510313">
      <w:bodyDiv w:val="1"/>
      <w:marLeft w:val="0"/>
      <w:marRight w:val="0"/>
      <w:marTop w:val="0"/>
      <w:marBottom w:val="0"/>
      <w:divBdr>
        <w:top w:val="none" w:sz="0" w:space="0" w:color="auto"/>
        <w:left w:val="none" w:sz="0" w:space="0" w:color="auto"/>
        <w:bottom w:val="none" w:sz="0" w:space="0" w:color="auto"/>
        <w:right w:val="none" w:sz="0" w:space="0" w:color="auto"/>
      </w:divBdr>
      <w:divsChild>
        <w:div w:id="181167015">
          <w:marLeft w:val="0"/>
          <w:marRight w:val="0"/>
          <w:marTop w:val="0"/>
          <w:marBottom w:val="0"/>
          <w:divBdr>
            <w:top w:val="none" w:sz="0" w:space="0" w:color="auto"/>
            <w:left w:val="none" w:sz="0" w:space="0" w:color="auto"/>
            <w:bottom w:val="none" w:sz="0" w:space="0" w:color="auto"/>
            <w:right w:val="none" w:sz="0" w:space="0" w:color="auto"/>
          </w:divBdr>
          <w:divsChild>
            <w:div w:id="2040079022">
              <w:marLeft w:val="0"/>
              <w:marRight w:val="0"/>
              <w:marTop w:val="0"/>
              <w:marBottom w:val="0"/>
              <w:divBdr>
                <w:top w:val="none" w:sz="0" w:space="0" w:color="auto"/>
                <w:left w:val="none" w:sz="0" w:space="0" w:color="auto"/>
                <w:bottom w:val="none" w:sz="0" w:space="0" w:color="auto"/>
                <w:right w:val="none" w:sz="0" w:space="0" w:color="auto"/>
              </w:divBdr>
              <w:divsChild>
                <w:div w:id="1873418358">
                  <w:marLeft w:val="0"/>
                  <w:marRight w:val="0"/>
                  <w:marTop w:val="0"/>
                  <w:marBottom w:val="0"/>
                  <w:divBdr>
                    <w:top w:val="none" w:sz="0" w:space="0" w:color="auto"/>
                    <w:left w:val="none" w:sz="0" w:space="0" w:color="auto"/>
                    <w:bottom w:val="none" w:sz="0" w:space="0" w:color="auto"/>
                    <w:right w:val="none" w:sz="0" w:space="0" w:color="auto"/>
                  </w:divBdr>
                  <w:divsChild>
                    <w:div w:id="1699044144">
                      <w:marLeft w:val="0"/>
                      <w:marRight w:val="0"/>
                      <w:marTop w:val="0"/>
                      <w:marBottom w:val="0"/>
                      <w:divBdr>
                        <w:top w:val="none" w:sz="0" w:space="0" w:color="auto"/>
                        <w:left w:val="none" w:sz="0" w:space="0" w:color="auto"/>
                        <w:bottom w:val="none" w:sz="0" w:space="0" w:color="auto"/>
                        <w:right w:val="none" w:sz="0" w:space="0" w:color="auto"/>
                      </w:divBdr>
                      <w:divsChild>
                        <w:div w:id="1707637057">
                          <w:marLeft w:val="0"/>
                          <w:marRight w:val="0"/>
                          <w:marTop w:val="0"/>
                          <w:marBottom w:val="0"/>
                          <w:divBdr>
                            <w:top w:val="none" w:sz="0" w:space="0" w:color="auto"/>
                            <w:left w:val="none" w:sz="0" w:space="0" w:color="auto"/>
                            <w:bottom w:val="none" w:sz="0" w:space="0" w:color="auto"/>
                            <w:right w:val="none" w:sz="0" w:space="0" w:color="auto"/>
                          </w:divBdr>
                          <w:divsChild>
                            <w:div w:id="261182215">
                              <w:marLeft w:val="0"/>
                              <w:marRight w:val="0"/>
                              <w:marTop w:val="0"/>
                              <w:marBottom w:val="0"/>
                              <w:divBdr>
                                <w:top w:val="none" w:sz="0" w:space="0" w:color="auto"/>
                                <w:left w:val="none" w:sz="0" w:space="0" w:color="auto"/>
                                <w:bottom w:val="none" w:sz="0" w:space="0" w:color="auto"/>
                                <w:right w:val="none" w:sz="0" w:space="0" w:color="auto"/>
                              </w:divBdr>
                              <w:divsChild>
                                <w:div w:id="1445612366">
                                  <w:marLeft w:val="0"/>
                                  <w:marRight w:val="0"/>
                                  <w:marTop w:val="0"/>
                                  <w:marBottom w:val="0"/>
                                  <w:divBdr>
                                    <w:top w:val="none" w:sz="0" w:space="0" w:color="auto"/>
                                    <w:left w:val="none" w:sz="0" w:space="0" w:color="auto"/>
                                    <w:bottom w:val="none" w:sz="0" w:space="0" w:color="auto"/>
                                    <w:right w:val="none" w:sz="0" w:space="0" w:color="auto"/>
                                  </w:divBdr>
                                  <w:divsChild>
                                    <w:div w:id="29218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391635">
      <w:bodyDiv w:val="1"/>
      <w:marLeft w:val="0"/>
      <w:marRight w:val="0"/>
      <w:marTop w:val="0"/>
      <w:marBottom w:val="0"/>
      <w:divBdr>
        <w:top w:val="none" w:sz="0" w:space="0" w:color="auto"/>
        <w:left w:val="none" w:sz="0" w:space="0" w:color="auto"/>
        <w:bottom w:val="none" w:sz="0" w:space="0" w:color="auto"/>
        <w:right w:val="none" w:sz="0" w:space="0" w:color="auto"/>
      </w:divBdr>
    </w:div>
    <w:div w:id="546066367">
      <w:bodyDiv w:val="1"/>
      <w:marLeft w:val="0"/>
      <w:marRight w:val="0"/>
      <w:marTop w:val="0"/>
      <w:marBottom w:val="0"/>
      <w:divBdr>
        <w:top w:val="none" w:sz="0" w:space="0" w:color="auto"/>
        <w:left w:val="none" w:sz="0" w:space="0" w:color="auto"/>
        <w:bottom w:val="none" w:sz="0" w:space="0" w:color="auto"/>
        <w:right w:val="none" w:sz="0" w:space="0" w:color="auto"/>
      </w:divBdr>
      <w:divsChild>
        <w:div w:id="42950123">
          <w:marLeft w:val="0"/>
          <w:marRight w:val="0"/>
          <w:marTop w:val="0"/>
          <w:marBottom w:val="0"/>
          <w:divBdr>
            <w:top w:val="none" w:sz="0" w:space="0" w:color="auto"/>
            <w:left w:val="none" w:sz="0" w:space="0" w:color="auto"/>
            <w:bottom w:val="none" w:sz="0" w:space="0" w:color="auto"/>
            <w:right w:val="none" w:sz="0" w:space="0" w:color="auto"/>
          </w:divBdr>
          <w:divsChild>
            <w:div w:id="1936864400">
              <w:marLeft w:val="0"/>
              <w:marRight w:val="0"/>
              <w:marTop w:val="0"/>
              <w:marBottom w:val="0"/>
              <w:divBdr>
                <w:top w:val="none" w:sz="0" w:space="0" w:color="auto"/>
                <w:left w:val="none" w:sz="0" w:space="0" w:color="auto"/>
                <w:bottom w:val="none" w:sz="0" w:space="0" w:color="auto"/>
                <w:right w:val="none" w:sz="0" w:space="0" w:color="auto"/>
              </w:divBdr>
              <w:divsChild>
                <w:div w:id="1814178298">
                  <w:marLeft w:val="0"/>
                  <w:marRight w:val="0"/>
                  <w:marTop w:val="0"/>
                  <w:marBottom w:val="0"/>
                  <w:divBdr>
                    <w:top w:val="none" w:sz="0" w:space="0" w:color="auto"/>
                    <w:left w:val="none" w:sz="0" w:space="0" w:color="auto"/>
                    <w:bottom w:val="none" w:sz="0" w:space="0" w:color="auto"/>
                    <w:right w:val="none" w:sz="0" w:space="0" w:color="auto"/>
                  </w:divBdr>
                  <w:divsChild>
                    <w:div w:id="1892424405">
                      <w:marLeft w:val="0"/>
                      <w:marRight w:val="0"/>
                      <w:marTop w:val="0"/>
                      <w:marBottom w:val="0"/>
                      <w:divBdr>
                        <w:top w:val="none" w:sz="0" w:space="0" w:color="auto"/>
                        <w:left w:val="none" w:sz="0" w:space="0" w:color="auto"/>
                        <w:bottom w:val="none" w:sz="0" w:space="0" w:color="auto"/>
                        <w:right w:val="none" w:sz="0" w:space="0" w:color="auto"/>
                      </w:divBdr>
                      <w:divsChild>
                        <w:div w:id="604968514">
                          <w:marLeft w:val="0"/>
                          <w:marRight w:val="0"/>
                          <w:marTop w:val="0"/>
                          <w:marBottom w:val="0"/>
                          <w:divBdr>
                            <w:top w:val="none" w:sz="0" w:space="0" w:color="auto"/>
                            <w:left w:val="none" w:sz="0" w:space="0" w:color="auto"/>
                            <w:bottom w:val="none" w:sz="0" w:space="0" w:color="auto"/>
                            <w:right w:val="none" w:sz="0" w:space="0" w:color="auto"/>
                          </w:divBdr>
                          <w:divsChild>
                            <w:div w:id="1965694689">
                              <w:marLeft w:val="0"/>
                              <w:marRight w:val="0"/>
                              <w:marTop w:val="0"/>
                              <w:marBottom w:val="0"/>
                              <w:divBdr>
                                <w:top w:val="none" w:sz="0" w:space="0" w:color="auto"/>
                                <w:left w:val="none" w:sz="0" w:space="0" w:color="auto"/>
                                <w:bottom w:val="none" w:sz="0" w:space="0" w:color="auto"/>
                                <w:right w:val="none" w:sz="0" w:space="0" w:color="auto"/>
                              </w:divBdr>
                              <w:divsChild>
                                <w:div w:id="459037135">
                                  <w:marLeft w:val="0"/>
                                  <w:marRight w:val="0"/>
                                  <w:marTop w:val="0"/>
                                  <w:marBottom w:val="0"/>
                                  <w:divBdr>
                                    <w:top w:val="none" w:sz="0" w:space="0" w:color="auto"/>
                                    <w:left w:val="none" w:sz="0" w:space="0" w:color="auto"/>
                                    <w:bottom w:val="none" w:sz="0" w:space="0" w:color="auto"/>
                                    <w:right w:val="none" w:sz="0" w:space="0" w:color="auto"/>
                                  </w:divBdr>
                                  <w:divsChild>
                                    <w:div w:id="15430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952378">
      <w:bodyDiv w:val="1"/>
      <w:marLeft w:val="0"/>
      <w:marRight w:val="0"/>
      <w:marTop w:val="0"/>
      <w:marBottom w:val="0"/>
      <w:divBdr>
        <w:top w:val="none" w:sz="0" w:space="0" w:color="auto"/>
        <w:left w:val="none" w:sz="0" w:space="0" w:color="auto"/>
        <w:bottom w:val="none" w:sz="0" w:space="0" w:color="auto"/>
        <w:right w:val="none" w:sz="0" w:space="0" w:color="auto"/>
      </w:divBdr>
    </w:div>
    <w:div w:id="643386580">
      <w:bodyDiv w:val="1"/>
      <w:marLeft w:val="0"/>
      <w:marRight w:val="0"/>
      <w:marTop w:val="0"/>
      <w:marBottom w:val="0"/>
      <w:divBdr>
        <w:top w:val="none" w:sz="0" w:space="0" w:color="auto"/>
        <w:left w:val="none" w:sz="0" w:space="0" w:color="auto"/>
        <w:bottom w:val="none" w:sz="0" w:space="0" w:color="auto"/>
        <w:right w:val="none" w:sz="0" w:space="0" w:color="auto"/>
      </w:divBdr>
    </w:div>
    <w:div w:id="876816554">
      <w:bodyDiv w:val="1"/>
      <w:marLeft w:val="75"/>
      <w:marRight w:val="75"/>
      <w:marTop w:val="75"/>
      <w:marBottom w:val="75"/>
      <w:divBdr>
        <w:top w:val="none" w:sz="0" w:space="0" w:color="auto"/>
        <w:left w:val="none" w:sz="0" w:space="0" w:color="auto"/>
        <w:bottom w:val="none" w:sz="0" w:space="0" w:color="auto"/>
        <w:right w:val="none" w:sz="0" w:space="0" w:color="auto"/>
      </w:divBdr>
      <w:divsChild>
        <w:div w:id="426342413">
          <w:marLeft w:val="120"/>
          <w:marRight w:val="0"/>
          <w:marTop w:val="150"/>
          <w:marBottom w:val="0"/>
          <w:divBdr>
            <w:top w:val="none" w:sz="0" w:space="0" w:color="auto"/>
            <w:left w:val="none" w:sz="0" w:space="0" w:color="auto"/>
            <w:bottom w:val="none" w:sz="0" w:space="0" w:color="auto"/>
            <w:right w:val="none" w:sz="0" w:space="0" w:color="auto"/>
          </w:divBdr>
          <w:divsChild>
            <w:div w:id="1307514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10059386">
      <w:bodyDiv w:val="1"/>
      <w:marLeft w:val="0"/>
      <w:marRight w:val="0"/>
      <w:marTop w:val="0"/>
      <w:marBottom w:val="0"/>
      <w:divBdr>
        <w:top w:val="none" w:sz="0" w:space="0" w:color="auto"/>
        <w:left w:val="none" w:sz="0" w:space="0" w:color="auto"/>
        <w:bottom w:val="none" w:sz="0" w:space="0" w:color="auto"/>
        <w:right w:val="none" w:sz="0" w:space="0" w:color="auto"/>
      </w:divBdr>
    </w:div>
    <w:div w:id="1014571504">
      <w:bodyDiv w:val="1"/>
      <w:marLeft w:val="0"/>
      <w:marRight w:val="0"/>
      <w:marTop w:val="0"/>
      <w:marBottom w:val="0"/>
      <w:divBdr>
        <w:top w:val="none" w:sz="0" w:space="0" w:color="auto"/>
        <w:left w:val="none" w:sz="0" w:space="0" w:color="auto"/>
        <w:bottom w:val="none" w:sz="0" w:space="0" w:color="auto"/>
        <w:right w:val="none" w:sz="0" w:space="0" w:color="auto"/>
      </w:divBdr>
      <w:divsChild>
        <w:div w:id="1399092447">
          <w:marLeft w:val="0"/>
          <w:marRight w:val="0"/>
          <w:marTop w:val="0"/>
          <w:marBottom w:val="0"/>
          <w:divBdr>
            <w:top w:val="none" w:sz="0" w:space="0" w:color="auto"/>
            <w:left w:val="none" w:sz="0" w:space="0" w:color="auto"/>
            <w:bottom w:val="none" w:sz="0" w:space="0" w:color="auto"/>
            <w:right w:val="none" w:sz="0" w:space="0" w:color="auto"/>
          </w:divBdr>
          <w:divsChild>
            <w:div w:id="532381203">
              <w:marLeft w:val="0"/>
              <w:marRight w:val="0"/>
              <w:marTop w:val="0"/>
              <w:marBottom w:val="0"/>
              <w:divBdr>
                <w:top w:val="none" w:sz="0" w:space="0" w:color="auto"/>
                <w:left w:val="none" w:sz="0" w:space="0" w:color="auto"/>
                <w:bottom w:val="none" w:sz="0" w:space="0" w:color="auto"/>
                <w:right w:val="none" w:sz="0" w:space="0" w:color="auto"/>
              </w:divBdr>
              <w:divsChild>
                <w:div w:id="1004015354">
                  <w:marLeft w:val="0"/>
                  <w:marRight w:val="0"/>
                  <w:marTop w:val="0"/>
                  <w:marBottom w:val="0"/>
                  <w:divBdr>
                    <w:top w:val="none" w:sz="0" w:space="0" w:color="auto"/>
                    <w:left w:val="none" w:sz="0" w:space="0" w:color="auto"/>
                    <w:bottom w:val="none" w:sz="0" w:space="0" w:color="auto"/>
                    <w:right w:val="none" w:sz="0" w:space="0" w:color="auto"/>
                  </w:divBdr>
                  <w:divsChild>
                    <w:div w:id="189729264">
                      <w:marLeft w:val="0"/>
                      <w:marRight w:val="0"/>
                      <w:marTop w:val="0"/>
                      <w:marBottom w:val="0"/>
                      <w:divBdr>
                        <w:top w:val="none" w:sz="0" w:space="0" w:color="auto"/>
                        <w:left w:val="none" w:sz="0" w:space="0" w:color="auto"/>
                        <w:bottom w:val="none" w:sz="0" w:space="0" w:color="auto"/>
                        <w:right w:val="none" w:sz="0" w:space="0" w:color="auto"/>
                      </w:divBdr>
                      <w:divsChild>
                        <w:div w:id="2019963484">
                          <w:marLeft w:val="0"/>
                          <w:marRight w:val="0"/>
                          <w:marTop w:val="0"/>
                          <w:marBottom w:val="0"/>
                          <w:divBdr>
                            <w:top w:val="none" w:sz="0" w:space="0" w:color="auto"/>
                            <w:left w:val="none" w:sz="0" w:space="0" w:color="auto"/>
                            <w:bottom w:val="none" w:sz="0" w:space="0" w:color="auto"/>
                            <w:right w:val="none" w:sz="0" w:space="0" w:color="auto"/>
                          </w:divBdr>
                          <w:divsChild>
                            <w:div w:id="596602220">
                              <w:marLeft w:val="0"/>
                              <w:marRight w:val="0"/>
                              <w:marTop w:val="0"/>
                              <w:marBottom w:val="0"/>
                              <w:divBdr>
                                <w:top w:val="none" w:sz="0" w:space="0" w:color="auto"/>
                                <w:left w:val="none" w:sz="0" w:space="0" w:color="auto"/>
                                <w:bottom w:val="none" w:sz="0" w:space="0" w:color="auto"/>
                                <w:right w:val="none" w:sz="0" w:space="0" w:color="auto"/>
                              </w:divBdr>
                              <w:divsChild>
                                <w:div w:id="1545097509">
                                  <w:marLeft w:val="0"/>
                                  <w:marRight w:val="0"/>
                                  <w:marTop w:val="0"/>
                                  <w:marBottom w:val="0"/>
                                  <w:divBdr>
                                    <w:top w:val="none" w:sz="0" w:space="0" w:color="auto"/>
                                    <w:left w:val="none" w:sz="0" w:space="0" w:color="auto"/>
                                    <w:bottom w:val="none" w:sz="0" w:space="0" w:color="auto"/>
                                    <w:right w:val="none" w:sz="0" w:space="0" w:color="auto"/>
                                  </w:divBdr>
                                  <w:divsChild>
                                    <w:div w:id="12073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932336">
      <w:bodyDiv w:val="1"/>
      <w:marLeft w:val="0"/>
      <w:marRight w:val="0"/>
      <w:marTop w:val="0"/>
      <w:marBottom w:val="0"/>
      <w:divBdr>
        <w:top w:val="none" w:sz="0" w:space="0" w:color="auto"/>
        <w:left w:val="none" w:sz="0" w:space="0" w:color="auto"/>
        <w:bottom w:val="none" w:sz="0" w:space="0" w:color="auto"/>
        <w:right w:val="none" w:sz="0" w:space="0" w:color="auto"/>
      </w:divBdr>
      <w:divsChild>
        <w:div w:id="735200806">
          <w:marLeft w:val="0"/>
          <w:marRight w:val="0"/>
          <w:marTop w:val="0"/>
          <w:marBottom w:val="0"/>
          <w:divBdr>
            <w:top w:val="none" w:sz="0" w:space="0" w:color="auto"/>
            <w:left w:val="none" w:sz="0" w:space="0" w:color="auto"/>
            <w:bottom w:val="none" w:sz="0" w:space="0" w:color="auto"/>
            <w:right w:val="none" w:sz="0" w:space="0" w:color="auto"/>
          </w:divBdr>
          <w:divsChild>
            <w:div w:id="981155822">
              <w:marLeft w:val="0"/>
              <w:marRight w:val="0"/>
              <w:marTop w:val="0"/>
              <w:marBottom w:val="0"/>
              <w:divBdr>
                <w:top w:val="none" w:sz="0" w:space="0" w:color="auto"/>
                <w:left w:val="none" w:sz="0" w:space="0" w:color="auto"/>
                <w:bottom w:val="none" w:sz="0" w:space="0" w:color="auto"/>
                <w:right w:val="none" w:sz="0" w:space="0" w:color="auto"/>
              </w:divBdr>
              <w:divsChild>
                <w:div w:id="1967809131">
                  <w:marLeft w:val="0"/>
                  <w:marRight w:val="0"/>
                  <w:marTop w:val="0"/>
                  <w:marBottom w:val="0"/>
                  <w:divBdr>
                    <w:top w:val="none" w:sz="0" w:space="0" w:color="auto"/>
                    <w:left w:val="none" w:sz="0" w:space="0" w:color="auto"/>
                    <w:bottom w:val="none" w:sz="0" w:space="0" w:color="auto"/>
                    <w:right w:val="none" w:sz="0" w:space="0" w:color="auto"/>
                  </w:divBdr>
                  <w:divsChild>
                    <w:div w:id="268854295">
                      <w:marLeft w:val="0"/>
                      <w:marRight w:val="0"/>
                      <w:marTop w:val="0"/>
                      <w:marBottom w:val="0"/>
                      <w:divBdr>
                        <w:top w:val="none" w:sz="0" w:space="0" w:color="auto"/>
                        <w:left w:val="none" w:sz="0" w:space="0" w:color="auto"/>
                        <w:bottom w:val="none" w:sz="0" w:space="0" w:color="auto"/>
                        <w:right w:val="none" w:sz="0" w:space="0" w:color="auto"/>
                      </w:divBdr>
                      <w:divsChild>
                        <w:div w:id="1864321143">
                          <w:marLeft w:val="0"/>
                          <w:marRight w:val="0"/>
                          <w:marTop w:val="0"/>
                          <w:marBottom w:val="0"/>
                          <w:divBdr>
                            <w:top w:val="none" w:sz="0" w:space="0" w:color="auto"/>
                            <w:left w:val="none" w:sz="0" w:space="0" w:color="auto"/>
                            <w:bottom w:val="none" w:sz="0" w:space="0" w:color="auto"/>
                            <w:right w:val="none" w:sz="0" w:space="0" w:color="auto"/>
                          </w:divBdr>
                          <w:divsChild>
                            <w:div w:id="955646889">
                              <w:marLeft w:val="0"/>
                              <w:marRight w:val="0"/>
                              <w:marTop w:val="0"/>
                              <w:marBottom w:val="0"/>
                              <w:divBdr>
                                <w:top w:val="none" w:sz="0" w:space="0" w:color="auto"/>
                                <w:left w:val="none" w:sz="0" w:space="0" w:color="auto"/>
                                <w:bottom w:val="none" w:sz="0" w:space="0" w:color="auto"/>
                                <w:right w:val="none" w:sz="0" w:space="0" w:color="auto"/>
                              </w:divBdr>
                              <w:divsChild>
                                <w:div w:id="1416437817">
                                  <w:marLeft w:val="0"/>
                                  <w:marRight w:val="0"/>
                                  <w:marTop w:val="0"/>
                                  <w:marBottom w:val="0"/>
                                  <w:divBdr>
                                    <w:top w:val="none" w:sz="0" w:space="0" w:color="auto"/>
                                    <w:left w:val="none" w:sz="0" w:space="0" w:color="auto"/>
                                    <w:bottom w:val="none" w:sz="0" w:space="0" w:color="auto"/>
                                    <w:right w:val="none" w:sz="0" w:space="0" w:color="auto"/>
                                  </w:divBdr>
                                  <w:divsChild>
                                    <w:div w:id="6828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503661">
      <w:bodyDiv w:val="1"/>
      <w:marLeft w:val="0"/>
      <w:marRight w:val="0"/>
      <w:marTop w:val="0"/>
      <w:marBottom w:val="0"/>
      <w:divBdr>
        <w:top w:val="none" w:sz="0" w:space="0" w:color="auto"/>
        <w:left w:val="none" w:sz="0" w:space="0" w:color="auto"/>
        <w:bottom w:val="none" w:sz="0" w:space="0" w:color="auto"/>
        <w:right w:val="none" w:sz="0" w:space="0" w:color="auto"/>
      </w:divBdr>
    </w:div>
    <w:div w:id="1145897111">
      <w:bodyDiv w:val="1"/>
      <w:marLeft w:val="0"/>
      <w:marRight w:val="0"/>
      <w:marTop w:val="0"/>
      <w:marBottom w:val="0"/>
      <w:divBdr>
        <w:top w:val="none" w:sz="0" w:space="0" w:color="auto"/>
        <w:left w:val="none" w:sz="0" w:space="0" w:color="auto"/>
        <w:bottom w:val="none" w:sz="0" w:space="0" w:color="auto"/>
        <w:right w:val="none" w:sz="0" w:space="0" w:color="auto"/>
      </w:divBdr>
      <w:divsChild>
        <w:div w:id="383336641">
          <w:marLeft w:val="0"/>
          <w:marRight w:val="0"/>
          <w:marTop w:val="0"/>
          <w:marBottom w:val="0"/>
          <w:divBdr>
            <w:top w:val="none" w:sz="0" w:space="0" w:color="auto"/>
            <w:left w:val="none" w:sz="0" w:space="0" w:color="auto"/>
            <w:bottom w:val="none" w:sz="0" w:space="0" w:color="auto"/>
            <w:right w:val="none" w:sz="0" w:space="0" w:color="auto"/>
          </w:divBdr>
          <w:divsChild>
            <w:div w:id="799690221">
              <w:marLeft w:val="0"/>
              <w:marRight w:val="0"/>
              <w:marTop w:val="0"/>
              <w:marBottom w:val="0"/>
              <w:divBdr>
                <w:top w:val="none" w:sz="0" w:space="0" w:color="auto"/>
                <w:left w:val="none" w:sz="0" w:space="0" w:color="auto"/>
                <w:bottom w:val="none" w:sz="0" w:space="0" w:color="auto"/>
                <w:right w:val="none" w:sz="0" w:space="0" w:color="auto"/>
              </w:divBdr>
              <w:divsChild>
                <w:div w:id="237862425">
                  <w:marLeft w:val="0"/>
                  <w:marRight w:val="0"/>
                  <w:marTop w:val="0"/>
                  <w:marBottom w:val="0"/>
                  <w:divBdr>
                    <w:top w:val="none" w:sz="0" w:space="0" w:color="auto"/>
                    <w:left w:val="none" w:sz="0" w:space="0" w:color="auto"/>
                    <w:bottom w:val="none" w:sz="0" w:space="0" w:color="auto"/>
                    <w:right w:val="none" w:sz="0" w:space="0" w:color="auto"/>
                  </w:divBdr>
                  <w:divsChild>
                    <w:div w:id="989754573">
                      <w:marLeft w:val="0"/>
                      <w:marRight w:val="0"/>
                      <w:marTop w:val="0"/>
                      <w:marBottom w:val="0"/>
                      <w:divBdr>
                        <w:top w:val="none" w:sz="0" w:space="0" w:color="auto"/>
                        <w:left w:val="none" w:sz="0" w:space="0" w:color="auto"/>
                        <w:bottom w:val="none" w:sz="0" w:space="0" w:color="auto"/>
                        <w:right w:val="none" w:sz="0" w:space="0" w:color="auto"/>
                      </w:divBdr>
                      <w:divsChild>
                        <w:div w:id="866331556">
                          <w:marLeft w:val="0"/>
                          <w:marRight w:val="0"/>
                          <w:marTop w:val="0"/>
                          <w:marBottom w:val="0"/>
                          <w:divBdr>
                            <w:top w:val="none" w:sz="0" w:space="0" w:color="auto"/>
                            <w:left w:val="none" w:sz="0" w:space="0" w:color="auto"/>
                            <w:bottom w:val="none" w:sz="0" w:space="0" w:color="auto"/>
                            <w:right w:val="none" w:sz="0" w:space="0" w:color="auto"/>
                          </w:divBdr>
                          <w:divsChild>
                            <w:div w:id="1668752638">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13381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943743">
      <w:bodyDiv w:val="1"/>
      <w:marLeft w:val="0"/>
      <w:marRight w:val="0"/>
      <w:marTop w:val="0"/>
      <w:marBottom w:val="0"/>
      <w:divBdr>
        <w:top w:val="none" w:sz="0" w:space="0" w:color="auto"/>
        <w:left w:val="none" w:sz="0" w:space="0" w:color="auto"/>
        <w:bottom w:val="none" w:sz="0" w:space="0" w:color="auto"/>
        <w:right w:val="none" w:sz="0" w:space="0" w:color="auto"/>
      </w:divBdr>
    </w:div>
    <w:div w:id="1231768207">
      <w:bodyDiv w:val="1"/>
      <w:marLeft w:val="0"/>
      <w:marRight w:val="0"/>
      <w:marTop w:val="0"/>
      <w:marBottom w:val="0"/>
      <w:divBdr>
        <w:top w:val="none" w:sz="0" w:space="0" w:color="auto"/>
        <w:left w:val="none" w:sz="0" w:space="0" w:color="auto"/>
        <w:bottom w:val="none" w:sz="0" w:space="0" w:color="auto"/>
        <w:right w:val="none" w:sz="0" w:space="0" w:color="auto"/>
      </w:divBdr>
    </w:div>
    <w:div w:id="1253590211">
      <w:bodyDiv w:val="1"/>
      <w:marLeft w:val="0"/>
      <w:marRight w:val="0"/>
      <w:marTop w:val="0"/>
      <w:marBottom w:val="0"/>
      <w:divBdr>
        <w:top w:val="none" w:sz="0" w:space="0" w:color="auto"/>
        <w:left w:val="none" w:sz="0" w:space="0" w:color="auto"/>
        <w:bottom w:val="none" w:sz="0" w:space="0" w:color="auto"/>
        <w:right w:val="none" w:sz="0" w:space="0" w:color="auto"/>
      </w:divBdr>
    </w:div>
    <w:div w:id="1258711330">
      <w:bodyDiv w:val="1"/>
      <w:marLeft w:val="0"/>
      <w:marRight w:val="0"/>
      <w:marTop w:val="0"/>
      <w:marBottom w:val="0"/>
      <w:divBdr>
        <w:top w:val="none" w:sz="0" w:space="0" w:color="auto"/>
        <w:left w:val="none" w:sz="0" w:space="0" w:color="auto"/>
        <w:bottom w:val="none" w:sz="0" w:space="0" w:color="auto"/>
        <w:right w:val="none" w:sz="0" w:space="0" w:color="auto"/>
      </w:divBdr>
      <w:divsChild>
        <w:div w:id="694384190">
          <w:marLeft w:val="0"/>
          <w:marRight w:val="0"/>
          <w:marTop w:val="0"/>
          <w:marBottom w:val="0"/>
          <w:divBdr>
            <w:top w:val="none" w:sz="0" w:space="0" w:color="auto"/>
            <w:left w:val="none" w:sz="0" w:space="0" w:color="auto"/>
            <w:bottom w:val="none" w:sz="0" w:space="0" w:color="auto"/>
            <w:right w:val="none" w:sz="0" w:space="0" w:color="auto"/>
          </w:divBdr>
          <w:divsChild>
            <w:div w:id="804279643">
              <w:marLeft w:val="0"/>
              <w:marRight w:val="0"/>
              <w:marTop w:val="0"/>
              <w:marBottom w:val="0"/>
              <w:divBdr>
                <w:top w:val="none" w:sz="0" w:space="0" w:color="auto"/>
                <w:left w:val="none" w:sz="0" w:space="0" w:color="auto"/>
                <w:bottom w:val="none" w:sz="0" w:space="0" w:color="auto"/>
                <w:right w:val="none" w:sz="0" w:space="0" w:color="auto"/>
              </w:divBdr>
              <w:divsChild>
                <w:div w:id="1781952865">
                  <w:marLeft w:val="0"/>
                  <w:marRight w:val="0"/>
                  <w:marTop w:val="0"/>
                  <w:marBottom w:val="0"/>
                  <w:divBdr>
                    <w:top w:val="none" w:sz="0" w:space="0" w:color="auto"/>
                    <w:left w:val="none" w:sz="0" w:space="0" w:color="auto"/>
                    <w:bottom w:val="none" w:sz="0" w:space="0" w:color="auto"/>
                    <w:right w:val="none" w:sz="0" w:space="0" w:color="auto"/>
                  </w:divBdr>
                  <w:divsChild>
                    <w:div w:id="86927553">
                      <w:marLeft w:val="0"/>
                      <w:marRight w:val="0"/>
                      <w:marTop w:val="0"/>
                      <w:marBottom w:val="0"/>
                      <w:divBdr>
                        <w:top w:val="none" w:sz="0" w:space="0" w:color="auto"/>
                        <w:left w:val="none" w:sz="0" w:space="0" w:color="auto"/>
                        <w:bottom w:val="none" w:sz="0" w:space="0" w:color="auto"/>
                        <w:right w:val="none" w:sz="0" w:space="0" w:color="auto"/>
                      </w:divBdr>
                      <w:divsChild>
                        <w:div w:id="1546983806">
                          <w:marLeft w:val="0"/>
                          <w:marRight w:val="0"/>
                          <w:marTop w:val="0"/>
                          <w:marBottom w:val="0"/>
                          <w:divBdr>
                            <w:top w:val="none" w:sz="0" w:space="0" w:color="auto"/>
                            <w:left w:val="none" w:sz="0" w:space="0" w:color="auto"/>
                            <w:bottom w:val="none" w:sz="0" w:space="0" w:color="auto"/>
                            <w:right w:val="none" w:sz="0" w:space="0" w:color="auto"/>
                          </w:divBdr>
                          <w:divsChild>
                            <w:div w:id="1648243137">
                              <w:marLeft w:val="0"/>
                              <w:marRight w:val="0"/>
                              <w:marTop w:val="0"/>
                              <w:marBottom w:val="0"/>
                              <w:divBdr>
                                <w:top w:val="none" w:sz="0" w:space="0" w:color="auto"/>
                                <w:left w:val="none" w:sz="0" w:space="0" w:color="auto"/>
                                <w:bottom w:val="none" w:sz="0" w:space="0" w:color="auto"/>
                                <w:right w:val="none" w:sz="0" w:space="0" w:color="auto"/>
                              </w:divBdr>
                              <w:divsChild>
                                <w:div w:id="1568419849">
                                  <w:marLeft w:val="0"/>
                                  <w:marRight w:val="0"/>
                                  <w:marTop w:val="0"/>
                                  <w:marBottom w:val="0"/>
                                  <w:divBdr>
                                    <w:top w:val="none" w:sz="0" w:space="0" w:color="auto"/>
                                    <w:left w:val="none" w:sz="0" w:space="0" w:color="auto"/>
                                    <w:bottom w:val="none" w:sz="0" w:space="0" w:color="auto"/>
                                    <w:right w:val="none" w:sz="0" w:space="0" w:color="auto"/>
                                  </w:divBdr>
                                  <w:divsChild>
                                    <w:div w:id="16453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622193">
      <w:bodyDiv w:val="1"/>
      <w:marLeft w:val="75"/>
      <w:marRight w:val="75"/>
      <w:marTop w:val="75"/>
      <w:marBottom w:val="75"/>
      <w:divBdr>
        <w:top w:val="none" w:sz="0" w:space="0" w:color="auto"/>
        <w:left w:val="none" w:sz="0" w:space="0" w:color="auto"/>
        <w:bottom w:val="none" w:sz="0" w:space="0" w:color="auto"/>
        <w:right w:val="none" w:sz="0" w:space="0" w:color="auto"/>
      </w:divBdr>
      <w:divsChild>
        <w:div w:id="2138720507">
          <w:marLeft w:val="120"/>
          <w:marRight w:val="0"/>
          <w:marTop w:val="150"/>
          <w:marBottom w:val="0"/>
          <w:divBdr>
            <w:top w:val="none" w:sz="0" w:space="0" w:color="auto"/>
            <w:left w:val="none" w:sz="0" w:space="0" w:color="auto"/>
            <w:bottom w:val="none" w:sz="0" w:space="0" w:color="auto"/>
            <w:right w:val="none" w:sz="0" w:space="0" w:color="auto"/>
          </w:divBdr>
          <w:divsChild>
            <w:div w:id="1683780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5921698">
      <w:bodyDiv w:val="1"/>
      <w:marLeft w:val="0"/>
      <w:marRight w:val="0"/>
      <w:marTop w:val="0"/>
      <w:marBottom w:val="0"/>
      <w:divBdr>
        <w:top w:val="none" w:sz="0" w:space="0" w:color="auto"/>
        <w:left w:val="none" w:sz="0" w:space="0" w:color="auto"/>
        <w:bottom w:val="none" w:sz="0" w:space="0" w:color="auto"/>
        <w:right w:val="none" w:sz="0" w:space="0" w:color="auto"/>
      </w:divBdr>
      <w:divsChild>
        <w:div w:id="1512794949">
          <w:marLeft w:val="0"/>
          <w:marRight w:val="0"/>
          <w:marTop w:val="0"/>
          <w:marBottom w:val="0"/>
          <w:divBdr>
            <w:top w:val="none" w:sz="0" w:space="0" w:color="auto"/>
            <w:left w:val="none" w:sz="0" w:space="0" w:color="auto"/>
            <w:bottom w:val="none" w:sz="0" w:space="0" w:color="auto"/>
            <w:right w:val="none" w:sz="0" w:space="0" w:color="auto"/>
          </w:divBdr>
          <w:divsChild>
            <w:div w:id="1982342889">
              <w:marLeft w:val="0"/>
              <w:marRight w:val="0"/>
              <w:marTop w:val="0"/>
              <w:marBottom w:val="0"/>
              <w:divBdr>
                <w:top w:val="none" w:sz="0" w:space="0" w:color="auto"/>
                <w:left w:val="none" w:sz="0" w:space="0" w:color="auto"/>
                <w:bottom w:val="none" w:sz="0" w:space="0" w:color="auto"/>
                <w:right w:val="none" w:sz="0" w:space="0" w:color="auto"/>
              </w:divBdr>
              <w:divsChild>
                <w:div w:id="1724787251">
                  <w:marLeft w:val="0"/>
                  <w:marRight w:val="0"/>
                  <w:marTop w:val="0"/>
                  <w:marBottom w:val="0"/>
                  <w:divBdr>
                    <w:top w:val="none" w:sz="0" w:space="0" w:color="auto"/>
                    <w:left w:val="none" w:sz="0" w:space="0" w:color="auto"/>
                    <w:bottom w:val="none" w:sz="0" w:space="0" w:color="auto"/>
                    <w:right w:val="none" w:sz="0" w:space="0" w:color="auto"/>
                  </w:divBdr>
                  <w:divsChild>
                    <w:div w:id="1120879413">
                      <w:marLeft w:val="0"/>
                      <w:marRight w:val="0"/>
                      <w:marTop w:val="0"/>
                      <w:marBottom w:val="0"/>
                      <w:divBdr>
                        <w:top w:val="none" w:sz="0" w:space="0" w:color="auto"/>
                        <w:left w:val="none" w:sz="0" w:space="0" w:color="auto"/>
                        <w:bottom w:val="none" w:sz="0" w:space="0" w:color="auto"/>
                        <w:right w:val="none" w:sz="0" w:space="0" w:color="auto"/>
                      </w:divBdr>
                      <w:divsChild>
                        <w:div w:id="1022589488">
                          <w:marLeft w:val="0"/>
                          <w:marRight w:val="0"/>
                          <w:marTop w:val="0"/>
                          <w:marBottom w:val="0"/>
                          <w:divBdr>
                            <w:top w:val="none" w:sz="0" w:space="0" w:color="auto"/>
                            <w:left w:val="none" w:sz="0" w:space="0" w:color="auto"/>
                            <w:bottom w:val="none" w:sz="0" w:space="0" w:color="auto"/>
                            <w:right w:val="none" w:sz="0" w:space="0" w:color="auto"/>
                          </w:divBdr>
                          <w:divsChild>
                            <w:div w:id="951284675">
                              <w:marLeft w:val="0"/>
                              <w:marRight w:val="0"/>
                              <w:marTop w:val="0"/>
                              <w:marBottom w:val="0"/>
                              <w:divBdr>
                                <w:top w:val="none" w:sz="0" w:space="0" w:color="auto"/>
                                <w:left w:val="none" w:sz="0" w:space="0" w:color="auto"/>
                                <w:bottom w:val="none" w:sz="0" w:space="0" w:color="auto"/>
                                <w:right w:val="none" w:sz="0" w:space="0" w:color="auto"/>
                              </w:divBdr>
                              <w:divsChild>
                                <w:div w:id="80178325">
                                  <w:marLeft w:val="0"/>
                                  <w:marRight w:val="0"/>
                                  <w:marTop w:val="0"/>
                                  <w:marBottom w:val="0"/>
                                  <w:divBdr>
                                    <w:top w:val="none" w:sz="0" w:space="0" w:color="auto"/>
                                    <w:left w:val="none" w:sz="0" w:space="0" w:color="auto"/>
                                    <w:bottom w:val="none" w:sz="0" w:space="0" w:color="auto"/>
                                    <w:right w:val="none" w:sz="0" w:space="0" w:color="auto"/>
                                  </w:divBdr>
                                  <w:divsChild>
                                    <w:div w:id="18072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82882">
      <w:bodyDiv w:val="1"/>
      <w:marLeft w:val="75"/>
      <w:marRight w:val="75"/>
      <w:marTop w:val="75"/>
      <w:marBottom w:val="75"/>
      <w:divBdr>
        <w:top w:val="none" w:sz="0" w:space="0" w:color="auto"/>
        <w:left w:val="none" w:sz="0" w:space="0" w:color="auto"/>
        <w:bottom w:val="none" w:sz="0" w:space="0" w:color="auto"/>
        <w:right w:val="none" w:sz="0" w:space="0" w:color="auto"/>
      </w:divBdr>
      <w:divsChild>
        <w:div w:id="1627539513">
          <w:marLeft w:val="120"/>
          <w:marRight w:val="0"/>
          <w:marTop w:val="150"/>
          <w:marBottom w:val="0"/>
          <w:divBdr>
            <w:top w:val="none" w:sz="0" w:space="0" w:color="auto"/>
            <w:left w:val="none" w:sz="0" w:space="0" w:color="auto"/>
            <w:bottom w:val="none" w:sz="0" w:space="0" w:color="auto"/>
            <w:right w:val="none" w:sz="0" w:space="0" w:color="auto"/>
          </w:divBdr>
          <w:divsChild>
            <w:div w:id="2215237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83512116">
      <w:bodyDiv w:val="1"/>
      <w:marLeft w:val="0"/>
      <w:marRight w:val="0"/>
      <w:marTop w:val="0"/>
      <w:marBottom w:val="0"/>
      <w:divBdr>
        <w:top w:val="none" w:sz="0" w:space="0" w:color="auto"/>
        <w:left w:val="none" w:sz="0" w:space="0" w:color="auto"/>
        <w:bottom w:val="none" w:sz="0" w:space="0" w:color="auto"/>
        <w:right w:val="none" w:sz="0" w:space="0" w:color="auto"/>
      </w:divBdr>
    </w:div>
    <w:div w:id="1828738883">
      <w:bodyDiv w:val="1"/>
      <w:marLeft w:val="0"/>
      <w:marRight w:val="0"/>
      <w:marTop w:val="0"/>
      <w:marBottom w:val="0"/>
      <w:divBdr>
        <w:top w:val="none" w:sz="0" w:space="0" w:color="auto"/>
        <w:left w:val="none" w:sz="0" w:space="0" w:color="auto"/>
        <w:bottom w:val="none" w:sz="0" w:space="0" w:color="auto"/>
        <w:right w:val="none" w:sz="0" w:space="0" w:color="auto"/>
      </w:divBdr>
      <w:divsChild>
        <w:div w:id="243686292">
          <w:marLeft w:val="0"/>
          <w:marRight w:val="0"/>
          <w:marTop w:val="0"/>
          <w:marBottom w:val="0"/>
          <w:divBdr>
            <w:top w:val="none" w:sz="0" w:space="0" w:color="auto"/>
            <w:left w:val="none" w:sz="0" w:space="0" w:color="auto"/>
            <w:bottom w:val="none" w:sz="0" w:space="0" w:color="auto"/>
            <w:right w:val="none" w:sz="0" w:space="0" w:color="auto"/>
          </w:divBdr>
          <w:divsChild>
            <w:div w:id="349798122">
              <w:marLeft w:val="0"/>
              <w:marRight w:val="0"/>
              <w:marTop w:val="0"/>
              <w:marBottom w:val="0"/>
              <w:divBdr>
                <w:top w:val="none" w:sz="0" w:space="0" w:color="auto"/>
                <w:left w:val="none" w:sz="0" w:space="0" w:color="auto"/>
                <w:bottom w:val="none" w:sz="0" w:space="0" w:color="auto"/>
                <w:right w:val="none" w:sz="0" w:space="0" w:color="auto"/>
              </w:divBdr>
              <w:divsChild>
                <w:div w:id="325598631">
                  <w:marLeft w:val="0"/>
                  <w:marRight w:val="0"/>
                  <w:marTop w:val="0"/>
                  <w:marBottom w:val="0"/>
                  <w:divBdr>
                    <w:top w:val="none" w:sz="0" w:space="0" w:color="auto"/>
                    <w:left w:val="none" w:sz="0" w:space="0" w:color="auto"/>
                    <w:bottom w:val="none" w:sz="0" w:space="0" w:color="auto"/>
                    <w:right w:val="none" w:sz="0" w:space="0" w:color="auto"/>
                  </w:divBdr>
                </w:div>
                <w:div w:id="996960222">
                  <w:marLeft w:val="0"/>
                  <w:marRight w:val="0"/>
                  <w:marTop w:val="0"/>
                  <w:marBottom w:val="0"/>
                  <w:divBdr>
                    <w:top w:val="none" w:sz="0" w:space="0" w:color="auto"/>
                    <w:left w:val="none" w:sz="0" w:space="0" w:color="auto"/>
                    <w:bottom w:val="none" w:sz="0" w:space="0" w:color="auto"/>
                    <w:right w:val="none" w:sz="0" w:space="0" w:color="auto"/>
                  </w:divBdr>
                </w:div>
                <w:div w:id="1343160979">
                  <w:marLeft w:val="0"/>
                  <w:marRight w:val="0"/>
                  <w:marTop w:val="0"/>
                  <w:marBottom w:val="0"/>
                  <w:divBdr>
                    <w:top w:val="none" w:sz="0" w:space="0" w:color="auto"/>
                    <w:left w:val="none" w:sz="0" w:space="0" w:color="auto"/>
                    <w:bottom w:val="none" w:sz="0" w:space="0" w:color="auto"/>
                    <w:right w:val="none" w:sz="0" w:space="0" w:color="auto"/>
                  </w:divBdr>
                </w:div>
                <w:div w:id="1371681691">
                  <w:marLeft w:val="0"/>
                  <w:marRight w:val="0"/>
                  <w:marTop w:val="0"/>
                  <w:marBottom w:val="0"/>
                  <w:divBdr>
                    <w:top w:val="none" w:sz="0" w:space="0" w:color="auto"/>
                    <w:left w:val="none" w:sz="0" w:space="0" w:color="auto"/>
                    <w:bottom w:val="none" w:sz="0" w:space="0" w:color="auto"/>
                    <w:right w:val="none" w:sz="0" w:space="0" w:color="auto"/>
                  </w:divBdr>
                </w:div>
                <w:div w:id="1447578800">
                  <w:marLeft w:val="0"/>
                  <w:marRight w:val="0"/>
                  <w:marTop w:val="0"/>
                  <w:marBottom w:val="0"/>
                  <w:divBdr>
                    <w:top w:val="none" w:sz="0" w:space="0" w:color="auto"/>
                    <w:left w:val="none" w:sz="0" w:space="0" w:color="auto"/>
                    <w:bottom w:val="none" w:sz="0" w:space="0" w:color="auto"/>
                    <w:right w:val="none" w:sz="0" w:space="0" w:color="auto"/>
                  </w:divBdr>
                </w:div>
                <w:div w:id="1586457930">
                  <w:marLeft w:val="0"/>
                  <w:marRight w:val="0"/>
                  <w:marTop w:val="0"/>
                  <w:marBottom w:val="0"/>
                  <w:divBdr>
                    <w:top w:val="none" w:sz="0" w:space="0" w:color="auto"/>
                    <w:left w:val="none" w:sz="0" w:space="0" w:color="auto"/>
                    <w:bottom w:val="none" w:sz="0" w:space="0" w:color="auto"/>
                    <w:right w:val="none" w:sz="0" w:space="0" w:color="auto"/>
                  </w:divBdr>
                </w:div>
                <w:div w:id="1707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3357">
      <w:bodyDiv w:val="1"/>
      <w:marLeft w:val="0"/>
      <w:marRight w:val="0"/>
      <w:marTop w:val="0"/>
      <w:marBottom w:val="0"/>
      <w:divBdr>
        <w:top w:val="none" w:sz="0" w:space="0" w:color="auto"/>
        <w:left w:val="none" w:sz="0" w:space="0" w:color="auto"/>
        <w:bottom w:val="none" w:sz="0" w:space="0" w:color="auto"/>
        <w:right w:val="none" w:sz="0" w:space="0" w:color="auto"/>
      </w:divBdr>
      <w:divsChild>
        <w:div w:id="1977100824">
          <w:marLeft w:val="0"/>
          <w:marRight w:val="0"/>
          <w:marTop w:val="0"/>
          <w:marBottom w:val="0"/>
          <w:divBdr>
            <w:top w:val="none" w:sz="0" w:space="0" w:color="auto"/>
            <w:left w:val="none" w:sz="0" w:space="0" w:color="auto"/>
            <w:bottom w:val="none" w:sz="0" w:space="0" w:color="auto"/>
            <w:right w:val="none" w:sz="0" w:space="0" w:color="auto"/>
          </w:divBdr>
          <w:divsChild>
            <w:div w:id="1152216048">
              <w:marLeft w:val="0"/>
              <w:marRight w:val="0"/>
              <w:marTop w:val="0"/>
              <w:marBottom w:val="0"/>
              <w:divBdr>
                <w:top w:val="none" w:sz="0" w:space="0" w:color="auto"/>
                <w:left w:val="none" w:sz="0" w:space="0" w:color="auto"/>
                <w:bottom w:val="none" w:sz="0" w:space="0" w:color="auto"/>
                <w:right w:val="none" w:sz="0" w:space="0" w:color="auto"/>
              </w:divBdr>
              <w:divsChild>
                <w:div w:id="456023255">
                  <w:marLeft w:val="0"/>
                  <w:marRight w:val="0"/>
                  <w:marTop w:val="0"/>
                  <w:marBottom w:val="0"/>
                  <w:divBdr>
                    <w:top w:val="none" w:sz="0" w:space="0" w:color="auto"/>
                    <w:left w:val="none" w:sz="0" w:space="0" w:color="auto"/>
                    <w:bottom w:val="none" w:sz="0" w:space="0" w:color="auto"/>
                    <w:right w:val="none" w:sz="0" w:space="0" w:color="auto"/>
                  </w:divBdr>
                  <w:divsChild>
                    <w:div w:id="212616071">
                      <w:marLeft w:val="0"/>
                      <w:marRight w:val="0"/>
                      <w:marTop w:val="0"/>
                      <w:marBottom w:val="0"/>
                      <w:divBdr>
                        <w:top w:val="none" w:sz="0" w:space="0" w:color="auto"/>
                        <w:left w:val="none" w:sz="0" w:space="0" w:color="auto"/>
                        <w:bottom w:val="none" w:sz="0" w:space="0" w:color="auto"/>
                        <w:right w:val="none" w:sz="0" w:space="0" w:color="auto"/>
                      </w:divBdr>
                      <w:divsChild>
                        <w:div w:id="1845051277">
                          <w:marLeft w:val="0"/>
                          <w:marRight w:val="0"/>
                          <w:marTop w:val="0"/>
                          <w:marBottom w:val="0"/>
                          <w:divBdr>
                            <w:top w:val="none" w:sz="0" w:space="0" w:color="auto"/>
                            <w:left w:val="none" w:sz="0" w:space="0" w:color="auto"/>
                            <w:bottom w:val="none" w:sz="0" w:space="0" w:color="auto"/>
                            <w:right w:val="none" w:sz="0" w:space="0" w:color="auto"/>
                          </w:divBdr>
                          <w:divsChild>
                            <w:div w:id="1111244070">
                              <w:marLeft w:val="0"/>
                              <w:marRight w:val="0"/>
                              <w:marTop w:val="0"/>
                              <w:marBottom w:val="0"/>
                              <w:divBdr>
                                <w:top w:val="none" w:sz="0" w:space="0" w:color="auto"/>
                                <w:left w:val="none" w:sz="0" w:space="0" w:color="auto"/>
                                <w:bottom w:val="none" w:sz="0" w:space="0" w:color="auto"/>
                                <w:right w:val="none" w:sz="0" w:space="0" w:color="auto"/>
                              </w:divBdr>
                              <w:divsChild>
                                <w:div w:id="13031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25576">
      <w:bodyDiv w:val="1"/>
      <w:marLeft w:val="0"/>
      <w:marRight w:val="0"/>
      <w:marTop w:val="0"/>
      <w:marBottom w:val="0"/>
      <w:divBdr>
        <w:top w:val="none" w:sz="0" w:space="0" w:color="auto"/>
        <w:left w:val="none" w:sz="0" w:space="0" w:color="auto"/>
        <w:bottom w:val="none" w:sz="0" w:space="0" w:color="auto"/>
        <w:right w:val="none" w:sz="0" w:space="0" w:color="auto"/>
      </w:divBdr>
    </w:div>
    <w:div w:id="1902130147">
      <w:bodyDiv w:val="1"/>
      <w:marLeft w:val="0"/>
      <w:marRight w:val="0"/>
      <w:marTop w:val="0"/>
      <w:marBottom w:val="0"/>
      <w:divBdr>
        <w:top w:val="none" w:sz="0" w:space="0" w:color="auto"/>
        <w:left w:val="none" w:sz="0" w:space="0" w:color="auto"/>
        <w:bottom w:val="none" w:sz="0" w:space="0" w:color="auto"/>
        <w:right w:val="none" w:sz="0" w:space="0" w:color="auto"/>
      </w:divBdr>
      <w:divsChild>
        <w:div w:id="1924605053">
          <w:marLeft w:val="0"/>
          <w:marRight w:val="0"/>
          <w:marTop w:val="0"/>
          <w:marBottom w:val="0"/>
          <w:divBdr>
            <w:top w:val="none" w:sz="0" w:space="0" w:color="auto"/>
            <w:left w:val="none" w:sz="0" w:space="0" w:color="auto"/>
            <w:bottom w:val="none" w:sz="0" w:space="0" w:color="auto"/>
            <w:right w:val="none" w:sz="0" w:space="0" w:color="auto"/>
          </w:divBdr>
          <w:divsChild>
            <w:div w:id="1654605755">
              <w:marLeft w:val="0"/>
              <w:marRight w:val="0"/>
              <w:marTop w:val="0"/>
              <w:marBottom w:val="0"/>
              <w:divBdr>
                <w:top w:val="none" w:sz="0" w:space="0" w:color="auto"/>
                <w:left w:val="none" w:sz="0" w:space="0" w:color="auto"/>
                <w:bottom w:val="none" w:sz="0" w:space="0" w:color="auto"/>
                <w:right w:val="none" w:sz="0" w:space="0" w:color="auto"/>
              </w:divBdr>
              <w:divsChild>
                <w:div w:id="861475897">
                  <w:marLeft w:val="0"/>
                  <w:marRight w:val="0"/>
                  <w:marTop w:val="0"/>
                  <w:marBottom w:val="0"/>
                  <w:divBdr>
                    <w:top w:val="none" w:sz="0" w:space="0" w:color="auto"/>
                    <w:left w:val="none" w:sz="0" w:space="0" w:color="auto"/>
                    <w:bottom w:val="none" w:sz="0" w:space="0" w:color="auto"/>
                    <w:right w:val="none" w:sz="0" w:space="0" w:color="auto"/>
                  </w:divBdr>
                  <w:divsChild>
                    <w:div w:id="526063656">
                      <w:marLeft w:val="0"/>
                      <w:marRight w:val="0"/>
                      <w:marTop w:val="0"/>
                      <w:marBottom w:val="0"/>
                      <w:divBdr>
                        <w:top w:val="none" w:sz="0" w:space="0" w:color="auto"/>
                        <w:left w:val="none" w:sz="0" w:space="0" w:color="auto"/>
                        <w:bottom w:val="none" w:sz="0" w:space="0" w:color="auto"/>
                        <w:right w:val="none" w:sz="0" w:space="0" w:color="auto"/>
                      </w:divBdr>
                      <w:divsChild>
                        <w:div w:id="353577754">
                          <w:marLeft w:val="0"/>
                          <w:marRight w:val="0"/>
                          <w:marTop w:val="0"/>
                          <w:marBottom w:val="0"/>
                          <w:divBdr>
                            <w:top w:val="none" w:sz="0" w:space="0" w:color="auto"/>
                            <w:left w:val="none" w:sz="0" w:space="0" w:color="auto"/>
                            <w:bottom w:val="none" w:sz="0" w:space="0" w:color="auto"/>
                            <w:right w:val="none" w:sz="0" w:space="0" w:color="auto"/>
                          </w:divBdr>
                          <w:divsChild>
                            <w:div w:id="141973160">
                              <w:marLeft w:val="0"/>
                              <w:marRight w:val="0"/>
                              <w:marTop w:val="0"/>
                              <w:marBottom w:val="0"/>
                              <w:divBdr>
                                <w:top w:val="none" w:sz="0" w:space="0" w:color="auto"/>
                                <w:left w:val="none" w:sz="0" w:space="0" w:color="auto"/>
                                <w:bottom w:val="none" w:sz="0" w:space="0" w:color="auto"/>
                                <w:right w:val="none" w:sz="0" w:space="0" w:color="auto"/>
                              </w:divBdr>
                              <w:divsChild>
                                <w:div w:id="1380666991">
                                  <w:marLeft w:val="0"/>
                                  <w:marRight w:val="0"/>
                                  <w:marTop w:val="0"/>
                                  <w:marBottom w:val="0"/>
                                  <w:divBdr>
                                    <w:top w:val="none" w:sz="0" w:space="0" w:color="auto"/>
                                    <w:left w:val="none" w:sz="0" w:space="0" w:color="auto"/>
                                    <w:bottom w:val="none" w:sz="0" w:space="0" w:color="auto"/>
                                    <w:right w:val="none" w:sz="0" w:space="0" w:color="auto"/>
                                  </w:divBdr>
                                  <w:divsChild>
                                    <w:div w:id="9333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250101">
      <w:bodyDiv w:val="1"/>
      <w:marLeft w:val="0"/>
      <w:marRight w:val="0"/>
      <w:marTop w:val="0"/>
      <w:marBottom w:val="0"/>
      <w:divBdr>
        <w:top w:val="none" w:sz="0" w:space="0" w:color="auto"/>
        <w:left w:val="none" w:sz="0" w:space="0" w:color="auto"/>
        <w:bottom w:val="none" w:sz="0" w:space="0" w:color="auto"/>
        <w:right w:val="none" w:sz="0" w:space="0" w:color="auto"/>
      </w:divBdr>
      <w:divsChild>
        <w:div w:id="210579522">
          <w:marLeft w:val="0"/>
          <w:marRight w:val="0"/>
          <w:marTop w:val="0"/>
          <w:marBottom w:val="0"/>
          <w:divBdr>
            <w:top w:val="none" w:sz="0" w:space="0" w:color="auto"/>
            <w:left w:val="none" w:sz="0" w:space="0" w:color="auto"/>
            <w:bottom w:val="none" w:sz="0" w:space="0" w:color="auto"/>
            <w:right w:val="none" w:sz="0" w:space="0" w:color="auto"/>
          </w:divBdr>
          <w:divsChild>
            <w:div w:id="113600363">
              <w:marLeft w:val="0"/>
              <w:marRight w:val="0"/>
              <w:marTop w:val="0"/>
              <w:marBottom w:val="0"/>
              <w:divBdr>
                <w:top w:val="none" w:sz="0" w:space="0" w:color="auto"/>
                <w:left w:val="none" w:sz="0" w:space="0" w:color="auto"/>
                <w:bottom w:val="none" w:sz="0" w:space="0" w:color="auto"/>
                <w:right w:val="none" w:sz="0" w:space="0" w:color="auto"/>
              </w:divBdr>
              <w:divsChild>
                <w:div w:id="1364819433">
                  <w:marLeft w:val="0"/>
                  <w:marRight w:val="0"/>
                  <w:marTop w:val="0"/>
                  <w:marBottom w:val="0"/>
                  <w:divBdr>
                    <w:top w:val="none" w:sz="0" w:space="0" w:color="auto"/>
                    <w:left w:val="none" w:sz="0" w:space="0" w:color="auto"/>
                    <w:bottom w:val="none" w:sz="0" w:space="0" w:color="auto"/>
                    <w:right w:val="none" w:sz="0" w:space="0" w:color="auto"/>
                  </w:divBdr>
                  <w:divsChild>
                    <w:div w:id="279846909">
                      <w:marLeft w:val="0"/>
                      <w:marRight w:val="0"/>
                      <w:marTop w:val="0"/>
                      <w:marBottom w:val="0"/>
                      <w:divBdr>
                        <w:top w:val="none" w:sz="0" w:space="0" w:color="auto"/>
                        <w:left w:val="none" w:sz="0" w:space="0" w:color="auto"/>
                        <w:bottom w:val="none" w:sz="0" w:space="0" w:color="auto"/>
                        <w:right w:val="none" w:sz="0" w:space="0" w:color="auto"/>
                      </w:divBdr>
                      <w:divsChild>
                        <w:div w:id="646857880">
                          <w:marLeft w:val="0"/>
                          <w:marRight w:val="0"/>
                          <w:marTop w:val="0"/>
                          <w:marBottom w:val="0"/>
                          <w:divBdr>
                            <w:top w:val="none" w:sz="0" w:space="0" w:color="auto"/>
                            <w:left w:val="none" w:sz="0" w:space="0" w:color="auto"/>
                            <w:bottom w:val="none" w:sz="0" w:space="0" w:color="auto"/>
                            <w:right w:val="none" w:sz="0" w:space="0" w:color="auto"/>
                          </w:divBdr>
                          <w:divsChild>
                            <w:div w:id="215507669">
                              <w:marLeft w:val="0"/>
                              <w:marRight w:val="0"/>
                              <w:marTop w:val="0"/>
                              <w:marBottom w:val="0"/>
                              <w:divBdr>
                                <w:top w:val="none" w:sz="0" w:space="0" w:color="auto"/>
                                <w:left w:val="none" w:sz="0" w:space="0" w:color="auto"/>
                                <w:bottom w:val="none" w:sz="0" w:space="0" w:color="auto"/>
                                <w:right w:val="none" w:sz="0" w:space="0" w:color="auto"/>
                              </w:divBdr>
                              <w:divsChild>
                                <w:div w:id="1439327977">
                                  <w:marLeft w:val="0"/>
                                  <w:marRight w:val="0"/>
                                  <w:marTop w:val="0"/>
                                  <w:marBottom w:val="0"/>
                                  <w:divBdr>
                                    <w:top w:val="none" w:sz="0" w:space="0" w:color="auto"/>
                                    <w:left w:val="none" w:sz="0" w:space="0" w:color="auto"/>
                                    <w:bottom w:val="none" w:sz="0" w:space="0" w:color="auto"/>
                                    <w:right w:val="none" w:sz="0" w:space="0" w:color="auto"/>
                                  </w:divBdr>
                                  <w:divsChild>
                                    <w:div w:id="20930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454223">
      <w:bodyDiv w:val="1"/>
      <w:marLeft w:val="0"/>
      <w:marRight w:val="0"/>
      <w:marTop w:val="0"/>
      <w:marBottom w:val="0"/>
      <w:divBdr>
        <w:top w:val="none" w:sz="0" w:space="0" w:color="auto"/>
        <w:left w:val="none" w:sz="0" w:space="0" w:color="auto"/>
        <w:bottom w:val="none" w:sz="0" w:space="0" w:color="auto"/>
        <w:right w:val="none" w:sz="0" w:space="0" w:color="auto"/>
      </w:divBdr>
      <w:divsChild>
        <w:div w:id="1656296202">
          <w:marLeft w:val="0"/>
          <w:marRight w:val="0"/>
          <w:marTop w:val="0"/>
          <w:marBottom w:val="0"/>
          <w:divBdr>
            <w:top w:val="none" w:sz="0" w:space="0" w:color="auto"/>
            <w:left w:val="none" w:sz="0" w:space="0" w:color="auto"/>
            <w:bottom w:val="none" w:sz="0" w:space="0" w:color="auto"/>
            <w:right w:val="none" w:sz="0" w:space="0" w:color="auto"/>
          </w:divBdr>
          <w:divsChild>
            <w:div w:id="1152913732">
              <w:marLeft w:val="0"/>
              <w:marRight w:val="0"/>
              <w:marTop w:val="0"/>
              <w:marBottom w:val="0"/>
              <w:divBdr>
                <w:top w:val="none" w:sz="0" w:space="0" w:color="auto"/>
                <w:left w:val="none" w:sz="0" w:space="0" w:color="auto"/>
                <w:bottom w:val="none" w:sz="0" w:space="0" w:color="auto"/>
                <w:right w:val="none" w:sz="0" w:space="0" w:color="auto"/>
              </w:divBdr>
              <w:divsChild>
                <w:div w:id="1689142108">
                  <w:marLeft w:val="0"/>
                  <w:marRight w:val="0"/>
                  <w:marTop w:val="0"/>
                  <w:marBottom w:val="0"/>
                  <w:divBdr>
                    <w:top w:val="none" w:sz="0" w:space="0" w:color="auto"/>
                    <w:left w:val="none" w:sz="0" w:space="0" w:color="auto"/>
                    <w:bottom w:val="none" w:sz="0" w:space="0" w:color="auto"/>
                    <w:right w:val="none" w:sz="0" w:space="0" w:color="auto"/>
                  </w:divBdr>
                  <w:divsChild>
                    <w:div w:id="726758120">
                      <w:marLeft w:val="0"/>
                      <w:marRight w:val="0"/>
                      <w:marTop w:val="0"/>
                      <w:marBottom w:val="0"/>
                      <w:divBdr>
                        <w:top w:val="none" w:sz="0" w:space="0" w:color="auto"/>
                        <w:left w:val="none" w:sz="0" w:space="0" w:color="auto"/>
                        <w:bottom w:val="none" w:sz="0" w:space="0" w:color="auto"/>
                        <w:right w:val="none" w:sz="0" w:space="0" w:color="auto"/>
                      </w:divBdr>
                      <w:divsChild>
                        <w:div w:id="1571769097">
                          <w:marLeft w:val="0"/>
                          <w:marRight w:val="0"/>
                          <w:marTop w:val="0"/>
                          <w:marBottom w:val="0"/>
                          <w:divBdr>
                            <w:top w:val="none" w:sz="0" w:space="0" w:color="auto"/>
                            <w:left w:val="none" w:sz="0" w:space="0" w:color="auto"/>
                            <w:bottom w:val="none" w:sz="0" w:space="0" w:color="auto"/>
                            <w:right w:val="none" w:sz="0" w:space="0" w:color="auto"/>
                          </w:divBdr>
                          <w:divsChild>
                            <w:div w:id="3479863">
                              <w:marLeft w:val="0"/>
                              <w:marRight w:val="0"/>
                              <w:marTop w:val="0"/>
                              <w:marBottom w:val="0"/>
                              <w:divBdr>
                                <w:top w:val="none" w:sz="0" w:space="0" w:color="auto"/>
                                <w:left w:val="none" w:sz="0" w:space="0" w:color="auto"/>
                                <w:bottom w:val="none" w:sz="0" w:space="0" w:color="auto"/>
                                <w:right w:val="none" w:sz="0" w:space="0" w:color="auto"/>
                              </w:divBdr>
                              <w:divsChild>
                                <w:div w:id="1422677185">
                                  <w:marLeft w:val="-225"/>
                                  <w:marRight w:val="-225"/>
                                  <w:marTop w:val="0"/>
                                  <w:marBottom w:val="0"/>
                                  <w:divBdr>
                                    <w:top w:val="none" w:sz="0" w:space="0" w:color="auto"/>
                                    <w:left w:val="none" w:sz="0" w:space="0" w:color="auto"/>
                                    <w:bottom w:val="none" w:sz="0" w:space="0" w:color="auto"/>
                                    <w:right w:val="none" w:sz="0" w:space="0" w:color="auto"/>
                                  </w:divBdr>
                                  <w:divsChild>
                                    <w:div w:id="4227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581322">
      <w:bodyDiv w:val="1"/>
      <w:marLeft w:val="0"/>
      <w:marRight w:val="0"/>
      <w:marTop w:val="0"/>
      <w:marBottom w:val="0"/>
      <w:divBdr>
        <w:top w:val="none" w:sz="0" w:space="0" w:color="auto"/>
        <w:left w:val="none" w:sz="0" w:space="0" w:color="auto"/>
        <w:bottom w:val="none" w:sz="0" w:space="0" w:color="auto"/>
        <w:right w:val="none" w:sz="0" w:space="0" w:color="auto"/>
      </w:divBdr>
      <w:divsChild>
        <w:div w:id="1168252610">
          <w:marLeft w:val="0"/>
          <w:marRight w:val="0"/>
          <w:marTop w:val="0"/>
          <w:marBottom w:val="0"/>
          <w:divBdr>
            <w:top w:val="none" w:sz="0" w:space="0" w:color="auto"/>
            <w:left w:val="none" w:sz="0" w:space="0" w:color="auto"/>
            <w:bottom w:val="none" w:sz="0" w:space="0" w:color="auto"/>
            <w:right w:val="none" w:sz="0" w:space="0" w:color="auto"/>
          </w:divBdr>
          <w:divsChild>
            <w:div w:id="834421656">
              <w:marLeft w:val="0"/>
              <w:marRight w:val="0"/>
              <w:marTop w:val="0"/>
              <w:marBottom w:val="0"/>
              <w:divBdr>
                <w:top w:val="none" w:sz="0" w:space="0" w:color="auto"/>
                <w:left w:val="none" w:sz="0" w:space="0" w:color="auto"/>
                <w:bottom w:val="none" w:sz="0" w:space="0" w:color="auto"/>
                <w:right w:val="none" w:sz="0" w:space="0" w:color="auto"/>
              </w:divBdr>
              <w:divsChild>
                <w:div w:id="240989703">
                  <w:marLeft w:val="0"/>
                  <w:marRight w:val="0"/>
                  <w:marTop w:val="0"/>
                  <w:marBottom w:val="0"/>
                  <w:divBdr>
                    <w:top w:val="none" w:sz="0" w:space="0" w:color="auto"/>
                    <w:left w:val="none" w:sz="0" w:space="0" w:color="auto"/>
                    <w:bottom w:val="none" w:sz="0" w:space="0" w:color="auto"/>
                    <w:right w:val="none" w:sz="0" w:space="0" w:color="auto"/>
                  </w:divBdr>
                  <w:divsChild>
                    <w:div w:id="893002988">
                      <w:marLeft w:val="0"/>
                      <w:marRight w:val="0"/>
                      <w:marTop w:val="0"/>
                      <w:marBottom w:val="0"/>
                      <w:divBdr>
                        <w:top w:val="none" w:sz="0" w:space="0" w:color="auto"/>
                        <w:left w:val="none" w:sz="0" w:space="0" w:color="auto"/>
                        <w:bottom w:val="none" w:sz="0" w:space="0" w:color="auto"/>
                        <w:right w:val="none" w:sz="0" w:space="0" w:color="auto"/>
                      </w:divBdr>
                      <w:divsChild>
                        <w:div w:id="812065672">
                          <w:marLeft w:val="0"/>
                          <w:marRight w:val="0"/>
                          <w:marTop w:val="0"/>
                          <w:marBottom w:val="0"/>
                          <w:divBdr>
                            <w:top w:val="none" w:sz="0" w:space="0" w:color="auto"/>
                            <w:left w:val="none" w:sz="0" w:space="0" w:color="auto"/>
                            <w:bottom w:val="none" w:sz="0" w:space="0" w:color="auto"/>
                            <w:right w:val="none" w:sz="0" w:space="0" w:color="auto"/>
                          </w:divBdr>
                          <w:divsChild>
                            <w:div w:id="265700605">
                              <w:marLeft w:val="0"/>
                              <w:marRight w:val="0"/>
                              <w:marTop w:val="0"/>
                              <w:marBottom w:val="0"/>
                              <w:divBdr>
                                <w:top w:val="none" w:sz="0" w:space="0" w:color="auto"/>
                                <w:left w:val="none" w:sz="0" w:space="0" w:color="auto"/>
                                <w:bottom w:val="none" w:sz="0" w:space="0" w:color="auto"/>
                                <w:right w:val="none" w:sz="0" w:space="0" w:color="auto"/>
                              </w:divBdr>
                              <w:divsChild>
                                <w:div w:id="1627420978">
                                  <w:marLeft w:val="0"/>
                                  <w:marRight w:val="0"/>
                                  <w:marTop w:val="0"/>
                                  <w:marBottom w:val="0"/>
                                  <w:divBdr>
                                    <w:top w:val="none" w:sz="0" w:space="0" w:color="auto"/>
                                    <w:left w:val="none" w:sz="0" w:space="0" w:color="auto"/>
                                    <w:bottom w:val="none" w:sz="0" w:space="0" w:color="auto"/>
                                    <w:right w:val="none" w:sz="0" w:space="0" w:color="auto"/>
                                  </w:divBdr>
                                  <w:divsChild>
                                    <w:div w:id="16321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endo.com/File%20Library/Products/Prescribing%20Information/OpanaER_prescribing_information_newformulation.ht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yperlink" TargetMode="External" Target="http://www.thomsonhc.com/"/>
  <Relationship Id="rId17" Type="http://schemas.openxmlformats.org/officeDocument/2006/relationships/hyperlink" TargetMode="External" Target="http://www.fiercedrugdelivery.com/story/abuse-endos-second-generation-opana-er-formulation-implicated-indiana-hiv-e/2015-06-16"/>
  <Relationship Id="rId18" Type="http://schemas.openxmlformats.org/officeDocument/2006/relationships/hyperlink" TargetMode="External" Target="http://www.regulations.gov/"/>
  <Relationship Id="rId19" Type="http://schemas.openxmlformats.org/officeDocument/2006/relationships/hyperlink" TargetMode="External" Target="http://www.accessdata.fda.gov/scripts/cder/rems/index.cfm"/>
  <Relationship Id="rId2" Type="http://schemas.openxmlformats.org/officeDocument/2006/relationships/numbering" Target="numbering.xml"/>
  <Relationship Id="rId20" Type="http://schemas.openxmlformats.org/officeDocument/2006/relationships/footer" Target="footer4.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regulations.gov/"/>
</Relationships>

</file>

<file path=word/_rels/footer1.xml.rels><?xml version="1.0" encoding="UTF-8"?>

<Relationships xmlns="http://schemas.openxmlformats.org/package/2006/relationships">
  <Relationship Id="rId1" Type="http://schemas.openxmlformats.org/officeDocument/2006/relationships/image" Target="media/image1.png"/>
</Relationships>

</file>

<file path=word/_rels/footer2.xml.rels><?xml version="1.0" encoding="UTF-8"?>

<Relationships xmlns="http://schemas.openxmlformats.org/package/2006/relationships">
  <Relationship Id="rId1" Type="http://schemas.openxmlformats.org/officeDocument/2006/relationships/image" Target="media/image1.png"/>
</Relationships>

</file>

<file path=word/_rels/footer3.xml.rels><?xml version="1.0" encoding="UTF-8"?>

<Relationships xmlns="http://schemas.openxmlformats.org/package/2006/relationships">
  <Relationship Id="rId1" Type="http://schemas.openxmlformats.org/officeDocument/2006/relationships/image" Target="media/image1.png"/>
</Relationships>

</file>

<file path=word/_rels/footer4.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41DF4-AB59-49B7-9D06-BB2C634B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9758</Words>
  <Characters>55625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New Drug Review</vt:lpstr>
    </vt:vector>
  </TitlesOfParts>
  <Company>UMASSMED</Company>
  <LinksUpToDate>false</LinksUpToDate>
  <CharactersWithSpaces>65253</CharactersWithSpaces>
  <SharedDoc>false</SharedDoc>
  <HLinks>
    <vt:vector size="222" baseType="variant">
      <vt:variant>
        <vt:i4>6029324</vt:i4>
      </vt:variant>
      <vt:variant>
        <vt:i4>54</vt:i4>
      </vt:variant>
      <vt:variant>
        <vt:i4>0</vt:i4>
      </vt:variant>
      <vt:variant>
        <vt:i4>5</vt:i4>
      </vt:variant>
      <vt:variant>
        <vt:lpwstr>http://www.ahrq.gov/clinic/uspstf08/methods/procmanualap7.htm</vt:lpwstr>
      </vt:variant>
      <vt:variant>
        <vt:lpwstr/>
      </vt:variant>
      <vt:variant>
        <vt:i4>7602278</vt:i4>
      </vt:variant>
      <vt:variant>
        <vt:i4>51</vt:i4>
      </vt:variant>
      <vt:variant>
        <vt:i4>0</vt:i4>
      </vt:variant>
      <vt:variant>
        <vt:i4>5</vt:i4>
      </vt:variant>
      <vt:variant>
        <vt:lpwstr>http://www.tuftshealthplan.com/providers/provider.php?sec=pharmacy&amp;content=pharmacy</vt:lpwstr>
      </vt:variant>
      <vt:variant>
        <vt:lpwstr/>
      </vt:variant>
      <vt:variant>
        <vt:i4>5177368</vt:i4>
      </vt:variant>
      <vt:variant>
        <vt:i4>48</vt:i4>
      </vt:variant>
      <vt:variant>
        <vt:i4>0</vt:i4>
      </vt:variant>
      <vt:variant>
        <vt:i4>5</vt:i4>
      </vt:variant>
      <vt:variant>
        <vt:lpwstr>https://www.harvardpilgrim.org/pls/portal/url/page/PROVIDERS/PHARMACY</vt:lpwstr>
      </vt:variant>
      <vt:variant>
        <vt:lpwstr/>
      </vt:variant>
      <vt:variant>
        <vt:i4>6750265</vt:i4>
      </vt:variant>
      <vt:variant>
        <vt:i4>45</vt:i4>
      </vt:variant>
      <vt:variant>
        <vt:i4>0</vt:i4>
      </vt:variant>
      <vt:variant>
        <vt:i4>5</vt:i4>
      </vt:variant>
      <vt:variant>
        <vt:lpwstr>https://www.bluecrossma.com/wps/portal/members/using-my-plan/manage-my-plan/pharmacy-coverage/</vt:lpwstr>
      </vt:variant>
      <vt:variant>
        <vt:lpwstr/>
      </vt:variant>
      <vt:variant>
        <vt:i4>720922</vt:i4>
      </vt:variant>
      <vt:variant>
        <vt:i4>42</vt:i4>
      </vt:variant>
      <vt:variant>
        <vt:i4>0</vt:i4>
      </vt:variant>
      <vt:variant>
        <vt:i4>5</vt:i4>
      </vt:variant>
      <vt:variant>
        <vt:lpwstr>http://www.hca.wa.gov/medicaid/billing/Documents/guides/wpdl.pdf</vt:lpwstr>
      </vt:variant>
      <vt:variant>
        <vt:lpwstr/>
      </vt:variant>
      <vt:variant>
        <vt:i4>8126587</vt:i4>
      </vt:variant>
      <vt:variant>
        <vt:i4>39</vt:i4>
      </vt:variant>
      <vt:variant>
        <vt:i4>0</vt:i4>
      </vt:variant>
      <vt:variant>
        <vt:i4>5</vt:i4>
      </vt:variant>
      <vt:variant>
        <vt:lpwstr>http://dvha.vermont.gov/for-providers/pharmacy</vt:lpwstr>
      </vt:variant>
      <vt:variant>
        <vt:lpwstr/>
      </vt:variant>
      <vt:variant>
        <vt:i4>4587554</vt:i4>
      </vt:variant>
      <vt:variant>
        <vt:i4>36</vt:i4>
      </vt:variant>
      <vt:variant>
        <vt:i4>0</vt:i4>
      </vt:variant>
      <vt:variant>
        <vt:i4>5</vt:i4>
      </vt:variant>
      <vt:variant>
        <vt:lpwstr>http://www.health.ny.gov/health_care/medicaid/program/pharmacy.htm</vt:lpwstr>
      </vt:variant>
      <vt:variant>
        <vt:lpwstr/>
      </vt:variant>
      <vt:variant>
        <vt:i4>6553725</vt:i4>
      </vt:variant>
      <vt:variant>
        <vt:i4>33</vt:i4>
      </vt:variant>
      <vt:variant>
        <vt:i4>0</vt:i4>
      </vt:variant>
      <vt:variant>
        <vt:i4>5</vt:i4>
      </vt:variant>
      <vt:variant>
        <vt:lpwstr>https://newhampshire.magellanmedicaid.com/</vt:lpwstr>
      </vt:variant>
      <vt:variant>
        <vt:lpwstr/>
      </vt:variant>
      <vt:variant>
        <vt:i4>458837</vt:i4>
      </vt:variant>
      <vt:variant>
        <vt:i4>30</vt:i4>
      </vt:variant>
      <vt:variant>
        <vt:i4>0</vt:i4>
      </vt:variant>
      <vt:variant>
        <vt:i4>5</vt:i4>
      </vt:variant>
      <vt:variant>
        <vt:lpwstr>http://dss.mo.gov/mhd/cs/pharmacy/pages/clinedit.htm</vt:lpwstr>
      </vt:variant>
      <vt:variant>
        <vt:lpwstr/>
      </vt:variant>
      <vt:variant>
        <vt:i4>1835076</vt:i4>
      </vt:variant>
      <vt:variant>
        <vt:i4>27</vt:i4>
      </vt:variant>
      <vt:variant>
        <vt:i4>0</vt:i4>
      </vt:variant>
      <vt:variant>
        <vt:i4>5</vt:i4>
      </vt:variant>
      <vt:variant>
        <vt:lpwstr>http://minnesota.magellanmedicaid.com/default.asp</vt:lpwstr>
      </vt:variant>
      <vt:variant>
        <vt:lpwstr/>
      </vt:variant>
      <vt:variant>
        <vt:i4>5898318</vt:i4>
      </vt:variant>
      <vt:variant>
        <vt:i4>24</vt:i4>
      </vt:variant>
      <vt:variant>
        <vt:i4>0</vt:i4>
      </vt:variant>
      <vt:variant>
        <vt:i4>5</vt:i4>
      </vt:variant>
      <vt:variant>
        <vt:lpwstr>https://michigan.fhsc.com/Providers/DrugInfo.asp</vt:lpwstr>
      </vt:variant>
      <vt:variant>
        <vt:lpwstr/>
      </vt:variant>
      <vt:variant>
        <vt:i4>2031630</vt:i4>
      </vt:variant>
      <vt:variant>
        <vt:i4>21</vt:i4>
      </vt:variant>
      <vt:variant>
        <vt:i4>0</vt:i4>
      </vt:variant>
      <vt:variant>
        <vt:i4>5</vt:i4>
      </vt:variant>
      <vt:variant>
        <vt:lpwstr>https://mmcp.dhmh.maryland.gov/pap/SitePages/Preferred Drug List.aspx</vt:lpwstr>
      </vt:variant>
      <vt:variant>
        <vt:lpwstr/>
      </vt:variant>
      <vt:variant>
        <vt:i4>3997738</vt:i4>
      </vt:variant>
      <vt:variant>
        <vt:i4>18</vt:i4>
      </vt:variant>
      <vt:variant>
        <vt:i4>0</vt:i4>
      </vt:variant>
      <vt:variant>
        <vt:i4>5</vt:i4>
      </vt:variant>
      <vt:variant>
        <vt:lpwstr>http://www.mainecarepdl.org/pdl</vt:lpwstr>
      </vt:variant>
      <vt:variant>
        <vt:lpwstr/>
      </vt:variant>
      <vt:variant>
        <vt:i4>7864441</vt:i4>
      </vt:variant>
      <vt:variant>
        <vt:i4>15</vt:i4>
      </vt:variant>
      <vt:variant>
        <vt:i4>0</vt:i4>
      </vt:variant>
      <vt:variant>
        <vt:i4>5</vt:i4>
      </vt:variant>
      <vt:variant>
        <vt:lpwstr>http://www.network-health.org/Providers/PDL-Providers.aspx</vt:lpwstr>
      </vt:variant>
      <vt:variant>
        <vt:lpwstr/>
      </vt:variant>
      <vt:variant>
        <vt:i4>7143464</vt:i4>
      </vt:variant>
      <vt:variant>
        <vt:i4>12</vt:i4>
      </vt:variant>
      <vt:variant>
        <vt:i4>0</vt:i4>
      </vt:variant>
      <vt:variant>
        <vt:i4>5</vt:i4>
      </vt:variant>
      <vt:variant>
        <vt:lpwstr>https://nhp.benefits.catamaranrx.com/rxpublic/portal/memberMain</vt:lpwstr>
      </vt:variant>
      <vt:variant>
        <vt:lpwstr/>
      </vt:variant>
      <vt:variant>
        <vt:i4>131110</vt:i4>
      </vt:variant>
      <vt:variant>
        <vt:i4>9</vt:i4>
      </vt:variant>
      <vt:variant>
        <vt:i4>0</vt:i4>
      </vt:variant>
      <vt:variant>
        <vt:i4>5</vt:i4>
      </vt:variant>
      <vt:variant>
        <vt:lpwstr>http://www.healthnewengland.com/HNE_Pharmacy/formulary.html</vt:lpwstr>
      </vt:variant>
      <vt:variant>
        <vt:lpwstr/>
      </vt:variant>
      <vt:variant>
        <vt:i4>5177436</vt:i4>
      </vt:variant>
      <vt:variant>
        <vt:i4>6</vt:i4>
      </vt:variant>
      <vt:variant>
        <vt:i4>0</vt:i4>
      </vt:variant>
      <vt:variant>
        <vt:i4>5</vt:i4>
      </vt:variant>
      <vt:variant>
        <vt:lpwstr>http://www.fchp.org/membertools/MassHealthFormulary/</vt:lpwstr>
      </vt:variant>
      <vt:variant>
        <vt:lpwstr/>
      </vt:variant>
      <vt:variant>
        <vt:i4>5570577</vt:i4>
      </vt:variant>
      <vt:variant>
        <vt:i4>3</vt:i4>
      </vt:variant>
      <vt:variant>
        <vt:i4>0</vt:i4>
      </vt:variant>
      <vt:variant>
        <vt:i4>5</vt:i4>
      </vt:variant>
      <vt:variant>
        <vt:lpwstr>http://www.bmchp.org/pharmacy/providers/drug-list</vt:lpwstr>
      </vt:variant>
      <vt:variant>
        <vt:lpwstr/>
      </vt:variant>
      <vt:variant>
        <vt:i4>3342376</vt:i4>
      </vt:variant>
      <vt:variant>
        <vt:i4>0</vt:i4>
      </vt:variant>
      <vt:variant>
        <vt:i4>0</vt:i4>
      </vt:variant>
      <vt:variant>
        <vt:i4>5</vt:i4>
      </vt:variant>
      <vt:variant>
        <vt:lpwstr>http://www.amcp.org/amcp.ark?p=0F6E1295</vt:lpwstr>
      </vt:variant>
      <vt:variant>
        <vt:lpwstr/>
      </vt:variant>
      <vt:variant>
        <vt:i4>7340084</vt:i4>
      </vt:variant>
      <vt:variant>
        <vt:i4>51</vt:i4>
      </vt:variant>
      <vt:variant>
        <vt:i4>0</vt:i4>
      </vt:variant>
      <vt:variant>
        <vt:i4>5</vt:i4>
      </vt:variant>
      <vt:variant>
        <vt:lpwstr>\\edunivrdir03\CPS Shared DataBank\Templates and Logos\Templates\CPS Reference Manual.htm</vt:lpwstr>
      </vt:variant>
      <vt:variant>
        <vt:lpwstr/>
      </vt:variant>
      <vt:variant>
        <vt:i4>6291529</vt:i4>
      </vt:variant>
      <vt:variant>
        <vt:i4>48</vt:i4>
      </vt:variant>
      <vt:variant>
        <vt:i4>0</vt:i4>
      </vt:variant>
      <vt:variant>
        <vt:i4>5</vt:i4>
      </vt:variant>
      <vt:variant>
        <vt:lpwstr/>
      </vt:variant>
      <vt:variant>
        <vt:lpwstr>Appendix_I</vt:lpwstr>
      </vt:variant>
      <vt:variant>
        <vt:i4>524318</vt:i4>
      </vt:variant>
      <vt:variant>
        <vt:i4>45</vt:i4>
      </vt:variant>
      <vt:variant>
        <vt:i4>0</vt:i4>
      </vt:variant>
      <vt:variant>
        <vt:i4>5</vt:i4>
      </vt:variant>
      <vt:variant>
        <vt:lpwstr/>
      </vt:variant>
      <vt:variant>
        <vt:lpwstr>Addendum</vt:lpwstr>
      </vt:variant>
      <vt:variant>
        <vt:i4>7012449</vt:i4>
      </vt:variant>
      <vt:variant>
        <vt:i4>42</vt:i4>
      </vt:variant>
      <vt:variant>
        <vt:i4>0</vt:i4>
      </vt:variant>
      <vt:variant>
        <vt:i4>5</vt:i4>
      </vt:variant>
      <vt:variant>
        <vt:lpwstr/>
      </vt:variant>
      <vt:variant>
        <vt:lpwstr>ConclusionsRecommendations</vt:lpwstr>
      </vt:variant>
      <vt:variant>
        <vt:i4>7143525</vt:i4>
      </vt:variant>
      <vt:variant>
        <vt:i4>39</vt:i4>
      </vt:variant>
      <vt:variant>
        <vt:i4>0</vt:i4>
      </vt:variant>
      <vt:variant>
        <vt:i4>5</vt:i4>
      </vt:variant>
      <vt:variant>
        <vt:lpwstr/>
      </vt:variant>
      <vt:variant>
        <vt:lpwstr>ClinicalGuidelines</vt:lpwstr>
      </vt:variant>
      <vt:variant>
        <vt:i4>6422640</vt:i4>
      </vt:variant>
      <vt:variant>
        <vt:i4>36</vt:i4>
      </vt:variant>
      <vt:variant>
        <vt:i4>0</vt:i4>
      </vt:variant>
      <vt:variant>
        <vt:i4>5</vt:i4>
      </vt:variant>
      <vt:variant>
        <vt:lpwstr/>
      </vt:variant>
      <vt:variant>
        <vt:lpwstr>PredictedImpactOfPARestriction</vt:lpwstr>
      </vt:variant>
      <vt:variant>
        <vt:i4>1048606</vt:i4>
      </vt:variant>
      <vt:variant>
        <vt:i4>33</vt:i4>
      </vt:variant>
      <vt:variant>
        <vt:i4>0</vt:i4>
      </vt:variant>
      <vt:variant>
        <vt:i4>5</vt:i4>
      </vt:variant>
      <vt:variant>
        <vt:lpwstr/>
      </vt:variant>
      <vt:variant>
        <vt:lpwstr>PotentialAdvantagesDisadvantages</vt:lpwstr>
      </vt:variant>
      <vt:variant>
        <vt:i4>8061033</vt:i4>
      </vt:variant>
      <vt:variant>
        <vt:i4>30</vt:i4>
      </vt:variant>
      <vt:variant>
        <vt:i4>0</vt:i4>
      </vt:variant>
      <vt:variant>
        <vt:i4>5</vt:i4>
      </vt:variant>
      <vt:variant>
        <vt:lpwstr/>
      </vt:variant>
      <vt:variant>
        <vt:lpwstr>DrugAcquisitionCost</vt:lpwstr>
      </vt:variant>
      <vt:variant>
        <vt:i4>1900552</vt:i4>
      </vt:variant>
      <vt:variant>
        <vt:i4>27</vt:i4>
      </vt:variant>
      <vt:variant>
        <vt:i4>0</vt:i4>
      </vt:variant>
      <vt:variant>
        <vt:i4>5</vt:i4>
      </vt:variant>
      <vt:variant>
        <vt:lpwstr/>
      </vt:variant>
      <vt:variant>
        <vt:lpwstr>DosageAdministration</vt:lpwstr>
      </vt:variant>
      <vt:variant>
        <vt:i4>1507354</vt:i4>
      </vt:variant>
      <vt:variant>
        <vt:i4>24</vt:i4>
      </vt:variant>
      <vt:variant>
        <vt:i4>0</vt:i4>
      </vt:variant>
      <vt:variant>
        <vt:i4>5</vt:i4>
      </vt:variant>
      <vt:variant>
        <vt:lpwstr/>
      </vt:variant>
      <vt:variant>
        <vt:lpwstr>DrugInteractions</vt:lpwstr>
      </vt:variant>
      <vt:variant>
        <vt:i4>458778</vt:i4>
      </vt:variant>
      <vt:variant>
        <vt:i4>21</vt:i4>
      </vt:variant>
      <vt:variant>
        <vt:i4>0</vt:i4>
      </vt:variant>
      <vt:variant>
        <vt:i4>5</vt:i4>
      </vt:variant>
      <vt:variant>
        <vt:lpwstr/>
      </vt:variant>
      <vt:variant>
        <vt:lpwstr>ContraindicationsPrecautions</vt:lpwstr>
      </vt:variant>
      <vt:variant>
        <vt:i4>1507341</vt:i4>
      </vt:variant>
      <vt:variant>
        <vt:i4>18</vt:i4>
      </vt:variant>
      <vt:variant>
        <vt:i4>0</vt:i4>
      </vt:variant>
      <vt:variant>
        <vt:i4>5</vt:i4>
      </vt:variant>
      <vt:variant>
        <vt:lpwstr/>
      </vt:variant>
      <vt:variant>
        <vt:lpwstr>AdverseDrugEvents</vt:lpwstr>
      </vt:variant>
      <vt:variant>
        <vt:i4>7733359</vt:i4>
      </vt:variant>
      <vt:variant>
        <vt:i4>15</vt:i4>
      </vt:variant>
      <vt:variant>
        <vt:i4>0</vt:i4>
      </vt:variant>
      <vt:variant>
        <vt:i4>5</vt:i4>
      </vt:variant>
      <vt:variant>
        <vt:lpwstr/>
      </vt:variant>
      <vt:variant>
        <vt:lpwstr>SpecialPopulations</vt:lpwstr>
      </vt:variant>
      <vt:variant>
        <vt:i4>7143539</vt:i4>
      </vt:variant>
      <vt:variant>
        <vt:i4>12</vt:i4>
      </vt:variant>
      <vt:variant>
        <vt:i4>0</vt:i4>
      </vt:variant>
      <vt:variant>
        <vt:i4>5</vt:i4>
      </vt:variant>
      <vt:variant>
        <vt:lpwstr/>
      </vt:variant>
      <vt:variant>
        <vt:lpwstr>ClinicalTrials</vt:lpwstr>
      </vt:variant>
      <vt:variant>
        <vt:i4>7340134</vt:i4>
      </vt:variant>
      <vt:variant>
        <vt:i4>9</vt:i4>
      </vt:variant>
      <vt:variant>
        <vt:i4>0</vt:i4>
      </vt:variant>
      <vt:variant>
        <vt:i4>5</vt:i4>
      </vt:variant>
      <vt:variant>
        <vt:lpwstr/>
      </vt:variant>
      <vt:variant>
        <vt:lpwstr>OverviewSummary</vt:lpwstr>
      </vt:variant>
      <vt:variant>
        <vt:i4>6619239</vt:i4>
      </vt:variant>
      <vt:variant>
        <vt:i4>6</vt:i4>
      </vt:variant>
      <vt:variant>
        <vt:i4>0</vt:i4>
      </vt:variant>
      <vt:variant>
        <vt:i4>5</vt:i4>
      </vt:variant>
      <vt:variant>
        <vt:lpwstr/>
      </vt:variant>
      <vt:variant>
        <vt:lpwstr>StylisticGuideline</vt:lpwstr>
      </vt:variant>
      <vt:variant>
        <vt:i4>7667817</vt:i4>
      </vt:variant>
      <vt:variant>
        <vt:i4>3</vt:i4>
      </vt:variant>
      <vt:variant>
        <vt:i4>0</vt:i4>
      </vt:variant>
      <vt:variant>
        <vt:i4>5</vt:i4>
      </vt:variant>
      <vt:variant>
        <vt:lpwstr/>
      </vt:variant>
      <vt:variant>
        <vt:lpwstr>Formulation</vt:lpwstr>
      </vt:variant>
      <vt:variant>
        <vt:i4>3145811</vt:i4>
      </vt:variant>
      <vt:variant>
        <vt:i4>0</vt:i4>
      </vt:variant>
      <vt:variant>
        <vt:i4>0</vt:i4>
      </vt:variant>
      <vt:variant>
        <vt:i4>5</vt:i4>
      </vt:variant>
      <vt:variant>
        <vt:lpwstr/>
      </vt:variant>
      <vt:variant>
        <vt:lpwstr>Appendix_IIITable4</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2017-08-22T13:40:00Z</dcterms:created>
  <dc:creator>Information Services</dc:creator>
  <keywords>drug control</keywords>
  <lastModifiedBy>AutoBVT</lastModifiedBy>
  <lastPrinted>2015-12-04T14:59:00Z</lastPrinted>
  <dcterms:modified xsi:type="dcterms:W3CDTF">2017-08-22T18:42:00Z</dcterms:modified>
  <revision>3</revision>
  <dc:title>New Drug Review: Opana ER Drug Monograph</dc:title>
</coreProperties>
</file>