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98"/>
        <w:rPr>
          <w:rFonts w:ascii="Times New Roman"/>
          <w:sz w:val="22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469900</wp:posOffset>
                </wp:positionH>
                <wp:positionV relativeFrom="paragraph">
                  <wp:posOffset>-1897229</wp:posOffset>
                </wp:positionV>
                <wp:extent cx="7023100" cy="15290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23100" cy="1529080"/>
                          <a:chExt cx="7023100" cy="1529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6030"/>
                            <a:ext cx="7010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266700">
                                <a:moveTo>
                                  <a:pt x="0" y="266700"/>
                                </a:moveTo>
                                <a:lnTo>
                                  <a:pt x="7010400" y="266700"/>
                                </a:lnTo>
                                <a:lnTo>
                                  <a:pt x="701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704" y="182295"/>
                            <a:ext cx="970020" cy="998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481065" y="1361186"/>
                            <a:ext cx="12122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FEBRUARY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736" y="1361186"/>
                            <a:ext cx="20523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7010400" cy="12490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72"/>
                                <w:ind w:left="2005" w:right="158" w:firstLine="2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Data Brief:</w:t>
                              </w:r>
                              <w:r>
                                <w:rPr>
                                  <w:b/>
                                  <w:color w:val="1F487C"/>
                                  <w:spacing w:val="40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Confirmed Unintentional/Undetermined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 Opioid-related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1F487C"/>
                                  <w:spacing w:val="-10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Among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Massachusetts Residents – Demographic Data Highlights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pt;margin-top:-149.388184pt;width:553pt;height:120.4pt;mso-position-horizontal-relative:page;mso-position-vertical-relative:paragraph;z-index:15729152" id="docshapegroup2" coordorigin="740,-2988" coordsize="11060,2408">
                <v:rect style="position:absolute;left:750;top:-1010;width:11040;height:420" id="docshape3" filled="false" stroked="true" strokeweight="1pt" strokecolor="#000000">
                  <v:stroke dashstyle="solid"/>
                </v:rect>
                <v:shape style="position:absolute;left:947;top:-2701;width:1528;height:1572" type="#_x0000_t75" id="docshape4" alt="DPH-logo-B&amp;W" stroked="false">
                  <v:imagedata r:id="rId6" o:title=""/>
                </v:shape>
                <v:shape style="position:absolute;left:9371;top:-845;width:1909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FEBRUARY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813;top:-845;width:3232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750;top:-2978;width:11040;height:1967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272"/>
                          <w:ind w:left="2005" w:right="158" w:firstLine="2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Data Brief:</w:t>
                        </w:r>
                        <w:r>
                          <w:rPr>
                            <w:b/>
                            <w:color w:val="1F487C"/>
                            <w:spacing w:val="40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Confirmed Unintentional/Undetermined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 Opioid-related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color w:val="1F487C"/>
                            <w:spacing w:val="-10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Among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Massachusetts Residents – Demographic Data Highlights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brief</w:t>
      </w:r>
      <w:r>
        <w:rPr>
          <w:spacing w:val="-7"/>
          <w:sz w:val="22"/>
        </w:rPr>
        <w:t> </w:t>
      </w:r>
      <w:r>
        <w:rPr>
          <w:sz w:val="22"/>
        </w:rPr>
        <w:t>highlights</w:t>
      </w:r>
      <w:r>
        <w:rPr>
          <w:spacing w:val="-3"/>
          <w:sz w:val="22"/>
        </w:rPr>
        <w:t> </w:t>
      </w:r>
      <w:r>
        <w:rPr>
          <w:sz w:val="22"/>
        </w:rPr>
        <w:t>demographic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confirmed</w:t>
      </w:r>
      <w:r>
        <w:rPr>
          <w:spacing w:val="-7"/>
          <w:sz w:val="22"/>
        </w:rPr>
        <w:t> </w:t>
      </w:r>
      <w:r>
        <w:rPr>
          <w:sz w:val="22"/>
        </w:rPr>
        <w:t>overdose</w:t>
      </w:r>
      <w:r>
        <w:rPr>
          <w:spacing w:val="-3"/>
          <w:sz w:val="22"/>
        </w:rPr>
        <w:t> </w:t>
      </w:r>
      <w:r>
        <w:rPr>
          <w:sz w:val="22"/>
        </w:rPr>
        <w:t>deaths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January</w:t>
      </w:r>
      <w:r>
        <w:rPr>
          <w:spacing w:val="-2"/>
          <w:sz w:val="22"/>
        </w:rPr>
        <w:t> </w:t>
      </w:r>
      <w:r>
        <w:rPr>
          <w:sz w:val="22"/>
        </w:rPr>
        <w:t>2016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December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2016.</w:t>
      </w:r>
    </w:p>
    <w:p>
      <w:pPr>
        <w:pStyle w:val="BodyText"/>
        <w:spacing w:before="196"/>
        <w:rPr>
          <w:sz w:val="22"/>
        </w:rPr>
      </w:pPr>
    </w:p>
    <w:p>
      <w:pPr>
        <w:pStyle w:val="Heading1"/>
        <w:ind w:left="3817" w:hanging="2679"/>
      </w:pPr>
      <w:r>
        <w:rPr/>
        <w:t>Confirmed</w:t>
      </w:r>
      <w:r>
        <w:rPr>
          <w:spacing w:val="-6"/>
        </w:rPr>
        <w:t> </w:t>
      </w:r>
      <w:r>
        <w:rPr/>
        <w:t>Unintentional/Undetermined</w:t>
      </w:r>
      <w:r>
        <w:rPr>
          <w:vertAlign w:val="superscript"/>
        </w:rPr>
        <w:t>1</w:t>
      </w:r>
      <w:r>
        <w:rPr>
          <w:spacing w:val="-9"/>
          <w:vertAlign w:val="baseline"/>
        </w:rPr>
        <w:t> </w:t>
      </w:r>
      <w:r>
        <w:rPr>
          <w:vertAlign w:val="baseline"/>
        </w:rPr>
        <w:t>Opioid-related</w:t>
      </w:r>
      <w:r>
        <w:rPr>
          <w:spacing w:val="-8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7"/>
          <w:vertAlign w:val="baseline"/>
        </w:rPr>
        <w:t> </w:t>
      </w:r>
      <w:r>
        <w:rPr>
          <w:vertAlign w:val="baseline"/>
        </w:rPr>
        <w:t>by</w:t>
      </w:r>
      <w:r>
        <w:rPr>
          <w:spacing w:val="-8"/>
          <w:vertAlign w:val="baseline"/>
        </w:rPr>
        <w:t> </w:t>
      </w:r>
      <w:r>
        <w:rPr>
          <w:vertAlign w:val="baseline"/>
        </w:rPr>
        <w:t>Gender: January 2016-December 2016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2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4491"/>
      </w:tblGrid>
      <w:tr>
        <w:trPr>
          <w:trHeight w:val="818" w:hRule="atLeast"/>
        </w:trPr>
        <w:tc>
          <w:tcPr>
            <w:tcW w:w="6157" w:type="dxa"/>
            <w:gridSpan w:val="2"/>
          </w:tcPr>
          <w:p>
            <w:pPr>
              <w:pStyle w:val="TableParagraph"/>
              <w:spacing w:before="1"/>
              <w:ind w:left="1601" w:right="285" w:hanging="13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Unintentional/Undetermined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Opioid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Deaths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Gender: January 2016-December 2016</w:t>
            </w:r>
          </w:p>
        </w:tc>
      </w:tr>
      <w:tr>
        <w:trPr>
          <w:trHeight w:val="313" w:hRule="atLeast"/>
        </w:trPr>
        <w:tc>
          <w:tcPr>
            <w:tcW w:w="1666" w:type="dxa"/>
          </w:tcPr>
          <w:p>
            <w:pPr>
              <w:pStyle w:val="TableParagraph"/>
              <w:spacing w:before="18"/>
              <w:ind w:left="11" w:right="2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4491" w:type="dxa"/>
          </w:tcPr>
          <w:p>
            <w:pPr>
              <w:pStyle w:val="TableParagraph"/>
              <w:spacing w:before="18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1,070</w:t>
            </w:r>
          </w:p>
        </w:tc>
      </w:tr>
      <w:tr>
        <w:trPr>
          <w:trHeight w:val="313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ind w:left="11"/>
              <w:rPr>
                <w:sz w:val="22"/>
              </w:rPr>
            </w:pPr>
            <w:r>
              <w:rPr>
                <w:spacing w:val="-5"/>
                <w:sz w:val="22"/>
              </w:rPr>
              <w:t>395</w:t>
            </w:r>
          </w:p>
        </w:tc>
      </w:tr>
      <w:tr>
        <w:trPr>
          <w:trHeight w:val="316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ind w:left="11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1,465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8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640060</wp:posOffset>
            </wp:positionH>
            <wp:positionV relativeFrom="paragraph">
              <wp:posOffset>194738</wp:posOffset>
            </wp:positionV>
            <wp:extent cx="6532119" cy="274320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2119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42"/>
        <w:rPr>
          <w:b/>
          <w:sz w:val="28"/>
        </w:rPr>
      </w:pPr>
    </w:p>
    <w:p>
      <w:pPr>
        <w:pStyle w:val="BodyText"/>
        <w:ind w:left="140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</w:t>
      </w:r>
      <w:r>
        <w:rPr>
          <w:spacing w:val="-2"/>
          <w:vertAlign w:val="baseline"/>
        </w:rPr>
        <w:t> </w:t>
      </w:r>
      <w:r>
        <w:rPr>
          <w:vertAlign w:val="baseline"/>
        </w:rPr>
        <w:t>poisoning/overdose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3"/>
          <w:vertAlign w:val="baseline"/>
        </w:rPr>
        <w:t> </w:t>
      </w:r>
      <w:r>
        <w:rPr>
          <w:vertAlign w:val="baseline"/>
        </w:rPr>
        <w:t>combine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 and</w:t>
      </w:r>
      <w:r>
        <w:rPr>
          <w:spacing w:val="-3"/>
          <w:vertAlign w:val="baseline"/>
        </w:rPr>
        <w:t> </w:t>
      </w:r>
      <w:r>
        <w:rPr>
          <w:vertAlign w:val="baseline"/>
        </w:rPr>
        <w:t>undetermined</w:t>
      </w:r>
      <w:r>
        <w:rPr>
          <w:spacing w:val="-3"/>
          <w:vertAlign w:val="baseline"/>
        </w:rPr>
        <w:t> </w:t>
      </w:r>
      <w:r>
        <w:rPr>
          <w:vertAlign w:val="baseline"/>
        </w:rPr>
        <w:t>intents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account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</w:t>
      </w:r>
      <w:r>
        <w:rPr>
          <w:spacing w:val="-3"/>
          <w:vertAlign w:val="baseline"/>
        </w:rPr>
        <w:t> </w:t>
      </w:r>
      <w:r>
        <w:rPr>
          <w:vertAlign w:val="baseline"/>
        </w:rPr>
        <w:t>coding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occurred</w:t>
      </w:r>
      <w:r>
        <w:rPr>
          <w:spacing w:val="-3"/>
          <w:vertAlign w:val="baseline"/>
        </w:rPr>
        <w:t> </w:t>
      </w:r>
      <w:r>
        <w:rPr>
          <w:vertAlign w:val="baseline"/>
        </w:rPr>
        <w:t>in 2005. Suicides are excluded from this analysis.</w:t>
      </w:r>
    </w:p>
    <w:p>
      <w:pPr>
        <w:pStyle w:val="BodyText"/>
        <w:spacing w:line="219" w:lineRule="exact"/>
        <w:ind w:left="140"/>
      </w:pPr>
      <w:r>
        <w:rPr>
          <w:vertAlign w:val="superscript"/>
        </w:rPr>
        <w:t>2</w:t>
      </w:r>
      <w:r>
        <w:rPr>
          <w:spacing w:val="-18"/>
          <w:vertAlign w:val="baseline"/>
        </w:rPr>
        <w:t> </w:t>
      </w:r>
      <w:r>
        <w:rPr>
          <w:vertAlign w:val="baseline"/>
        </w:rPr>
        <w:t>Opioids</w:t>
      </w:r>
      <w:r>
        <w:rPr>
          <w:spacing w:val="-4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4"/>
          <w:vertAlign w:val="baseline"/>
        </w:rPr>
        <w:t> </w:t>
      </w:r>
      <w:r>
        <w:rPr>
          <w:vertAlign w:val="baseline"/>
        </w:rPr>
        <w:t>heroin,</w:t>
      </w:r>
      <w:r>
        <w:rPr>
          <w:spacing w:val="-3"/>
          <w:vertAlign w:val="baseline"/>
        </w:rPr>
        <w:t> </w:t>
      </w:r>
      <w:r>
        <w:rPr>
          <w:vertAlign w:val="baseline"/>
        </w:rPr>
        <w:t>opioid-based</w:t>
      </w:r>
      <w:r>
        <w:rPr>
          <w:spacing w:val="-4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4"/>
          <w:vertAlign w:val="baseline"/>
        </w:rPr>
        <w:t> </w:t>
      </w:r>
      <w:r>
        <w:rPr>
          <w:vertAlign w:val="baseline"/>
        </w:rPr>
        <w:t>painkillers,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other</w:t>
      </w:r>
      <w:r>
        <w:rPr>
          <w:spacing w:val="-3"/>
          <w:vertAlign w:val="baseline"/>
        </w:rPr>
        <w:t> </w:t>
      </w:r>
      <w:r>
        <w:rPr>
          <w:vertAlign w:val="baseline"/>
        </w:rPr>
        <w:t>unspecified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opioids.</w:t>
      </w:r>
    </w:p>
    <w:p>
      <w:pPr>
        <w:spacing w:after="0" w:line="219" w:lineRule="exact"/>
        <w:sectPr>
          <w:footerReference w:type="default" r:id="rId5"/>
          <w:type w:val="continuous"/>
          <w:pgSz w:w="12240" w:h="15840"/>
          <w:pgMar w:header="0" w:footer="922" w:top="1240" w:bottom="1120" w:left="580" w:right="460"/>
          <w:pgNumType w:start="1"/>
        </w:sectPr>
      </w:pPr>
    </w:p>
    <w:p>
      <w:pPr>
        <w:pStyle w:val="Heading1"/>
        <w:spacing w:before="79"/>
        <w:ind w:left="3354" w:hanging="2958"/>
      </w:pPr>
      <w:r>
        <w:rPr/>
        <w:t>Confirmed</w:t>
      </w:r>
      <w:r>
        <w:rPr>
          <w:spacing w:val="-4"/>
        </w:rPr>
        <w:t> </w:t>
      </w:r>
      <w:r>
        <w:rPr/>
        <w:t>Unintentional/Undetermined</w:t>
      </w:r>
      <w:r>
        <w:rPr>
          <w:vertAlign w:val="superscript"/>
        </w:rPr>
        <w:t>1</w:t>
      </w:r>
      <w:r>
        <w:rPr>
          <w:spacing w:val="-8"/>
          <w:vertAlign w:val="baseline"/>
        </w:rPr>
        <w:t> </w:t>
      </w:r>
      <w:r>
        <w:rPr>
          <w:vertAlign w:val="baseline"/>
        </w:rPr>
        <w:t>Opioid-related</w:t>
      </w:r>
      <w:r>
        <w:rPr>
          <w:spacing w:val="-6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5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Deaths by Age: January 2016-December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7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809"/>
        <w:gridCol w:w="811"/>
        <w:gridCol w:w="809"/>
        <w:gridCol w:w="812"/>
        <w:gridCol w:w="900"/>
        <w:gridCol w:w="900"/>
        <w:gridCol w:w="809"/>
        <w:gridCol w:w="1080"/>
        <w:gridCol w:w="914"/>
      </w:tblGrid>
      <w:tr>
        <w:trPr>
          <w:trHeight w:val="299" w:hRule="atLeast"/>
        </w:trPr>
        <w:tc>
          <w:tcPr>
            <w:tcW w:w="29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44" w:type="dxa"/>
            <w:gridSpan w:val="9"/>
          </w:tcPr>
          <w:p>
            <w:pPr>
              <w:pStyle w:val="TableParagraph"/>
              <w:spacing w:line="273" w:lineRule="exact" w:before="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Deaths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Age: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January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2016-December </w:t>
            </w:r>
            <w:r>
              <w:rPr>
                <w:b/>
                <w:spacing w:val="-4"/>
                <w:sz w:val="24"/>
              </w:rPr>
              <w:t>2016</w:t>
            </w:r>
          </w:p>
        </w:tc>
      </w:tr>
      <w:tr>
        <w:trPr>
          <w:trHeight w:val="302" w:hRule="atLeast"/>
        </w:trPr>
        <w:tc>
          <w:tcPr>
            <w:tcW w:w="29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before="1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left="6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15-</w:t>
            </w:r>
            <w:r>
              <w:rPr>
                <w:b/>
                <w:spacing w:val="-7"/>
                <w:sz w:val="20"/>
              </w:rPr>
              <w:t>24</w:t>
            </w:r>
          </w:p>
        </w:tc>
        <w:tc>
          <w:tcPr>
            <w:tcW w:w="809" w:type="dxa"/>
          </w:tcPr>
          <w:p>
            <w:pPr>
              <w:pStyle w:val="TableParagraph"/>
              <w:spacing w:before="1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25-</w:t>
            </w:r>
            <w:r>
              <w:rPr>
                <w:b/>
                <w:spacing w:val="-7"/>
                <w:sz w:val="20"/>
              </w:rPr>
              <w:t>34</w:t>
            </w:r>
          </w:p>
        </w:tc>
        <w:tc>
          <w:tcPr>
            <w:tcW w:w="812" w:type="dxa"/>
          </w:tcPr>
          <w:p>
            <w:pPr>
              <w:pStyle w:val="TableParagraph"/>
              <w:spacing w:before="1"/>
              <w:ind w:left="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35-</w:t>
            </w:r>
            <w:r>
              <w:rPr>
                <w:b/>
                <w:spacing w:val="-7"/>
                <w:sz w:val="20"/>
              </w:rPr>
              <w:t>44</w:t>
            </w:r>
          </w:p>
        </w:tc>
        <w:tc>
          <w:tcPr>
            <w:tcW w:w="900" w:type="dxa"/>
          </w:tcPr>
          <w:p>
            <w:pPr>
              <w:pStyle w:val="TableParagraph"/>
              <w:spacing w:before="1"/>
              <w:ind w:left="3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45-</w:t>
            </w:r>
            <w:r>
              <w:rPr>
                <w:b/>
                <w:spacing w:val="-7"/>
                <w:sz w:val="20"/>
              </w:rPr>
              <w:t>54</w:t>
            </w:r>
          </w:p>
        </w:tc>
        <w:tc>
          <w:tcPr>
            <w:tcW w:w="900" w:type="dxa"/>
          </w:tcPr>
          <w:p>
            <w:pPr>
              <w:pStyle w:val="TableParagraph"/>
              <w:spacing w:before="1"/>
              <w:ind w:left="3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55-</w:t>
            </w:r>
            <w:r>
              <w:rPr>
                <w:b/>
                <w:spacing w:val="-7"/>
                <w:sz w:val="20"/>
              </w:rPr>
              <w:t>64</w:t>
            </w:r>
          </w:p>
        </w:tc>
        <w:tc>
          <w:tcPr>
            <w:tcW w:w="809" w:type="dxa"/>
          </w:tcPr>
          <w:p>
            <w:pPr>
              <w:pStyle w:val="TableParagraph"/>
              <w:spacing w:before="1"/>
              <w:ind w:left="4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65+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1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  <w:tc>
          <w:tcPr>
            <w:tcW w:w="914" w:type="dxa"/>
          </w:tcPr>
          <w:p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2988" w:type="dxa"/>
          </w:tcPr>
          <w:p>
            <w:pPr>
              <w:pStyle w:val="TableParagraph"/>
              <w:spacing w:before="25"/>
              <w:ind w:left="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Deaths</w:t>
            </w: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left="4" w:right="1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811" w:type="dxa"/>
          </w:tcPr>
          <w:p>
            <w:pPr>
              <w:pStyle w:val="TableParagraph"/>
              <w:spacing w:before="25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left="4" w:right="3"/>
              <w:rPr>
                <w:sz w:val="20"/>
              </w:rPr>
            </w:pPr>
            <w:r>
              <w:rPr>
                <w:spacing w:val="-2"/>
                <w:sz w:val="20"/>
              </w:rPr>
              <w:t>1,187</w:t>
            </w:r>
          </w:p>
        </w:tc>
        <w:tc>
          <w:tcPr>
            <w:tcW w:w="812" w:type="dxa"/>
          </w:tcPr>
          <w:p>
            <w:pPr>
              <w:pStyle w:val="TableParagraph"/>
              <w:spacing w:before="25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1,393</w:t>
            </w:r>
          </w:p>
        </w:tc>
        <w:tc>
          <w:tcPr>
            <w:tcW w:w="900" w:type="dxa"/>
          </w:tcPr>
          <w:p>
            <w:pPr>
              <w:pStyle w:val="TableParagraph"/>
              <w:spacing w:before="25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3,015</w:t>
            </w:r>
          </w:p>
        </w:tc>
        <w:tc>
          <w:tcPr>
            <w:tcW w:w="900" w:type="dxa"/>
          </w:tcPr>
          <w:p>
            <w:pPr>
              <w:pStyle w:val="TableParagraph"/>
              <w:spacing w:before="25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5,981</w:t>
            </w:r>
          </w:p>
        </w:tc>
        <w:tc>
          <w:tcPr>
            <w:tcW w:w="809" w:type="dxa"/>
          </w:tcPr>
          <w:p>
            <w:pPr>
              <w:pStyle w:val="TableParagraph"/>
              <w:spacing w:before="25"/>
              <w:ind w:left="4" w:right="4"/>
              <w:rPr>
                <w:sz w:val="20"/>
              </w:rPr>
            </w:pPr>
            <w:r>
              <w:rPr>
                <w:spacing w:val="-2"/>
                <w:sz w:val="20"/>
              </w:rPr>
              <w:t>42,947</w:t>
            </w:r>
          </w:p>
        </w:tc>
        <w:tc>
          <w:tcPr>
            <w:tcW w:w="1080" w:type="dxa"/>
          </w:tcPr>
          <w:p>
            <w:pPr>
              <w:pStyle w:val="TableParagraph"/>
              <w:spacing w:before="25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1,264</w:t>
            </w:r>
          </w:p>
        </w:tc>
        <w:tc>
          <w:tcPr>
            <w:tcW w:w="914" w:type="dxa"/>
          </w:tcPr>
          <w:p>
            <w:pPr>
              <w:pStyle w:val="TableParagraph"/>
              <w:spacing w:before="25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56,612</w:t>
            </w:r>
          </w:p>
        </w:tc>
      </w:tr>
      <w:tr>
        <w:trPr>
          <w:trHeight w:val="489" w:hRule="atLeast"/>
        </w:trPr>
        <w:tc>
          <w:tcPr>
            <w:tcW w:w="2988" w:type="dxa"/>
          </w:tcPr>
          <w:p>
            <w:pPr>
              <w:pStyle w:val="TableParagraph"/>
              <w:spacing w:line="243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Confirmed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Unintentional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10"/>
                <w:sz w:val="20"/>
              </w:rPr>
              <w:t>/</w:t>
            </w:r>
          </w:p>
          <w:p>
            <w:pPr>
              <w:pStyle w:val="TableParagraph"/>
              <w:spacing w:line="225" w:lineRule="exact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Undetermined</w:t>
            </w:r>
            <w:r>
              <w:rPr>
                <w:spacing w:val="-2"/>
                <w:sz w:val="20"/>
                <w:vertAlign w:val="superscript"/>
              </w:rPr>
              <w:t>1</w:t>
            </w:r>
            <w:r>
              <w:rPr>
                <w:spacing w:val="6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Opioid</w:t>
            </w:r>
            <w:r>
              <w:rPr>
                <w:spacing w:val="8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Deaths</w:t>
            </w:r>
          </w:p>
        </w:tc>
        <w:tc>
          <w:tcPr>
            <w:tcW w:w="809" w:type="dxa"/>
          </w:tcPr>
          <w:p>
            <w:pPr>
              <w:pStyle w:val="TableParagraph"/>
              <w:spacing w:before="12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spacing w:before="121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809" w:type="dxa"/>
          </w:tcPr>
          <w:p>
            <w:pPr>
              <w:pStyle w:val="TableParagraph"/>
              <w:spacing w:before="121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812" w:type="dxa"/>
          </w:tcPr>
          <w:p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809" w:type="dxa"/>
          </w:tcPr>
          <w:p>
            <w:pPr>
              <w:pStyle w:val="TableParagraph"/>
              <w:spacing w:before="121"/>
              <w:ind w:left="4" w:right="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14" w:type="dxa"/>
          </w:tcPr>
          <w:p>
            <w:pPr>
              <w:pStyle w:val="TableParagraph"/>
              <w:spacing w:before="121"/>
              <w:ind w:left="9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1,465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38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640080</wp:posOffset>
            </wp:positionH>
            <wp:positionV relativeFrom="paragraph">
              <wp:posOffset>258101</wp:posOffset>
            </wp:positionV>
            <wp:extent cx="6522720" cy="426720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</w:rPr>
      </w:pPr>
    </w:p>
    <w:p>
      <w:pPr>
        <w:pStyle w:val="BodyText"/>
        <w:ind w:right="119"/>
        <w:jc w:val="center"/>
      </w:pPr>
      <w:r>
        <w:rPr/>
        <w:t>Note: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rounding,</w:t>
      </w:r>
      <w:r>
        <w:rPr>
          <w:spacing w:val="-1"/>
        </w:rPr>
        <w:t> </w:t>
      </w:r>
      <w:r>
        <w:rPr/>
        <w:t>percentages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“All</w:t>
      </w:r>
      <w:r>
        <w:rPr>
          <w:spacing w:val="-2"/>
        </w:rPr>
        <w:t> </w:t>
      </w:r>
      <w:r>
        <w:rPr/>
        <w:t>Deaths” do</w:t>
      </w:r>
      <w:r>
        <w:rPr>
          <w:spacing w:val="2"/>
        </w:rPr>
        <w:t> </w:t>
      </w:r>
      <w:r>
        <w:rPr/>
        <w:t>not</w:t>
      </w:r>
      <w:r>
        <w:rPr>
          <w:spacing w:val="-1"/>
        </w:rPr>
        <w:t> </w:t>
      </w:r>
      <w:r>
        <w:rPr/>
        <w:t>add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100%.</w:t>
      </w:r>
    </w:p>
    <w:p>
      <w:pPr>
        <w:pStyle w:val="BodyText"/>
        <w:spacing w:before="194"/>
      </w:pPr>
    </w:p>
    <w:p>
      <w:pPr>
        <w:pStyle w:val="BodyText"/>
        <w:spacing w:before="1"/>
        <w:ind w:left="140" w:right="212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</w:t>
      </w:r>
      <w:r>
        <w:rPr>
          <w:spacing w:val="-2"/>
          <w:vertAlign w:val="baseline"/>
        </w:rPr>
        <w:t> </w:t>
      </w:r>
      <w:r>
        <w:rPr>
          <w:vertAlign w:val="baseline"/>
        </w:rPr>
        <w:t>poisoning/overdose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3"/>
          <w:vertAlign w:val="baseline"/>
        </w:rPr>
        <w:t> </w:t>
      </w:r>
      <w:r>
        <w:rPr>
          <w:vertAlign w:val="baseline"/>
        </w:rPr>
        <w:t>combine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 and</w:t>
      </w:r>
      <w:r>
        <w:rPr>
          <w:spacing w:val="-3"/>
          <w:vertAlign w:val="baseline"/>
        </w:rPr>
        <w:t> </w:t>
      </w:r>
      <w:r>
        <w:rPr>
          <w:vertAlign w:val="baseline"/>
        </w:rPr>
        <w:t>undetermined</w:t>
      </w:r>
      <w:r>
        <w:rPr>
          <w:spacing w:val="-3"/>
          <w:vertAlign w:val="baseline"/>
        </w:rPr>
        <w:t> </w:t>
      </w:r>
      <w:r>
        <w:rPr>
          <w:vertAlign w:val="baseline"/>
        </w:rPr>
        <w:t>intents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account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</w:t>
      </w:r>
      <w:r>
        <w:rPr>
          <w:spacing w:val="-3"/>
          <w:vertAlign w:val="baseline"/>
        </w:rPr>
        <w:t> </w:t>
      </w:r>
      <w:r>
        <w:rPr>
          <w:vertAlign w:val="baseline"/>
        </w:rPr>
        <w:t>coding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occurred in 2005. Suicides are excluded from this analysis.</w:t>
      </w:r>
    </w:p>
    <w:p>
      <w:pPr>
        <w:spacing w:after="0"/>
        <w:sectPr>
          <w:pgSz w:w="12240" w:h="15840"/>
          <w:pgMar w:header="0" w:footer="922" w:top="1440" w:bottom="1120" w:left="580" w:right="460"/>
        </w:sectPr>
      </w:pPr>
    </w:p>
    <w:p>
      <w:pPr>
        <w:pStyle w:val="Heading1"/>
        <w:spacing w:line="341" w:lineRule="exact" w:before="70"/>
        <w:ind w:right="448"/>
        <w:jc w:val="center"/>
      </w:pPr>
      <w:r>
        <w:rPr/>
        <w:t>Confirmed</w:t>
      </w:r>
      <w:r>
        <w:rPr>
          <w:spacing w:val="-12"/>
        </w:rPr>
        <w:t> </w:t>
      </w:r>
      <w:r>
        <w:rPr/>
        <w:t>Unintentional/Undetermined</w:t>
      </w:r>
      <w:r>
        <w:rPr>
          <w:vertAlign w:val="superscript"/>
        </w:rPr>
        <w:t>1</w:t>
      </w:r>
      <w:r>
        <w:rPr>
          <w:spacing w:val="-25"/>
          <w:vertAlign w:val="baseline"/>
        </w:rPr>
        <w:t> </w:t>
      </w:r>
      <w:r>
        <w:rPr>
          <w:vertAlign w:val="baseline"/>
        </w:rPr>
        <w:t>Opioid-related</w:t>
      </w:r>
      <w:r>
        <w:rPr>
          <w:spacing w:val="-7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7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-7"/>
          <w:vertAlign w:val="baseline"/>
        </w:rPr>
        <w:t> </w:t>
      </w:r>
      <w:r>
        <w:rPr>
          <w:vertAlign w:val="baseline"/>
        </w:rPr>
        <w:t>to</w:t>
      </w:r>
      <w:r>
        <w:rPr>
          <w:spacing w:val="-7"/>
          <w:vertAlign w:val="baseline"/>
        </w:rPr>
        <w:t> </w:t>
      </w:r>
      <w:r>
        <w:rPr>
          <w:vertAlign w:val="baseline"/>
        </w:rPr>
        <w:t>All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Deaths</w:t>
      </w:r>
    </w:p>
    <w:p>
      <w:pPr>
        <w:spacing w:line="341" w:lineRule="exact" w:before="0"/>
        <w:ind w:left="419" w:right="0" w:firstLine="0"/>
        <w:jc w:val="center"/>
        <w:rPr>
          <w:b/>
          <w:sz w:val="28"/>
        </w:rPr>
      </w:pPr>
      <w:r>
        <w:rPr>
          <w:b/>
          <w:sz w:val="28"/>
        </w:rPr>
        <w:t>by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Race: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2016-December</w:t>
      </w:r>
      <w:r>
        <w:rPr>
          <w:b/>
          <w:spacing w:val="-4"/>
          <w:sz w:val="28"/>
        </w:rPr>
        <w:t> 2016</w:t>
      </w:r>
    </w:p>
    <w:p>
      <w:pPr>
        <w:pStyle w:val="BodyText"/>
        <w:spacing w:before="98" w:after="1"/>
        <w:rPr>
          <w:b/>
          <w:sz w:val="20"/>
        </w:rPr>
      </w:pPr>
    </w:p>
    <w:tbl>
      <w:tblPr>
        <w:tblW w:w="0" w:type="auto"/>
        <w:jc w:val="left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1229"/>
        <w:gridCol w:w="989"/>
        <w:gridCol w:w="986"/>
        <w:gridCol w:w="988"/>
        <w:gridCol w:w="1101"/>
        <w:gridCol w:w="959"/>
      </w:tblGrid>
      <w:tr>
        <w:trPr>
          <w:trHeight w:val="805" w:hRule="atLeast"/>
        </w:trPr>
        <w:tc>
          <w:tcPr>
            <w:tcW w:w="291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403" w:right="324" w:hanging="7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White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22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9" w:type="dxa"/>
          </w:tcPr>
          <w:p>
            <w:pPr>
              <w:pStyle w:val="TableParagraph"/>
              <w:ind w:left="251" w:right="2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Black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6" w:type="dxa"/>
          </w:tcPr>
          <w:p>
            <w:pPr>
              <w:pStyle w:val="TableParagraph"/>
              <w:ind w:left="239" w:right="2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Asian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8" w:type="dxa"/>
          </w:tcPr>
          <w:p>
            <w:pPr>
              <w:pStyle w:val="TableParagraph"/>
              <w:spacing w:before="26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1101" w:type="dxa"/>
          </w:tcPr>
          <w:p>
            <w:pPr>
              <w:pStyle w:val="TableParagraph"/>
              <w:spacing w:line="270" w:lineRule="atLeast" w:before="246"/>
              <w:ind w:left="109" w:right="90" w:firstLine="12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Other/ Unknown</w:t>
            </w:r>
          </w:p>
        </w:tc>
        <w:tc>
          <w:tcPr>
            <w:tcW w:w="959" w:type="dxa"/>
          </w:tcPr>
          <w:p>
            <w:pPr>
              <w:pStyle w:val="TableParagraph"/>
              <w:spacing w:before="26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14" w:hRule="atLeast"/>
        </w:trPr>
        <w:tc>
          <w:tcPr>
            <w:tcW w:w="2914" w:type="dxa"/>
          </w:tcPr>
          <w:p>
            <w:pPr>
              <w:pStyle w:val="TableParagraph"/>
              <w:spacing w:line="252" w:lineRule="exact" w:before="42"/>
              <w:ind w:left="11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Deaths</w:t>
            </w:r>
          </w:p>
        </w:tc>
        <w:tc>
          <w:tcPr>
            <w:tcW w:w="1229" w:type="dxa"/>
          </w:tcPr>
          <w:p>
            <w:pPr>
              <w:pStyle w:val="TableParagraph"/>
              <w:spacing w:line="252" w:lineRule="exact" w:before="42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50,380</w:t>
            </w:r>
          </w:p>
        </w:tc>
        <w:tc>
          <w:tcPr>
            <w:tcW w:w="989" w:type="dxa"/>
          </w:tcPr>
          <w:p>
            <w:pPr>
              <w:pStyle w:val="TableParagraph"/>
              <w:spacing w:line="252" w:lineRule="exact" w:before="42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2,482</w:t>
            </w:r>
          </w:p>
        </w:tc>
        <w:tc>
          <w:tcPr>
            <w:tcW w:w="986" w:type="dxa"/>
          </w:tcPr>
          <w:p>
            <w:pPr>
              <w:pStyle w:val="TableParagraph"/>
              <w:spacing w:line="252" w:lineRule="exact" w:before="42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1,024</w:t>
            </w:r>
          </w:p>
        </w:tc>
        <w:tc>
          <w:tcPr>
            <w:tcW w:w="988" w:type="dxa"/>
          </w:tcPr>
          <w:p>
            <w:pPr>
              <w:pStyle w:val="TableParagraph"/>
              <w:spacing w:line="252" w:lineRule="exact" w:before="42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2,099</w:t>
            </w:r>
          </w:p>
        </w:tc>
        <w:tc>
          <w:tcPr>
            <w:tcW w:w="1101" w:type="dxa"/>
          </w:tcPr>
          <w:p>
            <w:pPr>
              <w:pStyle w:val="TableParagraph"/>
              <w:spacing w:line="252" w:lineRule="exact" w:before="42"/>
              <w:ind w:left="15" w:right="1"/>
              <w:rPr>
                <w:sz w:val="22"/>
              </w:rPr>
            </w:pPr>
            <w:r>
              <w:rPr>
                <w:spacing w:val="-5"/>
                <w:sz w:val="22"/>
              </w:rPr>
              <w:t>627</w:t>
            </w:r>
          </w:p>
        </w:tc>
        <w:tc>
          <w:tcPr>
            <w:tcW w:w="959" w:type="dxa"/>
          </w:tcPr>
          <w:p>
            <w:pPr>
              <w:pStyle w:val="TableParagraph"/>
              <w:spacing w:line="252" w:lineRule="exact" w:before="42"/>
              <w:ind w:lef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56,612</w:t>
            </w:r>
          </w:p>
        </w:tc>
      </w:tr>
      <w:tr>
        <w:trPr>
          <w:trHeight w:val="700" w:hRule="atLeast"/>
        </w:trPr>
        <w:tc>
          <w:tcPr>
            <w:tcW w:w="2914" w:type="dxa"/>
          </w:tcPr>
          <w:p>
            <w:pPr>
              <w:pStyle w:val="TableParagraph"/>
              <w:spacing w:line="270" w:lineRule="atLeast" w:before="140"/>
              <w:ind w:left="820" w:hanging="71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Unintentional/Undetermined</w:t>
            </w:r>
            <w:r>
              <w:rPr>
                <w:spacing w:val="-2"/>
                <w:sz w:val="22"/>
                <w:vertAlign w:val="superscript"/>
              </w:rPr>
              <w:t>1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Opioid Deaths</w:t>
            </w:r>
          </w:p>
        </w:tc>
        <w:tc>
          <w:tcPr>
            <w:tcW w:w="1229" w:type="dxa"/>
          </w:tcPr>
          <w:p>
            <w:pPr>
              <w:pStyle w:val="TableParagraph"/>
              <w:spacing w:before="16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1,194</w:t>
            </w:r>
          </w:p>
        </w:tc>
        <w:tc>
          <w:tcPr>
            <w:tcW w:w="989" w:type="dxa"/>
          </w:tcPr>
          <w:p>
            <w:pPr>
              <w:pStyle w:val="TableParagraph"/>
              <w:spacing w:before="16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  <w:tc>
          <w:tcPr>
            <w:tcW w:w="986" w:type="dxa"/>
          </w:tcPr>
          <w:p>
            <w:pPr>
              <w:pStyle w:val="TableParagraph"/>
              <w:spacing w:before="16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88" w:type="dxa"/>
          </w:tcPr>
          <w:p>
            <w:pPr>
              <w:pStyle w:val="TableParagraph"/>
              <w:spacing w:before="16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0"/>
              <w:rPr>
                <w:sz w:val="22"/>
              </w:rPr>
            </w:pPr>
            <w:r>
              <w:rPr>
                <w:spacing w:val="-5"/>
                <w:sz w:val="22"/>
              </w:rPr>
              <w:t>172</w:t>
            </w:r>
          </w:p>
        </w:tc>
        <w:tc>
          <w:tcPr>
            <w:tcW w:w="1101" w:type="dxa"/>
          </w:tcPr>
          <w:p>
            <w:pPr>
              <w:pStyle w:val="TableParagraph"/>
              <w:spacing w:before="16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5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959" w:type="dxa"/>
          </w:tcPr>
          <w:p>
            <w:pPr>
              <w:pStyle w:val="TableParagraph"/>
              <w:spacing w:before="16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6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1,465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3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579119</wp:posOffset>
            </wp:positionH>
            <wp:positionV relativeFrom="paragraph">
              <wp:posOffset>320839</wp:posOffset>
            </wp:positionV>
            <wp:extent cx="6644639" cy="420624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5"/>
        <w:rPr>
          <w:b/>
          <w:sz w:val="28"/>
        </w:rPr>
      </w:pPr>
    </w:p>
    <w:p>
      <w:pPr>
        <w:pStyle w:val="BodyText"/>
        <w:ind w:left="140" w:right="212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</w:t>
      </w:r>
      <w:r>
        <w:rPr>
          <w:spacing w:val="-2"/>
          <w:vertAlign w:val="baseline"/>
        </w:rPr>
        <w:t> </w:t>
      </w:r>
      <w:r>
        <w:rPr>
          <w:vertAlign w:val="baseline"/>
        </w:rPr>
        <w:t>poisoning/overdose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3"/>
          <w:vertAlign w:val="baseline"/>
        </w:rPr>
        <w:t> </w:t>
      </w:r>
      <w:r>
        <w:rPr>
          <w:vertAlign w:val="baseline"/>
        </w:rPr>
        <w:t>combine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 and</w:t>
      </w:r>
      <w:r>
        <w:rPr>
          <w:spacing w:val="-3"/>
          <w:vertAlign w:val="baseline"/>
        </w:rPr>
        <w:t> </w:t>
      </w:r>
      <w:r>
        <w:rPr>
          <w:vertAlign w:val="baseline"/>
        </w:rPr>
        <w:t>undetermined</w:t>
      </w:r>
      <w:r>
        <w:rPr>
          <w:spacing w:val="-3"/>
          <w:vertAlign w:val="baseline"/>
        </w:rPr>
        <w:t> </w:t>
      </w:r>
      <w:r>
        <w:rPr>
          <w:vertAlign w:val="baseline"/>
        </w:rPr>
        <w:t>intents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account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</w:t>
      </w:r>
      <w:r>
        <w:rPr>
          <w:spacing w:val="-3"/>
          <w:vertAlign w:val="baseline"/>
        </w:rPr>
        <w:t> </w:t>
      </w:r>
      <w:r>
        <w:rPr>
          <w:vertAlign w:val="baseline"/>
        </w:rPr>
        <w:t>coding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occurred in 2005. Suicides are excluded from this analysis.</w:t>
      </w:r>
    </w:p>
    <w:p>
      <w:pPr>
        <w:pStyle w:val="BodyText"/>
        <w:spacing w:before="8"/>
      </w:pPr>
    </w:p>
    <w:p>
      <w:pPr>
        <w:spacing w:before="1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BodyText"/>
        <w:rPr>
          <w:b/>
          <w:sz w:val="22"/>
        </w:rPr>
      </w:pPr>
    </w:p>
    <w:p>
      <w:pPr>
        <w:spacing w:line="276" w:lineRule="auto" w:before="0"/>
        <w:ind w:left="140" w:right="301" w:firstLine="0"/>
        <w:jc w:val="left"/>
        <w:rPr>
          <w:sz w:val="22"/>
        </w:rPr>
      </w:pPr>
      <w:r>
        <w:rPr>
          <w:sz w:val="22"/>
        </w:rPr>
        <w:t>2016 death data are preliminary and subject to updates. Case reviews of deaths are evaluated and updated on an ongoing</w:t>
      </w:r>
      <w:r>
        <w:rPr>
          <w:spacing w:val="-3"/>
          <w:sz w:val="22"/>
        </w:rPr>
        <w:t> </w:t>
      </w:r>
      <w:r>
        <w:rPr>
          <w:sz w:val="22"/>
        </w:rPr>
        <w:t>basis.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large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deaths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yet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assigned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-4"/>
          <w:sz w:val="22"/>
        </w:rPr>
        <w:t> </w:t>
      </w:r>
      <w:r>
        <w:rPr>
          <w:sz w:val="22"/>
        </w:rPr>
        <w:t>cause-of-death</w:t>
      </w:r>
      <w:r>
        <w:rPr>
          <w:spacing w:val="-3"/>
          <w:sz w:val="22"/>
        </w:rPr>
        <w:t> </w:t>
      </w:r>
      <w:r>
        <w:rPr>
          <w:sz w:val="22"/>
        </w:rPr>
        <w:t>codes.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presented in this report </w:t>
      </w:r>
      <w:r>
        <w:rPr>
          <w:sz w:val="22"/>
          <w:u w:val="single"/>
        </w:rPr>
        <w:t>only</w:t>
      </w:r>
      <w:r>
        <w:rPr>
          <w:sz w:val="22"/>
          <w:u w:val="none"/>
        </w:rPr>
        <w:t> includes confirmed cases. Data updated on 01/12/2017.</w:t>
      </w:r>
    </w:p>
    <w:p>
      <w:pPr>
        <w:spacing w:before="199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pgSz w:w="12240" w:h="15840"/>
      <w:pgMar w:header="0" w:footer="922" w:top="880" w:bottom="1120" w:left="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7220457</wp:posOffset>
              </wp:positionH>
              <wp:positionV relativeFrom="page">
                <wp:posOffset>9333306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539978pt;margin-top:734.906006pt;width:11.6pt;height:11pt;mso-position-horizontal-relative:page;mso-position-vertical-relative:page;z-index:-15880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9" w:right="416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2024-12-31T15:58:04Z</dcterms:created>
  <dcterms:modified xsi:type="dcterms:W3CDTF">2024-12-31T15:58:04Z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