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469900</wp:posOffset>
                </wp:positionH>
                <wp:positionV relativeFrom="page">
                  <wp:posOffset>612520</wp:posOffset>
                </wp:positionV>
                <wp:extent cx="7023100" cy="15290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23100" cy="1529080"/>
                          <a:chExt cx="7023100" cy="1529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6030"/>
                            <a:ext cx="7010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266700">
                                <a:moveTo>
                                  <a:pt x="0" y="266700"/>
                                </a:moveTo>
                                <a:lnTo>
                                  <a:pt x="7010400" y="266700"/>
                                </a:lnTo>
                                <a:lnTo>
                                  <a:pt x="701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704" y="182046"/>
                            <a:ext cx="970020" cy="998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421248" y="1359408"/>
                            <a:ext cx="1271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736" y="1359408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7010400" cy="12490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277"/>
                                <w:ind w:left="2005" w:right="152" w:hanging="4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Data Brief:</w:t>
                              </w:r>
                              <w:r>
                                <w:rPr>
                                  <w:b/>
                                  <w:color w:val="1F487C"/>
                                  <w:spacing w:val="40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Confirmed Unintentional/Undetermined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 Opioid-related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1F487C"/>
                                  <w:spacing w:val="-10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Among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Massachusetts Residents – Demographic Data Highlights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pt;margin-top:48.23pt;width:553pt;height:120.4pt;mso-position-horizontal-relative:page;mso-position-vertical-relative:page;z-index:15729152" id="docshapegroup2" coordorigin="740,965" coordsize="11060,2408">
                <v:rect style="position:absolute;left:750;top:2942;width:11040;height:420" id="docshape3" filled="false" stroked="true" strokeweight="1pt" strokecolor="#000000">
                  <v:stroke dashstyle="solid"/>
                </v:rect>
                <v:shape style="position:absolute;left:947;top:1251;width:1528;height:1573" type="#_x0000_t75" id="docshape4" alt="DPH-logo-B&amp;W" stroked="false">
                  <v:imagedata r:id="rId6" o:title=""/>
                </v:shape>
                <v:shape style="position:absolute;left:9277;top:3105;width:2003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NOVEMBER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813;top:3105;width:323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750;top:974;width:11040;height:1967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37" w:lineRule="auto" w:before="277"/>
                          <w:ind w:left="2005" w:right="152" w:hanging="4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Data Brief:</w:t>
                        </w:r>
                        <w:r>
                          <w:rPr>
                            <w:b/>
                            <w:color w:val="1F487C"/>
                            <w:spacing w:val="40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Confirmed Unintentional/Undetermined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 Opioid-related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color w:val="1F487C"/>
                            <w:spacing w:val="-10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Among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Massachusetts Residents – Demographic Data Highlights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09"/>
        <w:rPr>
          <w:rFonts w:ascii="Times New Roman"/>
          <w:sz w:val="22"/>
        </w:rPr>
      </w:pPr>
    </w:p>
    <w:p>
      <w:pPr>
        <w:spacing w:before="0"/>
        <w:ind w:left="440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brief</w:t>
      </w:r>
      <w:r>
        <w:rPr>
          <w:spacing w:val="-7"/>
          <w:sz w:val="22"/>
        </w:rPr>
        <w:t> </w:t>
      </w:r>
      <w:r>
        <w:rPr>
          <w:sz w:val="22"/>
        </w:rPr>
        <w:t>highlights</w:t>
      </w:r>
      <w:r>
        <w:rPr>
          <w:spacing w:val="-3"/>
          <w:sz w:val="22"/>
        </w:rPr>
        <w:t> </w:t>
      </w:r>
      <w:r>
        <w:rPr>
          <w:sz w:val="22"/>
        </w:rPr>
        <w:t>demographic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confirmed</w:t>
      </w:r>
      <w:r>
        <w:rPr>
          <w:spacing w:val="-7"/>
          <w:sz w:val="22"/>
        </w:rPr>
        <w:t> </w:t>
      </w:r>
      <w:r>
        <w:rPr>
          <w:sz w:val="22"/>
        </w:rPr>
        <w:t>overdose</w:t>
      </w:r>
      <w:r>
        <w:rPr>
          <w:spacing w:val="-4"/>
          <w:sz w:val="22"/>
        </w:rPr>
        <w:t> </w:t>
      </w:r>
      <w:r>
        <w:rPr>
          <w:sz w:val="22"/>
        </w:rPr>
        <w:t>deaths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January</w:t>
      </w:r>
      <w:r>
        <w:rPr>
          <w:spacing w:val="-3"/>
          <w:sz w:val="22"/>
        </w:rPr>
        <w:t> </w:t>
      </w:r>
      <w:r>
        <w:rPr>
          <w:sz w:val="22"/>
        </w:rPr>
        <w:t>2016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September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2016.</w:t>
      </w:r>
    </w:p>
    <w:p>
      <w:pPr>
        <w:pStyle w:val="BodyText"/>
        <w:spacing w:before="196"/>
        <w:rPr>
          <w:sz w:val="22"/>
        </w:rPr>
      </w:pPr>
    </w:p>
    <w:p>
      <w:pPr>
        <w:pStyle w:val="Heading1"/>
        <w:ind w:left="3760" w:hanging="2636"/>
      </w:pPr>
      <w:r>
        <w:rPr/>
        <w:t>Confirmed</w:t>
      </w:r>
      <w:r>
        <w:rPr>
          <w:spacing w:val="-6"/>
        </w:rPr>
        <w:t> </w:t>
      </w:r>
      <w:r>
        <w:rPr/>
        <w:t>Unintentional/Undetermined</w:t>
      </w:r>
      <w:r>
        <w:rPr>
          <w:vertAlign w:val="superscript"/>
        </w:rPr>
        <w:t>1</w:t>
      </w:r>
      <w:r>
        <w:rPr>
          <w:spacing w:val="-10"/>
          <w:vertAlign w:val="baseline"/>
        </w:rPr>
        <w:t> </w:t>
      </w:r>
      <w:r>
        <w:rPr>
          <w:vertAlign w:val="baseline"/>
        </w:rPr>
        <w:t>Opioid-related</w:t>
      </w:r>
      <w:r>
        <w:rPr>
          <w:spacing w:val="-8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7"/>
          <w:vertAlign w:val="baseline"/>
        </w:rPr>
        <w:t> </w:t>
      </w:r>
      <w:r>
        <w:rPr>
          <w:vertAlign w:val="baseline"/>
        </w:rPr>
        <w:t>by</w:t>
      </w:r>
      <w:r>
        <w:rPr>
          <w:spacing w:val="-8"/>
          <w:vertAlign w:val="baseline"/>
        </w:rPr>
        <w:t> </w:t>
      </w:r>
      <w:r>
        <w:rPr>
          <w:vertAlign w:val="baseline"/>
        </w:rPr>
        <w:t>Gender: January 2016-September 2016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2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4491"/>
      </w:tblGrid>
      <w:tr>
        <w:trPr>
          <w:trHeight w:val="817" w:hRule="atLeast"/>
        </w:trPr>
        <w:tc>
          <w:tcPr>
            <w:tcW w:w="6157" w:type="dxa"/>
            <w:gridSpan w:val="2"/>
          </w:tcPr>
          <w:p>
            <w:pPr>
              <w:pStyle w:val="TableParagraph"/>
              <w:spacing w:before="1"/>
              <w:ind w:left="1565" w:right="285" w:hanging="1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Unintentional/Undetermined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Opioid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Deaths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Gender: January 2016-September 2016</w:t>
            </w:r>
          </w:p>
        </w:tc>
      </w:tr>
      <w:tr>
        <w:trPr>
          <w:trHeight w:val="314" w:hRule="atLeast"/>
        </w:trPr>
        <w:tc>
          <w:tcPr>
            <w:tcW w:w="1666" w:type="dxa"/>
          </w:tcPr>
          <w:p>
            <w:pPr>
              <w:pStyle w:val="TableParagraph"/>
              <w:spacing w:before="18"/>
              <w:ind w:left="11" w:right="2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18"/>
              <w:ind w:left="10" w:right="1"/>
              <w:rPr>
                <w:sz w:val="22"/>
              </w:rPr>
            </w:pPr>
            <w:r>
              <w:rPr>
                <w:spacing w:val="-5"/>
                <w:sz w:val="22"/>
              </w:rPr>
              <w:t>751</w:t>
            </w:r>
          </w:p>
        </w:tc>
      </w:tr>
      <w:tr>
        <w:trPr>
          <w:trHeight w:val="313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left="11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ind w:left="10" w:right="1"/>
              <w:rPr>
                <w:sz w:val="22"/>
              </w:rPr>
            </w:pPr>
            <w:r>
              <w:rPr>
                <w:spacing w:val="-5"/>
                <w:sz w:val="22"/>
              </w:rPr>
              <w:t>254</w:t>
            </w:r>
          </w:p>
        </w:tc>
      </w:tr>
      <w:tr>
        <w:trPr>
          <w:trHeight w:val="316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left="11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1,005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8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501015</wp:posOffset>
            </wp:positionH>
            <wp:positionV relativeFrom="paragraph">
              <wp:posOffset>194903</wp:posOffset>
            </wp:positionV>
            <wp:extent cx="6404905" cy="2987040"/>
            <wp:effectExtent l="0" t="0" r="0" b="0"/>
            <wp:wrapTopAndBottom/>
            <wp:docPr id="8" name="Image 8" descr="U:\REPI\death\Opioid\Quarterly Report\2016_Q3\2016_Q3_Gender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U:\REPI\death\Opioid\Quarterly Report\2016_Q3\2016_Q3_Gen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905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9"/>
        <w:rPr>
          <w:b/>
          <w:sz w:val="28"/>
        </w:rPr>
      </w:pPr>
    </w:p>
    <w:p>
      <w:pPr>
        <w:pStyle w:val="BodyText"/>
        <w:ind w:left="440" w:right="531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</w:t>
      </w:r>
      <w:r>
        <w:rPr>
          <w:spacing w:val="-2"/>
          <w:vertAlign w:val="baseline"/>
        </w:rPr>
        <w:t> </w:t>
      </w:r>
      <w:r>
        <w:rPr>
          <w:vertAlign w:val="baseline"/>
        </w:rPr>
        <w:t>poisoning/overdose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3"/>
          <w:vertAlign w:val="baseline"/>
        </w:rPr>
        <w:t> </w:t>
      </w:r>
      <w:r>
        <w:rPr>
          <w:vertAlign w:val="baseline"/>
        </w:rPr>
        <w:t>combine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 and</w:t>
      </w:r>
      <w:r>
        <w:rPr>
          <w:spacing w:val="-3"/>
          <w:vertAlign w:val="baseline"/>
        </w:rPr>
        <w:t> </w:t>
      </w:r>
      <w:r>
        <w:rPr>
          <w:vertAlign w:val="baseline"/>
        </w:rPr>
        <w:t>undetermined</w:t>
      </w:r>
      <w:r>
        <w:rPr>
          <w:spacing w:val="-3"/>
          <w:vertAlign w:val="baseline"/>
        </w:rPr>
        <w:t> </w:t>
      </w:r>
      <w:r>
        <w:rPr>
          <w:vertAlign w:val="baseline"/>
        </w:rPr>
        <w:t>intents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account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</w:t>
      </w:r>
      <w:r>
        <w:rPr>
          <w:spacing w:val="-3"/>
          <w:vertAlign w:val="baseline"/>
        </w:rPr>
        <w:t> </w:t>
      </w:r>
      <w:r>
        <w:rPr>
          <w:vertAlign w:val="baseline"/>
        </w:rPr>
        <w:t>coding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that occurred in 2005. Suicides are excluded from this analysis.</w:t>
      </w:r>
    </w:p>
    <w:p>
      <w:pPr>
        <w:pStyle w:val="BodyText"/>
        <w:spacing w:line="219" w:lineRule="exact"/>
        <w:ind w:left="440"/>
      </w:pPr>
      <w:r>
        <w:rPr>
          <w:vertAlign w:val="superscript"/>
        </w:rPr>
        <w:t>2</w:t>
      </w:r>
      <w:r>
        <w:rPr>
          <w:spacing w:val="-18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4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4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3"/>
          <w:vertAlign w:val="baseline"/>
        </w:rPr>
        <w:t> </w:t>
      </w:r>
      <w:r>
        <w:rPr>
          <w:vertAlign w:val="baseline"/>
        </w:rPr>
        <w:t>opioid-based</w:t>
      </w:r>
      <w:r>
        <w:rPr>
          <w:spacing w:val="-4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4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other</w:t>
      </w:r>
      <w:r>
        <w:rPr>
          <w:spacing w:val="-3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spacing w:after="0" w:line="219" w:lineRule="exact"/>
        <w:sectPr>
          <w:footerReference w:type="default" r:id="rId5"/>
          <w:type w:val="continuous"/>
          <w:pgSz w:w="12240" w:h="15840"/>
          <w:pgMar w:header="0" w:footer="922" w:top="960" w:bottom="1120" w:left="280" w:right="660"/>
          <w:pgNumType w:start="1"/>
        </w:sectPr>
      </w:pPr>
    </w:p>
    <w:p>
      <w:pPr>
        <w:pStyle w:val="Heading1"/>
        <w:spacing w:before="79"/>
        <w:ind w:hanging="2914"/>
      </w:pPr>
      <w:r>
        <w:rPr/>
        <w:t>Confirmed</w:t>
      </w:r>
      <w:r>
        <w:rPr>
          <w:spacing w:val="-4"/>
        </w:rPr>
        <w:t> </w:t>
      </w:r>
      <w:r>
        <w:rPr/>
        <w:t>Unintentional/Undetermined</w:t>
      </w:r>
      <w:r>
        <w:rPr>
          <w:vertAlign w:val="superscript"/>
        </w:rPr>
        <w:t>1</w:t>
      </w:r>
      <w:r>
        <w:rPr>
          <w:spacing w:val="-8"/>
          <w:vertAlign w:val="baseline"/>
        </w:rPr>
        <w:t> </w:t>
      </w:r>
      <w:r>
        <w:rPr>
          <w:vertAlign w:val="baseline"/>
        </w:rPr>
        <w:t>Opioid-related</w:t>
      </w:r>
      <w:r>
        <w:rPr>
          <w:spacing w:val="-6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5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 by Age: January 2016-September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7"/>
        <w:rPr>
          <w:b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6"/>
        <w:gridCol w:w="812"/>
        <w:gridCol w:w="809"/>
        <w:gridCol w:w="811"/>
        <w:gridCol w:w="809"/>
        <w:gridCol w:w="901"/>
        <w:gridCol w:w="901"/>
        <w:gridCol w:w="812"/>
        <w:gridCol w:w="1081"/>
        <w:gridCol w:w="915"/>
      </w:tblGrid>
      <w:tr>
        <w:trPr>
          <w:trHeight w:val="299" w:hRule="atLeast"/>
        </w:trPr>
        <w:tc>
          <w:tcPr>
            <w:tcW w:w="298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51" w:type="dxa"/>
            <w:gridSpan w:val="9"/>
          </w:tcPr>
          <w:p>
            <w:pPr>
              <w:pStyle w:val="TableParagraph"/>
              <w:spacing w:line="273" w:lineRule="exact" w:before="6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Deaths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Age: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January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2016-September </w:t>
            </w:r>
            <w:r>
              <w:rPr>
                <w:b/>
                <w:spacing w:val="-4"/>
                <w:sz w:val="24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2986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1"/>
              <w:ind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6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15-</w:t>
            </w:r>
            <w:r>
              <w:rPr>
                <w:b/>
                <w:spacing w:val="-7"/>
                <w:sz w:val="20"/>
              </w:rPr>
              <w:t>24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25-</w:t>
            </w:r>
            <w:r>
              <w:rPr>
                <w:b/>
                <w:spacing w:val="-7"/>
                <w:sz w:val="20"/>
              </w:rPr>
              <w:t>34</w:t>
            </w:r>
          </w:p>
        </w:tc>
        <w:tc>
          <w:tcPr>
            <w:tcW w:w="809" w:type="dxa"/>
          </w:tcPr>
          <w:p>
            <w:pPr>
              <w:pStyle w:val="TableParagraph"/>
              <w:spacing w:before="1"/>
              <w:ind w:left="6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35-</w:t>
            </w:r>
            <w:r>
              <w:rPr>
                <w:b/>
                <w:spacing w:val="-7"/>
                <w:sz w:val="20"/>
              </w:rPr>
              <w:t>44</w:t>
            </w:r>
          </w:p>
        </w:tc>
        <w:tc>
          <w:tcPr>
            <w:tcW w:w="901" w:type="dxa"/>
          </w:tcPr>
          <w:p>
            <w:pPr>
              <w:pStyle w:val="TableParagraph"/>
              <w:spacing w:before="1"/>
              <w:ind w:left="6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45-</w:t>
            </w:r>
            <w:r>
              <w:rPr>
                <w:b/>
                <w:spacing w:val="-7"/>
                <w:sz w:val="20"/>
              </w:rPr>
              <w:t>54</w:t>
            </w:r>
          </w:p>
        </w:tc>
        <w:tc>
          <w:tcPr>
            <w:tcW w:w="901" w:type="dxa"/>
          </w:tcPr>
          <w:p>
            <w:pPr>
              <w:pStyle w:val="TableParagraph"/>
              <w:spacing w:before="1"/>
              <w:ind w:left="6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55-</w:t>
            </w:r>
            <w:r>
              <w:rPr>
                <w:b/>
                <w:spacing w:val="-7"/>
                <w:sz w:val="20"/>
              </w:rPr>
              <w:t>64</w:t>
            </w:r>
          </w:p>
        </w:tc>
        <w:tc>
          <w:tcPr>
            <w:tcW w:w="812" w:type="dxa"/>
          </w:tcPr>
          <w:p>
            <w:pPr>
              <w:pStyle w:val="TableParagraph"/>
              <w:spacing w:before="1"/>
              <w:ind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65+</w:t>
            </w:r>
          </w:p>
        </w:tc>
        <w:tc>
          <w:tcPr>
            <w:tcW w:w="1081" w:type="dxa"/>
          </w:tcPr>
          <w:p>
            <w:pPr>
              <w:pStyle w:val="TableParagraph"/>
              <w:spacing w:before="1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2986" w:type="dxa"/>
          </w:tcPr>
          <w:p>
            <w:pPr>
              <w:pStyle w:val="TableParagraph"/>
              <w:spacing w:before="25"/>
              <w:ind w:left="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Deaths</w:t>
            </w:r>
          </w:p>
        </w:tc>
        <w:tc>
          <w:tcPr>
            <w:tcW w:w="812" w:type="dxa"/>
          </w:tcPr>
          <w:p>
            <w:pPr>
              <w:pStyle w:val="TableParagraph"/>
              <w:spacing w:line="225" w:lineRule="exact" w:before="54"/>
              <w:ind w:left="5" w:right="1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809" w:type="dxa"/>
          </w:tcPr>
          <w:p>
            <w:pPr>
              <w:pStyle w:val="TableParagraph"/>
              <w:spacing w:line="225" w:lineRule="exact" w:before="54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811" w:type="dxa"/>
          </w:tcPr>
          <w:p>
            <w:pPr>
              <w:pStyle w:val="TableParagraph"/>
              <w:spacing w:line="225" w:lineRule="exact" w:before="54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809" w:type="dxa"/>
          </w:tcPr>
          <w:p>
            <w:pPr>
              <w:pStyle w:val="TableParagraph"/>
              <w:spacing w:line="225" w:lineRule="exact" w:before="54"/>
              <w:ind w:left="6" w:right="2"/>
              <w:rPr>
                <w:sz w:val="20"/>
              </w:rPr>
            </w:pPr>
            <w:r>
              <w:rPr>
                <w:spacing w:val="-2"/>
                <w:sz w:val="20"/>
              </w:rPr>
              <w:t>1,036</w:t>
            </w:r>
          </w:p>
        </w:tc>
        <w:tc>
          <w:tcPr>
            <w:tcW w:w="901" w:type="dxa"/>
          </w:tcPr>
          <w:p>
            <w:pPr>
              <w:pStyle w:val="TableParagraph"/>
              <w:spacing w:line="225" w:lineRule="exact" w:before="54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2,279</w:t>
            </w:r>
          </w:p>
        </w:tc>
        <w:tc>
          <w:tcPr>
            <w:tcW w:w="901" w:type="dxa"/>
          </w:tcPr>
          <w:p>
            <w:pPr>
              <w:pStyle w:val="TableParagraph"/>
              <w:spacing w:line="225" w:lineRule="exact" w:before="54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4,431</w:t>
            </w:r>
          </w:p>
        </w:tc>
        <w:tc>
          <w:tcPr>
            <w:tcW w:w="812" w:type="dxa"/>
          </w:tcPr>
          <w:p>
            <w:pPr>
              <w:pStyle w:val="TableParagraph"/>
              <w:spacing w:line="225" w:lineRule="exact" w:before="54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31,855</w:t>
            </w:r>
          </w:p>
        </w:tc>
        <w:tc>
          <w:tcPr>
            <w:tcW w:w="1081" w:type="dxa"/>
          </w:tcPr>
          <w:p>
            <w:pPr>
              <w:pStyle w:val="TableParagraph"/>
              <w:spacing w:line="225" w:lineRule="exact" w:before="5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15" w:type="dxa"/>
          </w:tcPr>
          <w:p>
            <w:pPr>
              <w:pStyle w:val="TableParagraph"/>
              <w:spacing w:line="225" w:lineRule="exact" w:before="54"/>
              <w:ind w:left="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41,088</w:t>
            </w:r>
          </w:p>
        </w:tc>
      </w:tr>
      <w:tr>
        <w:trPr>
          <w:trHeight w:val="489" w:hRule="atLeast"/>
        </w:trPr>
        <w:tc>
          <w:tcPr>
            <w:tcW w:w="2986" w:type="dxa"/>
          </w:tcPr>
          <w:p>
            <w:pPr>
              <w:pStyle w:val="TableParagraph"/>
              <w:spacing w:line="243" w:lineRule="exact"/>
              <w:ind w:left="8" w:right="2"/>
              <w:rPr>
                <w:sz w:val="20"/>
              </w:rPr>
            </w:pPr>
            <w:r>
              <w:rPr>
                <w:spacing w:val="-2"/>
                <w:sz w:val="20"/>
              </w:rPr>
              <w:t>Confirmed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Unintentional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10"/>
                <w:sz w:val="20"/>
              </w:rPr>
              <w:t>/</w:t>
            </w:r>
          </w:p>
          <w:p>
            <w:pPr>
              <w:pStyle w:val="TableParagraph"/>
              <w:spacing w:line="225" w:lineRule="exact"/>
              <w:ind w:left="8" w:right="4"/>
              <w:rPr>
                <w:sz w:val="20"/>
              </w:rPr>
            </w:pPr>
            <w:r>
              <w:rPr>
                <w:spacing w:val="-2"/>
                <w:sz w:val="20"/>
              </w:rPr>
              <w:t>Undetermined</w:t>
            </w:r>
            <w:r>
              <w:rPr>
                <w:spacing w:val="-2"/>
                <w:sz w:val="20"/>
                <w:vertAlign w:val="superscript"/>
              </w:rPr>
              <w:t>1</w:t>
            </w:r>
            <w:r>
              <w:rPr>
                <w:spacing w:val="6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Opioid</w:t>
            </w:r>
            <w:r>
              <w:rPr>
                <w:spacing w:val="8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Deaths</w:t>
            </w:r>
          </w:p>
        </w:tc>
        <w:tc>
          <w:tcPr>
            <w:tcW w:w="812" w:type="dxa"/>
          </w:tcPr>
          <w:p>
            <w:pPr>
              <w:pStyle w:val="TableParagraph"/>
              <w:spacing w:line="225" w:lineRule="exact" w:before="243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9" w:type="dxa"/>
          </w:tcPr>
          <w:p>
            <w:pPr>
              <w:pStyle w:val="TableParagraph"/>
              <w:spacing w:line="225" w:lineRule="exact" w:before="24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811" w:type="dxa"/>
          </w:tcPr>
          <w:p>
            <w:pPr>
              <w:pStyle w:val="TableParagraph"/>
              <w:spacing w:line="225" w:lineRule="exact" w:before="243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809" w:type="dxa"/>
          </w:tcPr>
          <w:p>
            <w:pPr>
              <w:pStyle w:val="TableParagraph"/>
              <w:spacing w:line="225" w:lineRule="exact" w:before="24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901" w:type="dxa"/>
          </w:tcPr>
          <w:p>
            <w:pPr>
              <w:pStyle w:val="TableParagraph"/>
              <w:spacing w:line="225" w:lineRule="exact" w:before="243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901" w:type="dxa"/>
          </w:tcPr>
          <w:p>
            <w:pPr>
              <w:pStyle w:val="TableParagraph"/>
              <w:spacing w:line="225" w:lineRule="exact" w:before="243"/>
              <w:ind w:left="6" w:right="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812" w:type="dxa"/>
          </w:tcPr>
          <w:p>
            <w:pPr>
              <w:pStyle w:val="TableParagraph"/>
              <w:spacing w:line="225" w:lineRule="exact" w:before="243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81" w:type="dxa"/>
          </w:tcPr>
          <w:p>
            <w:pPr>
              <w:pStyle w:val="TableParagraph"/>
              <w:spacing w:line="225" w:lineRule="exact" w:before="24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15" w:type="dxa"/>
          </w:tcPr>
          <w:p>
            <w:pPr>
              <w:pStyle w:val="TableParagraph"/>
              <w:spacing w:line="225" w:lineRule="exact" w:before="243"/>
              <w:ind w:left="0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1,005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36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579119</wp:posOffset>
            </wp:positionH>
            <wp:positionV relativeFrom="paragraph">
              <wp:posOffset>320408</wp:posOffset>
            </wp:positionV>
            <wp:extent cx="6702774" cy="4206240"/>
            <wp:effectExtent l="0" t="0" r="0" b="0"/>
            <wp:wrapTopAndBottom/>
            <wp:docPr id="9" name="Image 9" descr="U:\REPI\death\Opioid\Quarterly Report\2016_Q3\2016_Q3_Age.jpe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U:\REPI\death\Opioid\Quarterly Report\2016_Q3\2016_Q3_Ag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2774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6"/>
        <w:ind w:right="249"/>
        <w:jc w:val="center"/>
      </w:pPr>
      <w:r>
        <w:rPr/>
        <w:t>Note: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rounding,</w:t>
      </w:r>
      <w:r>
        <w:rPr>
          <w:spacing w:val="-1"/>
        </w:rPr>
        <w:t> </w:t>
      </w:r>
      <w:r>
        <w:rPr/>
        <w:t>percentages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“All</w:t>
      </w:r>
      <w:r>
        <w:rPr>
          <w:spacing w:val="-2"/>
        </w:rPr>
        <w:t> </w:t>
      </w:r>
      <w:r>
        <w:rPr/>
        <w:t>Deaths”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add up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100%.</w:t>
      </w:r>
    </w:p>
    <w:p>
      <w:pPr>
        <w:pStyle w:val="BodyText"/>
        <w:spacing w:before="197"/>
      </w:pPr>
    </w:p>
    <w:p>
      <w:pPr>
        <w:pStyle w:val="BodyText"/>
        <w:ind w:left="440" w:right="531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</w:t>
      </w:r>
      <w:r>
        <w:rPr>
          <w:spacing w:val="-2"/>
          <w:vertAlign w:val="baseline"/>
        </w:rPr>
        <w:t> </w:t>
      </w:r>
      <w:r>
        <w:rPr>
          <w:vertAlign w:val="baseline"/>
        </w:rPr>
        <w:t>poisoning/overdose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3"/>
          <w:vertAlign w:val="baseline"/>
        </w:rPr>
        <w:t> </w:t>
      </w:r>
      <w:r>
        <w:rPr>
          <w:vertAlign w:val="baseline"/>
        </w:rPr>
        <w:t>combine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 and</w:t>
      </w:r>
      <w:r>
        <w:rPr>
          <w:spacing w:val="-3"/>
          <w:vertAlign w:val="baseline"/>
        </w:rPr>
        <w:t> </w:t>
      </w:r>
      <w:r>
        <w:rPr>
          <w:vertAlign w:val="baseline"/>
        </w:rPr>
        <w:t>undetermined</w:t>
      </w:r>
      <w:r>
        <w:rPr>
          <w:spacing w:val="-3"/>
          <w:vertAlign w:val="baseline"/>
        </w:rPr>
        <w:t> </w:t>
      </w:r>
      <w:r>
        <w:rPr>
          <w:vertAlign w:val="baseline"/>
        </w:rPr>
        <w:t>intents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account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</w:t>
      </w:r>
      <w:r>
        <w:rPr>
          <w:spacing w:val="-3"/>
          <w:vertAlign w:val="baseline"/>
        </w:rPr>
        <w:t> </w:t>
      </w:r>
      <w:r>
        <w:rPr>
          <w:vertAlign w:val="baseline"/>
        </w:rPr>
        <w:t>coding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that occurred in 2005. Suicides are excluded from this analysis.</w:t>
      </w:r>
    </w:p>
    <w:p>
      <w:pPr>
        <w:spacing w:after="0"/>
        <w:sectPr>
          <w:pgSz w:w="12240" w:h="15840"/>
          <w:pgMar w:header="0" w:footer="922" w:top="1440" w:bottom="1120" w:left="280" w:right="660"/>
        </w:sectPr>
      </w:pPr>
    </w:p>
    <w:p>
      <w:pPr>
        <w:pStyle w:val="Heading1"/>
        <w:spacing w:before="70"/>
        <w:ind w:left="3510"/>
      </w:pPr>
      <w:r>
        <w:rPr/>
        <w:t>Confirmed</w:t>
      </w:r>
      <w:r>
        <w:rPr>
          <w:spacing w:val="-7"/>
        </w:rPr>
        <w:t> </w:t>
      </w:r>
      <w:r>
        <w:rPr/>
        <w:t>Unintentional/Undetermined</w:t>
      </w:r>
      <w:r>
        <w:rPr>
          <w:vertAlign w:val="superscript"/>
        </w:rPr>
        <w:t>1</w:t>
      </w:r>
      <w:r>
        <w:rPr>
          <w:spacing w:val="-25"/>
          <w:vertAlign w:val="baseline"/>
        </w:rPr>
        <w:t> </w:t>
      </w:r>
      <w:r>
        <w:rPr>
          <w:vertAlign w:val="baseline"/>
        </w:rPr>
        <w:t>Opioid-related</w:t>
      </w:r>
      <w:r>
        <w:rPr>
          <w:spacing w:val="-5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5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 by Race: January 2016-September 2016</w:t>
      </w:r>
    </w:p>
    <w:p>
      <w:pPr>
        <w:pStyle w:val="BodyText"/>
        <w:spacing w:before="97" w:after="1"/>
        <w:rPr>
          <w:b/>
          <w:sz w:val="20"/>
        </w:rPr>
      </w:pPr>
    </w:p>
    <w:tbl>
      <w:tblPr>
        <w:tblW w:w="0" w:type="auto"/>
        <w:jc w:val="left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5"/>
        <w:gridCol w:w="1229"/>
        <w:gridCol w:w="987"/>
        <w:gridCol w:w="990"/>
        <w:gridCol w:w="990"/>
        <w:gridCol w:w="1103"/>
        <w:gridCol w:w="961"/>
      </w:tblGrid>
      <w:tr>
        <w:trPr>
          <w:trHeight w:val="805" w:hRule="atLeast"/>
        </w:trPr>
        <w:tc>
          <w:tcPr>
            <w:tcW w:w="29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402" w:right="324" w:hanging="7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White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22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7" w:type="dxa"/>
          </w:tcPr>
          <w:p>
            <w:pPr>
              <w:pStyle w:val="TableParagraph"/>
              <w:ind w:left="251" w:right="2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Black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10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90" w:type="dxa"/>
          </w:tcPr>
          <w:p>
            <w:pPr>
              <w:pStyle w:val="TableParagraph"/>
              <w:ind w:left="240" w:right="2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Asian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90" w:type="dxa"/>
          </w:tcPr>
          <w:p>
            <w:pPr>
              <w:pStyle w:val="TableParagraph"/>
              <w:spacing w:before="26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1103" w:type="dxa"/>
          </w:tcPr>
          <w:p>
            <w:pPr>
              <w:pStyle w:val="TableParagraph"/>
              <w:spacing w:line="270" w:lineRule="atLeast" w:before="246"/>
              <w:ind w:left="104" w:right="97" w:firstLine="12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Other/ Unknown</w:t>
            </w:r>
          </w:p>
        </w:tc>
        <w:tc>
          <w:tcPr>
            <w:tcW w:w="961" w:type="dxa"/>
          </w:tcPr>
          <w:p>
            <w:pPr>
              <w:pStyle w:val="TableParagraph"/>
              <w:spacing w:before="26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13" w:hRule="atLeast"/>
        </w:trPr>
        <w:tc>
          <w:tcPr>
            <w:tcW w:w="2915" w:type="dxa"/>
          </w:tcPr>
          <w:p>
            <w:pPr>
              <w:pStyle w:val="TableParagraph"/>
              <w:spacing w:line="252" w:lineRule="exact" w:before="42"/>
              <w:ind w:left="11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Deaths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0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36,634</w:t>
            </w:r>
          </w:p>
        </w:tc>
        <w:tc>
          <w:tcPr>
            <w:tcW w:w="987" w:type="dxa"/>
          </w:tcPr>
          <w:p>
            <w:pPr>
              <w:pStyle w:val="TableParagraph"/>
              <w:spacing w:before="20"/>
              <w:ind w:left="10" w:right="2"/>
              <w:rPr>
                <w:sz w:val="22"/>
              </w:rPr>
            </w:pPr>
            <w:r>
              <w:rPr>
                <w:spacing w:val="-2"/>
                <w:sz w:val="22"/>
              </w:rPr>
              <w:t>1,785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left="5"/>
              <w:rPr>
                <w:sz w:val="22"/>
              </w:rPr>
            </w:pPr>
            <w:r>
              <w:rPr>
                <w:spacing w:val="-5"/>
                <w:sz w:val="22"/>
              </w:rPr>
              <w:t>719</w:t>
            </w:r>
          </w:p>
        </w:tc>
        <w:tc>
          <w:tcPr>
            <w:tcW w:w="990" w:type="dxa"/>
          </w:tcPr>
          <w:p>
            <w:pPr>
              <w:pStyle w:val="TableParagraph"/>
              <w:spacing w:before="20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1,511</w:t>
            </w:r>
          </w:p>
        </w:tc>
        <w:tc>
          <w:tcPr>
            <w:tcW w:w="1103" w:type="dxa"/>
          </w:tcPr>
          <w:p>
            <w:pPr>
              <w:pStyle w:val="TableParagraph"/>
              <w:spacing w:before="20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439</w:t>
            </w:r>
          </w:p>
        </w:tc>
        <w:tc>
          <w:tcPr>
            <w:tcW w:w="961" w:type="dxa"/>
          </w:tcPr>
          <w:p>
            <w:pPr>
              <w:pStyle w:val="TableParagraph"/>
              <w:spacing w:before="20"/>
              <w:ind w:lef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41,088</w:t>
            </w:r>
          </w:p>
        </w:tc>
      </w:tr>
      <w:tr>
        <w:trPr>
          <w:trHeight w:val="700" w:hRule="atLeast"/>
        </w:trPr>
        <w:tc>
          <w:tcPr>
            <w:tcW w:w="2915" w:type="dxa"/>
          </w:tcPr>
          <w:p>
            <w:pPr>
              <w:pStyle w:val="TableParagraph"/>
              <w:spacing w:line="270" w:lineRule="atLeast" w:before="140"/>
              <w:ind w:left="821" w:right="96" w:hanging="71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Unintentional/Undetermined</w:t>
            </w:r>
            <w:r>
              <w:rPr>
                <w:spacing w:val="-2"/>
                <w:sz w:val="22"/>
                <w:vertAlign w:val="superscript"/>
              </w:rPr>
              <w:t>1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Opioid Deaths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12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826</w:t>
            </w:r>
          </w:p>
        </w:tc>
        <w:tc>
          <w:tcPr>
            <w:tcW w:w="987" w:type="dxa"/>
          </w:tcPr>
          <w:p>
            <w:pPr>
              <w:pStyle w:val="TableParagraph"/>
              <w:spacing w:before="212"/>
              <w:ind w:left="10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990" w:type="dxa"/>
          </w:tcPr>
          <w:p>
            <w:pPr>
              <w:pStyle w:val="TableParagraph"/>
              <w:spacing w:before="212"/>
              <w:ind w:left="240" w:right="2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990" w:type="dxa"/>
          </w:tcPr>
          <w:p>
            <w:pPr>
              <w:pStyle w:val="TableParagraph"/>
              <w:spacing w:before="212"/>
              <w:ind w:left="3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1103" w:type="dxa"/>
          </w:tcPr>
          <w:p>
            <w:pPr>
              <w:pStyle w:val="TableParagraph"/>
              <w:spacing w:before="21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961" w:type="dxa"/>
          </w:tcPr>
          <w:p>
            <w:pPr>
              <w:pStyle w:val="TableParagraph"/>
              <w:spacing w:before="212"/>
              <w:ind w:left="1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1,005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8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1080255</wp:posOffset>
            </wp:positionH>
            <wp:positionV relativeFrom="paragraph">
              <wp:posOffset>285394</wp:posOffset>
            </wp:positionV>
            <wp:extent cx="5267145" cy="4242815"/>
            <wp:effectExtent l="0" t="0" r="0" b="0"/>
            <wp:wrapTopAndBottom/>
            <wp:docPr id="10" name="Image 10" descr="U:\REPI\death\Opioid\Quarterly Report\2016_Q3\2016_Q3_Race.jpe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U:\REPI\death\Opioid\Quarterly Report\2016_Q3\2016_Q3_Race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145" cy="424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5"/>
        <w:rPr>
          <w:b/>
          <w:sz w:val="28"/>
        </w:rPr>
      </w:pPr>
    </w:p>
    <w:p>
      <w:pPr>
        <w:pStyle w:val="BodyText"/>
        <w:ind w:left="440" w:right="531"/>
      </w:pPr>
      <w:r>
        <w:rPr>
          <w:vertAlign w:val="superscript"/>
        </w:rPr>
        <w:t>1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</w:t>
      </w:r>
      <w:r>
        <w:rPr>
          <w:spacing w:val="-2"/>
          <w:vertAlign w:val="baseline"/>
        </w:rPr>
        <w:t> </w:t>
      </w:r>
      <w:r>
        <w:rPr>
          <w:vertAlign w:val="baseline"/>
        </w:rPr>
        <w:t>poisoning/overdose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3"/>
          <w:vertAlign w:val="baseline"/>
        </w:rPr>
        <w:t> </w:t>
      </w:r>
      <w:r>
        <w:rPr>
          <w:vertAlign w:val="baseline"/>
        </w:rPr>
        <w:t>combine</w:t>
      </w:r>
      <w:r>
        <w:rPr>
          <w:spacing w:val="-3"/>
          <w:vertAlign w:val="baseline"/>
        </w:rPr>
        <w:t> </w:t>
      </w:r>
      <w:r>
        <w:rPr>
          <w:vertAlign w:val="baseline"/>
        </w:rPr>
        <w:t>unintentional and</w:t>
      </w:r>
      <w:r>
        <w:rPr>
          <w:spacing w:val="-3"/>
          <w:vertAlign w:val="baseline"/>
        </w:rPr>
        <w:t> </w:t>
      </w:r>
      <w:r>
        <w:rPr>
          <w:vertAlign w:val="baseline"/>
        </w:rPr>
        <w:t>undetermined</w:t>
      </w:r>
      <w:r>
        <w:rPr>
          <w:spacing w:val="-3"/>
          <w:vertAlign w:val="baseline"/>
        </w:rPr>
        <w:t> </w:t>
      </w:r>
      <w:r>
        <w:rPr>
          <w:vertAlign w:val="baseline"/>
        </w:rPr>
        <w:t>intents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account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</w:t>
      </w:r>
      <w:r>
        <w:rPr>
          <w:spacing w:val="-3"/>
          <w:vertAlign w:val="baseline"/>
        </w:rPr>
        <w:t> </w:t>
      </w:r>
      <w:r>
        <w:rPr>
          <w:vertAlign w:val="baseline"/>
        </w:rPr>
        <w:t>coding</w:t>
      </w:r>
      <w:r>
        <w:rPr>
          <w:spacing w:val="-3"/>
          <w:vertAlign w:val="baseline"/>
        </w:rPr>
        <w:t> </w:t>
      </w:r>
      <w:r>
        <w:rPr>
          <w:vertAlign w:val="baseline"/>
        </w:rPr>
        <w:t>that occurred in 2005. Suicides are excluded from this analysis.</w:t>
      </w:r>
    </w:p>
    <w:p>
      <w:pPr>
        <w:pStyle w:val="BodyText"/>
        <w:spacing w:before="8"/>
      </w:pPr>
    </w:p>
    <w:p>
      <w:pPr>
        <w:spacing w:before="1"/>
        <w:ind w:left="4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BodyText"/>
        <w:rPr>
          <w:b/>
          <w:sz w:val="22"/>
        </w:rPr>
      </w:pPr>
    </w:p>
    <w:p>
      <w:pPr>
        <w:spacing w:line="276" w:lineRule="auto" w:before="0"/>
        <w:ind w:left="440" w:right="531" w:firstLine="0"/>
        <w:jc w:val="left"/>
        <w:rPr>
          <w:sz w:val="22"/>
        </w:rPr>
      </w:pPr>
      <w:r>
        <w:rPr>
          <w:sz w:val="22"/>
        </w:rPr>
        <w:t>2016 death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preliminary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subject</w:t>
      </w:r>
      <w:r>
        <w:rPr>
          <w:spacing w:val="-1"/>
          <w:sz w:val="22"/>
        </w:rPr>
        <w:t> </w:t>
      </w:r>
      <w:r>
        <w:rPr>
          <w:sz w:val="22"/>
        </w:rPr>
        <w:t>to updates.</w:t>
      </w:r>
      <w:r>
        <w:rPr>
          <w:spacing w:val="-1"/>
          <w:sz w:val="22"/>
        </w:rPr>
        <w:t> </w:t>
      </w:r>
      <w:r>
        <w:rPr>
          <w:sz w:val="22"/>
        </w:rPr>
        <w:t>Case</w:t>
      </w:r>
      <w:r>
        <w:rPr>
          <w:spacing w:val="-1"/>
          <w:sz w:val="22"/>
        </w:rPr>
        <w:t> </w:t>
      </w:r>
      <w:r>
        <w:rPr>
          <w:sz w:val="22"/>
        </w:rPr>
        <w:t>reviews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deaths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evaluated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updated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an ongoing basis. A large number of deaths have yet to be assigned final cause-of-death codes. The information presented in this report </w:t>
      </w:r>
      <w:r>
        <w:rPr>
          <w:sz w:val="22"/>
          <w:u w:val="single"/>
        </w:rPr>
        <w:t>only</w:t>
      </w:r>
      <w:r>
        <w:rPr>
          <w:sz w:val="22"/>
          <w:u w:val="none"/>
        </w:rPr>
        <w:t> includes confirmed cases. Data updated on 09/30/2016.</w:t>
      </w:r>
    </w:p>
    <w:p>
      <w:pPr>
        <w:spacing w:before="199"/>
        <w:ind w:left="44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0" w:footer="922" w:top="880" w:bottom="1120" w:left="2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6821169</wp:posOffset>
              </wp:positionH>
              <wp:positionV relativeFrom="page">
                <wp:posOffset>9333306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7.099976pt;margin-top:734.906006pt;width:11.6pt;height:11pt;mso-position-horizontal-relative:page;mso-position-vertical-relative:page;z-index:-158766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94" w:right="531" w:hanging="307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2025-01-08T18:40:31Z</dcterms:created>
  <dcterms:modified xsi:type="dcterms:W3CDTF">2025-01-08T18:40:31Z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2010</vt:lpwstr>
  </property>
</Properties>
</file>