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3"/>
        <w:rPr>
          <w:rFonts w:ascii="Times New Roman"/>
          <w:sz w:val="20"/>
        </w:rPr>
      </w:pPr>
    </w:p>
    <w:p>
      <w:pPr>
        <w:spacing w:before="0"/>
        <w:ind w:left="141" w:right="185" w:hanging="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470154</wp:posOffset>
                </wp:positionH>
                <wp:positionV relativeFrom="paragraph">
                  <wp:posOffset>-1884658</wp:posOffset>
                </wp:positionV>
                <wp:extent cx="7023734" cy="15297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23734" cy="1529715"/>
                          <a:chExt cx="7023734" cy="1529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3734" cy="15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734" h="1529715">
                                <a:moveTo>
                                  <a:pt x="7023354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12954"/>
                                </a:lnTo>
                                <a:lnTo>
                                  <a:pt x="7010400" y="1248156"/>
                                </a:lnTo>
                                <a:lnTo>
                                  <a:pt x="7010400" y="1262634"/>
                                </a:lnTo>
                                <a:lnTo>
                                  <a:pt x="7010400" y="1516380"/>
                                </a:lnTo>
                                <a:lnTo>
                                  <a:pt x="12954" y="1516380"/>
                                </a:lnTo>
                                <a:lnTo>
                                  <a:pt x="12954" y="1262634"/>
                                </a:lnTo>
                                <a:lnTo>
                                  <a:pt x="7010400" y="1262634"/>
                                </a:lnTo>
                                <a:lnTo>
                                  <a:pt x="7010400" y="1248156"/>
                                </a:lnTo>
                                <a:lnTo>
                                  <a:pt x="12954" y="1248156"/>
                                </a:lnTo>
                                <a:lnTo>
                                  <a:pt x="12954" y="12954"/>
                                </a:lnTo>
                                <a:lnTo>
                                  <a:pt x="7010400" y="12954"/>
                                </a:lnTo>
                                <a:lnTo>
                                  <a:pt x="701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60348"/>
                                </a:lnTo>
                                <a:lnTo>
                                  <a:pt x="0" y="1529334"/>
                                </a:lnTo>
                                <a:lnTo>
                                  <a:pt x="7023354" y="1529334"/>
                                </a:lnTo>
                                <a:lnTo>
                                  <a:pt x="7023354" y="1523238"/>
                                </a:lnTo>
                                <a:lnTo>
                                  <a:pt x="7023354" y="1516380"/>
                                </a:lnTo>
                                <a:lnTo>
                                  <a:pt x="7023354" y="6858"/>
                                </a:lnTo>
                                <a:lnTo>
                                  <a:pt x="7023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46" y="161544"/>
                            <a:ext cx="1004862" cy="1018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448561" y="179451"/>
                            <a:ext cx="5310505" cy="683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38" w:right="18" w:hanging="39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1F497C"/>
                                  <w:sz w:val="44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97C"/>
                                  <w:sz w:val="44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97C"/>
                                  <w:sz w:val="44"/>
                                  <w:vertAlign w:val="baseline"/>
                                </w:rPr>
                                <w:t>‐Related</w:t>
                              </w:r>
                              <w:r>
                                <w:rPr>
                                  <w:b/>
                                  <w:color w:val="1F497C"/>
                                  <w:spacing w:val="-9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44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97C"/>
                                  <w:spacing w:val="-9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44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97C"/>
                                  <w:spacing w:val="-9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44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97C"/>
                                  <w:spacing w:val="-10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44"/>
                                  <w:vertAlign w:val="baseline"/>
                                </w:rPr>
                                <w:t>Intents, MA</w:t>
                              </w:r>
                              <w:r>
                                <w:rPr>
                                  <w:b/>
                                  <w:color w:val="1F497C"/>
                                  <w:spacing w:val="-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44"/>
                                  <w:vertAlign w:val="baseline"/>
                                </w:rPr>
                                <w:t>Residents</w:t>
                              </w:r>
                              <w:r>
                                <w:rPr>
                                  <w:b/>
                                  <w:color w:val="1F497C"/>
                                  <w:spacing w:val="-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44"/>
                                  <w:vertAlign w:val="baseline"/>
                                </w:rPr>
                                <w:t>– Demographic Data</w:t>
                              </w:r>
                              <w:r>
                                <w:rPr>
                                  <w:b/>
                                  <w:color w:val="1F497C"/>
                                  <w:spacing w:val="-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44"/>
                                  <w:vertAlign w:val="baseline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482" y="1362075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419473" y="1362075"/>
                            <a:ext cx="12687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20pt;margin-top:-148.398285pt;width:553.050pt;height:120.45pt;mso-position-horizontal-relative:page;mso-position-vertical-relative:paragraph;z-index:15729152" id="docshapegroup2" coordorigin="740,-2968" coordsize="11061,2409">
                <v:shape style="position:absolute;left:740;top:-2968;width:11061;height:2409" id="docshape3" coordorigin="740,-2968" coordsize="11061,2409" path="m11801,-2968l11780,-2968,11780,-2948,11780,-1002,11780,-980,11780,-580,761,-580,761,-980,11780,-980,11780,-1002,761,-1002,761,-2948,11780,-2948,11780,-2968,740,-2968,740,-1000,740,-983,740,-560,11801,-560,11801,-569,11801,-580,11801,-2957,11801,-2968xe" filled="true" fillcolor="#000000" stroked="false">
                  <v:path arrowok="t"/>
                  <v:fill type="solid"/>
                </v:shape>
                <v:shape style="position:absolute;left:900;top:-2714;width:1583;height:1605" type="#_x0000_t75" id="docshape4" stroked="false">
                  <v:imagedata r:id="rId6" o:title=""/>
                </v:shape>
                <v:shape style="position:absolute;left:3021;top:-2686;width:8363;height:1076" type="#_x0000_t202" id="docshape5" filled="false" stroked="false">
                  <v:textbox inset="0,0,0,0">
                    <w:txbxContent>
                      <w:p>
                        <w:pPr>
                          <w:spacing w:before="1"/>
                          <w:ind w:left="38" w:right="18" w:hanging="39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1F497C"/>
                            <w:sz w:val="44"/>
                          </w:rPr>
                          <w:t>Opioid</w:t>
                        </w:r>
                        <w:r>
                          <w:rPr>
                            <w:b/>
                            <w:color w:val="1F497C"/>
                            <w:sz w:val="44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97C"/>
                            <w:sz w:val="44"/>
                            <w:vertAlign w:val="baseline"/>
                          </w:rPr>
                          <w:t>‐Related</w:t>
                        </w:r>
                        <w:r>
                          <w:rPr>
                            <w:b/>
                            <w:color w:val="1F497C"/>
                            <w:spacing w:val="-9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44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97C"/>
                            <w:spacing w:val="-9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44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97C"/>
                            <w:spacing w:val="-9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44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97C"/>
                            <w:spacing w:val="-10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44"/>
                            <w:vertAlign w:val="baseline"/>
                          </w:rPr>
                          <w:t>Intents, MA</w:t>
                        </w:r>
                        <w:r>
                          <w:rPr>
                            <w:b/>
                            <w:color w:val="1F497C"/>
                            <w:spacing w:val="-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44"/>
                            <w:vertAlign w:val="baseline"/>
                          </w:rPr>
                          <w:t>Residents</w:t>
                        </w:r>
                        <w:r>
                          <w:rPr>
                            <w:b/>
                            <w:color w:val="1F497C"/>
                            <w:spacing w:val="-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44"/>
                            <w:vertAlign w:val="baseline"/>
                          </w:rPr>
                          <w:t>– Demographic Data</w:t>
                        </w:r>
                        <w:r>
                          <w:rPr>
                            <w:b/>
                            <w:color w:val="1F497C"/>
                            <w:spacing w:val="-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44"/>
                            <w:vertAlign w:val="baseline"/>
                          </w:rPr>
                          <w:t>Highlights</w:t>
                        </w:r>
                      </w:p>
                    </w:txbxContent>
                  </v:textbox>
                  <w10:wrap type="none"/>
                </v:shape>
                <v:shape style="position:absolute;left:813;top:-823;width:3232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2"/>
                            <w:sz w:val="18"/>
                          </w:rPr>
                          <w:t> Health</w:t>
                        </w:r>
                      </w:p>
                    </w:txbxContent>
                  </v:textbox>
                  <w10:wrap type="none"/>
                </v:shape>
                <v:shape style="position:absolute;left:9275;top:-823;width:1998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brief</w:t>
      </w:r>
      <w:r>
        <w:rPr>
          <w:spacing w:val="-3"/>
          <w:sz w:val="20"/>
        </w:rPr>
        <w:t> </w:t>
      </w:r>
      <w:r>
        <w:rPr>
          <w:sz w:val="20"/>
        </w:rPr>
        <w:t>highlights</w:t>
      </w:r>
      <w:r>
        <w:rPr>
          <w:spacing w:val="-2"/>
          <w:sz w:val="20"/>
        </w:rPr>
        <w:t> </w:t>
      </w:r>
      <w:r>
        <w:rPr>
          <w:sz w:val="20"/>
        </w:rPr>
        <w:t>demographic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confirmed</w:t>
      </w:r>
      <w:r>
        <w:rPr>
          <w:spacing w:val="-2"/>
          <w:sz w:val="20"/>
        </w:rPr>
        <w:t> </w:t>
      </w:r>
      <w:r>
        <w:rPr>
          <w:sz w:val="20"/>
        </w:rPr>
        <w:t>opioid‐related</w:t>
      </w:r>
      <w:r>
        <w:rPr>
          <w:spacing w:val="-2"/>
          <w:sz w:val="20"/>
        </w:rPr>
        <w:t> </w:t>
      </w:r>
      <w:r>
        <w:rPr>
          <w:sz w:val="20"/>
        </w:rPr>
        <w:t>overdose</w:t>
      </w:r>
      <w:r>
        <w:rPr>
          <w:spacing w:val="-2"/>
          <w:sz w:val="20"/>
        </w:rPr>
        <w:t> </w:t>
      </w:r>
      <w:r>
        <w:rPr>
          <w:sz w:val="20"/>
        </w:rPr>
        <w:t>deaths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intents,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January</w:t>
      </w:r>
      <w:r>
        <w:rPr>
          <w:spacing w:val="-1"/>
          <w:sz w:val="20"/>
        </w:rPr>
        <w:t> </w:t>
      </w:r>
      <w:r>
        <w:rPr>
          <w:sz w:val="20"/>
        </w:rPr>
        <w:t>2017 through September 2017.</w:t>
      </w:r>
    </w:p>
    <w:p>
      <w:pPr>
        <w:pStyle w:val="Heading1"/>
        <w:spacing w:before="228"/>
        <w:ind w:left="3775"/>
      </w:pPr>
      <w:r>
        <w:rPr/>
        <w:t>Confirmed</w:t>
      </w:r>
      <w:r>
        <w:rPr>
          <w:spacing w:val="-6"/>
        </w:rPr>
        <w:t> </w:t>
      </w:r>
      <w:r>
        <w:rPr/>
        <w:t>Opioid</w:t>
      </w:r>
      <w:r>
        <w:rPr>
          <w:vertAlign w:val="superscript"/>
        </w:rPr>
        <w:t>1</w:t>
      </w:r>
      <w:r>
        <w:rPr>
          <w:vertAlign w:val="baseline"/>
        </w:rPr>
        <w:t>‐Related</w:t>
      </w:r>
      <w:r>
        <w:rPr>
          <w:spacing w:val="-7"/>
          <w:vertAlign w:val="baseline"/>
        </w:rPr>
        <w:t> </w:t>
      </w:r>
      <w:r>
        <w:rPr>
          <w:vertAlign w:val="baseline"/>
        </w:rPr>
        <w:t>Deaths,</w:t>
      </w:r>
      <w:r>
        <w:rPr>
          <w:spacing w:val="-6"/>
          <w:vertAlign w:val="baseline"/>
        </w:rPr>
        <w:t> </w:t>
      </w:r>
      <w:r>
        <w:rPr>
          <w:vertAlign w:val="baseline"/>
        </w:rPr>
        <w:t>All</w:t>
      </w:r>
      <w:r>
        <w:rPr>
          <w:spacing w:val="-7"/>
          <w:vertAlign w:val="baseline"/>
        </w:rPr>
        <w:t> </w:t>
      </w:r>
      <w:r>
        <w:rPr>
          <w:vertAlign w:val="baseline"/>
        </w:rPr>
        <w:t>Intents,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Gender: January 2017‐September 2017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491"/>
      </w:tblGrid>
      <w:tr>
        <w:trPr>
          <w:trHeight w:val="816" w:hRule="atLeast"/>
        </w:trPr>
        <w:tc>
          <w:tcPr>
            <w:tcW w:w="6157" w:type="dxa"/>
            <w:gridSpan w:val="2"/>
          </w:tcPr>
          <w:p>
            <w:pPr>
              <w:pStyle w:val="TableParagraph"/>
              <w:ind w:left="1564" w:right="198" w:hanging="1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Confirmed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Opioid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  <w:vertAlign w:val="baseline"/>
              </w:rPr>
              <w:t>‐Related</w:t>
            </w:r>
            <w:r>
              <w:rPr>
                <w:b/>
                <w:spacing w:val="-8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Deaths,</w:t>
            </w:r>
            <w:r>
              <w:rPr>
                <w:b/>
                <w:spacing w:val="-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All</w:t>
            </w:r>
            <w:r>
              <w:rPr>
                <w:b/>
                <w:spacing w:val="-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Intents</w:t>
            </w:r>
            <w:r>
              <w:rPr>
                <w:b/>
                <w:spacing w:val="-5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by</w:t>
            </w:r>
            <w:r>
              <w:rPr>
                <w:b/>
                <w:spacing w:val="-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Gender: January 2017‐September 2017</w:t>
            </w:r>
          </w:p>
        </w:tc>
      </w:tr>
      <w:tr>
        <w:trPr>
          <w:trHeight w:val="313" w:hRule="atLeast"/>
        </w:trPr>
        <w:tc>
          <w:tcPr>
            <w:tcW w:w="1666" w:type="dxa"/>
          </w:tcPr>
          <w:p>
            <w:pPr>
              <w:pStyle w:val="TableParagraph"/>
              <w:spacing w:before="22"/>
              <w:ind w:left="8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22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1666" w:type="dxa"/>
          </w:tcPr>
          <w:p>
            <w:pPr>
              <w:pStyle w:val="TableParagraph"/>
              <w:spacing w:before="23"/>
              <w:ind w:left="8" w:right="1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23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</w:tr>
      <w:tr>
        <w:trPr>
          <w:trHeight w:val="315" w:hRule="atLeast"/>
        </w:trPr>
        <w:tc>
          <w:tcPr>
            <w:tcW w:w="1666" w:type="dxa"/>
          </w:tcPr>
          <w:p>
            <w:pPr>
              <w:pStyle w:val="TableParagraph"/>
              <w:spacing w:before="23"/>
              <w:ind w:lef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4491" w:type="dxa"/>
          </w:tcPr>
          <w:p>
            <w:pPr>
              <w:pStyle w:val="TableParagraph"/>
              <w:spacing w:before="23"/>
              <w:ind w:left="7"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932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457200</wp:posOffset>
            </wp:positionH>
            <wp:positionV relativeFrom="paragraph">
              <wp:posOffset>177164</wp:posOffset>
            </wp:positionV>
            <wp:extent cx="6864934" cy="301752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3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6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3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opioid‐based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header="0" w:footer="923" w:top="960" w:bottom="1120" w:left="580" w:right="580"/>
          <w:pgNumType w:start="1"/>
        </w:sectPr>
      </w:pPr>
    </w:p>
    <w:p>
      <w:pPr>
        <w:pStyle w:val="Heading1"/>
        <w:ind w:firstLine="1197"/>
      </w:pPr>
      <w:r>
        <w:rPr/>
        <w:t>Confirmed Opioid</w:t>
      </w:r>
      <w:r>
        <w:rPr>
          <w:vertAlign w:val="superscript"/>
        </w:rPr>
        <w:t>1</w:t>
      </w:r>
      <w:r>
        <w:rPr>
          <w:vertAlign w:val="baseline"/>
        </w:rPr>
        <w:t>‐Related Deaths, All Intents Compared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All</w:t>
      </w:r>
      <w:r>
        <w:rPr>
          <w:spacing w:val="-6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Age:</w:t>
      </w:r>
      <w:r>
        <w:rPr>
          <w:spacing w:val="-6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2017‐September</w:t>
      </w:r>
      <w:r>
        <w:rPr>
          <w:spacing w:val="-5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7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810"/>
        <w:gridCol w:w="810"/>
        <w:gridCol w:w="810"/>
        <w:gridCol w:w="810"/>
        <w:gridCol w:w="900"/>
        <w:gridCol w:w="900"/>
        <w:gridCol w:w="810"/>
        <w:gridCol w:w="1080"/>
        <w:gridCol w:w="916"/>
      </w:tblGrid>
      <w:tr>
        <w:trPr>
          <w:trHeight w:val="300" w:hRule="atLeast"/>
        </w:trPr>
        <w:tc>
          <w:tcPr>
            <w:tcW w:w="2986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46" w:type="dxa"/>
            <w:gridSpan w:val="9"/>
          </w:tcPr>
          <w:p>
            <w:pPr>
              <w:pStyle w:val="TableParagraph"/>
              <w:spacing w:line="273" w:lineRule="exact" w:before="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Deaths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Age: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2017‐September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2017</w:t>
            </w:r>
          </w:p>
        </w:tc>
      </w:tr>
      <w:tr>
        <w:trPr>
          <w:trHeight w:val="299" w:hRule="atLeast"/>
        </w:trPr>
        <w:tc>
          <w:tcPr>
            <w:tcW w:w="2986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43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0‐14</w:t>
            </w:r>
          </w:p>
        </w:tc>
        <w:tc>
          <w:tcPr>
            <w:tcW w:w="810" w:type="dxa"/>
          </w:tcPr>
          <w:p>
            <w:pPr>
              <w:pStyle w:val="TableParagraph"/>
              <w:spacing w:line="243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15‐24</w:t>
            </w:r>
          </w:p>
        </w:tc>
        <w:tc>
          <w:tcPr>
            <w:tcW w:w="810" w:type="dxa"/>
          </w:tcPr>
          <w:p>
            <w:pPr>
              <w:pStyle w:val="TableParagraph"/>
              <w:spacing w:line="243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25‐34</w:t>
            </w:r>
          </w:p>
        </w:tc>
        <w:tc>
          <w:tcPr>
            <w:tcW w:w="810" w:type="dxa"/>
          </w:tcPr>
          <w:p>
            <w:pPr>
              <w:pStyle w:val="TableParagraph"/>
              <w:spacing w:line="243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35‐44</w:t>
            </w:r>
          </w:p>
        </w:tc>
        <w:tc>
          <w:tcPr>
            <w:tcW w:w="900" w:type="dxa"/>
          </w:tcPr>
          <w:p>
            <w:pPr>
              <w:pStyle w:val="TableParagraph"/>
              <w:spacing w:line="243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45‐54</w:t>
            </w:r>
          </w:p>
        </w:tc>
        <w:tc>
          <w:tcPr>
            <w:tcW w:w="900" w:type="dxa"/>
          </w:tcPr>
          <w:p>
            <w:pPr>
              <w:pStyle w:val="TableParagraph"/>
              <w:spacing w:line="243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55‐64</w:t>
            </w:r>
          </w:p>
        </w:tc>
        <w:tc>
          <w:tcPr>
            <w:tcW w:w="810" w:type="dxa"/>
          </w:tcPr>
          <w:p>
            <w:pPr>
              <w:pStyle w:val="TableParagraph"/>
              <w:spacing w:line="243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65+</w:t>
            </w:r>
          </w:p>
        </w:tc>
        <w:tc>
          <w:tcPr>
            <w:tcW w:w="1080" w:type="dxa"/>
          </w:tcPr>
          <w:p>
            <w:pPr>
              <w:pStyle w:val="TableParagraph"/>
              <w:spacing w:line="243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  <w:tc>
          <w:tcPr>
            <w:tcW w:w="916" w:type="dxa"/>
          </w:tcPr>
          <w:p>
            <w:pPr>
              <w:pStyle w:val="TableParagraph"/>
              <w:spacing w:line="243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2986" w:type="dxa"/>
          </w:tcPr>
          <w:p>
            <w:pPr>
              <w:pStyle w:val="TableParagraph"/>
              <w:spacing w:before="27"/>
              <w:ind w:left="1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Deaths</w:t>
            </w:r>
          </w:p>
        </w:tc>
        <w:tc>
          <w:tcPr>
            <w:tcW w:w="810" w:type="dxa"/>
          </w:tcPr>
          <w:p>
            <w:pPr>
              <w:pStyle w:val="TableParagraph"/>
              <w:spacing w:before="27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810" w:type="dxa"/>
          </w:tcPr>
          <w:p>
            <w:pPr>
              <w:pStyle w:val="TableParagraph"/>
              <w:spacing w:before="27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810" w:type="dxa"/>
          </w:tcPr>
          <w:p>
            <w:pPr>
              <w:pStyle w:val="TableParagraph"/>
              <w:spacing w:before="27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810" w:type="dxa"/>
          </w:tcPr>
          <w:p>
            <w:pPr>
              <w:pStyle w:val="TableParagraph"/>
              <w:spacing w:before="2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1,146</w:t>
            </w:r>
          </w:p>
        </w:tc>
        <w:tc>
          <w:tcPr>
            <w:tcW w:w="900" w:type="dxa"/>
          </w:tcPr>
          <w:p>
            <w:pPr>
              <w:pStyle w:val="TableParagraph"/>
              <w:spacing w:before="2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2,360</w:t>
            </w:r>
          </w:p>
        </w:tc>
        <w:tc>
          <w:tcPr>
            <w:tcW w:w="900" w:type="dxa"/>
          </w:tcPr>
          <w:p>
            <w:pPr>
              <w:pStyle w:val="TableParagraph"/>
              <w:spacing w:before="2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4,655</w:t>
            </w:r>
          </w:p>
        </w:tc>
        <w:tc>
          <w:tcPr>
            <w:tcW w:w="810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33,872</w:t>
            </w:r>
          </w:p>
        </w:tc>
        <w:tc>
          <w:tcPr>
            <w:tcW w:w="1080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6" w:type="dxa"/>
          </w:tcPr>
          <w:p>
            <w:pPr>
              <w:pStyle w:val="TableParagraph"/>
              <w:spacing w:before="27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43,649</w:t>
            </w:r>
          </w:p>
        </w:tc>
      </w:tr>
      <w:tr>
        <w:trPr>
          <w:trHeight w:val="489" w:hRule="atLeast"/>
        </w:trPr>
        <w:tc>
          <w:tcPr>
            <w:tcW w:w="2986" w:type="dxa"/>
          </w:tcPr>
          <w:p>
            <w:pPr>
              <w:pStyle w:val="TableParagraph"/>
              <w:spacing w:line="244" w:lineRule="exact"/>
              <w:ind w:left="11" w:right="3"/>
              <w:rPr>
                <w:sz w:val="20"/>
              </w:rPr>
            </w:pPr>
            <w:r>
              <w:rPr>
                <w:sz w:val="20"/>
              </w:rPr>
              <w:t>Confirmed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Opioid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  <w:vertAlign w:val="baseline"/>
              </w:rPr>
              <w:t>‐Related</w:t>
            </w:r>
          </w:p>
          <w:p>
            <w:pPr>
              <w:pStyle w:val="TableParagraph"/>
              <w:spacing w:line="225" w:lineRule="exact"/>
              <w:ind w:left="11" w:right="1"/>
              <w:rPr>
                <w:sz w:val="20"/>
              </w:rPr>
            </w:pPr>
            <w:r>
              <w:rPr>
                <w:sz w:val="20"/>
              </w:rPr>
              <w:t>Deaths,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Intents</w:t>
            </w:r>
          </w:p>
        </w:tc>
        <w:tc>
          <w:tcPr>
            <w:tcW w:w="810" w:type="dxa"/>
          </w:tcPr>
          <w:p>
            <w:pPr>
              <w:pStyle w:val="TableParagraph"/>
              <w:spacing w:before="121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810" w:type="dxa"/>
          </w:tcPr>
          <w:p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810" w:type="dxa"/>
          </w:tcPr>
          <w:p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900" w:type="dxa"/>
          </w:tcPr>
          <w:p>
            <w:pPr>
              <w:pStyle w:val="TableParagraph"/>
              <w:spacing w:before="121"/>
              <w:ind w:left="8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900" w:type="dxa"/>
          </w:tcPr>
          <w:p>
            <w:pPr>
              <w:pStyle w:val="TableParagraph"/>
              <w:spacing w:before="121"/>
              <w:ind w:left="8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810" w:type="dxa"/>
          </w:tcPr>
          <w:p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1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spacing w:before="121"/>
              <w:ind w:left="7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79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457200</wp:posOffset>
            </wp:positionH>
            <wp:positionV relativeFrom="paragraph">
              <wp:posOffset>284263</wp:posOffset>
            </wp:positionV>
            <wp:extent cx="6878414" cy="4364736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8414" cy="436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6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3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opioid‐based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3" w:top="880" w:bottom="1120" w:left="580" w:right="580"/>
        </w:sectPr>
      </w:pPr>
    </w:p>
    <w:p>
      <w:pPr>
        <w:pStyle w:val="Heading1"/>
        <w:ind w:left="1918" w:firstLine="994"/>
      </w:pPr>
      <w:r>
        <w:rPr/>
        <w:t>Confirmed Opioid</w:t>
      </w:r>
      <w:r>
        <w:rPr>
          <w:vertAlign w:val="superscript"/>
        </w:rPr>
        <w:t>1</w:t>
      </w:r>
      <w:r>
        <w:rPr>
          <w:vertAlign w:val="baseline"/>
        </w:rPr>
        <w:t>‐Related Deaths, All Intents Compared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All</w:t>
      </w:r>
      <w:r>
        <w:rPr>
          <w:spacing w:val="-6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Race:</w:t>
      </w:r>
      <w:r>
        <w:rPr>
          <w:spacing w:val="-5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2017‐September</w:t>
      </w:r>
      <w:r>
        <w:rPr>
          <w:spacing w:val="-4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spacing w:before="98"/>
        <w:rPr>
          <w:b/>
          <w:sz w:val="20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1229"/>
        <w:gridCol w:w="988"/>
        <w:gridCol w:w="988"/>
        <w:gridCol w:w="989"/>
        <w:gridCol w:w="1102"/>
        <w:gridCol w:w="960"/>
      </w:tblGrid>
      <w:tr>
        <w:trPr>
          <w:trHeight w:val="805" w:hRule="atLeast"/>
        </w:trPr>
        <w:tc>
          <w:tcPr>
            <w:tcW w:w="291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ind w:left="402" w:right="317" w:hanging="6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White </w:t>
            </w:r>
            <w:r>
              <w:rPr>
                <w:b/>
                <w:spacing w:val="-4"/>
                <w:sz w:val="22"/>
              </w:rPr>
              <w:t>non‐</w:t>
            </w:r>
          </w:p>
          <w:p>
            <w:pPr>
              <w:pStyle w:val="TableParagraph"/>
              <w:spacing w:line="249" w:lineRule="exact"/>
              <w:ind w:left="22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8" w:type="dxa"/>
          </w:tcPr>
          <w:p>
            <w:pPr>
              <w:pStyle w:val="TableParagraph"/>
              <w:ind w:left="74" w:right="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Black </w:t>
            </w:r>
            <w:r>
              <w:rPr>
                <w:b/>
                <w:spacing w:val="-4"/>
                <w:sz w:val="22"/>
              </w:rPr>
              <w:t>non‐</w:t>
            </w:r>
          </w:p>
          <w:p>
            <w:pPr>
              <w:pStyle w:val="TableParagraph"/>
              <w:spacing w:line="249" w:lineRule="exact"/>
              <w:ind w:left="74" w:right="6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8" w:type="dxa"/>
          </w:tcPr>
          <w:p>
            <w:pPr>
              <w:pStyle w:val="TableParagraph"/>
              <w:ind w:left="74" w:right="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Asian </w:t>
            </w:r>
            <w:r>
              <w:rPr>
                <w:b/>
                <w:spacing w:val="-4"/>
                <w:sz w:val="22"/>
              </w:rPr>
              <w:t>non‐</w:t>
            </w:r>
          </w:p>
          <w:p>
            <w:pPr>
              <w:pStyle w:val="TableParagraph"/>
              <w:spacing w:line="249" w:lineRule="exact"/>
              <w:ind w:left="74" w:right="6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9" w:type="dxa"/>
          </w:tcPr>
          <w:p>
            <w:pPr>
              <w:pStyle w:val="TableParagraph"/>
              <w:spacing w:before="26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7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atLeast" w:before="246"/>
              <w:ind w:left="107" w:right="93" w:firstLine="12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Other/ Unknown</w:t>
            </w:r>
          </w:p>
        </w:tc>
        <w:tc>
          <w:tcPr>
            <w:tcW w:w="960" w:type="dxa"/>
          </w:tcPr>
          <w:p>
            <w:pPr>
              <w:pStyle w:val="TableParagraph"/>
              <w:spacing w:before="26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7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14" w:hRule="atLeast"/>
        </w:trPr>
        <w:tc>
          <w:tcPr>
            <w:tcW w:w="2914" w:type="dxa"/>
          </w:tcPr>
          <w:p>
            <w:pPr>
              <w:pStyle w:val="TableParagraph"/>
              <w:spacing w:before="22"/>
              <w:ind w:left="5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Deaths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2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38,709</w:t>
            </w:r>
          </w:p>
        </w:tc>
        <w:tc>
          <w:tcPr>
            <w:tcW w:w="988" w:type="dxa"/>
          </w:tcPr>
          <w:p>
            <w:pPr>
              <w:pStyle w:val="TableParagraph"/>
              <w:spacing w:before="22"/>
              <w:ind w:left="74" w:right="65"/>
              <w:rPr>
                <w:sz w:val="22"/>
              </w:rPr>
            </w:pPr>
            <w:r>
              <w:rPr>
                <w:spacing w:val="-2"/>
                <w:sz w:val="22"/>
              </w:rPr>
              <w:t>1,922</w:t>
            </w:r>
          </w:p>
        </w:tc>
        <w:tc>
          <w:tcPr>
            <w:tcW w:w="988" w:type="dxa"/>
          </w:tcPr>
          <w:p>
            <w:pPr>
              <w:pStyle w:val="TableParagraph"/>
              <w:spacing w:before="22"/>
              <w:ind w:left="74" w:right="67"/>
              <w:rPr>
                <w:sz w:val="22"/>
              </w:rPr>
            </w:pPr>
            <w:r>
              <w:rPr>
                <w:spacing w:val="-5"/>
                <w:sz w:val="22"/>
              </w:rPr>
              <w:t>872</w:t>
            </w:r>
          </w:p>
        </w:tc>
        <w:tc>
          <w:tcPr>
            <w:tcW w:w="989" w:type="dxa"/>
          </w:tcPr>
          <w:p>
            <w:pPr>
              <w:pStyle w:val="TableParagraph"/>
              <w:spacing w:before="22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1,693</w:t>
            </w:r>
          </w:p>
        </w:tc>
        <w:tc>
          <w:tcPr>
            <w:tcW w:w="1102" w:type="dxa"/>
          </w:tcPr>
          <w:p>
            <w:pPr>
              <w:pStyle w:val="TableParagraph"/>
              <w:spacing w:before="22"/>
              <w:ind w:left="6" w:right="1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960" w:type="dxa"/>
          </w:tcPr>
          <w:p>
            <w:pPr>
              <w:pStyle w:val="TableParagraph"/>
              <w:spacing w:before="22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43,649</w:t>
            </w:r>
          </w:p>
        </w:tc>
      </w:tr>
      <w:tr>
        <w:trPr>
          <w:trHeight w:val="701" w:hRule="atLeast"/>
        </w:trPr>
        <w:tc>
          <w:tcPr>
            <w:tcW w:w="2914" w:type="dxa"/>
          </w:tcPr>
          <w:p>
            <w:pPr>
              <w:pStyle w:val="TableParagraph"/>
              <w:spacing w:before="80"/>
              <w:ind w:left="637" w:right="236" w:hanging="386"/>
              <w:jc w:val="left"/>
              <w:rPr>
                <w:sz w:val="22"/>
              </w:rPr>
            </w:pPr>
            <w:r>
              <w:rPr>
                <w:sz w:val="22"/>
              </w:rPr>
              <w:t>Confirmed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Opioid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‐Related Deaths, All Intents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15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753</w:t>
            </w:r>
          </w:p>
        </w:tc>
        <w:tc>
          <w:tcPr>
            <w:tcW w:w="988" w:type="dxa"/>
          </w:tcPr>
          <w:p>
            <w:pPr>
              <w:pStyle w:val="TableParagraph"/>
              <w:spacing w:before="215"/>
              <w:ind w:left="74" w:right="68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988" w:type="dxa"/>
          </w:tcPr>
          <w:p>
            <w:pPr>
              <w:pStyle w:val="TableParagraph"/>
              <w:spacing w:before="215"/>
              <w:ind w:left="74" w:right="6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89" w:type="dxa"/>
          </w:tcPr>
          <w:p>
            <w:pPr>
              <w:pStyle w:val="TableParagraph"/>
              <w:spacing w:before="21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1102" w:type="dxa"/>
          </w:tcPr>
          <w:p>
            <w:pPr>
              <w:pStyle w:val="TableParagraph"/>
              <w:spacing w:before="215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spacing w:before="215"/>
              <w:ind w:left="7" w:right="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932</w:t>
            </w:r>
          </w:p>
        </w:tc>
      </w:tr>
    </w:tbl>
    <w:p>
      <w:pPr>
        <w:pStyle w:val="BodyText"/>
        <w:spacing w:before="19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457200</wp:posOffset>
            </wp:positionH>
            <wp:positionV relativeFrom="paragraph">
              <wp:posOffset>292608</wp:posOffset>
            </wp:positionV>
            <wp:extent cx="6868160" cy="4120896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160" cy="412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1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3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opioid‐based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3" w:top="880" w:bottom="1120" w:left="580" w:right="580"/>
        </w:sect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6900844" cy="368198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844" cy="368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54"/>
      </w:pPr>
    </w:p>
    <w:p>
      <w:pPr>
        <w:spacing w:before="1"/>
        <w:ind w:left="1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11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BodyText"/>
        <w:spacing w:line="276" w:lineRule="auto" w:before="268"/>
        <w:ind w:left="140" w:right="185"/>
      </w:pPr>
      <w:r>
        <w:rPr/>
        <w:t>2017 death data are preliminary and subject to updates. Case reviews of deaths are evaluated and updated on an ongoing</w:t>
      </w:r>
      <w:r>
        <w:rPr>
          <w:spacing w:val="-4"/>
        </w:rPr>
        <w:t> </w:t>
      </w:r>
      <w:r>
        <w:rPr/>
        <w:t>basis.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deaths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yet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final</w:t>
      </w:r>
      <w:r>
        <w:rPr>
          <w:spacing w:val="-3"/>
        </w:rPr>
        <w:t> </w:t>
      </w:r>
      <w:r>
        <w:rPr/>
        <w:t>cause‐of‐death</w:t>
      </w:r>
      <w:r>
        <w:rPr>
          <w:spacing w:val="-2"/>
        </w:rPr>
        <w:t> </w:t>
      </w:r>
      <w:r>
        <w:rPr/>
        <w:t>codes.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presented in this report </w:t>
      </w:r>
      <w:r>
        <w:rPr>
          <w:u w:val="single"/>
        </w:rPr>
        <w:t>only</w:t>
      </w:r>
      <w:r>
        <w:rPr>
          <w:u w:val="none"/>
        </w:rPr>
        <w:t> includes confirmed cases. Data updated on 10/12/2017.</w:t>
      </w:r>
      <w:r>
        <w:rPr>
          <w:spacing w:val="40"/>
          <w:u w:val="none"/>
        </w:rPr>
        <w:t> </w:t>
      </w:r>
      <w:r>
        <w:rPr>
          <w:u w:val="none"/>
        </w:rPr>
        <w:t>Beginning with the May 2017 report, DPH started reporting opioid‐related deaths for all intents, which includes unintentional/undetermined and suicide.</w:t>
      </w:r>
    </w:p>
    <w:p>
      <w:pPr>
        <w:spacing w:before="20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0" w:footer="923" w:top="960" w:bottom="112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7161276</wp:posOffset>
              </wp:positionH>
              <wp:positionV relativeFrom="page">
                <wp:posOffset>9332848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3.880005pt;margin-top:734.869995pt;width:11.6pt;height:11pt;mso-position-horizontal-relative:page;mso-position-vertical-relative:page;z-index:-15873024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895" w:right="1639" w:hanging="1618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TLyons</dc:creator>
  <dc:title>Microsoft Word - 2017 Q3 Opioid Quarterly Report FINAL</dc:title>
  <dcterms:created xsi:type="dcterms:W3CDTF">2024-12-31T15:35:16Z</dcterms:created>
  <dcterms:modified xsi:type="dcterms:W3CDTF">2024-12-31T15:35:16Z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2024-12-31T00:00:00Z</vt:filetime>
  </property>
  <property fmtid="{D5CDD505-2E9C-101B-9397-08002B2CF9AE}" pid="5" name="Producer">
    <vt:lpwstr>Acrobat Distiller 15.0 (Windows)</vt:lpwstr>
  </property>
</Properties>
</file>