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69"/>
        <w:rPr>
          <w:rFonts w:ascii="Times New Roman"/>
          <w:sz w:val="20"/>
        </w:rPr>
      </w:pPr>
      <w:r>
        <w:rPr>
          <w:rFonts w:ascii="Times New Roman"/>
          <w:sz w:val="20"/>
        </w:rPr>
        <mc:AlternateContent>
          <mc:Choice Requires="wps">
            <w:drawing>
              <wp:inline distT="0" distB="0" distL="0" distR="0">
                <wp:extent cx="6785609" cy="1527810"/>
                <wp:effectExtent l="0" t="0" r="0" b="5715"/>
                <wp:docPr id="1" name="Group 1"/>
                <wp:cNvGraphicFramePr>
                  <a:graphicFrameLocks/>
                </wp:cNvGraphicFramePr>
                <a:graphic>
                  <a:graphicData uri="http://schemas.microsoft.com/office/word/2010/wordprocessingGroup">
                    <wpg:wgp>
                      <wpg:cNvPr id="1" name="Group 1"/>
                      <wpg:cNvGrpSpPr/>
                      <wpg:grpSpPr>
                        <a:xfrm>
                          <a:off x="0" y="0"/>
                          <a:ext cx="6785609" cy="1527810"/>
                          <a:chExt cx="6785609" cy="1527810"/>
                        </a:xfrm>
                      </wpg:grpSpPr>
                      <wps:wsp>
                        <wps:cNvPr id="2" name="Graphic 2"/>
                        <wps:cNvSpPr/>
                        <wps:spPr>
                          <a:xfrm>
                            <a:off x="0" y="0"/>
                            <a:ext cx="6785609" cy="1527810"/>
                          </a:xfrm>
                          <a:custGeom>
                            <a:avLst/>
                            <a:gdLst/>
                            <a:ahLst/>
                            <a:cxnLst/>
                            <a:rect l="l" t="t" r="r" b="b"/>
                            <a:pathLst>
                              <a:path w="6785609" h="1527810">
                                <a:moveTo>
                                  <a:pt x="6785610" y="1248156"/>
                                </a:moveTo>
                                <a:lnTo>
                                  <a:pt x="6784848" y="1248156"/>
                                </a:lnTo>
                                <a:lnTo>
                                  <a:pt x="6784848" y="12954"/>
                                </a:lnTo>
                                <a:lnTo>
                                  <a:pt x="6784848" y="6858"/>
                                </a:lnTo>
                                <a:lnTo>
                                  <a:pt x="6784848" y="0"/>
                                </a:lnTo>
                                <a:lnTo>
                                  <a:pt x="6773418" y="0"/>
                                </a:lnTo>
                                <a:lnTo>
                                  <a:pt x="6773418" y="1261110"/>
                                </a:lnTo>
                                <a:lnTo>
                                  <a:pt x="6773418" y="1514856"/>
                                </a:lnTo>
                                <a:lnTo>
                                  <a:pt x="13716" y="1514856"/>
                                </a:lnTo>
                                <a:lnTo>
                                  <a:pt x="13716" y="1261110"/>
                                </a:lnTo>
                                <a:lnTo>
                                  <a:pt x="6773418" y="1261110"/>
                                </a:lnTo>
                                <a:lnTo>
                                  <a:pt x="6773418" y="0"/>
                                </a:lnTo>
                                <a:lnTo>
                                  <a:pt x="6772656" y="0"/>
                                </a:lnTo>
                                <a:lnTo>
                                  <a:pt x="6772656" y="12954"/>
                                </a:lnTo>
                                <a:lnTo>
                                  <a:pt x="6772656" y="1248156"/>
                                </a:lnTo>
                                <a:lnTo>
                                  <a:pt x="12954" y="1248156"/>
                                </a:lnTo>
                                <a:lnTo>
                                  <a:pt x="12954" y="12954"/>
                                </a:lnTo>
                                <a:lnTo>
                                  <a:pt x="6772656" y="12954"/>
                                </a:lnTo>
                                <a:lnTo>
                                  <a:pt x="6772656" y="0"/>
                                </a:lnTo>
                                <a:lnTo>
                                  <a:pt x="0" y="0"/>
                                </a:lnTo>
                                <a:lnTo>
                                  <a:pt x="0" y="1261110"/>
                                </a:lnTo>
                                <a:lnTo>
                                  <a:pt x="762" y="1261110"/>
                                </a:lnTo>
                                <a:lnTo>
                                  <a:pt x="762" y="1527810"/>
                                </a:lnTo>
                                <a:lnTo>
                                  <a:pt x="6785610" y="1527810"/>
                                </a:lnTo>
                                <a:lnTo>
                                  <a:pt x="6785610" y="1520952"/>
                                </a:lnTo>
                                <a:lnTo>
                                  <a:pt x="6785610" y="1514856"/>
                                </a:lnTo>
                                <a:lnTo>
                                  <a:pt x="6785610" y="1261110"/>
                                </a:lnTo>
                                <a:lnTo>
                                  <a:pt x="6785610" y="1254252"/>
                                </a:lnTo>
                                <a:lnTo>
                                  <a:pt x="6785610" y="1248156"/>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180594" y="73152"/>
                            <a:ext cx="1004862" cy="1019555"/>
                          </a:xfrm>
                          <a:prstGeom prst="rect">
                            <a:avLst/>
                          </a:prstGeom>
                        </pic:spPr>
                      </pic:pic>
                      <wps:wsp>
                        <wps:cNvPr id="4" name="Textbox 4"/>
                        <wps:cNvSpPr txBox="1"/>
                        <wps:spPr>
                          <a:xfrm>
                            <a:off x="1428000" y="143636"/>
                            <a:ext cx="5114925" cy="719455"/>
                          </a:xfrm>
                          <a:prstGeom prst="rect">
                            <a:avLst/>
                          </a:prstGeom>
                        </wps:spPr>
                        <wps:txbx>
                          <w:txbxContent>
                            <w:p>
                              <w:pPr>
                                <w:spacing w:line="556" w:lineRule="exact" w:before="0"/>
                                <w:ind w:left="0" w:right="21" w:firstLine="0"/>
                                <w:jc w:val="center"/>
                                <w:rPr>
                                  <w:b/>
                                  <w:sz w:val="48"/>
                                </w:rPr>
                              </w:pPr>
                              <w:r>
                                <w:rPr>
                                  <w:b/>
                                  <w:color w:val="1F497C"/>
                                  <w:sz w:val="48"/>
                                </w:rPr>
                                <w:t>Data</w:t>
                              </w:r>
                              <w:r>
                                <w:rPr>
                                  <w:b/>
                                  <w:color w:val="1F497C"/>
                                  <w:spacing w:val="-22"/>
                                  <w:sz w:val="48"/>
                                </w:rPr>
                                <w:t> </w:t>
                              </w:r>
                              <w:r>
                                <w:rPr>
                                  <w:b/>
                                  <w:color w:val="1F497C"/>
                                  <w:sz w:val="48"/>
                                </w:rPr>
                                <w:t>Brief:</w:t>
                              </w:r>
                              <w:r>
                                <w:rPr>
                                  <w:b/>
                                  <w:color w:val="1F497C"/>
                                  <w:spacing w:val="-22"/>
                                  <w:sz w:val="48"/>
                                </w:rPr>
                                <w:t> </w:t>
                              </w:r>
                              <w:r>
                                <w:rPr>
                                  <w:b/>
                                  <w:color w:val="1F497C"/>
                                  <w:sz w:val="48"/>
                                </w:rPr>
                                <w:t>Opioid</w:t>
                              </w:r>
                              <w:r>
                                <w:rPr>
                                  <w:b/>
                                  <w:color w:val="1F497C"/>
                                  <w:sz w:val="48"/>
                                  <w:vertAlign w:val="superscript"/>
                                </w:rPr>
                                <w:t>1</w:t>
                              </w:r>
                              <w:r>
                                <w:rPr>
                                  <w:b/>
                                  <w:color w:val="1F497C"/>
                                  <w:sz w:val="48"/>
                                  <w:vertAlign w:val="baseline"/>
                                </w:rPr>
                                <w:t>‐Related</w:t>
                              </w:r>
                              <w:r>
                                <w:rPr>
                                  <w:b/>
                                  <w:color w:val="1F497C"/>
                                  <w:spacing w:val="-21"/>
                                  <w:sz w:val="48"/>
                                  <w:vertAlign w:val="baseline"/>
                                </w:rPr>
                                <w:t> </w:t>
                              </w:r>
                              <w:r>
                                <w:rPr>
                                  <w:b/>
                                  <w:color w:val="1F497C"/>
                                  <w:spacing w:val="-2"/>
                                  <w:sz w:val="48"/>
                                  <w:vertAlign w:val="baseline"/>
                                </w:rPr>
                                <w:t>Overdose</w:t>
                              </w:r>
                            </w:p>
                            <w:p>
                              <w:pPr>
                                <w:spacing w:line="576" w:lineRule="exact" w:before="0"/>
                                <w:ind w:left="2" w:right="21" w:firstLine="0"/>
                                <w:jc w:val="center"/>
                                <w:rPr>
                                  <w:b/>
                                  <w:sz w:val="48"/>
                                </w:rPr>
                              </w:pPr>
                              <w:r>
                                <w:rPr>
                                  <w:b/>
                                  <w:color w:val="1F497C"/>
                                  <w:sz w:val="48"/>
                                </w:rPr>
                                <w:t>Deaths</w:t>
                              </w:r>
                              <w:r>
                                <w:rPr>
                                  <w:b/>
                                  <w:color w:val="1F497C"/>
                                  <w:spacing w:val="-21"/>
                                  <w:sz w:val="48"/>
                                </w:rPr>
                                <w:t> </w:t>
                              </w:r>
                              <w:r>
                                <w:rPr>
                                  <w:b/>
                                  <w:color w:val="1F497C"/>
                                  <w:sz w:val="48"/>
                                </w:rPr>
                                <w:t>Among</w:t>
                              </w:r>
                              <w:r>
                                <w:rPr>
                                  <w:b/>
                                  <w:color w:val="1F497C"/>
                                  <w:spacing w:val="-19"/>
                                  <w:sz w:val="48"/>
                                </w:rPr>
                                <w:t> </w:t>
                              </w:r>
                              <w:r>
                                <w:rPr>
                                  <w:b/>
                                  <w:color w:val="1F497C"/>
                                  <w:sz w:val="48"/>
                                </w:rPr>
                                <w:t>Massachusetts</w:t>
                              </w:r>
                              <w:r>
                                <w:rPr>
                                  <w:b/>
                                  <w:color w:val="1F497C"/>
                                  <w:spacing w:val="-20"/>
                                  <w:sz w:val="48"/>
                                </w:rPr>
                                <w:t> </w:t>
                              </w:r>
                              <w:r>
                                <w:rPr>
                                  <w:b/>
                                  <w:color w:val="1F497C"/>
                                  <w:spacing w:val="-2"/>
                                  <w:sz w:val="48"/>
                                </w:rPr>
                                <w:t>Residents</w:t>
                              </w:r>
                            </w:p>
                          </w:txbxContent>
                        </wps:txbx>
                        <wps:bodyPr wrap="square" lIns="0" tIns="0" rIns="0" bIns="0" rtlCol="0">
                          <a:noAutofit/>
                        </wps:bodyPr>
                      </wps:wsp>
                      <wps:wsp>
                        <wps:cNvPr id="5" name="Textbox 5"/>
                        <wps:cNvSpPr txBox="1"/>
                        <wps:spPr>
                          <a:xfrm>
                            <a:off x="47244" y="1359027"/>
                            <a:ext cx="2052320" cy="114300"/>
                          </a:xfrm>
                          <a:prstGeom prst="rect">
                            <a:avLst/>
                          </a:prstGeom>
                        </wps:spPr>
                        <wps:txbx>
                          <w:txbxContent>
                            <w:p>
                              <w:pPr>
                                <w:spacing w:line="180" w:lineRule="exact" w:before="0"/>
                                <w:ind w:left="0" w:right="0" w:firstLine="0"/>
                                <w:jc w:val="left"/>
                                <w:rPr>
                                  <w:sz w:val="18"/>
                                </w:rPr>
                              </w:pPr>
                              <w:r>
                                <w:rPr>
                                  <w:sz w:val="18"/>
                                </w:rPr>
                                <w:t>Massachusetts</w:t>
                              </w:r>
                              <w:r>
                                <w:rPr>
                                  <w:spacing w:val="-9"/>
                                  <w:sz w:val="18"/>
                                </w:rPr>
                                <w:t> </w:t>
                              </w:r>
                              <w:r>
                                <w:rPr>
                                  <w:sz w:val="18"/>
                                </w:rPr>
                                <w:t>Department</w:t>
                              </w:r>
                              <w:r>
                                <w:rPr>
                                  <w:spacing w:val="-9"/>
                                  <w:sz w:val="18"/>
                                </w:rPr>
                                <w:t> </w:t>
                              </w:r>
                              <w:r>
                                <w:rPr>
                                  <w:sz w:val="18"/>
                                </w:rPr>
                                <w:t>of</w:t>
                              </w:r>
                              <w:r>
                                <w:rPr>
                                  <w:spacing w:val="-8"/>
                                  <w:sz w:val="18"/>
                                </w:rPr>
                                <w:t> </w:t>
                              </w:r>
                              <w:r>
                                <w:rPr>
                                  <w:sz w:val="18"/>
                                </w:rPr>
                                <w:t>Public</w:t>
                              </w:r>
                              <w:r>
                                <w:rPr>
                                  <w:spacing w:val="-9"/>
                                  <w:sz w:val="18"/>
                                </w:rPr>
                                <w:t> </w:t>
                              </w:r>
                              <w:r>
                                <w:rPr>
                                  <w:spacing w:val="-2"/>
                                  <w:sz w:val="18"/>
                                </w:rPr>
                                <w:t>Health</w:t>
                              </w:r>
                            </w:p>
                          </w:txbxContent>
                        </wps:txbx>
                        <wps:bodyPr wrap="square" lIns="0" tIns="0" rIns="0" bIns="0" rtlCol="0">
                          <a:noAutofit/>
                        </wps:bodyPr>
                      </wps:wsp>
                      <wps:wsp>
                        <wps:cNvPr id="6" name="Textbox 6"/>
                        <wps:cNvSpPr txBox="1"/>
                        <wps:spPr>
                          <a:xfrm>
                            <a:off x="5574774" y="1359027"/>
                            <a:ext cx="1115060" cy="114300"/>
                          </a:xfrm>
                          <a:prstGeom prst="rect">
                            <a:avLst/>
                          </a:prstGeom>
                        </wps:spPr>
                        <wps:txbx>
                          <w:txbxContent>
                            <w:p>
                              <w:pPr>
                                <w:spacing w:line="180" w:lineRule="exact" w:before="0"/>
                                <w:ind w:left="0" w:right="0" w:firstLine="0"/>
                                <w:jc w:val="left"/>
                                <w:rPr>
                                  <w:sz w:val="18"/>
                                </w:rPr>
                              </w:pPr>
                              <w:r>
                                <w:rPr>
                                  <w:sz w:val="18"/>
                                </w:rPr>
                                <w:t>POSTED:</w:t>
                              </w:r>
                              <w:r>
                                <w:rPr>
                                  <w:spacing w:val="26"/>
                                  <w:sz w:val="18"/>
                                </w:rPr>
                                <w:t> </w:t>
                              </w:r>
                              <w:r>
                                <w:rPr>
                                  <w:sz w:val="18"/>
                                </w:rPr>
                                <w:t>AUGUST</w:t>
                              </w:r>
                              <w:r>
                                <w:rPr>
                                  <w:spacing w:val="-6"/>
                                  <w:sz w:val="18"/>
                                </w:rPr>
                                <w:t> </w:t>
                              </w:r>
                              <w:r>
                                <w:rPr>
                                  <w:spacing w:val="-4"/>
                                  <w:sz w:val="18"/>
                                </w:rPr>
                                <w:t>2018</w:t>
                              </w:r>
                            </w:p>
                          </w:txbxContent>
                        </wps:txbx>
                        <wps:bodyPr wrap="square" lIns="0" tIns="0" rIns="0" bIns="0" rtlCol="0">
                          <a:noAutofit/>
                        </wps:bodyPr>
                      </wps:wsp>
                    </wpg:wgp>
                  </a:graphicData>
                </a:graphic>
              </wp:inline>
            </w:drawing>
          </mc:Choice>
          <mc:Fallback>
            <w:pict>
              <v:group style="width:534.3pt;height:120.3pt;mso-position-horizontal-relative:char;mso-position-vertical-relative:line" id="docshapegroup1" coordorigin="0,0" coordsize="10686,2406">
                <v:shape style="position:absolute;left:0;top:0;width:10686;height:2406" id="docshape2" coordorigin="0,0" coordsize="10686,2406" path="m10686,1966l10685,1966,10685,20,10685,11,10685,0,10667,0,10667,1986,10667,2386,22,2386,22,1986,10667,1986,10667,0,10666,0,10666,20,10666,1966,20,1966,20,20,10666,20,10666,0,0,0,0,1986,1,1986,1,2406,10686,2406,10686,2395,10686,2386,10686,1986,10686,1975,10686,1966xe" filled="true" fillcolor="#000000" stroked="false">
                  <v:path arrowok="t"/>
                  <v:fill type="solid"/>
                </v:shape>
                <v:shape style="position:absolute;left:284;top:115;width:1583;height:1606" type="#_x0000_t75" id="docshape3" stroked="false">
                  <v:imagedata r:id="rId5" o:title=""/>
                </v:shape>
                <v:shapetype id="_x0000_t202" o:spt="202" coordsize="21600,21600" path="m,l,21600r21600,l21600,xe">
                  <v:stroke joinstyle="miter"/>
                  <v:path gradientshapeok="t" o:connecttype="rect"/>
                </v:shapetype>
                <v:shape style="position:absolute;left:2248;top:226;width:8055;height:1133" type="#_x0000_t202" id="docshape4" filled="false" stroked="false">
                  <v:textbox inset="0,0,0,0">
                    <w:txbxContent>
                      <w:p>
                        <w:pPr>
                          <w:spacing w:line="556" w:lineRule="exact" w:before="0"/>
                          <w:ind w:left="0" w:right="21" w:firstLine="0"/>
                          <w:jc w:val="center"/>
                          <w:rPr>
                            <w:b/>
                            <w:sz w:val="48"/>
                          </w:rPr>
                        </w:pPr>
                        <w:r>
                          <w:rPr>
                            <w:b/>
                            <w:color w:val="1F497C"/>
                            <w:sz w:val="48"/>
                          </w:rPr>
                          <w:t>Data</w:t>
                        </w:r>
                        <w:r>
                          <w:rPr>
                            <w:b/>
                            <w:color w:val="1F497C"/>
                            <w:spacing w:val="-22"/>
                            <w:sz w:val="48"/>
                          </w:rPr>
                          <w:t> </w:t>
                        </w:r>
                        <w:r>
                          <w:rPr>
                            <w:b/>
                            <w:color w:val="1F497C"/>
                            <w:sz w:val="48"/>
                          </w:rPr>
                          <w:t>Brief:</w:t>
                        </w:r>
                        <w:r>
                          <w:rPr>
                            <w:b/>
                            <w:color w:val="1F497C"/>
                            <w:spacing w:val="-22"/>
                            <w:sz w:val="48"/>
                          </w:rPr>
                          <w:t> </w:t>
                        </w:r>
                        <w:r>
                          <w:rPr>
                            <w:b/>
                            <w:color w:val="1F497C"/>
                            <w:sz w:val="48"/>
                          </w:rPr>
                          <w:t>Opioid</w:t>
                        </w:r>
                        <w:r>
                          <w:rPr>
                            <w:b/>
                            <w:color w:val="1F497C"/>
                            <w:sz w:val="48"/>
                            <w:vertAlign w:val="superscript"/>
                          </w:rPr>
                          <w:t>1</w:t>
                        </w:r>
                        <w:r>
                          <w:rPr>
                            <w:b/>
                            <w:color w:val="1F497C"/>
                            <w:sz w:val="48"/>
                            <w:vertAlign w:val="baseline"/>
                          </w:rPr>
                          <w:t>‐Related</w:t>
                        </w:r>
                        <w:r>
                          <w:rPr>
                            <w:b/>
                            <w:color w:val="1F497C"/>
                            <w:spacing w:val="-21"/>
                            <w:sz w:val="48"/>
                            <w:vertAlign w:val="baseline"/>
                          </w:rPr>
                          <w:t> </w:t>
                        </w:r>
                        <w:r>
                          <w:rPr>
                            <w:b/>
                            <w:color w:val="1F497C"/>
                            <w:spacing w:val="-2"/>
                            <w:sz w:val="48"/>
                            <w:vertAlign w:val="baseline"/>
                          </w:rPr>
                          <w:t>Overdose</w:t>
                        </w:r>
                      </w:p>
                      <w:p>
                        <w:pPr>
                          <w:spacing w:line="576" w:lineRule="exact" w:before="0"/>
                          <w:ind w:left="2" w:right="21" w:firstLine="0"/>
                          <w:jc w:val="center"/>
                          <w:rPr>
                            <w:b/>
                            <w:sz w:val="48"/>
                          </w:rPr>
                        </w:pPr>
                        <w:r>
                          <w:rPr>
                            <w:b/>
                            <w:color w:val="1F497C"/>
                            <w:sz w:val="48"/>
                          </w:rPr>
                          <w:t>Deaths</w:t>
                        </w:r>
                        <w:r>
                          <w:rPr>
                            <w:b/>
                            <w:color w:val="1F497C"/>
                            <w:spacing w:val="-21"/>
                            <w:sz w:val="48"/>
                          </w:rPr>
                          <w:t> </w:t>
                        </w:r>
                        <w:r>
                          <w:rPr>
                            <w:b/>
                            <w:color w:val="1F497C"/>
                            <w:sz w:val="48"/>
                          </w:rPr>
                          <w:t>Among</w:t>
                        </w:r>
                        <w:r>
                          <w:rPr>
                            <w:b/>
                            <w:color w:val="1F497C"/>
                            <w:spacing w:val="-19"/>
                            <w:sz w:val="48"/>
                          </w:rPr>
                          <w:t> </w:t>
                        </w:r>
                        <w:r>
                          <w:rPr>
                            <w:b/>
                            <w:color w:val="1F497C"/>
                            <w:sz w:val="48"/>
                          </w:rPr>
                          <w:t>Massachusetts</w:t>
                        </w:r>
                        <w:r>
                          <w:rPr>
                            <w:b/>
                            <w:color w:val="1F497C"/>
                            <w:spacing w:val="-20"/>
                            <w:sz w:val="48"/>
                          </w:rPr>
                          <w:t> </w:t>
                        </w:r>
                        <w:r>
                          <w:rPr>
                            <w:b/>
                            <w:color w:val="1F497C"/>
                            <w:spacing w:val="-2"/>
                            <w:sz w:val="48"/>
                          </w:rPr>
                          <w:t>Residents</w:t>
                        </w:r>
                      </w:p>
                    </w:txbxContent>
                  </v:textbox>
                  <w10:wrap type="none"/>
                </v:shape>
                <v:shape style="position:absolute;left:74;top:2140;width:3232;height:180" type="#_x0000_t202" id="docshape5" filled="false" stroked="false">
                  <v:textbox inset="0,0,0,0">
                    <w:txbxContent>
                      <w:p>
                        <w:pPr>
                          <w:spacing w:line="180" w:lineRule="exact" w:before="0"/>
                          <w:ind w:left="0" w:right="0" w:firstLine="0"/>
                          <w:jc w:val="left"/>
                          <w:rPr>
                            <w:sz w:val="18"/>
                          </w:rPr>
                        </w:pPr>
                        <w:r>
                          <w:rPr>
                            <w:sz w:val="18"/>
                          </w:rPr>
                          <w:t>Massachusetts</w:t>
                        </w:r>
                        <w:r>
                          <w:rPr>
                            <w:spacing w:val="-9"/>
                            <w:sz w:val="18"/>
                          </w:rPr>
                          <w:t> </w:t>
                        </w:r>
                        <w:r>
                          <w:rPr>
                            <w:sz w:val="18"/>
                          </w:rPr>
                          <w:t>Department</w:t>
                        </w:r>
                        <w:r>
                          <w:rPr>
                            <w:spacing w:val="-9"/>
                            <w:sz w:val="18"/>
                          </w:rPr>
                          <w:t> </w:t>
                        </w:r>
                        <w:r>
                          <w:rPr>
                            <w:sz w:val="18"/>
                          </w:rPr>
                          <w:t>of</w:t>
                        </w:r>
                        <w:r>
                          <w:rPr>
                            <w:spacing w:val="-8"/>
                            <w:sz w:val="18"/>
                          </w:rPr>
                          <w:t> </w:t>
                        </w:r>
                        <w:r>
                          <w:rPr>
                            <w:sz w:val="18"/>
                          </w:rPr>
                          <w:t>Public</w:t>
                        </w:r>
                        <w:r>
                          <w:rPr>
                            <w:spacing w:val="-9"/>
                            <w:sz w:val="18"/>
                          </w:rPr>
                          <w:t> </w:t>
                        </w:r>
                        <w:r>
                          <w:rPr>
                            <w:spacing w:val="-2"/>
                            <w:sz w:val="18"/>
                          </w:rPr>
                          <w:t>Health</w:t>
                        </w:r>
                      </w:p>
                    </w:txbxContent>
                  </v:textbox>
                  <w10:wrap type="none"/>
                </v:shape>
                <v:shape style="position:absolute;left:8779;top:2140;width:1756;height:180" type="#_x0000_t202" id="docshape6" filled="false" stroked="false">
                  <v:textbox inset="0,0,0,0">
                    <w:txbxContent>
                      <w:p>
                        <w:pPr>
                          <w:spacing w:line="180" w:lineRule="exact" w:before="0"/>
                          <w:ind w:left="0" w:right="0" w:firstLine="0"/>
                          <w:jc w:val="left"/>
                          <w:rPr>
                            <w:sz w:val="18"/>
                          </w:rPr>
                        </w:pPr>
                        <w:r>
                          <w:rPr>
                            <w:sz w:val="18"/>
                          </w:rPr>
                          <w:t>POSTED:</w:t>
                        </w:r>
                        <w:r>
                          <w:rPr>
                            <w:spacing w:val="26"/>
                            <w:sz w:val="18"/>
                          </w:rPr>
                          <w:t> </w:t>
                        </w:r>
                        <w:r>
                          <w:rPr>
                            <w:sz w:val="18"/>
                          </w:rPr>
                          <w:t>AUGUST</w:t>
                        </w:r>
                        <w:r>
                          <w:rPr>
                            <w:spacing w:val="-6"/>
                            <w:sz w:val="18"/>
                          </w:rPr>
                          <w:t> </w:t>
                        </w:r>
                        <w:r>
                          <w:rPr>
                            <w:spacing w:val="-4"/>
                            <w:sz w:val="18"/>
                          </w:rPr>
                          <w:t>2018</w:t>
                        </w:r>
                      </w:p>
                    </w:txbxContent>
                  </v:textbox>
                  <w10:wrap type="none"/>
                </v:shape>
              </v:group>
            </w:pict>
          </mc:Fallback>
        </mc:AlternateContent>
      </w:r>
      <w:r>
        <w:rPr>
          <w:rFonts w:ascii="Times New Roman"/>
          <w:sz w:val="20"/>
        </w:rPr>
      </w:r>
    </w:p>
    <w:p>
      <w:pPr>
        <w:pStyle w:val="BodyText"/>
        <w:spacing w:before="139"/>
        <w:ind w:left="120"/>
        <w:jc w:val="both"/>
      </w:pPr>
      <w:r>
        <w:rPr/>
        <w:t>This</w:t>
      </w:r>
      <w:r>
        <w:rPr>
          <w:spacing w:val="-6"/>
        </w:rPr>
        <w:t> </w:t>
      </w:r>
      <w:r>
        <w:rPr/>
        <w:t>report</w:t>
      </w:r>
      <w:r>
        <w:rPr>
          <w:spacing w:val="-6"/>
        </w:rPr>
        <w:t> </w:t>
      </w:r>
      <w:r>
        <w:rPr/>
        <w:t>contains</w:t>
      </w:r>
      <w:r>
        <w:rPr>
          <w:spacing w:val="-5"/>
        </w:rPr>
        <w:t> </w:t>
      </w:r>
      <w:r>
        <w:rPr/>
        <w:t>both</w:t>
      </w:r>
      <w:r>
        <w:rPr>
          <w:spacing w:val="-4"/>
        </w:rPr>
        <w:t> </w:t>
      </w:r>
      <w:r>
        <w:rPr/>
        <w:t>confirmed</w:t>
      </w:r>
      <w:r>
        <w:rPr>
          <w:spacing w:val="-5"/>
        </w:rPr>
        <w:t> </w:t>
      </w:r>
      <w:r>
        <w:rPr/>
        <w:t>and</w:t>
      </w:r>
      <w:r>
        <w:rPr>
          <w:spacing w:val="-6"/>
        </w:rPr>
        <w:t> </w:t>
      </w:r>
      <w:r>
        <w:rPr/>
        <w:t>estimated</w:t>
      </w:r>
      <w:r>
        <w:rPr>
          <w:spacing w:val="-3"/>
        </w:rPr>
        <w:t> </w:t>
      </w:r>
      <w:r>
        <w:rPr/>
        <w:t>data</w:t>
      </w:r>
      <w:r>
        <w:rPr>
          <w:spacing w:val="-6"/>
        </w:rPr>
        <w:t> </w:t>
      </w:r>
      <w:r>
        <w:rPr/>
        <w:t>through</w:t>
      </w:r>
      <w:r>
        <w:rPr>
          <w:spacing w:val="-5"/>
        </w:rPr>
        <w:t> </w:t>
      </w:r>
      <w:r>
        <w:rPr/>
        <w:t>June</w:t>
      </w:r>
      <w:r>
        <w:rPr>
          <w:spacing w:val="-5"/>
        </w:rPr>
        <w:t> </w:t>
      </w:r>
      <w:r>
        <w:rPr>
          <w:spacing w:val="-2"/>
        </w:rPr>
        <w:t>2018.</w:t>
      </w:r>
    </w:p>
    <w:p>
      <w:pPr>
        <w:pStyle w:val="BodyText"/>
        <w:spacing w:before="4"/>
        <w:rPr>
          <w:sz w:val="20"/>
        </w:rPr>
      </w:pPr>
      <w:r>
        <w:rPr/>
        <w:drawing>
          <wp:anchor distT="0" distB="0" distL="0" distR="0" allowOverlap="1" layoutInCell="1" locked="0" behindDoc="1" simplePos="0" relativeHeight="487588352">
            <wp:simplePos x="0" y="0"/>
            <wp:positionH relativeFrom="page">
              <wp:posOffset>583946</wp:posOffset>
            </wp:positionH>
            <wp:positionV relativeFrom="paragraph">
              <wp:posOffset>173003</wp:posOffset>
            </wp:positionV>
            <wp:extent cx="6567165" cy="1918335"/>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6567165" cy="1918335"/>
                    </a:xfrm>
                    <a:prstGeom prst="rect">
                      <a:avLst/>
                    </a:prstGeom>
                  </pic:spPr>
                </pic:pic>
              </a:graphicData>
            </a:graphic>
          </wp:anchor>
        </w:drawing>
      </w:r>
    </w:p>
    <w:p>
      <w:pPr>
        <w:pStyle w:val="BodyText"/>
        <w:spacing w:before="17"/>
      </w:pPr>
    </w:p>
    <w:p>
      <w:pPr>
        <w:pStyle w:val="BodyText"/>
        <w:ind w:left="120" w:right="430"/>
        <w:jc w:val="both"/>
      </w:pPr>
      <w:r>
        <w:rPr/>
        <w:t>The chart above</w:t>
      </w:r>
      <w:r>
        <w:rPr>
          <w:spacing w:val="-1"/>
        </w:rPr>
        <w:t> </w:t>
      </w:r>
      <w:r>
        <w:rPr/>
        <w:t>shows the</w:t>
      </w:r>
      <w:r>
        <w:rPr>
          <w:spacing w:val="-1"/>
        </w:rPr>
        <w:t> </w:t>
      </w:r>
      <w:r>
        <w:rPr/>
        <w:t>month‐by‐month estimates</w:t>
      </w:r>
      <w:r>
        <w:rPr>
          <w:spacing w:val="-1"/>
        </w:rPr>
        <w:t> </w:t>
      </w:r>
      <w:r>
        <w:rPr/>
        <w:t>for</w:t>
      </w:r>
      <w:r>
        <w:rPr>
          <w:spacing w:val="-1"/>
        </w:rPr>
        <w:t> </w:t>
      </w:r>
      <w:r>
        <w:rPr/>
        <w:t>fatal opioid‐related overdoses for</w:t>
      </w:r>
      <w:r>
        <w:rPr>
          <w:spacing w:val="-1"/>
        </w:rPr>
        <w:t> </w:t>
      </w:r>
      <w:r>
        <w:rPr/>
        <w:t>all</w:t>
      </w:r>
      <w:r>
        <w:rPr>
          <w:spacing w:val="-1"/>
        </w:rPr>
        <w:t> </w:t>
      </w:r>
      <w:r>
        <w:rPr/>
        <w:t>intents from</w:t>
      </w:r>
      <w:r>
        <w:rPr>
          <w:spacing w:val="-1"/>
        </w:rPr>
        <w:t> </w:t>
      </w:r>
      <w:r>
        <w:rPr/>
        <w:t>January 2017</w:t>
      </w:r>
      <w:r>
        <w:rPr>
          <w:spacing w:val="-3"/>
        </w:rPr>
        <w:t> </w:t>
      </w:r>
      <w:r>
        <w:rPr/>
        <w:t>through</w:t>
      </w:r>
      <w:r>
        <w:rPr>
          <w:spacing w:val="-1"/>
        </w:rPr>
        <w:t> </w:t>
      </w:r>
      <w:r>
        <w:rPr/>
        <w:t>June</w:t>
      </w:r>
      <w:r>
        <w:rPr>
          <w:spacing w:val="-3"/>
        </w:rPr>
        <w:t> </w:t>
      </w:r>
      <w:r>
        <w:rPr/>
        <w:t>2018.</w:t>
      </w:r>
      <w:r>
        <w:rPr>
          <w:spacing w:val="-2"/>
        </w:rPr>
        <w:t> </w:t>
      </w:r>
      <w:r>
        <w:rPr/>
        <w:t>For</w:t>
      </w:r>
      <w:r>
        <w:rPr>
          <w:spacing w:val="-3"/>
        </w:rPr>
        <w:t> </w:t>
      </w:r>
      <w:r>
        <w:rPr/>
        <w:t>the</w:t>
      </w:r>
      <w:r>
        <w:rPr>
          <w:spacing w:val="-3"/>
        </w:rPr>
        <w:t> </w:t>
      </w:r>
      <w:r>
        <w:rPr/>
        <w:t>first</w:t>
      </w:r>
      <w:r>
        <w:rPr>
          <w:spacing w:val="-2"/>
        </w:rPr>
        <w:t> </w:t>
      </w:r>
      <w:r>
        <w:rPr/>
        <w:t>6</w:t>
      </w:r>
      <w:r>
        <w:rPr>
          <w:spacing w:val="-1"/>
        </w:rPr>
        <w:t> </w:t>
      </w:r>
      <w:r>
        <w:rPr/>
        <w:t>months</w:t>
      </w:r>
      <w:r>
        <w:rPr>
          <w:spacing w:val="-2"/>
        </w:rPr>
        <w:t> </w:t>
      </w:r>
      <w:r>
        <w:rPr/>
        <w:t>of</w:t>
      </w:r>
      <w:r>
        <w:rPr>
          <w:spacing w:val="-3"/>
        </w:rPr>
        <w:t> </w:t>
      </w:r>
      <w:r>
        <w:rPr/>
        <w:t>2018,</w:t>
      </w:r>
      <w:r>
        <w:rPr>
          <w:spacing w:val="-3"/>
        </w:rPr>
        <w:t> </w:t>
      </w:r>
      <w:r>
        <w:rPr/>
        <w:t>there</w:t>
      </w:r>
      <w:r>
        <w:rPr>
          <w:spacing w:val="-2"/>
        </w:rPr>
        <w:t> </w:t>
      </w:r>
      <w:r>
        <w:rPr/>
        <w:t>are</w:t>
      </w:r>
      <w:r>
        <w:rPr>
          <w:spacing w:val="-2"/>
        </w:rPr>
        <w:t> </w:t>
      </w:r>
      <w:r>
        <w:rPr/>
        <w:t>657</w:t>
      </w:r>
      <w:r>
        <w:rPr>
          <w:spacing w:val="-3"/>
        </w:rPr>
        <w:t> </w:t>
      </w:r>
      <w:r>
        <w:rPr/>
        <w:t>confirmed</w:t>
      </w:r>
      <w:r>
        <w:rPr>
          <w:spacing w:val="-4"/>
        </w:rPr>
        <w:t> </w:t>
      </w:r>
      <w:r>
        <w:rPr/>
        <w:t>opioid‐related</w:t>
      </w:r>
      <w:r>
        <w:rPr>
          <w:spacing w:val="-2"/>
        </w:rPr>
        <w:t> </w:t>
      </w:r>
      <w:r>
        <w:rPr/>
        <w:t>overdose</w:t>
      </w:r>
      <w:r>
        <w:rPr>
          <w:spacing w:val="-3"/>
        </w:rPr>
        <w:t> </w:t>
      </w:r>
      <w:r>
        <w:rPr/>
        <w:t>deaths</w:t>
      </w:r>
      <w:r>
        <w:rPr>
          <w:spacing w:val="-2"/>
        </w:rPr>
        <w:t> </w:t>
      </w:r>
      <w:r>
        <w:rPr/>
        <w:t>and DPH estimates that there will be an additional 322 to 396 deaths.</w:t>
      </w:r>
    </w:p>
    <w:p>
      <w:pPr>
        <w:pStyle w:val="BodyText"/>
        <w:spacing w:before="3"/>
        <w:rPr>
          <w:sz w:val="20"/>
        </w:rPr>
      </w:pPr>
      <w:r>
        <w:rPr/>
        <w:drawing>
          <wp:anchor distT="0" distB="0" distL="0" distR="0" allowOverlap="1" layoutInCell="1" locked="0" behindDoc="1" simplePos="0" relativeHeight="487588864">
            <wp:simplePos x="0" y="0"/>
            <wp:positionH relativeFrom="page">
              <wp:posOffset>782320</wp:posOffset>
            </wp:positionH>
            <wp:positionV relativeFrom="paragraph">
              <wp:posOffset>172327</wp:posOffset>
            </wp:positionV>
            <wp:extent cx="6162914" cy="3094577"/>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6162914" cy="3094577"/>
                    </a:xfrm>
                    <a:prstGeom prst="rect">
                      <a:avLst/>
                    </a:prstGeom>
                  </pic:spPr>
                </pic:pic>
              </a:graphicData>
            </a:graphic>
          </wp:anchor>
        </w:drawing>
      </w:r>
    </w:p>
    <w:p>
      <w:pPr>
        <w:spacing w:before="28"/>
        <w:ind w:left="615" w:right="0" w:firstLine="0"/>
        <w:jc w:val="left"/>
        <w:rPr>
          <w:sz w:val="18"/>
        </w:rPr>
      </w:pPr>
      <w:r>
        <w:rPr>
          <w:sz w:val="18"/>
        </w:rPr>
        <w:t>Note:</w:t>
      </w:r>
      <w:r>
        <w:rPr>
          <w:spacing w:val="-6"/>
          <w:sz w:val="18"/>
        </w:rPr>
        <w:t> </w:t>
      </w:r>
      <w:r>
        <w:rPr>
          <w:sz w:val="18"/>
        </w:rPr>
        <w:t>Counts</w:t>
      </w:r>
      <w:r>
        <w:rPr>
          <w:spacing w:val="-4"/>
          <w:sz w:val="18"/>
        </w:rPr>
        <w:t> </w:t>
      </w:r>
      <w:r>
        <w:rPr>
          <w:sz w:val="18"/>
        </w:rPr>
        <w:t>for</w:t>
      </w:r>
      <w:r>
        <w:rPr>
          <w:spacing w:val="-5"/>
          <w:sz w:val="18"/>
        </w:rPr>
        <w:t> </w:t>
      </w:r>
      <w:r>
        <w:rPr>
          <w:sz w:val="18"/>
        </w:rPr>
        <w:t>2016‐2018</w:t>
      </w:r>
      <w:r>
        <w:rPr>
          <w:spacing w:val="-5"/>
          <w:sz w:val="18"/>
        </w:rPr>
        <w:t> </w:t>
      </w:r>
      <w:r>
        <w:rPr>
          <w:sz w:val="18"/>
        </w:rPr>
        <w:t>are</w:t>
      </w:r>
      <w:r>
        <w:rPr>
          <w:spacing w:val="-4"/>
          <w:sz w:val="18"/>
        </w:rPr>
        <w:t> </w:t>
      </w:r>
      <w:r>
        <w:rPr>
          <w:sz w:val="18"/>
        </w:rPr>
        <w:t>based</w:t>
      </w:r>
      <w:r>
        <w:rPr>
          <w:spacing w:val="-4"/>
          <w:sz w:val="18"/>
        </w:rPr>
        <w:t> </w:t>
      </w:r>
      <w:r>
        <w:rPr>
          <w:sz w:val="18"/>
        </w:rPr>
        <w:t>on</w:t>
      </w:r>
      <w:r>
        <w:rPr>
          <w:spacing w:val="-6"/>
          <w:sz w:val="18"/>
        </w:rPr>
        <w:t> </w:t>
      </w:r>
      <w:r>
        <w:rPr>
          <w:sz w:val="18"/>
        </w:rPr>
        <w:t>estimates</w:t>
      </w:r>
      <w:r>
        <w:rPr>
          <w:spacing w:val="-4"/>
          <w:sz w:val="18"/>
        </w:rPr>
        <w:t> </w:t>
      </w:r>
      <w:r>
        <w:rPr>
          <w:sz w:val="18"/>
        </w:rPr>
        <w:t>and</w:t>
      </w:r>
      <w:r>
        <w:rPr>
          <w:spacing w:val="-5"/>
          <w:sz w:val="18"/>
        </w:rPr>
        <w:t> </w:t>
      </w:r>
      <w:r>
        <w:rPr>
          <w:sz w:val="18"/>
        </w:rPr>
        <w:t>are</w:t>
      </w:r>
      <w:r>
        <w:rPr>
          <w:spacing w:val="-5"/>
          <w:sz w:val="18"/>
        </w:rPr>
        <w:t> </w:t>
      </w:r>
      <w:r>
        <w:rPr>
          <w:sz w:val="18"/>
        </w:rPr>
        <w:t>subject</w:t>
      </w:r>
      <w:r>
        <w:rPr>
          <w:spacing w:val="-5"/>
          <w:sz w:val="18"/>
        </w:rPr>
        <w:t> </w:t>
      </w:r>
      <w:r>
        <w:rPr>
          <w:sz w:val="18"/>
        </w:rPr>
        <w:t>to</w:t>
      </w:r>
      <w:r>
        <w:rPr>
          <w:spacing w:val="-4"/>
          <w:sz w:val="18"/>
        </w:rPr>
        <w:t> </w:t>
      </w:r>
      <w:r>
        <w:rPr>
          <w:spacing w:val="-2"/>
          <w:sz w:val="18"/>
        </w:rPr>
        <w:t>change.</w:t>
      </w:r>
    </w:p>
    <w:p>
      <w:pPr>
        <w:pStyle w:val="BodyText"/>
        <w:spacing w:before="48"/>
        <w:rPr>
          <w:sz w:val="18"/>
        </w:rPr>
      </w:pPr>
    </w:p>
    <w:p>
      <w:pPr>
        <w:pStyle w:val="BodyText"/>
        <w:ind w:left="120" w:right="137" w:hanging="1"/>
      </w:pPr>
      <w:r>
        <w:rPr/>
        <w:t>From the fourth quarter of 2015 through the end of 2016, the count of opioid‐related overdose deaths increased. For the first two quarters of 2017, the count of opioid‐related overdose deaths decreased but then increased in the third quarter.</w:t>
      </w:r>
      <w:r>
        <w:rPr>
          <w:spacing w:val="-2"/>
        </w:rPr>
        <w:t> </w:t>
      </w:r>
      <w:r>
        <w:rPr/>
        <w:t>Since</w:t>
      </w:r>
      <w:r>
        <w:rPr>
          <w:spacing w:val="-4"/>
        </w:rPr>
        <w:t> </w:t>
      </w:r>
      <w:r>
        <w:rPr/>
        <w:t>the</w:t>
      </w:r>
      <w:r>
        <w:rPr>
          <w:spacing w:val="-4"/>
        </w:rPr>
        <w:t> </w:t>
      </w:r>
      <w:r>
        <w:rPr/>
        <w:t>third</w:t>
      </w:r>
      <w:r>
        <w:rPr>
          <w:spacing w:val="-3"/>
        </w:rPr>
        <w:t> </w:t>
      </w:r>
      <w:r>
        <w:rPr/>
        <w:t>quarter</w:t>
      </w:r>
      <w:r>
        <w:rPr>
          <w:spacing w:val="-4"/>
        </w:rPr>
        <w:t> </w:t>
      </w:r>
      <w:r>
        <w:rPr/>
        <w:t>of</w:t>
      </w:r>
      <w:r>
        <w:rPr>
          <w:spacing w:val="-4"/>
        </w:rPr>
        <w:t> </w:t>
      </w:r>
      <w:r>
        <w:rPr/>
        <w:t>2017,</w:t>
      </w:r>
      <w:r>
        <w:rPr>
          <w:spacing w:val="-4"/>
        </w:rPr>
        <w:t> </w:t>
      </w:r>
      <w:r>
        <w:rPr/>
        <w:t>the</w:t>
      </w:r>
      <w:r>
        <w:rPr>
          <w:spacing w:val="-3"/>
        </w:rPr>
        <w:t> </w:t>
      </w:r>
      <w:r>
        <w:rPr/>
        <w:t>number</w:t>
      </w:r>
      <w:r>
        <w:rPr>
          <w:spacing w:val="-1"/>
        </w:rPr>
        <w:t> </w:t>
      </w:r>
      <w:r>
        <w:rPr/>
        <w:t>of</w:t>
      </w:r>
      <w:r>
        <w:rPr>
          <w:spacing w:val="-4"/>
        </w:rPr>
        <w:t> </w:t>
      </w:r>
      <w:r>
        <w:rPr/>
        <w:t>opioid‐related</w:t>
      </w:r>
      <w:r>
        <w:rPr>
          <w:spacing w:val="-3"/>
        </w:rPr>
        <w:t> </w:t>
      </w:r>
      <w:r>
        <w:rPr/>
        <w:t>overdose</w:t>
      </w:r>
      <w:r>
        <w:rPr>
          <w:spacing w:val="-4"/>
        </w:rPr>
        <w:t> </w:t>
      </w:r>
      <w:r>
        <w:rPr/>
        <w:t>deaths</w:t>
      </w:r>
      <w:r>
        <w:rPr>
          <w:spacing w:val="-2"/>
        </w:rPr>
        <w:t> </w:t>
      </w:r>
      <w:r>
        <w:rPr/>
        <w:t>has</w:t>
      </w:r>
      <w:r>
        <w:rPr>
          <w:spacing w:val="-3"/>
        </w:rPr>
        <w:t> </w:t>
      </w:r>
      <w:r>
        <w:rPr/>
        <w:t>steadily</w:t>
      </w:r>
      <w:r>
        <w:rPr>
          <w:spacing w:val="-4"/>
        </w:rPr>
        <w:t> </w:t>
      </w:r>
      <w:r>
        <w:rPr/>
        <w:t>decreased,</w:t>
      </w:r>
      <w:r>
        <w:rPr>
          <w:spacing w:val="-4"/>
        </w:rPr>
        <w:t> </w:t>
      </w:r>
      <w:r>
        <w:rPr/>
        <w:t>including</w:t>
      </w:r>
    </w:p>
    <w:p>
      <w:pPr>
        <w:spacing w:after="0"/>
        <w:sectPr>
          <w:type w:val="continuous"/>
          <w:pgSz w:w="12240" w:h="15840"/>
          <w:pgMar w:top="440" w:bottom="280" w:left="600" w:right="620"/>
        </w:sectPr>
      </w:pPr>
    </w:p>
    <w:p>
      <w:pPr>
        <w:pStyle w:val="BodyText"/>
        <w:spacing w:before="26"/>
        <w:ind w:left="120" w:right="137" w:hanging="1"/>
      </w:pPr>
      <w:r>
        <w:rPr/>
        <w:t>the</w:t>
      </w:r>
      <w:r>
        <w:rPr>
          <w:spacing w:val="-3"/>
        </w:rPr>
        <w:t> </w:t>
      </w:r>
      <w:r>
        <w:rPr/>
        <w:t>first</w:t>
      </w:r>
      <w:r>
        <w:rPr>
          <w:spacing w:val="-2"/>
        </w:rPr>
        <w:t> </w:t>
      </w:r>
      <w:r>
        <w:rPr/>
        <w:t>two</w:t>
      </w:r>
      <w:r>
        <w:rPr>
          <w:spacing w:val="-1"/>
        </w:rPr>
        <w:t> </w:t>
      </w:r>
      <w:r>
        <w:rPr/>
        <w:t>quarters</w:t>
      </w:r>
      <w:r>
        <w:rPr>
          <w:spacing w:val="-2"/>
        </w:rPr>
        <w:t> </w:t>
      </w:r>
      <w:r>
        <w:rPr/>
        <w:t>of</w:t>
      </w:r>
      <w:r>
        <w:rPr>
          <w:spacing w:val="-3"/>
        </w:rPr>
        <w:t> </w:t>
      </w:r>
      <w:r>
        <w:rPr/>
        <w:t>2018</w:t>
      </w:r>
      <w:r>
        <w:rPr>
          <w:spacing w:val="-3"/>
        </w:rPr>
        <w:t> </w:t>
      </w:r>
      <w:r>
        <w:rPr/>
        <w:t>(Figure</w:t>
      </w:r>
      <w:r>
        <w:rPr>
          <w:spacing w:val="-3"/>
        </w:rPr>
        <w:t> </w:t>
      </w:r>
      <w:r>
        <w:rPr/>
        <w:t>2).</w:t>
      </w:r>
      <w:r>
        <w:rPr>
          <w:spacing w:val="-3"/>
        </w:rPr>
        <w:t> </w:t>
      </w:r>
      <w:r>
        <w:rPr/>
        <w:t>Despite</w:t>
      </w:r>
      <w:r>
        <w:rPr>
          <w:spacing w:val="-2"/>
        </w:rPr>
        <w:t> </w:t>
      </w:r>
      <w:r>
        <w:rPr/>
        <w:t>the</w:t>
      </w:r>
      <w:r>
        <w:rPr>
          <w:spacing w:val="-2"/>
        </w:rPr>
        <w:t> </w:t>
      </w:r>
      <w:r>
        <w:rPr/>
        <w:t>spike</w:t>
      </w:r>
      <w:r>
        <w:rPr>
          <w:spacing w:val="-2"/>
        </w:rPr>
        <w:t> </w:t>
      </w:r>
      <w:r>
        <w:rPr/>
        <w:t>in</w:t>
      </w:r>
      <w:r>
        <w:rPr>
          <w:spacing w:val="-2"/>
        </w:rPr>
        <w:t> </w:t>
      </w:r>
      <w:r>
        <w:rPr/>
        <w:t>the</w:t>
      </w:r>
      <w:r>
        <w:rPr>
          <w:spacing w:val="-2"/>
        </w:rPr>
        <w:t> </w:t>
      </w:r>
      <w:r>
        <w:rPr/>
        <w:t>third</w:t>
      </w:r>
      <w:r>
        <w:rPr>
          <w:spacing w:val="-3"/>
        </w:rPr>
        <w:t> </w:t>
      </w:r>
      <w:r>
        <w:rPr/>
        <w:t>quarter</w:t>
      </w:r>
      <w:r>
        <w:rPr>
          <w:spacing w:val="-2"/>
        </w:rPr>
        <w:t> </w:t>
      </w:r>
      <w:r>
        <w:rPr/>
        <w:t>of</w:t>
      </w:r>
      <w:r>
        <w:rPr>
          <w:spacing w:val="-3"/>
        </w:rPr>
        <w:t> </w:t>
      </w:r>
      <w:r>
        <w:rPr/>
        <w:t>2017,</w:t>
      </w:r>
      <w:r>
        <w:rPr>
          <w:spacing w:val="-3"/>
        </w:rPr>
        <w:t> </w:t>
      </w:r>
      <w:r>
        <w:rPr/>
        <w:t>overall,</w:t>
      </w:r>
      <w:r>
        <w:rPr>
          <w:spacing w:val="-3"/>
        </w:rPr>
        <w:t> </w:t>
      </w:r>
      <w:r>
        <w:rPr/>
        <w:t>there</w:t>
      </w:r>
      <w:r>
        <w:rPr>
          <w:spacing w:val="-2"/>
        </w:rPr>
        <w:t> </w:t>
      </w:r>
      <w:r>
        <w:rPr/>
        <w:t>was</w:t>
      </w:r>
      <w:r>
        <w:rPr>
          <w:spacing w:val="-2"/>
        </w:rPr>
        <w:t> </w:t>
      </w:r>
      <w:r>
        <w:rPr/>
        <w:t>a</w:t>
      </w:r>
      <w:r>
        <w:rPr>
          <w:spacing w:val="-2"/>
        </w:rPr>
        <w:t> </w:t>
      </w:r>
      <w:r>
        <w:rPr/>
        <w:t>4%</w:t>
      </w:r>
      <w:r>
        <w:rPr>
          <w:spacing w:val="-3"/>
        </w:rPr>
        <w:t> </w:t>
      </w:r>
      <w:r>
        <w:rPr/>
        <w:t>decrease in opioid‐related overdose deaths in 2017 compared with 2016.</w:t>
      </w:r>
    </w:p>
    <w:p>
      <w:pPr>
        <w:pStyle w:val="BodyText"/>
        <w:spacing w:before="8"/>
        <w:rPr>
          <w:sz w:val="20"/>
        </w:rPr>
      </w:pPr>
      <w:r>
        <w:rPr/>
        <w:drawing>
          <wp:anchor distT="0" distB="0" distL="0" distR="0" allowOverlap="1" layoutInCell="1" locked="0" behindDoc="1" simplePos="0" relativeHeight="487589376">
            <wp:simplePos x="0" y="0"/>
            <wp:positionH relativeFrom="page">
              <wp:posOffset>456946</wp:posOffset>
            </wp:positionH>
            <wp:positionV relativeFrom="paragraph">
              <wp:posOffset>175827</wp:posOffset>
            </wp:positionV>
            <wp:extent cx="6652700" cy="2387822"/>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6652700" cy="2387822"/>
                    </a:xfrm>
                    <a:prstGeom prst="rect">
                      <a:avLst/>
                    </a:prstGeom>
                  </pic:spPr>
                </pic:pic>
              </a:graphicData>
            </a:graphic>
          </wp:anchor>
        </w:drawing>
      </w:r>
    </w:p>
    <w:p>
      <w:pPr>
        <w:pStyle w:val="BodyText"/>
        <w:spacing w:before="22"/>
        <w:ind w:left="120"/>
      </w:pPr>
      <w:r>
        <w:rPr/>
        <w:t>Figure 3 shows the number of confirmed and estimated cases of opioid‐related overdose deaths for all intents in 2017 (n=2,071). This represents a 4% decrease from 2016’s total confirmed and estimated cases (n=2,154). The updated number of confirmed and estimated cases for 2016 (n=2,154) shows a 28% increase over confirmed cases in 2015 (n=1,685).</w:t>
      </w:r>
      <w:r>
        <w:rPr>
          <w:spacing w:val="-2"/>
        </w:rPr>
        <w:t> </w:t>
      </w:r>
      <w:r>
        <w:rPr/>
        <w:t>In</w:t>
      </w:r>
      <w:r>
        <w:rPr>
          <w:spacing w:val="-2"/>
        </w:rPr>
        <w:t> </w:t>
      </w:r>
      <w:r>
        <w:rPr/>
        <w:t>order</w:t>
      </w:r>
      <w:r>
        <w:rPr>
          <w:spacing w:val="-4"/>
        </w:rPr>
        <w:t> </w:t>
      </w:r>
      <w:r>
        <w:rPr/>
        <w:t>to</w:t>
      </w:r>
      <w:r>
        <w:rPr>
          <w:spacing w:val="-3"/>
        </w:rPr>
        <w:t> </w:t>
      </w:r>
      <w:r>
        <w:rPr/>
        <w:t>obtain</w:t>
      </w:r>
      <w:r>
        <w:rPr>
          <w:spacing w:val="-3"/>
        </w:rPr>
        <w:t> </w:t>
      </w:r>
      <w:r>
        <w:rPr/>
        <w:t>timelier</w:t>
      </w:r>
      <w:r>
        <w:rPr>
          <w:spacing w:val="-2"/>
        </w:rPr>
        <w:t> </w:t>
      </w:r>
      <w:r>
        <w:rPr/>
        <w:t>estimates</w:t>
      </w:r>
      <w:r>
        <w:rPr>
          <w:spacing w:val="-2"/>
        </w:rPr>
        <w:t> </w:t>
      </w:r>
      <w:r>
        <w:rPr/>
        <w:t>of</w:t>
      </w:r>
      <w:r>
        <w:rPr>
          <w:spacing w:val="-4"/>
        </w:rPr>
        <w:t> </w:t>
      </w:r>
      <w:r>
        <w:rPr/>
        <w:t>the</w:t>
      </w:r>
      <w:r>
        <w:rPr>
          <w:spacing w:val="-4"/>
        </w:rPr>
        <w:t> </w:t>
      </w:r>
      <w:r>
        <w:rPr/>
        <w:t>total</w:t>
      </w:r>
      <w:r>
        <w:rPr>
          <w:spacing w:val="-2"/>
        </w:rPr>
        <w:t> </w:t>
      </w:r>
      <w:r>
        <w:rPr/>
        <w:t>number</w:t>
      </w:r>
      <w:r>
        <w:rPr>
          <w:spacing w:val="-3"/>
        </w:rPr>
        <w:t> </w:t>
      </w:r>
      <w:r>
        <w:rPr/>
        <w:t>of</w:t>
      </w:r>
      <w:r>
        <w:rPr>
          <w:spacing w:val="-4"/>
        </w:rPr>
        <w:t> </w:t>
      </w:r>
      <w:r>
        <w:rPr/>
        <w:t>opioid‐related</w:t>
      </w:r>
      <w:r>
        <w:rPr>
          <w:spacing w:val="-4"/>
        </w:rPr>
        <w:t> </w:t>
      </w:r>
      <w:r>
        <w:rPr/>
        <w:t>overdose</w:t>
      </w:r>
      <w:r>
        <w:rPr>
          <w:spacing w:val="-5"/>
        </w:rPr>
        <w:t> </w:t>
      </w:r>
      <w:r>
        <w:rPr/>
        <w:t>deaths</w:t>
      </w:r>
      <w:r>
        <w:rPr>
          <w:spacing w:val="-3"/>
        </w:rPr>
        <w:t> </w:t>
      </w:r>
      <w:r>
        <w:rPr/>
        <w:t>in</w:t>
      </w:r>
      <w:r>
        <w:rPr>
          <w:spacing w:val="-3"/>
        </w:rPr>
        <w:t> </w:t>
      </w:r>
      <w:r>
        <w:rPr/>
        <w:t>Massachusetts</w:t>
      </w:r>
    </w:p>
    <w:p>
      <w:pPr>
        <w:pStyle w:val="BodyText"/>
        <w:spacing w:before="1"/>
        <w:ind w:left="120" w:hanging="1"/>
      </w:pPr>
      <w:r>
        <w:rPr/>
        <w:t>‐</w:t>
      </w:r>
      <w:r>
        <w:rPr>
          <w:spacing w:val="-3"/>
        </w:rPr>
        <w:t> </w:t>
      </w:r>
      <w:r>
        <w:rPr/>
        <w:t>confirmed</w:t>
      </w:r>
      <w:r>
        <w:rPr>
          <w:spacing w:val="-3"/>
        </w:rPr>
        <w:t> </w:t>
      </w:r>
      <w:r>
        <w:rPr/>
        <w:t>and</w:t>
      </w:r>
      <w:r>
        <w:rPr>
          <w:spacing w:val="-3"/>
        </w:rPr>
        <w:t> </w:t>
      </w:r>
      <w:r>
        <w:rPr/>
        <w:t>probable</w:t>
      </w:r>
      <w:r>
        <w:rPr>
          <w:spacing w:val="-3"/>
        </w:rPr>
        <w:t> </w:t>
      </w:r>
      <w:r>
        <w:rPr/>
        <w:t>‐</w:t>
      </w:r>
      <w:r>
        <w:rPr>
          <w:spacing w:val="-2"/>
        </w:rPr>
        <w:t> </w:t>
      </w:r>
      <w:r>
        <w:rPr/>
        <w:t>DPH</w:t>
      </w:r>
      <w:r>
        <w:rPr>
          <w:spacing w:val="-3"/>
        </w:rPr>
        <w:t> </w:t>
      </w:r>
      <w:r>
        <w:rPr/>
        <w:t>used</w:t>
      </w:r>
      <w:r>
        <w:rPr>
          <w:spacing w:val="-1"/>
        </w:rPr>
        <w:t> </w:t>
      </w:r>
      <w:r>
        <w:rPr/>
        <w:t>predictive</w:t>
      </w:r>
      <w:r>
        <w:rPr>
          <w:spacing w:val="-3"/>
        </w:rPr>
        <w:t> </w:t>
      </w:r>
      <w:r>
        <w:rPr/>
        <w:t>modeling</w:t>
      </w:r>
      <w:r>
        <w:rPr>
          <w:spacing w:val="-2"/>
        </w:rPr>
        <w:t> </w:t>
      </w:r>
      <w:r>
        <w:rPr/>
        <w:t>techniques</w:t>
      </w:r>
      <w:r>
        <w:rPr>
          <w:spacing w:val="-2"/>
        </w:rPr>
        <w:t> </w:t>
      </w:r>
      <w:r>
        <w:rPr/>
        <w:t>for</w:t>
      </w:r>
      <w:r>
        <w:rPr>
          <w:spacing w:val="-3"/>
        </w:rPr>
        <w:t> </w:t>
      </w:r>
      <w:r>
        <w:rPr/>
        <w:t>all</w:t>
      </w:r>
      <w:r>
        <w:rPr>
          <w:spacing w:val="-2"/>
        </w:rPr>
        <w:t> </w:t>
      </w:r>
      <w:r>
        <w:rPr/>
        <w:t>cases</w:t>
      </w:r>
      <w:r>
        <w:rPr>
          <w:spacing w:val="-2"/>
        </w:rPr>
        <w:t> </w:t>
      </w:r>
      <w:r>
        <w:rPr/>
        <w:t>not</w:t>
      </w:r>
      <w:r>
        <w:rPr>
          <w:spacing w:val="-3"/>
        </w:rPr>
        <w:t> </w:t>
      </w:r>
      <w:r>
        <w:rPr/>
        <w:t>yet</w:t>
      </w:r>
      <w:r>
        <w:rPr>
          <w:spacing w:val="-3"/>
        </w:rPr>
        <w:t> </w:t>
      </w:r>
      <w:r>
        <w:rPr/>
        <w:t>finalized</w:t>
      </w:r>
      <w:r>
        <w:rPr>
          <w:spacing w:val="-1"/>
        </w:rPr>
        <w:t> </w:t>
      </w:r>
      <w:r>
        <w:rPr/>
        <w:t>by</w:t>
      </w:r>
      <w:r>
        <w:rPr>
          <w:spacing w:val="-2"/>
        </w:rPr>
        <w:t> </w:t>
      </w:r>
      <w:r>
        <w:rPr/>
        <w:t>the</w:t>
      </w:r>
      <w:r>
        <w:rPr>
          <w:spacing w:val="-2"/>
        </w:rPr>
        <w:t> </w:t>
      </w:r>
      <w:r>
        <w:rPr/>
        <w:t>Office</w:t>
      </w:r>
      <w:r>
        <w:rPr>
          <w:spacing w:val="-2"/>
        </w:rPr>
        <w:t> </w:t>
      </w:r>
      <w:r>
        <w:rPr/>
        <w:t>of</w:t>
      </w:r>
      <w:r>
        <w:rPr>
          <w:spacing w:val="-3"/>
        </w:rPr>
        <w:t> </w:t>
      </w:r>
      <w:r>
        <w:rPr/>
        <w:t>the Chief Medical Examiner (OCME). Based on the data available as of July 19, 2018, DPH estimates that there will be an additional 61 to 68 deaths in 2016, and an additional 153 to 171 deaths in 2017, once these cases are finalized.</w:t>
      </w:r>
    </w:p>
    <w:p>
      <w:pPr>
        <w:pStyle w:val="Heading1"/>
        <w:spacing w:before="268"/>
        <w:rPr>
          <w:u w:val="none"/>
        </w:rPr>
      </w:pPr>
      <w:r>
        <w:rPr>
          <w:u w:val="none"/>
        </w:rPr>
        <w:t>Opioid‐Related</w:t>
      </w:r>
      <w:r>
        <w:rPr>
          <w:spacing w:val="-9"/>
          <w:u w:val="none"/>
        </w:rPr>
        <w:t> </w:t>
      </w:r>
      <w:r>
        <w:rPr>
          <w:u w:val="none"/>
        </w:rPr>
        <w:t>Overdose</w:t>
      </w:r>
      <w:r>
        <w:rPr>
          <w:spacing w:val="-7"/>
          <w:u w:val="none"/>
        </w:rPr>
        <w:t> </w:t>
      </w:r>
      <w:r>
        <w:rPr>
          <w:u w:val="none"/>
        </w:rPr>
        <w:t>Death</w:t>
      </w:r>
      <w:r>
        <w:rPr>
          <w:spacing w:val="-8"/>
          <w:u w:val="none"/>
        </w:rPr>
        <w:t> </w:t>
      </w:r>
      <w:r>
        <w:rPr>
          <w:u w:val="none"/>
        </w:rPr>
        <w:t>Rates,</w:t>
      </w:r>
      <w:r>
        <w:rPr>
          <w:spacing w:val="-7"/>
          <w:u w:val="none"/>
        </w:rPr>
        <w:t> </w:t>
      </w:r>
      <w:r>
        <w:rPr>
          <w:u w:val="none"/>
        </w:rPr>
        <w:t>All</w:t>
      </w:r>
      <w:r>
        <w:rPr>
          <w:spacing w:val="-8"/>
          <w:u w:val="none"/>
        </w:rPr>
        <w:t> </w:t>
      </w:r>
      <w:r>
        <w:rPr>
          <w:spacing w:val="-2"/>
          <w:u w:val="none"/>
        </w:rPr>
        <w:t>Intents</w:t>
      </w:r>
    </w:p>
    <w:p>
      <w:pPr>
        <w:pStyle w:val="BodyText"/>
        <w:spacing w:before="268"/>
        <w:ind w:left="120"/>
      </w:pPr>
      <w:r>
        <w:rPr/>
        <w:t>In</w:t>
      </w:r>
      <w:r>
        <w:rPr>
          <w:spacing w:val="-6"/>
        </w:rPr>
        <w:t> </w:t>
      </w:r>
      <w:r>
        <w:rPr/>
        <w:t>2017,</w:t>
      </w:r>
      <w:r>
        <w:rPr>
          <w:spacing w:val="-6"/>
        </w:rPr>
        <w:t> </w:t>
      </w:r>
      <w:r>
        <w:rPr/>
        <w:t>there</w:t>
      </w:r>
      <w:r>
        <w:rPr>
          <w:spacing w:val="-6"/>
        </w:rPr>
        <w:t> </w:t>
      </w:r>
      <w:r>
        <w:rPr/>
        <w:t>was</w:t>
      </w:r>
      <w:r>
        <w:rPr>
          <w:spacing w:val="-5"/>
        </w:rPr>
        <w:t> </w:t>
      </w:r>
      <w:r>
        <w:rPr/>
        <w:t>a</w:t>
      </w:r>
      <w:r>
        <w:rPr>
          <w:spacing w:val="-5"/>
        </w:rPr>
        <w:t> </w:t>
      </w:r>
      <w:r>
        <w:rPr/>
        <w:t>4%</w:t>
      </w:r>
      <w:r>
        <w:rPr>
          <w:spacing w:val="-4"/>
        </w:rPr>
        <w:t> </w:t>
      </w:r>
      <w:r>
        <w:rPr/>
        <w:t>decrease</w:t>
      </w:r>
      <w:r>
        <w:rPr>
          <w:spacing w:val="-6"/>
        </w:rPr>
        <w:t> </w:t>
      </w:r>
      <w:r>
        <w:rPr/>
        <w:t>in</w:t>
      </w:r>
      <w:r>
        <w:rPr>
          <w:spacing w:val="-5"/>
        </w:rPr>
        <w:t> </w:t>
      </w:r>
      <w:r>
        <w:rPr/>
        <w:t>opioid‐related</w:t>
      </w:r>
      <w:r>
        <w:rPr>
          <w:spacing w:val="-4"/>
        </w:rPr>
        <w:t> </w:t>
      </w:r>
      <w:r>
        <w:rPr/>
        <w:t>overdose</w:t>
      </w:r>
      <w:r>
        <w:rPr>
          <w:spacing w:val="-7"/>
        </w:rPr>
        <w:t> </w:t>
      </w:r>
      <w:r>
        <w:rPr/>
        <w:t>death</w:t>
      </w:r>
      <w:r>
        <w:rPr>
          <w:spacing w:val="-6"/>
        </w:rPr>
        <w:t> </w:t>
      </w:r>
      <w:r>
        <w:rPr/>
        <w:t>rates</w:t>
      </w:r>
      <w:r>
        <w:rPr>
          <w:spacing w:val="-5"/>
        </w:rPr>
        <w:t> </w:t>
      </w:r>
      <w:r>
        <w:rPr/>
        <w:t>from</w:t>
      </w:r>
      <w:r>
        <w:rPr>
          <w:spacing w:val="-4"/>
        </w:rPr>
        <w:t> </w:t>
      </w:r>
      <w:r>
        <w:rPr>
          <w:spacing w:val="-2"/>
        </w:rPr>
        <w:t>2016.</w:t>
      </w:r>
    </w:p>
    <w:p>
      <w:pPr>
        <w:pStyle w:val="BodyText"/>
        <w:spacing w:before="124"/>
        <w:rPr>
          <w:sz w:val="12"/>
        </w:rPr>
      </w:pPr>
    </w:p>
    <w:p>
      <w:pPr>
        <w:spacing w:before="0"/>
        <w:ind w:left="119" w:right="0" w:firstLine="0"/>
        <w:jc w:val="left"/>
        <w:rPr>
          <w:sz w:val="12"/>
        </w:rPr>
      </w:pPr>
      <w:r>
        <w:rPr>
          <w:position w:val="-8"/>
        </w:rPr>
        <w:drawing>
          <wp:inline distT="0" distB="0" distL="0" distR="0">
            <wp:extent cx="6467600" cy="2459226"/>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6467600" cy="2459226"/>
                    </a:xfrm>
                    <a:prstGeom prst="rect">
                      <a:avLst/>
                    </a:prstGeom>
                  </pic:spPr>
                </pic:pic>
              </a:graphicData>
            </a:graphic>
          </wp:inline>
        </w:drawing>
      </w:r>
      <w:r>
        <w:rPr>
          <w:position w:val="-8"/>
        </w:rPr>
      </w:r>
      <w:r>
        <w:rPr>
          <w:rFonts w:ascii="Times New Roman"/>
          <w:spacing w:val="80"/>
          <w:sz w:val="20"/>
        </w:rPr>
        <w:t> </w:t>
      </w:r>
      <w:r>
        <w:rPr>
          <w:sz w:val="12"/>
        </w:rPr>
        <w:t>1</w:t>
      </w:r>
    </w:p>
    <w:p>
      <w:pPr>
        <w:spacing w:before="45"/>
        <w:ind w:left="119" w:right="0" w:firstLine="0"/>
        <w:jc w:val="left"/>
        <w:rPr>
          <w:sz w:val="18"/>
        </w:rPr>
      </w:pPr>
      <w:r>
        <w:rPr>
          <w:sz w:val="18"/>
        </w:rPr>
        <w:t>Opioids</w:t>
      </w:r>
      <w:r>
        <w:rPr>
          <w:spacing w:val="-9"/>
          <w:sz w:val="18"/>
        </w:rPr>
        <w:t> </w:t>
      </w:r>
      <w:r>
        <w:rPr>
          <w:sz w:val="18"/>
        </w:rPr>
        <w:t>include</w:t>
      </w:r>
      <w:r>
        <w:rPr>
          <w:spacing w:val="-9"/>
          <w:sz w:val="18"/>
        </w:rPr>
        <w:t> </w:t>
      </w:r>
      <w:r>
        <w:rPr>
          <w:sz w:val="18"/>
        </w:rPr>
        <w:t>heroin,</w:t>
      </w:r>
      <w:r>
        <w:rPr>
          <w:spacing w:val="-9"/>
          <w:sz w:val="18"/>
        </w:rPr>
        <w:t> </w:t>
      </w:r>
      <w:r>
        <w:rPr>
          <w:sz w:val="18"/>
        </w:rPr>
        <w:t>opioid‐based</w:t>
      </w:r>
      <w:r>
        <w:rPr>
          <w:spacing w:val="-9"/>
          <w:sz w:val="18"/>
        </w:rPr>
        <w:t> </w:t>
      </w:r>
      <w:r>
        <w:rPr>
          <w:sz w:val="18"/>
        </w:rPr>
        <w:t>prescription</w:t>
      </w:r>
      <w:r>
        <w:rPr>
          <w:spacing w:val="-9"/>
          <w:sz w:val="18"/>
        </w:rPr>
        <w:t> </w:t>
      </w:r>
      <w:r>
        <w:rPr>
          <w:sz w:val="18"/>
        </w:rPr>
        <w:t>painkillers,</w:t>
      </w:r>
      <w:r>
        <w:rPr>
          <w:spacing w:val="-9"/>
          <w:sz w:val="18"/>
        </w:rPr>
        <w:t> </w:t>
      </w:r>
      <w:r>
        <w:rPr>
          <w:sz w:val="18"/>
        </w:rPr>
        <w:t>and</w:t>
      </w:r>
      <w:r>
        <w:rPr>
          <w:spacing w:val="-9"/>
          <w:sz w:val="18"/>
        </w:rPr>
        <w:t> </w:t>
      </w:r>
      <w:r>
        <w:rPr>
          <w:sz w:val="18"/>
        </w:rPr>
        <w:t>other</w:t>
      </w:r>
      <w:r>
        <w:rPr>
          <w:spacing w:val="-9"/>
          <w:sz w:val="18"/>
        </w:rPr>
        <w:t> </w:t>
      </w:r>
      <w:r>
        <w:rPr>
          <w:sz w:val="18"/>
        </w:rPr>
        <w:t>unspecified</w:t>
      </w:r>
      <w:r>
        <w:rPr>
          <w:spacing w:val="-9"/>
          <w:sz w:val="18"/>
        </w:rPr>
        <w:t> </w:t>
      </w:r>
      <w:r>
        <w:rPr>
          <w:spacing w:val="-2"/>
          <w:sz w:val="18"/>
        </w:rPr>
        <w:t>opioids.</w:t>
      </w:r>
    </w:p>
    <w:p>
      <w:pPr>
        <w:pStyle w:val="Heading1"/>
        <w:spacing w:before="218"/>
        <w:rPr>
          <w:u w:val="none"/>
        </w:rPr>
      </w:pPr>
      <w:r>
        <w:rPr>
          <w:u w:val="single"/>
        </w:rPr>
        <w:t>Technical</w:t>
      </w:r>
      <w:r>
        <w:rPr>
          <w:spacing w:val="-11"/>
          <w:u w:val="single"/>
        </w:rPr>
        <w:t> </w:t>
      </w:r>
      <w:r>
        <w:rPr>
          <w:spacing w:val="-2"/>
          <w:u w:val="single"/>
        </w:rPr>
        <w:t>Notes</w:t>
      </w:r>
    </w:p>
    <w:p>
      <w:pPr>
        <w:pStyle w:val="BodyText"/>
        <w:spacing w:before="1"/>
        <w:rPr>
          <w:b/>
        </w:rPr>
      </w:pPr>
    </w:p>
    <w:p>
      <w:pPr>
        <w:pStyle w:val="BodyText"/>
        <w:ind w:left="120" w:hanging="1"/>
      </w:pPr>
      <w:r>
        <w:rPr/>
        <w:t>Beginning with the May 2017 report, DPH started reporting opioid‐related deaths for all intents, which includes unintentional/undetermined and suicide. This report tracks opioid‐related overdoses due to difficulties in identifying heroin</w:t>
      </w:r>
      <w:r>
        <w:rPr>
          <w:spacing w:val="-3"/>
        </w:rPr>
        <w:t> </w:t>
      </w:r>
      <w:r>
        <w:rPr/>
        <w:t>and</w:t>
      </w:r>
      <w:r>
        <w:rPr>
          <w:spacing w:val="-3"/>
        </w:rPr>
        <w:t> </w:t>
      </w:r>
      <w:r>
        <w:rPr/>
        <w:t>prescription</w:t>
      </w:r>
      <w:r>
        <w:rPr>
          <w:spacing w:val="-3"/>
        </w:rPr>
        <w:t> </w:t>
      </w:r>
      <w:r>
        <w:rPr/>
        <w:t>opioids</w:t>
      </w:r>
      <w:r>
        <w:rPr>
          <w:spacing w:val="-3"/>
        </w:rPr>
        <w:t> </w:t>
      </w:r>
      <w:r>
        <w:rPr/>
        <w:t>separately.</w:t>
      </w:r>
      <w:r>
        <w:rPr>
          <w:spacing w:val="40"/>
        </w:rPr>
        <w:t> </w:t>
      </w:r>
      <w:r>
        <w:rPr/>
        <w:t>The</w:t>
      </w:r>
      <w:r>
        <w:rPr>
          <w:spacing w:val="-3"/>
        </w:rPr>
        <w:t> </w:t>
      </w:r>
      <w:r>
        <w:rPr/>
        <w:t>Department</w:t>
      </w:r>
      <w:r>
        <w:rPr>
          <w:spacing w:val="-5"/>
        </w:rPr>
        <w:t> </w:t>
      </w:r>
      <w:r>
        <w:rPr/>
        <w:t>regularly</w:t>
      </w:r>
      <w:r>
        <w:rPr>
          <w:spacing w:val="-4"/>
        </w:rPr>
        <w:t> </w:t>
      </w:r>
      <w:r>
        <w:rPr/>
        <w:t>reviews</w:t>
      </w:r>
      <w:r>
        <w:rPr>
          <w:spacing w:val="-2"/>
        </w:rPr>
        <w:t> </w:t>
      </w:r>
      <w:r>
        <w:rPr/>
        <w:t>projections</w:t>
      </w:r>
      <w:r>
        <w:rPr>
          <w:spacing w:val="-3"/>
        </w:rPr>
        <w:t> </w:t>
      </w:r>
      <w:r>
        <w:rPr/>
        <w:t>as</w:t>
      </w:r>
      <w:r>
        <w:rPr>
          <w:spacing w:val="-3"/>
        </w:rPr>
        <w:t> </w:t>
      </w:r>
      <w:r>
        <w:rPr/>
        <w:t>more</w:t>
      </w:r>
      <w:r>
        <w:rPr>
          <w:spacing w:val="-4"/>
        </w:rPr>
        <w:t> </w:t>
      </w:r>
      <w:r>
        <w:rPr/>
        <w:t>information</w:t>
      </w:r>
      <w:r>
        <w:rPr>
          <w:spacing w:val="-4"/>
        </w:rPr>
        <w:t> </w:t>
      </w:r>
      <w:r>
        <w:rPr/>
        <w:t>becomes available. Information from the Office of the Chief Medical Examiner and the Massachusetts State Police are now incorporated into the predictive model.</w:t>
      </w:r>
      <w:r>
        <w:rPr>
          <w:spacing w:val="40"/>
        </w:rPr>
        <w:t> </w:t>
      </w:r>
      <w:r>
        <w:rPr/>
        <w:t>This additional information has improved the accuracy of the models that</w:t>
      </w:r>
    </w:p>
    <w:p>
      <w:pPr>
        <w:spacing w:after="0"/>
        <w:sectPr>
          <w:pgSz w:w="12240" w:h="15840"/>
          <w:pgMar w:top="520" w:bottom="280" w:left="600" w:right="620"/>
        </w:sectPr>
      </w:pPr>
    </w:p>
    <w:p>
      <w:pPr>
        <w:pStyle w:val="BodyText"/>
        <w:spacing w:before="26"/>
        <w:ind w:left="119" w:right="102"/>
      </w:pPr>
      <w:r>
        <w:rPr/>
        <w:t>predict the likelihood that the cause of death for any person was an opioid‐related overdose.</w:t>
      </w:r>
      <w:r>
        <w:rPr>
          <w:spacing w:val="40"/>
        </w:rPr>
        <w:t> </w:t>
      </w:r>
      <w:r>
        <w:rPr/>
        <w:t>DPH applied this model to death records for which no official cause of death was listed by the OCME.</w:t>
      </w:r>
      <w:r>
        <w:rPr>
          <w:spacing w:val="40"/>
        </w:rPr>
        <w:t> </w:t>
      </w:r>
      <w:r>
        <w:rPr/>
        <w:t>The model includes information from the death</w:t>
      </w:r>
      <w:r>
        <w:rPr>
          <w:spacing w:val="-1"/>
        </w:rPr>
        <w:t> </w:t>
      </w:r>
      <w:r>
        <w:rPr/>
        <w:t>certificate,</w:t>
      </w:r>
      <w:r>
        <w:rPr>
          <w:spacing w:val="-3"/>
        </w:rPr>
        <w:t> </w:t>
      </w:r>
      <w:r>
        <w:rPr/>
        <w:t>Medical</w:t>
      </w:r>
      <w:r>
        <w:rPr>
          <w:spacing w:val="-1"/>
        </w:rPr>
        <w:t> </w:t>
      </w:r>
      <w:r>
        <w:rPr/>
        <w:t>Examiner’s</w:t>
      </w:r>
      <w:r>
        <w:rPr>
          <w:spacing w:val="-2"/>
        </w:rPr>
        <w:t> </w:t>
      </w:r>
      <w:r>
        <w:rPr/>
        <w:t>notes,</w:t>
      </w:r>
      <w:r>
        <w:rPr>
          <w:spacing w:val="-3"/>
        </w:rPr>
        <w:t> </w:t>
      </w:r>
      <w:r>
        <w:rPr/>
        <w:t>and</w:t>
      </w:r>
      <w:r>
        <w:rPr>
          <w:spacing w:val="-3"/>
        </w:rPr>
        <w:t> </w:t>
      </w:r>
      <w:r>
        <w:rPr/>
        <w:t>the</w:t>
      </w:r>
      <w:r>
        <w:rPr>
          <w:spacing w:val="-2"/>
        </w:rPr>
        <w:t> </w:t>
      </w:r>
      <w:r>
        <w:rPr/>
        <w:t>determination</w:t>
      </w:r>
      <w:r>
        <w:rPr>
          <w:spacing w:val="-3"/>
        </w:rPr>
        <w:t> </w:t>
      </w:r>
      <w:r>
        <w:rPr/>
        <w:t>by</w:t>
      </w:r>
      <w:r>
        <w:rPr>
          <w:spacing w:val="-2"/>
        </w:rPr>
        <w:t> </w:t>
      </w:r>
      <w:r>
        <w:rPr/>
        <w:t>the</w:t>
      </w:r>
      <w:r>
        <w:rPr>
          <w:spacing w:val="-2"/>
        </w:rPr>
        <w:t> </w:t>
      </w:r>
      <w:r>
        <w:rPr/>
        <w:t>State</w:t>
      </w:r>
      <w:r>
        <w:rPr>
          <w:spacing w:val="-3"/>
        </w:rPr>
        <w:t> </w:t>
      </w:r>
      <w:r>
        <w:rPr/>
        <w:t>Police</w:t>
      </w:r>
      <w:r>
        <w:rPr>
          <w:spacing w:val="-3"/>
        </w:rPr>
        <w:t> </w:t>
      </w:r>
      <w:r>
        <w:rPr/>
        <w:t>of</w:t>
      </w:r>
      <w:r>
        <w:rPr>
          <w:spacing w:val="-3"/>
        </w:rPr>
        <w:t> </w:t>
      </w:r>
      <w:r>
        <w:rPr/>
        <w:t>a</w:t>
      </w:r>
      <w:r>
        <w:rPr>
          <w:spacing w:val="-1"/>
        </w:rPr>
        <w:t> </w:t>
      </w:r>
      <w:r>
        <w:rPr/>
        <w:t>suspected</w:t>
      </w:r>
      <w:r>
        <w:rPr>
          <w:spacing w:val="-1"/>
        </w:rPr>
        <w:t> </w:t>
      </w:r>
      <w:r>
        <w:rPr/>
        <w:t>heroin</w:t>
      </w:r>
      <w:r>
        <w:rPr>
          <w:spacing w:val="-3"/>
        </w:rPr>
        <w:t> </w:t>
      </w:r>
      <w:r>
        <w:rPr/>
        <w:t>death.</w:t>
      </w:r>
      <w:r>
        <w:rPr>
          <w:spacing w:val="40"/>
        </w:rPr>
        <w:t> </w:t>
      </w:r>
      <w:r>
        <w:rPr/>
        <w:t>DPH added this estimate to the number of confirmed cases in order to compute the total number of opioid‐related overdoses.</w:t>
      </w:r>
      <w:r>
        <w:rPr>
          <w:spacing w:val="40"/>
        </w:rPr>
        <w:t> </w:t>
      </w:r>
      <w:r>
        <w:rPr/>
        <w:t>Should new information become available that changes the estimates to any significant degree, updates will be posted.</w:t>
      </w:r>
      <w:r>
        <w:rPr>
          <w:spacing w:val="40"/>
        </w:rPr>
        <w:t> </w:t>
      </w:r>
      <w:r>
        <w:rPr/>
        <w:t>Estimated opioid‐related overdose</w:t>
      </w:r>
      <w:r>
        <w:rPr>
          <w:spacing w:val="-1"/>
        </w:rPr>
        <w:t> </w:t>
      </w:r>
      <w:r>
        <w:rPr/>
        <w:t>death numbers were not produced for 2015 since the death file</w:t>
      </w:r>
      <w:r>
        <w:rPr>
          <w:spacing w:val="-1"/>
        </w:rPr>
        <w:t> </w:t>
      </w:r>
      <w:r>
        <w:rPr/>
        <w:t>has been </w:t>
      </w:r>
      <w:r>
        <w:rPr>
          <w:spacing w:val="-2"/>
        </w:rPr>
        <w:t>closed.</w:t>
      </w:r>
    </w:p>
    <w:p>
      <w:pPr>
        <w:pStyle w:val="BodyText"/>
      </w:pPr>
    </w:p>
    <w:p>
      <w:pPr>
        <w:pStyle w:val="Heading1"/>
        <w:rPr>
          <w:u w:val="none"/>
        </w:rPr>
      </w:pPr>
      <w:r>
        <w:rPr>
          <w:u w:val="single"/>
        </w:rPr>
        <w:t>Toxicology</w:t>
      </w:r>
      <w:r>
        <w:rPr>
          <w:spacing w:val="-7"/>
          <w:u w:val="single"/>
        </w:rPr>
        <w:t> </w:t>
      </w:r>
      <w:r>
        <w:rPr>
          <w:u w:val="single"/>
        </w:rPr>
        <w:t>Analysis:</w:t>
      </w:r>
      <w:r>
        <w:rPr>
          <w:spacing w:val="-9"/>
          <w:u w:val="single"/>
        </w:rPr>
        <w:t> </w:t>
      </w:r>
      <w:r>
        <w:rPr>
          <w:u w:val="single"/>
        </w:rPr>
        <w:t>Fentanyl</w:t>
      </w:r>
      <w:r>
        <w:rPr>
          <w:spacing w:val="-7"/>
          <w:u w:val="single"/>
        </w:rPr>
        <w:t> </w:t>
      </w:r>
      <w:r>
        <w:rPr>
          <w:u w:val="single"/>
        </w:rPr>
        <w:t>and</w:t>
      </w:r>
      <w:r>
        <w:rPr>
          <w:spacing w:val="-7"/>
          <w:u w:val="single"/>
        </w:rPr>
        <w:t> </w:t>
      </w:r>
      <w:r>
        <w:rPr>
          <w:u w:val="single"/>
        </w:rPr>
        <w:t>Other</w:t>
      </w:r>
      <w:r>
        <w:rPr>
          <w:spacing w:val="-8"/>
          <w:u w:val="single"/>
        </w:rPr>
        <w:t> </w:t>
      </w:r>
      <w:r>
        <w:rPr>
          <w:spacing w:val="-2"/>
          <w:u w:val="single"/>
        </w:rPr>
        <w:t>Drugs</w:t>
      </w:r>
    </w:p>
    <w:p>
      <w:pPr>
        <w:pStyle w:val="BodyText"/>
        <w:rPr>
          <w:b/>
        </w:rPr>
      </w:pPr>
    </w:p>
    <w:p>
      <w:pPr>
        <w:pStyle w:val="BodyText"/>
        <w:ind w:left="120"/>
      </w:pPr>
      <w:r>
        <w:rPr/>
        <w:t>Fentanyl</w:t>
      </w:r>
      <w:r>
        <w:rPr>
          <w:spacing w:val="-7"/>
        </w:rPr>
        <w:t> </w:t>
      </w:r>
      <w:r>
        <w:rPr/>
        <w:t>is</w:t>
      </w:r>
      <w:r>
        <w:rPr>
          <w:spacing w:val="-8"/>
        </w:rPr>
        <w:t> </w:t>
      </w:r>
      <w:r>
        <w:rPr/>
        <w:t>a</w:t>
      </w:r>
      <w:r>
        <w:rPr>
          <w:spacing w:val="-4"/>
        </w:rPr>
        <w:t> </w:t>
      </w:r>
      <w:r>
        <w:rPr/>
        <w:t>synthetic</w:t>
      </w:r>
      <w:r>
        <w:rPr>
          <w:spacing w:val="-8"/>
        </w:rPr>
        <w:t> </w:t>
      </w:r>
      <w:r>
        <w:rPr/>
        <w:t>opioid</w:t>
      </w:r>
      <w:r>
        <w:rPr>
          <w:spacing w:val="-7"/>
        </w:rPr>
        <w:t> </w:t>
      </w:r>
      <w:r>
        <w:rPr/>
        <w:t>that</w:t>
      </w:r>
      <w:r>
        <w:rPr>
          <w:spacing w:val="-5"/>
        </w:rPr>
        <w:t> </w:t>
      </w:r>
      <w:r>
        <w:rPr/>
        <w:t>has</w:t>
      </w:r>
      <w:r>
        <w:rPr>
          <w:spacing w:val="-9"/>
        </w:rPr>
        <w:t> </w:t>
      </w:r>
      <w:r>
        <w:rPr/>
        <w:t>effects</w:t>
      </w:r>
      <w:r>
        <w:rPr>
          <w:spacing w:val="-5"/>
        </w:rPr>
        <w:t> </w:t>
      </w:r>
      <w:r>
        <w:rPr/>
        <w:t>similar</w:t>
      </w:r>
      <w:r>
        <w:rPr>
          <w:spacing w:val="-5"/>
        </w:rPr>
        <w:t> </w:t>
      </w:r>
      <w:r>
        <w:rPr/>
        <w:t>to</w:t>
      </w:r>
      <w:r>
        <w:rPr>
          <w:spacing w:val="-5"/>
        </w:rPr>
        <w:t> </w:t>
      </w:r>
      <w:r>
        <w:rPr/>
        <w:t>heroin.</w:t>
      </w:r>
      <w:r>
        <w:rPr>
          <w:spacing w:val="-7"/>
        </w:rPr>
        <w:t> </w:t>
      </w:r>
      <w:r>
        <w:rPr/>
        <w:t>It</w:t>
      </w:r>
      <w:r>
        <w:rPr>
          <w:spacing w:val="-8"/>
        </w:rPr>
        <w:t> </w:t>
      </w:r>
      <w:r>
        <w:rPr/>
        <w:t>can</w:t>
      </w:r>
      <w:r>
        <w:rPr>
          <w:spacing w:val="-7"/>
        </w:rPr>
        <w:t> </w:t>
      </w:r>
      <w:r>
        <w:rPr/>
        <w:t>be</w:t>
      </w:r>
      <w:r>
        <w:rPr>
          <w:spacing w:val="-5"/>
        </w:rPr>
        <w:t> </w:t>
      </w:r>
      <w:r>
        <w:rPr/>
        <w:t>prescribed</w:t>
      </w:r>
      <w:r>
        <w:rPr>
          <w:spacing w:val="-6"/>
        </w:rPr>
        <w:t> </w:t>
      </w:r>
      <w:r>
        <w:rPr/>
        <w:t>for</w:t>
      </w:r>
      <w:r>
        <w:rPr>
          <w:spacing w:val="-9"/>
        </w:rPr>
        <w:t> </w:t>
      </w:r>
      <w:r>
        <w:rPr/>
        <w:t>severe</w:t>
      </w:r>
      <w:r>
        <w:rPr>
          <w:spacing w:val="-8"/>
        </w:rPr>
        <w:t> </w:t>
      </w:r>
      <w:r>
        <w:rPr/>
        <w:t>pain.</w:t>
      </w:r>
      <w:r>
        <w:rPr>
          <w:spacing w:val="38"/>
        </w:rPr>
        <w:t> </w:t>
      </w:r>
      <w:r>
        <w:rPr/>
        <w:t>According</w:t>
      </w:r>
      <w:r>
        <w:rPr>
          <w:spacing w:val="-6"/>
        </w:rPr>
        <w:t> </w:t>
      </w:r>
      <w:r>
        <w:rPr/>
        <w:t>to</w:t>
      </w:r>
      <w:r>
        <w:rPr>
          <w:spacing w:val="-6"/>
        </w:rPr>
        <w:t> </w:t>
      </w:r>
      <w:r>
        <w:rPr>
          <w:spacing w:val="-5"/>
        </w:rPr>
        <w:t>the</w:t>
      </w:r>
    </w:p>
    <w:p>
      <w:pPr>
        <w:pStyle w:val="BodyText"/>
        <w:spacing w:before="1"/>
        <w:ind w:left="119" w:hanging="1"/>
      </w:pPr>
      <w:r>
        <w:rPr/>
        <w:t>U.S. Department of Justice, Drug Enforcement Administration’s 2015 Investigative Reporting, while pharmaceutical fentanyl</w:t>
      </w:r>
      <w:r>
        <w:rPr>
          <w:spacing w:val="-1"/>
        </w:rPr>
        <w:t> </w:t>
      </w:r>
      <w:r>
        <w:rPr/>
        <w:t>(from</w:t>
      </w:r>
      <w:r>
        <w:rPr>
          <w:spacing w:val="-3"/>
        </w:rPr>
        <w:t> </w:t>
      </w:r>
      <w:r>
        <w:rPr/>
        <w:t>transdermal</w:t>
      </w:r>
      <w:r>
        <w:rPr>
          <w:spacing w:val="-3"/>
        </w:rPr>
        <w:t> </w:t>
      </w:r>
      <w:r>
        <w:rPr/>
        <w:t>patches</w:t>
      </w:r>
      <w:r>
        <w:rPr>
          <w:spacing w:val="-2"/>
        </w:rPr>
        <w:t> </w:t>
      </w:r>
      <w:r>
        <w:rPr/>
        <w:t>or</w:t>
      </w:r>
      <w:r>
        <w:rPr>
          <w:spacing w:val="-2"/>
        </w:rPr>
        <w:t> </w:t>
      </w:r>
      <w:r>
        <w:rPr/>
        <w:t>lozenges)</w:t>
      </w:r>
      <w:r>
        <w:rPr>
          <w:spacing w:val="-2"/>
        </w:rPr>
        <w:t> </w:t>
      </w:r>
      <w:r>
        <w:rPr/>
        <w:t>is</w:t>
      </w:r>
      <w:r>
        <w:rPr>
          <w:spacing w:val="-2"/>
        </w:rPr>
        <w:t> </w:t>
      </w:r>
      <w:r>
        <w:rPr/>
        <w:t>diverted</w:t>
      </w:r>
      <w:r>
        <w:rPr>
          <w:spacing w:val="-3"/>
        </w:rPr>
        <w:t> </w:t>
      </w:r>
      <w:r>
        <w:rPr/>
        <w:t>for</w:t>
      </w:r>
      <w:r>
        <w:rPr>
          <w:spacing w:val="-3"/>
        </w:rPr>
        <w:t> </w:t>
      </w:r>
      <w:r>
        <w:rPr/>
        <w:t>abuse</w:t>
      </w:r>
      <w:r>
        <w:rPr>
          <w:spacing w:val="-3"/>
        </w:rPr>
        <w:t> </w:t>
      </w:r>
      <w:r>
        <w:rPr/>
        <w:t>in</w:t>
      </w:r>
      <w:r>
        <w:rPr>
          <w:spacing w:val="-2"/>
        </w:rPr>
        <w:t> </w:t>
      </w:r>
      <w:r>
        <w:rPr/>
        <w:t>the</w:t>
      </w:r>
      <w:r>
        <w:rPr>
          <w:spacing w:val="-1"/>
        </w:rPr>
        <w:t> </w:t>
      </w:r>
      <w:r>
        <w:rPr/>
        <w:t>United</w:t>
      </w:r>
      <w:r>
        <w:rPr>
          <w:spacing w:val="-1"/>
        </w:rPr>
        <w:t> </w:t>
      </w:r>
      <w:r>
        <w:rPr/>
        <w:t>States</w:t>
      </w:r>
      <w:r>
        <w:rPr>
          <w:spacing w:val="-2"/>
        </w:rPr>
        <w:t> </w:t>
      </w:r>
      <w:r>
        <w:rPr/>
        <w:t>at</w:t>
      </w:r>
      <w:r>
        <w:rPr>
          <w:spacing w:val="-2"/>
        </w:rPr>
        <w:t> </w:t>
      </w:r>
      <w:r>
        <w:rPr/>
        <w:t>small</w:t>
      </w:r>
      <w:r>
        <w:rPr>
          <w:spacing w:val="-2"/>
        </w:rPr>
        <w:t> </w:t>
      </w:r>
      <w:r>
        <w:rPr/>
        <w:t>levels,</w:t>
      </w:r>
      <w:r>
        <w:rPr>
          <w:spacing w:val="-2"/>
        </w:rPr>
        <w:t> </w:t>
      </w:r>
      <w:r>
        <w:rPr/>
        <w:t>much</w:t>
      </w:r>
      <w:r>
        <w:rPr>
          <w:spacing w:val="-3"/>
        </w:rPr>
        <w:t> </w:t>
      </w:r>
      <w:r>
        <w:rPr/>
        <w:t>of</w:t>
      </w:r>
      <w:r>
        <w:rPr>
          <w:spacing w:val="-1"/>
        </w:rPr>
        <w:t> </w:t>
      </w:r>
      <w:r>
        <w:rPr/>
        <w:t>the fentanyl in Massachusetts is due to illicitly‐produced fentanyl, not diverted pharmaceutical fentanyl.</w:t>
      </w:r>
    </w:p>
    <w:p>
      <w:pPr>
        <w:pStyle w:val="BodyText"/>
        <w:spacing w:before="29"/>
      </w:pPr>
    </w:p>
    <w:p>
      <w:pPr>
        <w:pStyle w:val="BodyText"/>
        <w:ind w:left="119" w:right="152"/>
      </w:pPr>
      <w:r>
        <w:rPr/>
        <w:t>The standard toxicology screen ordered by the Office of the Chief Medical Examiner includes a test for the presence of fentanyl.</w:t>
      </w:r>
      <w:r>
        <w:rPr>
          <w:spacing w:val="40"/>
        </w:rPr>
        <w:t> </w:t>
      </w:r>
      <w:r>
        <w:rPr/>
        <w:t>Among the 477 individuals whose deaths were opioid‐related in 2018 where a toxicology screen was </w:t>
      </w:r>
      <w:r>
        <w:rPr>
          <w:u w:val="single"/>
        </w:rPr>
        <w:t>also</w:t>
      </w:r>
      <w:r>
        <w:rPr>
          <w:u w:val="none"/>
        </w:rPr>
        <w:t> available,</w:t>
      </w:r>
      <w:r>
        <w:rPr>
          <w:spacing w:val="-3"/>
          <w:u w:val="none"/>
        </w:rPr>
        <w:t> </w:t>
      </w:r>
      <w:r>
        <w:rPr>
          <w:u w:val="none"/>
        </w:rPr>
        <w:t>423 of</w:t>
      </w:r>
      <w:r>
        <w:rPr>
          <w:spacing w:val="-3"/>
          <w:u w:val="none"/>
        </w:rPr>
        <w:t> </w:t>
      </w:r>
      <w:r>
        <w:rPr>
          <w:u w:val="none"/>
        </w:rPr>
        <w:t>them</w:t>
      </w:r>
      <w:r>
        <w:rPr>
          <w:spacing w:val="-2"/>
          <w:u w:val="none"/>
        </w:rPr>
        <w:t> </w:t>
      </w:r>
      <w:r>
        <w:rPr>
          <w:u w:val="none"/>
        </w:rPr>
        <w:t>(89%)</w:t>
      </w:r>
      <w:r>
        <w:rPr>
          <w:spacing w:val="-2"/>
          <w:u w:val="none"/>
        </w:rPr>
        <w:t> </w:t>
      </w:r>
      <w:r>
        <w:rPr>
          <w:u w:val="none"/>
        </w:rPr>
        <w:t>had</w:t>
      </w:r>
      <w:r>
        <w:rPr>
          <w:spacing w:val="-7"/>
          <w:u w:val="none"/>
        </w:rPr>
        <w:t> </w:t>
      </w:r>
      <w:r>
        <w:rPr>
          <w:u w:val="none"/>
        </w:rPr>
        <w:t>a</w:t>
      </w:r>
      <w:r>
        <w:rPr>
          <w:spacing w:val="-1"/>
          <w:u w:val="none"/>
        </w:rPr>
        <w:t> </w:t>
      </w:r>
      <w:r>
        <w:rPr>
          <w:u w:val="none"/>
        </w:rPr>
        <w:t>positive</w:t>
      </w:r>
      <w:r>
        <w:rPr>
          <w:spacing w:val="-3"/>
          <w:u w:val="none"/>
        </w:rPr>
        <w:t> </w:t>
      </w:r>
      <w:r>
        <w:rPr>
          <w:u w:val="none"/>
        </w:rPr>
        <w:t>screen</w:t>
      </w:r>
      <w:r>
        <w:rPr>
          <w:spacing w:val="-2"/>
          <w:u w:val="none"/>
        </w:rPr>
        <w:t> </w:t>
      </w:r>
      <w:r>
        <w:rPr>
          <w:u w:val="none"/>
        </w:rPr>
        <w:t>result</w:t>
      </w:r>
      <w:r>
        <w:rPr>
          <w:spacing w:val="-5"/>
          <w:u w:val="none"/>
        </w:rPr>
        <w:t> </w:t>
      </w:r>
      <w:r>
        <w:rPr>
          <w:u w:val="none"/>
        </w:rPr>
        <w:t>for</w:t>
      </w:r>
      <w:r>
        <w:rPr>
          <w:spacing w:val="-6"/>
          <w:u w:val="none"/>
        </w:rPr>
        <w:t> </w:t>
      </w:r>
      <w:r>
        <w:rPr>
          <w:u w:val="none"/>
        </w:rPr>
        <w:t>fentanyl.</w:t>
      </w:r>
      <w:r>
        <w:rPr>
          <w:spacing w:val="-3"/>
          <w:u w:val="none"/>
        </w:rPr>
        <w:t> </w:t>
      </w:r>
      <w:r>
        <w:rPr>
          <w:u w:val="none"/>
        </w:rPr>
        <w:t>In</w:t>
      </w:r>
      <w:r>
        <w:rPr>
          <w:spacing w:val="-3"/>
          <w:u w:val="none"/>
        </w:rPr>
        <w:t> </w:t>
      </w:r>
      <w:r>
        <w:rPr>
          <w:u w:val="none"/>
        </w:rPr>
        <w:t>the</w:t>
      </w:r>
      <w:r>
        <w:rPr>
          <w:spacing w:val="-3"/>
          <w:u w:val="none"/>
        </w:rPr>
        <w:t> </w:t>
      </w:r>
      <w:r>
        <w:rPr>
          <w:u w:val="none"/>
        </w:rPr>
        <w:t>first</w:t>
      </w:r>
      <w:r>
        <w:rPr>
          <w:spacing w:val="-3"/>
          <w:u w:val="none"/>
        </w:rPr>
        <w:t> </w:t>
      </w:r>
      <w:r>
        <w:rPr>
          <w:u w:val="none"/>
        </w:rPr>
        <w:t>quarter</w:t>
      </w:r>
      <w:r>
        <w:rPr>
          <w:spacing w:val="-3"/>
          <w:u w:val="none"/>
        </w:rPr>
        <w:t> </w:t>
      </w:r>
      <w:r>
        <w:rPr>
          <w:u w:val="none"/>
        </w:rPr>
        <w:t>of</w:t>
      </w:r>
      <w:r>
        <w:rPr>
          <w:spacing w:val="-3"/>
          <w:u w:val="none"/>
        </w:rPr>
        <w:t> </w:t>
      </w:r>
      <w:r>
        <w:rPr>
          <w:u w:val="none"/>
        </w:rPr>
        <w:t>2018,</w:t>
      </w:r>
      <w:r>
        <w:rPr>
          <w:spacing w:val="-3"/>
          <w:u w:val="none"/>
        </w:rPr>
        <w:t> </w:t>
      </w:r>
      <w:r>
        <w:rPr>
          <w:u w:val="none"/>
        </w:rPr>
        <w:t>heroin</w:t>
      </w:r>
      <w:r>
        <w:rPr>
          <w:spacing w:val="-2"/>
          <w:u w:val="none"/>
        </w:rPr>
        <w:t> </w:t>
      </w:r>
      <w:r>
        <w:rPr>
          <w:u w:val="none"/>
        </w:rPr>
        <w:t>or</w:t>
      </w:r>
      <w:r>
        <w:rPr>
          <w:spacing w:val="-3"/>
          <w:u w:val="none"/>
        </w:rPr>
        <w:t> </w:t>
      </w:r>
      <w:r>
        <w:rPr>
          <w:u w:val="none"/>
        </w:rPr>
        <w:t>likely</w:t>
      </w:r>
      <w:r>
        <w:rPr>
          <w:spacing w:val="-2"/>
          <w:u w:val="none"/>
        </w:rPr>
        <w:t> </w:t>
      </w:r>
      <w:r>
        <w:rPr>
          <w:u w:val="none"/>
        </w:rPr>
        <w:t>heroin was present in approximately 34% of opioid‐related deaths that had a toxicology screen. Cocaine was present in approximately 43% of these deaths; and benzodiazepines were present in approximately 42%.</w:t>
      </w:r>
      <w:r>
        <w:rPr>
          <w:spacing w:val="40"/>
          <w:u w:val="none"/>
        </w:rPr>
        <w:t> </w:t>
      </w:r>
      <w:r>
        <w:rPr>
          <w:u w:val="none"/>
        </w:rPr>
        <w:t>Since 2014, the rate of heroin</w:t>
      </w:r>
      <w:r>
        <w:rPr>
          <w:spacing w:val="-1"/>
          <w:u w:val="none"/>
        </w:rPr>
        <w:t> </w:t>
      </w:r>
      <w:r>
        <w:rPr>
          <w:u w:val="none"/>
        </w:rPr>
        <w:t>or</w:t>
      </w:r>
      <w:r>
        <w:rPr>
          <w:spacing w:val="-2"/>
          <w:u w:val="none"/>
        </w:rPr>
        <w:t> </w:t>
      </w:r>
      <w:r>
        <w:rPr>
          <w:u w:val="none"/>
        </w:rPr>
        <w:t>likely</w:t>
      </w:r>
      <w:r>
        <w:rPr>
          <w:spacing w:val="-2"/>
          <w:u w:val="none"/>
        </w:rPr>
        <w:t> </w:t>
      </w:r>
      <w:r>
        <w:rPr>
          <w:u w:val="none"/>
        </w:rPr>
        <w:t>heroin present</w:t>
      </w:r>
      <w:r>
        <w:rPr>
          <w:spacing w:val="-2"/>
          <w:u w:val="none"/>
        </w:rPr>
        <w:t> </w:t>
      </w:r>
      <w:r>
        <w:rPr>
          <w:u w:val="none"/>
        </w:rPr>
        <w:t>in</w:t>
      </w:r>
      <w:r>
        <w:rPr>
          <w:spacing w:val="-2"/>
          <w:u w:val="none"/>
        </w:rPr>
        <w:t> </w:t>
      </w:r>
      <w:r>
        <w:rPr>
          <w:u w:val="none"/>
        </w:rPr>
        <w:t>opioid‐related deaths</w:t>
      </w:r>
      <w:r>
        <w:rPr>
          <w:spacing w:val="-1"/>
          <w:u w:val="none"/>
        </w:rPr>
        <w:t> </w:t>
      </w:r>
      <w:r>
        <w:rPr>
          <w:u w:val="none"/>
        </w:rPr>
        <w:t>has</w:t>
      </w:r>
      <w:r>
        <w:rPr>
          <w:spacing w:val="-1"/>
          <w:u w:val="none"/>
        </w:rPr>
        <w:t> </w:t>
      </w:r>
      <w:r>
        <w:rPr>
          <w:u w:val="none"/>
        </w:rPr>
        <w:t>been</w:t>
      </w:r>
      <w:r>
        <w:rPr>
          <w:spacing w:val="-1"/>
          <w:u w:val="none"/>
        </w:rPr>
        <w:t> </w:t>
      </w:r>
      <w:r>
        <w:rPr>
          <w:u w:val="none"/>
        </w:rPr>
        <w:t>decreasing</w:t>
      </w:r>
      <w:r>
        <w:rPr>
          <w:spacing w:val="-2"/>
          <w:u w:val="none"/>
        </w:rPr>
        <w:t> </w:t>
      </w:r>
      <w:r>
        <w:rPr>
          <w:u w:val="none"/>
        </w:rPr>
        <w:t>while</w:t>
      </w:r>
      <w:r>
        <w:rPr>
          <w:spacing w:val="-1"/>
          <w:u w:val="none"/>
        </w:rPr>
        <w:t> </w:t>
      </w:r>
      <w:r>
        <w:rPr>
          <w:u w:val="none"/>
        </w:rPr>
        <w:t>the</w:t>
      </w:r>
      <w:r>
        <w:rPr>
          <w:spacing w:val="-2"/>
          <w:u w:val="none"/>
        </w:rPr>
        <w:t> </w:t>
      </w:r>
      <w:r>
        <w:rPr>
          <w:u w:val="none"/>
        </w:rPr>
        <w:t>presence</w:t>
      </w:r>
      <w:r>
        <w:rPr>
          <w:spacing w:val="-3"/>
          <w:u w:val="none"/>
        </w:rPr>
        <w:t> </w:t>
      </w:r>
      <w:r>
        <w:rPr>
          <w:u w:val="none"/>
        </w:rPr>
        <w:t>of</w:t>
      </w:r>
      <w:r>
        <w:rPr>
          <w:spacing w:val="-2"/>
          <w:u w:val="none"/>
        </w:rPr>
        <w:t> </w:t>
      </w:r>
      <w:r>
        <w:rPr>
          <w:u w:val="none"/>
        </w:rPr>
        <w:t>fentanyl and</w:t>
      </w:r>
      <w:r>
        <w:rPr>
          <w:spacing w:val="-2"/>
          <w:u w:val="none"/>
        </w:rPr>
        <w:t> </w:t>
      </w:r>
      <w:r>
        <w:rPr>
          <w:u w:val="none"/>
        </w:rPr>
        <w:t>cocaine is still trending upward.</w:t>
      </w:r>
    </w:p>
    <w:p>
      <w:pPr>
        <w:pStyle w:val="BodyText"/>
      </w:pPr>
    </w:p>
    <w:p>
      <w:pPr>
        <w:pStyle w:val="BodyText"/>
        <w:ind w:left="119"/>
      </w:pPr>
      <w:r>
        <w:rPr/>
        <w:t>While</w:t>
      </w:r>
      <w:r>
        <w:rPr>
          <w:spacing w:val="-3"/>
        </w:rPr>
        <w:t> </w:t>
      </w:r>
      <w:r>
        <w:rPr/>
        <w:t>screening</w:t>
      </w:r>
      <w:r>
        <w:rPr>
          <w:spacing w:val="-4"/>
        </w:rPr>
        <w:t> </w:t>
      </w:r>
      <w:r>
        <w:rPr/>
        <w:t>tests</w:t>
      </w:r>
      <w:r>
        <w:rPr>
          <w:spacing w:val="-2"/>
        </w:rPr>
        <w:t> </w:t>
      </w:r>
      <w:r>
        <w:rPr/>
        <w:t>can</w:t>
      </w:r>
      <w:r>
        <w:rPr>
          <w:spacing w:val="-4"/>
        </w:rPr>
        <w:t> </w:t>
      </w:r>
      <w:r>
        <w:rPr/>
        <w:t>be</w:t>
      </w:r>
      <w:r>
        <w:rPr>
          <w:spacing w:val="-3"/>
        </w:rPr>
        <w:t> </w:t>
      </w:r>
      <w:r>
        <w:rPr/>
        <w:t>used</w:t>
      </w:r>
      <w:r>
        <w:rPr>
          <w:spacing w:val="-3"/>
        </w:rPr>
        <w:t> </w:t>
      </w:r>
      <w:r>
        <w:rPr/>
        <w:t>to</w:t>
      </w:r>
      <w:r>
        <w:rPr>
          <w:spacing w:val="-2"/>
        </w:rPr>
        <w:t> </w:t>
      </w:r>
      <w:r>
        <w:rPr/>
        <w:t>note</w:t>
      </w:r>
      <w:r>
        <w:rPr>
          <w:spacing w:val="-6"/>
        </w:rPr>
        <w:t> </w:t>
      </w:r>
      <w:r>
        <w:rPr/>
        <w:t>the</w:t>
      </w:r>
      <w:r>
        <w:rPr>
          <w:spacing w:val="-4"/>
        </w:rPr>
        <w:t> </w:t>
      </w:r>
      <w:r>
        <w:rPr/>
        <w:t>rate</w:t>
      </w:r>
      <w:r>
        <w:rPr>
          <w:spacing w:val="-6"/>
        </w:rPr>
        <w:t> </w:t>
      </w:r>
      <w:r>
        <w:rPr/>
        <w:t>at</w:t>
      </w:r>
      <w:r>
        <w:rPr>
          <w:spacing w:val="-2"/>
        </w:rPr>
        <w:t> </w:t>
      </w:r>
      <w:r>
        <w:rPr/>
        <w:t>which</w:t>
      </w:r>
      <w:r>
        <w:rPr>
          <w:spacing w:val="-4"/>
        </w:rPr>
        <w:t> </w:t>
      </w:r>
      <w:r>
        <w:rPr/>
        <w:t>certain</w:t>
      </w:r>
      <w:r>
        <w:rPr>
          <w:spacing w:val="-4"/>
        </w:rPr>
        <w:t> </w:t>
      </w:r>
      <w:r>
        <w:rPr/>
        <w:t>drugs</w:t>
      </w:r>
      <w:r>
        <w:rPr>
          <w:spacing w:val="-4"/>
        </w:rPr>
        <w:t> </w:t>
      </w:r>
      <w:r>
        <w:rPr/>
        <w:t>are</w:t>
      </w:r>
      <w:r>
        <w:rPr>
          <w:spacing w:val="-2"/>
        </w:rPr>
        <w:t> </w:t>
      </w:r>
      <w:r>
        <w:rPr/>
        <w:t>detected</w:t>
      </w:r>
      <w:r>
        <w:rPr>
          <w:spacing w:val="-3"/>
        </w:rPr>
        <w:t> </w:t>
      </w:r>
      <w:r>
        <w:rPr/>
        <w:t>in</w:t>
      </w:r>
      <w:r>
        <w:rPr>
          <w:spacing w:val="-6"/>
        </w:rPr>
        <w:t> </w:t>
      </w:r>
      <w:r>
        <w:rPr/>
        <w:t>toxicology</w:t>
      </w:r>
      <w:r>
        <w:rPr>
          <w:spacing w:val="-2"/>
        </w:rPr>
        <w:t> </w:t>
      </w:r>
      <w:r>
        <w:rPr/>
        <w:t>reports,</w:t>
      </w:r>
      <w:r>
        <w:rPr>
          <w:spacing w:val="-6"/>
        </w:rPr>
        <w:t> </w:t>
      </w:r>
      <w:r>
        <w:rPr/>
        <w:t>they</w:t>
      </w:r>
      <w:r>
        <w:rPr>
          <w:spacing w:val="-4"/>
        </w:rPr>
        <w:t> </w:t>
      </w:r>
      <w:r>
        <w:rPr/>
        <w:t>are insufficient to determine the final cause of death without additional information.</w:t>
      </w:r>
      <w:r>
        <w:rPr>
          <w:spacing w:val="40"/>
        </w:rPr>
        <w:t> </w:t>
      </w:r>
      <w:r>
        <w:rPr/>
        <w:t>The cause of death is a clinical judgement made within the Office of the Chief Medical Examiner.</w:t>
      </w:r>
    </w:p>
    <w:p>
      <w:pPr>
        <w:pStyle w:val="BodyText"/>
        <w:spacing w:before="5"/>
        <w:rPr>
          <w:sz w:val="20"/>
        </w:rPr>
      </w:pPr>
      <w:r>
        <w:rPr/>
        <w:drawing>
          <wp:anchor distT="0" distB="0" distL="0" distR="0" allowOverlap="1" layoutInCell="1" locked="0" behindDoc="1" simplePos="0" relativeHeight="487589888">
            <wp:simplePos x="0" y="0"/>
            <wp:positionH relativeFrom="page">
              <wp:posOffset>456946</wp:posOffset>
            </wp:positionH>
            <wp:positionV relativeFrom="paragraph">
              <wp:posOffset>173722</wp:posOffset>
            </wp:positionV>
            <wp:extent cx="6724237" cy="3160204"/>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6724237" cy="3160204"/>
                    </a:xfrm>
                    <a:prstGeom prst="rect">
                      <a:avLst/>
                    </a:prstGeom>
                  </pic:spPr>
                </pic:pic>
              </a:graphicData>
            </a:graphic>
          </wp:anchor>
        </w:drawing>
      </w:r>
    </w:p>
    <w:p>
      <w:pPr>
        <w:pStyle w:val="ListParagraph"/>
        <w:numPr>
          <w:ilvl w:val="0"/>
          <w:numId w:val="1"/>
        </w:numPr>
        <w:tabs>
          <w:tab w:pos="337" w:val="left" w:leader="none"/>
        </w:tabs>
        <w:spacing w:line="240" w:lineRule="auto" w:before="30" w:after="0"/>
        <w:ind w:left="337" w:right="0" w:hanging="177"/>
        <w:jc w:val="left"/>
        <w:rPr>
          <w:sz w:val="18"/>
        </w:rPr>
      </w:pPr>
      <w:r>
        <w:rPr>
          <w:sz w:val="18"/>
        </w:rPr>
        <w:t>This</w:t>
      </w:r>
      <w:r>
        <w:rPr>
          <w:spacing w:val="-6"/>
          <w:sz w:val="18"/>
        </w:rPr>
        <w:t> </w:t>
      </w:r>
      <w:r>
        <w:rPr>
          <w:sz w:val="18"/>
        </w:rPr>
        <w:t>is</w:t>
      </w:r>
      <w:r>
        <w:rPr>
          <w:spacing w:val="-7"/>
          <w:sz w:val="18"/>
        </w:rPr>
        <w:t> </w:t>
      </w:r>
      <w:r>
        <w:rPr>
          <w:sz w:val="18"/>
        </w:rPr>
        <w:t>most</w:t>
      </w:r>
      <w:r>
        <w:rPr>
          <w:spacing w:val="-7"/>
          <w:sz w:val="18"/>
        </w:rPr>
        <w:t> </w:t>
      </w:r>
      <w:r>
        <w:rPr>
          <w:sz w:val="18"/>
        </w:rPr>
        <w:t>likely</w:t>
      </w:r>
      <w:r>
        <w:rPr>
          <w:spacing w:val="-7"/>
          <w:sz w:val="18"/>
        </w:rPr>
        <w:t> </w:t>
      </w:r>
      <w:r>
        <w:rPr>
          <w:sz w:val="18"/>
        </w:rPr>
        <w:t>illicitly</w:t>
      </w:r>
      <w:r>
        <w:rPr>
          <w:spacing w:val="-7"/>
          <w:sz w:val="18"/>
        </w:rPr>
        <w:t> </w:t>
      </w:r>
      <w:r>
        <w:rPr>
          <w:sz w:val="18"/>
        </w:rPr>
        <w:t>produced</w:t>
      </w:r>
      <w:r>
        <w:rPr>
          <w:spacing w:val="-6"/>
          <w:sz w:val="18"/>
        </w:rPr>
        <w:t> </w:t>
      </w:r>
      <w:r>
        <w:rPr>
          <w:sz w:val="18"/>
        </w:rPr>
        <w:t>and</w:t>
      </w:r>
      <w:r>
        <w:rPr>
          <w:spacing w:val="-7"/>
          <w:sz w:val="18"/>
        </w:rPr>
        <w:t> </w:t>
      </w:r>
      <w:r>
        <w:rPr>
          <w:sz w:val="18"/>
        </w:rPr>
        <w:t>sold,</w:t>
      </w:r>
      <w:r>
        <w:rPr>
          <w:spacing w:val="-7"/>
          <w:sz w:val="18"/>
        </w:rPr>
        <w:t> </w:t>
      </w:r>
      <w:r>
        <w:rPr>
          <w:b/>
          <w:sz w:val="18"/>
        </w:rPr>
        <w:t>not</w:t>
      </w:r>
      <w:r>
        <w:rPr>
          <w:b/>
          <w:spacing w:val="-6"/>
          <w:sz w:val="18"/>
        </w:rPr>
        <w:t> </w:t>
      </w:r>
      <w:r>
        <w:rPr>
          <w:sz w:val="18"/>
        </w:rPr>
        <w:t>prescription</w:t>
      </w:r>
      <w:r>
        <w:rPr>
          <w:spacing w:val="-6"/>
          <w:sz w:val="18"/>
        </w:rPr>
        <w:t> </w:t>
      </w:r>
      <w:r>
        <w:rPr>
          <w:spacing w:val="-2"/>
          <w:sz w:val="18"/>
        </w:rPr>
        <w:t>fentanyl</w:t>
      </w:r>
    </w:p>
    <w:p>
      <w:pPr>
        <w:pStyle w:val="ListParagraph"/>
        <w:numPr>
          <w:ilvl w:val="0"/>
          <w:numId w:val="1"/>
        </w:numPr>
        <w:tabs>
          <w:tab w:pos="337" w:val="left" w:leader="none"/>
        </w:tabs>
        <w:spacing w:line="240" w:lineRule="auto" w:before="0" w:after="0"/>
        <w:ind w:left="337" w:right="0" w:hanging="177"/>
        <w:jc w:val="left"/>
        <w:rPr>
          <w:sz w:val="18"/>
        </w:rPr>
      </w:pPr>
      <w:r>
        <w:rPr>
          <w:spacing w:val="-2"/>
          <w:sz w:val="18"/>
        </w:rPr>
        <w:t>Prescription</w:t>
      </w:r>
      <w:r>
        <w:rPr>
          <w:spacing w:val="11"/>
          <w:sz w:val="18"/>
        </w:rPr>
        <w:t> </w:t>
      </w:r>
      <w:r>
        <w:rPr>
          <w:spacing w:val="-2"/>
          <w:sz w:val="18"/>
        </w:rPr>
        <w:t>opioids</w:t>
      </w:r>
      <w:r>
        <w:rPr>
          <w:spacing w:val="11"/>
          <w:sz w:val="18"/>
        </w:rPr>
        <w:t> </w:t>
      </w:r>
      <w:r>
        <w:rPr>
          <w:spacing w:val="-2"/>
          <w:sz w:val="18"/>
        </w:rPr>
        <w:t>include:</w:t>
      </w:r>
      <w:r>
        <w:rPr>
          <w:spacing w:val="11"/>
          <w:sz w:val="18"/>
        </w:rPr>
        <w:t> </w:t>
      </w:r>
      <w:r>
        <w:rPr>
          <w:spacing w:val="-2"/>
          <w:sz w:val="18"/>
        </w:rPr>
        <w:t>hydrocodone,</w:t>
      </w:r>
      <w:r>
        <w:rPr>
          <w:spacing w:val="8"/>
          <w:sz w:val="18"/>
        </w:rPr>
        <w:t> </w:t>
      </w:r>
      <w:r>
        <w:rPr>
          <w:spacing w:val="-2"/>
          <w:sz w:val="18"/>
        </w:rPr>
        <w:t>hydromorphone,</w:t>
      </w:r>
      <w:r>
        <w:rPr>
          <w:spacing w:val="8"/>
          <w:sz w:val="18"/>
        </w:rPr>
        <w:t> </w:t>
      </w:r>
      <w:r>
        <w:rPr>
          <w:spacing w:val="-2"/>
          <w:sz w:val="18"/>
        </w:rPr>
        <w:t>oxycodone,</w:t>
      </w:r>
      <w:r>
        <w:rPr>
          <w:spacing w:val="8"/>
          <w:sz w:val="18"/>
        </w:rPr>
        <w:t> </w:t>
      </w:r>
      <w:r>
        <w:rPr>
          <w:spacing w:val="-2"/>
          <w:sz w:val="18"/>
        </w:rPr>
        <w:t>oxymorphone,</w:t>
      </w:r>
      <w:r>
        <w:rPr>
          <w:spacing w:val="8"/>
          <w:sz w:val="18"/>
        </w:rPr>
        <w:t> </w:t>
      </w:r>
      <w:r>
        <w:rPr>
          <w:spacing w:val="-2"/>
          <w:sz w:val="18"/>
        </w:rPr>
        <w:t>and</w:t>
      </w:r>
      <w:r>
        <w:rPr>
          <w:spacing w:val="9"/>
          <w:sz w:val="18"/>
        </w:rPr>
        <w:t> </w:t>
      </w:r>
      <w:r>
        <w:rPr>
          <w:spacing w:val="-2"/>
          <w:sz w:val="18"/>
        </w:rPr>
        <w:t>tramadol</w:t>
      </w:r>
    </w:p>
    <w:p>
      <w:pPr>
        <w:spacing w:before="0"/>
        <w:ind w:left="119" w:right="0" w:firstLine="0"/>
        <w:jc w:val="left"/>
        <w:rPr>
          <w:b/>
          <w:sz w:val="18"/>
        </w:rPr>
      </w:pPr>
      <w:r>
        <w:rPr>
          <w:b/>
          <w:sz w:val="18"/>
        </w:rPr>
        <w:t>Please</w:t>
      </w:r>
      <w:r>
        <w:rPr>
          <w:b/>
          <w:spacing w:val="-2"/>
          <w:sz w:val="18"/>
        </w:rPr>
        <w:t> </w:t>
      </w:r>
      <w:r>
        <w:rPr>
          <w:b/>
          <w:sz w:val="18"/>
        </w:rPr>
        <w:t>note</w:t>
      </w:r>
      <w:r>
        <w:rPr>
          <w:b/>
          <w:spacing w:val="-2"/>
          <w:sz w:val="18"/>
        </w:rPr>
        <w:t> </w:t>
      </w:r>
      <w:r>
        <w:rPr>
          <w:b/>
          <w:sz w:val="18"/>
        </w:rPr>
        <w:t>that</w:t>
      </w:r>
      <w:r>
        <w:rPr>
          <w:b/>
          <w:spacing w:val="-3"/>
          <w:sz w:val="18"/>
        </w:rPr>
        <w:t> </w:t>
      </w:r>
      <w:r>
        <w:rPr>
          <w:b/>
          <w:sz w:val="18"/>
        </w:rPr>
        <w:t>previous</w:t>
      </w:r>
      <w:r>
        <w:rPr>
          <w:b/>
          <w:spacing w:val="-3"/>
          <w:sz w:val="18"/>
        </w:rPr>
        <w:t> </w:t>
      </w:r>
      <w:r>
        <w:rPr>
          <w:b/>
          <w:sz w:val="18"/>
        </w:rPr>
        <w:t>estimates</w:t>
      </w:r>
      <w:r>
        <w:rPr>
          <w:b/>
          <w:spacing w:val="-2"/>
          <w:sz w:val="18"/>
        </w:rPr>
        <w:t> </w:t>
      </w:r>
      <w:r>
        <w:rPr>
          <w:b/>
          <w:sz w:val="18"/>
        </w:rPr>
        <w:t>may</w:t>
      </w:r>
      <w:r>
        <w:rPr>
          <w:b/>
          <w:spacing w:val="-2"/>
          <w:sz w:val="18"/>
        </w:rPr>
        <w:t> </w:t>
      </w:r>
      <w:r>
        <w:rPr>
          <w:b/>
          <w:sz w:val="18"/>
        </w:rPr>
        <w:t>change</w:t>
      </w:r>
      <w:r>
        <w:rPr>
          <w:b/>
          <w:spacing w:val="-2"/>
          <w:sz w:val="18"/>
        </w:rPr>
        <w:t> </w:t>
      </w:r>
      <w:r>
        <w:rPr>
          <w:b/>
          <w:sz w:val="18"/>
        </w:rPr>
        <w:t>slightly</w:t>
      </w:r>
      <w:r>
        <w:rPr>
          <w:b/>
          <w:spacing w:val="-3"/>
          <w:sz w:val="18"/>
        </w:rPr>
        <w:t> </w:t>
      </w:r>
      <w:r>
        <w:rPr>
          <w:b/>
          <w:sz w:val="18"/>
        </w:rPr>
        <w:t>as</w:t>
      </w:r>
      <w:r>
        <w:rPr>
          <w:b/>
          <w:spacing w:val="-2"/>
          <w:sz w:val="18"/>
        </w:rPr>
        <w:t> </w:t>
      </w:r>
      <w:r>
        <w:rPr>
          <w:b/>
          <w:sz w:val="18"/>
        </w:rPr>
        <w:t>DPH</w:t>
      </w:r>
      <w:r>
        <w:rPr>
          <w:b/>
          <w:spacing w:val="-2"/>
          <w:sz w:val="18"/>
        </w:rPr>
        <w:t> </w:t>
      </w:r>
      <w:r>
        <w:rPr>
          <w:b/>
          <w:sz w:val="18"/>
        </w:rPr>
        <w:t>routinely</w:t>
      </w:r>
      <w:r>
        <w:rPr>
          <w:b/>
          <w:spacing w:val="-2"/>
          <w:sz w:val="18"/>
        </w:rPr>
        <w:t> </w:t>
      </w:r>
      <w:r>
        <w:rPr>
          <w:b/>
          <w:sz w:val="18"/>
        </w:rPr>
        <w:t>receives</w:t>
      </w:r>
      <w:r>
        <w:rPr>
          <w:b/>
          <w:spacing w:val="-2"/>
          <w:sz w:val="18"/>
        </w:rPr>
        <w:t> </w:t>
      </w:r>
      <w:r>
        <w:rPr>
          <w:b/>
          <w:sz w:val="18"/>
        </w:rPr>
        <w:t>updated</w:t>
      </w:r>
      <w:r>
        <w:rPr>
          <w:b/>
          <w:spacing w:val="-3"/>
          <w:sz w:val="18"/>
        </w:rPr>
        <w:t> </w:t>
      </w:r>
      <w:r>
        <w:rPr>
          <w:b/>
          <w:sz w:val="18"/>
        </w:rPr>
        <w:t>toxicology</w:t>
      </w:r>
      <w:r>
        <w:rPr>
          <w:b/>
          <w:spacing w:val="-4"/>
          <w:sz w:val="18"/>
        </w:rPr>
        <w:t> </w:t>
      </w:r>
      <w:r>
        <w:rPr>
          <w:b/>
          <w:sz w:val="18"/>
        </w:rPr>
        <w:t>data</w:t>
      </w:r>
      <w:r>
        <w:rPr>
          <w:b/>
          <w:spacing w:val="-2"/>
          <w:sz w:val="18"/>
        </w:rPr>
        <w:t> </w:t>
      </w:r>
      <w:r>
        <w:rPr>
          <w:b/>
          <w:sz w:val="18"/>
        </w:rPr>
        <w:t>from</w:t>
      </w:r>
      <w:r>
        <w:rPr>
          <w:b/>
          <w:spacing w:val="-2"/>
          <w:sz w:val="18"/>
        </w:rPr>
        <w:t> </w:t>
      </w:r>
      <w:r>
        <w:rPr>
          <w:b/>
          <w:sz w:val="18"/>
        </w:rPr>
        <w:t>the</w:t>
      </w:r>
      <w:r>
        <w:rPr>
          <w:b/>
          <w:spacing w:val="-3"/>
          <w:sz w:val="18"/>
        </w:rPr>
        <w:t> </w:t>
      </w:r>
      <w:r>
        <w:rPr>
          <w:b/>
          <w:sz w:val="18"/>
        </w:rPr>
        <w:t>Office</w:t>
      </w:r>
      <w:r>
        <w:rPr>
          <w:b/>
          <w:spacing w:val="-2"/>
          <w:sz w:val="18"/>
        </w:rPr>
        <w:t> </w:t>
      </w:r>
      <w:r>
        <w:rPr>
          <w:b/>
          <w:sz w:val="18"/>
        </w:rPr>
        <w:t>of</w:t>
      </w:r>
      <w:r>
        <w:rPr>
          <w:b/>
          <w:spacing w:val="-3"/>
          <w:sz w:val="18"/>
        </w:rPr>
        <w:t> </w:t>
      </w:r>
      <w:r>
        <w:rPr>
          <w:b/>
          <w:sz w:val="18"/>
        </w:rPr>
        <w:t>the</w:t>
      </w:r>
      <w:r>
        <w:rPr>
          <w:b/>
          <w:spacing w:val="-1"/>
          <w:sz w:val="18"/>
        </w:rPr>
        <w:t> </w:t>
      </w:r>
      <w:r>
        <w:rPr>
          <w:b/>
          <w:sz w:val="18"/>
        </w:rPr>
        <w:t>Chief</w:t>
      </w:r>
      <w:r>
        <w:rPr>
          <w:b/>
          <w:spacing w:val="-3"/>
          <w:sz w:val="18"/>
        </w:rPr>
        <w:t> </w:t>
      </w:r>
      <w:r>
        <w:rPr>
          <w:b/>
          <w:sz w:val="18"/>
        </w:rPr>
        <w:t>Medical Examiner and the Massachusetts State Police.</w:t>
      </w:r>
    </w:p>
    <w:sectPr>
      <w:pgSz w:w="12240" w:h="15840"/>
      <w:pgMar w:top="520" w:bottom="28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38" w:hanging="178"/>
        <w:jc w:val="left"/>
      </w:pPr>
      <w:rPr>
        <w:rFonts w:hint="default" w:ascii="Calibri" w:hAnsi="Calibri" w:eastAsia="Calibri" w:cs="Calibri"/>
        <w:b w:val="0"/>
        <w:bCs w:val="0"/>
        <w:i w:val="0"/>
        <w:iCs w:val="0"/>
        <w:spacing w:val="0"/>
        <w:w w:val="99"/>
        <w:sz w:val="18"/>
        <w:szCs w:val="18"/>
        <w:lang w:val="en-US" w:eastAsia="en-US" w:bidi="ar-SA"/>
      </w:rPr>
    </w:lvl>
    <w:lvl w:ilvl="1">
      <w:start w:val="0"/>
      <w:numFmt w:val="bullet"/>
      <w:lvlText w:val="•"/>
      <w:lvlJc w:val="left"/>
      <w:pPr>
        <w:ind w:left="1408" w:hanging="178"/>
      </w:pPr>
      <w:rPr>
        <w:rFonts w:hint="default"/>
        <w:lang w:val="en-US" w:eastAsia="en-US" w:bidi="ar-SA"/>
      </w:rPr>
    </w:lvl>
    <w:lvl w:ilvl="2">
      <w:start w:val="0"/>
      <w:numFmt w:val="bullet"/>
      <w:lvlText w:val="•"/>
      <w:lvlJc w:val="left"/>
      <w:pPr>
        <w:ind w:left="2476" w:hanging="178"/>
      </w:pPr>
      <w:rPr>
        <w:rFonts w:hint="default"/>
        <w:lang w:val="en-US" w:eastAsia="en-US" w:bidi="ar-SA"/>
      </w:rPr>
    </w:lvl>
    <w:lvl w:ilvl="3">
      <w:start w:val="0"/>
      <w:numFmt w:val="bullet"/>
      <w:lvlText w:val="•"/>
      <w:lvlJc w:val="left"/>
      <w:pPr>
        <w:ind w:left="3544" w:hanging="178"/>
      </w:pPr>
      <w:rPr>
        <w:rFonts w:hint="default"/>
        <w:lang w:val="en-US" w:eastAsia="en-US" w:bidi="ar-SA"/>
      </w:rPr>
    </w:lvl>
    <w:lvl w:ilvl="4">
      <w:start w:val="0"/>
      <w:numFmt w:val="bullet"/>
      <w:lvlText w:val="•"/>
      <w:lvlJc w:val="left"/>
      <w:pPr>
        <w:ind w:left="4612" w:hanging="178"/>
      </w:pPr>
      <w:rPr>
        <w:rFonts w:hint="default"/>
        <w:lang w:val="en-US" w:eastAsia="en-US" w:bidi="ar-SA"/>
      </w:rPr>
    </w:lvl>
    <w:lvl w:ilvl="5">
      <w:start w:val="0"/>
      <w:numFmt w:val="bullet"/>
      <w:lvlText w:val="•"/>
      <w:lvlJc w:val="left"/>
      <w:pPr>
        <w:ind w:left="5680" w:hanging="178"/>
      </w:pPr>
      <w:rPr>
        <w:rFonts w:hint="default"/>
        <w:lang w:val="en-US" w:eastAsia="en-US" w:bidi="ar-SA"/>
      </w:rPr>
    </w:lvl>
    <w:lvl w:ilvl="6">
      <w:start w:val="0"/>
      <w:numFmt w:val="bullet"/>
      <w:lvlText w:val="•"/>
      <w:lvlJc w:val="left"/>
      <w:pPr>
        <w:ind w:left="6748" w:hanging="178"/>
      </w:pPr>
      <w:rPr>
        <w:rFonts w:hint="default"/>
        <w:lang w:val="en-US" w:eastAsia="en-US" w:bidi="ar-SA"/>
      </w:rPr>
    </w:lvl>
    <w:lvl w:ilvl="7">
      <w:start w:val="0"/>
      <w:numFmt w:val="bullet"/>
      <w:lvlText w:val="•"/>
      <w:lvlJc w:val="left"/>
      <w:pPr>
        <w:ind w:left="7816" w:hanging="178"/>
      </w:pPr>
      <w:rPr>
        <w:rFonts w:hint="default"/>
        <w:lang w:val="en-US" w:eastAsia="en-US" w:bidi="ar-SA"/>
      </w:rPr>
    </w:lvl>
    <w:lvl w:ilvl="8">
      <w:start w:val="0"/>
      <w:numFmt w:val="bullet"/>
      <w:lvlText w:val="•"/>
      <w:lvlJc w:val="left"/>
      <w:pPr>
        <w:ind w:left="8884" w:hanging="17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20"/>
      <w:outlineLvl w:val="1"/>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ind w:left="337" w:hanging="177"/>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itle>Microsoft Word - 2018 Q2 Opioid Quarterly Report v15</dc:title>
  <dcterms:created xsi:type="dcterms:W3CDTF">2024-12-31T14:58:46Z</dcterms:created>
  <dcterms:modified xsi:type="dcterms:W3CDTF">2024-12-31T14:58:46Z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Creator">
    <vt:lpwstr>PScript5.dll Version 5.2.2</vt:lpwstr>
  </property>
  <property fmtid="{D5CDD505-2E9C-101B-9397-08002B2CF9AE}" pid="4" name="LastSaved">
    <vt:filetime>2024-12-31T00:00:00Z</vt:filetime>
  </property>
  <property fmtid="{D5CDD505-2E9C-101B-9397-08002B2CF9AE}" pid="5" name="Producer">
    <vt:lpwstr>Acrobat Distiller 15.0 (Windows)</vt:lpwstr>
  </property>
</Properties>
</file>