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65" y="214629"/>
                            <a:ext cx="1009549" cy="1005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498465" y="1341755"/>
                            <a:ext cx="120269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 FEBRUARY</w:t>
                              </w:r>
                              <w:r>
                                <w:rPr>
                                  <w:spacing w:val="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719" y="1341755"/>
                            <a:ext cx="205993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1"/>
                                <w:ind w:left="2506" w:right="697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 of Opioid-Related Overdose Deaths, All Intents by City/Town</w:t>
                              </w:r>
                            </w:p>
                            <w:p>
                              <w:pPr>
                                <w:spacing w:line="449" w:lineRule="exact" w:before="0"/>
                                <w:ind w:left="2507" w:right="697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38"/>
                                </w:rPr>
                                <w:t>2013-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3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rect style="position:absolute;left:11;top:1960;width:10665;height:420" id="docshape3" filled="false" stroked="true" strokeweight="1pt" strokecolor="#000000">
                  <v:stroke dashstyle="solid"/>
                </v:rect>
                <v:rect style="position:absolute;left:10;top:10;width:10665;height:1965" id="docshape4" filled="true" fillcolor="#ffffff" stroked="false">
                  <v:fill type="solid"/>
                </v:rect>
                <v:shape style="position:absolute;left:486;top:338;width:1590;height:1584" type="#_x0000_t75" id="docshape5" stroked="false">
                  <v:imagedata r:id="rId6" o:title=""/>
                </v:shape>
                <v:shape style="position:absolute;left:8659;top:2113;width:1894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 FEBRUARY</w:t>
                        </w:r>
                        <w:r>
                          <w:rPr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72;top:2113;width:3244;height:176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before="261"/>
                          <w:ind w:left="2506" w:right="697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 of Opioid-Related Overdose Deaths, All Intents by City/Town</w:t>
                        </w:r>
                      </w:p>
                      <w:p>
                        <w:pPr>
                          <w:spacing w:line="449" w:lineRule="exact" w:before="0"/>
                          <w:ind w:left="2507" w:right="697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pacing w:val="-2"/>
                            <w:sz w:val="38"/>
                          </w:rPr>
                          <w:t>2013-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38"/>
                          </w:rPr>
                          <w:t>2017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8"/>
        <w:rPr>
          <w:rFonts w:ascii="Times New Roman"/>
        </w:rPr>
      </w:pPr>
    </w:p>
    <w:p>
      <w:pPr>
        <w:pStyle w:val="BodyText"/>
        <w:spacing w:before="0"/>
        <w:ind w:left="240" w:right="287"/>
      </w:pPr>
      <w:r>
        <w:rPr>
          <w:b/>
        </w:rPr>
        <w:t>Note</w:t>
      </w:r>
      <w:r>
        <w:rPr>
          <w:b/>
          <w:spacing w:val="-18"/>
        </w:rPr>
        <w:t> </w:t>
      </w:r>
      <w:r>
        <w:rPr>
          <w:b/>
        </w:rPr>
        <w:t>to Readers:</w:t>
      </w:r>
      <w:r>
        <w:rPr>
          <w:b/>
          <w:spacing w:val="-10"/>
        </w:rPr>
        <w:t> </w:t>
      </w:r>
      <w:r>
        <w:rPr/>
        <w:t>Beginning</w:t>
      </w:r>
      <w:r>
        <w:rPr>
          <w:spacing w:val="-10"/>
        </w:rPr>
        <w:t> </w:t>
      </w:r>
      <w:r>
        <w:rPr/>
        <w:t>with</w:t>
      </w:r>
      <w:r>
        <w:rPr>
          <w:spacing w:val="-23"/>
        </w:rPr>
        <w:t> </w:t>
      </w:r>
      <w:r>
        <w:rPr/>
        <w:t>the May</w:t>
      </w:r>
      <w:r>
        <w:rPr>
          <w:spacing w:val="-22"/>
        </w:rPr>
        <w:t> </w:t>
      </w:r>
      <w:r>
        <w:rPr/>
        <w:t>2018</w:t>
      </w:r>
      <w:r>
        <w:rPr>
          <w:spacing w:val="-2"/>
        </w:rPr>
        <w:t> </w:t>
      </w:r>
      <w:r>
        <w:rPr/>
        <w:t>report,</w:t>
      </w:r>
      <w:r>
        <w:rPr>
          <w:spacing w:val="-8"/>
        </w:rPr>
        <w:t> </w:t>
      </w:r>
      <w:r>
        <w:rPr/>
        <w:t>DPH is</w:t>
      </w:r>
      <w:r>
        <w:rPr>
          <w:spacing w:val="-8"/>
        </w:rPr>
        <w:t> </w:t>
      </w:r>
      <w:r>
        <w:rPr/>
        <w:t>including</w:t>
      </w:r>
      <w:r>
        <w:rPr>
          <w:spacing w:val="24"/>
        </w:rPr>
        <w:t> </w:t>
      </w:r>
      <w:r>
        <w:rPr/>
        <w:t>two</w:t>
      </w:r>
      <w:r>
        <w:rPr>
          <w:spacing w:val="-7"/>
        </w:rPr>
        <w:t> </w:t>
      </w:r>
      <w:r>
        <w:rPr/>
        <w:t>city/town</w:t>
      </w:r>
      <w:r>
        <w:rPr>
          <w:spacing w:val="-6"/>
        </w:rPr>
        <w:t> </w:t>
      </w:r>
      <w:r>
        <w:rPr/>
        <w:t>tables.</w:t>
      </w:r>
      <w:r>
        <w:rPr>
          <w:spacing w:val="40"/>
        </w:rPr>
        <w:t> </w:t>
      </w:r>
      <w:r>
        <w:rPr/>
        <w:t>As previously published, Table 1 contains</w:t>
      </w:r>
      <w:r>
        <w:rPr>
          <w:spacing w:val="-6"/>
        </w:rPr>
        <w:t> </w:t>
      </w:r>
      <w:r>
        <w:rPr/>
        <w:t>counts of</w:t>
      </w:r>
      <w:r>
        <w:rPr>
          <w:spacing w:val="-5"/>
        </w:rPr>
        <w:t> </w:t>
      </w:r>
      <w:r>
        <w:rPr/>
        <w:t>opioid-related overdose deaths</w:t>
      </w:r>
      <w:r>
        <w:rPr>
          <w:spacing w:val="-8"/>
        </w:rPr>
        <w:t> </w:t>
      </w:r>
      <w:r>
        <w:rPr/>
        <w:t>in</w:t>
      </w:r>
      <w:r>
        <w:rPr>
          <w:spacing w:val="-1"/>
        </w:rPr>
        <w:t> </w:t>
      </w:r>
      <w:r>
        <w:rPr/>
        <w:t>the city/town</w:t>
      </w:r>
      <w:r>
        <w:rPr>
          <w:spacing w:val="-6"/>
        </w:rPr>
        <w:t> </w:t>
      </w:r>
      <w:r>
        <w:rPr/>
        <w:t>of residence for the decedents</w:t>
      </w:r>
      <w:r>
        <w:rPr>
          <w:spacing w:val="-8"/>
        </w:rPr>
        <w:t> </w:t>
      </w:r>
      <w:r>
        <w:rPr/>
        <w:t>among MA residents.</w:t>
      </w:r>
      <w:r>
        <w:rPr>
          <w:spacing w:val="40"/>
        </w:rPr>
        <w:t> </w:t>
      </w:r>
      <w:r>
        <w:rPr/>
        <w:t>Table 2 contains</w:t>
      </w:r>
      <w:r>
        <w:rPr>
          <w:spacing w:val="-1"/>
        </w:rPr>
        <w:t> </w:t>
      </w:r>
      <w:r>
        <w:rPr/>
        <w:t>counts of opioid-related overdose deaths</w:t>
      </w:r>
      <w:r>
        <w:rPr>
          <w:spacing w:val="-3"/>
        </w:rPr>
        <w:t> </w:t>
      </w:r>
      <w:r>
        <w:rPr/>
        <w:t>in the city/town</w:t>
      </w:r>
      <w:r>
        <w:rPr>
          <w:spacing w:val="-1"/>
        </w:rPr>
        <w:t> </w:t>
      </w:r>
      <w:r>
        <w:rPr/>
        <w:t>of the death</w:t>
      </w:r>
      <w:r>
        <w:rPr>
          <w:spacing w:val="-20"/>
        </w:rPr>
        <w:t> </w:t>
      </w:r>
      <w:r>
        <w:rPr/>
        <w:t>occurrence. The information</w:t>
      </w:r>
      <w:r>
        <w:rPr>
          <w:spacing w:val="17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2 is</w:t>
      </w:r>
      <w:r>
        <w:rPr>
          <w:spacing w:val="-4"/>
        </w:rPr>
        <w:t> </w:t>
      </w:r>
      <w:r>
        <w:rPr/>
        <w:t>new and</w:t>
      </w:r>
      <w:r>
        <w:rPr>
          <w:spacing w:val="17"/>
        </w:rPr>
        <w:t> </w:t>
      </w:r>
      <w:r>
        <w:rPr/>
        <w:t>has</w:t>
      </w:r>
      <w:r>
        <w:rPr>
          <w:spacing w:val="-4"/>
        </w:rPr>
        <w:t> </w:t>
      </w:r>
      <w:r>
        <w:rPr/>
        <w:t>not been</w:t>
      </w:r>
      <w:r>
        <w:rPr>
          <w:spacing w:val="-2"/>
        </w:rPr>
        <w:t> </w:t>
      </w:r>
      <w:r>
        <w:rPr/>
        <w:t>previously</w:t>
      </w:r>
      <w:r>
        <w:rPr>
          <w:spacing w:val="36"/>
        </w:rPr>
        <w:t> </w:t>
      </w:r>
      <w:r>
        <w:rPr/>
        <w:t>reported.</w:t>
      </w:r>
      <w:r>
        <w:rPr>
          <w:spacing w:val="-5"/>
        </w:rPr>
        <w:t> </w:t>
      </w:r>
      <w:r>
        <w:rPr/>
        <w:t>The counts</w:t>
      </w:r>
      <w:r>
        <w:rPr>
          <w:spacing w:val="15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2 are</w:t>
      </w:r>
      <w:r>
        <w:rPr>
          <w:spacing w:val="-13"/>
        </w:rPr>
        <w:t> </w:t>
      </w:r>
      <w:r>
        <w:rPr/>
        <w:t>different</w:t>
      </w:r>
      <w:r>
        <w:rPr/>
        <w:t> from Table 1 because they</w:t>
      </w:r>
      <w:r>
        <w:rPr>
          <w:spacing w:val="-1"/>
        </w:rPr>
        <w:t> </w:t>
      </w:r>
      <w:r>
        <w:rPr/>
        <w:t>include</w:t>
      </w:r>
      <w:r>
        <w:rPr>
          <w:spacing w:val="24"/>
        </w:rPr>
        <w:t> </w:t>
      </w:r>
      <w:r>
        <w:rPr/>
        <w:t>counts</w:t>
      </w:r>
      <w:r>
        <w:rPr>
          <w:spacing w:val="-4"/>
        </w:rPr>
        <w:t> </w:t>
      </w:r>
      <w:r>
        <w:rPr/>
        <w:t>based on</w:t>
      </w:r>
      <w:r>
        <w:rPr>
          <w:spacing w:val="-2"/>
        </w:rPr>
        <w:t> </w:t>
      </w:r>
      <w:r>
        <w:rPr/>
        <w:t>location</w:t>
      </w:r>
      <w:r>
        <w:rPr>
          <w:spacing w:val="-2"/>
        </w:rPr>
        <w:t> </w:t>
      </w:r>
      <w:r>
        <w:rPr/>
        <w:t>of death</w:t>
      </w:r>
      <w:r>
        <w:rPr>
          <w:spacing w:val="-2"/>
        </w:rPr>
        <w:t> </w:t>
      </w:r>
      <w:r>
        <w:rPr/>
        <w:t>versus location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decedents’ residence (Table 1). Massachusetts</w:t>
      </w:r>
      <w:r>
        <w:rPr>
          <w:spacing w:val="-20"/>
        </w:rPr>
        <w:t> </w:t>
      </w:r>
      <w:r>
        <w:rPr/>
        <w:t>residents who died in Massachusetts are included in both tables. Massachusetts residents who died outside</w:t>
      </w:r>
      <w:r>
        <w:rPr>
          <w:spacing w:val="29"/>
        </w:rPr>
        <w:t> </w:t>
      </w:r>
      <w:r>
        <w:rPr/>
        <w:t>of Massachusetts</w:t>
      </w:r>
      <w:r>
        <w:rPr>
          <w:spacing w:val="-1"/>
        </w:rPr>
        <w:t> </w:t>
      </w:r>
      <w:r>
        <w:rPr/>
        <w:t>are included in</w:t>
      </w:r>
      <w:r>
        <w:rPr>
          <w:spacing w:val="34"/>
        </w:rPr>
        <w:t> </w:t>
      </w:r>
      <w:r>
        <w:rPr/>
        <w:t>the “Death</w:t>
      </w:r>
      <w:r>
        <w:rPr>
          <w:spacing w:val="-18"/>
        </w:rPr>
        <w:t> </w:t>
      </w:r>
      <w:r>
        <w:rPr/>
        <w:t>Occurrence”</w:t>
      </w:r>
      <w:r>
        <w:rPr>
          <w:spacing w:val="-8"/>
        </w:rPr>
        <w:t> </w:t>
      </w:r>
      <w:r>
        <w:rPr/>
        <w:t>table</w:t>
      </w:r>
      <w:r>
        <w:rPr>
          <w:spacing w:val="-11"/>
        </w:rPr>
        <w:t> </w:t>
      </w:r>
      <w:r>
        <w:rPr/>
        <w:t>(Table 2) as</w:t>
      </w:r>
      <w:r>
        <w:rPr>
          <w:spacing w:val="-1"/>
        </w:rPr>
        <w:t> </w:t>
      </w:r>
      <w:r>
        <w:rPr/>
        <w:t>“Outside of Massachusetts”.</w:t>
      </w:r>
      <w:r>
        <w:rPr>
          <w:spacing w:val="-6"/>
        </w:rPr>
        <w:t> </w:t>
      </w:r>
      <w:r>
        <w:rPr/>
        <w:t>Non-Massachusetts residents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died in Massachusetts</w:t>
      </w:r>
      <w:r>
        <w:rPr>
          <w:spacing w:val="-23"/>
        </w:rPr>
        <w:t> </w:t>
      </w:r>
      <w:r>
        <w:rPr/>
        <w:t>are </w:t>
      </w:r>
      <w:r>
        <w:rPr>
          <w:u w:val="single"/>
        </w:rPr>
        <w:t>not</w:t>
      </w:r>
      <w:r>
        <w:rPr>
          <w:u w:val="none"/>
        </w:rPr>
        <w:t> included in</w:t>
      </w:r>
      <w:r>
        <w:rPr>
          <w:spacing w:val="-2"/>
          <w:u w:val="none"/>
        </w:rPr>
        <w:t> </w:t>
      </w:r>
      <w:r>
        <w:rPr>
          <w:u w:val="none"/>
        </w:rPr>
        <w:t>the “Residence” (Table </w:t>
      </w:r>
      <w:r>
        <w:rPr>
          <w:spacing w:val="-4"/>
          <w:u w:val="none"/>
        </w:rPr>
        <w:t>1).</w:t>
      </w:r>
    </w:p>
    <w:p>
      <w:pPr>
        <w:pStyle w:val="Heading1"/>
        <w:spacing w:line="242" w:lineRule="auto" w:before="258"/>
        <w:ind w:left="257" w:right="287"/>
      </w:pPr>
      <w:r>
        <w:rPr/>
        <w:t>Table 1.</w:t>
      </w:r>
      <w:r>
        <w:rPr>
          <w:spacing w:val="40"/>
        </w:rPr>
        <w:t> </w:t>
      </w:r>
      <w:r>
        <w:rPr/>
        <w:t>Number of confirmed opioid-related overdose deaths</w:t>
      </w:r>
      <w:r>
        <w:rPr>
          <w:spacing w:val="-3"/>
        </w:rPr>
        <w:t> </w:t>
      </w:r>
      <w:r>
        <w:rPr/>
        <w:t>for all</w:t>
      </w:r>
      <w:r>
        <w:rPr>
          <w:spacing w:val="-8"/>
        </w:rPr>
        <w:t> </w:t>
      </w:r>
      <w:r>
        <w:rPr/>
        <w:t>intents </w:t>
      </w:r>
      <w:r>
        <w:rPr>
          <w:u w:val="single"/>
        </w:rPr>
        <w:t>by city/town of</w:t>
      </w:r>
      <w:r>
        <w:rPr>
          <w:spacing w:val="-8"/>
          <w:u w:val="single"/>
        </w:rPr>
        <w:t> </w:t>
      </w:r>
      <w:r>
        <w:rPr>
          <w:u w:val="single"/>
        </w:rPr>
        <w:t>residence for the</w:t>
      </w:r>
      <w:r>
        <w:rPr>
          <w:u w:val="none"/>
        </w:rPr>
        <w:t> </w:t>
      </w:r>
      <w:r>
        <w:rPr>
          <w:u w:val="single"/>
        </w:rPr>
        <w:t>decedent</w:t>
      </w:r>
      <w:r>
        <w:rPr>
          <w:u w:val="none"/>
        </w:rPr>
        <w:t>, </w:t>
      </w:r>
      <w:r>
        <w:rPr>
          <w:u w:val="single"/>
        </w:rPr>
        <w:t>among</w:t>
      </w:r>
      <w:r>
        <w:rPr>
          <w:spacing w:val="-21"/>
          <w:u w:val="single"/>
        </w:rPr>
        <w:t> </w:t>
      </w:r>
      <w:r>
        <w:rPr>
          <w:u w:val="single"/>
        </w:rPr>
        <w:t>MA</w:t>
      </w:r>
      <w:r>
        <w:rPr>
          <w:spacing w:val="-18"/>
          <w:u w:val="single"/>
        </w:rPr>
        <w:t> </w:t>
      </w:r>
      <w:r>
        <w:rPr>
          <w:u w:val="single"/>
        </w:rPr>
        <w:t>residents</w:t>
      </w:r>
      <w:r>
        <w:rPr>
          <w:u w:val="none"/>
        </w:rPr>
        <w:t>, 2013-2017. For</w:t>
      </w:r>
      <w:r>
        <w:rPr>
          <w:spacing w:val="-7"/>
          <w:u w:val="none"/>
        </w:rPr>
        <w:t> </w:t>
      </w:r>
      <w:r>
        <w:rPr>
          <w:u w:val="none"/>
        </w:rPr>
        <w:t>2017, additional</w:t>
      </w:r>
      <w:r>
        <w:rPr>
          <w:spacing w:val="-17"/>
          <w:u w:val="none"/>
        </w:rPr>
        <w:t> </w:t>
      </w:r>
      <w:r>
        <w:rPr>
          <w:u w:val="none"/>
        </w:rPr>
        <w:t>cases are</w:t>
      </w:r>
      <w:r>
        <w:rPr>
          <w:spacing w:val="-8"/>
          <w:u w:val="none"/>
        </w:rPr>
        <w:t> </w:t>
      </w:r>
      <w:r>
        <w:rPr>
          <w:u w:val="none"/>
        </w:rPr>
        <w:t>still being confirmed by the</w:t>
      </w:r>
      <w:r>
        <w:rPr>
          <w:spacing w:val="-8"/>
          <w:u w:val="none"/>
        </w:rPr>
        <w:t> </w:t>
      </w:r>
      <w:r>
        <w:rPr>
          <w:u w:val="none"/>
        </w:rPr>
        <w:t>Office</w:t>
      </w:r>
      <w:r>
        <w:rPr>
          <w:spacing w:val="35"/>
          <w:u w:val="none"/>
        </w:rPr>
        <w:t> </w:t>
      </w:r>
      <w:r>
        <w:rPr>
          <w:u w:val="none"/>
        </w:rPr>
        <w:t>of the Chief Medical Examiner. This report</w:t>
      </w:r>
      <w:r>
        <w:rPr>
          <w:spacing w:val="-1"/>
          <w:u w:val="none"/>
        </w:rPr>
        <w:t> </w:t>
      </w:r>
      <w:r>
        <w:rPr>
          <w:u w:val="none"/>
        </w:rPr>
        <w:t>will be updated quarterly and all</w:t>
      </w:r>
      <w:r>
        <w:rPr>
          <w:spacing w:val="-14"/>
          <w:u w:val="none"/>
        </w:rPr>
        <w:t> </w:t>
      </w:r>
      <w:r>
        <w:rPr>
          <w:u w:val="none"/>
        </w:rPr>
        <w:t>new</w:t>
      </w:r>
      <w:r>
        <w:rPr>
          <w:spacing w:val="-14"/>
          <w:u w:val="none"/>
        </w:rPr>
        <w:t> </w:t>
      </w:r>
      <w:r>
        <w:rPr>
          <w:u w:val="none"/>
        </w:rPr>
        <w:t>confirmed cases will</w:t>
      </w:r>
      <w:r>
        <w:rPr>
          <w:spacing w:val="32"/>
          <w:u w:val="none"/>
        </w:rPr>
        <w:t> </w:t>
      </w:r>
      <w:r>
        <w:rPr>
          <w:u w:val="none"/>
        </w:rPr>
        <w:t>be</w:t>
      </w:r>
      <w:r>
        <w:rPr>
          <w:spacing w:val="-6"/>
          <w:u w:val="none"/>
        </w:rPr>
        <w:t> </w:t>
      </w:r>
      <w:r>
        <w:rPr>
          <w:u w:val="none"/>
        </w:rPr>
        <w:t>included in the table below with newly confirmed cases.</w:t>
      </w:r>
    </w:p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1646"/>
        <w:gridCol w:w="1634"/>
        <w:gridCol w:w="1650"/>
        <w:gridCol w:w="1650"/>
        <w:gridCol w:w="1634"/>
      </w:tblGrid>
      <w:tr>
        <w:trPr>
          <w:trHeight w:val="444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4" w:type="dxa"/>
            <w:gridSpan w:val="5"/>
          </w:tcPr>
          <w:p>
            <w:pPr>
              <w:pStyle w:val="TableParagraph"/>
              <w:spacing w:line="240" w:lineRule="auto" w:before="61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12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240" w:lineRule="auto" w:before="45"/>
              <w:ind w:left="29"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45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45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45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45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4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38" w:top="820" w:bottom="1120" w:left="480" w:right="620"/>
          <w:pgNumType w:start="6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650" w:type="dxa"/>
          </w:tcPr>
          <w:p>
            <w:pPr>
              <w:pStyle w:val="TableParagraph"/>
              <w:ind w:right="33"/>
              <w:rPr>
                <w:sz w:val="22"/>
              </w:rPr>
            </w:pPr>
            <w:r>
              <w:rPr>
                <w:spacing w:val="-5"/>
                <w:sz w:val="22"/>
              </w:rPr>
              <w:t>152</w:t>
            </w:r>
          </w:p>
        </w:tc>
        <w:tc>
          <w:tcPr>
            <w:tcW w:w="1650" w:type="dxa"/>
          </w:tcPr>
          <w:p>
            <w:pPr>
              <w:pStyle w:val="TableParagraph"/>
              <w:ind w:right="32"/>
              <w:rPr>
                <w:sz w:val="22"/>
              </w:rPr>
            </w:pPr>
            <w:r>
              <w:rPr>
                <w:spacing w:val="-5"/>
                <w:sz w:val="22"/>
              </w:rPr>
              <w:t>195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footerReference w:type="default" r:id="rId8"/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River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Oak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34"/>
        <w:gridCol w:w="1650"/>
        <w:gridCol w:w="1650"/>
        <w:gridCol w:w="1634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0" w:lineRule="auto" w:before="16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Residence</w:t>
            </w:r>
          </w:p>
        </w:tc>
        <w:tc>
          <w:tcPr>
            <w:tcW w:w="8218" w:type="dxa"/>
            <w:gridSpan w:val="5"/>
          </w:tcPr>
          <w:p>
            <w:pPr>
              <w:pStyle w:val="TableParagraph"/>
              <w:spacing w:line="240" w:lineRule="auto" w:before="61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4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50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8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sz w:val="22"/>
              </w:rPr>
            </w:pPr>
            <w:r>
              <w:rPr>
                <w:spacing w:val="-5"/>
                <w:sz w:val="22"/>
              </w:rPr>
              <w:t>79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50" w:type="dxa"/>
          </w:tcPr>
          <w:p>
            <w:pPr>
              <w:pStyle w:val="TableParagraph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0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3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9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0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ind w:right="3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1,362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1,710</w:t>
            </w:r>
          </w:p>
        </w:tc>
        <w:tc>
          <w:tcPr>
            <w:tcW w:w="1650" w:type="dxa"/>
          </w:tcPr>
          <w:p>
            <w:pPr>
              <w:pStyle w:val="TableParagraph"/>
              <w:ind w:right="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2,099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1,945</w:t>
            </w:r>
          </w:p>
        </w:tc>
      </w:tr>
    </w:tbl>
    <w:p>
      <w:pPr>
        <w:spacing w:line="235" w:lineRule="auto" w:before="0"/>
        <w:ind w:left="160" w:right="308" w:firstLine="0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10"/>
          <w:sz w:val="16"/>
        </w:rPr>
        <w:t> </w:t>
      </w:r>
      <w:r>
        <w:rPr>
          <w:sz w:val="16"/>
        </w:rPr>
        <w:t>note</w:t>
      </w:r>
      <w:r>
        <w:rPr>
          <w:spacing w:val="-9"/>
          <w:sz w:val="16"/>
        </w:rPr>
        <w:t> </w:t>
      </w:r>
      <w:r>
        <w:rPr>
          <w:sz w:val="16"/>
        </w:rPr>
        <w:t>that</w:t>
      </w:r>
      <w:r>
        <w:rPr>
          <w:spacing w:val="-9"/>
          <w:sz w:val="16"/>
        </w:rPr>
        <w:t> </w:t>
      </w:r>
      <w:r>
        <w:rPr>
          <w:sz w:val="16"/>
        </w:rPr>
        <w:t>2017</w:t>
      </w:r>
      <w:r>
        <w:rPr>
          <w:spacing w:val="-2"/>
          <w:sz w:val="16"/>
        </w:rPr>
        <w:t> </w:t>
      </w:r>
      <w:r>
        <w:rPr>
          <w:sz w:val="16"/>
        </w:rPr>
        <w:t>death</w:t>
      </w:r>
      <w:r>
        <w:rPr>
          <w:spacing w:val="-1"/>
          <w:sz w:val="16"/>
        </w:rPr>
        <w:t> </w:t>
      </w:r>
      <w:r>
        <w:rPr>
          <w:sz w:val="16"/>
        </w:rPr>
        <w:t>data</w:t>
      </w:r>
      <w:r>
        <w:rPr>
          <w:spacing w:val="-8"/>
          <w:sz w:val="16"/>
        </w:rPr>
        <w:t> </w:t>
      </w:r>
      <w:r>
        <w:rPr>
          <w:sz w:val="16"/>
        </w:rPr>
        <w:t>are preliminary</w:t>
      </w:r>
      <w:r>
        <w:rPr>
          <w:spacing w:val="21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subject</w:t>
      </w:r>
      <w:r>
        <w:rPr>
          <w:spacing w:val="1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updates.</w:t>
      </w:r>
      <w:r>
        <w:rPr>
          <w:spacing w:val="-4"/>
          <w:sz w:val="16"/>
        </w:rPr>
        <w:t> </w:t>
      </w:r>
      <w:r>
        <w:rPr>
          <w:sz w:val="16"/>
        </w:rPr>
        <w:t>Case reviews</w:t>
      </w:r>
      <w:r>
        <w:rPr>
          <w:spacing w:val="-9"/>
          <w:sz w:val="16"/>
        </w:rPr>
        <w:t> </w:t>
      </w:r>
      <w:r>
        <w:rPr>
          <w:sz w:val="16"/>
        </w:rPr>
        <w:t>of deaths are</w:t>
      </w:r>
      <w:r>
        <w:rPr>
          <w:spacing w:val="-10"/>
          <w:sz w:val="16"/>
        </w:rPr>
        <w:t> </w:t>
      </w:r>
      <w:r>
        <w:rPr>
          <w:sz w:val="16"/>
        </w:rPr>
        <w:t>evaluated and</w:t>
      </w:r>
      <w:r>
        <w:rPr>
          <w:spacing w:val="-10"/>
          <w:sz w:val="16"/>
        </w:rPr>
        <w:t> </w:t>
      </w:r>
      <w:r>
        <w:rPr>
          <w:sz w:val="16"/>
        </w:rPr>
        <w:t>updated</w:t>
      </w:r>
      <w:r>
        <w:rPr>
          <w:spacing w:val="13"/>
          <w:sz w:val="16"/>
        </w:rPr>
        <w:t> </w:t>
      </w:r>
      <w:r>
        <w:rPr>
          <w:sz w:val="16"/>
        </w:rPr>
        <w:t>on</w:t>
      </w:r>
      <w:r>
        <w:rPr>
          <w:spacing w:val="-10"/>
          <w:sz w:val="16"/>
        </w:rPr>
        <w:t> </w:t>
      </w:r>
      <w:r>
        <w:rPr>
          <w:sz w:val="16"/>
        </w:rPr>
        <w:t>an ongoing basis.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rge</w:t>
      </w:r>
      <w:r>
        <w:rPr>
          <w:spacing w:val="-9"/>
          <w:sz w:val="16"/>
        </w:rPr>
        <w:t> </w:t>
      </w:r>
      <w:r>
        <w:rPr>
          <w:sz w:val="16"/>
        </w:rPr>
        <w:t>number</w:t>
      </w:r>
      <w:r>
        <w:rPr>
          <w:spacing w:val="10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death</w:t>
      </w:r>
      <w:r>
        <w:rPr>
          <w:spacing w:val="-10"/>
          <w:sz w:val="16"/>
        </w:rPr>
        <w:t> </w:t>
      </w:r>
      <w:r>
        <w:rPr>
          <w:sz w:val="16"/>
        </w:rPr>
        <w:t>certificates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9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10"/>
          <w:sz w:val="16"/>
        </w:rPr>
        <w:t> </w:t>
      </w:r>
      <w:r>
        <w:rPr>
          <w:sz w:val="16"/>
        </w:rPr>
        <w:t>assigned</w:t>
      </w:r>
      <w:r>
        <w:rPr>
          <w:spacing w:val="-4"/>
          <w:sz w:val="16"/>
        </w:rPr>
        <w:t> </w:t>
      </w:r>
      <w:r>
        <w:rPr>
          <w:sz w:val="16"/>
        </w:rPr>
        <w:t>final</w:t>
      </w:r>
      <w:r>
        <w:rPr>
          <w:spacing w:val="-5"/>
          <w:sz w:val="16"/>
        </w:rPr>
        <w:t> </w:t>
      </w:r>
      <w:r>
        <w:rPr>
          <w:sz w:val="16"/>
        </w:rPr>
        <w:t>cause-of-death</w:t>
      </w:r>
      <w:r>
        <w:rPr>
          <w:spacing w:val="-5"/>
          <w:sz w:val="16"/>
        </w:rPr>
        <w:t> </w:t>
      </w:r>
      <w:r>
        <w:rPr>
          <w:sz w:val="16"/>
        </w:rPr>
        <w:t>codes. The</w:t>
      </w:r>
      <w:r>
        <w:rPr>
          <w:spacing w:val="-10"/>
          <w:sz w:val="16"/>
        </w:rPr>
        <w:t> </w:t>
      </w:r>
      <w:r>
        <w:rPr>
          <w:sz w:val="16"/>
        </w:rPr>
        <w:t>information</w:t>
      </w:r>
      <w:r>
        <w:rPr>
          <w:spacing w:val="20"/>
          <w:sz w:val="16"/>
        </w:rPr>
        <w:t> </w:t>
      </w:r>
      <w:r>
        <w:rPr>
          <w:sz w:val="16"/>
        </w:rPr>
        <w:t>presented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this city/town table</w:t>
      </w:r>
      <w:r>
        <w:rPr>
          <w:spacing w:val="-1"/>
          <w:sz w:val="16"/>
        </w:rPr>
        <w:t> </w:t>
      </w:r>
      <w:r>
        <w:rPr>
          <w:sz w:val="16"/>
          <w:u w:val="single"/>
        </w:rPr>
        <w:t>only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includes</w:t>
      </w:r>
      <w:r>
        <w:rPr>
          <w:spacing w:val="12"/>
          <w:sz w:val="16"/>
          <w:u w:val="none"/>
        </w:rPr>
        <w:t> </w:t>
      </w:r>
      <w:r>
        <w:rPr>
          <w:sz w:val="16"/>
          <w:u w:val="none"/>
        </w:rPr>
        <w:t>confirmed cases.</w:t>
      </w:r>
      <w:r>
        <w:rPr>
          <w:spacing w:val="-8"/>
          <w:sz w:val="16"/>
          <w:u w:val="none"/>
        </w:rPr>
        <w:t> </w:t>
      </w:r>
      <w:r>
        <w:rPr>
          <w:sz w:val="16"/>
          <w:u w:val="none"/>
        </w:rPr>
        <w:t>Data</w:t>
      </w:r>
      <w:r>
        <w:rPr>
          <w:spacing w:val="-10"/>
          <w:sz w:val="16"/>
          <w:u w:val="none"/>
        </w:rPr>
        <w:t> </w:t>
      </w:r>
      <w:r>
        <w:rPr>
          <w:sz w:val="16"/>
          <w:u w:val="none"/>
        </w:rPr>
        <w:t>updated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on 1/15/2019.</w:t>
      </w:r>
    </w:p>
    <w:p>
      <w:pPr>
        <w:spacing w:after="0" w:line="235" w:lineRule="auto"/>
        <w:jc w:val="both"/>
        <w:rPr>
          <w:sz w:val="16"/>
        </w:rPr>
        <w:sectPr>
          <w:pgSz w:w="12240" w:h="15840"/>
          <w:pgMar w:header="1241" w:footer="938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1646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5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1" w:type="dxa"/>
            <w:gridSpan w:val="5"/>
          </w:tcPr>
          <w:p>
            <w:pPr>
              <w:pStyle w:val="TableParagraph"/>
              <w:spacing w:line="240" w:lineRule="auto" w:before="61"/>
              <w:ind w:left="17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spacing w:line="240" w:lineRule="auto" w:before="61"/>
              <w:ind w:left="29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29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29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46" w:type="dxa"/>
          </w:tcPr>
          <w:p>
            <w:pPr>
              <w:pStyle w:val="TableParagraph"/>
              <w:ind w:left="29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46" w:type="dxa"/>
          </w:tcPr>
          <w:p>
            <w:pPr>
              <w:pStyle w:val="TableParagraph"/>
              <w:spacing w:line="233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46" w:type="dxa"/>
          </w:tcPr>
          <w:p>
            <w:pPr>
              <w:pStyle w:val="TableParagraph"/>
              <w:ind w:left="45" w:right="17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"/>
              <w:rPr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4"/>
              <w:rPr>
                <w:sz w:val="22"/>
              </w:rPr>
            </w:pPr>
            <w:r>
              <w:rPr>
                <w:spacing w:val="-5"/>
                <w:sz w:val="22"/>
              </w:rPr>
              <w:t>223</w:t>
            </w:r>
          </w:p>
        </w:tc>
        <w:tc>
          <w:tcPr>
            <w:tcW w:w="1650" w:type="dxa"/>
          </w:tcPr>
          <w:p>
            <w:pPr>
              <w:pStyle w:val="TableParagraph"/>
              <w:ind w:left="44" w:right="13"/>
              <w:rPr>
                <w:sz w:val="22"/>
              </w:rPr>
            </w:pPr>
            <w:r>
              <w:rPr>
                <w:spacing w:val="-5"/>
                <w:sz w:val="22"/>
              </w:rPr>
              <w:t>260</w:t>
            </w:r>
          </w:p>
        </w:tc>
        <w:tc>
          <w:tcPr>
            <w:tcW w:w="1650" w:type="dxa"/>
          </w:tcPr>
          <w:p>
            <w:pPr>
              <w:pStyle w:val="TableParagraph"/>
              <w:ind w:left="44" w:right="13"/>
              <w:rPr>
                <w:sz w:val="22"/>
              </w:rPr>
            </w:pPr>
            <w:r>
              <w:rPr>
                <w:spacing w:val="-5"/>
                <w:sz w:val="22"/>
              </w:rPr>
              <w:t>274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46" w:type="dxa"/>
          </w:tcPr>
          <w:p>
            <w:pPr>
              <w:pStyle w:val="TableParagraph"/>
              <w:spacing w:line="248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5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46" w:type="dxa"/>
          </w:tcPr>
          <w:p>
            <w:pPr>
              <w:pStyle w:val="TableParagraph"/>
              <w:spacing w:line="249" w:lineRule="exact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5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6" w:type="dxa"/>
          </w:tcPr>
          <w:p>
            <w:pPr>
              <w:pStyle w:val="TableParagraph"/>
              <w:ind w:left="46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9"/>
          <w:footerReference w:type="default" r:id="rId10"/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Dover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River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85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Oak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  <w:gridCol w:w="1650"/>
        <w:gridCol w:w="1651"/>
        <w:gridCol w:w="1634"/>
        <w:gridCol w:w="1650"/>
        <w:gridCol w:w="1650"/>
      </w:tblGrid>
      <w:tr>
        <w:trPr>
          <w:trHeight w:val="428" w:hRule="atLeast"/>
        </w:trPr>
        <w:tc>
          <w:tcPr>
            <w:tcW w:w="2531" w:type="dxa"/>
            <w:vMerge w:val="restart"/>
          </w:tcPr>
          <w:p>
            <w:pPr>
              <w:pStyle w:val="TableParagraph"/>
              <w:spacing w:line="242" w:lineRule="auto" w:before="141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City/Town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Death </w:t>
            </w:r>
            <w:r>
              <w:rPr>
                <w:b/>
                <w:spacing w:val="-2"/>
                <w:sz w:val="22"/>
              </w:rPr>
              <w:t>Occurrence</w:t>
            </w:r>
          </w:p>
        </w:tc>
        <w:tc>
          <w:tcPr>
            <w:tcW w:w="8235" w:type="dxa"/>
            <w:gridSpan w:val="5"/>
          </w:tcPr>
          <w:p>
            <w:pPr>
              <w:pStyle w:val="TableParagraph"/>
              <w:spacing w:line="240" w:lineRule="auto" w:before="61"/>
              <w:ind w:left="21"/>
              <w:rPr>
                <w:b/>
                <w:sz w:val="22"/>
              </w:rPr>
            </w:pPr>
            <w:r>
              <w:rPr>
                <w:b/>
                <w:sz w:val="22"/>
              </w:rPr>
              <w:t>Year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8" w:hRule="atLeast"/>
        </w:trPr>
        <w:tc>
          <w:tcPr>
            <w:tcW w:w="2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51" w:type="dxa"/>
          </w:tcPr>
          <w:p>
            <w:pPr>
              <w:pStyle w:val="TableParagraph"/>
              <w:spacing w:line="240" w:lineRule="auto" w:before="61"/>
              <w:ind w:left="32" w:right="1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34" w:type="dxa"/>
          </w:tcPr>
          <w:p>
            <w:pPr>
              <w:pStyle w:val="TableParagraph"/>
              <w:spacing w:line="240" w:lineRule="auto" w:before="61"/>
              <w:ind w:left="18"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2015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2016</w:t>
            </w:r>
          </w:p>
        </w:tc>
        <w:tc>
          <w:tcPr>
            <w:tcW w:w="1650" w:type="dxa"/>
          </w:tcPr>
          <w:p>
            <w:pPr>
              <w:pStyle w:val="TableParagraph"/>
              <w:spacing w:line="240" w:lineRule="auto" w:before="61"/>
              <w:ind w:right="1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2017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4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4" w:right="13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4" w:right="13"/>
              <w:rPr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</w:tr>
      <w:tr>
        <w:trPr>
          <w:trHeight w:val="267" w:hRule="atLeast"/>
        </w:trPr>
        <w:tc>
          <w:tcPr>
            <w:tcW w:w="2531" w:type="dxa"/>
          </w:tcPr>
          <w:p>
            <w:pPr>
              <w:pStyle w:val="TableParagraph"/>
              <w:spacing w:line="248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1" w:type="dxa"/>
          </w:tcPr>
          <w:p>
            <w:pPr>
              <w:pStyle w:val="TableParagraph"/>
              <w:spacing w:line="248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8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50" w:type="dxa"/>
          </w:tcPr>
          <w:p>
            <w:pPr>
              <w:pStyle w:val="TableParagraph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51" w:type="dxa"/>
          </w:tcPr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50" w:type="dxa"/>
          </w:tcPr>
          <w:p>
            <w:pPr>
              <w:pStyle w:val="TableParagraph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1" w:type="dxa"/>
          </w:tcPr>
          <w:p>
            <w:pPr>
              <w:pStyle w:val="TableParagraph"/>
              <w:spacing w:line="249" w:lineRule="exact"/>
              <w:ind w:left="11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6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left="3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ind w:left="18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50" w:type="dxa"/>
          </w:tcPr>
          <w:p>
            <w:pPr>
              <w:pStyle w:val="TableParagraph"/>
              <w:spacing w:line="249" w:lineRule="exact"/>
              <w:ind w:left="45" w:right="1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1" w:hRule="atLeast"/>
        </w:trPr>
        <w:tc>
          <w:tcPr>
            <w:tcW w:w="2531" w:type="dxa"/>
          </w:tcPr>
          <w:p>
            <w:pPr>
              <w:pStyle w:val="TableParagraph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Massachusetts</w:t>
            </w:r>
          </w:p>
        </w:tc>
        <w:tc>
          <w:tcPr>
            <w:tcW w:w="1650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51" w:type="dxa"/>
          </w:tcPr>
          <w:p>
            <w:pPr>
              <w:pStyle w:val="TableParagraph"/>
              <w:ind w:left="32" w:right="17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634" w:type="dxa"/>
          </w:tcPr>
          <w:p>
            <w:pPr>
              <w:pStyle w:val="TableParagraph"/>
              <w:ind w:left="18" w:right="19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650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650" w:type="dxa"/>
          </w:tcPr>
          <w:p>
            <w:pPr>
              <w:pStyle w:val="TableParagraph"/>
              <w:ind w:right="19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val="252" w:hRule="atLeast"/>
        </w:trPr>
        <w:tc>
          <w:tcPr>
            <w:tcW w:w="2531" w:type="dxa"/>
          </w:tcPr>
          <w:p>
            <w:pPr>
              <w:pStyle w:val="TableParagraph"/>
              <w:spacing w:line="233" w:lineRule="exact"/>
              <w:ind w:left="11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left="45" w:right="1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993</w:t>
            </w:r>
          </w:p>
        </w:tc>
        <w:tc>
          <w:tcPr>
            <w:tcW w:w="1651" w:type="dxa"/>
          </w:tcPr>
          <w:p>
            <w:pPr>
              <w:pStyle w:val="TableParagraph"/>
              <w:spacing w:line="233" w:lineRule="exact"/>
              <w:ind w:left="32" w:righ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1,405</w:t>
            </w:r>
          </w:p>
        </w:tc>
        <w:tc>
          <w:tcPr>
            <w:tcW w:w="1634" w:type="dxa"/>
          </w:tcPr>
          <w:p>
            <w:pPr>
              <w:pStyle w:val="TableParagraph"/>
              <w:spacing w:line="233" w:lineRule="exact"/>
              <w:ind w:left="18" w:righ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1,768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2,181</w:t>
            </w:r>
          </w:p>
        </w:tc>
        <w:tc>
          <w:tcPr>
            <w:tcW w:w="1650" w:type="dxa"/>
          </w:tcPr>
          <w:p>
            <w:pPr>
              <w:pStyle w:val="TableParagraph"/>
              <w:spacing w:line="233" w:lineRule="exact"/>
              <w:ind w:right="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2,021</w:t>
            </w:r>
          </w:p>
        </w:tc>
      </w:tr>
    </w:tbl>
    <w:p>
      <w:pPr>
        <w:spacing w:line="247" w:lineRule="auto" w:before="7"/>
        <w:ind w:left="145" w:right="0" w:firstLine="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10"/>
          <w:sz w:val="16"/>
        </w:rPr>
        <w:t> </w:t>
      </w:r>
      <w:r>
        <w:rPr>
          <w:sz w:val="16"/>
        </w:rPr>
        <w:t>note that 2017 death data</w:t>
      </w:r>
      <w:r>
        <w:rPr>
          <w:spacing w:val="-4"/>
          <w:sz w:val="16"/>
        </w:rPr>
        <w:t> </w:t>
      </w:r>
      <w:r>
        <w:rPr>
          <w:sz w:val="16"/>
        </w:rPr>
        <w:t>are preliminary</w:t>
      </w:r>
      <w:r>
        <w:rPr>
          <w:spacing w:val="28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subject</w:t>
      </w:r>
      <w:r>
        <w:rPr>
          <w:spacing w:val="17"/>
          <w:sz w:val="16"/>
        </w:rPr>
        <w:t> </w:t>
      </w:r>
      <w:r>
        <w:rPr>
          <w:sz w:val="16"/>
        </w:rPr>
        <w:t>to updates.</w:t>
      </w:r>
      <w:r>
        <w:rPr>
          <w:spacing w:val="-1"/>
          <w:sz w:val="16"/>
        </w:rPr>
        <w:t> </w:t>
      </w:r>
      <w:r>
        <w:rPr>
          <w:sz w:val="16"/>
        </w:rPr>
        <w:t>Case reviews</w:t>
      </w:r>
      <w:r>
        <w:rPr>
          <w:spacing w:val="-6"/>
          <w:sz w:val="16"/>
        </w:rPr>
        <w:t> </w:t>
      </w:r>
      <w:r>
        <w:rPr>
          <w:sz w:val="16"/>
        </w:rPr>
        <w:t>of deaths are</w:t>
      </w:r>
      <w:r>
        <w:rPr>
          <w:spacing w:val="-7"/>
          <w:sz w:val="16"/>
        </w:rPr>
        <w:t> </w:t>
      </w:r>
      <w:r>
        <w:rPr>
          <w:sz w:val="16"/>
        </w:rPr>
        <w:t>evaluated and</w:t>
      </w:r>
      <w:r>
        <w:rPr>
          <w:spacing w:val="-10"/>
          <w:sz w:val="16"/>
        </w:rPr>
        <w:t> </w:t>
      </w:r>
      <w:r>
        <w:rPr>
          <w:sz w:val="16"/>
        </w:rPr>
        <w:t>updated</w:t>
      </w:r>
      <w:r>
        <w:rPr>
          <w:spacing w:val="19"/>
          <w:sz w:val="16"/>
        </w:rPr>
        <w:t> </w:t>
      </w:r>
      <w:r>
        <w:rPr>
          <w:sz w:val="16"/>
        </w:rPr>
        <w:t>on an ongoing</w:t>
      </w:r>
      <w:r>
        <w:rPr>
          <w:spacing w:val="11"/>
          <w:sz w:val="16"/>
        </w:rPr>
        <w:t> </w:t>
      </w:r>
      <w:r>
        <w:rPr>
          <w:sz w:val="16"/>
        </w:rPr>
        <w:t>basis.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large</w:t>
      </w:r>
      <w:r>
        <w:rPr>
          <w:spacing w:val="-7"/>
          <w:sz w:val="16"/>
        </w:rPr>
        <w:t> </w:t>
      </w:r>
      <w:r>
        <w:rPr>
          <w:sz w:val="16"/>
        </w:rPr>
        <w:t>number</w:t>
      </w:r>
      <w:r>
        <w:rPr>
          <w:spacing w:val="15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death</w:t>
      </w:r>
      <w:r>
        <w:rPr>
          <w:spacing w:val="-9"/>
          <w:sz w:val="16"/>
        </w:rPr>
        <w:t> </w:t>
      </w:r>
      <w:r>
        <w:rPr>
          <w:sz w:val="16"/>
        </w:rPr>
        <w:t>certificates</w:t>
      </w:r>
      <w:r>
        <w:rPr>
          <w:spacing w:val="7"/>
          <w:sz w:val="16"/>
        </w:rPr>
        <w:t> </w:t>
      </w:r>
      <w:r>
        <w:rPr>
          <w:sz w:val="16"/>
        </w:rPr>
        <w:t>have</w:t>
      </w:r>
      <w:r>
        <w:rPr>
          <w:spacing w:val="-9"/>
          <w:sz w:val="16"/>
        </w:rPr>
        <w:t> </w:t>
      </w:r>
      <w:r>
        <w:rPr>
          <w:sz w:val="16"/>
        </w:rPr>
        <w:t>yet</w:t>
      </w:r>
      <w:r>
        <w:rPr>
          <w:spacing w:val="-10"/>
          <w:sz w:val="16"/>
        </w:rPr>
        <w:t> </w:t>
      </w:r>
      <w:r>
        <w:rPr>
          <w:sz w:val="16"/>
        </w:rPr>
        <w:t>to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9"/>
          <w:sz w:val="16"/>
        </w:rPr>
        <w:t> </w:t>
      </w:r>
      <w:r>
        <w:rPr>
          <w:sz w:val="16"/>
        </w:rPr>
        <w:t>assigned</w:t>
      </w:r>
      <w:r>
        <w:rPr>
          <w:spacing w:val="-4"/>
          <w:sz w:val="16"/>
        </w:rPr>
        <w:t> </w:t>
      </w:r>
      <w:r>
        <w:rPr>
          <w:sz w:val="16"/>
        </w:rPr>
        <w:t>final</w:t>
      </w:r>
      <w:r>
        <w:rPr>
          <w:spacing w:val="-5"/>
          <w:sz w:val="16"/>
        </w:rPr>
        <w:t> </w:t>
      </w:r>
      <w:r>
        <w:rPr>
          <w:sz w:val="16"/>
        </w:rPr>
        <w:t>cause-of-death</w:t>
      </w:r>
      <w:r>
        <w:rPr>
          <w:spacing w:val="-4"/>
          <w:sz w:val="16"/>
        </w:rPr>
        <w:t> </w:t>
      </w:r>
      <w:r>
        <w:rPr>
          <w:sz w:val="16"/>
        </w:rPr>
        <w:t>codes.</w:t>
      </w:r>
      <w:r>
        <w:rPr>
          <w:spacing w:val="4"/>
          <w:sz w:val="16"/>
        </w:rPr>
        <w:t> </w:t>
      </w:r>
      <w:r>
        <w:rPr>
          <w:sz w:val="16"/>
        </w:rPr>
        <w:t>The</w:t>
      </w:r>
      <w:r>
        <w:rPr>
          <w:spacing w:val="-10"/>
          <w:sz w:val="16"/>
        </w:rPr>
        <w:t> </w:t>
      </w:r>
      <w:r>
        <w:rPr>
          <w:sz w:val="16"/>
        </w:rPr>
        <w:t>information</w:t>
      </w:r>
      <w:r>
        <w:rPr>
          <w:spacing w:val="21"/>
          <w:sz w:val="16"/>
        </w:rPr>
        <w:t> </w:t>
      </w:r>
      <w:r>
        <w:rPr>
          <w:sz w:val="16"/>
        </w:rPr>
        <w:t>presented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this city/town</w:t>
      </w:r>
      <w:r>
        <w:rPr>
          <w:spacing w:val="8"/>
          <w:sz w:val="16"/>
        </w:rPr>
        <w:t> </w:t>
      </w:r>
      <w:r>
        <w:rPr>
          <w:sz w:val="16"/>
        </w:rPr>
        <w:t>table </w:t>
      </w:r>
      <w:r>
        <w:rPr>
          <w:sz w:val="16"/>
          <w:u w:val="single"/>
        </w:rPr>
        <w:t>only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includes</w:t>
      </w:r>
      <w:r>
        <w:rPr>
          <w:spacing w:val="12"/>
          <w:sz w:val="16"/>
          <w:u w:val="none"/>
        </w:rPr>
        <w:t> </w:t>
      </w:r>
      <w:r>
        <w:rPr>
          <w:sz w:val="16"/>
          <w:u w:val="none"/>
        </w:rPr>
        <w:t>confirmed</w:t>
      </w:r>
      <w:r>
        <w:rPr>
          <w:spacing w:val="8"/>
          <w:sz w:val="16"/>
          <w:u w:val="none"/>
        </w:rPr>
        <w:t> </w:t>
      </w:r>
      <w:r>
        <w:rPr>
          <w:sz w:val="16"/>
          <w:u w:val="none"/>
        </w:rPr>
        <w:t>cases.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Data</w:t>
      </w:r>
      <w:r>
        <w:rPr>
          <w:spacing w:val="-10"/>
          <w:sz w:val="16"/>
          <w:u w:val="none"/>
        </w:rPr>
        <w:t> </w:t>
      </w:r>
      <w:r>
        <w:rPr>
          <w:sz w:val="16"/>
          <w:u w:val="none"/>
        </w:rPr>
        <w:t>updated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on</w:t>
      </w:r>
      <w:r>
        <w:rPr>
          <w:spacing w:val="40"/>
          <w:sz w:val="16"/>
          <w:u w:val="none"/>
        </w:rPr>
        <w:t> </w:t>
      </w:r>
      <w:r>
        <w:rPr>
          <w:spacing w:val="-2"/>
          <w:sz w:val="16"/>
          <w:u w:val="none"/>
        </w:rPr>
        <w:t>1/15/2019.</w:t>
      </w:r>
    </w:p>
    <w:p>
      <w:pPr>
        <w:spacing w:after="0" w:line="247" w:lineRule="auto"/>
        <w:jc w:val="left"/>
        <w:rPr>
          <w:sz w:val="16"/>
        </w:rPr>
        <w:sectPr>
          <w:pgSz w:w="12240" w:h="15840"/>
          <w:pgMar w:header="1241" w:footer="922" w:top="2280" w:bottom="1120" w:left="480" w:right="620"/>
        </w:sectPr>
      </w:pPr>
    </w:p>
    <w:p>
      <w:pPr>
        <w:pStyle w:val="Heading1"/>
        <w:spacing w:before="47"/>
        <w:ind w:left="240"/>
      </w:pPr>
      <w:r>
        <w:rPr>
          <w:u w:val="single"/>
        </w:rPr>
        <w:t>Technical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2" w:lineRule="auto" w:before="9" w:after="0"/>
        <w:ind w:left="961" w:right="1038" w:hanging="353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4"/>
          <w:sz w:val="22"/>
        </w:rPr>
        <w:t> </w:t>
      </w:r>
      <w:r>
        <w:rPr>
          <w:sz w:val="22"/>
        </w:rPr>
        <w:t>include</w:t>
      </w:r>
      <w:r>
        <w:rPr>
          <w:spacing w:val="-9"/>
          <w:sz w:val="22"/>
        </w:rPr>
        <w:t> </w:t>
      </w:r>
      <w:r>
        <w:rPr>
          <w:sz w:val="22"/>
        </w:rPr>
        <w:t>heroin,</w:t>
      </w:r>
      <w:r>
        <w:rPr>
          <w:spacing w:val="-3"/>
          <w:sz w:val="22"/>
        </w:rPr>
        <w:t> </w:t>
      </w:r>
      <w:r>
        <w:rPr>
          <w:sz w:val="22"/>
        </w:rPr>
        <w:t>illicitly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23"/>
          <w:sz w:val="22"/>
        </w:rPr>
        <w:t> </w:t>
      </w:r>
      <w:r>
        <w:rPr>
          <w:sz w:val="22"/>
        </w:rPr>
        <w:t>fentanyl,</w:t>
      </w:r>
      <w:r>
        <w:rPr>
          <w:spacing w:val="-3"/>
          <w:sz w:val="22"/>
        </w:rPr>
        <w:t> </w:t>
      </w:r>
      <w:r>
        <w:rPr>
          <w:sz w:val="22"/>
        </w:rPr>
        <w:t>opioid-based</w:t>
      </w:r>
      <w:r>
        <w:rPr>
          <w:spacing w:val="13"/>
          <w:sz w:val="22"/>
        </w:rPr>
        <w:t> </w:t>
      </w:r>
      <w:r>
        <w:rPr>
          <w:sz w:val="22"/>
        </w:rPr>
        <w:t>prescription</w:t>
      </w:r>
      <w:r>
        <w:rPr>
          <w:spacing w:val="-13"/>
          <w:sz w:val="22"/>
        </w:rPr>
        <w:t> </w:t>
      </w:r>
      <w:r>
        <w:rPr>
          <w:sz w:val="22"/>
        </w:rPr>
        <w:t>painkillers,</w:t>
      </w:r>
      <w:r>
        <w:rPr>
          <w:spacing w:val="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2" w:lineRule="auto" w:before="0" w:after="0"/>
        <w:ind w:left="961" w:right="143" w:hanging="353"/>
        <w:jc w:val="left"/>
        <w:rPr>
          <w:sz w:val="22"/>
        </w:rPr>
      </w:pPr>
      <w:r>
        <w:rPr>
          <w:sz w:val="22"/>
        </w:rPr>
        <w:t>Cases were</w:t>
      </w:r>
      <w:r>
        <w:rPr>
          <w:spacing w:val="-12"/>
          <w:sz w:val="22"/>
        </w:rPr>
        <w:t> </w:t>
      </w:r>
      <w:r>
        <w:rPr>
          <w:sz w:val="22"/>
        </w:rPr>
        <w:t>defined using the International</w:t>
      </w:r>
      <w:r>
        <w:rPr>
          <w:spacing w:val="-17"/>
          <w:sz w:val="22"/>
        </w:rPr>
        <w:t> </w:t>
      </w:r>
      <w:r>
        <w:rPr>
          <w:sz w:val="22"/>
        </w:rPr>
        <w:t>Classification of Disease</w:t>
      </w:r>
      <w:r>
        <w:rPr>
          <w:spacing w:val="-12"/>
          <w:sz w:val="22"/>
        </w:rPr>
        <w:t> </w:t>
      </w:r>
      <w:r>
        <w:rPr>
          <w:sz w:val="22"/>
        </w:rPr>
        <w:t>(ICD-10) codes for mortality.</w:t>
      </w:r>
      <w:r>
        <w:rPr>
          <w:spacing w:val="-4"/>
          <w:sz w:val="22"/>
        </w:rPr>
        <w:t> </w:t>
      </w:r>
      <w:r>
        <w:rPr>
          <w:sz w:val="22"/>
        </w:rPr>
        <w:t>The following codes were</w:t>
      </w:r>
      <w:r>
        <w:rPr>
          <w:spacing w:val="-15"/>
          <w:sz w:val="22"/>
        </w:rPr>
        <w:t> </w:t>
      </w:r>
      <w:r>
        <w:rPr>
          <w:sz w:val="22"/>
        </w:rPr>
        <w:t>selected</w:t>
      </w:r>
      <w:r>
        <w:rPr>
          <w:spacing w:val="-4"/>
          <w:sz w:val="22"/>
        </w:rPr>
        <w:t> </w:t>
      </w:r>
      <w:r>
        <w:rPr>
          <w:sz w:val="22"/>
        </w:rPr>
        <w:t>from the underlying</w:t>
      </w:r>
      <w:r>
        <w:rPr>
          <w:spacing w:val="27"/>
          <w:sz w:val="22"/>
        </w:rPr>
        <w:t> </w:t>
      </w:r>
      <w:r>
        <w:rPr>
          <w:sz w:val="22"/>
        </w:rPr>
        <w:t>cause of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 poisonings/overdoses:</w:t>
      </w:r>
      <w:r>
        <w:rPr>
          <w:spacing w:val="40"/>
          <w:sz w:val="22"/>
        </w:rPr>
        <w:t> </w:t>
      </w:r>
      <w:r>
        <w:rPr>
          <w:sz w:val="22"/>
        </w:rPr>
        <w:t>X40-X49, X60- X69, X85-X90, Y10-Y19,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Y35.2.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1"/>
          <w:sz w:val="22"/>
        </w:rPr>
        <w:t> </w:t>
      </w:r>
      <w:r>
        <w:rPr>
          <w:sz w:val="22"/>
        </w:rPr>
        <w:t>cause</w:t>
      </w:r>
      <w:r>
        <w:rPr>
          <w:spacing w:val="-1"/>
          <w:sz w:val="22"/>
        </w:rPr>
        <w:t> </w:t>
      </w:r>
      <w:r>
        <w:rPr>
          <w:sz w:val="22"/>
        </w:rPr>
        <w:t>of death</w:t>
      </w:r>
      <w:r>
        <w:rPr>
          <w:spacing w:val="-24"/>
          <w:sz w:val="22"/>
        </w:rPr>
        <w:t> </w:t>
      </w:r>
      <w:r>
        <w:rPr>
          <w:sz w:val="22"/>
        </w:rPr>
        <w:t>fields were</w:t>
      </w:r>
      <w:r>
        <w:rPr>
          <w:spacing w:val="-1"/>
          <w:sz w:val="22"/>
        </w:rPr>
        <w:t> </w:t>
      </w:r>
      <w:r>
        <w:rPr>
          <w:sz w:val="22"/>
        </w:rPr>
        <w:t>then</w:t>
      </w:r>
      <w:r>
        <w:rPr>
          <w:spacing w:val="-7"/>
          <w:sz w:val="22"/>
        </w:rPr>
        <w:t> </w:t>
      </w:r>
      <w:r>
        <w:rPr>
          <w:sz w:val="22"/>
        </w:rPr>
        <w:t>used to</w:t>
      </w:r>
      <w:r>
        <w:rPr>
          <w:spacing w:val="-24"/>
          <w:sz w:val="22"/>
        </w:rPr>
        <w:t> </w:t>
      </w:r>
      <w:r>
        <w:rPr>
          <w:sz w:val="22"/>
        </w:rPr>
        <w:t>identify an</w:t>
      </w:r>
      <w:r>
        <w:rPr>
          <w:spacing w:val="-7"/>
          <w:sz w:val="22"/>
        </w:rPr>
        <w:t> </w:t>
      </w:r>
      <w:r>
        <w:rPr>
          <w:sz w:val="22"/>
        </w:rPr>
        <w:t>opioid-related death: T40.0, T40.1, T40.2, T40.3, T40.4, and</w:t>
      </w:r>
      <w:r>
        <w:rPr>
          <w:spacing w:val="-3"/>
          <w:sz w:val="22"/>
        </w:rPr>
        <w:t> </w:t>
      </w:r>
      <w:r>
        <w:rPr>
          <w:sz w:val="22"/>
        </w:rPr>
        <w:t>T40.6.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2" w:lineRule="auto" w:before="0" w:after="0"/>
        <w:ind w:left="961" w:right="704" w:hanging="353"/>
        <w:jc w:val="both"/>
        <w:rPr>
          <w:sz w:val="22"/>
        </w:rPr>
      </w:pPr>
      <w:r>
        <w:rPr>
          <w:sz w:val="22"/>
        </w:rPr>
        <w:t>This report</w:t>
      </w:r>
      <w:r>
        <w:rPr>
          <w:spacing w:val="-12"/>
          <w:sz w:val="22"/>
        </w:rPr>
        <w:t> </w:t>
      </w:r>
      <w:r>
        <w:rPr>
          <w:sz w:val="22"/>
        </w:rPr>
        <w:t>tracks</w:t>
      </w:r>
      <w:r>
        <w:rPr>
          <w:spacing w:val="-9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opioid-related</w:t>
      </w:r>
      <w:r>
        <w:rPr>
          <w:spacing w:val="-7"/>
          <w:sz w:val="22"/>
        </w:rPr>
        <w:t> </w:t>
      </w:r>
      <w:r>
        <w:rPr>
          <w:sz w:val="22"/>
        </w:rPr>
        <w:t>overdoses</w:t>
      </w:r>
      <w:r>
        <w:rPr>
          <w:spacing w:val="24"/>
          <w:sz w:val="22"/>
        </w:rPr>
        <w:t> </w:t>
      </w:r>
      <w:r>
        <w:rPr>
          <w:sz w:val="22"/>
        </w:rPr>
        <w:t>due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difficulties in reporting</w:t>
      </w:r>
      <w:r>
        <w:rPr>
          <w:spacing w:val="-11"/>
          <w:sz w:val="22"/>
        </w:rPr>
        <w:t> </w:t>
      </w:r>
      <w:r>
        <w:rPr>
          <w:sz w:val="22"/>
        </w:rPr>
        <w:t>heroin-associated overdoses separately.</w:t>
      </w:r>
      <w:r>
        <w:rPr>
          <w:spacing w:val="-13"/>
          <w:sz w:val="22"/>
        </w:rPr>
        <w:t> </w:t>
      </w:r>
      <w:r>
        <w:rPr>
          <w:sz w:val="22"/>
        </w:rPr>
        <w:t>Many</w:t>
      </w:r>
      <w:r>
        <w:rPr>
          <w:spacing w:val="-12"/>
          <w:sz w:val="22"/>
        </w:rPr>
        <w:t> </w:t>
      </w:r>
      <w:r>
        <w:rPr>
          <w:sz w:val="22"/>
        </w:rPr>
        <w:t>deaths</w:t>
      </w:r>
      <w:r>
        <w:rPr>
          <w:spacing w:val="-8"/>
          <w:sz w:val="22"/>
        </w:rPr>
        <w:t> </w:t>
      </w:r>
      <w:r>
        <w:rPr>
          <w:sz w:val="22"/>
        </w:rPr>
        <w:t>related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heroin</w:t>
      </w:r>
      <w:r>
        <w:rPr>
          <w:spacing w:val="-7"/>
          <w:sz w:val="22"/>
        </w:rPr>
        <w:t> </w:t>
      </w:r>
      <w:r>
        <w:rPr>
          <w:sz w:val="22"/>
        </w:rPr>
        <w:t>are not specifically coded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such due to</w:t>
      </w:r>
      <w:r>
        <w:rPr>
          <w:spacing w:val="-7"/>
          <w:sz w:val="22"/>
        </w:rPr>
        <w:t> </w:t>
      </w:r>
      <w:r>
        <w:rPr>
          <w:sz w:val="22"/>
        </w:rPr>
        <w:t>the fast metabolism</w:t>
      </w:r>
      <w:r>
        <w:rPr>
          <w:spacing w:val="-3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2" w:lineRule="auto" w:before="0" w:after="0"/>
        <w:ind w:left="961" w:right="329" w:hanging="353"/>
        <w:jc w:val="both"/>
        <w:rPr>
          <w:sz w:val="22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maintain</w:t>
      </w:r>
      <w:r>
        <w:rPr>
          <w:spacing w:val="-7"/>
          <w:sz w:val="22"/>
        </w:rPr>
        <w:t> </w:t>
      </w:r>
      <w:r>
        <w:rPr>
          <w:sz w:val="22"/>
        </w:rPr>
        <w:t>consistency with</w:t>
      </w:r>
      <w:r>
        <w:rPr>
          <w:spacing w:val="-8"/>
          <w:sz w:val="22"/>
        </w:rPr>
        <w:t> </w:t>
      </w:r>
      <w:r>
        <w:rPr>
          <w:sz w:val="22"/>
        </w:rPr>
        <w:t>NCHS</w:t>
      </w:r>
      <w:r>
        <w:rPr>
          <w:spacing w:val="-9"/>
          <w:sz w:val="22"/>
        </w:rPr>
        <w:t> </w:t>
      </w:r>
      <w:r>
        <w:rPr>
          <w:sz w:val="22"/>
        </w:rPr>
        <w:t>reporting,</w:t>
      </w:r>
      <w:r>
        <w:rPr>
          <w:spacing w:val="-2"/>
          <w:sz w:val="22"/>
        </w:rPr>
        <w:t> </w:t>
      </w:r>
      <w:r>
        <w:rPr>
          <w:sz w:val="22"/>
        </w:rPr>
        <w:t>DPH</w:t>
      </w:r>
      <w:r>
        <w:rPr>
          <w:spacing w:val="-13"/>
          <w:sz w:val="22"/>
        </w:rPr>
        <w:t> </w:t>
      </w:r>
      <w:r>
        <w:rPr>
          <w:sz w:val="22"/>
        </w:rPr>
        <w:t>does not include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ICD-10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F11.1,</w:t>
      </w:r>
      <w:r>
        <w:rPr>
          <w:spacing w:val="-10"/>
          <w:sz w:val="22"/>
        </w:rPr>
        <w:t> </w:t>
      </w:r>
      <w:r>
        <w:rPr>
          <w:sz w:val="22"/>
        </w:rPr>
        <w:t>which may</w:t>
      </w:r>
      <w:r>
        <w:rPr>
          <w:spacing w:val="-8"/>
          <w:sz w:val="22"/>
        </w:rPr>
        <w:t> </w:t>
      </w:r>
      <w:r>
        <w:rPr>
          <w:sz w:val="22"/>
        </w:rPr>
        <w:t>include opioid-related overdose deaths.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28" w:lineRule="auto" w:before="0" w:after="0"/>
        <w:ind w:left="961" w:right="245" w:hanging="353"/>
        <w:jc w:val="both"/>
        <w:rPr>
          <w:sz w:val="22"/>
        </w:rPr>
      </w:pPr>
      <w:r>
        <w:rPr>
          <w:sz w:val="22"/>
        </w:rPr>
        <w:t>Beginning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 May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7"/>
          <w:sz w:val="22"/>
        </w:rPr>
        <w:t> </w:t>
      </w:r>
      <w:r>
        <w:rPr>
          <w:sz w:val="22"/>
        </w:rPr>
        <w:t>DPH</w:t>
      </w:r>
      <w:r>
        <w:rPr>
          <w:spacing w:val="-12"/>
          <w:sz w:val="22"/>
        </w:rPr>
        <w:t> </w:t>
      </w:r>
      <w:r>
        <w:rPr>
          <w:sz w:val="22"/>
        </w:rPr>
        <w:t>started</w:t>
      </w:r>
      <w:r>
        <w:rPr>
          <w:spacing w:val="-13"/>
          <w:sz w:val="22"/>
        </w:rPr>
        <w:t> </w:t>
      </w:r>
      <w:r>
        <w:rPr>
          <w:sz w:val="22"/>
        </w:rPr>
        <w:t>reporting opioid-related</w:t>
      </w:r>
      <w:r>
        <w:rPr>
          <w:spacing w:val="-5"/>
          <w:sz w:val="22"/>
        </w:rPr>
        <w:t> </w:t>
      </w:r>
      <w:r>
        <w:rPr>
          <w:sz w:val="22"/>
        </w:rPr>
        <w:t>deaths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20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pStyle w:val="BodyText"/>
        <w:spacing w:before="2"/>
      </w:pPr>
    </w:p>
    <w:p>
      <w:pPr>
        <w:pStyle w:val="Heading1"/>
        <w:ind w:left="240"/>
      </w:pPr>
      <w:r>
        <w:rPr>
          <w:spacing w:val="-2"/>
          <w:u w:val="single"/>
        </w:rPr>
        <w:t>Source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8" w:after="0"/>
        <w:ind w:left="961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6"/>
          <w:sz w:val="22"/>
        </w:rPr>
        <w:t> </w:t>
      </w:r>
      <w:r>
        <w:rPr>
          <w:sz w:val="22"/>
        </w:rPr>
        <w:t>Registry</w:t>
      </w:r>
      <w:r>
        <w:rPr>
          <w:spacing w:val="-2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5"/>
          <w:sz w:val="22"/>
        </w:rPr>
        <w:t> </w:t>
      </w:r>
      <w:r>
        <w:rPr>
          <w:sz w:val="22"/>
        </w:rPr>
        <w:t>Records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Statistics,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MDPH</w:t>
      </w:r>
    </w:p>
    <w:sectPr>
      <w:headerReference w:type="default" r:id="rId11"/>
      <w:footerReference w:type="default" r:id="rId12"/>
      <w:pgSz w:w="12240" w:h="15840"/>
      <w:pgMar w:header="0" w:footer="922" w:top="880" w:bottom="1120" w:left="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69536">
              <wp:simplePos x="0" y="0"/>
              <wp:positionH relativeFrom="page">
                <wp:posOffset>7113651</wp:posOffset>
              </wp:positionH>
              <wp:positionV relativeFrom="page">
                <wp:posOffset>9323168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0.130005pt;margin-top:734.107788pt;width:11.45pt;height:10.95pt;mso-position-horizontal-relative:page;mso-position-vertical-relative:page;z-index:-225469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70560">
              <wp:simplePos x="0" y="0"/>
              <wp:positionH relativeFrom="page">
                <wp:posOffset>7078091</wp:posOffset>
              </wp:positionH>
              <wp:positionV relativeFrom="page">
                <wp:posOffset>9323168</wp:posOffset>
              </wp:positionV>
              <wp:extent cx="18542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854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330017pt;margin-top:734.107788pt;width:14.6pt;height:10.95pt;mso-position-horizontal-relative:page;mso-position-vertical-relative:page;z-index:-2254592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71584">
              <wp:simplePos x="0" y="0"/>
              <wp:positionH relativeFrom="page">
                <wp:posOffset>7164451</wp:posOffset>
              </wp:positionH>
              <wp:positionV relativeFrom="page">
                <wp:posOffset>9333329</wp:posOffset>
              </wp:positionV>
              <wp:extent cx="210820" cy="1390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30005pt;margin-top:734.907837pt;width:16.6pt;height:10.95pt;mso-position-horizontal-relative:page;mso-position-vertical-relative:page;z-index:-22544896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72096">
              <wp:simplePos x="0" y="0"/>
              <wp:positionH relativeFrom="page">
                <wp:posOffset>7164451</wp:posOffset>
              </wp:positionH>
              <wp:positionV relativeFrom="page">
                <wp:posOffset>9333329</wp:posOffset>
              </wp:positionV>
              <wp:extent cx="210820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130005pt;margin-top:734.907837pt;width:16.6pt;height:10.95pt;mso-position-horizontal-relative:page;mso-position-vertical-relative:page;z-index:-22544384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70048">
              <wp:simplePos x="0" y="0"/>
              <wp:positionH relativeFrom="page">
                <wp:posOffset>455294</wp:posOffset>
              </wp:positionH>
              <wp:positionV relativeFrom="page">
                <wp:posOffset>775588</wp:posOffset>
              </wp:positionV>
              <wp:extent cx="6689090" cy="6864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89090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Table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1.</w:t>
                          </w:r>
                          <w:r>
                            <w:rPr>
                              <w:b/>
                              <w:spacing w:val="1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Number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opioid-related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overdose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deaths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all</w:t>
                          </w:r>
                          <w:r>
                            <w:rPr>
                              <w:b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intents</w:t>
                          </w:r>
                          <w:r>
                            <w:rPr>
                              <w:b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by</w:t>
                          </w:r>
                          <w:r>
                            <w:rPr>
                              <w:b/>
                              <w:spacing w:val="-3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city/town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of</w:t>
                          </w:r>
                          <w:r>
                            <w:rPr>
                              <w:b/>
                              <w:spacing w:val="-19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residence</w:t>
                          </w:r>
                          <w:r>
                            <w:rPr>
                              <w:b/>
                              <w:spacing w:val="-11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  <w:u w:val="single"/>
                            </w:rPr>
                            <w:t>the</w:t>
                          </w:r>
                        </w:p>
                        <w:p>
                          <w:pPr>
                            <w:spacing w:line="242" w:lineRule="auto" w:before="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  <w:u w:val="single"/>
                            </w:rPr>
                            <w:t>decedent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,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among</w:t>
                          </w:r>
                          <w:r>
                            <w:rPr>
                              <w:b/>
                              <w:spacing w:val="-21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MA</w:t>
                          </w:r>
                          <w:r>
                            <w:rPr>
                              <w:b/>
                              <w:spacing w:val="-18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residents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, 2013-2017. For</w:t>
                          </w:r>
                          <w:r>
                            <w:rPr>
                              <w:b/>
                              <w:spacing w:val="-7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2017, additional</w:t>
                          </w:r>
                          <w:r>
                            <w:rPr>
                              <w:b/>
                              <w:spacing w:val="-17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cases are</w:t>
                          </w:r>
                          <w:r>
                            <w:rPr>
                              <w:b/>
                              <w:spacing w:val="-8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still being confirmed by the</w:t>
                          </w:r>
                          <w:r>
                            <w:rPr>
                              <w:b/>
                              <w:spacing w:val="-8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Office</w:t>
                          </w:r>
                          <w:r>
                            <w:rPr>
                              <w:b/>
                              <w:spacing w:val="35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of the Chief Medical Examiner. This report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will be updated quarterly and all</w:t>
                          </w:r>
                          <w:r>
                            <w:rPr>
                              <w:b/>
                              <w:spacing w:val="-14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new</w:t>
                          </w:r>
                          <w:r>
                            <w:rPr>
                              <w:b/>
                              <w:spacing w:val="-14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confirmed cases will</w:t>
                          </w:r>
                          <w:r>
                            <w:rPr>
                              <w:b/>
                              <w:spacing w:val="32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be</w:t>
                          </w:r>
                          <w:r>
                            <w:rPr>
                              <w:b/>
                              <w:spacing w:val="-6"/>
                              <w:sz w:val="22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none"/>
                            </w:rPr>
                            <w:t>included in the table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9998pt;margin-top:61.07pt;width:526.7pt;height:54.05pt;mso-position-horizontal-relative:page;mso-position-vertical-relative:page;z-index:-22546432" type="#_x0000_t202" id="docshape9" filled="false" stroked="false">
              <v:textbox inset="0,0,0,0">
                <w:txbxContent>
                  <w:p>
                    <w:pPr>
                      <w:spacing w:line="247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Table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1.</w:t>
                    </w:r>
                    <w:r>
                      <w:rPr>
                        <w:b/>
                        <w:spacing w:val="1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Number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opioid-related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overdose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deaths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all</w:t>
                    </w:r>
                    <w:r>
                      <w:rPr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intents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by</w:t>
                    </w:r>
                    <w:r>
                      <w:rPr>
                        <w:b/>
                        <w:spacing w:val="-3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city/town</w:t>
                    </w:r>
                    <w:r>
                      <w:rPr>
                        <w:b/>
                        <w:spacing w:val="-1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of</w:t>
                    </w:r>
                    <w:r>
                      <w:rPr>
                        <w:b/>
                        <w:spacing w:val="-19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residence</w:t>
                    </w:r>
                    <w:r>
                      <w:rPr>
                        <w:b/>
                        <w:spacing w:val="-11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  <w:u w:val="single"/>
                      </w:rPr>
                      <w:t>the</w:t>
                    </w:r>
                  </w:p>
                  <w:p>
                    <w:pPr>
                      <w:spacing w:line="242" w:lineRule="auto" w:before="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single"/>
                      </w:rPr>
                      <w:t>decedent</w:t>
                    </w:r>
                    <w:r>
                      <w:rPr>
                        <w:b/>
                        <w:sz w:val="22"/>
                        <w:u w:val="none"/>
                      </w:rPr>
                      <w:t>, </w:t>
                    </w:r>
                    <w:r>
                      <w:rPr>
                        <w:b/>
                        <w:sz w:val="22"/>
                        <w:u w:val="single"/>
                      </w:rPr>
                      <w:t>among</w:t>
                    </w:r>
                    <w:r>
                      <w:rPr>
                        <w:b/>
                        <w:spacing w:val="-21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MA</w:t>
                    </w:r>
                    <w:r>
                      <w:rPr>
                        <w:b/>
                        <w:spacing w:val="-18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residents</w:t>
                    </w:r>
                    <w:r>
                      <w:rPr>
                        <w:b/>
                        <w:sz w:val="22"/>
                        <w:u w:val="none"/>
                      </w:rPr>
                      <w:t>, 2013-2017. For</w:t>
                    </w:r>
                    <w:r>
                      <w:rPr>
                        <w:b/>
                        <w:spacing w:val="-7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2017, additional</w:t>
                    </w:r>
                    <w:r>
                      <w:rPr>
                        <w:b/>
                        <w:spacing w:val="-17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cases are</w:t>
                    </w:r>
                    <w:r>
                      <w:rPr>
                        <w:b/>
                        <w:spacing w:val="-8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still being confirmed by the</w:t>
                    </w:r>
                    <w:r>
                      <w:rPr>
                        <w:b/>
                        <w:spacing w:val="-8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Office</w:t>
                    </w:r>
                    <w:r>
                      <w:rPr>
                        <w:b/>
                        <w:spacing w:val="35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of the Chief Medical Examiner. This report</w:t>
                    </w:r>
                    <w:r>
                      <w:rPr>
                        <w:b/>
                        <w:spacing w:val="-1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will be updated quarterly and all</w:t>
                    </w:r>
                    <w:r>
                      <w:rPr>
                        <w:b/>
                        <w:spacing w:val="-14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new</w:t>
                    </w:r>
                    <w:r>
                      <w:rPr>
                        <w:b/>
                        <w:spacing w:val="-14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confirmed cases will</w:t>
                    </w:r>
                    <w:r>
                      <w:rPr>
                        <w:b/>
                        <w:spacing w:val="32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be</w:t>
                    </w:r>
                    <w:r>
                      <w:rPr>
                        <w:b/>
                        <w:spacing w:val="-6"/>
                        <w:sz w:val="22"/>
                        <w:u w:val="none"/>
                      </w:rPr>
                      <w:t> </w:t>
                    </w:r>
                    <w:r>
                      <w:rPr>
                        <w:b/>
                        <w:sz w:val="22"/>
                        <w:u w:val="none"/>
                      </w:rPr>
                      <w:t>included in the table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0771072">
              <wp:simplePos x="0" y="0"/>
              <wp:positionH relativeFrom="page">
                <wp:posOffset>445134</wp:posOffset>
              </wp:positionH>
              <wp:positionV relativeFrom="page">
                <wp:posOffset>775588</wp:posOffset>
              </wp:positionV>
              <wp:extent cx="6695440" cy="6864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695440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Table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2.</w:t>
                          </w:r>
                          <w:r>
                            <w:rPr>
                              <w:b/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Number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opioid-related overdose</w:t>
                          </w:r>
                          <w:r>
                            <w:rPr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deaths</w:t>
                          </w:r>
                          <w:r>
                            <w:rPr>
                              <w:b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for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all</w:t>
                          </w:r>
                          <w:r>
                            <w:rPr>
                              <w:b/>
                              <w:spacing w:val="-1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intents</w:t>
                          </w:r>
                          <w:r>
                            <w:rPr>
                              <w:b/>
                              <w:spacing w:val="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by</w:t>
                          </w:r>
                          <w:r>
                            <w:rPr>
                              <w:b/>
                              <w:spacing w:val="-4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city/town of</w:t>
                          </w:r>
                          <w:r>
                            <w:rPr>
                              <w:b/>
                              <w:spacing w:val="-14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11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  <w:u w:val="single"/>
                            </w:rPr>
                            <w:t>death</w:t>
                          </w:r>
                          <w:r>
                            <w:rPr>
                              <w:b/>
                              <w:spacing w:val="-1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u w:val="single"/>
                            </w:rPr>
                            <w:t>occurrence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u w:val="none"/>
                            </w:rPr>
                            <w:t>,</w:t>
                          </w:r>
                        </w:p>
                        <w:p>
                          <w:pPr>
                            <w:spacing w:line="242" w:lineRule="auto" w:before="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2013-2017. For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2017, additional</w:t>
                          </w:r>
                          <w:r>
                            <w:rPr>
                              <w:b/>
                              <w:spacing w:val="-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cases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are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still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being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by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the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Office</w:t>
                          </w:r>
                          <w:r>
                            <w:rPr>
                              <w:b/>
                              <w:spacing w:val="2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of</w:t>
                          </w:r>
                          <w:r>
                            <w:rPr>
                              <w:b/>
                              <w:spacing w:val="-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the Chief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Medical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Examiner.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This report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will</w:t>
                          </w:r>
                          <w:r>
                            <w:rPr>
                              <w:b/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updated quarterly and all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new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confirmed cases will</w:t>
                          </w:r>
                          <w:r>
                            <w:rPr>
                              <w:b/>
                              <w:spacing w:val="3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included in the table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below</w:t>
                          </w:r>
                          <w:r>
                            <w:rPr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with newly confirmed</w:t>
                          </w:r>
                          <w:r>
                            <w:rPr>
                              <w:b/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49999pt;margin-top:61.07pt;width:527.2pt;height:54.05pt;mso-position-horizontal-relative:page;mso-position-vertical-relative:page;z-index:-22545408" type="#_x0000_t202" id="docshape11" filled="false" stroked="false">
              <v:textbox inset="0,0,0,0">
                <w:txbxContent>
                  <w:p>
                    <w:pPr>
                      <w:spacing w:line="247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Table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2.</w:t>
                    </w:r>
                    <w:r>
                      <w:rPr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Number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opioid-related overdose</w:t>
                    </w:r>
                    <w:r>
                      <w:rPr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deaths</w:t>
                    </w:r>
                    <w:r>
                      <w:rPr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</w:t>
                    </w:r>
                    <w:r>
                      <w:rPr>
                        <w:b/>
                        <w:spacing w:val="-1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all</w:t>
                    </w:r>
                    <w:r>
                      <w:rPr>
                        <w:b/>
                        <w:spacing w:val="-1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intents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by</w:t>
                    </w:r>
                    <w:r>
                      <w:rPr>
                        <w:b/>
                        <w:spacing w:val="-4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city/town of</w:t>
                    </w:r>
                    <w:r>
                      <w:rPr>
                        <w:b/>
                        <w:spacing w:val="-14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the</w:t>
                    </w:r>
                    <w:r>
                      <w:rPr>
                        <w:b/>
                        <w:spacing w:val="-11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death</w:t>
                    </w:r>
                    <w:r>
                      <w:rPr>
                        <w:b/>
                        <w:spacing w:val="-1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  <w:u w:val="single"/>
                      </w:rPr>
                      <w:t>occurrence</w:t>
                    </w:r>
                    <w:r>
                      <w:rPr>
                        <w:b/>
                        <w:spacing w:val="-2"/>
                        <w:sz w:val="22"/>
                        <w:u w:val="none"/>
                      </w:rPr>
                      <w:t>,</w:t>
                    </w:r>
                  </w:p>
                  <w:p>
                    <w:pPr>
                      <w:spacing w:line="242" w:lineRule="auto" w:before="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2013-2017. For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2017, additional</w:t>
                    </w:r>
                    <w:r>
                      <w:rPr>
                        <w:b/>
                        <w:spacing w:val="-2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cases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are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still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being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by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Office</w:t>
                    </w:r>
                    <w:r>
                      <w:rPr>
                        <w:b/>
                        <w:spacing w:val="2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of</w:t>
                    </w:r>
                    <w:r>
                      <w:rPr>
                        <w:b/>
                        <w:spacing w:val="-2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the Chief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Medical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Examiner.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This report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will</w:t>
                    </w:r>
                    <w:r>
                      <w:rPr>
                        <w:b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updated quarterly and all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new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confirmed cases will</w:t>
                    </w:r>
                    <w:r>
                      <w:rPr>
                        <w:b/>
                        <w:spacing w:val="3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included in the table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below</w:t>
                    </w:r>
                    <w:r>
                      <w:rPr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with newly confirmed</w:t>
                    </w:r>
                    <w:r>
                      <w:rPr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2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6" w:after="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1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2" w:lineRule="exact"/>
      <w:ind w:left="3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2024-12-30T22:00:10Z</dcterms:created>
  <dcterms:modified xsi:type="dcterms:W3CDTF">2024-12-30T22:00:10Z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