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839724</wp:posOffset>
                </wp:positionH>
                <wp:positionV relativeFrom="page">
                  <wp:posOffset>243840</wp:posOffset>
                </wp:positionV>
                <wp:extent cx="8785225" cy="12230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785225" cy="1223010"/>
                          <a:chExt cx="8785225" cy="12230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8785225" cy="122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5225" h="1223010">
                                <a:moveTo>
                                  <a:pt x="8785098" y="1223010"/>
                                </a:moveTo>
                                <a:lnTo>
                                  <a:pt x="87850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3010"/>
                                </a:lnTo>
                                <a:lnTo>
                                  <a:pt x="6096" y="1223010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6858"/>
                                </a:lnTo>
                                <a:lnTo>
                                  <a:pt x="12954" y="12954"/>
                                </a:lnTo>
                                <a:lnTo>
                                  <a:pt x="8772906" y="12954"/>
                                </a:lnTo>
                                <a:lnTo>
                                  <a:pt x="8772906" y="6858"/>
                                </a:lnTo>
                                <a:lnTo>
                                  <a:pt x="8779002" y="12954"/>
                                </a:lnTo>
                                <a:lnTo>
                                  <a:pt x="8779002" y="1223010"/>
                                </a:lnTo>
                                <a:lnTo>
                                  <a:pt x="8785098" y="1223010"/>
                                </a:lnTo>
                                <a:close/>
                              </a:path>
                              <a:path w="8785225" h="1223010">
                                <a:moveTo>
                                  <a:pt x="12953" y="12954"/>
                                </a:moveTo>
                                <a:lnTo>
                                  <a:pt x="12953" y="6858"/>
                                </a:lnTo>
                                <a:lnTo>
                                  <a:pt x="6095" y="12954"/>
                                </a:lnTo>
                                <a:lnTo>
                                  <a:pt x="12953" y="12954"/>
                                </a:lnTo>
                                <a:close/>
                              </a:path>
                              <a:path w="8785225" h="1223010">
                                <a:moveTo>
                                  <a:pt x="12953" y="1210056"/>
                                </a:moveTo>
                                <a:lnTo>
                                  <a:pt x="12953" y="12954"/>
                                </a:lnTo>
                                <a:lnTo>
                                  <a:pt x="6095" y="12954"/>
                                </a:lnTo>
                                <a:lnTo>
                                  <a:pt x="6095" y="1210056"/>
                                </a:lnTo>
                                <a:lnTo>
                                  <a:pt x="12953" y="1210056"/>
                                </a:lnTo>
                                <a:close/>
                              </a:path>
                              <a:path w="8785225" h="1223010">
                                <a:moveTo>
                                  <a:pt x="8779002" y="1210056"/>
                                </a:moveTo>
                                <a:lnTo>
                                  <a:pt x="6095" y="1210056"/>
                                </a:lnTo>
                                <a:lnTo>
                                  <a:pt x="12953" y="1216152"/>
                                </a:lnTo>
                                <a:lnTo>
                                  <a:pt x="12953" y="1223010"/>
                                </a:lnTo>
                                <a:lnTo>
                                  <a:pt x="8772906" y="1223010"/>
                                </a:lnTo>
                                <a:lnTo>
                                  <a:pt x="8772906" y="1216152"/>
                                </a:lnTo>
                                <a:lnTo>
                                  <a:pt x="8779002" y="1210056"/>
                                </a:lnTo>
                                <a:close/>
                              </a:path>
                              <a:path w="8785225" h="1223010">
                                <a:moveTo>
                                  <a:pt x="12953" y="1223010"/>
                                </a:moveTo>
                                <a:lnTo>
                                  <a:pt x="12953" y="1216152"/>
                                </a:lnTo>
                                <a:lnTo>
                                  <a:pt x="6095" y="1210056"/>
                                </a:lnTo>
                                <a:lnTo>
                                  <a:pt x="6096" y="1223010"/>
                                </a:lnTo>
                                <a:lnTo>
                                  <a:pt x="12953" y="1223010"/>
                                </a:lnTo>
                                <a:close/>
                              </a:path>
                              <a:path w="8785225" h="1223010">
                                <a:moveTo>
                                  <a:pt x="8779002" y="12954"/>
                                </a:moveTo>
                                <a:lnTo>
                                  <a:pt x="8772906" y="6858"/>
                                </a:lnTo>
                                <a:lnTo>
                                  <a:pt x="8772906" y="12954"/>
                                </a:lnTo>
                                <a:lnTo>
                                  <a:pt x="8779002" y="12954"/>
                                </a:lnTo>
                                <a:close/>
                              </a:path>
                              <a:path w="8785225" h="1223010">
                                <a:moveTo>
                                  <a:pt x="8779002" y="1210056"/>
                                </a:moveTo>
                                <a:lnTo>
                                  <a:pt x="8779002" y="12954"/>
                                </a:lnTo>
                                <a:lnTo>
                                  <a:pt x="8772906" y="12954"/>
                                </a:lnTo>
                                <a:lnTo>
                                  <a:pt x="8772906" y="1210056"/>
                                </a:lnTo>
                                <a:lnTo>
                                  <a:pt x="8779002" y="1210056"/>
                                </a:lnTo>
                                <a:close/>
                              </a:path>
                              <a:path w="8785225" h="1223010">
                                <a:moveTo>
                                  <a:pt x="8779002" y="1223010"/>
                                </a:moveTo>
                                <a:lnTo>
                                  <a:pt x="8779002" y="1210056"/>
                                </a:lnTo>
                                <a:lnTo>
                                  <a:pt x="8772906" y="1216152"/>
                                </a:lnTo>
                                <a:lnTo>
                                  <a:pt x="8772906" y="1223010"/>
                                </a:lnTo>
                                <a:lnTo>
                                  <a:pt x="8779002" y="12230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76" y="51815"/>
                            <a:ext cx="1025740" cy="93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1523" y="976883"/>
                            <a:ext cx="87820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82050" h="238125">
                                <a:moveTo>
                                  <a:pt x="8782050" y="237743"/>
                                </a:moveTo>
                                <a:lnTo>
                                  <a:pt x="8782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744"/>
                                </a:lnTo>
                                <a:lnTo>
                                  <a:pt x="4572" y="237744"/>
                                </a:lnTo>
                                <a:lnTo>
                                  <a:pt x="4571" y="9143"/>
                                </a:lnTo>
                                <a:lnTo>
                                  <a:pt x="9905" y="4572"/>
                                </a:lnTo>
                                <a:lnTo>
                                  <a:pt x="9905" y="9143"/>
                                </a:lnTo>
                                <a:lnTo>
                                  <a:pt x="8772906" y="9143"/>
                                </a:lnTo>
                                <a:lnTo>
                                  <a:pt x="8772906" y="4571"/>
                                </a:lnTo>
                                <a:lnTo>
                                  <a:pt x="8777478" y="9143"/>
                                </a:lnTo>
                                <a:lnTo>
                                  <a:pt x="8777478" y="237743"/>
                                </a:lnTo>
                                <a:lnTo>
                                  <a:pt x="8782050" y="237743"/>
                                </a:lnTo>
                                <a:close/>
                              </a:path>
                              <a:path w="8782050" h="238125">
                                <a:moveTo>
                                  <a:pt x="9905" y="9143"/>
                                </a:moveTo>
                                <a:lnTo>
                                  <a:pt x="9905" y="4572"/>
                                </a:lnTo>
                                <a:lnTo>
                                  <a:pt x="4571" y="9143"/>
                                </a:lnTo>
                                <a:lnTo>
                                  <a:pt x="9905" y="9143"/>
                                </a:lnTo>
                                <a:close/>
                              </a:path>
                              <a:path w="8782050" h="238125">
                                <a:moveTo>
                                  <a:pt x="9905" y="228600"/>
                                </a:moveTo>
                                <a:lnTo>
                                  <a:pt x="9905" y="9143"/>
                                </a:lnTo>
                                <a:lnTo>
                                  <a:pt x="4571" y="9143"/>
                                </a:lnTo>
                                <a:lnTo>
                                  <a:pt x="4571" y="228600"/>
                                </a:lnTo>
                                <a:lnTo>
                                  <a:pt x="9905" y="228600"/>
                                </a:lnTo>
                                <a:close/>
                              </a:path>
                              <a:path w="8782050" h="238125">
                                <a:moveTo>
                                  <a:pt x="8777478" y="228599"/>
                                </a:moveTo>
                                <a:lnTo>
                                  <a:pt x="4571" y="228600"/>
                                </a:lnTo>
                                <a:lnTo>
                                  <a:pt x="9905" y="233171"/>
                                </a:lnTo>
                                <a:lnTo>
                                  <a:pt x="9905" y="237744"/>
                                </a:lnTo>
                                <a:lnTo>
                                  <a:pt x="8772906" y="237743"/>
                                </a:lnTo>
                                <a:lnTo>
                                  <a:pt x="8772906" y="233171"/>
                                </a:lnTo>
                                <a:lnTo>
                                  <a:pt x="8777478" y="228599"/>
                                </a:lnTo>
                                <a:close/>
                              </a:path>
                              <a:path w="8782050" h="238125">
                                <a:moveTo>
                                  <a:pt x="9905" y="237744"/>
                                </a:moveTo>
                                <a:lnTo>
                                  <a:pt x="9905" y="233171"/>
                                </a:lnTo>
                                <a:lnTo>
                                  <a:pt x="4571" y="228600"/>
                                </a:lnTo>
                                <a:lnTo>
                                  <a:pt x="4572" y="237744"/>
                                </a:lnTo>
                                <a:lnTo>
                                  <a:pt x="9905" y="237744"/>
                                </a:lnTo>
                                <a:close/>
                              </a:path>
                              <a:path w="8782050" h="238125">
                                <a:moveTo>
                                  <a:pt x="8777478" y="9143"/>
                                </a:moveTo>
                                <a:lnTo>
                                  <a:pt x="8772906" y="4571"/>
                                </a:lnTo>
                                <a:lnTo>
                                  <a:pt x="8772906" y="9143"/>
                                </a:lnTo>
                                <a:lnTo>
                                  <a:pt x="8777478" y="9143"/>
                                </a:lnTo>
                                <a:close/>
                              </a:path>
                              <a:path w="8782050" h="238125">
                                <a:moveTo>
                                  <a:pt x="8777478" y="228599"/>
                                </a:moveTo>
                                <a:lnTo>
                                  <a:pt x="8777478" y="9143"/>
                                </a:lnTo>
                                <a:lnTo>
                                  <a:pt x="8772906" y="9143"/>
                                </a:lnTo>
                                <a:lnTo>
                                  <a:pt x="8772906" y="228599"/>
                                </a:lnTo>
                                <a:lnTo>
                                  <a:pt x="8777478" y="228599"/>
                                </a:lnTo>
                                <a:close/>
                              </a:path>
                              <a:path w="8782050" h="238125">
                                <a:moveTo>
                                  <a:pt x="8777478" y="237743"/>
                                </a:moveTo>
                                <a:lnTo>
                                  <a:pt x="8777478" y="228599"/>
                                </a:lnTo>
                                <a:lnTo>
                                  <a:pt x="8772906" y="233171"/>
                                </a:lnTo>
                                <a:lnTo>
                                  <a:pt x="8772906" y="237743"/>
                                </a:lnTo>
                                <a:lnTo>
                                  <a:pt x="8777478" y="2377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202942" y="174498"/>
                            <a:ext cx="5662295" cy="58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480" w:right="18" w:hanging="1481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97C"/>
                                  <w:spacing w:val="-5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9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‐Related</w:t>
                              </w:r>
                              <w:r>
                                <w:rPr>
                                  <w:b/>
                                  <w:color w:val="1F49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97C"/>
                                  <w:spacing w:val="-5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9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9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baseline"/>
                                </w:rPr>
                                <w:t>Intents by County, MA Residents: 2000‐2017</w:t>
                              </w:r>
                              <w:r>
                                <w:rPr>
                                  <w:b/>
                                  <w:color w:val="1F49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41735" y="1030605"/>
                            <a:ext cx="20523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524761" y="1030605"/>
                            <a:ext cx="111442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AUGUST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120003pt;margin-top:19.200001pt;width:691.75pt;height:96.3pt;mso-position-horizontal-relative:page;mso-position-vertical-relative:page;z-index:15728640" id="docshapegroup1" coordorigin="1322,384" coordsize="13835,1926">
                <v:shape style="position:absolute;left:1322;top:384;width:13835;height:1926" id="docshape2" coordorigin="1322,384" coordsize="13835,1926" path="m15157,2310l15157,384,1322,384,1322,2310,1332,2310,1332,404,1343,395,1343,404,15138,404,15138,395,15148,404,15148,2310,15157,2310xm1343,404l1343,395,1332,404,1343,404xm1343,2290l1343,404,1332,404,1332,2290,1343,2290xm15148,2290l1332,2290,1343,2299,1343,2310,15138,2310,15138,2299,15148,2290xm1343,2310l1343,2299,1332,2290,1332,2310,1343,2310xm15148,404l15138,395,15138,404,15148,404xm15148,2290l15148,404,15138,404,15138,2290,15148,2290xm15148,2310l15148,2290,15138,2299,15138,2310,15148,2310xe" filled="true" fillcolor="#000000" stroked="false">
                  <v:path arrowok="t"/>
                  <v:fill type="solid"/>
                </v:shape>
                <v:shape style="position:absolute;left:1500;top:465;width:1616;height:1476" type="#_x0000_t75" id="docshape3" stroked="false">
                  <v:imagedata r:id="rId5" o:title=""/>
                </v:shape>
                <v:shape style="position:absolute;left:1324;top:1922;width:13830;height:375" id="docshape4" coordorigin="1325,1922" coordsize="13830,375" path="m15155,2297l15155,1922,1325,1922,1325,2297,1332,2297,1332,1937,1340,1930,1340,1937,15140,1937,15140,1930,15148,1937,15148,2297,15155,2297xm1340,1937l1340,1930,1332,1937,1340,1937xm1340,2282l1340,1937,1332,1937,1332,2282,1340,2282xm15148,2282l1332,2282,1340,2290,1340,2297,15140,2297,15140,2290,15148,2282xm1340,2297l1340,2290,1332,2282,1332,2297,1340,2297xm15148,1937l15140,1930,15140,1937,15148,1937xm15148,2282l15148,1937,15140,1937,15140,2282,15148,2282xm15148,2297l15148,2282,15140,2290,15140,2297,15148,2297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91;top:658;width:8917;height:928" type="#_x0000_t202" id="docshape5" filled="false" stroked="false">
                  <v:textbox inset="0,0,0,0">
                    <w:txbxContent>
                      <w:p>
                        <w:pPr>
                          <w:spacing w:before="0"/>
                          <w:ind w:left="1480" w:right="18" w:hanging="1481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9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97C"/>
                            <w:spacing w:val="-5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9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‐Related</w:t>
                        </w:r>
                        <w:r>
                          <w:rPr>
                            <w:b/>
                            <w:color w:val="1F49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97C"/>
                            <w:spacing w:val="-5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9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9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baseline"/>
                          </w:rPr>
                          <w:t>Intents by County, MA Residents: 2000‐2017</w:t>
                        </w:r>
                        <w:r>
                          <w:rPr>
                            <w:b/>
                            <w:color w:val="1F49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v:shape style="position:absolute;left:1545;top:2007;width:323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3172;top:2007;width:1755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AUGUST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23"/>
        <w:rPr>
          <w:rFonts w:ascii="Times New Roman"/>
          <w:sz w:val="2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4"/>
        <w:gridCol w:w="596"/>
        <w:gridCol w:w="602"/>
        <w:gridCol w:w="598"/>
        <w:gridCol w:w="599"/>
        <w:gridCol w:w="593"/>
        <w:gridCol w:w="593"/>
        <w:gridCol w:w="593"/>
        <w:gridCol w:w="593"/>
        <w:gridCol w:w="594"/>
        <w:gridCol w:w="593"/>
        <w:gridCol w:w="593"/>
        <w:gridCol w:w="593"/>
        <w:gridCol w:w="585"/>
        <w:gridCol w:w="587"/>
        <w:gridCol w:w="676"/>
        <w:gridCol w:w="677"/>
        <w:gridCol w:w="667"/>
        <w:gridCol w:w="677"/>
        <w:gridCol w:w="1081"/>
      </w:tblGrid>
      <w:tr>
        <w:trPr>
          <w:trHeight w:val="520" w:hRule="atLeast"/>
        </w:trPr>
        <w:tc>
          <w:tcPr>
            <w:tcW w:w="1444" w:type="dxa"/>
          </w:tcPr>
          <w:p>
            <w:pPr>
              <w:pStyle w:val="TableParagraph"/>
              <w:spacing w:line="240" w:lineRule="auto" w:before="151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596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0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59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59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9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5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58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58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67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1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67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left="149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66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13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67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40" w:lineRule="auto" w:before="151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2017</w:t>
            </w:r>
          </w:p>
        </w:tc>
        <w:tc>
          <w:tcPr>
            <w:tcW w:w="1081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40" w:lineRule="auto" w:before="42"/>
              <w:ind w:left="141" w:right="0" w:firstLine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2000‐2017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596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9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8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8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7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67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66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7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1081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575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223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246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244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1,872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226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279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2,061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1,025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272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326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414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357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2,918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127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172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1,442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206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1,314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245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259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2,058</w:t>
            </w:r>
          </w:p>
        </w:tc>
      </w:tr>
      <w:tr>
        <w:trPr>
          <w:trHeight w:val="258" w:hRule="atLeast"/>
        </w:trPr>
        <w:tc>
          <w:tcPr>
            <w:tcW w:w="1444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596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7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0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215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5"/>
                <w:sz w:val="18"/>
              </w:rPr>
              <w:t>268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1,949</w:t>
            </w:r>
          </w:p>
        </w:tc>
      </w:tr>
      <w:tr>
        <w:trPr>
          <w:trHeight w:val="259" w:hRule="atLeast"/>
        </w:trPr>
        <w:tc>
          <w:tcPr>
            <w:tcW w:w="1444" w:type="dxa"/>
            <w:tcBorders>
              <w:top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596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379</w:t>
            </w:r>
          </w:p>
        </w:tc>
        <w:tc>
          <w:tcPr>
            <w:tcW w:w="60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506</w:t>
            </w:r>
          </w:p>
        </w:tc>
        <w:tc>
          <w:tcPr>
            <w:tcW w:w="59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526</w:t>
            </w:r>
          </w:p>
        </w:tc>
        <w:tc>
          <w:tcPr>
            <w:tcW w:w="59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514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575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642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622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638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5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742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67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1,354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1,685</w:t>
            </w:r>
          </w:p>
        </w:tc>
        <w:tc>
          <w:tcPr>
            <w:tcW w:w="66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2,154</w:t>
            </w:r>
          </w:p>
        </w:tc>
        <w:tc>
          <w:tcPr>
            <w:tcW w:w="67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2,069</w:t>
            </w:r>
          </w:p>
        </w:tc>
        <w:tc>
          <w:tcPr>
            <w:tcW w:w="1081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15,859</w:t>
            </w:r>
          </w:p>
        </w:tc>
      </w:tr>
    </w:tbl>
    <w:p>
      <w:pPr>
        <w:pStyle w:val="BodyText"/>
        <w:spacing w:before="17"/>
        <w:rPr>
          <w:rFonts w:ascii="Times New Roman"/>
        </w:rPr>
      </w:pPr>
    </w:p>
    <w:p>
      <w:pPr>
        <w:pStyle w:val="BodyText"/>
        <w:ind w:left="220"/>
      </w:pPr>
      <w:r>
        <w:rPr>
          <w:vertAlign w:val="superscript"/>
        </w:rPr>
        <w:t>1</w:t>
      </w:r>
      <w:r>
        <w:rPr>
          <w:spacing w:val="-14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10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9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8"/>
          <w:vertAlign w:val="baseline"/>
        </w:rPr>
        <w:t> </w:t>
      </w:r>
      <w:r>
        <w:rPr>
          <w:vertAlign w:val="baseline"/>
        </w:rPr>
        <w:t>opioid‐based</w:t>
      </w:r>
      <w:r>
        <w:rPr>
          <w:spacing w:val="-7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7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7"/>
          <w:vertAlign w:val="baseline"/>
        </w:rPr>
        <w:t> </w:t>
      </w:r>
      <w:r>
        <w:rPr>
          <w:vertAlign w:val="baseline"/>
        </w:rPr>
        <w:t>and</w:t>
      </w:r>
      <w:r>
        <w:rPr>
          <w:spacing w:val="-7"/>
          <w:vertAlign w:val="baseline"/>
        </w:rPr>
        <w:t> </w:t>
      </w:r>
      <w:r>
        <w:rPr>
          <w:vertAlign w:val="baseline"/>
        </w:rPr>
        <w:t>other</w:t>
      </w:r>
      <w:r>
        <w:rPr>
          <w:spacing w:val="-7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left="940" w:right="727" w:hanging="721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1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2016‐2017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1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updates.</w:t>
      </w:r>
      <w:r>
        <w:rPr>
          <w:spacing w:val="-1"/>
          <w:vertAlign w:val="baseline"/>
        </w:rPr>
        <w:t> </w:t>
      </w:r>
      <w:r>
        <w:rPr>
          <w:vertAlign w:val="baseline"/>
        </w:rPr>
        <w:t>Case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reviews of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deaths are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1"/>
          <w:vertAlign w:val="baseline"/>
        </w:rPr>
        <w:t> </w:t>
      </w:r>
      <w:r>
        <w:rPr>
          <w:vertAlign w:val="baseline"/>
        </w:rPr>
        <w:t>and updated</w:t>
      </w:r>
      <w:r>
        <w:rPr>
          <w:spacing w:val="-1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an</w:t>
      </w:r>
      <w:r>
        <w:rPr>
          <w:spacing w:val="-1"/>
          <w:vertAlign w:val="baseline"/>
        </w:rPr>
        <w:t> </w:t>
      </w:r>
      <w:r>
        <w:rPr>
          <w:vertAlign w:val="baseline"/>
        </w:rPr>
        <w:t>ongoing</w:t>
      </w:r>
      <w:r>
        <w:rPr>
          <w:spacing w:val="-1"/>
          <w:vertAlign w:val="baseline"/>
        </w:rPr>
        <w:t> </w:t>
      </w:r>
      <w:r>
        <w:rPr>
          <w:vertAlign w:val="baseline"/>
        </w:rPr>
        <w:t>basis.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large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death</w:t>
      </w:r>
      <w:r>
        <w:rPr>
          <w:spacing w:val="-1"/>
          <w:vertAlign w:val="baseline"/>
        </w:rPr>
        <w:t> </w:t>
      </w:r>
      <w:r>
        <w:rPr>
          <w:vertAlign w:val="baseline"/>
        </w:rPr>
        <w:t>certificates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1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40"/>
          <w:vertAlign w:val="baseline"/>
        </w:rPr>
        <w:t> </w:t>
      </w:r>
      <w:r>
        <w:rPr>
          <w:vertAlign w:val="baseline"/>
        </w:rPr>
        <w:t>assigned final cause‐of‐death codes. 2016‐2017 counts are based on the estimates rather than confirmed cases. Data updated on 7/19/2018.</w:t>
      </w:r>
    </w:p>
    <w:p>
      <w:pPr>
        <w:pStyle w:val="BodyText"/>
        <w:spacing w:line="195" w:lineRule="exact" w:before="1"/>
        <w:ind w:left="220"/>
      </w:pPr>
      <w:r>
        <w:rPr>
          <w:vertAlign w:val="superscript"/>
        </w:rPr>
        <w:t>3</w:t>
      </w:r>
      <w:r>
        <w:rPr>
          <w:spacing w:val="-5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5"/>
          <w:vertAlign w:val="baseline"/>
        </w:rPr>
        <w:t> </w:t>
      </w:r>
      <w:r>
        <w:rPr>
          <w:vertAlign w:val="baseline"/>
        </w:rPr>
        <w:t>based</w:t>
      </w:r>
      <w:r>
        <w:rPr>
          <w:spacing w:val="-3"/>
          <w:vertAlign w:val="baseline"/>
        </w:rPr>
        <w:t> </w:t>
      </w:r>
      <w:r>
        <w:rPr>
          <w:vertAlign w:val="baseline"/>
        </w:rPr>
        <w:t>on</w:t>
      </w:r>
      <w:r>
        <w:rPr>
          <w:spacing w:val="-3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less</w:t>
      </w:r>
      <w:r>
        <w:rPr>
          <w:spacing w:val="-4"/>
          <w:vertAlign w:val="baseline"/>
        </w:rPr>
        <w:t> </w:t>
      </w:r>
      <w:r>
        <w:rPr>
          <w:vertAlign w:val="baseline"/>
        </w:rPr>
        <w:t>than</w:t>
      </w:r>
      <w:r>
        <w:rPr>
          <w:spacing w:val="-4"/>
          <w:vertAlign w:val="baseline"/>
        </w:rPr>
        <w:t> </w:t>
      </w:r>
      <w:r>
        <w:rPr>
          <w:vertAlign w:val="baseline"/>
        </w:rPr>
        <w:t>5</w:t>
      </w:r>
      <w:r>
        <w:rPr>
          <w:spacing w:val="-4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years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which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</w:t>
      </w:r>
      <w:r>
        <w:rPr>
          <w:spacing w:val="-3"/>
          <w:vertAlign w:val="baseline"/>
        </w:rPr>
        <w:t> </w:t>
      </w:r>
      <w:r>
        <w:rPr>
          <w:vertAlign w:val="baseline"/>
        </w:rPr>
        <w:t>file</w:t>
      </w:r>
      <w:r>
        <w:rPr>
          <w:spacing w:val="-5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yet</w:t>
      </w:r>
      <w:r>
        <w:rPr>
          <w:spacing w:val="-4"/>
          <w:vertAlign w:val="baseline"/>
        </w:rPr>
        <w:t> </w:t>
      </w:r>
      <w:r>
        <w:rPr>
          <w:vertAlign w:val="baseline"/>
        </w:rPr>
        <w:t>closed</w:t>
      </w:r>
      <w:r>
        <w:rPr>
          <w:spacing w:val="-3"/>
          <w:vertAlign w:val="baseline"/>
        </w:rPr>
        <w:t> </w:t>
      </w:r>
      <w:r>
        <w:rPr>
          <w:vertAlign w:val="baseline"/>
        </w:rPr>
        <w:t>if</w:t>
      </w:r>
      <w:r>
        <w:rPr>
          <w:spacing w:val="-4"/>
          <w:vertAlign w:val="baseline"/>
        </w:rPr>
        <w:t> </w:t>
      </w:r>
      <w:r>
        <w:rPr>
          <w:vertAlign w:val="baseline"/>
        </w:rPr>
        <w:t>they</w:t>
      </w:r>
      <w:r>
        <w:rPr>
          <w:spacing w:val="-5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based</w:t>
      </w:r>
      <w:r>
        <w:rPr>
          <w:spacing w:val="-4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cases.</w:t>
      </w:r>
    </w:p>
    <w:p>
      <w:pPr>
        <w:pStyle w:val="Heading1"/>
        <w:spacing w:line="195" w:lineRule="exact"/>
      </w:pPr>
      <w:r>
        <w:rPr>
          <w:b w:val="0"/>
          <w:vertAlign w:val="superscript"/>
        </w:rPr>
        <w:t>4</w:t>
      </w:r>
      <w:r>
        <w:rPr>
          <w:b w:val="0"/>
          <w:spacing w:val="-14"/>
          <w:vertAlign w:val="baseline"/>
        </w:rPr>
        <w:t> </w:t>
      </w:r>
      <w:r>
        <w:rPr>
          <w:vertAlign w:val="baseline"/>
        </w:rPr>
        <w:t>Please</w:t>
      </w:r>
      <w:r>
        <w:rPr>
          <w:spacing w:val="-8"/>
          <w:vertAlign w:val="baseline"/>
        </w:rPr>
        <w:t> </w:t>
      </w:r>
      <w:r>
        <w:rPr>
          <w:vertAlign w:val="baseline"/>
        </w:rPr>
        <w:t>note</w:t>
      </w:r>
      <w:r>
        <w:rPr>
          <w:spacing w:val="-5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some</w:t>
      </w:r>
      <w:r>
        <w:rPr>
          <w:spacing w:val="-5"/>
          <w:vertAlign w:val="baseline"/>
        </w:rPr>
        <w:t> </w:t>
      </w:r>
      <w:r>
        <w:rPr>
          <w:vertAlign w:val="baseline"/>
        </w:rPr>
        <w:t>totals</w:t>
      </w:r>
      <w:r>
        <w:rPr>
          <w:spacing w:val="-5"/>
          <w:vertAlign w:val="baseline"/>
        </w:rPr>
        <w:t> </w:t>
      </w:r>
      <w:r>
        <w:rPr>
          <w:vertAlign w:val="baseline"/>
        </w:rPr>
        <w:t>may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6"/>
          <w:vertAlign w:val="baseline"/>
        </w:rPr>
        <w:t> </w:t>
      </w:r>
      <w:r>
        <w:rPr>
          <w:vertAlign w:val="baseline"/>
        </w:rPr>
        <w:t>add</w:t>
      </w:r>
      <w:r>
        <w:rPr>
          <w:spacing w:val="-4"/>
          <w:vertAlign w:val="baseline"/>
        </w:rPr>
        <w:t> </w:t>
      </w:r>
      <w:r>
        <w:rPr>
          <w:vertAlign w:val="baseline"/>
        </w:rPr>
        <w:t>up</w:t>
      </w:r>
      <w:r>
        <w:rPr>
          <w:spacing w:val="-4"/>
          <w:vertAlign w:val="baseline"/>
        </w:rPr>
        <w:t> </w:t>
      </w:r>
      <w:r>
        <w:rPr>
          <w:vertAlign w:val="baseline"/>
        </w:rPr>
        <w:t>due</w:t>
      </w:r>
      <w:r>
        <w:rPr>
          <w:spacing w:val="-6"/>
          <w:vertAlign w:val="baseline"/>
        </w:rPr>
        <w:t> </w:t>
      </w:r>
      <w:r>
        <w:rPr>
          <w:vertAlign w:val="baseline"/>
        </w:rPr>
        <w:t>to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with</w:t>
      </w:r>
      <w:r>
        <w:rPr>
          <w:spacing w:val="-5"/>
          <w:vertAlign w:val="baseline"/>
        </w:rPr>
        <w:t> </w:t>
      </w:r>
      <w:r>
        <w:rPr>
          <w:vertAlign w:val="baseline"/>
        </w:rPr>
        <w:t>unknown</w:t>
      </w:r>
      <w:r>
        <w:rPr>
          <w:spacing w:val="-5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5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rounding</w:t>
      </w:r>
      <w:r>
        <w:rPr>
          <w:spacing w:val="-5"/>
          <w:vertAlign w:val="baseline"/>
        </w:rPr>
        <w:t> </w:t>
      </w:r>
      <w:r>
        <w:rPr>
          <w:vertAlign w:val="baseline"/>
        </w:rPr>
        <w:t>of</w:t>
      </w:r>
      <w:r>
        <w:rPr>
          <w:spacing w:val="-6"/>
          <w:vertAlign w:val="baseline"/>
        </w:rPr>
        <w:t> </w:t>
      </w:r>
      <w:r>
        <w:rPr>
          <w:vertAlign w:val="baseline"/>
        </w:rPr>
        <w:t>counts</w:t>
      </w:r>
      <w:r>
        <w:rPr>
          <w:spacing w:val="-4"/>
          <w:vertAlign w:val="baseline"/>
        </w:rPr>
        <w:t> </w:t>
      </w:r>
      <w:r>
        <w:rPr>
          <w:vertAlign w:val="baseline"/>
        </w:rPr>
        <w:t>for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2016‐2017.</w:t>
      </w:r>
    </w:p>
    <w:p>
      <w:pPr>
        <w:spacing w:before="147"/>
        <w:ind w:left="220" w:right="0" w:firstLine="0"/>
        <w:jc w:val="left"/>
        <w:rPr>
          <w:b/>
          <w:sz w:val="16"/>
        </w:rPr>
      </w:pPr>
      <w:r>
        <w:rPr>
          <w:b/>
          <w:spacing w:val="-2"/>
          <w:sz w:val="16"/>
          <w:u w:val="single"/>
        </w:rPr>
        <w:t>Technical</w:t>
      </w:r>
      <w:r>
        <w:rPr>
          <w:b/>
          <w:spacing w:val="8"/>
          <w:sz w:val="16"/>
          <w:u w:val="single"/>
        </w:rPr>
        <w:t> </w:t>
      </w:r>
      <w:r>
        <w:rPr>
          <w:b/>
          <w:spacing w:val="-2"/>
          <w:sz w:val="16"/>
          <w:u w:val="single"/>
        </w:rPr>
        <w:t>Notes:</w:t>
      </w:r>
    </w:p>
    <w:p>
      <w:pPr>
        <w:pStyle w:val="BodyText"/>
        <w:ind w:left="220" w:right="727" w:hanging="1"/>
      </w:pPr>
      <w:r>
        <w:rPr/>
        <w:t>Cases were defined using the International Classification of Disease (ICD‐10) codes for mortality. The following codes were selected from the underlying cause of death field to identify</w:t>
      </w:r>
      <w:r>
        <w:rPr>
          <w:spacing w:val="40"/>
        </w:rPr>
        <w:t> </w:t>
      </w:r>
      <w:r>
        <w:rPr/>
        <w:t>poisonings/overdoses: X40‐X49, X60‐X69, X85‐X90, Y10‐Y19, and Y35.2. All multiple cause of death fields were then used to identify an opioid‐related death: T40.0, T40.1, T40.2, T40.3, T40.4, and</w:t>
      </w:r>
      <w:r>
        <w:rPr>
          <w:spacing w:val="40"/>
        </w:rPr>
        <w:t> </w:t>
      </w:r>
      <w:r>
        <w:rPr/>
        <w:t>T40.6.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report tracks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opioid‐related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difficulties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heroin‐associated</w:t>
      </w:r>
      <w:r>
        <w:rPr>
          <w:spacing w:val="-1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heroin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1"/>
        </w:rPr>
        <w:t> </w:t>
      </w:r>
      <w:r>
        <w:rPr/>
        <w:t>specifically</w:t>
      </w:r>
      <w:r>
        <w:rPr>
          <w:spacing w:val="-2"/>
        </w:rPr>
        <w:t> </w:t>
      </w:r>
      <w:r>
        <w:rPr/>
        <w:t>coded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due</w:t>
      </w:r>
      <w:r>
        <w:rPr>
          <w:spacing w:val="-1"/>
        </w:rPr>
        <w:t> </w:t>
      </w:r>
      <w:r>
        <w:rPr/>
        <w:t>to</w:t>
      </w:r>
      <w:r>
        <w:rPr>
          <w:spacing w:val="40"/>
        </w:rPr>
        <w:t> </w:t>
      </w:r>
      <w:r>
        <w:rPr/>
        <w:t>the fast metabolism of heroin into morphine. To maintain consistency with NCHS reporting, DPH does not include the ICD‐10 code F11.1, which may include opioid‐related overdose death.</w:t>
      </w:r>
    </w:p>
    <w:p>
      <w:pPr>
        <w:pStyle w:val="BodyText"/>
        <w:ind w:left="220"/>
      </w:pPr>
      <w:r>
        <w:rPr/>
        <w:t>Beginning</w:t>
      </w:r>
      <w:r>
        <w:rPr>
          <w:spacing w:val="-7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2017</w:t>
      </w:r>
      <w:r>
        <w:rPr>
          <w:spacing w:val="-7"/>
        </w:rPr>
        <w:t> </w:t>
      </w:r>
      <w:r>
        <w:rPr/>
        <w:t>report,</w:t>
      </w:r>
      <w:r>
        <w:rPr>
          <w:spacing w:val="-5"/>
        </w:rPr>
        <w:t> </w:t>
      </w:r>
      <w:r>
        <w:rPr/>
        <w:t>DPH</w:t>
      </w:r>
      <w:r>
        <w:rPr>
          <w:spacing w:val="-5"/>
        </w:rPr>
        <w:t> </w:t>
      </w:r>
      <w:r>
        <w:rPr/>
        <w:t>started</w:t>
      </w:r>
      <w:r>
        <w:rPr>
          <w:spacing w:val="-6"/>
        </w:rPr>
        <w:t> </w:t>
      </w:r>
      <w:r>
        <w:rPr/>
        <w:t>reporting</w:t>
      </w:r>
      <w:r>
        <w:rPr>
          <w:spacing w:val="-5"/>
        </w:rPr>
        <w:t> </w:t>
      </w:r>
      <w:r>
        <w:rPr/>
        <w:t>opioid‐related</w:t>
      </w:r>
      <w:r>
        <w:rPr>
          <w:spacing w:val="-7"/>
        </w:rPr>
        <w:t> </w:t>
      </w:r>
      <w:r>
        <w:rPr/>
        <w:t>deaths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intents,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includes</w:t>
      </w:r>
      <w:r>
        <w:rPr>
          <w:spacing w:val="-7"/>
        </w:rPr>
        <w:t> </w:t>
      </w:r>
      <w:r>
        <w:rPr/>
        <w:t>unintentional/undetermined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suicide.</w:t>
      </w:r>
    </w:p>
    <w:p>
      <w:pPr>
        <w:spacing w:before="48"/>
        <w:ind w:left="220" w:right="0" w:firstLine="0"/>
        <w:jc w:val="left"/>
        <w:rPr>
          <w:b/>
          <w:sz w:val="16"/>
        </w:rPr>
      </w:pPr>
      <w:r>
        <w:rPr>
          <w:b/>
          <w:sz w:val="16"/>
        </w:rPr>
        <w:t>Source: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Registry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Vital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Records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Statistics,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MDPH.</w:t>
      </w:r>
    </w:p>
    <w:sectPr>
      <w:type w:val="continuous"/>
      <w:pgSz w:w="15840" w:h="12240" w:orient="landscape"/>
      <w:pgMar w:top="380" w:bottom="280" w:left="12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 w:line="219" w:lineRule="exact"/>
      <w:ind w:right="9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:title>Microsoft Word - 2018 Q2 Opioid Quarterly Report v15</dc:title>
  <dcterms:created xsi:type="dcterms:W3CDTF">2024-12-31T14:58:33Z</dcterms:created>
  <dcterms:modified xsi:type="dcterms:W3CDTF">2024-12-31T14:58:33Z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2024-12-31T00:00:00Z</vt:filetime>
  </property>
  <property fmtid="{D5CDD505-2E9C-101B-9397-08002B2CF9AE}" pid="5" name="Producer">
    <vt:lpwstr>Acrobat Distiller 15.0 (Windows)</vt:lpwstr>
  </property>
</Properties>
</file>