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1209675"/>
                                </a:lnTo>
                                <a:lnTo>
                                  <a:pt x="0" y="1209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49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71409" y="1013460"/>
                            <a:ext cx="121793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FEBRUARY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5889" y="1013460"/>
                            <a:ext cx="208343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5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4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8772525" cy="974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258"/>
                                <w:ind w:left="4978" w:right="1203" w:hanging="152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 of Opioid-Related Overdose Deaths, All Intents by County, MA Residents: 2000-2017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pt" strokecolor="#000000">
                  <v:stroke dashstyle="solid"/>
                </v:rect>
                <v:shape style="position:absolute;left:226;top:110;width:1557;height:1447" type="#_x0000_t75" id="docshape4" alt="DPH-logo-B&amp;W" stroked="false">
                  <v:imagedata r:id="rId6" o:title=""/>
                </v:shape>
                <v:rect style="position:absolute;left:10;top:1544;width:13815;height:360" id="docshape5" filled="false" stroked="true" strokeweight=".801pt" strokecolor="#000000">
                  <v:stroke dashstyle="solid"/>
                </v:rect>
                <v:shape style="position:absolute;left:11766;top:1596;width:1918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FEBRUARY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214;top:1596;width:3281;height:176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5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4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815;height:153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247" w:lineRule="auto" w:before="258"/>
                          <w:ind w:left="4978" w:right="1203" w:hanging="152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 of Opioid-Related Overdose Deaths, All Intents by County, MA Residents: 2000-2017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2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592"/>
        <w:gridCol w:w="592"/>
        <w:gridCol w:w="608"/>
        <w:gridCol w:w="592"/>
        <w:gridCol w:w="592"/>
        <w:gridCol w:w="592"/>
        <w:gridCol w:w="592"/>
        <w:gridCol w:w="592"/>
        <w:gridCol w:w="592"/>
        <w:gridCol w:w="592"/>
        <w:gridCol w:w="592"/>
        <w:gridCol w:w="608"/>
        <w:gridCol w:w="576"/>
        <w:gridCol w:w="592"/>
        <w:gridCol w:w="672"/>
        <w:gridCol w:w="672"/>
        <w:gridCol w:w="672"/>
        <w:gridCol w:w="672"/>
        <w:gridCol w:w="1088"/>
      </w:tblGrid>
      <w:tr>
        <w:trPr>
          <w:trHeight w:val="524" w:hRule="atLeast"/>
        </w:trPr>
        <w:tc>
          <w:tcPr>
            <w:tcW w:w="1456" w:type="dxa"/>
          </w:tcPr>
          <w:p>
            <w:pPr>
              <w:pStyle w:val="TableParagraph"/>
              <w:spacing w:before="156"/>
              <w:ind w:left="118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County</w:t>
            </w:r>
          </w:p>
        </w:tc>
        <w:tc>
          <w:tcPr>
            <w:tcW w:w="592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2000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2001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2002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2003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2004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2005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2006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2007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2008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2009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2010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2011</w:t>
            </w:r>
          </w:p>
        </w:tc>
        <w:tc>
          <w:tcPr>
            <w:tcW w:w="57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2012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2013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left="133" w:right="0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2014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2015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2016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2017</w:t>
            </w:r>
          </w:p>
        </w:tc>
        <w:tc>
          <w:tcPr>
            <w:tcW w:w="1088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59" w:lineRule="auto" w:before="44"/>
              <w:ind w:left="133" w:right="122" w:firstLine="2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2000-</w:t>
            </w:r>
            <w:r>
              <w:rPr>
                <w:b/>
                <w:spacing w:val="-2"/>
                <w:w w:val="105"/>
                <w:sz w:val="17"/>
              </w:rPr>
              <w:t>2017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Barnstable</w:t>
            </w:r>
          </w:p>
        </w:tc>
        <w:tc>
          <w:tcPr>
            <w:tcW w:w="592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57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088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575</w:t>
            </w:r>
          </w:p>
        </w:tc>
      </w:tr>
      <w:tr>
        <w:trPr>
          <w:trHeight w:val="268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Berkshire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221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Bristol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1,871</w:t>
            </w:r>
          </w:p>
        </w:tc>
      </w:tr>
      <w:tr>
        <w:trPr>
          <w:trHeight w:val="268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Dukes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Essex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311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2,060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line="204" w:lineRule="exact"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Franklin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Hampden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1,026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Hampshire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252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Middlesex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357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2,913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Nantucket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Norfolk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8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170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1,440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Plymouth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205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1,314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Suffolk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255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2,053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Worcester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264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1,928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Deaths</w:t>
            </w:r>
          </w:p>
        </w:tc>
        <w:tc>
          <w:tcPr>
            <w:tcW w:w="592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660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656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961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left="13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1,362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1,710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2,099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2,056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15,822</w:t>
            </w:r>
          </w:p>
        </w:tc>
      </w:tr>
    </w:tbl>
    <w:p>
      <w:pPr>
        <w:pStyle w:val="Heading1"/>
        <w:rPr>
          <w:u w:val="none"/>
        </w:rPr>
      </w:pPr>
      <w:r>
        <w:rPr>
          <w:spacing w:val="-2"/>
          <w:u w:val="single"/>
        </w:rPr>
        <w:t>Technical</w:t>
      </w:r>
      <w:r>
        <w:rPr>
          <w:spacing w:val="12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4" w:lineRule="auto" w:before="0" w:after="0"/>
        <w:ind w:left="960" w:right="1113" w:hanging="352"/>
        <w:jc w:val="left"/>
        <w:rPr>
          <w:sz w:val="16"/>
        </w:rPr>
      </w:pPr>
      <w:r>
        <w:rPr>
          <w:sz w:val="16"/>
        </w:rPr>
        <w:t>Data</w:t>
      </w:r>
      <w:r>
        <w:rPr>
          <w:spacing w:val="-10"/>
          <w:sz w:val="16"/>
        </w:rPr>
        <w:t> </w:t>
      </w:r>
      <w:r>
        <w:rPr>
          <w:sz w:val="16"/>
        </w:rPr>
        <w:t>for</w:t>
      </w:r>
      <w:r>
        <w:rPr>
          <w:spacing w:val="-9"/>
          <w:sz w:val="16"/>
        </w:rPr>
        <w:t> </w:t>
      </w:r>
      <w:r>
        <w:rPr>
          <w:sz w:val="16"/>
        </w:rPr>
        <w:t>2017</w:t>
      </w:r>
      <w:r>
        <w:rPr>
          <w:spacing w:val="-6"/>
          <w:sz w:val="16"/>
        </w:rPr>
        <w:t> </w:t>
      </w:r>
      <w:r>
        <w:rPr>
          <w:sz w:val="16"/>
        </w:rPr>
        <w:t>deaths are</w:t>
      </w:r>
      <w:r>
        <w:rPr>
          <w:spacing w:val="-10"/>
          <w:sz w:val="16"/>
        </w:rPr>
        <w:t> </w:t>
      </w:r>
      <w:r>
        <w:rPr>
          <w:sz w:val="16"/>
        </w:rPr>
        <w:t>preliminary</w:t>
      </w:r>
      <w:r>
        <w:rPr>
          <w:spacing w:val="2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updates.</w:t>
      </w:r>
      <w:r>
        <w:rPr>
          <w:spacing w:val="9"/>
          <w:sz w:val="16"/>
        </w:rPr>
        <w:t> </w:t>
      </w:r>
      <w:r>
        <w:rPr>
          <w:sz w:val="16"/>
        </w:rPr>
        <w:t>Case</w:t>
      </w:r>
      <w:r>
        <w:rPr>
          <w:spacing w:val="-10"/>
          <w:sz w:val="16"/>
        </w:rPr>
        <w:t> </w:t>
      </w:r>
      <w:r>
        <w:rPr>
          <w:sz w:val="16"/>
        </w:rPr>
        <w:t>reviews of</w:t>
      </w:r>
      <w:r>
        <w:rPr>
          <w:spacing w:val="-10"/>
          <w:sz w:val="16"/>
        </w:rPr>
        <w:t> </w:t>
      </w:r>
      <w:r>
        <w:rPr>
          <w:sz w:val="16"/>
        </w:rPr>
        <w:t>deaths are evaluated</w:t>
      </w:r>
      <w:r>
        <w:rPr>
          <w:spacing w:val="-10"/>
          <w:sz w:val="16"/>
        </w:rPr>
        <w:t> </w:t>
      </w:r>
      <w:r>
        <w:rPr>
          <w:sz w:val="16"/>
        </w:rPr>
        <w:t>and updated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10"/>
          <w:sz w:val="16"/>
        </w:rPr>
        <w:t> </w:t>
      </w:r>
      <w:r>
        <w:rPr>
          <w:sz w:val="16"/>
        </w:rPr>
        <w:t>ongoing</w:t>
      </w:r>
      <w:r>
        <w:rPr>
          <w:spacing w:val="7"/>
          <w:sz w:val="16"/>
        </w:rPr>
        <w:t> </w:t>
      </w:r>
      <w:r>
        <w:rPr>
          <w:sz w:val="16"/>
        </w:rPr>
        <w:t>basis.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large number</w:t>
      </w:r>
      <w:r>
        <w:rPr>
          <w:spacing w:val="-4"/>
          <w:sz w:val="16"/>
        </w:rPr>
        <w:t> </w:t>
      </w:r>
      <w:r>
        <w:rPr>
          <w:sz w:val="16"/>
        </w:rPr>
        <w:t>of death</w:t>
      </w:r>
      <w:r>
        <w:rPr>
          <w:spacing w:val="-1"/>
          <w:sz w:val="16"/>
        </w:rPr>
        <w:t> </w:t>
      </w:r>
      <w:r>
        <w:rPr>
          <w:sz w:val="16"/>
        </w:rPr>
        <w:t>certificates</w:t>
      </w:r>
      <w:r>
        <w:rPr>
          <w:spacing w:val="17"/>
          <w:sz w:val="16"/>
        </w:rPr>
        <w:t> </w:t>
      </w:r>
      <w:r>
        <w:rPr>
          <w:sz w:val="16"/>
        </w:rPr>
        <w:t>have</w:t>
      </w:r>
      <w:r>
        <w:rPr>
          <w:spacing w:val="-10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to be</w:t>
      </w:r>
      <w:r>
        <w:rPr>
          <w:spacing w:val="40"/>
          <w:sz w:val="16"/>
        </w:rPr>
        <w:t> </w:t>
      </w:r>
      <w:r>
        <w:rPr>
          <w:sz w:val="16"/>
        </w:rPr>
        <w:t>assigned</w:t>
      </w:r>
      <w:r>
        <w:rPr>
          <w:spacing w:val="-10"/>
          <w:sz w:val="16"/>
        </w:rPr>
        <w:t> </w:t>
      </w:r>
      <w:r>
        <w:rPr>
          <w:sz w:val="16"/>
        </w:rPr>
        <w:t>final cause-of-death</w:t>
      </w:r>
      <w:r>
        <w:rPr>
          <w:spacing w:val="20"/>
          <w:sz w:val="16"/>
        </w:rPr>
        <w:t> </w:t>
      </w:r>
      <w:r>
        <w:rPr>
          <w:sz w:val="16"/>
        </w:rPr>
        <w:t>codes. 2017 counts are based</w:t>
      </w:r>
      <w:r>
        <w:rPr>
          <w:spacing w:val="-10"/>
          <w:sz w:val="16"/>
        </w:rPr>
        <w:t> </w:t>
      </w:r>
      <w:r>
        <w:rPr>
          <w:sz w:val="16"/>
        </w:rPr>
        <w:t>on the estimates rather than confirmed</w:t>
      </w:r>
      <w:r>
        <w:rPr>
          <w:spacing w:val="20"/>
          <w:sz w:val="16"/>
        </w:rPr>
        <w:t> </w:t>
      </w:r>
      <w:r>
        <w:rPr>
          <w:sz w:val="16"/>
        </w:rPr>
        <w:t>cases. Data</w:t>
      </w:r>
      <w:r>
        <w:rPr>
          <w:spacing w:val="-3"/>
          <w:sz w:val="16"/>
        </w:rPr>
        <w:t> </w:t>
      </w:r>
      <w:r>
        <w:rPr>
          <w:sz w:val="16"/>
        </w:rPr>
        <w:t>updated</w:t>
      </w:r>
      <w:r>
        <w:rPr>
          <w:spacing w:val="20"/>
          <w:sz w:val="16"/>
        </w:rPr>
        <w:t> </w:t>
      </w:r>
      <w:r>
        <w:rPr>
          <w:sz w:val="16"/>
        </w:rPr>
        <w:t>on</w:t>
      </w:r>
      <w:r>
        <w:rPr>
          <w:spacing w:val="-10"/>
          <w:sz w:val="16"/>
        </w:rPr>
        <w:t> </w:t>
      </w:r>
      <w:r>
        <w:rPr>
          <w:sz w:val="16"/>
        </w:rPr>
        <w:t>1/15/2019.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81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Numbers</w:t>
      </w:r>
      <w:r>
        <w:rPr>
          <w:spacing w:val="6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calculations</w:t>
      </w:r>
      <w:r>
        <w:rPr>
          <w:spacing w:val="12"/>
          <w:sz w:val="16"/>
        </w:rPr>
        <w:t> </w:t>
      </w: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values</w:t>
      </w:r>
      <w:r>
        <w:rPr>
          <w:spacing w:val="-9"/>
          <w:sz w:val="16"/>
        </w:rPr>
        <w:t> </w:t>
      </w:r>
      <w:r>
        <w:rPr>
          <w:sz w:val="16"/>
        </w:rPr>
        <w:t>less</w:t>
      </w:r>
      <w:r>
        <w:rPr>
          <w:spacing w:val="-9"/>
          <w:sz w:val="16"/>
        </w:rPr>
        <w:t> </w:t>
      </w:r>
      <w:r>
        <w:rPr>
          <w:sz w:val="16"/>
        </w:rPr>
        <w:t>than</w:t>
      </w:r>
      <w:r>
        <w:rPr>
          <w:spacing w:val="-1"/>
          <w:sz w:val="16"/>
        </w:rPr>
        <w:t> </w:t>
      </w:r>
      <w:r>
        <w:rPr>
          <w:sz w:val="16"/>
        </w:rPr>
        <w:t>5</w:t>
      </w:r>
      <w:r>
        <w:rPr>
          <w:spacing w:val="-9"/>
          <w:sz w:val="16"/>
        </w:rPr>
        <w:t> </w:t>
      </w:r>
      <w:r>
        <w:rPr>
          <w:sz w:val="16"/>
        </w:rPr>
        <w:t>are</w:t>
      </w:r>
      <w:r>
        <w:rPr>
          <w:spacing w:val="3"/>
          <w:sz w:val="16"/>
        </w:rPr>
        <w:t> </w:t>
      </w:r>
      <w:r>
        <w:rPr>
          <w:sz w:val="16"/>
        </w:rPr>
        <w:t>suppressed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death</w:t>
      </w:r>
      <w:r>
        <w:rPr>
          <w:spacing w:val="-1"/>
          <w:sz w:val="16"/>
        </w:rPr>
        <w:t> </w:t>
      </w:r>
      <w:r>
        <w:rPr>
          <w:sz w:val="16"/>
        </w:rPr>
        <w:t>file</w:t>
      </w:r>
      <w:r>
        <w:rPr>
          <w:spacing w:val="3"/>
          <w:sz w:val="16"/>
        </w:rPr>
        <w:t> </w:t>
      </w:r>
      <w:r>
        <w:rPr>
          <w:sz w:val="16"/>
        </w:rPr>
        <w:t>is</w:t>
      </w:r>
      <w:r>
        <w:rPr>
          <w:spacing w:val="-9"/>
          <w:sz w:val="16"/>
        </w:rPr>
        <w:t> </w:t>
      </w:r>
      <w:r>
        <w:rPr>
          <w:sz w:val="16"/>
        </w:rPr>
        <w:t>not</w:t>
      </w:r>
      <w:r>
        <w:rPr>
          <w:spacing w:val="11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closed</w:t>
      </w:r>
      <w:r>
        <w:rPr>
          <w:spacing w:val="-1"/>
          <w:sz w:val="16"/>
        </w:rPr>
        <w:t> </w:t>
      </w:r>
      <w:r>
        <w:rPr>
          <w:sz w:val="16"/>
        </w:rPr>
        <w:t>if</w:t>
      </w:r>
      <w:r>
        <w:rPr>
          <w:spacing w:val="2"/>
          <w:sz w:val="16"/>
        </w:rPr>
        <w:t> </w:t>
      </w:r>
      <w:r>
        <w:rPr>
          <w:sz w:val="16"/>
        </w:rPr>
        <w:t>they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cases.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12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9"/>
          <w:sz w:val="16"/>
        </w:rPr>
        <w:t> </w:t>
      </w:r>
      <w:r>
        <w:rPr>
          <w:sz w:val="16"/>
        </w:rPr>
        <w:t>some</w:t>
      </w:r>
      <w:r>
        <w:rPr>
          <w:spacing w:val="-5"/>
          <w:sz w:val="16"/>
        </w:rPr>
        <w:t> </w:t>
      </w:r>
      <w:r>
        <w:rPr>
          <w:sz w:val="16"/>
        </w:rPr>
        <w:t>totals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add</w:t>
      </w:r>
      <w:r>
        <w:rPr>
          <w:spacing w:val="-9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deaths</w:t>
      </w:r>
      <w:r>
        <w:rPr>
          <w:spacing w:val="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residence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rounding</w:t>
      </w:r>
      <w:r>
        <w:rPr>
          <w:spacing w:val="16"/>
          <w:sz w:val="16"/>
        </w:rPr>
        <w:t> </w:t>
      </w:r>
      <w:r>
        <w:rPr>
          <w:sz w:val="16"/>
        </w:rPr>
        <w:t>of </w:t>
      </w:r>
      <w:r>
        <w:rPr>
          <w:spacing w:val="-2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pacing w:val="-2"/>
          <w:sz w:val="16"/>
        </w:rPr>
        <w:t>Opioids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include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heroin,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illicitly</w:t>
      </w:r>
      <w:r>
        <w:rPr>
          <w:spacing w:val="26"/>
          <w:sz w:val="16"/>
        </w:rPr>
        <w:t> </w:t>
      </w:r>
      <w:r>
        <w:rPr>
          <w:spacing w:val="-2"/>
          <w:sz w:val="16"/>
        </w:rPr>
        <w:t>manufactured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fentanyl,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opioid-based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prescription</w:t>
      </w:r>
      <w:r>
        <w:rPr>
          <w:spacing w:val="29"/>
          <w:sz w:val="16"/>
        </w:rPr>
        <w:t> </w:t>
      </w:r>
      <w:r>
        <w:rPr>
          <w:spacing w:val="-2"/>
          <w:sz w:val="16"/>
        </w:rPr>
        <w:t>painkillers,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other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unspecified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4" w:lineRule="auto" w:before="2" w:after="0"/>
        <w:ind w:left="960" w:right="1155" w:hanging="352"/>
        <w:jc w:val="left"/>
        <w:rPr>
          <w:sz w:val="16"/>
        </w:rPr>
      </w:pPr>
      <w:r>
        <w:rPr>
          <w:sz w:val="16"/>
        </w:rPr>
        <w:t>Cases</w:t>
      </w:r>
      <w:r>
        <w:rPr>
          <w:spacing w:val="-10"/>
          <w:sz w:val="16"/>
        </w:rPr>
        <w:t> </w:t>
      </w:r>
      <w:r>
        <w:rPr>
          <w:sz w:val="16"/>
        </w:rPr>
        <w:t>were</w:t>
      </w:r>
      <w:r>
        <w:rPr>
          <w:spacing w:val="-4"/>
          <w:sz w:val="16"/>
        </w:rPr>
        <w:t> </w:t>
      </w:r>
      <w:r>
        <w:rPr>
          <w:sz w:val="16"/>
        </w:rPr>
        <w:t>defined</w:t>
      </w:r>
      <w:r>
        <w:rPr>
          <w:spacing w:val="-9"/>
          <w:sz w:val="16"/>
        </w:rPr>
        <w:t> </w:t>
      </w:r>
      <w:r>
        <w:rPr>
          <w:sz w:val="16"/>
        </w:rPr>
        <w:t>using</w:t>
      </w:r>
      <w:r>
        <w:rPr>
          <w:spacing w:val="4"/>
          <w:sz w:val="16"/>
        </w:rPr>
        <w:t> </w:t>
      </w:r>
      <w:r>
        <w:rPr>
          <w:sz w:val="16"/>
        </w:rPr>
        <w:t>the International</w:t>
      </w:r>
      <w:r>
        <w:rPr>
          <w:spacing w:val="10"/>
          <w:sz w:val="16"/>
        </w:rPr>
        <w:t> </w:t>
      </w:r>
      <w:r>
        <w:rPr>
          <w:sz w:val="16"/>
        </w:rPr>
        <w:t>Classification</w:t>
      </w:r>
      <w:r>
        <w:rPr>
          <w:spacing w:val="11"/>
          <w:sz w:val="16"/>
        </w:rPr>
        <w:t> </w:t>
      </w:r>
      <w:r>
        <w:rPr>
          <w:sz w:val="16"/>
        </w:rPr>
        <w:t>of Disease</w:t>
      </w:r>
      <w:r>
        <w:rPr>
          <w:spacing w:val="-10"/>
          <w:sz w:val="16"/>
        </w:rPr>
        <w:t> </w:t>
      </w:r>
      <w:r>
        <w:rPr>
          <w:sz w:val="16"/>
        </w:rPr>
        <w:t>(ICD-10) codes for</w:t>
      </w:r>
      <w:r>
        <w:rPr>
          <w:spacing w:val="-5"/>
          <w:sz w:val="16"/>
        </w:rPr>
        <w:t> </w:t>
      </w:r>
      <w:r>
        <w:rPr>
          <w:sz w:val="16"/>
        </w:rPr>
        <w:t>mortality.</w:t>
      </w:r>
      <w:r>
        <w:rPr>
          <w:spacing w:val="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following</w:t>
      </w:r>
      <w:r>
        <w:rPr>
          <w:spacing w:val="19"/>
          <w:sz w:val="16"/>
        </w:rPr>
        <w:t> </w:t>
      </w:r>
      <w:r>
        <w:rPr>
          <w:sz w:val="16"/>
        </w:rPr>
        <w:t>codes were selected</w:t>
      </w:r>
      <w:r>
        <w:rPr>
          <w:spacing w:val="-2"/>
          <w:sz w:val="16"/>
        </w:rPr>
        <w:t> </w:t>
      </w:r>
      <w:r>
        <w:rPr>
          <w:sz w:val="16"/>
        </w:rPr>
        <w:t>from the underlying</w:t>
      </w:r>
      <w:r>
        <w:rPr>
          <w:spacing w:val="18"/>
          <w:sz w:val="16"/>
        </w:rPr>
        <w:t> </w:t>
      </w:r>
      <w:r>
        <w:rPr>
          <w:sz w:val="16"/>
        </w:rPr>
        <w:t>cause</w:t>
      </w:r>
      <w:r>
        <w:rPr>
          <w:spacing w:val="-10"/>
          <w:sz w:val="16"/>
        </w:rPr>
        <w:t> </w:t>
      </w:r>
      <w:r>
        <w:rPr>
          <w:sz w:val="16"/>
        </w:rPr>
        <w:t>of death</w:t>
      </w:r>
      <w:r>
        <w:rPr>
          <w:spacing w:val="-10"/>
          <w:sz w:val="16"/>
        </w:rPr>
        <w:t> </w:t>
      </w:r>
      <w:r>
        <w:rPr>
          <w:sz w:val="16"/>
        </w:rPr>
        <w:t>field</w:t>
      </w:r>
      <w:r>
        <w:rPr>
          <w:spacing w:val="12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identify</w:t>
      </w:r>
      <w:r>
        <w:rPr>
          <w:spacing w:val="40"/>
          <w:sz w:val="16"/>
        </w:rPr>
        <w:t> </w:t>
      </w:r>
      <w:r>
        <w:rPr>
          <w:sz w:val="16"/>
        </w:rPr>
        <w:t>poisonings/overdoses:</w:t>
      </w:r>
      <w:r>
        <w:rPr>
          <w:spacing w:val="8"/>
          <w:sz w:val="16"/>
        </w:rPr>
        <w:t> </w:t>
      </w:r>
      <w:r>
        <w:rPr>
          <w:sz w:val="16"/>
        </w:rPr>
        <w:t>X40-X49,</w:t>
      </w:r>
      <w:r>
        <w:rPr>
          <w:spacing w:val="-8"/>
          <w:sz w:val="16"/>
        </w:rPr>
        <w:t> </w:t>
      </w:r>
      <w:r>
        <w:rPr>
          <w:sz w:val="16"/>
        </w:rPr>
        <w:t>X60-X69,</w:t>
      </w:r>
      <w:r>
        <w:rPr>
          <w:spacing w:val="8"/>
          <w:sz w:val="16"/>
        </w:rPr>
        <w:t> </w:t>
      </w:r>
      <w:r>
        <w:rPr>
          <w:sz w:val="16"/>
        </w:rPr>
        <w:t>X85-X90,</w:t>
      </w:r>
      <w:r>
        <w:rPr>
          <w:spacing w:val="-5"/>
          <w:sz w:val="16"/>
        </w:rPr>
        <w:t> </w:t>
      </w:r>
      <w:r>
        <w:rPr>
          <w:sz w:val="16"/>
        </w:rPr>
        <w:t>Y10-Y19,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Y35.2.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10"/>
          <w:sz w:val="16"/>
        </w:rPr>
        <w:t> </w:t>
      </w:r>
      <w:r>
        <w:rPr>
          <w:sz w:val="16"/>
        </w:rPr>
        <w:t>multiple</w:t>
      </w:r>
      <w:r>
        <w:rPr>
          <w:spacing w:val="16"/>
          <w:sz w:val="16"/>
        </w:rPr>
        <w:t> </w:t>
      </w:r>
      <w:r>
        <w:rPr>
          <w:sz w:val="16"/>
        </w:rPr>
        <w:t>cause</w:t>
      </w:r>
      <w:r>
        <w:rPr>
          <w:spacing w:val="-10"/>
          <w:sz w:val="16"/>
        </w:rPr>
        <w:t> </w:t>
      </w:r>
      <w:r>
        <w:rPr>
          <w:sz w:val="16"/>
        </w:rPr>
        <w:t>of death</w:t>
      </w:r>
      <w:r>
        <w:rPr>
          <w:spacing w:val="-10"/>
          <w:sz w:val="16"/>
        </w:rPr>
        <w:t> </w:t>
      </w:r>
      <w:r>
        <w:rPr>
          <w:sz w:val="16"/>
        </w:rPr>
        <w:t>fields</w:t>
      </w:r>
      <w:r>
        <w:rPr>
          <w:spacing w:val="17"/>
          <w:sz w:val="16"/>
        </w:rPr>
        <w:t> </w:t>
      </w:r>
      <w:r>
        <w:rPr>
          <w:sz w:val="16"/>
        </w:rPr>
        <w:t>were</w:t>
      </w:r>
      <w:r>
        <w:rPr>
          <w:spacing w:val="-10"/>
          <w:sz w:val="16"/>
        </w:rPr>
        <w:t> </w:t>
      </w:r>
      <w:r>
        <w:rPr>
          <w:sz w:val="16"/>
        </w:rPr>
        <w:t>then</w:t>
      </w:r>
      <w:r>
        <w:rPr>
          <w:spacing w:val="-1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8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24"/>
          <w:sz w:val="16"/>
        </w:rPr>
        <w:t> </w:t>
      </w:r>
      <w:r>
        <w:rPr>
          <w:sz w:val="16"/>
        </w:rPr>
        <w:t>death:</w:t>
      </w:r>
      <w:r>
        <w:rPr>
          <w:spacing w:val="-7"/>
          <w:sz w:val="16"/>
        </w:rPr>
        <w:t> </w:t>
      </w:r>
      <w:r>
        <w:rPr>
          <w:sz w:val="16"/>
        </w:rPr>
        <w:t>T40.0,</w:t>
      </w:r>
      <w:r>
        <w:rPr>
          <w:spacing w:val="-5"/>
          <w:sz w:val="16"/>
        </w:rPr>
        <w:t> </w:t>
      </w:r>
      <w:r>
        <w:rPr>
          <w:sz w:val="16"/>
        </w:rPr>
        <w:t>T40.1,</w:t>
      </w:r>
      <w:r>
        <w:rPr>
          <w:spacing w:val="-5"/>
          <w:sz w:val="16"/>
        </w:rPr>
        <w:t> </w:t>
      </w:r>
      <w:r>
        <w:rPr>
          <w:sz w:val="16"/>
        </w:rPr>
        <w:t>T40.2,</w:t>
      </w:r>
      <w:r>
        <w:rPr>
          <w:spacing w:val="-5"/>
          <w:sz w:val="16"/>
        </w:rPr>
        <w:t> </w:t>
      </w:r>
      <w:r>
        <w:rPr>
          <w:sz w:val="16"/>
        </w:rPr>
        <w:t>T40.3,</w:t>
      </w:r>
      <w:r>
        <w:rPr>
          <w:spacing w:val="40"/>
          <w:sz w:val="16"/>
        </w:rPr>
        <w:t> </w:t>
      </w:r>
      <w:r>
        <w:rPr>
          <w:sz w:val="16"/>
        </w:rPr>
        <w:t>T40.4, and T40.6.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0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This</w:t>
      </w:r>
      <w:r>
        <w:rPr>
          <w:spacing w:val="-7"/>
          <w:sz w:val="16"/>
        </w:rPr>
        <w:t> </w:t>
      </w:r>
      <w:r>
        <w:rPr>
          <w:sz w:val="16"/>
        </w:rPr>
        <w:t>report</w:t>
      </w:r>
      <w:r>
        <w:rPr>
          <w:spacing w:val="2"/>
          <w:sz w:val="16"/>
        </w:rPr>
        <w:t> </w:t>
      </w:r>
      <w:r>
        <w:rPr>
          <w:sz w:val="16"/>
        </w:rPr>
        <w:t>tracks</w:t>
      </w:r>
      <w:r>
        <w:rPr>
          <w:spacing w:val="-9"/>
          <w:sz w:val="16"/>
        </w:rPr>
        <w:t> </w:t>
      </w:r>
      <w:r>
        <w:rPr>
          <w:sz w:val="16"/>
        </w:rPr>
        <w:t>all</w:t>
      </w:r>
      <w:r>
        <w:rPr>
          <w:spacing w:val="-8"/>
          <w:sz w:val="16"/>
        </w:rPr>
        <w:t> </w:t>
      </w:r>
      <w:r>
        <w:rPr>
          <w:sz w:val="16"/>
        </w:rPr>
        <w:t>opioid-related</w:t>
      </w:r>
      <w:r>
        <w:rPr>
          <w:spacing w:val="12"/>
          <w:sz w:val="16"/>
        </w:rPr>
        <w:t> </w:t>
      </w:r>
      <w:r>
        <w:rPr>
          <w:sz w:val="16"/>
        </w:rPr>
        <w:t>overdoses</w:t>
      </w:r>
      <w:r>
        <w:rPr>
          <w:spacing w:val="-4"/>
          <w:sz w:val="16"/>
        </w:rPr>
        <w:t> </w:t>
      </w:r>
      <w:r>
        <w:rPr>
          <w:sz w:val="16"/>
        </w:rPr>
        <w:t>due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difficulties</w:t>
      </w:r>
      <w:r>
        <w:rPr>
          <w:spacing w:val="17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reporting</w:t>
      </w:r>
      <w:r>
        <w:rPr>
          <w:spacing w:val="8"/>
          <w:sz w:val="16"/>
        </w:rPr>
        <w:t> </w:t>
      </w:r>
      <w:r>
        <w:rPr>
          <w:sz w:val="16"/>
        </w:rPr>
        <w:t>heroin-associated</w:t>
      </w:r>
      <w:r>
        <w:rPr>
          <w:spacing w:val="13"/>
          <w:sz w:val="16"/>
        </w:rPr>
        <w:t> </w:t>
      </w:r>
      <w:r>
        <w:rPr>
          <w:sz w:val="16"/>
        </w:rPr>
        <w:t>overdoses</w:t>
      </w:r>
      <w:r>
        <w:rPr>
          <w:spacing w:val="-5"/>
          <w:sz w:val="16"/>
        </w:rPr>
        <w:t> </w:t>
      </w:r>
      <w:r>
        <w:rPr>
          <w:sz w:val="16"/>
        </w:rPr>
        <w:t>separately.</w:t>
      </w:r>
      <w:r>
        <w:rPr>
          <w:spacing w:val="-9"/>
          <w:sz w:val="16"/>
        </w:rPr>
        <w:t> </w:t>
      </w:r>
      <w:r>
        <w:rPr>
          <w:sz w:val="16"/>
        </w:rPr>
        <w:t>Many</w:t>
      </w:r>
      <w:r>
        <w:rPr>
          <w:spacing w:val="-9"/>
          <w:sz w:val="16"/>
        </w:rPr>
        <w:t> </w:t>
      </w:r>
      <w:r>
        <w:rPr>
          <w:sz w:val="16"/>
        </w:rPr>
        <w:t>deaths</w:t>
      </w:r>
      <w:r>
        <w:rPr>
          <w:spacing w:val="-9"/>
          <w:sz w:val="16"/>
        </w:rPr>
        <w:t> </w:t>
      </w:r>
      <w:r>
        <w:rPr>
          <w:sz w:val="16"/>
        </w:rPr>
        <w:t>related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heroin</w:t>
      </w:r>
      <w:r>
        <w:rPr>
          <w:spacing w:val="3"/>
          <w:sz w:val="16"/>
        </w:rPr>
        <w:t> </w:t>
      </w:r>
      <w:r>
        <w:rPr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not</w:t>
      </w:r>
      <w:r>
        <w:rPr>
          <w:spacing w:val="4"/>
          <w:sz w:val="16"/>
        </w:rPr>
        <w:t> </w:t>
      </w:r>
      <w:r>
        <w:rPr>
          <w:sz w:val="16"/>
        </w:rPr>
        <w:t>specifically</w:t>
      </w:r>
      <w:r>
        <w:rPr>
          <w:spacing w:val="2"/>
          <w:sz w:val="16"/>
        </w:rPr>
        <w:t> </w:t>
      </w:r>
      <w:r>
        <w:rPr>
          <w:sz w:val="16"/>
        </w:rPr>
        <w:t>coded</w:t>
      </w:r>
      <w:r>
        <w:rPr>
          <w:spacing w:val="-7"/>
          <w:sz w:val="16"/>
        </w:rPr>
        <w:t> </w:t>
      </w:r>
      <w:r>
        <w:rPr>
          <w:sz w:val="16"/>
        </w:rPr>
        <w:t>as</w:t>
      </w:r>
      <w:r>
        <w:rPr>
          <w:spacing w:val="-9"/>
          <w:sz w:val="16"/>
        </w:rPr>
        <w:t> </w:t>
      </w:r>
      <w:r>
        <w:rPr>
          <w:sz w:val="16"/>
        </w:rPr>
        <w:t>such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due</w:t>
      </w:r>
    </w:p>
    <w:p>
      <w:pPr>
        <w:pStyle w:val="BodyText"/>
        <w:spacing w:line="194" w:lineRule="exact" w:before="13"/>
        <w:ind w:left="960"/>
      </w:pP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fast</w:t>
      </w:r>
      <w:r>
        <w:rPr>
          <w:spacing w:val="-10"/>
        </w:rPr>
        <w:t> </w:t>
      </w:r>
      <w:r>
        <w:rPr/>
        <w:t>metabolism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heroin</w:t>
      </w:r>
      <w:r>
        <w:rPr>
          <w:spacing w:val="8"/>
        </w:rPr>
        <w:t> </w:t>
      </w:r>
      <w:r>
        <w:rPr/>
        <w:t>into</w:t>
      </w:r>
      <w:r>
        <w:rPr>
          <w:spacing w:val="-3"/>
        </w:rPr>
        <w:t> </w:t>
      </w:r>
      <w:r>
        <w:rPr>
          <w:spacing w:val="-2"/>
        </w:rPr>
        <w:t>morphine.</w:t>
      </w:r>
    </w:p>
    <w:p>
      <w:pPr>
        <w:pStyle w:val="BodyText"/>
        <w:spacing w:line="188" w:lineRule="exact"/>
        <w:ind w:left="960"/>
      </w:pPr>
      <w:r>
        <w:rPr/>
        <w:t>To</w:t>
      </w:r>
      <w:r>
        <w:rPr>
          <w:spacing w:val="-12"/>
        </w:rPr>
        <w:t> </w:t>
      </w:r>
      <w:r>
        <w:rPr/>
        <w:t>maintain</w:t>
      </w:r>
      <w:r>
        <w:rPr>
          <w:spacing w:val="3"/>
        </w:rPr>
        <w:t> </w:t>
      </w:r>
      <w:r>
        <w:rPr/>
        <w:t>consistency</w:t>
      </w:r>
      <w:r>
        <w:rPr>
          <w:spacing w:val="-1"/>
        </w:rPr>
        <w:t> </w:t>
      </w:r>
      <w:r>
        <w:rPr/>
        <w:t>with</w:t>
      </w:r>
      <w:r>
        <w:rPr>
          <w:spacing w:val="-8"/>
        </w:rPr>
        <w:t> </w:t>
      </w:r>
      <w:r>
        <w:rPr/>
        <w:t>NCHS</w:t>
      </w:r>
      <w:r>
        <w:rPr>
          <w:spacing w:val="-1"/>
        </w:rPr>
        <w:t> </w:t>
      </w:r>
      <w:r>
        <w:rPr/>
        <w:t>reporting,</w:t>
      </w:r>
      <w:r>
        <w:rPr>
          <w:spacing w:val="10"/>
        </w:rPr>
        <w:t> </w:t>
      </w:r>
      <w:r>
        <w:rPr/>
        <w:t>DPH</w:t>
      </w:r>
      <w:r>
        <w:rPr>
          <w:spacing w:val="-7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9"/>
        </w:rPr>
        <w:t> </w:t>
      </w:r>
      <w:r>
        <w:rPr/>
        <w:t>include</w:t>
      </w:r>
      <w:r>
        <w:rPr>
          <w:spacing w:val="6"/>
        </w:rPr>
        <w:t> </w:t>
      </w:r>
      <w:r>
        <w:rPr/>
        <w:t>the</w:t>
      </w:r>
      <w:r>
        <w:rPr>
          <w:spacing w:val="-9"/>
        </w:rPr>
        <w:t> </w:t>
      </w:r>
      <w:r>
        <w:rPr/>
        <w:t>ICD-10</w:t>
      </w:r>
      <w:r>
        <w:rPr>
          <w:spacing w:val="-7"/>
        </w:rPr>
        <w:t> </w:t>
      </w:r>
      <w:r>
        <w:rPr/>
        <w:t>code</w:t>
      </w:r>
      <w:r>
        <w:rPr>
          <w:spacing w:val="-4"/>
        </w:rPr>
        <w:t> </w:t>
      </w:r>
      <w:r>
        <w:rPr/>
        <w:t>F11.1,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</w:t>
      </w:r>
      <w:r>
        <w:rPr>
          <w:spacing w:val="8"/>
        </w:rPr>
        <w:t> </w:t>
      </w:r>
      <w:r>
        <w:rPr/>
        <w:t>opioid-related</w:t>
      </w:r>
      <w:r>
        <w:rPr>
          <w:spacing w:val="15"/>
        </w:rPr>
        <w:t> </w:t>
      </w:r>
      <w:r>
        <w:rPr/>
        <w:t>overdose</w:t>
      </w:r>
      <w:r>
        <w:rPr>
          <w:spacing w:val="-2"/>
        </w:rPr>
        <w:t> death.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2"/>
        <w:jc w:val="left"/>
        <w:rPr>
          <w:sz w:val="16"/>
        </w:rPr>
      </w:pPr>
      <w:r>
        <w:rPr>
          <w:spacing w:val="-2"/>
          <w:sz w:val="16"/>
        </w:rPr>
        <w:t>Beginning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May 2017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report,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DPH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started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reporting</w:t>
      </w:r>
      <w:r>
        <w:rPr>
          <w:spacing w:val="24"/>
          <w:sz w:val="16"/>
        </w:rPr>
        <w:t> </w:t>
      </w:r>
      <w:r>
        <w:rPr>
          <w:spacing w:val="-2"/>
          <w:sz w:val="16"/>
        </w:rPr>
        <w:t>opioid-related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deaths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for</w:t>
      </w:r>
      <w:r>
        <w:rPr>
          <w:sz w:val="16"/>
        </w:rPr>
        <w:t> </w:t>
      </w:r>
      <w:r>
        <w:rPr>
          <w:spacing w:val="-2"/>
          <w:sz w:val="16"/>
        </w:rPr>
        <w:t>all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intents,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which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includes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unintentional/undetermined</w:t>
      </w:r>
      <w:r>
        <w:rPr>
          <w:spacing w:val="73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89" w:lineRule="exact" w:before="6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10"/>
          <w:sz w:val="16"/>
        </w:rPr>
        <w:t> </w:t>
      </w:r>
      <w:r>
        <w:rPr>
          <w:sz w:val="16"/>
        </w:rPr>
        <w:t>Registry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Vital</w:t>
      </w:r>
      <w:r>
        <w:rPr>
          <w:spacing w:val="-5"/>
          <w:sz w:val="16"/>
        </w:rPr>
        <w:t> </w:t>
      </w:r>
      <w:r>
        <w:rPr>
          <w:sz w:val="16"/>
        </w:rPr>
        <w:t>Records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MDPH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4" w:after="0"/>
        <w:ind w:left="959" w:right="0" w:hanging="352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10"/>
          <w:sz w:val="16"/>
        </w:rPr>
        <w:t> </w:t>
      </w:r>
      <w:r>
        <w:rPr>
          <w:sz w:val="16"/>
        </w:rPr>
        <w:t>Office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Chief</w:t>
      </w:r>
      <w:r>
        <w:rPr>
          <w:spacing w:val="14"/>
          <w:sz w:val="16"/>
        </w:rPr>
        <w:t> </w:t>
      </w:r>
      <w:r>
        <w:rPr>
          <w:sz w:val="16"/>
        </w:rPr>
        <w:t>Medical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Examiner</w:t>
      </w:r>
    </w:p>
    <w:sectPr>
      <w:footerReference w:type="default" r:id="rId5"/>
      <w:type w:val="continuous"/>
      <w:pgSz w:w="15840" w:h="12240" w:orient="landscape"/>
      <w:pgMar w:header="0" w:footer="953" w:top="380" w:bottom="1140" w:left="1200" w:right="5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9070340</wp:posOffset>
              </wp:positionH>
              <wp:positionV relativeFrom="page">
                <wp:posOffset>7027643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200012pt;margin-top:553.357788pt;width:6.45pt;height:10.95pt;mso-position-horizontal-relative:page;mso-position-vertical-relative:page;z-index:-162549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9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40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59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4" w:lineRule="exact"/>
      <w:ind w:left="24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98" w:lineRule="exact"/>
      <w:ind w:left="959" w:hanging="35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90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2024-12-30T22:00:20Z</dcterms:created>
  <dcterms:modified xsi:type="dcterms:W3CDTF">2024-12-30T22:00:20Z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D:20190212191443</vt:lpwstr>
  </property>
</Properties>
</file>