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2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1209674"/>
                                </a:moveTo>
                                <a:lnTo>
                                  <a:pt x="8772525" y="1209674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018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75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228599"/>
                                </a:moveTo>
                                <a:lnTo>
                                  <a:pt x="8772525" y="228599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23404" y="1031621"/>
                            <a:ext cx="12115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986" y="1031621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5"/>
                                <w:ind w:left="4995" w:right="1191" w:hanging="1484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Intents by County, MA Residents: 2010-2018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2" coordorigin="0,0" coordsize="13835,1925">
                <v:rect style="position:absolute;left:10;top:10;width:13815;height:1905" id="docshape3" filled="false" stroked="true" strokeweight="1.0pt" strokecolor="#000000">
                  <v:stroke dashstyle="solid"/>
                </v:rect>
                <v:shape style="position:absolute;left:226;top:110;width:1557;height:1447" type="#_x0000_t75" id="docshape4" alt="DPH-logo-B&amp;W" stroked="false">
                  <v:imagedata r:id="rId6" o:title=""/>
                </v:shape>
                <v:rect style="position:absolute;left:10;top:1545;width:13815;height:360" id="docshape5" filled="false" stroked="true" strokeweight=".75pt" strokecolor="#000000">
                  <v:stroke dashstyle="solid"/>
                </v:rect>
                <v:shape style="position:absolute;left:11690;top:1624;width:1908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2020</w:t>
                        </w:r>
                      </w:p>
                    </w:txbxContent>
                  </v:textbox>
                  <w10:wrap type="none"/>
                </v:shape>
                <v:shape style="position:absolute;left:223;top:1624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3795;height:151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5"/>
                          <w:ind w:left="4995" w:right="1191" w:hanging="1484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Intents by County, MA Residents: 2010-2018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23"/>
        <w:ind w:left="0" w:firstLine="0"/>
        <w:rPr>
          <w:rFonts w:ascii="Times New Roman"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996"/>
        <w:gridCol w:w="999"/>
        <w:gridCol w:w="982"/>
        <w:gridCol w:w="989"/>
        <w:gridCol w:w="1136"/>
        <w:gridCol w:w="1136"/>
        <w:gridCol w:w="1122"/>
        <w:gridCol w:w="1137"/>
        <w:gridCol w:w="1136"/>
        <w:gridCol w:w="1786"/>
      </w:tblGrid>
      <w:tr>
        <w:trPr>
          <w:trHeight w:val="520" w:hRule="atLeast"/>
        </w:trPr>
        <w:tc>
          <w:tcPr>
            <w:tcW w:w="243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996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9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98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08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98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11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74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13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6" w:right="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2018</w:t>
            </w:r>
          </w:p>
        </w:tc>
        <w:tc>
          <w:tcPr>
            <w:tcW w:w="1786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493" w:right="485" w:firstLine="2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2010-2018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9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8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8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13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7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445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218</w:t>
            </w:r>
          </w:p>
        </w:tc>
      </w:tr>
      <w:tr>
        <w:trPr>
          <w:trHeight w:val="259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1,387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234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274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277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1,618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834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272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338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399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357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326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2,183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1,112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188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1,074</w:t>
            </w:r>
          </w:p>
        </w:tc>
      </w:tr>
      <w:tr>
        <w:trPr>
          <w:trHeight w:val="261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198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239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255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1,400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1,539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547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954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1,735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2,097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2,051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2,031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12,155</w:t>
            </w:r>
          </w:p>
        </w:tc>
      </w:tr>
    </w:tbl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132" w:hanging="360"/>
        <w:jc w:val="left"/>
        <w:rPr>
          <w:sz w:val="16"/>
        </w:rPr>
      </w:pPr>
      <w:r>
        <w:rPr>
          <w:sz w:val="16"/>
        </w:rPr>
        <w:t>Data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2"/>
          <w:sz w:val="16"/>
        </w:rPr>
        <w:t> </w:t>
      </w:r>
      <w:r>
        <w:rPr>
          <w:sz w:val="16"/>
        </w:rPr>
        <w:t>2017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2018</w:t>
      </w:r>
      <w:r>
        <w:rPr>
          <w:spacing w:val="-1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preliminary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subject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updates.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reviews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evaluated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ongoing</w:t>
      </w:r>
      <w:r>
        <w:rPr>
          <w:spacing w:val="-1"/>
          <w:sz w:val="16"/>
        </w:rPr>
        <w:t> </w:t>
      </w:r>
      <w:r>
        <w:rPr>
          <w:sz w:val="16"/>
        </w:rPr>
        <w:t>basis.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large</w:t>
      </w:r>
      <w:r>
        <w:rPr>
          <w:spacing w:val="-2"/>
          <w:sz w:val="16"/>
        </w:rPr>
        <w:t> </w:t>
      </w:r>
      <w:r>
        <w:rPr>
          <w:sz w:val="16"/>
        </w:rPr>
        <w:t>number of</w:t>
      </w:r>
      <w:r>
        <w:rPr>
          <w:spacing w:val="-2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certificates</w:t>
      </w:r>
      <w:r>
        <w:rPr>
          <w:spacing w:val="-2"/>
          <w:sz w:val="16"/>
        </w:rPr>
        <w:t> </w:t>
      </w:r>
      <w:r>
        <w:rPr>
          <w:sz w:val="16"/>
        </w:rPr>
        <w:t>have</w:t>
      </w:r>
      <w:r>
        <w:rPr>
          <w:spacing w:val="40"/>
          <w:sz w:val="16"/>
        </w:rPr>
        <w:t> </w:t>
      </w:r>
      <w:r>
        <w:rPr>
          <w:sz w:val="16"/>
        </w:rPr>
        <w:t>yet to be assigned final cause of death codes. 2017 and 2018 counts are based on the estimates rather than confirmed cases. Data updated on 1/3/2020.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Numbers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calculations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values</w:t>
      </w:r>
      <w:r>
        <w:rPr>
          <w:spacing w:val="-3"/>
          <w:sz w:val="16"/>
        </w:rPr>
        <w:t> </w:t>
      </w:r>
      <w:r>
        <w:rPr>
          <w:sz w:val="16"/>
        </w:rPr>
        <w:t>less</w:t>
      </w:r>
      <w:r>
        <w:rPr>
          <w:spacing w:val="-2"/>
          <w:sz w:val="16"/>
        </w:rPr>
        <w:t> </w:t>
      </w:r>
      <w:r>
        <w:rPr>
          <w:sz w:val="16"/>
        </w:rPr>
        <w:t>than</w:t>
      </w:r>
      <w:r>
        <w:rPr>
          <w:spacing w:val="-4"/>
          <w:sz w:val="16"/>
        </w:rPr>
        <w:t> </w:t>
      </w:r>
      <w:r>
        <w:rPr>
          <w:sz w:val="16"/>
        </w:rPr>
        <w:t>5</w:t>
      </w:r>
      <w:r>
        <w:rPr>
          <w:spacing w:val="-3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suppressed</w:t>
      </w:r>
      <w:r>
        <w:rPr>
          <w:spacing w:val="-4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years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file</w:t>
      </w:r>
      <w:r>
        <w:rPr>
          <w:spacing w:val="-2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yet</w:t>
      </w:r>
      <w:r>
        <w:rPr>
          <w:spacing w:val="-3"/>
          <w:sz w:val="16"/>
        </w:rPr>
        <w:t> </w:t>
      </w:r>
      <w:r>
        <w:rPr>
          <w:sz w:val="16"/>
        </w:rPr>
        <w:t>closed</w:t>
      </w:r>
      <w:r>
        <w:rPr>
          <w:spacing w:val="-3"/>
          <w:sz w:val="16"/>
        </w:rPr>
        <w:t> </w:t>
      </w:r>
      <w:r>
        <w:rPr>
          <w:sz w:val="16"/>
        </w:rPr>
        <w:t>if</w:t>
      </w:r>
      <w:r>
        <w:rPr>
          <w:spacing w:val="-4"/>
          <w:sz w:val="16"/>
        </w:rPr>
        <w:t> </w:t>
      </w:r>
      <w:r>
        <w:rPr>
          <w:sz w:val="16"/>
        </w:rPr>
        <w:t>they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pending</w:t>
      </w:r>
      <w:r>
        <w:rPr>
          <w:spacing w:val="-2"/>
          <w:sz w:val="16"/>
        </w:rPr>
        <w:t> cases.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6"/>
          <w:sz w:val="16"/>
        </w:rPr>
        <w:t> </w:t>
      </w:r>
      <w:r>
        <w:rPr>
          <w:sz w:val="16"/>
        </w:rPr>
        <w:t>note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4"/>
          <w:sz w:val="16"/>
        </w:rPr>
        <w:t> </w:t>
      </w:r>
      <w:r>
        <w:rPr>
          <w:sz w:val="16"/>
        </w:rPr>
        <w:t>some</w:t>
      </w:r>
      <w:r>
        <w:rPr>
          <w:spacing w:val="-4"/>
          <w:sz w:val="16"/>
        </w:rPr>
        <w:t> </w:t>
      </w:r>
      <w:r>
        <w:rPr>
          <w:sz w:val="16"/>
        </w:rPr>
        <w:t>totals</w:t>
      </w:r>
      <w:r>
        <w:rPr>
          <w:spacing w:val="-3"/>
          <w:sz w:val="16"/>
        </w:rPr>
        <w:t> </w:t>
      </w:r>
      <w:r>
        <w:rPr>
          <w:sz w:val="16"/>
        </w:rPr>
        <w:t>may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add</w:t>
      </w:r>
      <w:r>
        <w:rPr>
          <w:spacing w:val="-4"/>
          <w:sz w:val="16"/>
        </w:rPr>
        <w:t> </w:t>
      </w:r>
      <w:r>
        <w:rPr>
          <w:sz w:val="16"/>
        </w:rPr>
        <w:t>up</w:t>
      </w:r>
      <w:r>
        <w:rPr>
          <w:spacing w:val="-3"/>
          <w:sz w:val="16"/>
        </w:rPr>
        <w:t> </w:t>
      </w:r>
      <w:r>
        <w:rPr>
          <w:sz w:val="16"/>
        </w:rPr>
        <w:t>due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with</w:t>
      </w:r>
      <w:r>
        <w:rPr>
          <w:spacing w:val="-4"/>
          <w:sz w:val="16"/>
        </w:rPr>
        <w:t> </w:t>
      </w:r>
      <w:r>
        <w:rPr>
          <w:sz w:val="16"/>
        </w:rPr>
        <w:t>unknown</w:t>
      </w:r>
      <w:r>
        <w:rPr>
          <w:spacing w:val="-4"/>
          <w:sz w:val="16"/>
        </w:rPr>
        <w:t> </w:t>
      </w:r>
      <w:r>
        <w:rPr>
          <w:sz w:val="16"/>
        </w:rPr>
        <w:t>city/town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residence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rounding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counts.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Opioids</w:t>
      </w:r>
      <w:r>
        <w:rPr>
          <w:spacing w:val="-7"/>
          <w:sz w:val="16"/>
        </w:rPr>
        <w:t> </w:t>
      </w:r>
      <w:r>
        <w:rPr>
          <w:sz w:val="16"/>
        </w:rPr>
        <w:t>include</w:t>
      </w:r>
      <w:r>
        <w:rPr>
          <w:spacing w:val="-6"/>
          <w:sz w:val="16"/>
        </w:rPr>
        <w:t> </w:t>
      </w:r>
      <w:r>
        <w:rPr>
          <w:sz w:val="16"/>
        </w:rPr>
        <w:t>heroin,</w:t>
      </w:r>
      <w:r>
        <w:rPr>
          <w:spacing w:val="-5"/>
          <w:sz w:val="16"/>
        </w:rPr>
        <w:t> </w:t>
      </w:r>
      <w:r>
        <w:rPr>
          <w:sz w:val="16"/>
        </w:rPr>
        <w:t>illicitly</w:t>
      </w:r>
      <w:r>
        <w:rPr>
          <w:spacing w:val="-6"/>
          <w:sz w:val="16"/>
        </w:rPr>
        <w:t> </w:t>
      </w:r>
      <w:r>
        <w:rPr>
          <w:sz w:val="16"/>
        </w:rPr>
        <w:t>manufactured</w:t>
      </w:r>
      <w:r>
        <w:rPr>
          <w:spacing w:val="-6"/>
          <w:sz w:val="16"/>
        </w:rPr>
        <w:t> </w:t>
      </w:r>
      <w:r>
        <w:rPr>
          <w:sz w:val="16"/>
        </w:rPr>
        <w:t>fentanyl,</w:t>
      </w:r>
      <w:r>
        <w:rPr>
          <w:spacing w:val="-6"/>
          <w:sz w:val="16"/>
        </w:rPr>
        <w:t> </w:t>
      </w:r>
      <w:r>
        <w:rPr>
          <w:sz w:val="16"/>
        </w:rPr>
        <w:t>opioid-based</w:t>
      </w:r>
      <w:r>
        <w:rPr>
          <w:spacing w:val="-6"/>
          <w:sz w:val="16"/>
        </w:rPr>
        <w:t> </w:t>
      </w:r>
      <w:r>
        <w:rPr>
          <w:sz w:val="16"/>
        </w:rPr>
        <w:t>prescription</w:t>
      </w:r>
      <w:r>
        <w:rPr>
          <w:spacing w:val="-6"/>
          <w:sz w:val="16"/>
        </w:rPr>
        <w:t> </w:t>
      </w:r>
      <w:r>
        <w:rPr>
          <w:sz w:val="16"/>
        </w:rPr>
        <w:t>painkillers,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6"/>
          <w:sz w:val="16"/>
        </w:rPr>
        <w:t> </w:t>
      </w:r>
      <w:r>
        <w:rPr>
          <w:sz w:val="16"/>
        </w:rPr>
        <w:t>other</w:t>
      </w:r>
      <w:r>
        <w:rPr>
          <w:spacing w:val="-6"/>
          <w:sz w:val="16"/>
        </w:rPr>
        <w:t> </w:t>
      </w:r>
      <w:r>
        <w:rPr>
          <w:sz w:val="16"/>
        </w:rPr>
        <w:t>unspecified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opioids.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1204" w:hanging="360"/>
        <w:jc w:val="left"/>
        <w:rPr>
          <w:sz w:val="16"/>
        </w:rPr>
      </w:pPr>
      <w:r>
        <w:rPr>
          <w:sz w:val="16"/>
        </w:rPr>
        <w:t>Beginning</w:t>
      </w:r>
      <w:r>
        <w:rPr>
          <w:spacing w:val="-1"/>
          <w:sz w:val="16"/>
        </w:rPr>
        <w:t> </w:t>
      </w:r>
      <w:r>
        <w:rPr>
          <w:sz w:val="16"/>
        </w:rPr>
        <w:t>with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August</w:t>
      </w:r>
      <w:r>
        <w:rPr>
          <w:spacing w:val="-2"/>
          <w:sz w:val="16"/>
        </w:rPr>
        <w:t> </w:t>
      </w:r>
      <w:r>
        <w:rPr>
          <w:sz w:val="16"/>
        </w:rPr>
        <w:t>2019</w:t>
      </w:r>
      <w:r>
        <w:rPr>
          <w:spacing w:val="-1"/>
          <w:sz w:val="16"/>
        </w:rPr>
        <w:t> </w:t>
      </w:r>
      <w:r>
        <w:rPr>
          <w:sz w:val="16"/>
        </w:rPr>
        <w:t>report,</w:t>
      </w:r>
      <w:r>
        <w:rPr>
          <w:spacing w:val="-1"/>
          <w:sz w:val="16"/>
        </w:rPr>
        <w:t> </w:t>
      </w:r>
      <w:r>
        <w:rPr>
          <w:sz w:val="16"/>
        </w:rPr>
        <w:t>DPH</w:t>
      </w:r>
      <w:r>
        <w:rPr>
          <w:spacing w:val="-1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definition</w:t>
      </w:r>
      <w:r>
        <w:rPr>
          <w:spacing w:val="-2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identify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match the</w:t>
      </w:r>
      <w:r>
        <w:rPr>
          <w:spacing w:val="-3"/>
          <w:sz w:val="16"/>
        </w:rPr>
        <w:t> </w:t>
      </w:r>
      <w:r>
        <w:rPr>
          <w:sz w:val="16"/>
        </w:rPr>
        <w:t>CDC’s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definition.</w:t>
      </w:r>
      <w:r>
        <w:rPr>
          <w:spacing w:val="-1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following</w:t>
      </w:r>
      <w:r>
        <w:rPr>
          <w:spacing w:val="-1"/>
          <w:sz w:val="16"/>
        </w:rPr>
        <w:t> </w:t>
      </w:r>
      <w:r>
        <w:rPr>
          <w:sz w:val="16"/>
        </w:rPr>
        <w:t>International</w:t>
      </w:r>
      <w:r>
        <w:rPr>
          <w:spacing w:val="40"/>
          <w:sz w:val="16"/>
        </w:rPr>
        <w:t> </w:t>
      </w:r>
      <w:r>
        <w:rPr>
          <w:sz w:val="16"/>
        </w:rPr>
        <w:t>Classification of Disease (ICD-10) codes for mortality were selected from the underlying cause of death field to identify poisonings/overdoses: X40-X44, X60-X64, X85, and</w:t>
      </w:r>
      <w:r>
        <w:rPr>
          <w:spacing w:val="-2"/>
          <w:sz w:val="16"/>
        </w:rPr>
        <w:t> </w:t>
      </w:r>
      <w:r>
        <w:rPr>
          <w:sz w:val="16"/>
        </w:rPr>
        <w:t>Y10-Y14. All</w:t>
      </w:r>
      <w:r>
        <w:rPr>
          <w:spacing w:val="40"/>
          <w:sz w:val="16"/>
        </w:rPr>
        <w:t> </w:t>
      </w:r>
      <w:r>
        <w:rPr>
          <w:sz w:val="16"/>
        </w:rPr>
        <w:t>multiple cause of death fields were then used to identify an opioid-related overdose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028" w:hanging="360"/>
        <w:jc w:val="left"/>
        <w:rPr>
          <w:sz w:val="16"/>
        </w:rPr>
      </w:pPr>
      <w:r>
        <w:rPr>
          <w:sz w:val="16"/>
        </w:rPr>
        <w:t>This</w:t>
      </w:r>
      <w:r>
        <w:rPr>
          <w:spacing w:val="-2"/>
          <w:sz w:val="16"/>
        </w:rPr>
        <w:t> </w:t>
      </w:r>
      <w:r>
        <w:rPr>
          <w:sz w:val="16"/>
        </w:rPr>
        <w:t>report</w:t>
      </w:r>
      <w:r>
        <w:rPr>
          <w:spacing w:val="-1"/>
          <w:sz w:val="16"/>
        </w:rPr>
        <w:t> </w:t>
      </w:r>
      <w:r>
        <w:rPr>
          <w:sz w:val="16"/>
        </w:rPr>
        <w:t>tracks</w:t>
      </w:r>
      <w:r>
        <w:rPr>
          <w:spacing w:val="-2"/>
          <w:sz w:val="16"/>
        </w:rPr>
        <w:t> </w:t>
      </w:r>
      <w:r>
        <w:rPr>
          <w:sz w:val="16"/>
        </w:rPr>
        <w:t>all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due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difficulties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reporting</w:t>
      </w:r>
      <w:r>
        <w:rPr>
          <w:spacing w:val="-1"/>
          <w:sz w:val="16"/>
        </w:rPr>
        <w:t> </w:t>
      </w:r>
      <w:r>
        <w:rPr>
          <w:sz w:val="16"/>
        </w:rPr>
        <w:t>heroin-associated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separately.</w:t>
      </w:r>
      <w:r>
        <w:rPr>
          <w:spacing w:val="-1"/>
          <w:sz w:val="16"/>
        </w:rPr>
        <w:t> </w:t>
      </w:r>
      <w:r>
        <w:rPr>
          <w:sz w:val="16"/>
        </w:rPr>
        <w:t>Many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related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heroin are</w:t>
      </w:r>
      <w:r>
        <w:rPr>
          <w:spacing w:val="-2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specifically</w:t>
      </w:r>
      <w:r>
        <w:rPr>
          <w:spacing w:val="-1"/>
          <w:sz w:val="16"/>
        </w:rPr>
        <w:t> </w:t>
      </w:r>
      <w:r>
        <w:rPr>
          <w:sz w:val="16"/>
        </w:rPr>
        <w:t>coded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such</w:t>
      </w:r>
      <w:r>
        <w:rPr>
          <w:spacing w:val="-1"/>
          <w:sz w:val="16"/>
        </w:rPr>
        <w:t> </w:t>
      </w:r>
      <w:r>
        <w:rPr>
          <w:sz w:val="16"/>
        </w:rPr>
        <w:t>due</w:t>
      </w:r>
      <w:r>
        <w:rPr>
          <w:spacing w:val="40"/>
          <w:sz w:val="16"/>
        </w:rPr>
        <w:t> </w:t>
      </w:r>
      <w:r>
        <w:rPr>
          <w:sz w:val="16"/>
        </w:rPr>
        <w:t>to the fast metabolism of heroin into morphine.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To</w:t>
      </w:r>
      <w:r>
        <w:rPr>
          <w:spacing w:val="-7"/>
          <w:sz w:val="16"/>
        </w:rPr>
        <w:t> </w:t>
      </w:r>
      <w:r>
        <w:rPr>
          <w:sz w:val="16"/>
        </w:rPr>
        <w:t>maintain</w:t>
      </w:r>
      <w:r>
        <w:rPr>
          <w:spacing w:val="-5"/>
          <w:sz w:val="16"/>
        </w:rPr>
        <w:t> </w:t>
      </w:r>
      <w:r>
        <w:rPr>
          <w:sz w:val="16"/>
        </w:rPr>
        <w:t>consistency</w:t>
      </w:r>
      <w:r>
        <w:rPr>
          <w:spacing w:val="-5"/>
          <w:sz w:val="16"/>
        </w:rPr>
        <w:t> </w:t>
      </w:r>
      <w:r>
        <w:rPr>
          <w:sz w:val="16"/>
        </w:rPr>
        <w:t>with</w:t>
      </w:r>
      <w:r>
        <w:rPr>
          <w:spacing w:val="-5"/>
          <w:sz w:val="16"/>
        </w:rPr>
        <w:t> </w:t>
      </w:r>
      <w:r>
        <w:rPr>
          <w:sz w:val="16"/>
        </w:rPr>
        <w:t>NCHS</w:t>
      </w:r>
      <w:r>
        <w:rPr>
          <w:spacing w:val="-4"/>
          <w:sz w:val="16"/>
        </w:rPr>
        <w:t> </w:t>
      </w:r>
      <w:r>
        <w:rPr>
          <w:sz w:val="16"/>
        </w:rPr>
        <w:t>reporting,</w:t>
      </w:r>
      <w:r>
        <w:rPr>
          <w:spacing w:val="-3"/>
          <w:sz w:val="16"/>
        </w:rPr>
        <w:t> </w:t>
      </w:r>
      <w:r>
        <w:rPr>
          <w:sz w:val="16"/>
        </w:rPr>
        <w:t>DPH</w:t>
      </w:r>
      <w:r>
        <w:rPr>
          <w:spacing w:val="-3"/>
          <w:sz w:val="16"/>
        </w:rPr>
        <w:t> </w:t>
      </w:r>
      <w:r>
        <w:rPr>
          <w:sz w:val="16"/>
        </w:rPr>
        <w:t>does</w:t>
      </w:r>
      <w:r>
        <w:rPr>
          <w:spacing w:val="-5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ICD-10</w:t>
      </w:r>
      <w:r>
        <w:rPr>
          <w:spacing w:val="-3"/>
          <w:sz w:val="16"/>
        </w:rPr>
        <w:t> </w:t>
      </w:r>
      <w:r>
        <w:rPr>
          <w:sz w:val="16"/>
        </w:rPr>
        <w:t>code</w:t>
      </w:r>
      <w:r>
        <w:rPr>
          <w:spacing w:val="-6"/>
          <w:sz w:val="16"/>
        </w:rPr>
        <w:t> </w:t>
      </w:r>
      <w:r>
        <w:rPr>
          <w:sz w:val="16"/>
        </w:rPr>
        <w:t>F11.1,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5"/>
          <w:sz w:val="16"/>
        </w:rPr>
        <w:t> </w:t>
      </w:r>
      <w:r>
        <w:rPr>
          <w:sz w:val="16"/>
        </w:rPr>
        <w:t>may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5"/>
          <w:sz w:val="16"/>
        </w:rPr>
        <w:t> </w:t>
      </w:r>
      <w:r>
        <w:rPr>
          <w:sz w:val="16"/>
        </w:rPr>
        <w:t>overdose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deaths.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0" w:hanging="360"/>
        <w:jc w:val="left"/>
        <w:rPr>
          <w:sz w:val="16"/>
        </w:rPr>
      </w:pPr>
      <w:r>
        <w:rPr>
          <w:sz w:val="16"/>
        </w:rPr>
        <w:t>Beginning</w:t>
      </w:r>
      <w:r>
        <w:rPr>
          <w:spacing w:val="-7"/>
          <w:sz w:val="16"/>
        </w:rPr>
        <w:t> </w:t>
      </w:r>
      <w:r>
        <w:rPr>
          <w:sz w:val="16"/>
        </w:rPr>
        <w:t>with</w:t>
      </w:r>
      <w:r>
        <w:rPr>
          <w:spacing w:val="-6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May</w:t>
      </w:r>
      <w:r>
        <w:rPr>
          <w:spacing w:val="-6"/>
          <w:sz w:val="16"/>
        </w:rPr>
        <w:t> </w:t>
      </w:r>
      <w:r>
        <w:rPr>
          <w:sz w:val="16"/>
        </w:rPr>
        <w:t>2017</w:t>
      </w:r>
      <w:r>
        <w:rPr>
          <w:spacing w:val="-4"/>
          <w:sz w:val="16"/>
        </w:rPr>
        <w:t> </w:t>
      </w:r>
      <w:r>
        <w:rPr>
          <w:sz w:val="16"/>
        </w:rPr>
        <w:t>report,</w:t>
      </w:r>
      <w:r>
        <w:rPr>
          <w:spacing w:val="-5"/>
          <w:sz w:val="16"/>
        </w:rPr>
        <w:t> </w:t>
      </w:r>
      <w:r>
        <w:rPr>
          <w:sz w:val="16"/>
        </w:rPr>
        <w:t>DPH</w:t>
      </w:r>
      <w:r>
        <w:rPr>
          <w:spacing w:val="-5"/>
          <w:sz w:val="16"/>
        </w:rPr>
        <w:t> </w:t>
      </w:r>
      <w:r>
        <w:rPr>
          <w:sz w:val="16"/>
        </w:rPr>
        <w:t>started</w:t>
      </w:r>
      <w:r>
        <w:rPr>
          <w:spacing w:val="-5"/>
          <w:sz w:val="16"/>
        </w:rPr>
        <w:t> </w:t>
      </w:r>
      <w:r>
        <w:rPr>
          <w:sz w:val="16"/>
        </w:rPr>
        <w:t>reporting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4"/>
          <w:sz w:val="16"/>
        </w:rPr>
        <w:t> </w:t>
      </w:r>
      <w:r>
        <w:rPr>
          <w:sz w:val="16"/>
        </w:rPr>
        <w:t>overdose</w:t>
      </w:r>
      <w:r>
        <w:rPr>
          <w:spacing w:val="-6"/>
          <w:sz w:val="16"/>
        </w:rPr>
        <w:t> </w:t>
      </w:r>
      <w:r>
        <w:rPr>
          <w:sz w:val="16"/>
        </w:rPr>
        <w:t>deaths</w:t>
      </w:r>
      <w:r>
        <w:rPr>
          <w:spacing w:val="-5"/>
          <w:sz w:val="16"/>
        </w:rPr>
        <w:t> </w:t>
      </w:r>
      <w:r>
        <w:rPr>
          <w:sz w:val="16"/>
        </w:rPr>
        <w:t>for</w:t>
      </w:r>
      <w:r>
        <w:rPr>
          <w:spacing w:val="-6"/>
          <w:sz w:val="16"/>
        </w:rPr>
        <w:t> </w:t>
      </w:r>
      <w:r>
        <w:rPr>
          <w:sz w:val="16"/>
        </w:rPr>
        <w:t>all</w:t>
      </w:r>
      <w:r>
        <w:rPr>
          <w:spacing w:val="-4"/>
          <w:sz w:val="16"/>
        </w:rPr>
        <w:t> </w:t>
      </w:r>
      <w:r>
        <w:rPr>
          <w:sz w:val="16"/>
        </w:rPr>
        <w:t>intents,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6"/>
          <w:sz w:val="16"/>
        </w:rPr>
        <w:t> </w:t>
      </w:r>
      <w:r>
        <w:rPr>
          <w:sz w:val="16"/>
        </w:rPr>
        <w:t>includes</w:t>
      </w:r>
      <w:r>
        <w:rPr>
          <w:spacing w:val="-5"/>
          <w:sz w:val="16"/>
        </w:rPr>
        <w:t> </w:t>
      </w:r>
      <w:r>
        <w:rPr>
          <w:sz w:val="16"/>
        </w:rPr>
        <w:t>unintentional/undetermined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suicide.</w:t>
      </w:r>
    </w:p>
    <w:p>
      <w:pPr>
        <w:pStyle w:val="Heading1"/>
        <w:spacing w:line="194" w:lineRule="exact" w:before="49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4"/>
          <w:sz w:val="16"/>
        </w:rPr>
        <w:t> </w:t>
      </w:r>
      <w:r>
        <w:rPr>
          <w:sz w:val="16"/>
        </w:rPr>
        <w:t>Registry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Vital</w:t>
      </w:r>
      <w:r>
        <w:rPr>
          <w:spacing w:val="-6"/>
          <w:sz w:val="16"/>
        </w:rPr>
        <w:t> </w:t>
      </w:r>
      <w:r>
        <w:rPr>
          <w:sz w:val="16"/>
        </w:rPr>
        <w:t>Records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Statistics,</w:t>
      </w:r>
      <w:r>
        <w:rPr>
          <w:spacing w:val="-4"/>
          <w:sz w:val="16"/>
        </w:rPr>
        <w:t> MDPH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5"/>
          <w:sz w:val="16"/>
        </w:rPr>
        <w:t> </w:t>
      </w:r>
      <w:r>
        <w:rPr>
          <w:sz w:val="16"/>
        </w:rPr>
        <w:t>Office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Chief</w:t>
      </w:r>
      <w:r>
        <w:rPr>
          <w:spacing w:val="-5"/>
          <w:sz w:val="16"/>
        </w:rPr>
        <w:t> </w:t>
      </w:r>
      <w:r>
        <w:rPr>
          <w:sz w:val="16"/>
        </w:rPr>
        <w:t>Medical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Examiner</w:t>
      </w:r>
    </w:p>
    <w:sectPr>
      <w:footerReference w:type="default" r:id="rId5"/>
      <w:type w:val="continuous"/>
      <w:pgSz w:w="15840" w:h="12240" w:orient="landscape"/>
      <w:pgMar w:header="0" w:footer="930" w:top="380" w:bottom="1120" w:left="1220" w:right="5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3200">
              <wp:simplePos x="0" y="0"/>
              <wp:positionH relativeFrom="page">
                <wp:posOffset>9076181</wp:posOffset>
              </wp:positionH>
              <wp:positionV relativeFrom="page">
                <wp:posOffset>7042119</wp:posOffset>
              </wp:positionV>
              <wp:extent cx="825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0" w:firstLine="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4.659973pt;margin-top:554.49762pt;width:6.5pt;height:11pt;mso-position-horizontal-relative:page;mso-position-vertical-relative:page;z-index:-160332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0" w:firstLine="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40" w:hanging="360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22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4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right="9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2024-12-30T21:04:17Z</dcterms:created>
  <dcterms:modified xsi:type="dcterms:W3CDTF">2024-12-30T21:04:17Z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