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1209675"/>
                                </a:lnTo>
                                <a:lnTo>
                                  <a:pt x="0" y="1209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981049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73" y="72478"/>
                            <a:ext cx="942287" cy="875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7421371" y="1031366"/>
                            <a:ext cx="9613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1986" y="1031366"/>
                            <a:ext cx="2052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1"/>
                                <w:ind w:left="4994" w:right="1190" w:hanging="1481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Intents by County, MA Residents: 2013-2023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1" coordorigin="0,0" coordsize="13835,1925">
                <v:rect style="position:absolute;left:10;top:10;width:13815;height:1905" id="docshape2" filled="false" stroked="true" strokeweight="1pt" strokecolor="#000000">
                  <v:stroke dashstyle="solid"/>
                </v:rect>
                <v:rect style="position:absolute;left:10;top:1544;width:13815;height:360" id="docshape3" filled="false" stroked="true" strokeweight=".75pt" strokecolor="#000000">
                  <v:stroke dashstyle="solid"/>
                </v:rect>
                <v:shape style="position:absolute;left:224;top:114;width:1484;height:1379" type="#_x0000_t75" id="docshape4" alt="DPH-logo-B&amp;W 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687;top:1624;width:1514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JUNE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33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7" filled="false" stroked="false">
                  <v:textbox inset="0,0,0,0">
                    <w:txbxContent>
                      <w:p>
                        <w:pPr>
                          <w:spacing w:before="261"/>
                          <w:ind w:left="4994" w:right="1190" w:hanging="1481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Intents by County, MA Residents: 2013-2023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 w:firstLine="0"/>
        <w:rPr>
          <w:rFonts w:ascii="Times New Roman"/>
          <w:sz w:val="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4"/>
        <w:gridCol w:w="790"/>
        <w:gridCol w:w="806"/>
        <w:gridCol w:w="885"/>
        <w:gridCol w:w="985"/>
        <w:gridCol w:w="761"/>
        <w:gridCol w:w="797"/>
        <w:gridCol w:w="798"/>
        <w:gridCol w:w="797"/>
        <w:gridCol w:w="797"/>
        <w:gridCol w:w="798"/>
        <w:gridCol w:w="797"/>
        <w:gridCol w:w="1006"/>
        <w:gridCol w:w="1565"/>
      </w:tblGrid>
      <w:tr>
        <w:trPr>
          <w:trHeight w:val="473" w:hRule="atLeast"/>
        </w:trPr>
        <w:tc>
          <w:tcPr>
            <w:tcW w:w="210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County</w:t>
            </w:r>
          </w:p>
        </w:tc>
        <w:tc>
          <w:tcPr>
            <w:tcW w:w="11582" w:type="dxa"/>
            <w:gridSpan w:val="13"/>
            <w:tcBorders>
              <w:left w:val="single" w:sz="8" w:space="0" w:color="000000"/>
            </w:tcBorders>
          </w:tcPr>
          <w:p>
            <w:pPr>
              <w:pStyle w:val="TableParagraph"/>
              <w:spacing w:before="147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Death</w:t>
            </w:r>
          </w:p>
        </w:tc>
      </w:tr>
      <w:tr>
        <w:trPr>
          <w:trHeight w:val="240" w:hRule="atLeast"/>
        </w:trPr>
        <w:tc>
          <w:tcPr>
            <w:tcW w:w="21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2013</w:t>
            </w:r>
          </w:p>
        </w:tc>
        <w:tc>
          <w:tcPr>
            <w:tcW w:w="8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2014</w:t>
            </w:r>
          </w:p>
        </w:tc>
        <w:tc>
          <w:tcPr>
            <w:tcW w:w="8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2015</w:t>
            </w:r>
          </w:p>
        </w:tc>
        <w:tc>
          <w:tcPr>
            <w:tcW w:w="9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2016</w:t>
            </w:r>
          </w:p>
        </w:tc>
        <w:tc>
          <w:tcPr>
            <w:tcW w:w="7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2017</w:t>
            </w:r>
          </w:p>
        </w:tc>
        <w:tc>
          <w:tcPr>
            <w:tcW w:w="7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7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7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7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4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2"/>
              <w:ind w:left="100" w:right="118" w:firstLine="19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 2013-2023</w:t>
            </w:r>
          </w:p>
        </w:tc>
        <w:tc>
          <w:tcPr>
            <w:tcW w:w="1565" w:type="dxa"/>
            <w:tcBorders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1"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Percent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Change</w:t>
            </w:r>
          </w:p>
        </w:tc>
      </w:tr>
      <w:tr>
        <w:trPr>
          <w:trHeight w:val="225" w:hRule="atLeast"/>
        </w:trPr>
        <w:tc>
          <w:tcPr>
            <w:tcW w:w="21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left="2"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vs.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000000"/>
              <w:bottom w:val="single" w:sz="8" w:space="0" w:color="C0C0C0"/>
            </w:tcBorders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Barnstable</w:t>
            </w:r>
          </w:p>
        </w:tc>
        <w:tc>
          <w:tcPr>
            <w:tcW w:w="790" w:type="dxa"/>
            <w:tcBorders>
              <w:top w:val="single" w:sz="8" w:space="0" w:color="00000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4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17.2%</w:t>
            </w:r>
          </w:p>
        </w:tc>
      </w:tr>
      <w:tr>
        <w:trPr>
          <w:trHeight w:val="225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Berkshire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441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3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Bristol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233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261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2453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3" w:lineRule="exact" w:before="44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5.4%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Dukes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3" w:lineRule="exact" w:before="44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Essex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236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274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251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277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2720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3" w:lineRule="exact" w:before="44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21.7%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Franklin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211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4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7.7%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Hampden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" w:right="100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4" w:right="1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9" w:right="12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" w:right="12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1771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4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0.4%</w:t>
            </w:r>
          </w:p>
        </w:tc>
      </w:tr>
      <w:tr>
        <w:trPr>
          <w:trHeight w:val="225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Hampshire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357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3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21.6%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Middlesex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341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402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358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3480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3" w:lineRule="exact" w:before="44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-20.8%*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Nantucket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3" w:lineRule="exact" w:before="44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Norfolk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1693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3" w:lineRule="exact" w:before="44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3.1%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Plymouth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1785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4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18.9%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Suffolk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" w:right="100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242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4" w:right="1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9" w:right="12"/>
              <w:rPr>
                <w:sz w:val="16"/>
              </w:rPr>
            </w:pP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295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left="1" w:right="12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330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2598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</w:tcPr>
          <w:p>
            <w:pPr>
              <w:pStyle w:val="TableParagraph"/>
              <w:spacing w:line="164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8.6%</w:t>
            </w:r>
          </w:p>
        </w:tc>
      </w:tr>
      <w:tr>
        <w:trPr>
          <w:trHeight w:val="226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Worcester</w:t>
            </w:r>
          </w:p>
        </w:tc>
        <w:tc>
          <w:tcPr>
            <w:tcW w:w="790" w:type="dxa"/>
            <w:tcBorders>
              <w:top w:val="single" w:sz="8" w:space="0" w:color="C0C0C0"/>
              <w:bottom w:val="single" w:sz="4" w:space="0" w:color="F1F1F1"/>
              <w:right w:val="single" w:sz="4" w:space="0" w:color="BEBEBE"/>
            </w:tcBorders>
            <w:shd w:val="clear" w:color="auto" w:fill="FFFF99"/>
          </w:tcPr>
          <w:p>
            <w:pPr>
              <w:pStyle w:val="TableParagraph"/>
              <w:spacing w:before="21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06" w:type="dxa"/>
            <w:tcBorders>
              <w:top w:val="single" w:sz="8" w:space="0" w:color="C0C0C0"/>
              <w:left w:val="single" w:sz="4" w:space="0" w:color="BEBEBE"/>
              <w:bottom w:val="single" w:sz="4" w:space="0" w:color="F1F1F1"/>
              <w:right w:val="single" w:sz="4" w:space="0" w:color="BEBEBE"/>
            </w:tcBorders>
            <w:shd w:val="clear" w:color="auto" w:fill="FFFF99"/>
          </w:tcPr>
          <w:p>
            <w:pPr>
              <w:pStyle w:val="TableParagraph"/>
              <w:spacing w:before="21"/>
              <w:ind w:left="1" w:right="101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4" w:space="0" w:color="BEBEBE"/>
              <w:bottom w:val="single" w:sz="4" w:space="0" w:color="F1F1F1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251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15" w:right="15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2"/>
              <w:rPr>
                <w:sz w:val="16"/>
              </w:rPr>
            </w:pPr>
            <w:r>
              <w:rPr>
                <w:spacing w:val="-5"/>
                <w:sz w:val="16"/>
              </w:rPr>
              <w:t>267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8" w:right="15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left="7" w:right="15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331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5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>
            <w:pPr>
              <w:pStyle w:val="TableParagraph"/>
              <w:spacing w:before="21"/>
              <w:ind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2710</w:t>
            </w:r>
          </w:p>
        </w:tc>
        <w:tc>
          <w:tcPr>
            <w:tcW w:w="1565" w:type="dxa"/>
            <w:tcBorders>
              <w:top w:val="nil"/>
              <w:left w:val="single" w:sz="8" w:space="0" w:color="C0C0C0"/>
              <w:bottom w:val="nil"/>
            </w:tcBorders>
            <w:shd w:val="clear" w:color="auto" w:fill="FFFF99"/>
          </w:tcPr>
          <w:p>
            <w:pPr>
              <w:pStyle w:val="TableParagraph"/>
              <w:spacing w:line="163" w:lineRule="exact" w:before="42"/>
              <w:ind w:left="1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16.0%</w:t>
            </w:r>
          </w:p>
        </w:tc>
      </w:tr>
      <w:tr>
        <w:trPr>
          <w:trHeight w:val="227" w:hRule="atLeast"/>
        </w:trPr>
        <w:tc>
          <w:tcPr>
            <w:tcW w:w="2104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Deaths</w:t>
            </w:r>
          </w:p>
        </w:tc>
        <w:tc>
          <w:tcPr>
            <w:tcW w:w="790" w:type="dxa"/>
            <w:tcBorders>
              <w:top w:val="single" w:sz="4" w:space="0" w:color="F1F1F1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954</w:t>
            </w:r>
          </w:p>
        </w:tc>
        <w:tc>
          <w:tcPr>
            <w:tcW w:w="806" w:type="dxa"/>
            <w:tcBorders>
              <w:top w:val="single" w:sz="4" w:space="0" w:color="F1F1F1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righ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1,356</w:t>
            </w:r>
          </w:p>
        </w:tc>
        <w:tc>
          <w:tcPr>
            <w:tcW w:w="885" w:type="dxa"/>
            <w:tcBorders>
              <w:top w:val="single" w:sz="4" w:space="0" w:color="F1F1F1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1,748</w:t>
            </w:r>
          </w:p>
        </w:tc>
        <w:tc>
          <w:tcPr>
            <w:tcW w:w="985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2,111</w:t>
            </w:r>
          </w:p>
        </w:tc>
        <w:tc>
          <w:tcPr>
            <w:tcW w:w="761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2,015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16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2,015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8"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8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2,092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left="8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</w:t>
            </w:r>
          </w:p>
        </w:tc>
        <w:tc>
          <w:tcPr>
            <w:tcW w:w="798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2,357</w:t>
            </w:r>
          </w:p>
        </w:tc>
        <w:tc>
          <w:tcPr>
            <w:tcW w:w="797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2,125</w:t>
            </w:r>
          </w:p>
        </w:tc>
        <w:tc>
          <w:tcPr>
            <w:tcW w:w="1006" w:type="dxa"/>
            <w:tcBorders>
              <w:top w:val="single" w:sz="8" w:space="0" w:color="C0C0C0"/>
              <w:left w:val="single" w:sz="4" w:space="0" w:color="BEBEBE"/>
              <w:bottom w:val="single" w:sz="8" w:space="0" w:color="C0C0C0"/>
              <w:right w:val="single" w:sz="4" w:space="0" w:color="D9D9D9"/>
            </w:tcBorders>
          </w:tcPr>
          <w:p>
            <w:pPr>
              <w:pStyle w:val="TableParagraph"/>
              <w:ind w:righ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21,064</w:t>
            </w:r>
          </w:p>
        </w:tc>
        <w:tc>
          <w:tcPr>
            <w:tcW w:w="1565" w:type="dxa"/>
            <w:tcBorders>
              <w:top w:val="nil"/>
              <w:left w:val="single" w:sz="4" w:space="0" w:color="D9D9D9"/>
              <w:bottom w:val="single" w:sz="8" w:space="0" w:color="C0C0C0"/>
            </w:tcBorders>
          </w:tcPr>
          <w:p>
            <w:pPr>
              <w:pStyle w:val="TableParagraph"/>
              <w:spacing w:line="163" w:lineRule="exact" w:before="44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-9.8%*</w:t>
            </w:r>
          </w:p>
        </w:tc>
      </w:tr>
      <w:tr>
        <w:trPr>
          <w:trHeight w:val="227" w:hRule="atLeast"/>
        </w:trPr>
        <w:tc>
          <w:tcPr>
            <w:tcW w:w="13686" w:type="dxa"/>
            <w:gridSpan w:val="14"/>
            <w:tcBorders>
              <w:top w:val="single" w:sz="8" w:space="0" w:color="C0C0C0"/>
            </w:tcBorders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sz w:val="16"/>
              </w:rPr>
              <w:t>Indicates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statistically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change</w:t>
            </w:r>
          </w:p>
        </w:tc>
      </w:tr>
    </w:tbl>
    <w:p>
      <w:pPr>
        <w:pStyle w:val="BodyText"/>
        <w:spacing w:before="64"/>
        <w:ind w:left="0" w:firstLine="0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1" w:after="0"/>
        <w:ind w:left="920" w:right="860" w:hanging="360"/>
        <w:jc w:val="left"/>
        <w:rPr>
          <w:sz w:val="15"/>
        </w:rPr>
      </w:pPr>
      <w:r>
        <w:rPr>
          <w:sz w:val="15"/>
        </w:rPr>
        <w:t>Data</w:t>
      </w:r>
      <w:r>
        <w:rPr>
          <w:spacing w:val="-2"/>
          <w:sz w:val="15"/>
        </w:rPr>
        <w:t> </w:t>
      </w:r>
      <w:r>
        <w:rPr>
          <w:sz w:val="15"/>
        </w:rPr>
        <w:t>for</w:t>
      </w:r>
      <w:r>
        <w:rPr>
          <w:spacing w:val="-1"/>
          <w:sz w:val="15"/>
        </w:rPr>
        <w:t> </w:t>
      </w:r>
      <w:r>
        <w:rPr>
          <w:sz w:val="15"/>
        </w:rPr>
        <w:t>2022</w:t>
      </w:r>
      <w:r>
        <w:rPr>
          <w:spacing w:val="-2"/>
          <w:sz w:val="15"/>
        </w:rPr>
        <w:t> </w:t>
      </w:r>
      <w:r>
        <w:rPr>
          <w:sz w:val="15"/>
        </w:rPr>
        <w:t>to 2023</w:t>
      </w:r>
      <w:r>
        <w:rPr>
          <w:spacing w:val="-2"/>
          <w:sz w:val="15"/>
        </w:rPr>
        <w:t> </w:t>
      </w:r>
      <w:r>
        <w:rPr>
          <w:sz w:val="15"/>
        </w:rPr>
        <w:t>deaths</w:t>
      </w:r>
      <w:r>
        <w:rPr>
          <w:spacing w:val="-2"/>
          <w:sz w:val="15"/>
        </w:rPr>
        <w:t> </w:t>
      </w:r>
      <w:r>
        <w:rPr>
          <w:sz w:val="15"/>
        </w:rPr>
        <w:t>are</w:t>
      </w:r>
      <w:r>
        <w:rPr>
          <w:spacing w:val="-2"/>
          <w:sz w:val="15"/>
        </w:rPr>
        <w:t> </w:t>
      </w:r>
      <w:r>
        <w:rPr>
          <w:sz w:val="15"/>
        </w:rPr>
        <w:t>preliminary</w:t>
      </w:r>
      <w:r>
        <w:rPr>
          <w:spacing w:val="-1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z w:val="15"/>
        </w:rPr>
        <w:t>subject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updates.</w:t>
      </w:r>
      <w:r>
        <w:rPr>
          <w:spacing w:val="-1"/>
          <w:sz w:val="15"/>
        </w:rPr>
        <w:t> </w:t>
      </w:r>
      <w:r>
        <w:rPr>
          <w:sz w:val="15"/>
        </w:rPr>
        <w:t>Case</w:t>
      </w:r>
      <w:r>
        <w:rPr>
          <w:spacing w:val="-2"/>
          <w:sz w:val="15"/>
        </w:rPr>
        <w:t> </w:t>
      </w:r>
      <w:r>
        <w:rPr>
          <w:sz w:val="15"/>
        </w:rPr>
        <w:t>reviews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deaths</w:t>
      </w:r>
      <w:r>
        <w:rPr>
          <w:spacing w:val="-2"/>
          <w:sz w:val="15"/>
        </w:rPr>
        <w:t> </w:t>
      </w:r>
      <w:r>
        <w:rPr>
          <w:sz w:val="15"/>
        </w:rPr>
        <w:t>are</w:t>
      </w:r>
      <w:r>
        <w:rPr>
          <w:spacing w:val="-2"/>
          <w:sz w:val="15"/>
        </w:rPr>
        <w:t> </w:t>
      </w:r>
      <w:r>
        <w:rPr>
          <w:sz w:val="15"/>
        </w:rPr>
        <w:t>evaluated</w:t>
      </w:r>
      <w:r>
        <w:rPr>
          <w:spacing w:val="-1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z w:val="15"/>
        </w:rPr>
        <w:t>updated</w:t>
      </w:r>
      <w:r>
        <w:rPr>
          <w:spacing w:val="-1"/>
          <w:sz w:val="15"/>
        </w:rPr>
        <w:t> </w:t>
      </w:r>
      <w:r>
        <w:rPr>
          <w:sz w:val="15"/>
        </w:rPr>
        <w:t>on</w:t>
      </w:r>
      <w:r>
        <w:rPr>
          <w:spacing w:val="-1"/>
          <w:sz w:val="15"/>
        </w:rPr>
        <w:t> </w:t>
      </w:r>
      <w:r>
        <w:rPr>
          <w:sz w:val="15"/>
        </w:rPr>
        <w:t>an</w:t>
      </w:r>
      <w:r>
        <w:rPr>
          <w:spacing w:val="-1"/>
          <w:sz w:val="15"/>
        </w:rPr>
        <w:t> </w:t>
      </w:r>
      <w:r>
        <w:rPr>
          <w:sz w:val="15"/>
        </w:rPr>
        <w:t>ongoing</w:t>
      </w:r>
      <w:r>
        <w:rPr>
          <w:spacing w:val="-2"/>
          <w:sz w:val="15"/>
        </w:rPr>
        <w:t> </w:t>
      </w:r>
      <w:r>
        <w:rPr>
          <w:sz w:val="15"/>
        </w:rPr>
        <w:t>basis.</w:t>
      </w:r>
      <w:r>
        <w:rPr>
          <w:spacing w:val="-1"/>
          <w:sz w:val="15"/>
        </w:rPr>
        <w:t> </w:t>
      </w:r>
      <w:r>
        <w:rPr>
          <w:sz w:val="15"/>
        </w:rPr>
        <w:t>Many</w:t>
      </w:r>
      <w:r>
        <w:rPr>
          <w:spacing w:val="-1"/>
          <w:sz w:val="15"/>
        </w:rPr>
        <w:t> </w:t>
      </w:r>
      <w:r>
        <w:rPr>
          <w:sz w:val="15"/>
        </w:rPr>
        <w:t>death</w:t>
      </w:r>
      <w:r>
        <w:rPr>
          <w:spacing w:val="-1"/>
          <w:sz w:val="15"/>
        </w:rPr>
        <w:t> </w:t>
      </w:r>
      <w:r>
        <w:rPr>
          <w:sz w:val="15"/>
        </w:rPr>
        <w:t>certificates</w:t>
      </w:r>
      <w:r>
        <w:rPr>
          <w:spacing w:val="-2"/>
          <w:sz w:val="15"/>
        </w:rPr>
        <w:t> </w:t>
      </w:r>
      <w:r>
        <w:rPr>
          <w:sz w:val="15"/>
        </w:rPr>
        <w:t>have</w:t>
      </w:r>
      <w:r>
        <w:rPr>
          <w:spacing w:val="-2"/>
          <w:sz w:val="15"/>
        </w:rPr>
        <w:t> </w:t>
      </w:r>
      <w:r>
        <w:rPr>
          <w:sz w:val="15"/>
        </w:rPr>
        <w:t>yet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be</w:t>
      </w:r>
      <w:r>
        <w:rPr>
          <w:spacing w:val="-2"/>
          <w:sz w:val="15"/>
        </w:rPr>
        <w:t> </w:t>
      </w:r>
      <w:r>
        <w:rPr>
          <w:sz w:val="15"/>
        </w:rPr>
        <w:t>assigned</w:t>
      </w:r>
      <w:r>
        <w:rPr>
          <w:spacing w:val="-1"/>
          <w:sz w:val="15"/>
        </w:rPr>
        <w:t> </w:t>
      </w:r>
      <w:r>
        <w:rPr>
          <w:sz w:val="15"/>
        </w:rPr>
        <w:t>final</w:t>
      </w:r>
      <w:r>
        <w:rPr>
          <w:spacing w:val="-1"/>
          <w:sz w:val="15"/>
        </w:rPr>
        <w:t> </w:t>
      </w:r>
      <w:r>
        <w:rPr>
          <w:sz w:val="15"/>
        </w:rPr>
        <w:t>cause</w:t>
      </w:r>
      <w:r>
        <w:rPr>
          <w:spacing w:val="40"/>
          <w:sz w:val="15"/>
        </w:rPr>
        <w:t> </w:t>
      </w:r>
      <w:r>
        <w:rPr>
          <w:sz w:val="15"/>
        </w:rPr>
        <w:t>of death codes. 2022 to 2023 counts are based on the estimates rather than confirmed cases. Data updated on 04/11/2024.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191" w:lineRule="exact" w:before="0" w:after="0"/>
        <w:ind w:left="919" w:right="0" w:hanging="359"/>
        <w:jc w:val="left"/>
        <w:rPr>
          <w:sz w:val="15"/>
        </w:rPr>
      </w:pPr>
      <w:r>
        <w:rPr>
          <w:sz w:val="15"/>
        </w:rPr>
        <w:t>Please</w:t>
      </w:r>
      <w:r>
        <w:rPr>
          <w:spacing w:val="-4"/>
          <w:sz w:val="15"/>
        </w:rPr>
        <w:t> </w:t>
      </w:r>
      <w:r>
        <w:rPr>
          <w:sz w:val="15"/>
        </w:rPr>
        <w:t>note</w:t>
      </w:r>
      <w:r>
        <w:rPr>
          <w:spacing w:val="-2"/>
          <w:sz w:val="15"/>
        </w:rPr>
        <w:t> </w:t>
      </w:r>
      <w:r>
        <w:rPr>
          <w:sz w:val="15"/>
        </w:rPr>
        <w:t>that</w:t>
      </w:r>
      <w:r>
        <w:rPr>
          <w:spacing w:val="-2"/>
          <w:sz w:val="15"/>
        </w:rPr>
        <w:t> </w:t>
      </w:r>
      <w:r>
        <w:rPr>
          <w:sz w:val="15"/>
        </w:rPr>
        <w:t>some</w:t>
      </w:r>
      <w:r>
        <w:rPr>
          <w:spacing w:val="-2"/>
          <w:sz w:val="15"/>
        </w:rPr>
        <w:t> </w:t>
      </w:r>
      <w:r>
        <w:rPr>
          <w:sz w:val="15"/>
        </w:rPr>
        <w:t>totals</w:t>
      </w:r>
      <w:r>
        <w:rPr>
          <w:spacing w:val="-2"/>
          <w:sz w:val="15"/>
        </w:rPr>
        <w:t> </w:t>
      </w:r>
      <w:r>
        <w:rPr>
          <w:sz w:val="15"/>
        </w:rPr>
        <w:t>may</w:t>
      </w:r>
      <w:r>
        <w:rPr>
          <w:spacing w:val="-1"/>
          <w:sz w:val="15"/>
        </w:rPr>
        <w:t> </w:t>
      </w:r>
      <w:r>
        <w:rPr>
          <w:sz w:val="15"/>
        </w:rPr>
        <w:t>not</w:t>
      </w:r>
      <w:r>
        <w:rPr>
          <w:spacing w:val="-2"/>
          <w:sz w:val="15"/>
        </w:rPr>
        <w:t> </w:t>
      </w:r>
      <w:r>
        <w:rPr>
          <w:sz w:val="15"/>
        </w:rPr>
        <w:t>add</w:t>
      </w:r>
      <w:r>
        <w:rPr>
          <w:spacing w:val="-1"/>
          <w:sz w:val="15"/>
        </w:rPr>
        <w:t> </w:t>
      </w:r>
      <w:r>
        <w:rPr>
          <w:sz w:val="15"/>
        </w:rPr>
        <w:t>up</w:t>
      </w:r>
      <w:r>
        <w:rPr>
          <w:spacing w:val="-2"/>
          <w:sz w:val="15"/>
        </w:rPr>
        <w:t> </w:t>
      </w:r>
      <w:r>
        <w:rPr>
          <w:sz w:val="15"/>
        </w:rPr>
        <w:t>due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deaths</w:t>
      </w:r>
      <w:r>
        <w:rPr>
          <w:spacing w:val="-2"/>
          <w:sz w:val="15"/>
        </w:rPr>
        <w:t> </w:t>
      </w:r>
      <w:r>
        <w:rPr>
          <w:sz w:val="15"/>
        </w:rPr>
        <w:t>with</w:t>
      </w:r>
      <w:r>
        <w:rPr>
          <w:spacing w:val="-1"/>
          <w:sz w:val="15"/>
        </w:rPr>
        <w:t> </w:t>
      </w:r>
      <w:r>
        <w:rPr>
          <w:sz w:val="15"/>
        </w:rPr>
        <w:t>unknown</w:t>
      </w:r>
      <w:r>
        <w:rPr>
          <w:spacing w:val="-2"/>
          <w:sz w:val="15"/>
        </w:rPr>
        <w:t> </w:t>
      </w:r>
      <w:r>
        <w:rPr>
          <w:sz w:val="15"/>
        </w:rPr>
        <w:t>city/town</w:t>
      </w:r>
      <w:r>
        <w:rPr>
          <w:spacing w:val="-1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residence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rounding</w:t>
      </w:r>
      <w:r>
        <w:rPr>
          <w:spacing w:val="-1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counts.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191" w:lineRule="exact" w:before="0" w:after="0"/>
        <w:ind w:left="919" w:right="0" w:hanging="359"/>
        <w:jc w:val="left"/>
        <w:rPr>
          <w:sz w:val="15"/>
        </w:rPr>
      </w:pPr>
      <w:r>
        <w:rPr>
          <w:sz w:val="15"/>
        </w:rPr>
        <w:t>Opioids</w:t>
      </w:r>
      <w:r>
        <w:rPr>
          <w:spacing w:val="-6"/>
          <w:sz w:val="15"/>
        </w:rPr>
        <w:t> </w:t>
      </w:r>
      <w:r>
        <w:rPr>
          <w:sz w:val="15"/>
        </w:rPr>
        <w:t>include</w:t>
      </w:r>
      <w:r>
        <w:rPr>
          <w:spacing w:val="-4"/>
          <w:sz w:val="15"/>
        </w:rPr>
        <w:t> </w:t>
      </w:r>
      <w:r>
        <w:rPr>
          <w:sz w:val="15"/>
        </w:rPr>
        <w:t>heroin,</w:t>
      </w:r>
      <w:r>
        <w:rPr>
          <w:spacing w:val="-4"/>
          <w:sz w:val="15"/>
        </w:rPr>
        <w:t> </w:t>
      </w:r>
      <w:r>
        <w:rPr>
          <w:sz w:val="15"/>
        </w:rPr>
        <w:t>illicitly</w:t>
      </w:r>
      <w:r>
        <w:rPr>
          <w:spacing w:val="-3"/>
          <w:sz w:val="15"/>
        </w:rPr>
        <w:t> </w:t>
      </w:r>
      <w:r>
        <w:rPr>
          <w:sz w:val="15"/>
        </w:rPr>
        <w:t>manufactured</w:t>
      </w:r>
      <w:r>
        <w:rPr>
          <w:spacing w:val="-3"/>
          <w:sz w:val="15"/>
        </w:rPr>
        <w:t> </w:t>
      </w:r>
      <w:r>
        <w:rPr>
          <w:sz w:val="15"/>
        </w:rPr>
        <w:t>fentanyl,</w:t>
      </w:r>
      <w:r>
        <w:rPr>
          <w:spacing w:val="-4"/>
          <w:sz w:val="15"/>
        </w:rPr>
        <w:t> </w:t>
      </w:r>
      <w:r>
        <w:rPr>
          <w:sz w:val="15"/>
        </w:rPr>
        <w:t>opioid-based</w:t>
      </w:r>
      <w:r>
        <w:rPr>
          <w:spacing w:val="-3"/>
          <w:sz w:val="15"/>
        </w:rPr>
        <w:t> </w:t>
      </w:r>
      <w:r>
        <w:rPr>
          <w:sz w:val="15"/>
        </w:rPr>
        <w:t>prescription</w:t>
      </w:r>
      <w:r>
        <w:rPr>
          <w:spacing w:val="-3"/>
          <w:sz w:val="15"/>
        </w:rPr>
        <w:t> </w:t>
      </w:r>
      <w:r>
        <w:rPr>
          <w:sz w:val="15"/>
        </w:rPr>
        <w:t>painkillers,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3"/>
          <w:sz w:val="15"/>
        </w:rPr>
        <w:t> </w:t>
      </w:r>
      <w:r>
        <w:rPr>
          <w:sz w:val="15"/>
        </w:rPr>
        <w:t>other</w:t>
      </w:r>
      <w:r>
        <w:rPr>
          <w:spacing w:val="-3"/>
          <w:sz w:val="15"/>
        </w:rPr>
        <w:t> </w:t>
      </w:r>
      <w:r>
        <w:rPr>
          <w:sz w:val="15"/>
        </w:rPr>
        <w:t>unspecified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opioids.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900" w:hanging="360"/>
        <w:jc w:val="left"/>
        <w:rPr>
          <w:sz w:val="15"/>
        </w:rPr>
      </w:pPr>
      <w:r>
        <w:rPr>
          <w:sz w:val="15"/>
        </w:rPr>
        <w:t>Beginning</w:t>
      </w:r>
      <w:r>
        <w:rPr>
          <w:spacing w:val="-2"/>
          <w:sz w:val="15"/>
        </w:rPr>
        <w:t> </w:t>
      </w:r>
      <w:r>
        <w:rPr>
          <w:sz w:val="15"/>
        </w:rPr>
        <w:t>with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August</w:t>
      </w:r>
      <w:r>
        <w:rPr>
          <w:spacing w:val="-2"/>
          <w:sz w:val="15"/>
        </w:rPr>
        <w:t> </w:t>
      </w:r>
      <w:r>
        <w:rPr>
          <w:sz w:val="15"/>
        </w:rPr>
        <w:t>2019</w:t>
      </w:r>
      <w:r>
        <w:rPr>
          <w:spacing w:val="-2"/>
          <w:sz w:val="15"/>
        </w:rPr>
        <w:t> </w:t>
      </w:r>
      <w:r>
        <w:rPr>
          <w:sz w:val="15"/>
        </w:rPr>
        <w:t>report,</w:t>
      </w:r>
      <w:r>
        <w:rPr>
          <w:spacing w:val="-2"/>
          <w:sz w:val="15"/>
        </w:rPr>
        <w:t> </w:t>
      </w:r>
      <w:r>
        <w:rPr>
          <w:sz w:val="15"/>
        </w:rPr>
        <w:t>DPH</w:t>
      </w:r>
      <w:r>
        <w:rPr>
          <w:spacing w:val="-2"/>
          <w:sz w:val="15"/>
        </w:rPr>
        <w:t> </w:t>
      </w:r>
      <w:r>
        <w:rPr>
          <w:sz w:val="15"/>
        </w:rPr>
        <w:t>updated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case</w:t>
      </w:r>
      <w:r>
        <w:rPr>
          <w:spacing w:val="-2"/>
          <w:sz w:val="15"/>
        </w:rPr>
        <w:t> </w:t>
      </w:r>
      <w:r>
        <w:rPr>
          <w:sz w:val="15"/>
        </w:rPr>
        <w:t>definition</w:t>
      </w:r>
      <w:r>
        <w:rPr>
          <w:spacing w:val="-1"/>
          <w:sz w:val="15"/>
        </w:rPr>
        <w:t> </w:t>
      </w:r>
      <w:r>
        <w:rPr>
          <w:sz w:val="15"/>
        </w:rPr>
        <w:t>used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identify</w:t>
      </w:r>
      <w:r>
        <w:rPr>
          <w:spacing w:val="-1"/>
          <w:sz w:val="15"/>
        </w:rPr>
        <w:t> </w:t>
      </w:r>
      <w:r>
        <w:rPr>
          <w:sz w:val="15"/>
        </w:rPr>
        <w:t>opioid-related</w:t>
      </w:r>
      <w:r>
        <w:rPr>
          <w:spacing w:val="-1"/>
          <w:sz w:val="15"/>
        </w:rPr>
        <w:t> </w:t>
      </w:r>
      <w:r>
        <w:rPr>
          <w:sz w:val="15"/>
        </w:rPr>
        <w:t>overdose</w:t>
      </w:r>
      <w:r>
        <w:rPr>
          <w:spacing w:val="-2"/>
          <w:sz w:val="15"/>
        </w:rPr>
        <w:t> </w:t>
      </w:r>
      <w:r>
        <w:rPr>
          <w:sz w:val="15"/>
        </w:rPr>
        <w:t>deaths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match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CDC’s</w:t>
      </w:r>
      <w:r>
        <w:rPr>
          <w:spacing w:val="-2"/>
          <w:sz w:val="15"/>
        </w:rPr>
        <w:t> </w:t>
      </w:r>
      <w:r>
        <w:rPr>
          <w:sz w:val="15"/>
        </w:rPr>
        <w:t>case</w:t>
      </w:r>
      <w:r>
        <w:rPr>
          <w:spacing w:val="-2"/>
          <w:sz w:val="15"/>
        </w:rPr>
        <w:t> </w:t>
      </w:r>
      <w:r>
        <w:rPr>
          <w:sz w:val="15"/>
        </w:rPr>
        <w:t>definition.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following</w:t>
      </w:r>
      <w:r>
        <w:rPr>
          <w:spacing w:val="-2"/>
          <w:sz w:val="15"/>
        </w:rPr>
        <w:t> </w:t>
      </w:r>
      <w:r>
        <w:rPr>
          <w:sz w:val="15"/>
        </w:rPr>
        <w:t>International</w:t>
      </w:r>
      <w:r>
        <w:rPr>
          <w:spacing w:val="-1"/>
          <w:sz w:val="15"/>
        </w:rPr>
        <w:t> </w:t>
      </w:r>
      <w:r>
        <w:rPr>
          <w:sz w:val="15"/>
        </w:rPr>
        <w:t>Classification</w:t>
      </w:r>
      <w:r>
        <w:rPr>
          <w:spacing w:val="-1"/>
          <w:sz w:val="15"/>
        </w:rPr>
        <w:t> </w:t>
      </w:r>
      <w:r>
        <w:rPr>
          <w:sz w:val="15"/>
        </w:rPr>
        <w:t>of</w:t>
      </w:r>
      <w:r>
        <w:rPr>
          <w:spacing w:val="40"/>
          <w:sz w:val="15"/>
        </w:rPr>
        <w:t> </w:t>
      </w:r>
      <w:r>
        <w:rPr>
          <w:sz w:val="15"/>
        </w:rPr>
        <w:t>Disease (ICD-10) codes for mortality were selected from the underlying cause of death field to identify poisonings/overdoses: X40-X44, X60-X64, X85, and Y10-Y14. All multiple cause of death fields</w:t>
      </w:r>
      <w:r>
        <w:rPr>
          <w:spacing w:val="40"/>
          <w:sz w:val="15"/>
        </w:rPr>
        <w:t> </w:t>
      </w:r>
      <w:r>
        <w:rPr>
          <w:sz w:val="15"/>
        </w:rPr>
        <w:t>were then used to identify an opioid-related overdose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1067" w:hanging="360"/>
        <w:jc w:val="left"/>
        <w:rPr>
          <w:sz w:val="15"/>
        </w:rPr>
      </w:pPr>
      <w:r>
        <w:rPr>
          <w:sz w:val="15"/>
        </w:rPr>
        <w:t>This</w:t>
      </w:r>
      <w:r>
        <w:rPr>
          <w:spacing w:val="-2"/>
          <w:sz w:val="15"/>
        </w:rPr>
        <w:t> </w:t>
      </w:r>
      <w:r>
        <w:rPr>
          <w:sz w:val="15"/>
        </w:rPr>
        <w:t>report</w:t>
      </w:r>
      <w:r>
        <w:rPr>
          <w:spacing w:val="-2"/>
          <w:sz w:val="15"/>
        </w:rPr>
        <w:t> </w:t>
      </w:r>
      <w:r>
        <w:rPr>
          <w:sz w:val="15"/>
        </w:rPr>
        <w:t>tracks</w:t>
      </w:r>
      <w:r>
        <w:rPr>
          <w:spacing w:val="-2"/>
          <w:sz w:val="15"/>
        </w:rPr>
        <w:t> </w:t>
      </w:r>
      <w:r>
        <w:rPr>
          <w:sz w:val="15"/>
        </w:rPr>
        <w:t>all</w:t>
      </w:r>
      <w:r>
        <w:rPr>
          <w:spacing w:val="-1"/>
          <w:sz w:val="15"/>
        </w:rPr>
        <w:t> </w:t>
      </w:r>
      <w:r>
        <w:rPr>
          <w:sz w:val="15"/>
        </w:rPr>
        <w:t>opioid-related</w:t>
      </w:r>
      <w:r>
        <w:rPr>
          <w:spacing w:val="-1"/>
          <w:sz w:val="15"/>
        </w:rPr>
        <w:t> </w:t>
      </w:r>
      <w:r>
        <w:rPr>
          <w:sz w:val="15"/>
        </w:rPr>
        <w:t>overdoses</w:t>
      </w:r>
      <w:r>
        <w:rPr>
          <w:spacing w:val="-2"/>
          <w:sz w:val="15"/>
        </w:rPr>
        <w:t> </w:t>
      </w:r>
      <w:r>
        <w:rPr>
          <w:sz w:val="15"/>
        </w:rPr>
        <w:t>due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difficulties</w:t>
      </w:r>
      <w:r>
        <w:rPr>
          <w:spacing w:val="-2"/>
          <w:sz w:val="15"/>
        </w:rPr>
        <w:t> </w:t>
      </w:r>
      <w:r>
        <w:rPr>
          <w:sz w:val="15"/>
        </w:rPr>
        <w:t>in</w:t>
      </w:r>
      <w:r>
        <w:rPr>
          <w:spacing w:val="-3"/>
          <w:sz w:val="15"/>
        </w:rPr>
        <w:t> </w:t>
      </w:r>
      <w:r>
        <w:rPr>
          <w:sz w:val="15"/>
        </w:rPr>
        <w:t>reporting</w:t>
      </w:r>
      <w:r>
        <w:rPr>
          <w:spacing w:val="-2"/>
          <w:sz w:val="15"/>
        </w:rPr>
        <w:t> </w:t>
      </w:r>
      <w:r>
        <w:rPr>
          <w:sz w:val="15"/>
        </w:rPr>
        <w:t>heroin-associated</w:t>
      </w:r>
      <w:r>
        <w:rPr>
          <w:spacing w:val="-1"/>
          <w:sz w:val="15"/>
        </w:rPr>
        <w:t> </w:t>
      </w:r>
      <w:r>
        <w:rPr>
          <w:sz w:val="15"/>
        </w:rPr>
        <w:t>overdoses</w:t>
      </w:r>
      <w:r>
        <w:rPr>
          <w:spacing w:val="-2"/>
          <w:sz w:val="15"/>
        </w:rPr>
        <w:t> </w:t>
      </w:r>
      <w:r>
        <w:rPr>
          <w:sz w:val="15"/>
        </w:rPr>
        <w:t>separately.</w:t>
      </w:r>
      <w:r>
        <w:rPr>
          <w:spacing w:val="-2"/>
          <w:sz w:val="15"/>
        </w:rPr>
        <w:t> </w:t>
      </w:r>
      <w:r>
        <w:rPr>
          <w:sz w:val="15"/>
        </w:rPr>
        <w:t>Many</w:t>
      </w:r>
      <w:r>
        <w:rPr>
          <w:spacing w:val="-1"/>
          <w:sz w:val="15"/>
        </w:rPr>
        <w:t> </w:t>
      </w:r>
      <w:r>
        <w:rPr>
          <w:sz w:val="15"/>
        </w:rPr>
        <w:t>deaths</w:t>
      </w:r>
      <w:r>
        <w:rPr>
          <w:spacing w:val="-2"/>
          <w:sz w:val="15"/>
        </w:rPr>
        <w:t> </w:t>
      </w:r>
      <w:r>
        <w:rPr>
          <w:sz w:val="15"/>
        </w:rPr>
        <w:t>related</w:t>
      </w:r>
      <w:r>
        <w:rPr>
          <w:spacing w:val="-1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heroin</w:t>
      </w:r>
      <w:r>
        <w:rPr>
          <w:spacing w:val="-1"/>
          <w:sz w:val="15"/>
        </w:rPr>
        <w:t> </w:t>
      </w:r>
      <w:r>
        <w:rPr>
          <w:sz w:val="15"/>
        </w:rPr>
        <w:t>are</w:t>
      </w:r>
      <w:r>
        <w:rPr>
          <w:spacing w:val="-2"/>
          <w:sz w:val="15"/>
        </w:rPr>
        <w:t> </w:t>
      </w:r>
      <w:r>
        <w:rPr>
          <w:sz w:val="15"/>
        </w:rPr>
        <w:t>not</w:t>
      </w:r>
      <w:r>
        <w:rPr>
          <w:spacing w:val="-2"/>
          <w:sz w:val="15"/>
        </w:rPr>
        <w:t> </w:t>
      </w:r>
      <w:r>
        <w:rPr>
          <w:sz w:val="15"/>
        </w:rPr>
        <w:t>specifically</w:t>
      </w:r>
      <w:r>
        <w:rPr>
          <w:spacing w:val="-1"/>
          <w:sz w:val="15"/>
        </w:rPr>
        <w:t> </w:t>
      </w:r>
      <w:r>
        <w:rPr>
          <w:sz w:val="15"/>
        </w:rPr>
        <w:t>coded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2"/>
          <w:sz w:val="15"/>
        </w:rPr>
        <w:t> </w:t>
      </w:r>
      <w:r>
        <w:rPr>
          <w:sz w:val="15"/>
        </w:rPr>
        <w:t>such</w:t>
      </w:r>
      <w:r>
        <w:rPr>
          <w:spacing w:val="-1"/>
          <w:sz w:val="15"/>
        </w:rPr>
        <w:t> </w:t>
      </w:r>
      <w:r>
        <w:rPr>
          <w:sz w:val="15"/>
        </w:rPr>
        <w:t>due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fast</w:t>
      </w:r>
      <w:r>
        <w:rPr>
          <w:spacing w:val="40"/>
          <w:sz w:val="15"/>
        </w:rPr>
        <w:t> </w:t>
      </w:r>
      <w:r>
        <w:rPr>
          <w:sz w:val="15"/>
        </w:rPr>
        <w:t>metabolism of heroin into morphine.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191" w:lineRule="exact" w:before="0" w:after="0"/>
        <w:ind w:left="919" w:right="0" w:hanging="360"/>
        <w:jc w:val="left"/>
        <w:rPr>
          <w:sz w:val="15"/>
        </w:rPr>
      </w:pPr>
      <w:r>
        <w:rPr>
          <w:sz w:val="15"/>
        </w:rPr>
        <w:t>To</w:t>
      </w:r>
      <w:r>
        <w:rPr>
          <w:spacing w:val="-5"/>
          <w:sz w:val="15"/>
        </w:rPr>
        <w:t> </w:t>
      </w:r>
      <w:r>
        <w:rPr>
          <w:sz w:val="15"/>
        </w:rPr>
        <w:t>maintain</w:t>
      </w:r>
      <w:r>
        <w:rPr>
          <w:spacing w:val="-2"/>
          <w:sz w:val="15"/>
        </w:rPr>
        <w:t> </w:t>
      </w:r>
      <w:r>
        <w:rPr>
          <w:sz w:val="15"/>
        </w:rPr>
        <w:t>consistency</w:t>
      </w:r>
      <w:r>
        <w:rPr>
          <w:spacing w:val="-1"/>
          <w:sz w:val="15"/>
        </w:rPr>
        <w:t> </w:t>
      </w:r>
      <w:r>
        <w:rPr>
          <w:sz w:val="15"/>
        </w:rPr>
        <w:t>with</w:t>
      </w:r>
      <w:r>
        <w:rPr>
          <w:spacing w:val="-2"/>
          <w:sz w:val="15"/>
        </w:rPr>
        <w:t> </w:t>
      </w:r>
      <w:r>
        <w:rPr>
          <w:sz w:val="15"/>
        </w:rPr>
        <w:t>NCHS</w:t>
      </w:r>
      <w:r>
        <w:rPr>
          <w:spacing w:val="-3"/>
          <w:sz w:val="15"/>
        </w:rPr>
        <w:t> </w:t>
      </w:r>
      <w:r>
        <w:rPr>
          <w:sz w:val="15"/>
        </w:rPr>
        <w:t>reporting,</w:t>
      </w:r>
      <w:r>
        <w:rPr>
          <w:spacing w:val="-2"/>
          <w:sz w:val="15"/>
        </w:rPr>
        <w:t> </w:t>
      </w:r>
      <w:r>
        <w:rPr>
          <w:sz w:val="15"/>
        </w:rPr>
        <w:t>DPH</w:t>
      </w:r>
      <w:r>
        <w:rPr>
          <w:spacing w:val="-2"/>
          <w:sz w:val="15"/>
        </w:rPr>
        <w:t> </w:t>
      </w:r>
      <w:r>
        <w:rPr>
          <w:sz w:val="15"/>
        </w:rPr>
        <w:t>does</w:t>
      </w:r>
      <w:r>
        <w:rPr>
          <w:spacing w:val="-3"/>
          <w:sz w:val="15"/>
        </w:rPr>
        <w:t> </w:t>
      </w:r>
      <w:r>
        <w:rPr>
          <w:sz w:val="15"/>
        </w:rPr>
        <w:t>not</w:t>
      </w:r>
      <w:r>
        <w:rPr>
          <w:spacing w:val="-2"/>
          <w:sz w:val="15"/>
        </w:rPr>
        <w:t> </w:t>
      </w:r>
      <w:r>
        <w:rPr>
          <w:sz w:val="15"/>
        </w:rPr>
        <w:t>include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ICD-10</w:t>
      </w:r>
      <w:r>
        <w:rPr>
          <w:spacing w:val="-3"/>
          <w:sz w:val="15"/>
        </w:rPr>
        <w:t> </w:t>
      </w:r>
      <w:r>
        <w:rPr>
          <w:sz w:val="15"/>
        </w:rPr>
        <w:t>code</w:t>
      </w:r>
      <w:r>
        <w:rPr>
          <w:spacing w:val="-3"/>
          <w:sz w:val="15"/>
        </w:rPr>
        <w:t> </w:t>
      </w:r>
      <w:r>
        <w:rPr>
          <w:sz w:val="15"/>
        </w:rPr>
        <w:t>F11.1,</w:t>
      </w:r>
      <w:r>
        <w:rPr>
          <w:spacing w:val="-1"/>
          <w:sz w:val="15"/>
        </w:rPr>
        <w:t> </w:t>
      </w:r>
      <w:r>
        <w:rPr>
          <w:sz w:val="15"/>
        </w:rPr>
        <w:t>which</w:t>
      </w:r>
      <w:r>
        <w:rPr>
          <w:spacing w:val="-2"/>
          <w:sz w:val="15"/>
        </w:rPr>
        <w:t> </w:t>
      </w:r>
      <w:r>
        <w:rPr>
          <w:sz w:val="15"/>
        </w:rPr>
        <w:t>may</w:t>
      </w:r>
      <w:r>
        <w:rPr>
          <w:spacing w:val="-2"/>
          <w:sz w:val="15"/>
        </w:rPr>
        <w:t> </w:t>
      </w:r>
      <w:r>
        <w:rPr>
          <w:sz w:val="15"/>
        </w:rPr>
        <w:t>include</w:t>
      </w:r>
      <w:r>
        <w:rPr>
          <w:spacing w:val="-2"/>
          <w:sz w:val="15"/>
        </w:rPr>
        <w:t> </w:t>
      </w:r>
      <w:r>
        <w:rPr>
          <w:sz w:val="15"/>
        </w:rPr>
        <w:t>opioid-related</w:t>
      </w:r>
      <w:r>
        <w:rPr>
          <w:spacing w:val="-2"/>
          <w:sz w:val="15"/>
        </w:rPr>
        <w:t> </w:t>
      </w:r>
      <w:r>
        <w:rPr>
          <w:sz w:val="15"/>
        </w:rPr>
        <w:t>overdose</w:t>
      </w:r>
      <w:r>
        <w:rPr>
          <w:spacing w:val="-2"/>
          <w:sz w:val="15"/>
        </w:rPr>
        <w:t> deaths.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360"/>
        <w:jc w:val="left"/>
        <w:rPr>
          <w:sz w:val="15"/>
        </w:rPr>
      </w:pPr>
      <w:r>
        <w:rPr>
          <w:sz w:val="15"/>
        </w:rPr>
        <w:t>Beginning</w:t>
      </w:r>
      <w:r>
        <w:rPr>
          <w:spacing w:val="-5"/>
          <w:sz w:val="15"/>
        </w:rPr>
        <w:t> </w:t>
      </w:r>
      <w:r>
        <w:rPr>
          <w:sz w:val="15"/>
        </w:rPr>
        <w:t>with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z w:val="15"/>
        </w:rPr>
        <w:t>May</w:t>
      </w:r>
      <w:r>
        <w:rPr>
          <w:spacing w:val="-2"/>
          <w:sz w:val="15"/>
        </w:rPr>
        <w:t> </w:t>
      </w:r>
      <w:r>
        <w:rPr>
          <w:sz w:val="15"/>
        </w:rPr>
        <w:t>2017</w:t>
      </w:r>
      <w:r>
        <w:rPr>
          <w:spacing w:val="-3"/>
          <w:sz w:val="15"/>
        </w:rPr>
        <w:t> </w:t>
      </w:r>
      <w:r>
        <w:rPr>
          <w:sz w:val="15"/>
        </w:rPr>
        <w:t>report,</w:t>
      </w:r>
      <w:r>
        <w:rPr>
          <w:spacing w:val="-3"/>
          <w:sz w:val="15"/>
        </w:rPr>
        <w:t> </w:t>
      </w:r>
      <w:r>
        <w:rPr>
          <w:sz w:val="15"/>
        </w:rPr>
        <w:t>DPH</w:t>
      </w:r>
      <w:r>
        <w:rPr>
          <w:spacing w:val="-3"/>
          <w:sz w:val="15"/>
        </w:rPr>
        <w:t> </w:t>
      </w:r>
      <w:r>
        <w:rPr>
          <w:sz w:val="15"/>
        </w:rPr>
        <w:t>started</w:t>
      </w:r>
      <w:r>
        <w:rPr>
          <w:spacing w:val="-4"/>
          <w:sz w:val="15"/>
        </w:rPr>
        <w:t> </w:t>
      </w:r>
      <w:r>
        <w:rPr>
          <w:sz w:val="15"/>
        </w:rPr>
        <w:t>reporting</w:t>
      </w:r>
      <w:r>
        <w:rPr>
          <w:spacing w:val="-2"/>
          <w:sz w:val="15"/>
        </w:rPr>
        <w:t> </w:t>
      </w:r>
      <w:r>
        <w:rPr>
          <w:sz w:val="15"/>
        </w:rPr>
        <w:t>opioid-related</w:t>
      </w:r>
      <w:r>
        <w:rPr>
          <w:spacing w:val="-2"/>
          <w:sz w:val="15"/>
        </w:rPr>
        <w:t> </w:t>
      </w:r>
      <w:r>
        <w:rPr>
          <w:sz w:val="15"/>
        </w:rPr>
        <w:t>overdose</w:t>
      </w:r>
      <w:r>
        <w:rPr>
          <w:spacing w:val="-3"/>
          <w:sz w:val="15"/>
        </w:rPr>
        <w:t> </w:t>
      </w:r>
      <w:r>
        <w:rPr>
          <w:sz w:val="15"/>
        </w:rPr>
        <w:t>deaths</w:t>
      </w:r>
      <w:r>
        <w:rPr>
          <w:spacing w:val="-3"/>
          <w:sz w:val="15"/>
        </w:rPr>
        <w:t> </w:t>
      </w:r>
      <w:r>
        <w:rPr>
          <w:sz w:val="15"/>
        </w:rPr>
        <w:t>for</w:t>
      </w:r>
      <w:r>
        <w:rPr>
          <w:spacing w:val="-2"/>
          <w:sz w:val="15"/>
        </w:rPr>
        <w:t> </w:t>
      </w:r>
      <w:r>
        <w:rPr>
          <w:sz w:val="15"/>
        </w:rPr>
        <w:t>all</w:t>
      </w:r>
      <w:r>
        <w:rPr>
          <w:spacing w:val="-4"/>
          <w:sz w:val="15"/>
        </w:rPr>
        <w:t> </w:t>
      </w:r>
      <w:r>
        <w:rPr>
          <w:sz w:val="15"/>
        </w:rPr>
        <w:t>intents,</w:t>
      </w:r>
      <w:r>
        <w:rPr>
          <w:spacing w:val="-3"/>
          <w:sz w:val="15"/>
        </w:rPr>
        <w:t> </w:t>
      </w:r>
      <w:r>
        <w:rPr>
          <w:sz w:val="15"/>
        </w:rPr>
        <w:t>which</w:t>
      </w:r>
      <w:r>
        <w:rPr>
          <w:spacing w:val="-4"/>
          <w:sz w:val="15"/>
        </w:rPr>
        <w:t> </w:t>
      </w:r>
      <w:r>
        <w:rPr>
          <w:sz w:val="15"/>
        </w:rPr>
        <w:t>includes</w:t>
      </w:r>
      <w:r>
        <w:rPr>
          <w:spacing w:val="-3"/>
          <w:sz w:val="15"/>
        </w:rPr>
        <w:t> </w:t>
      </w:r>
      <w:r>
        <w:rPr>
          <w:sz w:val="15"/>
        </w:rPr>
        <w:t>unintentional/undetermined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suicide.</w:t>
      </w:r>
    </w:p>
    <w:p>
      <w:pPr>
        <w:pStyle w:val="Heading1"/>
        <w:spacing w:before="182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191" w:lineRule="exact" w:before="1" w:after="0"/>
        <w:ind w:left="919" w:right="0" w:hanging="359"/>
        <w:jc w:val="left"/>
        <w:rPr>
          <w:sz w:val="15"/>
        </w:rPr>
      </w:pPr>
      <w:r>
        <w:rPr>
          <w:sz w:val="15"/>
        </w:rPr>
        <w:t>Massachusetts</w:t>
      </w:r>
      <w:r>
        <w:rPr>
          <w:spacing w:val="-2"/>
          <w:sz w:val="15"/>
        </w:rPr>
        <w:t> </w:t>
      </w:r>
      <w:r>
        <w:rPr>
          <w:sz w:val="15"/>
        </w:rPr>
        <w:t>Registry</w:t>
      </w:r>
      <w:r>
        <w:rPr>
          <w:spacing w:val="-1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Vital</w:t>
      </w:r>
      <w:r>
        <w:rPr>
          <w:spacing w:val="-1"/>
          <w:sz w:val="15"/>
        </w:rPr>
        <w:t> </w:t>
      </w:r>
      <w:r>
        <w:rPr>
          <w:sz w:val="15"/>
        </w:rPr>
        <w:t>Records</w:t>
      </w:r>
      <w:r>
        <w:rPr>
          <w:spacing w:val="-3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z w:val="15"/>
        </w:rPr>
        <w:t>Statistics,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MDPH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359"/>
        <w:jc w:val="left"/>
        <w:rPr>
          <w:sz w:val="15"/>
        </w:rPr>
      </w:pPr>
      <w:r>
        <w:rPr>
          <w:sz w:val="15"/>
        </w:rPr>
        <w:t>Massachusetts</w:t>
      </w:r>
      <w:r>
        <w:rPr>
          <w:spacing w:val="-3"/>
          <w:sz w:val="15"/>
        </w:rPr>
        <w:t> </w:t>
      </w:r>
      <w:r>
        <w:rPr>
          <w:sz w:val="15"/>
        </w:rPr>
        <w:t>Office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Chief</w:t>
      </w:r>
      <w:r>
        <w:rPr>
          <w:spacing w:val="-2"/>
          <w:sz w:val="15"/>
        </w:rPr>
        <w:t> </w:t>
      </w:r>
      <w:r>
        <w:rPr>
          <w:sz w:val="15"/>
        </w:rPr>
        <w:t>Medical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Examiner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"/>
        <w:ind w:left="0" w:firstLine="0"/>
        <w:rPr>
          <w:sz w:val="20"/>
        </w:rPr>
      </w:pPr>
    </w:p>
    <w:p>
      <w:pPr>
        <w:pStyle w:val="Title"/>
      </w:pPr>
      <w:r>
        <w:rPr>
          <w:spacing w:val="-10"/>
        </w:rPr>
        <w:t>1</w:t>
      </w:r>
    </w:p>
    <w:sectPr>
      <w:type w:val="continuous"/>
      <w:pgSz w:w="15840" w:h="12240" w:orient="landscape"/>
      <w:pgMar w:top="380" w:bottom="280" w:left="12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9" w:hanging="360"/>
    </w:pPr>
    <w:rPr>
      <w:rFonts w:ascii="Calibri" w:hAnsi="Calibri" w:eastAsia="Calibri" w:cs="Calibri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Calibri" w:hAnsi="Calibri" w:eastAsia="Calibri" w:cs="Calibri"/>
      <w:b/>
      <w:bCs/>
      <w:sz w:val="15"/>
      <w:szCs w:val="15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838"/>
      <w:jc w:val="right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EF42CE426F246972F8C6E33C079FB" ma:contentTypeVersion="13" ma:contentTypeDescription="Create a new document." ma:contentTypeScope="" ma:versionID="0559ee0eaa31acef22dc91b4f383bdbe">
  <xsd:schema xmlns:xsd="http://www.w3.org/2001/XMLSchema" xmlns:xs="http://www.w3.org/2001/XMLSchema" xmlns:p="http://schemas.microsoft.com/office/2006/metadata/properties" xmlns:ns2="68fdd5f6-3ec2-4d24-bce5-3d62265da11c" xmlns:ns3="87d182fc-5378-4458-bf3f-fd0f2ba2bb8d" targetNamespace="http://schemas.microsoft.com/office/2006/metadata/properties" ma:root="true" ma:fieldsID="d70bc3ced548a011908b1118a15b994e" ns2:_="" ns3:_="">
    <xsd:import namespace="68fdd5f6-3ec2-4d24-bce5-3d62265da11c"/>
    <xsd:import namespace="87d182fc-5378-4458-bf3f-fd0f2ba2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d5f6-3ec2-4d24-bce5-3d62265d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82fc-5378-4458-bf3f-fd0f2ba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a85a6e-6abd-4e0c-91fc-7f633e6cea06}" ma:internalName="TaxCatchAll" ma:showField="CatchAllData" ma:web="87d182fc-5378-4458-bf3f-fd0f2ba2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182fc-5378-4458-bf3f-fd0f2ba2bb8d" xsi:nil="true"/>
    <lcf76f155ced4ddcb4097134ff3c332f xmlns="68fdd5f6-3ec2-4d24-bce5-3d62265da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8E559-79C9-4360-93AE-C2497C5589A1}"/>
</file>

<file path=customXml/itemProps2.xml><?xml version="1.0" encoding="utf-8"?>
<ds:datastoreItem xmlns:ds="http://schemas.openxmlformats.org/officeDocument/2006/customXml" ds:itemID="{2DB3AF71-14BC-4454-A826-C019E28447D5}"/>
</file>

<file path=customXml/itemProps3.xml><?xml version="1.0" encoding="utf-8"?>
<ds:datastoreItem xmlns:ds="http://schemas.openxmlformats.org/officeDocument/2006/customXml" ds:itemID="{361969FD-1901-4256-910B-7088D9943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2024-06-11T17:43:44Z</dcterms:created>
  <dcterms:modified xsi:type="dcterms:W3CDTF">2024-06-11T17:43:44Z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24.2.23</vt:lpwstr>
  </property>
  <property fmtid="{D5CDD505-2E9C-101B-9397-08002B2CF9AE}" pid="6" name="ContentTypeId">
    <vt:lpwstr>0x0101005ADEF42CE426F246972F8C6E33C079FB</vt:lpwstr>
  </property>
</Properties>
</file>