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theme/themeOverride4.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21546" w14:textId="196BD7FE" w:rsidR="00291E5C" w:rsidRDefault="006B6A9B" w:rsidP="007C3A96">
      <w:pPr>
        <w:outlineLvl w:val="0"/>
      </w:pPr>
      <w:r>
        <w:rPr>
          <w:noProof/>
        </w:rPr>
        <w:drawing>
          <wp:anchor distT="0" distB="0" distL="114300" distR="114300" simplePos="0" relativeHeight="251680768" behindDoc="0" locked="0" layoutInCell="1" allowOverlap="1" wp14:anchorId="20EC0AED" wp14:editId="1EA2BACA">
            <wp:simplePos x="0" y="0"/>
            <wp:positionH relativeFrom="column">
              <wp:posOffset>-610658</wp:posOffset>
            </wp:positionH>
            <wp:positionV relativeFrom="paragraph">
              <wp:posOffset>-482600</wp:posOffset>
            </wp:positionV>
            <wp:extent cx="7694295" cy="1552575"/>
            <wp:effectExtent l="0" t="0" r="1905" b="952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94295" cy="1552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ECDC39" w14:textId="75EE84D4" w:rsidR="006B6A9B" w:rsidRDefault="006B6A9B" w:rsidP="006B6A9B"/>
    <w:p w14:paraId="71E6EF6D" w14:textId="1D4A46AA" w:rsidR="00150B73" w:rsidRPr="002771F9" w:rsidRDefault="006B6A9B" w:rsidP="002771F9">
      <w:r w:rsidRPr="00291E5C">
        <w:rPr>
          <w:rFonts w:eastAsia="Times New Roman"/>
          <w:noProof/>
          <w:szCs w:val="20"/>
        </w:rPr>
        <mc:AlternateContent>
          <mc:Choice Requires="wpg">
            <w:drawing>
              <wp:anchor distT="0" distB="0" distL="114300" distR="114300" simplePos="0" relativeHeight="251650048" behindDoc="0" locked="0" layoutInCell="1" allowOverlap="1" wp14:anchorId="61D8229D" wp14:editId="0070FD0E">
                <wp:simplePos x="0" y="0"/>
                <wp:positionH relativeFrom="margin">
                  <wp:posOffset>616688</wp:posOffset>
                </wp:positionH>
                <wp:positionV relativeFrom="paragraph">
                  <wp:posOffset>2063425</wp:posOffset>
                </wp:positionV>
                <wp:extent cx="5142865" cy="3538250"/>
                <wp:effectExtent l="0" t="0" r="635" b="5080"/>
                <wp:wrapNone/>
                <wp:docPr id="20" name="Group 4" descr="DPH state report cover image depicting seal and State House"/>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142865" cy="3538250"/>
                          <a:chOff x="2463573" y="3697646"/>
                          <a:chExt cx="6084788" cy="4470434"/>
                        </a:xfrm>
                      </wpg:grpSpPr>
                      <wps:wsp>
                        <wps:cNvPr id="29" name="Text Box 2"/>
                        <wps:cNvSpPr txBox="1">
                          <a:spLocks noChangeAspect="1" noChangeArrowheads="1"/>
                        </wps:cNvSpPr>
                        <wps:spPr bwMode="auto">
                          <a:xfrm>
                            <a:off x="4144750" y="7200977"/>
                            <a:ext cx="3111775" cy="9671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352E00" w14:textId="098E7B7B" w:rsidR="00003BEF" w:rsidRPr="00BC3A54" w:rsidRDefault="0022512C" w:rsidP="00291E5C">
                              <w:pPr>
                                <w:rPr>
                                  <w:rFonts w:ascii="Adobe Garamond Pro Bold" w:hAnsi="Adobe Garamond Pro Bold"/>
                                  <w:color w:val="0F243E" w:themeColor="text2" w:themeShade="80"/>
                                  <w:sz w:val="48"/>
                                  <w:szCs w:val="48"/>
                                </w:rPr>
                              </w:pPr>
                              <w:r>
                                <w:rPr>
                                  <w:rFonts w:ascii="Adobe Garamond Pro Bold" w:hAnsi="Adobe Garamond Pro Bold"/>
                                  <w:color w:val="0F243E" w:themeColor="text2" w:themeShade="80"/>
                                  <w:sz w:val="48"/>
                                  <w:szCs w:val="48"/>
                                </w:rPr>
                                <w:t>NOVEMBER 2021</w:t>
                              </w:r>
                            </w:p>
                          </w:txbxContent>
                        </wps:txbx>
                        <wps:bodyPr rot="0" vert="horz" wrap="square" lIns="91440" tIns="45720" rIns="91440" bIns="45720" anchor="t" anchorCtr="0" upright="1">
                          <a:noAutofit/>
                        </wps:bodyPr>
                      </wps:wsp>
                      <wps:wsp>
                        <wps:cNvPr id="30" name="Text Box 2"/>
                        <wps:cNvSpPr txBox="1">
                          <a:spLocks noChangeAspect="1" noChangeArrowheads="1"/>
                        </wps:cNvSpPr>
                        <wps:spPr bwMode="auto">
                          <a:xfrm>
                            <a:off x="2463573" y="3697646"/>
                            <a:ext cx="6084788" cy="25569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FC485D" w14:textId="77777777" w:rsidR="00003BEF" w:rsidRPr="00BC3A54" w:rsidRDefault="00003BEF" w:rsidP="00291E5C">
                              <w:pPr>
                                <w:rPr>
                                  <w:b/>
                                  <w:color w:val="0F243E" w:themeColor="text2" w:themeShade="80"/>
                                  <w:sz w:val="52"/>
                                  <w:szCs w:val="52"/>
                                </w:rPr>
                              </w:pPr>
                              <w:r w:rsidRPr="00BC3A54">
                                <w:rPr>
                                  <w:b/>
                                  <w:color w:val="0F243E" w:themeColor="text2" w:themeShade="80"/>
                                  <w:sz w:val="52"/>
                                  <w:szCs w:val="52"/>
                                </w:rPr>
                                <w:t>Opioid-related Overdose Deaths in</w:t>
                              </w:r>
                            </w:p>
                            <w:p w14:paraId="1F70D288" w14:textId="77777777" w:rsidR="00003BEF" w:rsidRPr="00BC3A54" w:rsidRDefault="00003BEF" w:rsidP="00291E5C">
                              <w:pPr>
                                <w:rPr>
                                  <w:b/>
                                  <w:color w:val="0F243E" w:themeColor="text2" w:themeShade="80"/>
                                  <w:sz w:val="52"/>
                                  <w:szCs w:val="52"/>
                                </w:rPr>
                              </w:pPr>
                            </w:p>
                            <w:p w14:paraId="46496E78" w14:textId="77777777" w:rsidR="00003BEF" w:rsidRPr="00BC3A54" w:rsidRDefault="00003BEF" w:rsidP="00291E5C">
                              <w:pPr>
                                <w:rPr>
                                  <w:b/>
                                  <w:color w:val="0F243E" w:themeColor="text2" w:themeShade="80"/>
                                  <w:sz w:val="52"/>
                                  <w:szCs w:val="52"/>
                                </w:rPr>
                              </w:pPr>
                              <w:r w:rsidRPr="00BC3A54">
                                <w:rPr>
                                  <w:b/>
                                  <w:color w:val="0F243E" w:themeColor="text2" w:themeShade="80"/>
                                  <w:sz w:val="52"/>
                                  <w:szCs w:val="52"/>
                                </w:rPr>
                                <w:t xml:space="preserve"> Massachusetts by Industry and </w:t>
                              </w:r>
                            </w:p>
                            <w:p w14:paraId="0A1FBAE1" w14:textId="77777777" w:rsidR="00003BEF" w:rsidRPr="00BC3A54" w:rsidRDefault="00003BEF" w:rsidP="00291E5C">
                              <w:pPr>
                                <w:rPr>
                                  <w:b/>
                                  <w:color w:val="0F243E" w:themeColor="text2" w:themeShade="80"/>
                                  <w:sz w:val="52"/>
                                  <w:szCs w:val="52"/>
                                </w:rPr>
                              </w:pPr>
                            </w:p>
                            <w:p w14:paraId="7E50EF93" w14:textId="77777777" w:rsidR="00003BEF" w:rsidRPr="00BC3A54" w:rsidRDefault="00003BEF" w:rsidP="00291E5C">
                              <w:pPr>
                                <w:rPr>
                                  <w:b/>
                                  <w:color w:val="0F243E" w:themeColor="text2" w:themeShade="80"/>
                                  <w:sz w:val="52"/>
                                  <w:szCs w:val="52"/>
                                </w:rPr>
                              </w:pPr>
                              <w:r>
                                <w:rPr>
                                  <w:b/>
                                  <w:color w:val="0F243E" w:themeColor="text2" w:themeShade="80"/>
                                  <w:sz w:val="52"/>
                                  <w:szCs w:val="52"/>
                                </w:rPr>
                                <w:t>Occupation, 2016-2017</w:t>
                              </w:r>
                            </w:p>
                            <w:p w14:paraId="0203D032" w14:textId="77777777" w:rsidR="00003BEF" w:rsidRPr="00BC3A54" w:rsidRDefault="00003BEF" w:rsidP="00291E5C">
                              <w:pPr>
                                <w:rPr>
                                  <w:b/>
                                  <w:color w:val="0F243E" w:themeColor="text2" w:themeShade="80"/>
                                  <w:sz w:val="52"/>
                                  <w:szCs w:val="52"/>
                                </w:rPr>
                              </w:pPr>
                            </w:p>
                            <w:p w14:paraId="6756AFF4" w14:textId="77777777" w:rsidR="00003BEF" w:rsidRPr="00D33F05" w:rsidRDefault="00003BEF" w:rsidP="00291E5C">
                              <w:pPr>
                                <w:rPr>
                                  <w:b/>
                                  <w:color w:val="17365D" w:themeColor="text2" w:themeShade="BF"/>
                                  <w:sz w:val="48"/>
                                  <w:szCs w:val="48"/>
                                </w:rPr>
                              </w:pPr>
                            </w:p>
                            <w:p w14:paraId="03A920C7" w14:textId="77777777" w:rsidR="00003BEF" w:rsidRPr="00D33F05" w:rsidRDefault="00003BEF" w:rsidP="00291E5C">
                              <w:pPr>
                                <w:spacing w:line="800" w:lineRule="exact"/>
                                <w:rPr>
                                  <w:sz w:val="48"/>
                                  <w:szCs w:val="4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61D8229D" id="Group 4" o:spid="_x0000_s1026" alt="DPH state report cover image depicting seal and State House" style="position:absolute;left:0;text-align:left;margin-left:48.55pt;margin-top:162.45pt;width:404.95pt;height:278.6pt;z-index:251650048;mso-position-horizontal-relative:margin;mso-height-relative:margin" coordorigin="24635,36976" coordsize="60847,44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">
                <o:lock v:ext="edit" aspectratio="t"/>
                <v:shapetype id="_x0000_t202" coordsize="21600,21600" o:spt="202" path="m,l,21600r21600,l21600,xe">
                  <v:stroke joinstyle="miter"/>
                  <v:path gradientshapeok="t" o:connecttype="rect"/>
                </v:shapetype>
                <v:shape id="_x0000_s1027" type="#_x0000_t202" style="position:absolute;left:41447;top:72009;width:31118;height:9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o:lock v:ext="edit" aspectratio="t"/>
                  <v:textbox>
                    <w:txbxContent>
                      <w:p w14:paraId="35352E00" w14:textId="098E7B7B" w:rsidR="00003BEF" w:rsidRPr="00BC3A54" w:rsidRDefault="0022512C" w:rsidP="00291E5C">
                        <w:pPr>
                          <w:rPr>
                            <w:rFonts w:ascii="Adobe Garamond Pro Bold" w:hAnsi="Adobe Garamond Pro Bold"/>
                            <w:color w:val="0F243E" w:themeColor="text2" w:themeShade="80"/>
                            <w:sz w:val="48"/>
                            <w:szCs w:val="48"/>
                          </w:rPr>
                        </w:pPr>
                        <w:r>
                          <w:rPr>
                            <w:rFonts w:ascii="Adobe Garamond Pro Bold" w:hAnsi="Adobe Garamond Pro Bold"/>
                            <w:color w:val="0F243E" w:themeColor="text2" w:themeShade="80"/>
                            <w:sz w:val="48"/>
                            <w:szCs w:val="48"/>
                          </w:rPr>
                          <w:t>NOVEMBER 2021</w:t>
                        </w:r>
                      </w:p>
                    </w:txbxContent>
                  </v:textbox>
                </v:shape>
                <v:shape id="_x0000_s1028" type="#_x0000_t202" style="position:absolute;left:24635;top:36976;width:60848;height:25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" stroked="f">
                  <o:lock v:ext="edit" aspectratio="t"/>
                  <v:textbox>
                    <w:txbxContent>
                      <w:p w14:paraId="2EFC485D" w14:textId="77777777" w:rsidR="00003BEF" w:rsidRPr="00BC3A54" w:rsidRDefault="00003BEF" w:rsidP="00291E5C">
                        <w:pPr>
                          <w:rPr>
                            <w:b/>
                            <w:color w:val="0F243E" w:themeColor="text2" w:themeShade="80"/>
                            <w:sz w:val="52"/>
                            <w:szCs w:val="52"/>
                          </w:rPr>
                        </w:pPr>
                        <w:r w:rsidRPr="00BC3A54">
                          <w:rPr>
                            <w:b/>
                            <w:color w:val="0F243E" w:themeColor="text2" w:themeShade="80"/>
                            <w:sz w:val="52"/>
                            <w:szCs w:val="52"/>
                          </w:rPr>
                          <w:t>Opioid-related Overdose Deaths in</w:t>
                        </w:r>
                      </w:p>
                      <w:p w14:paraId="1F70D288" w14:textId="77777777" w:rsidR="00003BEF" w:rsidRPr="00BC3A54" w:rsidRDefault="00003BEF" w:rsidP="00291E5C">
                        <w:pPr>
                          <w:rPr>
                            <w:b/>
                            <w:color w:val="0F243E" w:themeColor="text2" w:themeShade="80"/>
                            <w:sz w:val="52"/>
                            <w:szCs w:val="52"/>
                          </w:rPr>
                        </w:pPr>
                      </w:p>
                      <w:p w14:paraId="46496E78" w14:textId="77777777" w:rsidR="00003BEF" w:rsidRPr="00BC3A54" w:rsidRDefault="00003BEF" w:rsidP="00291E5C">
                        <w:pPr>
                          <w:rPr>
                            <w:b/>
                            <w:color w:val="0F243E" w:themeColor="text2" w:themeShade="80"/>
                            <w:sz w:val="52"/>
                            <w:szCs w:val="52"/>
                          </w:rPr>
                        </w:pPr>
                        <w:r w:rsidRPr="00BC3A54">
                          <w:rPr>
                            <w:b/>
                            <w:color w:val="0F243E" w:themeColor="text2" w:themeShade="80"/>
                            <w:sz w:val="52"/>
                            <w:szCs w:val="52"/>
                          </w:rPr>
                          <w:t xml:space="preserve"> Massachusetts by Industry and </w:t>
                        </w:r>
                      </w:p>
                      <w:p w14:paraId="0A1FBAE1" w14:textId="77777777" w:rsidR="00003BEF" w:rsidRPr="00BC3A54" w:rsidRDefault="00003BEF" w:rsidP="00291E5C">
                        <w:pPr>
                          <w:rPr>
                            <w:b/>
                            <w:color w:val="0F243E" w:themeColor="text2" w:themeShade="80"/>
                            <w:sz w:val="52"/>
                            <w:szCs w:val="52"/>
                          </w:rPr>
                        </w:pPr>
                      </w:p>
                      <w:p w14:paraId="7E50EF93" w14:textId="77777777" w:rsidR="00003BEF" w:rsidRPr="00BC3A54" w:rsidRDefault="00003BEF" w:rsidP="00291E5C">
                        <w:pPr>
                          <w:rPr>
                            <w:b/>
                            <w:color w:val="0F243E" w:themeColor="text2" w:themeShade="80"/>
                            <w:sz w:val="52"/>
                            <w:szCs w:val="52"/>
                          </w:rPr>
                        </w:pPr>
                        <w:r>
                          <w:rPr>
                            <w:b/>
                            <w:color w:val="0F243E" w:themeColor="text2" w:themeShade="80"/>
                            <w:sz w:val="52"/>
                            <w:szCs w:val="52"/>
                          </w:rPr>
                          <w:t>Occupation, 2016-2017</w:t>
                        </w:r>
                      </w:p>
                      <w:p w14:paraId="0203D032" w14:textId="77777777" w:rsidR="00003BEF" w:rsidRPr="00BC3A54" w:rsidRDefault="00003BEF" w:rsidP="00291E5C">
                        <w:pPr>
                          <w:rPr>
                            <w:b/>
                            <w:color w:val="0F243E" w:themeColor="text2" w:themeShade="80"/>
                            <w:sz w:val="52"/>
                            <w:szCs w:val="52"/>
                          </w:rPr>
                        </w:pPr>
                      </w:p>
                      <w:p w14:paraId="6756AFF4" w14:textId="77777777" w:rsidR="00003BEF" w:rsidRPr="00D33F05" w:rsidRDefault="00003BEF" w:rsidP="00291E5C">
                        <w:pPr>
                          <w:rPr>
                            <w:b/>
                            <w:color w:val="17365D" w:themeColor="text2" w:themeShade="BF"/>
                            <w:sz w:val="48"/>
                            <w:szCs w:val="48"/>
                          </w:rPr>
                        </w:pPr>
                      </w:p>
                      <w:p w14:paraId="03A920C7" w14:textId="77777777" w:rsidR="00003BEF" w:rsidRPr="00D33F05" w:rsidRDefault="00003BEF" w:rsidP="00291E5C">
                        <w:pPr>
                          <w:spacing w:line="800" w:lineRule="exact"/>
                          <w:rPr>
                            <w:sz w:val="48"/>
                            <w:szCs w:val="48"/>
                          </w:rPr>
                        </w:pPr>
                      </w:p>
                    </w:txbxContent>
                  </v:textbox>
                </v:shape>
                <w10:wrap anchorx="margin"/>
              </v:group>
            </w:pict>
          </mc:Fallback>
        </mc:AlternateContent>
      </w:r>
      <w:r>
        <w:rPr>
          <w:noProof/>
        </w:rPr>
        <w:drawing>
          <wp:anchor distT="0" distB="0" distL="114300" distR="114300" simplePos="0" relativeHeight="251641855" behindDoc="0" locked="0" layoutInCell="1" allowOverlap="1" wp14:anchorId="19C9168E" wp14:editId="4585ABF2">
            <wp:simplePos x="0" y="0"/>
            <wp:positionH relativeFrom="column">
              <wp:posOffset>-523663</wp:posOffset>
            </wp:positionH>
            <wp:positionV relativeFrom="paragraph">
              <wp:posOffset>1310640</wp:posOffset>
            </wp:positionV>
            <wp:extent cx="7622540" cy="733425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2540" cy="733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91E5C">
        <w:br w:type="page"/>
      </w:r>
    </w:p>
    <w:p w14:paraId="437C1000" w14:textId="77777777" w:rsidR="002771F9" w:rsidRDefault="002771F9">
      <w:pPr>
        <w:rPr>
          <w:b/>
          <w:color w:val="17365D" w:themeColor="text2" w:themeShade="BF"/>
          <w:sz w:val="28"/>
          <w:szCs w:val="28"/>
        </w:rPr>
      </w:pPr>
      <w:r w:rsidRPr="002771F9">
        <w:rPr>
          <w:b/>
          <w:noProof/>
          <w:color w:val="17365D" w:themeColor="text2" w:themeShade="BF"/>
          <w:sz w:val="28"/>
          <w:szCs w:val="28"/>
        </w:rPr>
        <w:lastRenderedPageBreak/>
        <mc:AlternateContent>
          <mc:Choice Requires="wps">
            <w:drawing>
              <wp:anchor distT="0" distB="0" distL="114300" distR="114300" simplePos="0" relativeHeight="251666432" behindDoc="0" locked="0" layoutInCell="1" allowOverlap="1" wp14:anchorId="4906026B" wp14:editId="06979A9E">
                <wp:simplePos x="0" y="0"/>
                <wp:positionH relativeFrom="column">
                  <wp:posOffset>789305</wp:posOffset>
                </wp:positionH>
                <wp:positionV relativeFrom="paragraph">
                  <wp:posOffset>256540</wp:posOffset>
                </wp:positionV>
                <wp:extent cx="5257800" cy="571500"/>
                <wp:effectExtent l="0" t="0" r="0" b="0"/>
                <wp:wrapSquare wrapText="bothSides"/>
                <wp:docPr id="290" name="Text Box 290"/>
                <wp:cNvGraphicFramePr/>
                <a:graphic xmlns:a="http://schemas.openxmlformats.org/drawingml/2006/main">
                  <a:graphicData uri="http://schemas.microsoft.com/office/word/2010/wordprocessingShape">
                    <wps:wsp>
                      <wps:cNvSpPr txBox="1"/>
                      <wps:spPr>
                        <a:xfrm>
                          <a:off x="0" y="0"/>
                          <a:ext cx="5257800"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7C8ECEE" w14:textId="77777777" w:rsidR="00003BEF" w:rsidRPr="00BC3A54" w:rsidRDefault="00003BEF" w:rsidP="002771F9">
                            <w:pPr>
                              <w:rPr>
                                <w:b/>
                                <w:color w:val="365F91" w:themeColor="accent1" w:themeShade="BF"/>
                                <w:sz w:val="32"/>
                                <w:szCs w:val="32"/>
                              </w:rPr>
                            </w:pPr>
                            <w:r w:rsidRPr="00BC3A54">
                              <w:rPr>
                                <w:b/>
                                <w:color w:val="365F91" w:themeColor="accent1" w:themeShade="BF"/>
                                <w:sz w:val="32"/>
                                <w:szCs w:val="32"/>
                              </w:rPr>
                              <w:t>Opioid-related Overdose Deaths in Massachusetts by</w:t>
                            </w:r>
                          </w:p>
                          <w:p w14:paraId="42360D6D" w14:textId="77777777" w:rsidR="00003BEF" w:rsidRPr="00BC3A54" w:rsidRDefault="00003BEF" w:rsidP="002771F9">
                            <w:pPr>
                              <w:rPr>
                                <w:b/>
                                <w:color w:val="365F91" w:themeColor="accent1" w:themeShade="BF"/>
                                <w:sz w:val="32"/>
                                <w:szCs w:val="32"/>
                              </w:rPr>
                            </w:pPr>
                            <w:r w:rsidRPr="00BC3A54">
                              <w:rPr>
                                <w:b/>
                                <w:color w:val="365F91" w:themeColor="accent1" w:themeShade="BF"/>
                                <w:sz w:val="32"/>
                                <w:szCs w:val="32"/>
                              </w:rPr>
                              <w:t>In</w:t>
                            </w:r>
                            <w:r>
                              <w:rPr>
                                <w:b/>
                                <w:color w:val="365F91" w:themeColor="accent1" w:themeShade="BF"/>
                                <w:sz w:val="32"/>
                                <w:szCs w:val="32"/>
                              </w:rPr>
                              <w:t>dustry and Occupation, 2016-2017</w:t>
                            </w:r>
                          </w:p>
                          <w:p w14:paraId="2EADD375" w14:textId="77777777" w:rsidR="00003BEF" w:rsidRPr="00BC3A54" w:rsidRDefault="00003BEF" w:rsidP="002771F9">
                            <w:pPr>
                              <w:rPr>
                                <w:b/>
                                <w:color w:val="17365D" w:themeColor="text2" w:themeShade="BF"/>
                                <w:sz w:val="28"/>
                                <w:szCs w:val="28"/>
                              </w:rPr>
                            </w:pPr>
                          </w:p>
                          <w:p w14:paraId="5D960692" w14:textId="77777777" w:rsidR="00003BEF" w:rsidRPr="007749BB" w:rsidRDefault="00003BEF" w:rsidP="002771F9">
                            <w:pPr>
                              <w:jc w:val="left"/>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6026B" id="Text Box 290" o:spid="_x0000_s1029" type="#_x0000_t202" style="position:absolute;left:0;text-align:left;margin-left:62.15pt;margin-top:20.2pt;width:414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" filled="f" stroked="f">
                <v:textbox>
                  <w:txbxContent>
                    <w:p w14:paraId="07C8ECEE" w14:textId="77777777" w:rsidR="00003BEF" w:rsidRPr="00BC3A54" w:rsidRDefault="00003BEF" w:rsidP="002771F9">
                      <w:pPr>
                        <w:rPr>
                          <w:b/>
                          <w:color w:val="365F91" w:themeColor="accent1" w:themeShade="BF"/>
                          <w:sz w:val="32"/>
                          <w:szCs w:val="32"/>
                        </w:rPr>
                      </w:pPr>
                      <w:r w:rsidRPr="00BC3A54">
                        <w:rPr>
                          <w:b/>
                          <w:color w:val="365F91" w:themeColor="accent1" w:themeShade="BF"/>
                          <w:sz w:val="32"/>
                          <w:szCs w:val="32"/>
                        </w:rPr>
                        <w:t>Opioid-related Overdose Deaths in Massachusetts by</w:t>
                      </w:r>
                    </w:p>
                    <w:p w14:paraId="42360D6D" w14:textId="77777777" w:rsidR="00003BEF" w:rsidRPr="00BC3A54" w:rsidRDefault="00003BEF" w:rsidP="002771F9">
                      <w:pPr>
                        <w:rPr>
                          <w:b/>
                          <w:color w:val="365F91" w:themeColor="accent1" w:themeShade="BF"/>
                          <w:sz w:val="32"/>
                          <w:szCs w:val="32"/>
                        </w:rPr>
                      </w:pPr>
                      <w:r w:rsidRPr="00BC3A54">
                        <w:rPr>
                          <w:b/>
                          <w:color w:val="365F91" w:themeColor="accent1" w:themeShade="BF"/>
                          <w:sz w:val="32"/>
                          <w:szCs w:val="32"/>
                        </w:rPr>
                        <w:t>In</w:t>
                      </w:r>
                      <w:r>
                        <w:rPr>
                          <w:b/>
                          <w:color w:val="365F91" w:themeColor="accent1" w:themeShade="BF"/>
                          <w:sz w:val="32"/>
                          <w:szCs w:val="32"/>
                        </w:rPr>
                        <w:t>dustry and Occupation, 2016-2017</w:t>
                      </w:r>
                    </w:p>
                    <w:p w14:paraId="2EADD375" w14:textId="77777777" w:rsidR="00003BEF" w:rsidRPr="00BC3A54" w:rsidRDefault="00003BEF" w:rsidP="002771F9">
                      <w:pPr>
                        <w:rPr>
                          <w:b/>
                          <w:color w:val="17365D" w:themeColor="text2" w:themeShade="BF"/>
                          <w:sz w:val="28"/>
                          <w:szCs w:val="28"/>
                        </w:rPr>
                      </w:pPr>
                    </w:p>
                    <w:p w14:paraId="5D960692" w14:textId="77777777" w:rsidR="00003BEF" w:rsidRPr="007749BB" w:rsidRDefault="00003BEF" w:rsidP="002771F9">
                      <w:pPr>
                        <w:jc w:val="left"/>
                        <w:rPr>
                          <w:sz w:val="28"/>
                          <w:szCs w:val="28"/>
                        </w:rPr>
                      </w:pPr>
                    </w:p>
                  </w:txbxContent>
                </v:textbox>
                <w10:wrap type="square"/>
              </v:shape>
            </w:pict>
          </mc:Fallback>
        </mc:AlternateContent>
      </w:r>
      <w:r w:rsidRPr="002771F9">
        <w:rPr>
          <w:b/>
          <w:noProof/>
          <w:color w:val="17365D" w:themeColor="text2" w:themeShade="BF"/>
          <w:sz w:val="28"/>
          <w:szCs w:val="28"/>
        </w:rPr>
        <w:drawing>
          <wp:anchor distT="0" distB="0" distL="114300" distR="114300" simplePos="0" relativeHeight="251668480" behindDoc="0" locked="0" layoutInCell="1" allowOverlap="1" wp14:anchorId="0113476A" wp14:editId="5BA760D5">
            <wp:simplePos x="0" y="0"/>
            <wp:positionH relativeFrom="column">
              <wp:posOffset>0</wp:posOffset>
            </wp:positionH>
            <wp:positionV relativeFrom="paragraph">
              <wp:posOffset>-635</wp:posOffset>
            </wp:positionV>
            <wp:extent cx="1029335" cy="991870"/>
            <wp:effectExtent l="0" t="0" r="0" b="0"/>
            <wp:wrapNone/>
            <wp:docPr id="306" name="Picture 15" descr="DP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pic:cNvPicPr>
                      <a:picLocks noChangeAspect="1" noChangeArrowheads="1"/>
                    </pic:cNvPicPr>
                  </pic:nvPicPr>
                  <pic:blipFill>
                    <a:blip r:embed="rId10">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29335" cy="991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7E9CF4" w14:textId="77777777" w:rsidR="002771F9" w:rsidRDefault="002771F9">
      <w:pPr>
        <w:rPr>
          <w:b/>
          <w:color w:val="17365D" w:themeColor="text2" w:themeShade="BF"/>
          <w:sz w:val="28"/>
          <w:szCs w:val="28"/>
        </w:rPr>
      </w:pPr>
    </w:p>
    <w:p w14:paraId="59580505" w14:textId="77777777" w:rsidR="002771F9" w:rsidRDefault="002771F9">
      <w:pPr>
        <w:rPr>
          <w:b/>
          <w:color w:val="17365D" w:themeColor="text2" w:themeShade="BF"/>
          <w:sz w:val="28"/>
          <w:szCs w:val="28"/>
        </w:rPr>
      </w:pPr>
    </w:p>
    <w:p w14:paraId="20C57C7E" w14:textId="77777777" w:rsidR="002771F9" w:rsidRDefault="002771F9">
      <w:pPr>
        <w:rPr>
          <w:b/>
          <w:color w:val="17365D" w:themeColor="text2" w:themeShade="BF"/>
          <w:sz w:val="28"/>
          <w:szCs w:val="28"/>
        </w:rPr>
      </w:pPr>
    </w:p>
    <w:p w14:paraId="5345A1EC" w14:textId="77777777" w:rsidR="002771F9" w:rsidRDefault="002771F9">
      <w:pPr>
        <w:rPr>
          <w:b/>
          <w:color w:val="17365D" w:themeColor="text2" w:themeShade="BF"/>
          <w:sz w:val="28"/>
          <w:szCs w:val="28"/>
        </w:rPr>
      </w:pPr>
    </w:p>
    <w:p w14:paraId="3161C4C2" w14:textId="77777777" w:rsidR="002771F9" w:rsidRDefault="002771F9" w:rsidP="002771F9">
      <w:pPr>
        <w:jc w:val="left"/>
        <w:rPr>
          <w:b/>
        </w:rPr>
      </w:pPr>
    </w:p>
    <w:p w14:paraId="0EC62125" w14:textId="77777777" w:rsidR="002771F9" w:rsidRDefault="002771F9" w:rsidP="002771F9">
      <w:pPr>
        <w:jc w:val="left"/>
        <w:rPr>
          <w:b/>
        </w:rPr>
      </w:pPr>
      <w:r w:rsidRPr="002771F9">
        <w:rPr>
          <w:b/>
        </w:rPr>
        <w:t>Acknowledgments</w:t>
      </w:r>
    </w:p>
    <w:p w14:paraId="61F233AC" w14:textId="77777777" w:rsidR="002771F9" w:rsidRDefault="002771F9" w:rsidP="002771F9">
      <w:pPr>
        <w:jc w:val="left"/>
        <w:rPr>
          <w:b/>
        </w:rPr>
      </w:pPr>
    </w:p>
    <w:p w14:paraId="23B54645" w14:textId="73A5CEFF" w:rsidR="002771F9" w:rsidRDefault="002771F9" w:rsidP="002771F9">
      <w:pPr>
        <w:jc w:val="left"/>
        <w:rPr>
          <w:bCs/>
        </w:rPr>
      </w:pPr>
      <w:r w:rsidRPr="002771F9">
        <w:rPr>
          <w:bCs/>
        </w:rPr>
        <w:t>This project was supported by a grant (</w:t>
      </w:r>
      <w:r w:rsidR="005120FA" w:rsidRPr="005120FA">
        <w:rPr>
          <w:bCs/>
        </w:rPr>
        <w:t>5 NU17CE925012-02-00</w:t>
      </w:r>
      <w:r w:rsidRPr="002771F9">
        <w:rPr>
          <w:bCs/>
        </w:rPr>
        <w:t>) from the Centers for Disease Control and Prevention to the Massachusetts Department of Public Health (</w:t>
      </w:r>
      <w:r w:rsidR="00B001E3">
        <w:rPr>
          <w:bCs/>
        </w:rPr>
        <w:t>M</w:t>
      </w:r>
      <w:r w:rsidRPr="002771F9">
        <w:rPr>
          <w:bCs/>
        </w:rPr>
        <w:t xml:space="preserve">DPH). The study was conducted by Michelle Reid, James Laing, Kathleen Grattan, and Emily Sparer-Fine of the </w:t>
      </w:r>
      <w:r w:rsidR="00B001E3">
        <w:rPr>
          <w:bCs/>
        </w:rPr>
        <w:t>M</w:t>
      </w:r>
      <w:r w:rsidR="00655C28">
        <w:rPr>
          <w:bCs/>
        </w:rPr>
        <w:t>D</w:t>
      </w:r>
      <w:r w:rsidR="00B62A9B">
        <w:rPr>
          <w:bCs/>
        </w:rPr>
        <w:t xml:space="preserve">PH </w:t>
      </w:r>
      <w:r w:rsidRPr="002771F9">
        <w:rPr>
          <w:bCs/>
        </w:rPr>
        <w:t xml:space="preserve">Occupational Health Surveillance Program (OHSP). OHSP collaborated with the </w:t>
      </w:r>
      <w:r w:rsidR="00B001E3">
        <w:rPr>
          <w:bCs/>
        </w:rPr>
        <w:t>M</w:t>
      </w:r>
      <w:r w:rsidRPr="002771F9">
        <w:rPr>
          <w:bCs/>
        </w:rPr>
        <w:t>DPH Bureau of Substance Addiction Services, the Injury Surveillance Program</w:t>
      </w:r>
      <w:r w:rsidR="005120FA">
        <w:rPr>
          <w:bCs/>
        </w:rPr>
        <w:t>,</w:t>
      </w:r>
      <w:r w:rsidRPr="002771F9">
        <w:rPr>
          <w:bCs/>
        </w:rPr>
        <w:t xml:space="preserve"> and the Office of Special Analytic Projects in carrying out this work.</w:t>
      </w:r>
    </w:p>
    <w:p w14:paraId="7C559769" w14:textId="77777777" w:rsidR="002771F9" w:rsidRDefault="002771F9" w:rsidP="002771F9">
      <w:pPr>
        <w:jc w:val="left"/>
        <w:rPr>
          <w:bCs/>
        </w:rPr>
      </w:pPr>
    </w:p>
    <w:p w14:paraId="7A9E88E2" w14:textId="77777777" w:rsidR="002771F9" w:rsidRPr="002771F9" w:rsidRDefault="002771F9" w:rsidP="002771F9">
      <w:pPr>
        <w:jc w:val="left"/>
        <w:rPr>
          <w:bCs/>
        </w:rPr>
      </w:pPr>
      <w:r w:rsidRPr="002771F9">
        <w:rPr>
          <w:bCs/>
        </w:rPr>
        <w:t>To obtain additional copies of this report, please contact:</w:t>
      </w:r>
    </w:p>
    <w:p w14:paraId="2EF63C1D" w14:textId="77777777" w:rsidR="002771F9" w:rsidRPr="002771F9" w:rsidRDefault="002771F9" w:rsidP="002771F9">
      <w:pPr>
        <w:jc w:val="left"/>
        <w:rPr>
          <w:bCs/>
        </w:rPr>
      </w:pPr>
      <w:r w:rsidRPr="002771F9">
        <w:rPr>
          <w:bCs/>
        </w:rPr>
        <w:t>Massachusetts Department of Public Health</w:t>
      </w:r>
    </w:p>
    <w:p w14:paraId="376D01AC" w14:textId="77777777" w:rsidR="002771F9" w:rsidRPr="002771F9" w:rsidRDefault="002771F9" w:rsidP="002771F9">
      <w:pPr>
        <w:jc w:val="left"/>
        <w:rPr>
          <w:bCs/>
        </w:rPr>
      </w:pPr>
      <w:r w:rsidRPr="002771F9">
        <w:rPr>
          <w:bCs/>
        </w:rPr>
        <w:t>Occupational Health Surveillance Program</w:t>
      </w:r>
    </w:p>
    <w:p w14:paraId="6BE5F4DB" w14:textId="77777777" w:rsidR="002771F9" w:rsidRPr="002771F9" w:rsidRDefault="002771F9" w:rsidP="002771F9">
      <w:pPr>
        <w:jc w:val="left"/>
        <w:rPr>
          <w:bCs/>
        </w:rPr>
      </w:pPr>
      <w:r w:rsidRPr="002771F9">
        <w:rPr>
          <w:bCs/>
        </w:rPr>
        <w:t>250 Washington Street, 4th Floor</w:t>
      </w:r>
    </w:p>
    <w:p w14:paraId="6FEF596F" w14:textId="206ED859" w:rsidR="002771F9" w:rsidRPr="002771F9" w:rsidRDefault="002771F9" w:rsidP="002771F9">
      <w:pPr>
        <w:jc w:val="left"/>
        <w:rPr>
          <w:bCs/>
        </w:rPr>
      </w:pPr>
      <w:r w:rsidRPr="002771F9">
        <w:rPr>
          <w:bCs/>
        </w:rPr>
        <w:t>Boston, MA 021</w:t>
      </w:r>
      <w:r w:rsidR="005120FA">
        <w:rPr>
          <w:bCs/>
        </w:rPr>
        <w:t>0</w:t>
      </w:r>
      <w:r w:rsidRPr="002771F9">
        <w:rPr>
          <w:bCs/>
        </w:rPr>
        <w:t>8</w:t>
      </w:r>
    </w:p>
    <w:p w14:paraId="4C46FC79" w14:textId="77777777" w:rsidR="002771F9" w:rsidRDefault="002771F9" w:rsidP="002771F9">
      <w:pPr>
        <w:jc w:val="left"/>
        <w:rPr>
          <w:bCs/>
        </w:rPr>
      </w:pPr>
      <w:r w:rsidRPr="002771F9">
        <w:rPr>
          <w:bCs/>
        </w:rPr>
        <w:t>617-624-5632</w:t>
      </w:r>
    </w:p>
    <w:p w14:paraId="5A507F41" w14:textId="77777777" w:rsidR="002771F9" w:rsidRDefault="002771F9" w:rsidP="002771F9">
      <w:pPr>
        <w:jc w:val="left"/>
        <w:rPr>
          <w:bCs/>
        </w:rPr>
      </w:pPr>
    </w:p>
    <w:p w14:paraId="5D2EBD86" w14:textId="6CE11E39" w:rsidR="002771F9" w:rsidRPr="002771F9" w:rsidRDefault="002771F9" w:rsidP="002771F9">
      <w:pPr>
        <w:jc w:val="left"/>
        <w:rPr>
          <w:bCs/>
        </w:rPr>
      </w:pPr>
      <w:r w:rsidRPr="002771F9">
        <w:rPr>
          <w:bCs/>
        </w:rPr>
        <w:t xml:space="preserve">The report is also available online at </w:t>
      </w:r>
      <w:r w:rsidR="007516E4" w:rsidRPr="007516E4">
        <w:rPr>
          <w:bCs/>
        </w:rPr>
        <w:t>https://www.mass.gov/lists/occupational-health-special-topics#opioids-and-work-</w:t>
      </w:r>
      <w:r w:rsidR="007516E4" w:rsidRPr="002771F9" w:rsidDel="007516E4">
        <w:rPr>
          <w:bCs/>
        </w:rPr>
        <w:t xml:space="preserve"> </w:t>
      </w:r>
    </w:p>
    <w:p w14:paraId="6529A082" w14:textId="77777777" w:rsidR="002771F9" w:rsidRPr="002771F9" w:rsidRDefault="002771F9" w:rsidP="002771F9">
      <w:pPr>
        <w:jc w:val="left"/>
        <w:rPr>
          <w:bCs/>
        </w:rPr>
      </w:pPr>
    </w:p>
    <w:p w14:paraId="08FF8B79" w14:textId="77777777" w:rsidR="002771F9" w:rsidRPr="002771F9" w:rsidRDefault="002771F9" w:rsidP="002771F9">
      <w:pPr>
        <w:jc w:val="left"/>
        <w:rPr>
          <w:bCs/>
        </w:rPr>
      </w:pPr>
      <w:r w:rsidRPr="002771F9">
        <w:rPr>
          <w:bCs/>
        </w:rPr>
        <w:t>Preferred citation: Massachusetts Department of Public Health Occupational Health Surveillance Program</w:t>
      </w:r>
    </w:p>
    <w:p w14:paraId="4E96582E" w14:textId="54547652" w:rsidR="002771F9" w:rsidRPr="002771F9" w:rsidRDefault="002771F9" w:rsidP="002771F9">
      <w:pPr>
        <w:jc w:val="left"/>
        <w:rPr>
          <w:bCs/>
        </w:rPr>
      </w:pPr>
      <w:r w:rsidRPr="002771F9">
        <w:rPr>
          <w:bCs/>
        </w:rPr>
        <w:t>(202</w:t>
      </w:r>
      <w:r w:rsidR="002F5567">
        <w:rPr>
          <w:bCs/>
        </w:rPr>
        <w:t>1</w:t>
      </w:r>
      <w:r w:rsidRPr="002771F9">
        <w:rPr>
          <w:bCs/>
        </w:rPr>
        <w:t xml:space="preserve">); Opioid-related Overdose Deaths in Massachusetts by Industry and Occupation, 2016-2017. </w:t>
      </w:r>
    </w:p>
    <w:p w14:paraId="78C1B187" w14:textId="77777777" w:rsidR="002771F9" w:rsidRPr="002771F9" w:rsidRDefault="002771F9" w:rsidP="002771F9">
      <w:pPr>
        <w:jc w:val="left"/>
        <w:rPr>
          <w:bCs/>
        </w:rPr>
      </w:pPr>
    </w:p>
    <w:p w14:paraId="39C4798F" w14:textId="77777777" w:rsidR="00791BA8" w:rsidRDefault="00791BA8">
      <w:pPr>
        <w:rPr>
          <w:b/>
          <w:color w:val="17365D" w:themeColor="text2" w:themeShade="BF"/>
          <w:sz w:val="28"/>
          <w:szCs w:val="28"/>
        </w:rPr>
      </w:pPr>
      <w:r>
        <w:rPr>
          <w:b/>
          <w:color w:val="17365D" w:themeColor="text2" w:themeShade="BF"/>
          <w:sz w:val="28"/>
          <w:szCs w:val="28"/>
        </w:rPr>
        <w:br w:type="page"/>
      </w:r>
    </w:p>
    <w:p w14:paraId="417843FB" w14:textId="1CA00DD0" w:rsidR="00791BA8" w:rsidRDefault="00791BA8" w:rsidP="00BB0277">
      <w:pPr>
        <w:outlineLvl w:val="0"/>
        <w:rPr>
          <w:b/>
          <w:color w:val="17365D" w:themeColor="text2" w:themeShade="BF"/>
          <w:sz w:val="28"/>
          <w:szCs w:val="28"/>
        </w:rPr>
      </w:pPr>
    </w:p>
    <w:p w14:paraId="3DD4D6A4" w14:textId="572E0C70" w:rsidR="00791BA8" w:rsidRDefault="00791BA8" w:rsidP="00BB0277">
      <w:pPr>
        <w:outlineLvl w:val="0"/>
        <w:rPr>
          <w:b/>
          <w:color w:val="17365D" w:themeColor="text2" w:themeShade="BF"/>
          <w:sz w:val="28"/>
          <w:szCs w:val="28"/>
        </w:rPr>
      </w:pPr>
      <w:r w:rsidRPr="00791BA8">
        <w:rPr>
          <w:b/>
          <w:noProof/>
          <w:color w:val="17365D" w:themeColor="text2" w:themeShade="BF"/>
          <w:sz w:val="28"/>
          <w:szCs w:val="28"/>
        </w:rPr>
        <mc:AlternateContent>
          <mc:Choice Requires="wps">
            <w:drawing>
              <wp:anchor distT="0" distB="0" distL="114300" distR="114300" simplePos="0" relativeHeight="251662336" behindDoc="0" locked="0" layoutInCell="1" allowOverlap="1" wp14:anchorId="3F3AB57B" wp14:editId="2F970FA6">
                <wp:simplePos x="0" y="0"/>
                <wp:positionH relativeFrom="column">
                  <wp:posOffset>1019175</wp:posOffset>
                </wp:positionH>
                <wp:positionV relativeFrom="paragraph">
                  <wp:posOffset>-240665</wp:posOffset>
                </wp:positionV>
                <wp:extent cx="5257800" cy="57150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5257800"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6028D03" w14:textId="77777777" w:rsidR="00003BEF" w:rsidRPr="00BC3A54" w:rsidRDefault="00003BEF" w:rsidP="00791BA8">
                            <w:pPr>
                              <w:rPr>
                                <w:b/>
                                <w:color w:val="365F91" w:themeColor="accent1" w:themeShade="BF"/>
                                <w:sz w:val="32"/>
                                <w:szCs w:val="32"/>
                              </w:rPr>
                            </w:pPr>
                            <w:r w:rsidRPr="00BC3A54">
                              <w:rPr>
                                <w:b/>
                                <w:color w:val="365F91" w:themeColor="accent1" w:themeShade="BF"/>
                                <w:sz w:val="32"/>
                                <w:szCs w:val="32"/>
                              </w:rPr>
                              <w:t>Opioid-related Overdose Deaths in Massachusetts by</w:t>
                            </w:r>
                          </w:p>
                          <w:p w14:paraId="3AE892D1" w14:textId="77777777" w:rsidR="00003BEF" w:rsidRPr="00BC3A54" w:rsidRDefault="00003BEF" w:rsidP="00791BA8">
                            <w:pPr>
                              <w:rPr>
                                <w:b/>
                                <w:color w:val="365F91" w:themeColor="accent1" w:themeShade="BF"/>
                                <w:sz w:val="32"/>
                                <w:szCs w:val="32"/>
                              </w:rPr>
                            </w:pPr>
                            <w:r w:rsidRPr="00BC3A54">
                              <w:rPr>
                                <w:b/>
                                <w:color w:val="365F91" w:themeColor="accent1" w:themeShade="BF"/>
                                <w:sz w:val="32"/>
                                <w:szCs w:val="32"/>
                              </w:rPr>
                              <w:t>In</w:t>
                            </w:r>
                            <w:r>
                              <w:rPr>
                                <w:b/>
                                <w:color w:val="365F91" w:themeColor="accent1" w:themeShade="BF"/>
                                <w:sz w:val="32"/>
                                <w:szCs w:val="32"/>
                              </w:rPr>
                              <w:t>dustry and Occupation, 2016-2017</w:t>
                            </w:r>
                          </w:p>
                          <w:p w14:paraId="075536E4" w14:textId="77777777" w:rsidR="00003BEF" w:rsidRPr="00BC3A54" w:rsidRDefault="00003BEF" w:rsidP="00791BA8">
                            <w:pPr>
                              <w:rPr>
                                <w:b/>
                                <w:color w:val="17365D" w:themeColor="text2" w:themeShade="BF"/>
                                <w:sz w:val="28"/>
                                <w:szCs w:val="28"/>
                              </w:rPr>
                            </w:pPr>
                          </w:p>
                          <w:p w14:paraId="6B278FEF" w14:textId="77777777" w:rsidR="00003BEF" w:rsidRPr="007749BB" w:rsidRDefault="00003BEF" w:rsidP="00791BA8">
                            <w:pPr>
                              <w:jc w:val="left"/>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AB57B" id="Text Box 14" o:spid="_x0000_s1030" type="#_x0000_t202" style="position:absolute;left:0;text-align:left;margin-left:80.25pt;margin-top:-18.95pt;width:414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" filled="f" stroked="f">
                <v:textbox>
                  <w:txbxContent>
                    <w:p w14:paraId="56028D03" w14:textId="77777777" w:rsidR="00003BEF" w:rsidRPr="00BC3A54" w:rsidRDefault="00003BEF" w:rsidP="00791BA8">
                      <w:pPr>
                        <w:rPr>
                          <w:b/>
                          <w:color w:val="365F91" w:themeColor="accent1" w:themeShade="BF"/>
                          <w:sz w:val="32"/>
                          <w:szCs w:val="32"/>
                        </w:rPr>
                      </w:pPr>
                      <w:r w:rsidRPr="00BC3A54">
                        <w:rPr>
                          <w:b/>
                          <w:color w:val="365F91" w:themeColor="accent1" w:themeShade="BF"/>
                          <w:sz w:val="32"/>
                          <w:szCs w:val="32"/>
                        </w:rPr>
                        <w:t>Opioid-related Overdose Deaths in Massachusetts by</w:t>
                      </w:r>
                    </w:p>
                    <w:p w14:paraId="3AE892D1" w14:textId="77777777" w:rsidR="00003BEF" w:rsidRPr="00BC3A54" w:rsidRDefault="00003BEF" w:rsidP="00791BA8">
                      <w:pPr>
                        <w:rPr>
                          <w:b/>
                          <w:color w:val="365F91" w:themeColor="accent1" w:themeShade="BF"/>
                          <w:sz w:val="32"/>
                          <w:szCs w:val="32"/>
                        </w:rPr>
                      </w:pPr>
                      <w:r w:rsidRPr="00BC3A54">
                        <w:rPr>
                          <w:b/>
                          <w:color w:val="365F91" w:themeColor="accent1" w:themeShade="BF"/>
                          <w:sz w:val="32"/>
                          <w:szCs w:val="32"/>
                        </w:rPr>
                        <w:t>In</w:t>
                      </w:r>
                      <w:r>
                        <w:rPr>
                          <w:b/>
                          <w:color w:val="365F91" w:themeColor="accent1" w:themeShade="BF"/>
                          <w:sz w:val="32"/>
                          <w:szCs w:val="32"/>
                        </w:rPr>
                        <w:t>dustry and Occupation, 2016-2017</w:t>
                      </w:r>
                    </w:p>
                    <w:p w14:paraId="075536E4" w14:textId="77777777" w:rsidR="00003BEF" w:rsidRPr="00BC3A54" w:rsidRDefault="00003BEF" w:rsidP="00791BA8">
                      <w:pPr>
                        <w:rPr>
                          <w:b/>
                          <w:color w:val="17365D" w:themeColor="text2" w:themeShade="BF"/>
                          <w:sz w:val="28"/>
                          <w:szCs w:val="28"/>
                        </w:rPr>
                      </w:pPr>
                    </w:p>
                    <w:p w14:paraId="6B278FEF" w14:textId="77777777" w:rsidR="00003BEF" w:rsidRPr="007749BB" w:rsidRDefault="00003BEF" w:rsidP="00791BA8">
                      <w:pPr>
                        <w:jc w:val="left"/>
                        <w:rPr>
                          <w:sz w:val="28"/>
                          <w:szCs w:val="28"/>
                        </w:rPr>
                      </w:pPr>
                    </w:p>
                  </w:txbxContent>
                </v:textbox>
                <w10:wrap type="square"/>
              </v:shape>
            </w:pict>
          </mc:Fallback>
        </mc:AlternateContent>
      </w:r>
      <w:r w:rsidRPr="00791BA8">
        <w:rPr>
          <w:b/>
          <w:noProof/>
          <w:color w:val="17365D" w:themeColor="text2" w:themeShade="BF"/>
          <w:sz w:val="28"/>
          <w:szCs w:val="28"/>
        </w:rPr>
        <w:drawing>
          <wp:anchor distT="0" distB="0" distL="114300" distR="114300" simplePos="0" relativeHeight="251664384" behindDoc="0" locked="0" layoutInCell="1" allowOverlap="1" wp14:anchorId="1F0A2C55" wp14:editId="58327190">
            <wp:simplePos x="0" y="0"/>
            <wp:positionH relativeFrom="column">
              <wp:posOffset>229870</wp:posOffset>
            </wp:positionH>
            <wp:positionV relativeFrom="paragraph">
              <wp:posOffset>-297815</wp:posOffset>
            </wp:positionV>
            <wp:extent cx="1029335" cy="991870"/>
            <wp:effectExtent l="0" t="0" r="0" b="0"/>
            <wp:wrapNone/>
            <wp:docPr id="16" name="Picture 15" descr="DP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pic:cNvPicPr>
                      <a:picLocks noChangeAspect="1" noChangeArrowheads="1"/>
                    </pic:cNvPicPr>
                  </pic:nvPicPr>
                  <pic:blipFill>
                    <a:blip r:embed="rId10">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29335" cy="991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3B1EFB" w14:textId="77777777" w:rsidR="00BA0052" w:rsidRDefault="00BA0052" w:rsidP="00BB0277">
      <w:pPr>
        <w:jc w:val="both"/>
        <w:outlineLvl w:val="0"/>
        <w:rPr>
          <w:b/>
          <w:color w:val="17365D" w:themeColor="text2" w:themeShade="BF"/>
          <w:sz w:val="28"/>
          <w:szCs w:val="28"/>
        </w:rPr>
      </w:pPr>
    </w:p>
    <w:p w14:paraId="27076427" w14:textId="77777777" w:rsidR="00600302" w:rsidRDefault="00600302" w:rsidP="00BB0277">
      <w:pPr>
        <w:outlineLvl w:val="0"/>
        <w:rPr>
          <w:b/>
          <w:color w:val="17365D" w:themeColor="text2" w:themeShade="BF"/>
          <w:sz w:val="28"/>
          <w:szCs w:val="28"/>
        </w:rPr>
      </w:pPr>
    </w:p>
    <w:p w14:paraId="5C204F02" w14:textId="7333D88C" w:rsidR="00BA0052" w:rsidRPr="00BB0277" w:rsidRDefault="00791BA8" w:rsidP="00BB0277">
      <w:pPr>
        <w:outlineLvl w:val="0"/>
        <w:rPr>
          <w:b/>
          <w:color w:val="17365D" w:themeColor="text2" w:themeShade="BF"/>
          <w:sz w:val="28"/>
          <w:szCs w:val="28"/>
        </w:rPr>
      </w:pPr>
      <w:r>
        <w:rPr>
          <w:b/>
          <w:color w:val="17365D" w:themeColor="text2" w:themeShade="BF"/>
          <w:sz w:val="28"/>
          <w:szCs w:val="28"/>
        </w:rPr>
        <w:t>Summary and Key Findings</w:t>
      </w:r>
    </w:p>
    <w:p w14:paraId="5E83F909" w14:textId="77777777" w:rsidR="00BA0052" w:rsidRDefault="00BA0052" w:rsidP="00BB0277">
      <w:pPr>
        <w:jc w:val="left"/>
        <w:rPr>
          <w:rFonts w:eastAsia="Calibri"/>
        </w:rPr>
      </w:pPr>
    </w:p>
    <w:p w14:paraId="07F5AB09" w14:textId="4D2FDCAD" w:rsidR="00791BA8" w:rsidRPr="009F675B" w:rsidRDefault="00791BA8" w:rsidP="009F675B">
      <w:pPr>
        <w:jc w:val="left"/>
        <w:rPr>
          <w:b/>
          <w:color w:val="365F91" w:themeColor="accent1" w:themeShade="BF"/>
        </w:rPr>
      </w:pPr>
      <w:r w:rsidRPr="00BB3004">
        <w:rPr>
          <w:rFonts w:eastAsia="Calibri"/>
        </w:rPr>
        <w:t xml:space="preserve">Massachusetts death certificates were used to analyze opioid-related overdose deaths </w:t>
      </w:r>
      <w:r w:rsidR="002F5567">
        <w:rPr>
          <w:rFonts w:eastAsia="Calibri"/>
        </w:rPr>
        <w:t xml:space="preserve">(ORODs) </w:t>
      </w:r>
      <w:r w:rsidRPr="00BB3004">
        <w:rPr>
          <w:rFonts w:eastAsia="Calibri"/>
        </w:rPr>
        <w:t xml:space="preserve">from 2016 to 2017, by industry and occupation. </w:t>
      </w:r>
      <w:r w:rsidR="009F675B" w:rsidRPr="000905F5">
        <w:t xml:space="preserve">Occupation describes the kind of work </w:t>
      </w:r>
      <w:r w:rsidR="009F675B">
        <w:t>an individual</w:t>
      </w:r>
      <w:r w:rsidR="009F675B" w:rsidRPr="000905F5">
        <w:t xml:space="preserve"> does to earn a living (i.e., job title), while industry describes</w:t>
      </w:r>
      <w:r w:rsidR="009F675B">
        <w:t xml:space="preserve"> the activities</w:t>
      </w:r>
      <w:r w:rsidR="009F675B" w:rsidRPr="000905F5">
        <w:t xml:space="preserve"> the </w:t>
      </w:r>
      <w:r w:rsidR="009F675B">
        <w:t>individual’s</w:t>
      </w:r>
      <w:r w:rsidR="009F675B" w:rsidRPr="000905F5">
        <w:t xml:space="preserve"> employer </w:t>
      </w:r>
      <w:r w:rsidR="009F675B">
        <w:t>is engaged in</w:t>
      </w:r>
      <w:r w:rsidR="009F675B" w:rsidRPr="000905F5">
        <w:t>.</w:t>
      </w:r>
      <w:r w:rsidR="002F5567">
        <w:t xml:space="preserve"> </w:t>
      </w:r>
      <w:r>
        <w:rPr>
          <w:rFonts w:eastAsia="Calibri"/>
        </w:rPr>
        <w:t xml:space="preserve">Data was also compared to a previous analysis of opioid-related deaths from 2011-2015. </w:t>
      </w:r>
      <w:r w:rsidR="000C1528">
        <w:rPr>
          <w:rFonts w:eastAsia="Calibri"/>
        </w:rPr>
        <w:t xml:space="preserve">Additional factors that may contribute to the differences in </w:t>
      </w:r>
      <w:r w:rsidR="002F5567">
        <w:rPr>
          <w:rFonts w:eastAsia="Calibri"/>
        </w:rPr>
        <w:t xml:space="preserve">OROD </w:t>
      </w:r>
      <w:r w:rsidR="000C1528">
        <w:rPr>
          <w:rFonts w:eastAsia="Calibri"/>
        </w:rPr>
        <w:t>rates among workers within different industries and occupations were examined.</w:t>
      </w:r>
      <w:r w:rsidRPr="00BB3004">
        <w:rPr>
          <w:rFonts w:eastAsia="Calibri"/>
        </w:rPr>
        <w:t xml:space="preserve"> Key findings are:</w:t>
      </w:r>
    </w:p>
    <w:p w14:paraId="76AF26CC" w14:textId="77777777" w:rsidR="00791BA8" w:rsidRDefault="00791BA8" w:rsidP="00BB0277">
      <w:pPr>
        <w:pStyle w:val="ListParagraph"/>
        <w:jc w:val="left"/>
        <w:rPr>
          <w:rFonts w:eastAsia="Calibri"/>
        </w:rPr>
      </w:pPr>
    </w:p>
    <w:p w14:paraId="723722E0" w14:textId="7A8E2C93" w:rsidR="00720018" w:rsidRDefault="00791BA8" w:rsidP="00791BA8">
      <w:pPr>
        <w:pStyle w:val="ListParagraph"/>
        <w:numPr>
          <w:ilvl w:val="0"/>
          <w:numId w:val="27"/>
        </w:numPr>
        <w:jc w:val="left"/>
        <w:rPr>
          <w:rFonts w:eastAsia="Calibri"/>
        </w:rPr>
      </w:pPr>
      <w:r w:rsidRPr="008657D0">
        <w:rPr>
          <w:rFonts w:eastAsia="Calibri"/>
        </w:rPr>
        <w:t>The overall</w:t>
      </w:r>
      <w:r w:rsidR="00B671CE">
        <w:rPr>
          <w:rFonts w:eastAsia="Calibri"/>
        </w:rPr>
        <w:t xml:space="preserve"> statewide</w:t>
      </w:r>
      <w:r w:rsidRPr="008657D0">
        <w:rPr>
          <w:rFonts w:eastAsia="Calibri"/>
        </w:rPr>
        <w:t xml:space="preserve"> rate of </w:t>
      </w:r>
      <w:r w:rsidR="000C1528">
        <w:rPr>
          <w:rFonts w:eastAsia="Calibri"/>
        </w:rPr>
        <w:t>ORODs</w:t>
      </w:r>
      <w:r w:rsidRPr="008657D0">
        <w:rPr>
          <w:rFonts w:eastAsia="Calibri"/>
        </w:rPr>
        <w:t xml:space="preserve"> for all workers </w:t>
      </w:r>
      <w:r w:rsidR="00003BEF">
        <w:rPr>
          <w:rFonts w:eastAsia="Calibri"/>
        </w:rPr>
        <w:t xml:space="preserve">increased </w:t>
      </w:r>
      <w:r w:rsidRPr="008657D0">
        <w:rPr>
          <w:rFonts w:eastAsia="Calibri"/>
        </w:rPr>
        <w:t>from 25.1 deaths per 100,000 workers in the perio</w:t>
      </w:r>
      <w:r>
        <w:rPr>
          <w:rFonts w:eastAsia="Calibri"/>
        </w:rPr>
        <w:t>d 2011 to 2015 to 46.1 in 2016-</w:t>
      </w:r>
      <w:r w:rsidRPr="003F4692">
        <w:rPr>
          <w:rFonts w:eastAsia="Calibri"/>
        </w:rPr>
        <w:t>2</w:t>
      </w:r>
      <w:r w:rsidR="001473D9" w:rsidRPr="003F4692">
        <w:rPr>
          <w:rFonts w:eastAsia="Calibri"/>
        </w:rPr>
        <w:t>01</w:t>
      </w:r>
      <w:r w:rsidRPr="003F4692">
        <w:rPr>
          <w:rFonts w:eastAsia="Calibri"/>
        </w:rPr>
        <w:t>7.</w:t>
      </w:r>
      <w:r>
        <w:rPr>
          <w:rFonts w:eastAsia="Calibri"/>
        </w:rPr>
        <w:t xml:space="preserve"> This rate was in line with the overall increase </w:t>
      </w:r>
      <w:r w:rsidR="00284311">
        <w:rPr>
          <w:rFonts w:eastAsia="Calibri"/>
        </w:rPr>
        <w:t>in rate for all</w:t>
      </w:r>
      <w:r w:rsidR="002C5151">
        <w:rPr>
          <w:rFonts w:eastAsia="Calibri"/>
        </w:rPr>
        <w:t xml:space="preserve"> M</w:t>
      </w:r>
      <w:r w:rsidR="002F5567">
        <w:rPr>
          <w:rFonts w:eastAsia="Calibri"/>
        </w:rPr>
        <w:t>assachusetts</w:t>
      </w:r>
      <w:r w:rsidR="002C5151">
        <w:rPr>
          <w:rFonts w:eastAsia="Calibri"/>
        </w:rPr>
        <w:t xml:space="preserve"> </w:t>
      </w:r>
      <w:r w:rsidR="002E2CC8">
        <w:rPr>
          <w:rFonts w:eastAsia="Calibri"/>
        </w:rPr>
        <w:t xml:space="preserve">residents </w:t>
      </w:r>
      <w:r>
        <w:rPr>
          <w:rFonts w:eastAsia="Calibri"/>
        </w:rPr>
        <w:t xml:space="preserve">during this </w:t>
      </w:r>
      <w:proofErr w:type="gramStart"/>
      <w:r>
        <w:rPr>
          <w:rFonts w:eastAsia="Calibri"/>
        </w:rPr>
        <w:t>time period</w:t>
      </w:r>
      <w:proofErr w:type="gramEnd"/>
      <w:r w:rsidR="00297A4C">
        <w:rPr>
          <w:rFonts w:eastAsia="Calibri"/>
        </w:rPr>
        <w:t>;</w:t>
      </w:r>
      <w:r>
        <w:rPr>
          <w:rFonts w:eastAsia="Calibri"/>
        </w:rPr>
        <w:t xml:space="preserve"> however, s</w:t>
      </w:r>
      <w:r w:rsidRPr="00176D8F">
        <w:rPr>
          <w:rFonts w:eastAsia="Calibri"/>
        </w:rPr>
        <w:t xml:space="preserve">ome industries in particular saw a greater increase. </w:t>
      </w:r>
    </w:p>
    <w:p w14:paraId="4703FE96" w14:textId="77777777" w:rsidR="000003F0" w:rsidRDefault="000003F0" w:rsidP="000003F0">
      <w:pPr>
        <w:pStyle w:val="ListParagraph"/>
        <w:jc w:val="left"/>
        <w:rPr>
          <w:rFonts w:eastAsia="Calibri"/>
        </w:rPr>
      </w:pPr>
    </w:p>
    <w:p w14:paraId="38705898" w14:textId="554BFE5F" w:rsidR="00791BA8" w:rsidRDefault="00791BA8" w:rsidP="00720018">
      <w:pPr>
        <w:pStyle w:val="ListParagraph"/>
        <w:numPr>
          <w:ilvl w:val="0"/>
          <w:numId w:val="27"/>
        </w:numPr>
        <w:jc w:val="left"/>
        <w:rPr>
          <w:rFonts w:eastAsia="Calibri"/>
        </w:rPr>
      </w:pPr>
      <w:r w:rsidRPr="00176D8F">
        <w:rPr>
          <w:rFonts w:eastAsia="Calibri"/>
        </w:rPr>
        <w:t>Two notabl</w:t>
      </w:r>
      <w:r w:rsidR="002F5567">
        <w:rPr>
          <w:rFonts w:eastAsia="Calibri"/>
        </w:rPr>
        <w:t xml:space="preserve">e </w:t>
      </w:r>
      <w:r w:rsidRPr="002F5567">
        <w:rPr>
          <w:rFonts w:eastAsia="Calibri"/>
          <w:i/>
          <w:iCs/>
        </w:rPr>
        <w:t>industries</w:t>
      </w:r>
      <w:r w:rsidRPr="00176D8F">
        <w:rPr>
          <w:rFonts w:eastAsia="Calibri"/>
        </w:rPr>
        <w:t xml:space="preserve"> are</w:t>
      </w:r>
      <w:r w:rsidR="00F77460">
        <w:rPr>
          <w:rFonts w:eastAsia="Calibri"/>
        </w:rPr>
        <w:t>:</w:t>
      </w:r>
      <w:r w:rsidRPr="00176D8F">
        <w:rPr>
          <w:rFonts w:eastAsia="Calibri"/>
        </w:rPr>
        <w:t xml:space="preserve"> the </w:t>
      </w:r>
      <w:r w:rsidR="00F77460">
        <w:rPr>
          <w:rFonts w:eastAsia="Calibri"/>
        </w:rPr>
        <w:t xml:space="preserve">(1) </w:t>
      </w:r>
      <w:r w:rsidRPr="00176D8F">
        <w:rPr>
          <w:rFonts w:eastAsia="Calibri"/>
        </w:rPr>
        <w:t xml:space="preserve">Construction industry and </w:t>
      </w:r>
      <w:r w:rsidR="00744211">
        <w:rPr>
          <w:rFonts w:eastAsia="Calibri"/>
        </w:rPr>
        <w:t xml:space="preserve">the </w:t>
      </w:r>
      <w:r w:rsidR="00F77460">
        <w:rPr>
          <w:rFonts w:eastAsia="Calibri"/>
        </w:rPr>
        <w:t>(2)</w:t>
      </w:r>
      <w:r w:rsidRPr="00176D8F">
        <w:rPr>
          <w:rFonts w:eastAsia="Calibri"/>
        </w:rPr>
        <w:t xml:space="preserve"> </w:t>
      </w:r>
      <w:r w:rsidRPr="00A769F6">
        <w:rPr>
          <w:rFonts w:eastAsia="Calibri"/>
        </w:rPr>
        <w:t xml:space="preserve">Agriculture, </w:t>
      </w:r>
      <w:r w:rsidR="00A773B2">
        <w:rPr>
          <w:rFonts w:eastAsia="Calibri"/>
        </w:rPr>
        <w:t>F</w:t>
      </w:r>
      <w:r w:rsidRPr="00A769F6">
        <w:rPr>
          <w:rFonts w:eastAsia="Calibri"/>
        </w:rPr>
        <w:t xml:space="preserve">orestry, </w:t>
      </w:r>
      <w:r w:rsidR="00A773B2">
        <w:rPr>
          <w:rFonts w:eastAsia="Calibri"/>
        </w:rPr>
        <w:t>F</w:t>
      </w:r>
      <w:r w:rsidRPr="00A769F6">
        <w:rPr>
          <w:rFonts w:eastAsia="Calibri"/>
        </w:rPr>
        <w:t xml:space="preserve">ishing, and </w:t>
      </w:r>
      <w:r w:rsidR="00A773B2">
        <w:rPr>
          <w:rFonts w:eastAsia="Calibri"/>
        </w:rPr>
        <w:t>H</w:t>
      </w:r>
      <w:r w:rsidRPr="00A769F6">
        <w:rPr>
          <w:rFonts w:eastAsia="Calibri"/>
        </w:rPr>
        <w:t xml:space="preserve">unting industry. The Construction industry had a high rate of </w:t>
      </w:r>
      <w:r w:rsidR="002E2CC8" w:rsidRPr="00A769F6">
        <w:rPr>
          <w:rFonts w:eastAsia="Calibri"/>
        </w:rPr>
        <w:t>ORODs</w:t>
      </w:r>
      <w:r w:rsidRPr="00A769F6">
        <w:rPr>
          <w:rFonts w:eastAsia="Calibri"/>
        </w:rPr>
        <w:t xml:space="preserve"> (228.9 deaths/100,000 workers) during 2016-2017</w:t>
      </w:r>
      <w:r w:rsidR="00F77460">
        <w:rPr>
          <w:rFonts w:eastAsia="Calibri"/>
        </w:rPr>
        <w:t>,</w:t>
      </w:r>
      <w:r w:rsidR="00A773B2">
        <w:rPr>
          <w:rFonts w:eastAsia="Calibri"/>
        </w:rPr>
        <w:t xml:space="preserve"> </w:t>
      </w:r>
      <w:r w:rsidRPr="00A769F6">
        <w:rPr>
          <w:rFonts w:eastAsia="Calibri"/>
        </w:rPr>
        <w:t>an 83% increase over the 2011-2015 rate (124.9 in 2011-2015)</w:t>
      </w:r>
      <w:r w:rsidR="00F77460">
        <w:rPr>
          <w:rFonts w:eastAsia="Calibri"/>
        </w:rPr>
        <w:t xml:space="preserve">. The </w:t>
      </w:r>
      <w:r w:rsidRPr="00A769F6">
        <w:rPr>
          <w:rFonts w:eastAsia="Calibri"/>
        </w:rPr>
        <w:t xml:space="preserve">Agriculture, </w:t>
      </w:r>
      <w:r w:rsidR="00A773B2">
        <w:rPr>
          <w:rFonts w:eastAsia="Calibri"/>
        </w:rPr>
        <w:t>F</w:t>
      </w:r>
      <w:r w:rsidRPr="00A769F6">
        <w:rPr>
          <w:rFonts w:eastAsia="Calibri"/>
        </w:rPr>
        <w:t xml:space="preserve">orestry, </w:t>
      </w:r>
      <w:r w:rsidR="00A773B2">
        <w:rPr>
          <w:rFonts w:eastAsia="Calibri"/>
        </w:rPr>
        <w:t>F</w:t>
      </w:r>
      <w:r w:rsidRPr="00A769F6">
        <w:rPr>
          <w:rFonts w:eastAsia="Calibri"/>
        </w:rPr>
        <w:t xml:space="preserve">ishing, and </w:t>
      </w:r>
      <w:r w:rsidR="00A773B2">
        <w:rPr>
          <w:rFonts w:eastAsia="Calibri"/>
        </w:rPr>
        <w:t>H</w:t>
      </w:r>
      <w:r w:rsidRPr="00A769F6">
        <w:rPr>
          <w:rFonts w:eastAsia="Calibri"/>
        </w:rPr>
        <w:t>unting industry</w:t>
      </w:r>
      <w:r w:rsidR="00F77460">
        <w:rPr>
          <w:rFonts w:eastAsia="Calibri"/>
        </w:rPr>
        <w:t xml:space="preserve"> also showed a high rate of ORODs</w:t>
      </w:r>
      <w:r w:rsidRPr="00A769F6">
        <w:rPr>
          <w:rFonts w:eastAsia="Calibri"/>
        </w:rPr>
        <w:t xml:space="preserve">—its rate more than doubled </w:t>
      </w:r>
      <w:r w:rsidR="00F77460">
        <w:rPr>
          <w:rFonts w:eastAsia="Calibri"/>
        </w:rPr>
        <w:t>(</w:t>
      </w:r>
      <w:r w:rsidRPr="00A769F6">
        <w:rPr>
          <w:rFonts w:eastAsia="Calibri"/>
        </w:rPr>
        <w:t xml:space="preserve">107.5 in 2011-2015 </w:t>
      </w:r>
      <w:r w:rsidR="00F77460">
        <w:rPr>
          <w:rFonts w:eastAsia="Calibri"/>
        </w:rPr>
        <w:t>vs.</w:t>
      </w:r>
      <w:r w:rsidR="00F77460" w:rsidRPr="00A769F6">
        <w:rPr>
          <w:rFonts w:eastAsia="Calibri"/>
        </w:rPr>
        <w:t xml:space="preserve"> </w:t>
      </w:r>
      <w:r w:rsidRPr="00A769F6">
        <w:rPr>
          <w:rFonts w:eastAsia="Calibri"/>
        </w:rPr>
        <w:t>220.8 in 2016-2017</w:t>
      </w:r>
      <w:r w:rsidR="00F77460">
        <w:rPr>
          <w:rFonts w:eastAsia="Calibri"/>
        </w:rPr>
        <w:t>)</w:t>
      </w:r>
      <w:r w:rsidRPr="00A769F6">
        <w:rPr>
          <w:rFonts w:eastAsia="Calibri"/>
        </w:rPr>
        <w:t>.</w:t>
      </w:r>
    </w:p>
    <w:p w14:paraId="6AE48E00" w14:textId="77777777" w:rsidR="000003F0" w:rsidRPr="000003F0" w:rsidRDefault="000003F0" w:rsidP="000003F0">
      <w:pPr>
        <w:jc w:val="left"/>
        <w:rPr>
          <w:rFonts w:eastAsia="Calibri"/>
        </w:rPr>
      </w:pPr>
    </w:p>
    <w:p w14:paraId="49039C0E" w14:textId="2CB8AB64" w:rsidR="00791BA8" w:rsidRDefault="00791BA8" w:rsidP="00720018">
      <w:pPr>
        <w:pStyle w:val="ListParagraph"/>
        <w:numPr>
          <w:ilvl w:val="0"/>
          <w:numId w:val="27"/>
        </w:numPr>
        <w:jc w:val="left"/>
        <w:rPr>
          <w:rFonts w:eastAsia="Calibri"/>
        </w:rPr>
      </w:pPr>
      <w:r w:rsidRPr="00A769F6">
        <w:rPr>
          <w:rFonts w:eastAsia="Calibri"/>
        </w:rPr>
        <w:t xml:space="preserve">Workers in nine </w:t>
      </w:r>
      <w:r w:rsidRPr="002F5567">
        <w:rPr>
          <w:rFonts w:eastAsia="Calibri"/>
          <w:i/>
          <w:iCs/>
        </w:rPr>
        <w:t>occupation groups</w:t>
      </w:r>
      <w:r w:rsidRPr="00A769F6">
        <w:rPr>
          <w:rFonts w:eastAsia="Calibri"/>
        </w:rPr>
        <w:t xml:space="preserve"> had </w:t>
      </w:r>
      <w:r w:rsidR="002E2CC8" w:rsidRPr="00A769F6">
        <w:rPr>
          <w:rFonts w:eastAsia="Calibri"/>
        </w:rPr>
        <w:t>OROD</w:t>
      </w:r>
      <w:r w:rsidRPr="00A769F6">
        <w:rPr>
          <w:rFonts w:eastAsia="Calibri"/>
        </w:rPr>
        <w:t xml:space="preserve"> rates that were significantly higher than the average </w:t>
      </w:r>
      <w:r w:rsidR="00925500">
        <w:rPr>
          <w:rFonts w:eastAsia="Calibri"/>
        </w:rPr>
        <w:t xml:space="preserve">annual </w:t>
      </w:r>
      <w:r w:rsidRPr="00A769F6">
        <w:rPr>
          <w:rFonts w:eastAsia="Calibri"/>
        </w:rPr>
        <w:t>rate for all workers (46.5</w:t>
      </w:r>
      <w:r w:rsidR="002F5567">
        <w:rPr>
          <w:rFonts w:eastAsia="Calibri"/>
        </w:rPr>
        <w:t>/</w:t>
      </w:r>
      <w:r w:rsidRPr="00A769F6">
        <w:rPr>
          <w:rFonts w:eastAsia="Calibri"/>
        </w:rPr>
        <w:t>100,000 workers) in 2016-2017. The rate</w:t>
      </w:r>
      <w:r w:rsidR="00F77460">
        <w:rPr>
          <w:rFonts w:eastAsia="Calibri"/>
        </w:rPr>
        <w:t>s</w:t>
      </w:r>
      <w:r w:rsidRPr="00A769F6">
        <w:rPr>
          <w:rFonts w:eastAsia="Calibri"/>
        </w:rPr>
        <w:t xml:space="preserve"> among </w:t>
      </w:r>
      <w:r w:rsidR="001E2781" w:rsidRPr="00A769F6">
        <w:rPr>
          <w:rFonts w:eastAsia="Calibri"/>
        </w:rPr>
        <w:t>F</w:t>
      </w:r>
      <w:r w:rsidRPr="00A769F6">
        <w:rPr>
          <w:rFonts w:eastAsia="Calibri"/>
        </w:rPr>
        <w:t xml:space="preserve">arming, </w:t>
      </w:r>
      <w:r w:rsidR="00A267AC">
        <w:rPr>
          <w:rFonts w:eastAsia="Calibri"/>
        </w:rPr>
        <w:t>F</w:t>
      </w:r>
      <w:r w:rsidRPr="00A769F6">
        <w:rPr>
          <w:rFonts w:eastAsia="Calibri"/>
        </w:rPr>
        <w:t xml:space="preserve">ishing, and </w:t>
      </w:r>
      <w:r w:rsidR="00A267AC">
        <w:rPr>
          <w:rFonts w:eastAsia="Calibri"/>
        </w:rPr>
        <w:t>F</w:t>
      </w:r>
      <w:r w:rsidRPr="00A769F6">
        <w:rPr>
          <w:rFonts w:eastAsia="Calibri"/>
        </w:rPr>
        <w:t xml:space="preserve">orestry occupations </w:t>
      </w:r>
      <w:proofErr w:type="gramStart"/>
      <w:r w:rsidRPr="00A769F6">
        <w:rPr>
          <w:rFonts w:eastAsia="Calibri"/>
        </w:rPr>
        <w:t>was</w:t>
      </w:r>
      <w:proofErr w:type="gramEnd"/>
      <w:r w:rsidRPr="00A769F6">
        <w:rPr>
          <w:rFonts w:eastAsia="Calibri"/>
        </w:rPr>
        <w:t xml:space="preserve"> </w:t>
      </w:r>
      <w:r w:rsidR="001E2781" w:rsidRPr="00A769F6">
        <w:rPr>
          <w:rFonts w:eastAsia="Calibri"/>
        </w:rPr>
        <w:t>seven</w:t>
      </w:r>
      <w:r w:rsidRPr="00A769F6">
        <w:rPr>
          <w:rFonts w:eastAsia="Calibri"/>
        </w:rPr>
        <w:t xml:space="preserve"> times higher than the average</w:t>
      </w:r>
      <w:r w:rsidR="00925500">
        <w:rPr>
          <w:rFonts w:eastAsia="Calibri"/>
        </w:rPr>
        <w:t xml:space="preserve"> annual</w:t>
      </w:r>
      <w:r w:rsidRPr="00A769F6">
        <w:rPr>
          <w:rFonts w:eastAsia="Calibri"/>
        </w:rPr>
        <w:t xml:space="preserve"> rate (345.8</w:t>
      </w:r>
      <w:r w:rsidR="00F77460">
        <w:rPr>
          <w:rFonts w:eastAsia="Calibri"/>
        </w:rPr>
        <w:t>/100,000)</w:t>
      </w:r>
      <w:r w:rsidRPr="00A769F6">
        <w:rPr>
          <w:rFonts w:eastAsia="Calibri"/>
        </w:rPr>
        <w:t xml:space="preserve"> and the rate among </w:t>
      </w:r>
      <w:r w:rsidR="003608A5" w:rsidRPr="00A769F6">
        <w:rPr>
          <w:rFonts w:eastAsia="Calibri"/>
        </w:rPr>
        <w:t>C</w:t>
      </w:r>
      <w:r w:rsidRPr="00A769F6">
        <w:rPr>
          <w:rFonts w:eastAsia="Calibri"/>
        </w:rPr>
        <w:t xml:space="preserve">onstruction and </w:t>
      </w:r>
      <w:r w:rsidR="00A267AC">
        <w:rPr>
          <w:rFonts w:eastAsia="Calibri"/>
        </w:rPr>
        <w:t>E</w:t>
      </w:r>
      <w:r w:rsidRPr="00A769F6">
        <w:rPr>
          <w:rFonts w:eastAsia="Calibri"/>
        </w:rPr>
        <w:t xml:space="preserve">xtraction occupations was </w:t>
      </w:r>
      <w:r w:rsidR="003608A5" w:rsidRPr="00A769F6">
        <w:rPr>
          <w:rFonts w:eastAsia="Calibri"/>
        </w:rPr>
        <w:t>six</w:t>
      </w:r>
      <w:r w:rsidRPr="00A769F6">
        <w:rPr>
          <w:rFonts w:eastAsia="Calibri"/>
        </w:rPr>
        <w:t xml:space="preserve"> times higher (282.4</w:t>
      </w:r>
      <w:r w:rsidR="00F77460">
        <w:rPr>
          <w:rFonts w:eastAsia="Calibri"/>
        </w:rPr>
        <w:t>/100,000</w:t>
      </w:r>
      <w:r w:rsidRPr="00A769F6">
        <w:rPr>
          <w:rFonts w:eastAsia="Calibri"/>
        </w:rPr>
        <w:t>). The number</w:t>
      </w:r>
      <w:r w:rsidRPr="002728CA">
        <w:rPr>
          <w:rFonts w:eastAsia="Calibri"/>
        </w:rPr>
        <w:t xml:space="preserve"> of deaths in </w:t>
      </w:r>
      <w:r w:rsidR="003608A5">
        <w:rPr>
          <w:rFonts w:eastAsia="Calibri"/>
        </w:rPr>
        <w:t>C</w:t>
      </w:r>
      <w:r w:rsidRPr="002728CA">
        <w:rPr>
          <w:rFonts w:eastAsia="Calibri"/>
        </w:rPr>
        <w:t xml:space="preserve">onstruction and </w:t>
      </w:r>
      <w:r w:rsidR="00A267AC">
        <w:rPr>
          <w:rFonts w:eastAsia="Calibri"/>
        </w:rPr>
        <w:t>E</w:t>
      </w:r>
      <w:r w:rsidRPr="002728CA">
        <w:rPr>
          <w:rFonts w:eastAsia="Calibri"/>
        </w:rPr>
        <w:t xml:space="preserve">xtraction occupations represented 27% of total </w:t>
      </w:r>
      <w:r w:rsidR="00B82DFD">
        <w:rPr>
          <w:rFonts w:eastAsia="Calibri"/>
        </w:rPr>
        <w:t>ORODs</w:t>
      </w:r>
      <w:r w:rsidRPr="002728CA">
        <w:rPr>
          <w:rFonts w:eastAsia="Calibri"/>
        </w:rPr>
        <w:t xml:space="preserve"> in 2016-2017.</w:t>
      </w:r>
    </w:p>
    <w:p w14:paraId="73995667" w14:textId="77777777" w:rsidR="000003F0" w:rsidRPr="000003F0" w:rsidRDefault="000003F0" w:rsidP="000003F0">
      <w:pPr>
        <w:jc w:val="left"/>
        <w:rPr>
          <w:rFonts w:eastAsia="Calibri"/>
        </w:rPr>
      </w:pPr>
    </w:p>
    <w:p w14:paraId="2A86A0F3" w14:textId="36D134DF" w:rsidR="00573D9B" w:rsidRDefault="00CD62D6" w:rsidP="00100F69">
      <w:pPr>
        <w:pStyle w:val="ListParagraph"/>
        <w:numPr>
          <w:ilvl w:val="0"/>
          <w:numId w:val="27"/>
        </w:numPr>
        <w:jc w:val="left"/>
        <w:rPr>
          <w:rFonts w:eastAsia="Calibri"/>
        </w:rPr>
      </w:pPr>
      <w:r>
        <w:rPr>
          <w:rFonts w:eastAsia="Calibri"/>
        </w:rPr>
        <w:t>The trend in r</w:t>
      </w:r>
      <w:r w:rsidR="00791BA8" w:rsidRPr="00AB3ED1">
        <w:rPr>
          <w:rFonts w:eastAsia="Calibri"/>
        </w:rPr>
        <w:t xml:space="preserve">ates of </w:t>
      </w:r>
      <w:r w:rsidR="00B82DFD" w:rsidRPr="00AB3ED1">
        <w:rPr>
          <w:rFonts w:eastAsia="Calibri"/>
        </w:rPr>
        <w:t>OROD</w:t>
      </w:r>
      <w:r w:rsidR="00791BA8" w:rsidRPr="00AB3ED1">
        <w:rPr>
          <w:rFonts w:eastAsia="Calibri"/>
        </w:rPr>
        <w:t xml:space="preserve"> </w:t>
      </w:r>
      <w:r>
        <w:rPr>
          <w:rFonts w:eastAsia="Calibri"/>
        </w:rPr>
        <w:t>across different</w:t>
      </w:r>
      <w:r w:rsidR="00791BA8" w:rsidRPr="00AB3ED1">
        <w:rPr>
          <w:rFonts w:eastAsia="Calibri"/>
        </w:rPr>
        <w:t xml:space="preserve"> occupational groups </w:t>
      </w:r>
      <w:r>
        <w:rPr>
          <w:rFonts w:eastAsia="Calibri"/>
        </w:rPr>
        <w:t>varied</w:t>
      </w:r>
      <w:r w:rsidR="00791BA8" w:rsidRPr="002F5567">
        <w:rPr>
          <w:rFonts w:eastAsia="Calibri"/>
        </w:rPr>
        <w:t xml:space="preserve"> over time</w:t>
      </w:r>
      <w:r w:rsidR="00791BA8" w:rsidRPr="00AB3ED1">
        <w:rPr>
          <w:rFonts w:eastAsia="Calibri"/>
        </w:rPr>
        <w:t xml:space="preserve">. </w:t>
      </w:r>
      <w:r w:rsidR="00AB3ED1" w:rsidRPr="00AB3ED1">
        <w:rPr>
          <w:rFonts w:eastAsia="Calibri"/>
        </w:rPr>
        <w:t>For example, between 2011 and 2017</w:t>
      </w:r>
      <w:r w:rsidR="00F77460">
        <w:rPr>
          <w:rFonts w:eastAsia="Calibri"/>
        </w:rPr>
        <w:t>,</w:t>
      </w:r>
      <w:r w:rsidR="00AB3ED1" w:rsidRPr="00AB3ED1">
        <w:rPr>
          <w:rFonts w:eastAsia="Calibri"/>
        </w:rPr>
        <w:t xml:space="preserve"> the average annual percent change </w:t>
      </w:r>
      <w:r w:rsidR="00A267AC">
        <w:rPr>
          <w:rFonts w:eastAsia="Calibri"/>
        </w:rPr>
        <w:t>in</w:t>
      </w:r>
      <w:r w:rsidR="00AB3ED1" w:rsidRPr="00AB3ED1">
        <w:rPr>
          <w:rFonts w:eastAsia="Calibri"/>
        </w:rPr>
        <w:t xml:space="preserve"> OROD rates for Farming, </w:t>
      </w:r>
      <w:r w:rsidR="00A267AC">
        <w:rPr>
          <w:rFonts w:eastAsia="Calibri"/>
        </w:rPr>
        <w:t>F</w:t>
      </w:r>
      <w:r w:rsidR="00AB3ED1" w:rsidRPr="00AB3ED1">
        <w:rPr>
          <w:rFonts w:eastAsia="Calibri"/>
        </w:rPr>
        <w:t xml:space="preserve">ishing, and </w:t>
      </w:r>
      <w:r w:rsidR="00A267AC">
        <w:rPr>
          <w:rFonts w:eastAsia="Calibri"/>
        </w:rPr>
        <w:t>F</w:t>
      </w:r>
      <w:r w:rsidR="00AB3ED1" w:rsidRPr="00AB3ED1">
        <w:rPr>
          <w:rFonts w:eastAsia="Calibri"/>
        </w:rPr>
        <w:t xml:space="preserve">orestry occupations and Food </w:t>
      </w:r>
      <w:r w:rsidR="00A267AC">
        <w:rPr>
          <w:rFonts w:eastAsia="Calibri"/>
        </w:rPr>
        <w:t>P</w:t>
      </w:r>
      <w:r w:rsidR="00AB3ED1" w:rsidRPr="00AB3ED1">
        <w:rPr>
          <w:rFonts w:eastAsia="Calibri"/>
        </w:rPr>
        <w:t xml:space="preserve">reparation and </w:t>
      </w:r>
      <w:r w:rsidR="00A267AC">
        <w:rPr>
          <w:rFonts w:eastAsia="Calibri"/>
        </w:rPr>
        <w:t>S</w:t>
      </w:r>
      <w:r w:rsidR="00AB3ED1" w:rsidRPr="00AB3ED1">
        <w:rPr>
          <w:rFonts w:eastAsia="Calibri"/>
        </w:rPr>
        <w:t xml:space="preserve">erving </w:t>
      </w:r>
      <w:r w:rsidR="00DD210E">
        <w:rPr>
          <w:rFonts w:eastAsia="Calibri"/>
        </w:rPr>
        <w:t>R</w:t>
      </w:r>
      <w:r w:rsidR="00AB3ED1" w:rsidRPr="00AB3ED1">
        <w:rPr>
          <w:rFonts w:eastAsia="Calibri"/>
        </w:rPr>
        <w:t xml:space="preserve">elated occupations increased 17.9% </w:t>
      </w:r>
      <w:r w:rsidR="00F77460">
        <w:rPr>
          <w:rFonts w:eastAsia="Calibri"/>
        </w:rPr>
        <w:t>(</w:t>
      </w:r>
      <w:r w:rsidR="00AB3ED1" w:rsidRPr="00AB3ED1">
        <w:rPr>
          <w:rFonts w:eastAsia="Calibri"/>
        </w:rPr>
        <w:t>p&lt;0.01</w:t>
      </w:r>
      <w:r w:rsidR="00F77460">
        <w:rPr>
          <w:rFonts w:eastAsia="Calibri"/>
        </w:rPr>
        <w:t>)</w:t>
      </w:r>
      <w:r w:rsidR="00AB3ED1" w:rsidRPr="00AB3ED1">
        <w:rPr>
          <w:rFonts w:eastAsia="Calibri"/>
        </w:rPr>
        <w:t xml:space="preserve"> and 23.6%</w:t>
      </w:r>
      <w:r w:rsidR="00F77460">
        <w:rPr>
          <w:rFonts w:eastAsia="Calibri"/>
        </w:rPr>
        <w:t xml:space="preserve"> (</w:t>
      </w:r>
      <w:r w:rsidR="00AB3ED1" w:rsidRPr="00AB3ED1">
        <w:rPr>
          <w:rFonts w:eastAsia="Calibri"/>
        </w:rPr>
        <w:t>p&lt;0.01</w:t>
      </w:r>
      <w:r w:rsidR="00F77460">
        <w:rPr>
          <w:rFonts w:eastAsia="Calibri"/>
        </w:rPr>
        <w:t>)</w:t>
      </w:r>
      <w:r w:rsidR="00AB3ED1" w:rsidRPr="00AB3ED1">
        <w:rPr>
          <w:rFonts w:eastAsia="Calibri"/>
        </w:rPr>
        <w:t xml:space="preserve">, respectively, while the average annual percent change for OROD rate for Construction and </w:t>
      </w:r>
      <w:r w:rsidR="00A267AC">
        <w:rPr>
          <w:rFonts w:eastAsia="Calibri"/>
        </w:rPr>
        <w:t>E</w:t>
      </w:r>
      <w:r w:rsidR="00AB3ED1" w:rsidRPr="00AB3ED1">
        <w:rPr>
          <w:rFonts w:eastAsia="Calibri"/>
        </w:rPr>
        <w:t xml:space="preserve">xtraction occupations increased 30.8% </w:t>
      </w:r>
      <w:r w:rsidR="00F77460">
        <w:rPr>
          <w:rFonts w:eastAsia="Calibri"/>
        </w:rPr>
        <w:t>(</w:t>
      </w:r>
      <w:r w:rsidR="00AB3ED1" w:rsidRPr="00AB3ED1">
        <w:rPr>
          <w:rFonts w:eastAsia="Calibri"/>
        </w:rPr>
        <w:t>p&lt;0.01</w:t>
      </w:r>
      <w:r w:rsidR="00F77460">
        <w:rPr>
          <w:rFonts w:eastAsia="Calibri"/>
        </w:rPr>
        <w:t>)</w:t>
      </w:r>
      <w:r w:rsidR="00AB3ED1" w:rsidRPr="00AB3ED1">
        <w:rPr>
          <w:rFonts w:eastAsia="Calibri"/>
        </w:rPr>
        <w:t xml:space="preserve"> from 2011 to 2015 but has since plateaued from 2015 to 2017.</w:t>
      </w:r>
    </w:p>
    <w:p w14:paraId="143CC5FC" w14:textId="77777777" w:rsidR="000003F0" w:rsidRPr="000003F0" w:rsidRDefault="000003F0" w:rsidP="000003F0">
      <w:pPr>
        <w:jc w:val="left"/>
        <w:rPr>
          <w:rFonts w:eastAsia="Calibri"/>
        </w:rPr>
      </w:pPr>
    </w:p>
    <w:p w14:paraId="09D95848" w14:textId="3B51093A" w:rsidR="00261402" w:rsidRPr="000003F0" w:rsidRDefault="00791BA8" w:rsidP="00100F69">
      <w:pPr>
        <w:pStyle w:val="ListParagraph"/>
        <w:numPr>
          <w:ilvl w:val="0"/>
          <w:numId w:val="26"/>
        </w:numPr>
        <w:jc w:val="left"/>
        <w:rPr>
          <w:rFonts w:eastAsia="Calibri"/>
        </w:rPr>
      </w:pPr>
      <w:r w:rsidRPr="00574882">
        <w:rPr>
          <w:rFonts w:eastAsia="Calibri"/>
        </w:rPr>
        <w:t>Hispanic worker</w:t>
      </w:r>
      <w:r w:rsidR="0037790B" w:rsidRPr="00574882">
        <w:rPr>
          <w:rFonts w:eastAsia="Calibri"/>
        </w:rPr>
        <w:t xml:space="preserve"> OROD rate</w:t>
      </w:r>
      <w:r w:rsidRPr="00574882">
        <w:rPr>
          <w:rFonts w:eastAsia="Calibri"/>
        </w:rPr>
        <w:t xml:space="preserve"> </w:t>
      </w:r>
      <w:r w:rsidRPr="00574882">
        <w:t>increased between 2011 and 2016</w:t>
      </w:r>
      <w:r w:rsidR="00192A8D">
        <w:t xml:space="preserve"> </w:t>
      </w:r>
      <w:r w:rsidR="00F77460">
        <w:t>but</w:t>
      </w:r>
      <w:r w:rsidR="003F4692" w:rsidRPr="00574882">
        <w:t xml:space="preserve"> </w:t>
      </w:r>
      <w:r w:rsidRPr="00574882">
        <w:t>decreas</w:t>
      </w:r>
      <w:r w:rsidR="00F77460">
        <w:t>ed</w:t>
      </w:r>
      <w:r w:rsidRPr="00574882">
        <w:t xml:space="preserve"> in 2017</w:t>
      </w:r>
      <w:r w:rsidR="003F4692" w:rsidRPr="00574882">
        <w:t xml:space="preserve">. However, it is notable that </w:t>
      </w:r>
      <w:r w:rsidR="00F77460">
        <w:t xml:space="preserve">in 2011, </w:t>
      </w:r>
      <w:r w:rsidR="003F4692" w:rsidRPr="00574882">
        <w:t>the rate among Hispanic workers was about half the rate of white, non-Hispanic workers</w:t>
      </w:r>
      <w:r w:rsidR="00F77460">
        <w:t xml:space="preserve"> but</w:t>
      </w:r>
      <w:r w:rsidR="003F4692" w:rsidRPr="00574882">
        <w:t>, beginning in 2012,</w:t>
      </w:r>
      <w:r w:rsidR="00677553" w:rsidRPr="00574882">
        <w:t xml:space="preserve"> th</w:t>
      </w:r>
      <w:r w:rsidR="003F4692" w:rsidRPr="00574882">
        <w:t>e Hispanic</w:t>
      </w:r>
      <w:r w:rsidR="00677553" w:rsidRPr="00574882">
        <w:t xml:space="preserve"> rate </w:t>
      </w:r>
      <w:proofErr w:type="gramStart"/>
      <w:r w:rsidR="00677553" w:rsidRPr="00574882">
        <w:t>increased  sharply</w:t>
      </w:r>
      <w:proofErr w:type="gramEnd"/>
      <w:r w:rsidR="00677553" w:rsidRPr="00574882">
        <w:t xml:space="preserve"> each year as to be on par with the</w:t>
      </w:r>
      <w:r w:rsidR="003F4692" w:rsidRPr="00574882">
        <w:t xml:space="preserve"> white, non-Hispanic</w:t>
      </w:r>
      <w:r w:rsidR="00677553" w:rsidRPr="00574882">
        <w:t xml:space="preserve"> rate by 2016</w:t>
      </w:r>
      <w:r w:rsidRPr="00574882">
        <w:t xml:space="preserve">. </w:t>
      </w:r>
      <w:r w:rsidR="00F9593C" w:rsidRPr="00574882">
        <w:t>T</w:t>
      </w:r>
      <w:r w:rsidRPr="00574882">
        <w:t>he rate among Black, non-Hispanic</w:t>
      </w:r>
      <w:r w:rsidR="0037790B" w:rsidRPr="00574882">
        <w:t>s</w:t>
      </w:r>
      <w:r w:rsidRPr="00574882">
        <w:t xml:space="preserve"> has continued to increase through 2017. </w:t>
      </w:r>
    </w:p>
    <w:p w14:paraId="3B7EF77B" w14:textId="77777777" w:rsidR="000003F0" w:rsidRPr="00574882" w:rsidRDefault="000003F0" w:rsidP="000003F0">
      <w:pPr>
        <w:pStyle w:val="ListParagraph"/>
        <w:jc w:val="left"/>
        <w:rPr>
          <w:rFonts w:eastAsia="Calibri"/>
        </w:rPr>
      </w:pPr>
    </w:p>
    <w:p w14:paraId="03EDAFDC" w14:textId="12CC925B" w:rsidR="002F5567" w:rsidRDefault="00791BA8" w:rsidP="000328AE">
      <w:pPr>
        <w:jc w:val="left"/>
      </w:pPr>
      <w:r w:rsidRPr="00261402">
        <w:t xml:space="preserve">Toxicology reports have shown that fentanyl </w:t>
      </w:r>
      <w:r w:rsidR="004329A6">
        <w:t>was</w:t>
      </w:r>
      <w:r w:rsidR="004329A6" w:rsidRPr="00261402">
        <w:t xml:space="preserve"> </w:t>
      </w:r>
      <w:r w:rsidRPr="00261402">
        <w:t xml:space="preserve">present in </w:t>
      </w:r>
      <w:proofErr w:type="gramStart"/>
      <w:r w:rsidRPr="00261402">
        <w:t>a majority of</w:t>
      </w:r>
      <w:proofErr w:type="gramEnd"/>
      <w:r w:rsidRPr="00261402">
        <w:t xml:space="preserve"> opioid-related overdoses between 201</w:t>
      </w:r>
      <w:r w:rsidR="001473D9">
        <w:t>5</w:t>
      </w:r>
      <w:r w:rsidRPr="00261402">
        <w:t xml:space="preserve"> and 2017, and that the relative proportion of fentanyl as a contributing factor has increased over time, in line with findings from</w:t>
      </w:r>
      <w:r w:rsidR="00D81AB7" w:rsidRPr="00261402">
        <w:t xml:space="preserve"> data on</w:t>
      </w:r>
      <w:r w:rsidR="00811895" w:rsidRPr="00261402">
        <w:t xml:space="preserve"> all</w:t>
      </w:r>
      <w:r w:rsidRPr="00261402">
        <w:t xml:space="preserve"> Massachusetts </w:t>
      </w:r>
      <w:r w:rsidR="00D81AB7" w:rsidRPr="00261402">
        <w:t>residents</w:t>
      </w:r>
      <w:r w:rsidRPr="00261402">
        <w:t>. Heroin listed as a contributing factor to cause of death</w:t>
      </w:r>
      <w:r w:rsidR="000C27AF">
        <w:t xml:space="preserve"> has increased </w:t>
      </w:r>
      <w:r w:rsidRPr="00261402">
        <w:t>among</w:t>
      </w:r>
      <w:r w:rsidR="00E2732F">
        <w:t xml:space="preserve"> workers in</w:t>
      </w:r>
      <w:r w:rsidRPr="00261402">
        <w:t xml:space="preserve"> </w:t>
      </w:r>
      <w:r w:rsidR="00207D9B" w:rsidRPr="00261402">
        <w:t>F</w:t>
      </w:r>
      <w:r w:rsidRPr="00261402">
        <w:t xml:space="preserve">arming, </w:t>
      </w:r>
      <w:r w:rsidR="000C27AF">
        <w:t>F</w:t>
      </w:r>
      <w:r w:rsidRPr="00261402">
        <w:t xml:space="preserve">ishing, and </w:t>
      </w:r>
      <w:r w:rsidR="000C27AF">
        <w:t>F</w:t>
      </w:r>
      <w:r w:rsidRPr="00261402">
        <w:t>orestry occupations and</w:t>
      </w:r>
      <w:r w:rsidR="00DD210E">
        <w:t xml:space="preserve"> Healthcare Practitioners and Technical occupations has increased</w:t>
      </w:r>
      <w:r w:rsidR="004329A6">
        <w:t>,</w:t>
      </w:r>
      <w:r w:rsidRPr="00261402">
        <w:t xml:space="preserve"> despite a decreasing trend state-wide seen since 2014.</w:t>
      </w:r>
      <w:r w:rsidR="00C92E92">
        <w:t xml:space="preserve"> </w:t>
      </w:r>
      <w:r w:rsidR="00C92E92" w:rsidRPr="00C92E92">
        <w:t xml:space="preserve">Food </w:t>
      </w:r>
      <w:r w:rsidR="00655C28">
        <w:t>P</w:t>
      </w:r>
      <w:r w:rsidR="00C92E92" w:rsidRPr="00C92E92">
        <w:t xml:space="preserve">reparation and </w:t>
      </w:r>
      <w:r w:rsidR="00A81170">
        <w:t>S</w:t>
      </w:r>
      <w:r w:rsidR="00C92E92" w:rsidRPr="00C92E92">
        <w:t xml:space="preserve">erving </w:t>
      </w:r>
      <w:r w:rsidR="00A81170">
        <w:t>R</w:t>
      </w:r>
      <w:r w:rsidR="00C92E92" w:rsidRPr="00C92E92">
        <w:t xml:space="preserve">elated occupations, with the second highest number of ORODs in this </w:t>
      </w:r>
      <w:r w:rsidR="00C92E92" w:rsidRPr="00C92E92">
        <w:lastRenderedPageBreak/>
        <w:t>study, had</w:t>
      </w:r>
      <w:r w:rsidR="000328AE">
        <w:t xml:space="preserve"> </w:t>
      </w:r>
      <w:r w:rsidR="00DD210E">
        <w:t>similar percentages</w:t>
      </w:r>
      <w:r w:rsidR="00C92E92" w:rsidRPr="00C92E92">
        <w:t xml:space="preserve"> of drugs present at death to those observed in the Construction and </w:t>
      </w:r>
      <w:r w:rsidR="000328AE">
        <w:t>E</w:t>
      </w:r>
      <w:r w:rsidR="00C92E92" w:rsidRPr="00C92E92">
        <w:t>xtraction occupations.</w:t>
      </w:r>
      <w:r w:rsidR="00072D8A">
        <w:t xml:space="preserve"> </w:t>
      </w:r>
    </w:p>
    <w:p w14:paraId="45741A63" w14:textId="77777777" w:rsidR="00DF3F3B" w:rsidRPr="000328AE" w:rsidRDefault="00DF3F3B" w:rsidP="000328AE">
      <w:pPr>
        <w:jc w:val="left"/>
        <w:rPr>
          <w:rFonts w:eastAsia="Calibri"/>
        </w:rPr>
      </w:pPr>
    </w:p>
    <w:p w14:paraId="41442039" w14:textId="57936838" w:rsidR="00791BA8" w:rsidRDefault="00791BA8" w:rsidP="00150B73">
      <w:pPr>
        <w:jc w:val="left"/>
        <w:rPr>
          <w:rFonts w:eastAsia="Calibri"/>
        </w:rPr>
      </w:pPr>
      <w:r w:rsidRPr="00791BA8">
        <w:rPr>
          <w:rFonts w:eastAsia="Calibri"/>
        </w:rPr>
        <w:t xml:space="preserve">These </w:t>
      </w:r>
      <w:r w:rsidR="00C84D57">
        <w:rPr>
          <w:rFonts w:eastAsia="Calibri"/>
        </w:rPr>
        <w:t>findings</w:t>
      </w:r>
      <w:r w:rsidRPr="00791BA8">
        <w:rPr>
          <w:rFonts w:eastAsia="Calibri"/>
        </w:rPr>
        <w:t xml:space="preserve"> demonstrate the</w:t>
      </w:r>
      <w:r w:rsidR="007462E7">
        <w:rPr>
          <w:rFonts w:eastAsia="Calibri"/>
        </w:rPr>
        <w:t xml:space="preserve"> continued</w:t>
      </w:r>
      <w:r w:rsidRPr="00791BA8">
        <w:rPr>
          <w:rFonts w:eastAsia="Calibri"/>
        </w:rPr>
        <w:t xml:space="preserve"> need for education and interventions that are aimed </w:t>
      </w:r>
      <w:r w:rsidR="004132B9">
        <w:rPr>
          <w:rFonts w:eastAsia="Calibri"/>
        </w:rPr>
        <w:t>at</w:t>
      </w:r>
      <w:r w:rsidRPr="00791BA8">
        <w:rPr>
          <w:rFonts w:eastAsia="Calibri"/>
        </w:rPr>
        <w:t xml:space="preserve"> high-</w:t>
      </w:r>
      <w:r w:rsidR="004329A6">
        <w:rPr>
          <w:rFonts w:eastAsia="Calibri"/>
        </w:rPr>
        <w:t>risk</w:t>
      </w:r>
      <w:r w:rsidR="004329A6" w:rsidRPr="00791BA8">
        <w:rPr>
          <w:rFonts w:eastAsia="Calibri"/>
        </w:rPr>
        <w:t xml:space="preserve"> </w:t>
      </w:r>
      <w:r w:rsidRPr="00791BA8">
        <w:rPr>
          <w:rFonts w:eastAsia="Calibri"/>
        </w:rPr>
        <w:t xml:space="preserve">worker populations </w:t>
      </w:r>
      <w:proofErr w:type="gramStart"/>
      <w:r w:rsidRPr="00791BA8">
        <w:rPr>
          <w:rFonts w:eastAsia="Calibri"/>
        </w:rPr>
        <w:t>in order to</w:t>
      </w:r>
      <w:proofErr w:type="gramEnd"/>
      <w:r w:rsidRPr="00791BA8">
        <w:rPr>
          <w:rFonts w:eastAsia="Calibri"/>
        </w:rPr>
        <w:t xml:space="preserve"> prevent opioid-related overdose</w:t>
      </w:r>
      <w:r w:rsidR="00D1660E">
        <w:rPr>
          <w:rFonts w:eastAsia="Calibri"/>
        </w:rPr>
        <w:t xml:space="preserve"> morbid</w:t>
      </w:r>
      <w:r w:rsidR="00FA00FC">
        <w:rPr>
          <w:rFonts w:eastAsia="Calibri"/>
        </w:rPr>
        <w:t>ity and mortality</w:t>
      </w:r>
      <w:r w:rsidRPr="00791BA8">
        <w:rPr>
          <w:rFonts w:eastAsia="Calibri"/>
        </w:rPr>
        <w:t xml:space="preserve">. </w:t>
      </w:r>
      <w:r w:rsidR="003B14B7">
        <w:rPr>
          <w:rFonts w:eastAsia="Calibri"/>
        </w:rPr>
        <w:t>The workplace provides a venue</w:t>
      </w:r>
      <w:r w:rsidR="00CD655B">
        <w:rPr>
          <w:rFonts w:eastAsia="Calibri"/>
        </w:rPr>
        <w:t xml:space="preserve"> for</w:t>
      </w:r>
      <w:r w:rsidR="00E7223F">
        <w:rPr>
          <w:rFonts w:eastAsia="Calibri"/>
        </w:rPr>
        <w:t xml:space="preserve"> the</w:t>
      </w:r>
      <w:r w:rsidR="00CD655B">
        <w:rPr>
          <w:rFonts w:eastAsia="Calibri"/>
        </w:rPr>
        <w:t xml:space="preserve"> primary prevention </w:t>
      </w:r>
      <w:r w:rsidR="00222D40">
        <w:rPr>
          <w:rFonts w:eastAsia="Calibri"/>
        </w:rPr>
        <w:t>of</w:t>
      </w:r>
      <w:r w:rsidR="009C0D55">
        <w:rPr>
          <w:rFonts w:eastAsia="Calibri"/>
        </w:rPr>
        <w:t xml:space="preserve"> injuries</w:t>
      </w:r>
      <w:r w:rsidR="00720018">
        <w:rPr>
          <w:rFonts w:eastAsia="Calibri"/>
        </w:rPr>
        <w:t xml:space="preserve">, as well </w:t>
      </w:r>
      <w:r w:rsidR="00443B88">
        <w:rPr>
          <w:rFonts w:eastAsia="Calibri"/>
        </w:rPr>
        <w:t xml:space="preserve">a place where workers can </w:t>
      </w:r>
      <w:r w:rsidR="00D177F0">
        <w:rPr>
          <w:rFonts w:eastAsia="Calibri"/>
        </w:rPr>
        <w:t>receive education</w:t>
      </w:r>
      <w:r w:rsidR="00687F9B">
        <w:rPr>
          <w:rFonts w:eastAsia="Calibri"/>
        </w:rPr>
        <w:t xml:space="preserve"> on saf</w:t>
      </w:r>
      <w:r w:rsidR="006B0434">
        <w:rPr>
          <w:rFonts w:eastAsia="Calibri"/>
        </w:rPr>
        <w:t>er</w:t>
      </w:r>
      <w:r w:rsidR="008A502A">
        <w:rPr>
          <w:rFonts w:eastAsia="Calibri"/>
        </w:rPr>
        <w:t xml:space="preserve"> </w:t>
      </w:r>
      <w:r w:rsidR="00A56B30">
        <w:rPr>
          <w:rFonts w:eastAsia="Calibri"/>
        </w:rPr>
        <w:t>alternatives for the treatment of pain</w:t>
      </w:r>
      <w:r w:rsidR="00653545">
        <w:rPr>
          <w:rFonts w:eastAsia="Calibri"/>
        </w:rPr>
        <w:t xml:space="preserve"> and</w:t>
      </w:r>
      <w:r w:rsidR="008A502A">
        <w:rPr>
          <w:rFonts w:eastAsia="Calibri"/>
        </w:rPr>
        <w:t xml:space="preserve"> </w:t>
      </w:r>
      <w:r w:rsidR="00426D67">
        <w:rPr>
          <w:rFonts w:eastAsia="Calibri"/>
        </w:rPr>
        <w:t>evidence</w:t>
      </w:r>
      <w:r w:rsidR="00423D39">
        <w:rPr>
          <w:rFonts w:eastAsia="Calibri"/>
        </w:rPr>
        <w:t>-based treatment for opioid use diso</w:t>
      </w:r>
      <w:r w:rsidR="00732177">
        <w:rPr>
          <w:rFonts w:eastAsia="Calibri"/>
        </w:rPr>
        <w:t>rders</w:t>
      </w:r>
      <w:r w:rsidR="00720018">
        <w:rPr>
          <w:rFonts w:eastAsia="Calibri"/>
        </w:rPr>
        <w:t>.</w:t>
      </w:r>
      <w:r w:rsidR="00600302">
        <w:rPr>
          <w:rFonts w:eastAsia="Calibri"/>
        </w:rPr>
        <w:t xml:space="preserve"> </w:t>
      </w:r>
      <w:r w:rsidR="00720018">
        <w:rPr>
          <w:rFonts w:eastAsia="Calibri"/>
        </w:rPr>
        <w:t xml:space="preserve">Furthermore, workplace policies </w:t>
      </w:r>
      <w:r w:rsidR="005F61F7">
        <w:rPr>
          <w:rFonts w:eastAsia="Calibri"/>
        </w:rPr>
        <w:t>that support individuals seeking treatment and returning to the workplace</w:t>
      </w:r>
      <w:r w:rsidR="00DB09A9">
        <w:rPr>
          <w:rFonts w:eastAsia="Calibri"/>
        </w:rPr>
        <w:t xml:space="preserve">, </w:t>
      </w:r>
      <w:r w:rsidR="00720018">
        <w:rPr>
          <w:rFonts w:eastAsia="Calibri"/>
        </w:rPr>
        <w:t>as well as post-substance use disorder workplace practices</w:t>
      </w:r>
      <w:r w:rsidR="004329A6">
        <w:rPr>
          <w:rFonts w:eastAsia="Calibri"/>
        </w:rPr>
        <w:t>,</w:t>
      </w:r>
      <w:r w:rsidR="00720018">
        <w:rPr>
          <w:rFonts w:eastAsia="Calibri"/>
        </w:rPr>
        <w:t xml:space="preserve"> such as recovery</w:t>
      </w:r>
      <w:r w:rsidR="004329A6">
        <w:rPr>
          <w:rFonts w:eastAsia="Calibri"/>
        </w:rPr>
        <w:t>-</w:t>
      </w:r>
      <w:r w:rsidR="00720018">
        <w:rPr>
          <w:rFonts w:eastAsia="Calibri"/>
        </w:rPr>
        <w:t xml:space="preserve">friendly workplace initiatives, employee assistance/peer support programs, and naloxone training </w:t>
      </w:r>
      <w:r w:rsidR="005F61F7">
        <w:rPr>
          <w:rFonts w:eastAsia="Calibri"/>
        </w:rPr>
        <w:t xml:space="preserve">as appropriate </w:t>
      </w:r>
      <w:r w:rsidR="00720018">
        <w:rPr>
          <w:rFonts w:eastAsia="Calibri"/>
        </w:rPr>
        <w:t xml:space="preserve">are critical to reducing opioid-related overdoses. </w:t>
      </w:r>
      <w:r w:rsidR="00EC19F1">
        <w:rPr>
          <w:rFonts w:eastAsia="Calibri"/>
        </w:rPr>
        <w:t xml:space="preserve">Prevention efforts targeting high-risk worker groups are underway at the </w:t>
      </w:r>
      <w:r w:rsidR="00D23B9B">
        <w:rPr>
          <w:rFonts w:eastAsia="Calibri"/>
        </w:rPr>
        <w:t>Massachusetts</w:t>
      </w:r>
      <w:r w:rsidR="00EC19F1">
        <w:rPr>
          <w:rFonts w:eastAsia="Calibri"/>
        </w:rPr>
        <w:t xml:space="preserve"> Department of Public Health and in </w:t>
      </w:r>
      <w:r w:rsidR="00D23B9B">
        <w:rPr>
          <w:rFonts w:eastAsia="Calibri"/>
        </w:rPr>
        <w:t>collaboration</w:t>
      </w:r>
      <w:r w:rsidR="00EC19F1">
        <w:rPr>
          <w:rFonts w:eastAsia="Calibri"/>
        </w:rPr>
        <w:t xml:space="preserve"> with partners state-wide.</w:t>
      </w:r>
    </w:p>
    <w:p w14:paraId="1A634EA1" w14:textId="77777777" w:rsidR="002F5567" w:rsidRDefault="002F5567" w:rsidP="00150B73">
      <w:pPr>
        <w:jc w:val="left"/>
        <w:rPr>
          <w:rFonts w:eastAsia="Calibri"/>
        </w:rPr>
      </w:pPr>
    </w:p>
    <w:p w14:paraId="0CDF6E52" w14:textId="77777777" w:rsidR="000003F0" w:rsidRDefault="000003F0" w:rsidP="002731D2">
      <w:pPr>
        <w:jc w:val="both"/>
        <w:rPr>
          <w:b/>
          <w:color w:val="365F91" w:themeColor="accent1" w:themeShade="BF"/>
        </w:rPr>
      </w:pPr>
    </w:p>
    <w:p w14:paraId="0AB0CB74" w14:textId="3C2C5C58" w:rsidR="00754A05" w:rsidRPr="0038205C" w:rsidRDefault="00754A05" w:rsidP="002731D2">
      <w:pPr>
        <w:jc w:val="both"/>
        <w:rPr>
          <w:b/>
          <w:color w:val="365F91" w:themeColor="accent1" w:themeShade="BF"/>
        </w:rPr>
      </w:pPr>
      <w:r w:rsidRPr="0038205C">
        <w:rPr>
          <w:b/>
          <w:color w:val="365F91" w:themeColor="accent1" w:themeShade="BF"/>
        </w:rPr>
        <w:t>Introduction</w:t>
      </w:r>
    </w:p>
    <w:p w14:paraId="3B79E70D" w14:textId="77777777" w:rsidR="00612ED7" w:rsidRDefault="00612ED7" w:rsidP="00826BDC"/>
    <w:p w14:paraId="4EA1A341" w14:textId="39258ADD" w:rsidR="00A35016" w:rsidRDefault="001A0625" w:rsidP="000905F5">
      <w:pPr>
        <w:jc w:val="both"/>
      </w:pPr>
      <w:r w:rsidRPr="000905F5">
        <w:t xml:space="preserve">Massachusetts has been greatly impacted by the </w:t>
      </w:r>
      <w:r w:rsidR="004329A6">
        <w:t xml:space="preserve">nationwide </w:t>
      </w:r>
      <w:r w:rsidRPr="000905F5">
        <w:t>epidemic of opioid-related overdose and death</w:t>
      </w:r>
      <w:r w:rsidR="004577FF">
        <w:t>, with the annual rate of opioid-related overdose deaths</w:t>
      </w:r>
      <w:r w:rsidR="007A0334">
        <w:t xml:space="preserve"> (OROD)</w:t>
      </w:r>
      <w:r w:rsidR="004329A6">
        <w:t xml:space="preserve"> in MA</w:t>
      </w:r>
      <w:r w:rsidR="004577FF">
        <w:t xml:space="preserve"> more than doubling between 2011 and 2017</w:t>
      </w:r>
      <w:r w:rsidR="004025C0">
        <w:t>.</w:t>
      </w:r>
      <w:r w:rsidR="00420E9C" w:rsidRPr="00420E9C">
        <w:rPr>
          <w:vertAlign w:val="superscript"/>
        </w:rPr>
        <w:t>1</w:t>
      </w:r>
      <w:r w:rsidR="004577FF">
        <w:t xml:space="preserve"> The annual rate in M</w:t>
      </w:r>
      <w:r w:rsidR="00C517BE">
        <w:t>assachusetts</w:t>
      </w:r>
      <w:r w:rsidR="004577FF">
        <w:t xml:space="preserve"> is also </w:t>
      </w:r>
      <w:r w:rsidR="00DC72EF">
        <w:t>estimated</w:t>
      </w:r>
      <w:r w:rsidR="00BB14AC" w:rsidRPr="000905F5">
        <w:t xml:space="preserve"> to be</w:t>
      </w:r>
      <w:r w:rsidRPr="000905F5">
        <w:t xml:space="preserve"> higher than the </w:t>
      </w:r>
      <w:r w:rsidR="004577FF">
        <w:t xml:space="preserve">annual </w:t>
      </w:r>
      <w:r w:rsidR="00D2012C">
        <w:t>rate</w:t>
      </w:r>
      <w:r w:rsidR="004D5A08">
        <w:t xml:space="preserve"> for the U.S.</w:t>
      </w:r>
      <w:r w:rsidR="009940EE">
        <w:t xml:space="preserve"> f</w:t>
      </w:r>
      <w:r w:rsidR="003702F7">
        <w:t>or</w:t>
      </w:r>
      <w:r w:rsidR="009940EE">
        <w:t xml:space="preserve"> </w:t>
      </w:r>
      <w:r w:rsidR="004577FF">
        <w:t>this same time period</w:t>
      </w:r>
      <w:r w:rsidR="00492AA6">
        <w:t>.</w:t>
      </w:r>
      <w:r w:rsidR="00394C84" w:rsidRPr="00394C84">
        <w:rPr>
          <w:vertAlign w:val="superscript"/>
        </w:rPr>
        <w:t>2</w:t>
      </w:r>
      <w:r w:rsidR="004577FF">
        <w:t xml:space="preserve"> While numbers and rates in</w:t>
      </w:r>
      <w:r w:rsidR="002A789C">
        <w:t xml:space="preserve"> Massachusetts </w:t>
      </w:r>
      <w:r w:rsidR="00433B6E">
        <w:t>stabiliz</w:t>
      </w:r>
      <w:r w:rsidR="00A769F6">
        <w:t>ed</w:t>
      </w:r>
      <w:r w:rsidR="002A789C">
        <w:t xml:space="preserve"> </w:t>
      </w:r>
      <w:r w:rsidR="004577FF">
        <w:t>and even decreas</w:t>
      </w:r>
      <w:r w:rsidR="00A769F6">
        <w:t>ed</w:t>
      </w:r>
      <w:r w:rsidR="004577FF">
        <w:t xml:space="preserve"> among some subpopulations </w:t>
      </w:r>
      <w:r w:rsidR="002A789C">
        <w:t>in more recent years</w:t>
      </w:r>
      <w:r w:rsidR="004577FF">
        <w:t xml:space="preserve">, a </w:t>
      </w:r>
      <w:r w:rsidR="009F5467">
        <w:t>better u</w:t>
      </w:r>
      <w:r w:rsidR="00BB14AC" w:rsidRPr="000905F5">
        <w:t xml:space="preserve">nderstanding of the populations that are most affected by this epidemic </w:t>
      </w:r>
      <w:r w:rsidR="0003302D">
        <w:t>is</w:t>
      </w:r>
      <w:r w:rsidR="00BB14AC" w:rsidRPr="000905F5">
        <w:t xml:space="preserve"> needed in order to provide effective </w:t>
      </w:r>
      <w:r w:rsidR="00C517BE">
        <w:t xml:space="preserve">prevention </w:t>
      </w:r>
      <w:r w:rsidR="00BB14AC" w:rsidRPr="000905F5">
        <w:t>efforts</w:t>
      </w:r>
      <w:r w:rsidR="004577FF">
        <w:t xml:space="preserve"> and ensure that </w:t>
      </w:r>
      <w:r w:rsidR="004329A6">
        <w:t xml:space="preserve">deaths </w:t>
      </w:r>
      <w:r w:rsidR="004577FF">
        <w:t>continue to decline</w:t>
      </w:r>
      <w:r w:rsidR="00BB14AC" w:rsidRPr="000905F5">
        <w:t xml:space="preserve">. </w:t>
      </w:r>
    </w:p>
    <w:p w14:paraId="2A00E409" w14:textId="77777777" w:rsidR="00A35016" w:rsidRDefault="00A35016" w:rsidP="000905F5">
      <w:pPr>
        <w:jc w:val="both"/>
      </w:pPr>
    </w:p>
    <w:p w14:paraId="7F38E490" w14:textId="37DC6467" w:rsidR="00841EC0" w:rsidRDefault="004577FF" w:rsidP="000905F5">
      <w:pPr>
        <w:jc w:val="both"/>
      </w:pPr>
      <w:r>
        <w:t>One group that has been especially adversely impacted by the opioid epidemic is workers in occupations and industries that are at high risk for injury and illness</w:t>
      </w:r>
      <w:r w:rsidR="00BF37D4">
        <w:t>. A previous</w:t>
      </w:r>
      <w:r w:rsidR="00A35016">
        <w:t xml:space="preserve"> report</w:t>
      </w:r>
      <w:r w:rsidR="00BF37D4">
        <w:t xml:space="preserve"> published in 2018 by the Massachusetts Department of Public Health</w:t>
      </w:r>
      <w:r w:rsidR="00A35016">
        <w:t xml:space="preserve"> </w:t>
      </w:r>
      <w:r w:rsidR="00841EC0">
        <w:t>found that the</w:t>
      </w:r>
      <w:r w:rsidR="005C1778">
        <w:t xml:space="preserve"> </w:t>
      </w:r>
      <w:r w:rsidR="002C55B2">
        <w:t>average annual</w:t>
      </w:r>
      <w:r w:rsidR="00841EC0">
        <w:t xml:space="preserve"> rate of fatal opioid</w:t>
      </w:r>
      <w:r w:rsidR="003147D0">
        <w:t>-related</w:t>
      </w:r>
      <w:r w:rsidR="00841EC0">
        <w:t xml:space="preserve"> overdose</w:t>
      </w:r>
      <w:r w:rsidR="00DB2A98">
        <w:t xml:space="preserve"> from 2011 through 2015</w:t>
      </w:r>
      <w:r w:rsidR="00841EC0">
        <w:t xml:space="preserve"> varied significantly by industry and occupation of the decedents, and that certain occupational groups (e.g.</w:t>
      </w:r>
      <w:r w:rsidR="00BF37D4">
        <w:t>,</w:t>
      </w:r>
      <w:r w:rsidR="00841EC0">
        <w:t xml:space="preserve"> </w:t>
      </w:r>
      <w:r w:rsidR="00DB2A98">
        <w:t>C</w:t>
      </w:r>
      <w:r w:rsidR="00841EC0">
        <w:t xml:space="preserve">onstruction and </w:t>
      </w:r>
      <w:r w:rsidR="003702F7">
        <w:t>E</w:t>
      </w:r>
      <w:r w:rsidR="00841EC0">
        <w:t>xtraction workers</w:t>
      </w:r>
      <w:r w:rsidR="003702F7">
        <w:t xml:space="preserve"> and</w:t>
      </w:r>
      <w:r w:rsidR="00841EC0">
        <w:t xml:space="preserve"> </w:t>
      </w:r>
      <w:r w:rsidR="00DB2A98">
        <w:t>F</w:t>
      </w:r>
      <w:r w:rsidR="00841EC0">
        <w:t xml:space="preserve">arming, </w:t>
      </w:r>
      <w:r w:rsidR="003702F7">
        <w:t>F</w:t>
      </w:r>
      <w:r w:rsidR="00841EC0">
        <w:t xml:space="preserve">ishing, and </w:t>
      </w:r>
      <w:r w:rsidR="003702F7">
        <w:t>F</w:t>
      </w:r>
      <w:r w:rsidR="00841EC0">
        <w:t xml:space="preserve">orestry workers) had rates much higher than the rate </w:t>
      </w:r>
      <w:r w:rsidR="004679F0">
        <w:t>for</w:t>
      </w:r>
      <w:r w:rsidR="00841EC0">
        <w:t xml:space="preserve"> all workers.</w:t>
      </w:r>
      <w:r w:rsidR="00394C84" w:rsidRPr="00394C84">
        <w:rPr>
          <w:vertAlign w:val="superscript"/>
        </w:rPr>
        <w:t>3</w:t>
      </w:r>
      <w:r w:rsidR="00841EC0">
        <w:t xml:space="preserve"> In particular, the report found that the rate of fatal opioid-related overdose was higher among workers </w:t>
      </w:r>
      <w:r w:rsidR="00841EC0" w:rsidRPr="00841EC0">
        <w:t>employed in industries and occupations known to have high rates of work-related injuries and illnesses</w:t>
      </w:r>
      <w:r w:rsidR="00771FCA">
        <w:t>.</w:t>
      </w:r>
      <w:r w:rsidR="00841EC0">
        <w:t xml:space="preserve"> Th</w:t>
      </w:r>
      <w:r w:rsidR="005240F7">
        <w:t>is</w:t>
      </w:r>
      <w:r w:rsidR="00841EC0">
        <w:t xml:space="preserve"> finding </w:t>
      </w:r>
      <w:r w:rsidR="005240F7">
        <w:t>is</w:t>
      </w:r>
      <w:r w:rsidR="00841EC0">
        <w:t xml:space="preserve"> </w:t>
      </w:r>
      <w:r w:rsidR="00841EC0" w:rsidRPr="00841EC0">
        <w:t xml:space="preserve">consistent with previous research </w:t>
      </w:r>
      <w:r w:rsidR="00841EC0">
        <w:t>that has documented</w:t>
      </w:r>
      <w:r w:rsidR="005240F7">
        <w:t xml:space="preserve"> the </w:t>
      </w:r>
      <w:r w:rsidR="00AC2EE9">
        <w:t>prevalent</w:t>
      </w:r>
      <w:r w:rsidR="00AC2EE9" w:rsidRPr="00841EC0">
        <w:t xml:space="preserve"> </w:t>
      </w:r>
      <w:r w:rsidR="00841EC0" w:rsidRPr="00841EC0">
        <w:t xml:space="preserve">use of prescribed opioids for </w:t>
      </w:r>
      <w:r w:rsidR="00841EC0">
        <w:t xml:space="preserve">pain </w:t>
      </w:r>
      <w:r w:rsidR="00841EC0" w:rsidRPr="00841EC0">
        <w:t>management following work-related injury.</w:t>
      </w:r>
      <w:r w:rsidR="00394C84" w:rsidRPr="00394C84">
        <w:rPr>
          <w:vertAlign w:val="superscript"/>
        </w:rPr>
        <w:t>4-6</w:t>
      </w:r>
      <w:r w:rsidR="00841EC0" w:rsidRPr="00841EC0">
        <w:t xml:space="preserve"> </w:t>
      </w:r>
      <w:r w:rsidR="00CC2E5C" w:rsidRPr="00CC2E5C">
        <w:t xml:space="preserve">The rate </w:t>
      </w:r>
      <w:r w:rsidR="00AC2EE9">
        <w:t xml:space="preserve">of fatal opioid-related overdose </w:t>
      </w:r>
      <w:r w:rsidR="00CC2E5C" w:rsidRPr="00CC2E5C">
        <w:t>was also higher among workers in occupations with lower availability of paid sick leave and l</w:t>
      </w:r>
      <w:r w:rsidR="00CC2E5C">
        <w:t>ess</w:t>
      </w:r>
      <w:r w:rsidR="00CC2E5C" w:rsidRPr="00CC2E5C">
        <w:t xml:space="preserve"> job security</w:t>
      </w:r>
      <w:r w:rsidR="005240F7">
        <w:t xml:space="preserve">, two factors </w:t>
      </w:r>
      <w:r w:rsidR="0003302D">
        <w:t xml:space="preserve">which may increase a worker’s likelihood that </w:t>
      </w:r>
      <w:r w:rsidR="00AC2EE9">
        <w:t>they</w:t>
      </w:r>
      <w:r w:rsidR="0003302D">
        <w:t xml:space="preserve"> will work in pain an</w:t>
      </w:r>
      <w:r w:rsidR="009D4771">
        <w:t xml:space="preserve">d rely on </w:t>
      </w:r>
      <w:r w:rsidR="0003302D">
        <w:t>medication</w:t>
      </w:r>
      <w:r w:rsidR="00AC2EE9">
        <w:t>,</w:t>
      </w:r>
      <w:r w:rsidR="0003302D">
        <w:t xml:space="preserve"> including opioid</w:t>
      </w:r>
      <w:r w:rsidR="009D4771">
        <w:t>s</w:t>
      </w:r>
      <w:r w:rsidR="00AC2EE9">
        <w:t>,</w:t>
      </w:r>
      <w:r w:rsidR="009D4771">
        <w:t xml:space="preserve"> for pain relief.</w:t>
      </w:r>
    </w:p>
    <w:p w14:paraId="44A56A77" w14:textId="77777777" w:rsidR="00841EC0" w:rsidRDefault="00841EC0" w:rsidP="000905F5">
      <w:pPr>
        <w:jc w:val="both"/>
      </w:pPr>
    </w:p>
    <w:p w14:paraId="18F21E57" w14:textId="55599B6A" w:rsidR="00841EC0" w:rsidRDefault="00841EC0" w:rsidP="000905F5">
      <w:pPr>
        <w:jc w:val="both"/>
      </w:pPr>
      <w:r>
        <w:t>The purpose of this report is to update the</w:t>
      </w:r>
      <w:r w:rsidR="004679F0">
        <w:t xml:space="preserve"> previous</w:t>
      </w:r>
      <w:r w:rsidR="000148A7">
        <w:t>ly published 2018 report</w:t>
      </w:r>
      <w:r w:rsidR="000D1A82">
        <w:t xml:space="preserve"> (her</w:t>
      </w:r>
      <w:r w:rsidR="00C73FE1">
        <w:t xml:space="preserve">eafter referred to as </w:t>
      </w:r>
      <w:r w:rsidR="00AC2EE9">
        <w:t>“</w:t>
      </w:r>
      <w:r w:rsidR="009C55D0">
        <w:t>2011-2015 data</w:t>
      </w:r>
      <w:r w:rsidR="00AC2EE9">
        <w:t>”</w:t>
      </w:r>
      <w:r w:rsidR="00C73FE1">
        <w:t>)</w:t>
      </w:r>
      <w:r w:rsidR="000148A7">
        <w:t xml:space="preserve"> </w:t>
      </w:r>
      <w:r>
        <w:t xml:space="preserve">to include </w:t>
      </w:r>
      <w:r w:rsidR="009940EE">
        <w:t>findings</w:t>
      </w:r>
      <w:r>
        <w:t xml:space="preserve"> from 2016 and 2017, </w:t>
      </w:r>
      <w:r w:rsidR="001C4FFC">
        <w:t>a period that represents a</w:t>
      </w:r>
      <w:r>
        <w:t xml:space="preserve"> peak</w:t>
      </w:r>
      <w:r w:rsidR="001C4FFC">
        <w:t xml:space="preserve"> in both </w:t>
      </w:r>
      <w:r w:rsidR="00AC2EE9">
        <w:t xml:space="preserve">count </w:t>
      </w:r>
      <w:r w:rsidR="001C4FFC">
        <w:t>and rate of</w:t>
      </w:r>
      <w:r w:rsidR="003147D0">
        <w:t xml:space="preserve"> fatal</w:t>
      </w:r>
      <w:r>
        <w:t xml:space="preserve"> opioid</w:t>
      </w:r>
      <w:r w:rsidR="003147D0">
        <w:t>-related</w:t>
      </w:r>
      <w:r>
        <w:t xml:space="preserve"> overdose in Massachusetts. This report will </w:t>
      </w:r>
      <w:r w:rsidR="000148A7">
        <w:t>highlight new findings from 2016-2017</w:t>
      </w:r>
      <w:r w:rsidR="000003F0">
        <w:t xml:space="preserve"> (including</w:t>
      </w:r>
      <w:r w:rsidR="00AC2EE9">
        <w:t>,</w:t>
      </w:r>
      <w:r w:rsidR="000003F0">
        <w:t xml:space="preserve"> for the first time, toxicology data)</w:t>
      </w:r>
      <w:r w:rsidR="000148A7">
        <w:t>, as well as provide trends</w:t>
      </w:r>
      <w:r w:rsidR="000B1AA1">
        <w:t xml:space="preserve"> over time and patterns by race</w:t>
      </w:r>
      <w:r w:rsidR="006C1899">
        <w:t>/ethnicity</w:t>
      </w:r>
      <w:r w:rsidR="000148A7">
        <w:t xml:space="preserve"> </w:t>
      </w:r>
      <w:r w:rsidR="006C1899">
        <w:t>for the period of</w:t>
      </w:r>
      <w:r w:rsidR="000148A7">
        <w:t xml:space="preserve"> 2011 to 2017</w:t>
      </w:r>
      <w:r>
        <w:t xml:space="preserve">. </w:t>
      </w:r>
    </w:p>
    <w:p w14:paraId="1B82B18B" w14:textId="77777777" w:rsidR="00A35016" w:rsidRDefault="00A35016" w:rsidP="000905F5">
      <w:pPr>
        <w:jc w:val="both"/>
      </w:pPr>
    </w:p>
    <w:p w14:paraId="7FE1F556" w14:textId="115CC78E" w:rsidR="00BB14AC" w:rsidRPr="000905F5" w:rsidRDefault="00841EC0" w:rsidP="000905F5">
      <w:pPr>
        <w:jc w:val="both"/>
      </w:pPr>
      <w:r>
        <w:t>Specifically, t</w:t>
      </w:r>
      <w:r w:rsidR="00BB14AC" w:rsidRPr="000905F5">
        <w:t>his report seeks to understand affected populations by:</w:t>
      </w:r>
    </w:p>
    <w:p w14:paraId="1A8DEE43" w14:textId="483BAD89" w:rsidR="00396530" w:rsidRDefault="00BB14AC" w:rsidP="000905F5">
      <w:pPr>
        <w:pStyle w:val="ListParagraph"/>
        <w:numPr>
          <w:ilvl w:val="0"/>
          <w:numId w:val="23"/>
        </w:numPr>
        <w:jc w:val="both"/>
      </w:pPr>
      <w:r w:rsidRPr="000905F5">
        <w:t xml:space="preserve">Characterizing </w:t>
      </w:r>
      <w:r w:rsidR="00E7451E">
        <w:t>ORODs</w:t>
      </w:r>
      <w:r w:rsidRPr="000905F5">
        <w:t xml:space="preserve"> among Massachusetts residents by industry </w:t>
      </w:r>
      <w:r w:rsidR="00B76DEF">
        <w:t>and</w:t>
      </w:r>
      <w:r w:rsidRPr="000905F5">
        <w:t xml:space="preserve"> occupation of decedents, and </w:t>
      </w:r>
      <w:r w:rsidR="000B47AF">
        <w:t>by</w:t>
      </w:r>
      <w:r w:rsidR="002D7DC9">
        <w:t xml:space="preserve"> sex.</w:t>
      </w:r>
    </w:p>
    <w:p w14:paraId="51FA4A4B" w14:textId="5FC69ABE" w:rsidR="00345DB4" w:rsidRDefault="000B1AA1" w:rsidP="000905F5">
      <w:pPr>
        <w:pStyle w:val="ListParagraph"/>
        <w:numPr>
          <w:ilvl w:val="0"/>
          <w:numId w:val="23"/>
        </w:numPr>
        <w:jc w:val="both"/>
      </w:pPr>
      <w:r>
        <w:t>C</w:t>
      </w:r>
      <w:r w:rsidR="002D7DC9">
        <w:t>haracteriz</w:t>
      </w:r>
      <w:r>
        <w:t>ing</w:t>
      </w:r>
      <w:r w:rsidR="006C1899">
        <w:t xml:space="preserve"> </w:t>
      </w:r>
      <w:r w:rsidR="00BB14AC" w:rsidRPr="000905F5">
        <w:t>race/ethnicity</w:t>
      </w:r>
      <w:r w:rsidR="002D7DC9">
        <w:t xml:space="preserve"> of decedents overall and with</w:t>
      </w:r>
      <w:r w:rsidR="00396530">
        <w:t>in select occupation groups</w:t>
      </w:r>
      <w:r w:rsidR="002E0014">
        <w:t>.</w:t>
      </w:r>
      <w:r w:rsidR="00BB14AC" w:rsidRPr="000905F5">
        <w:t xml:space="preserve"> </w:t>
      </w:r>
    </w:p>
    <w:p w14:paraId="0A0103CE" w14:textId="77777777" w:rsidR="00BB14AC" w:rsidRPr="000905F5" w:rsidRDefault="000B1AA1" w:rsidP="000905F5">
      <w:pPr>
        <w:pStyle w:val="ListParagraph"/>
        <w:numPr>
          <w:ilvl w:val="0"/>
          <w:numId w:val="23"/>
        </w:numPr>
        <w:jc w:val="both"/>
      </w:pPr>
      <w:r>
        <w:t>Analyzing</w:t>
      </w:r>
      <w:r w:rsidR="00345DB4">
        <w:t xml:space="preserve"> trends</w:t>
      </w:r>
      <w:r>
        <w:t xml:space="preserve"> in OROD rates</w:t>
      </w:r>
      <w:r w:rsidR="00345DB4">
        <w:t xml:space="preserve"> over time by occupation</w:t>
      </w:r>
      <w:r w:rsidR="003B401A">
        <w:t>.</w:t>
      </w:r>
      <w:r w:rsidR="00345DB4">
        <w:t xml:space="preserve"> </w:t>
      </w:r>
    </w:p>
    <w:p w14:paraId="63FBA02B" w14:textId="7C8B45C9" w:rsidR="00BB14AC" w:rsidRDefault="00E462B8" w:rsidP="000905F5">
      <w:pPr>
        <w:pStyle w:val="ListParagraph"/>
        <w:numPr>
          <w:ilvl w:val="0"/>
          <w:numId w:val="23"/>
        </w:numPr>
        <w:jc w:val="both"/>
      </w:pPr>
      <w:r>
        <w:t>Re-examin</w:t>
      </w:r>
      <w:r w:rsidR="00492AA6">
        <w:t>ing</w:t>
      </w:r>
      <w:r w:rsidR="00BB14AC" w:rsidRPr="000905F5">
        <w:t xml:space="preserve"> factors that may contribute to differences in rates of </w:t>
      </w:r>
      <w:r w:rsidR="00E7451E">
        <w:t>OROD</w:t>
      </w:r>
      <w:r w:rsidR="00BB14AC" w:rsidRPr="000905F5">
        <w:t xml:space="preserve"> among different </w:t>
      </w:r>
      <w:r w:rsidR="00BB14AC" w:rsidRPr="009B17F0">
        <w:t>industries and/or occupations.</w:t>
      </w:r>
    </w:p>
    <w:p w14:paraId="473C8383" w14:textId="62372250" w:rsidR="000B1AA1" w:rsidRDefault="000B1AA1" w:rsidP="000905F5">
      <w:pPr>
        <w:pStyle w:val="ListParagraph"/>
        <w:numPr>
          <w:ilvl w:val="0"/>
          <w:numId w:val="23"/>
        </w:numPr>
        <w:jc w:val="both"/>
      </w:pPr>
      <w:r>
        <w:t>Examining</w:t>
      </w:r>
      <w:r w:rsidR="006C1899">
        <w:t xml:space="preserve"> patterns over time (2015 </w:t>
      </w:r>
      <w:r w:rsidR="00AD4437">
        <w:t>-</w:t>
      </w:r>
      <w:r w:rsidR="006C1899">
        <w:t xml:space="preserve"> 2017) of the type of drug(s) contributing to death by select occupation groups</w:t>
      </w:r>
      <w:r w:rsidR="003B401A">
        <w:t>,</w:t>
      </w:r>
      <w:r w:rsidR="006C1899">
        <w:t xml:space="preserve"> using toxicology information in the death certificates.</w:t>
      </w:r>
      <w:r>
        <w:t xml:space="preserve"> </w:t>
      </w:r>
    </w:p>
    <w:p w14:paraId="782C4BF3" w14:textId="77777777" w:rsidR="009832EC" w:rsidRPr="000905F5" w:rsidRDefault="009832EC" w:rsidP="009832EC">
      <w:pPr>
        <w:pStyle w:val="ListParagraph"/>
        <w:jc w:val="both"/>
      </w:pPr>
    </w:p>
    <w:p w14:paraId="20EFD16D" w14:textId="77777777" w:rsidR="00B41435" w:rsidRPr="002621E9" w:rsidRDefault="00B41435" w:rsidP="007C3A96">
      <w:pPr>
        <w:jc w:val="left"/>
        <w:outlineLvl w:val="0"/>
        <w:rPr>
          <w:b/>
          <w:color w:val="17365D" w:themeColor="text2" w:themeShade="BF"/>
        </w:rPr>
      </w:pPr>
      <w:r w:rsidRPr="002621E9">
        <w:rPr>
          <w:b/>
          <w:color w:val="17365D" w:themeColor="text2" w:themeShade="BF"/>
        </w:rPr>
        <w:lastRenderedPageBreak/>
        <w:t>Methods</w:t>
      </w:r>
    </w:p>
    <w:p w14:paraId="2B421625" w14:textId="77777777" w:rsidR="00B41435" w:rsidRDefault="00B41435" w:rsidP="003F4180">
      <w:pPr>
        <w:jc w:val="left"/>
      </w:pPr>
    </w:p>
    <w:p w14:paraId="2158513A" w14:textId="3BBFD140" w:rsidR="00454E9B" w:rsidRPr="000905F5" w:rsidRDefault="004C4231" w:rsidP="00CC732F">
      <w:pPr>
        <w:jc w:val="left"/>
      </w:pPr>
      <w:r>
        <w:t>Opioid-related overdose deaths were identified by the causes of death listed on</w:t>
      </w:r>
      <w:r w:rsidR="00454E9B" w:rsidRPr="000905F5">
        <w:t xml:space="preserve"> death certificates</w:t>
      </w:r>
      <w:r w:rsidR="00B76DEF">
        <w:t xml:space="preserve">, which </w:t>
      </w:r>
      <w:r w:rsidR="005B77B1">
        <w:t>were available electronically through a file provided by the Massachusetts Registry of Vital Records.</w:t>
      </w:r>
      <w:r w:rsidR="00454E9B" w:rsidRPr="000905F5">
        <w:t xml:space="preserve"> </w:t>
      </w:r>
      <w:r w:rsidR="00C81BDD" w:rsidRPr="00C16E85">
        <w:t>The following International Classification of Diseases – 10</w:t>
      </w:r>
      <w:r w:rsidR="00C81BDD" w:rsidRPr="00C16E85">
        <w:rPr>
          <w:vertAlign w:val="superscript"/>
        </w:rPr>
        <w:t>th</w:t>
      </w:r>
      <w:r w:rsidR="00C81BDD" w:rsidRPr="00C16E85">
        <w:t xml:space="preserve"> edition (ICD-10) codes were selected from the underlying cause of death field to identify all</w:t>
      </w:r>
      <w:r w:rsidR="00F378B8">
        <w:t xml:space="preserve"> fatal</w:t>
      </w:r>
      <w:r w:rsidR="00C81BDD" w:rsidRPr="00C16E85">
        <w:t xml:space="preserve"> poisonings/overdoses</w:t>
      </w:r>
      <w:r w:rsidR="00F378B8">
        <w:t>, regardless of intent</w:t>
      </w:r>
      <w:r w:rsidR="00C81BDD" w:rsidRPr="00C16E85">
        <w:t>: X40-X49</w:t>
      </w:r>
      <w:r w:rsidR="003B401A">
        <w:t xml:space="preserve"> (</w:t>
      </w:r>
      <w:r w:rsidR="0083421D">
        <w:t>unintentional</w:t>
      </w:r>
      <w:r w:rsidR="003B401A">
        <w:t>)</w:t>
      </w:r>
      <w:r w:rsidR="00C81BDD" w:rsidRPr="00C16E85">
        <w:t>, X60-X69</w:t>
      </w:r>
      <w:r w:rsidR="003B401A">
        <w:t xml:space="preserve"> (</w:t>
      </w:r>
      <w:r w:rsidR="00F378B8">
        <w:t>self-harm/suicide</w:t>
      </w:r>
      <w:r w:rsidR="003B401A">
        <w:t>)</w:t>
      </w:r>
      <w:r w:rsidR="00C81BDD" w:rsidRPr="00C16E85">
        <w:t>, X85-X90</w:t>
      </w:r>
      <w:r w:rsidR="003B401A">
        <w:t xml:space="preserve"> &amp; Y35.2 (</w:t>
      </w:r>
      <w:r w:rsidR="00F378B8">
        <w:t>assault/homicide/other</w:t>
      </w:r>
      <w:r w:rsidR="003B401A">
        <w:t>) and</w:t>
      </w:r>
      <w:r w:rsidR="00C81BDD" w:rsidRPr="00C16E85">
        <w:t xml:space="preserve"> Y10-Y19</w:t>
      </w:r>
      <w:r w:rsidR="00F378B8">
        <w:t xml:space="preserve"> (undetermined intent)</w:t>
      </w:r>
      <w:r w:rsidR="00C81BDD" w:rsidRPr="00C16E85">
        <w:t xml:space="preserve">. </w:t>
      </w:r>
      <w:r w:rsidR="005B77B1">
        <w:t xml:space="preserve">Additionally, </w:t>
      </w:r>
      <w:r w:rsidR="00C81BDD" w:rsidRPr="00C16E85">
        <w:t xml:space="preserve">multiple cause of death fields were </w:t>
      </w:r>
      <w:r w:rsidR="003115FB">
        <w:t>searched</w:t>
      </w:r>
      <w:r w:rsidR="00C81BDD" w:rsidRPr="00C16E85">
        <w:t xml:space="preserve"> to identify</w:t>
      </w:r>
      <w:r w:rsidR="007D7C6C">
        <w:t xml:space="preserve"> fatal poisonings in which the substance involved was an opioid</w:t>
      </w:r>
      <w:r w:rsidR="00C81BDD" w:rsidRPr="00C16E85">
        <w:t>: T40.0</w:t>
      </w:r>
      <w:r w:rsidR="007D7C6C">
        <w:t xml:space="preserve"> (opium)</w:t>
      </w:r>
      <w:r w:rsidR="00C81BDD" w:rsidRPr="00C16E85">
        <w:t>, T40.1</w:t>
      </w:r>
      <w:r w:rsidR="007D7C6C">
        <w:t xml:space="preserve"> (heroin)</w:t>
      </w:r>
      <w:r w:rsidR="00C81BDD" w:rsidRPr="00C16E85">
        <w:t>, T40.2</w:t>
      </w:r>
      <w:r w:rsidR="007D7C6C">
        <w:t xml:space="preserve"> (other opioids)</w:t>
      </w:r>
      <w:r w:rsidR="00C81BDD" w:rsidRPr="00C16E85">
        <w:t>, T40.3</w:t>
      </w:r>
      <w:r w:rsidR="007D7C6C">
        <w:t xml:space="preserve"> (methadone)</w:t>
      </w:r>
      <w:r w:rsidR="00C81BDD" w:rsidRPr="00C16E85">
        <w:t>, T40.4</w:t>
      </w:r>
      <w:r w:rsidR="007D7C6C">
        <w:t xml:space="preserve"> (synthetic narcotics)</w:t>
      </w:r>
      <w:r w:rsidR="00C81BDD" w:rsidRPr="00C16E85">
        <w:t>, and T40.6</w:t>
      </w:r>
      <w:r w:rsidR="007D7C6C">
        <w:t xml:space="preserve"> (other unspecified narcotics)</w:t>
      </w:r>
      <w:r w:rsidR="00492AA6" w:rsidRPr="00C16E85">
        <w:t>.</w:t>
      </w:r>
      <w:r w:rsidR="00394C84" w:rsidRPr="00394C84">
        <w:rPr>
          <w:vertAlign w:val="superscript"/>
        </w:rPr>
        <w:t>7</w:t>
      </w:r>
      <w:r w:rsidR="00C81BDD" w:rsidRPr="00C16E85">
        <w:t xml:space="preserve"> </w:t>
      </w:r>
      <w:r w:rsidR="00AC0B32">
        <w:t>Additional i</w:t>
      </w:r>
      <w:r w:rsidR="00C81BDD" w:rsidRPr="000905F5">
        <w:t>nformation</w:t>
      </w:r>
      <w:r w:rsidR="00DB16A9">
        <w:t xml:space="preserve"> obtained from the death certificates</w:t>
      </w:r>
      <w:r w:rsidR="00C81BDD" w:rsidRPr="000905F5">
        <w:t xml:space="preserve"> </w:t>
      </w:r>
      <w:r w:rsidR="00DB16A9">
        <w:t>included decedents’</w:t>
      </w:r>
      <w:r w:rsidR="00C81BDD" w:rsidRPr="000905F5">
        <w:t xml:space="preserve"> age, </w:t>
      </w:r>
      <w:r w:rsidR="003034D6">
        <w:t>sex</w:t>
      </w:r>
      <w:r w:rsidR="00C81BDD" w:rsidRPr="000905F5">
        <w:t>, race/ethnicity, residence, and usual industry and occupation</w:t>
      </w:r>
      <w:r w:rsidR="00B76DEF">
        <w:t>,</w:t>
      </w:r>
      <w:r w:rsidR="00DB16A9">
        <w:t xml:space="preserve"> as well as toxicology information.</w:t>
      </w:r>
      <w:r w:rsidR="00C81BDD" w:rsidRPr="000905F5">
        <w:t xml:space="preserve"> Occupation describ</w:t>
      </w:r>
      <w:r w:rsidR="007C28FC" w:rsidRPr="000905F5">
        <w:t>es</w:t>
      </w:r>
      <w:r w:rsidR="00C81BDD" w:rsidRPr="000905F5">
        <w:t xml:space="preserve"> the kind of work </w:t>
      </w:r>
      <w:r w:rsidR="00DB16A9">
        <w:t>an individual</w:t>
      </w:r>
      <w:r w:rsidR="00C81BDD" w:rsidRPr="000905F5">
        <w:t xml:space="preserve"> does to earn a living (i.e., job title), while industry describes</w:t>
      </w:r>
      <w:r w:rsidR="00DB16A9">
        <w:t xml:space="preserve"> the activities</w:t>
      </w:r>
      <w:r w:rsidR="00C81BDD" w:rsidRPr="000905F5">
        <w:t xml:space="preserve"> the </w:t>
      </w:r>
      <w:r w:rsidR="00DB16A9">
        <w:t>individual’s</w:t>
      </w:r>
      <w:r w:rsidR="00C81BDD" w:rsidRPr="000905F5">
        <w:t xml:space="preserve"> employer </w:t>
      </w:r>
      <w:r w:rsidR="00DB16A9">
        <w:t>is engaged in</w:t>
      </w:r>
      <w:r w:rsidR="00C81BDD" w:rsidRPr="000905F5">
        <w:t xml:space="preserve">. </w:t>
      </w:r>
      <w:r w:rsidR="007C28FC" w:rsidRPr="000905F5">
        <w:t>Using the National Institute for Occupational Safety and Health Industry and Occupation Computerized Coding System (</w:t>
      </w:r>
      <w:r w:rsidR="007C28FC" w:rsidRPr="004C4231">
        <w:t>NIOCCS)</w:t>
      </w:r>
      <w:r w:rsidR="00B76DEF">
        <w:t>,</w:t>
      </w:r>
      <w:r w:rsidR="007C28FC" w:rsidRPr="004C4231">
        <w:rPr>
          <w:rStyle w:val="FootnoteReference"/>
        </w:rPr>
        <w:footnoteReference w:id="1"/>
      </w:r>
      <w:r w:rsidR="007C28FC" w:rsidRPr="004C4231">
        <w:t xml:space="preserve"> industry</w:t>
      </w:r>
      <w:r w:rsidR="007C28FC" w:rsidRPr="000905F5">
        <w:t xml:space="preserve"> and occupation were </w:t>
      </w:r>
      <w:r w:rsidR="00811D0D">
        <w:t>assigned</w:t>
      </w:r>
      <w:r w:rsidR="007C28FC" w:rsidRPr="000905F5">
        <w:t xml:space="preserve"> North American Industry Classification System</w:t>
      </w:r>
      <w:r w:rsidR="00B531DA">
        <w:t xml:space="preserve"> (NA</w:t>
      </w:r>
      <w:r w:rsidR="00CC0B1F">
        <w:t>ICS)</w:t>
      </w:r>
      <w:r w:rsidR="00811D0D">
        <w:t xml:space="preserve"> codes</w:t>
      </w:r>
      <w:r w:rsidR="007C28FC" w:rsidRPr="000905F5">
        <w:t xml:space="preserve"> and the Standard Occupation Classification System</w:t>
      </w:r>
      <w:r w:rsidR="00CC0B1F">
        <w:t xml:space="preserve"> (SOC)</w:t>
      </w:r>
      <w:r w:rsidR="00811D0D">
        <w:t xml:space="preserve"> codes</w:t>
      </w:r>
      <w:r w:rsidR="00B76DEF">
        <w:t>,</w:t>
      </w:r>
      <w:r w:rsidR="007C28FC" w:rsidRPr="000905F5">
        <w:rPr>
          <w:rStyle w:val="FootnoteReference"/>
        </w:rPr>
        <w:footnoteReference w:id="2"/>
      </w:r>
      <w:r w:rsidR="007C28FC" w:rsidRPr="000905F5">
        <w:t xml:space="preserve"> respectively</w:t>
      </w:r>
      <w:r w:rsidR="005502A1">
        <w:t>,</w:t>
      </w:r>
      <w:r w:rsidR="007C28FC" w:rsidRPr="000905F5">
        <w:t xml:space="preserve"> and were further classified by manual review. </w:t>
      </w:r>
      <w:r w:rsidR="004C7E15">
        <w:t xml:space="preserve">See Appendix for examples of groups within industry and occupation classifications.  </w:t>
      </w:r>
    </w:p>
    <w:p w14:paraId="5430D1FF" w14:textId="77777777" w:rsidR="007C28FC" w:rsidRPr="000905F5" w:rsidRDefault="007C28FC" w:rsidP="00CC732F">
      <w:pPr>
        <w:jc w:val="left"/>
      </w:pPr>
    </w:p>
    <w:p w14:paraId="6FF4F8C1" w14:textId="6412F774" w:rsidR="007C28FC" w:rsidRDefault="00227D2D" w:rsidP="00CC732F">
      <w:pPr>
        <w:jc w:val="left"/>
      </w:pPr>
      <w:r>
        <w:t>T</w:t>
      </w:r>
      <w:r w:rsidR="007C28FC" w:rsidRPr="000905F5">
        <w:t xml:space="preserve">he distribution and rate of </w:t>
      </w:r>
      <w:r w:rsidR="00CC0B1F">
        <w:t xml:space="preserve">OROD </w:t>
      </w:r>
      <w:r w:rsidR="007C28FC" w:rsidRPr="000905F5">
        <w:t>among Massachusetts residents</w:t>
      </w:r>
      <w:r>
        <w:t xml:space="preserve"> </w:t>
      </w:r>
      <w:r w:rsidR="00C16E85">
        <w:t>was p</w:t>
      </w:r>
      <w:r>
        <w:t>resented</w:t>
      </w:r>
      <w:r w:rsidR="007C28FC" w:rsidRPr="000905F5">
        <w:t xml:space="preserve"> by industry and occupation, and within </w:t>
      </w:r>
      <w:r w:rsidR="003034D6">
        <w:t>sex</w:t>
      </w:r>
      <w:r w:rsidR="007C28FC" w:rsidRPr="000905F5">
        <w:t xml:space="preserve">, age, </w:t>
      </w:r>
      <w:r w:rsidR="000148A7">
        <w:t xml:space="preserve">and </w:t>
      </w:r>
      <w:r w:rsidR="007C28FC" w:rsidRPr="000905F5">
        <w:t xml:space="preserve">racial/ethnic </w:t>
      </w:r>
      <w:r w:rsidR="009F2067" w:rsidRPr="000905F5">
        <w:t>groups</w:t>
      </w:r>
      <w:r w:rsidR="007C28FC" w:rsidRPr="000905F5">
        <w:t xml:space="preserve">. </w:t>
      </w:r>
      <w:r w:rsidR="009F2067">
        <w:t>Analyses focused</w:t>
      </w:r>
      <w:r w:rsidR="00006B13">
        <w:t xml:space="preserve"> primarily</w:t>
      </w:r>
      <w:r w:rsidR="00A35016">
        <w:t xml:space="preserve"> on deaths occurring in 2016 and 2017, although</w:t>
      </w:r>
      <w:r w:rsidR="00006B13">
        <w:t xml:space="preserve"> deaths that occurred prior to 2016 </w:t>
      </w:r>
      <w:r w:rsidR="00EF7D88">
        <w:t>(deaths from 2011-</w:t>
      </w:r>
      <w:r w:rsidR="00C13AEC">
        <w:t>2015</w:t>
      </w:r>
      <w:r w:rsidR="00EF7D88">
        <w:t xml:space="preserve">) </w:t>
      </w:r>
      <w:r w:rsidR="00006B13">
        <w:t>were included to examine</w:t>
      </w:r>
      <w:r w:rsidR="00A35016">
        <w:t xml:space="preserve"> trends over time</w:t>
      </w:r>
      <w:r w:rsidR="00006B13">
        <w:t>.</w:t>
      </w:r>
      <w:r w:rsidR="00A35016">
        <w:t xml:space="preserve"> Thus, as appropriate, </w:t>
      </w:r>
      <w:r w:rsidR="005844D2">
        <w:t>two</w:t>
      </w:r>
      <w:r w:rsidR="00A35016">
        <w:t xml:space="preserve">-year </w:t>
      </w:r>
      <w:r w:rsidR="00113966" w:rsidRPr="000905F5">
        <w:t xml:space="preserve">average annual </w:t>
      </w:r>
      <w:r w:rsidR="00446D4E">
        <w:t>OROD</w:t>
      </w:r>
      <w:r w:rsidR="00113966" w:rsidRPr="000905F5">
        <w:t xml:space="preserve"> rates among workers were calculated as the number of deaths per 100,000 work</w:t>
      </w:r>
      <w:r w:rsidR="00BD4C14">
        <w:t>er</w:t>
      </w:r>
      <w:r w:rsidR="00113966" w:rsidRPr="000905F5">
        <w:t>s. 95% confidence intervals were calculated for all rates.</w:t>
      </w:r>
      <w:r w:rsidR="005844D2">
        <w:t xml:space="preserve"> </w:t>
      </w:r>
      <w:r w:rsidR="003333C9">
        <w:t xml:space="preserve">For </w:t>
      </w:r>
      <w:r w:rsidR="00973769">
        <w:t>brevity</w:t>
      </w:r>
      <w:r w:rsidR="00DF7CAD">
        <w:t xml:space="preserve"> in this report</w:t>
      </w:r>
      <w:r w:rsidR="003333C9">
        <w:t xml:space="preserve">, </w:t>
      </w:r>
      <w:r w:rsidR="009C0788">
        <w:t xml:space="preserve">all </w:t>
      </w:r>
      <w:r w:rsidR="005844D2" w:rsidRPr="00150B73">
        <w:rPr>
          <w:i/>
          <w:iCs/>
        </w:rPr>
        <w:t>average annual rates</w:t>
      </w:r>
      <w:r w:rsidR="00D84906">
        <w:t>,</w:t>
      </w:r>
      <w:r w:rsidR="009C0788">
        <w:t xml:space="preserve"> whether two-year or </w:t>
      </w:r>
      <w:r w:rsidR="00E80C95">
        <w:t>six-year</w:t>
      </w:r>
      <w:r w:rsidR="00D84906">
        <w:t>,</w:t>
      </w:r>
      <w:r w:rsidR="005844D2">
        <w:t xml:space="preserve"> </w:t>
      </w:r>
      <w:r w:rsidR="00B76DEF">
        <w:t xml:space="preserve">are </w:t>
      </w:r>
      <w:r w:rsidR="00150B73">
        <w:t>referred</w:t>
      </w:r>
      <w:r w:rsidR="005844D2">
        <w:t xml:space="preserve"> to as just </w:t>
      </w:r>
      <w:r w:rsidR="005844D2" w:rsidRPr="00150B73">
        <w:rPr>
          <w:i/>
          <w:iCs/>
        </w:rPr>
        <w:t>rates</w:t>
      </w:r>
      <w:r w:rsidR="005844D2">
        <w:t>.</w:t>
      </w:r>
      <w:r w:rsidR="00113966" w:rsidRPr="000905F5">
        <w:t xml:space="preserve"> Rate differences </w:t>
      </w:r>
      <w:r w:rsidR="00B76DEF">
        <w:t>are</w:t>
      </w:r>
      <w:r w:rsidR="00B76DEF" w:rsidRPr="000905F5">
        <w:t xml:space="preserve"> </w:t>
      </w:r>
      <w:r w:rsidR="00113966" w:rsidRPr="000905F5">
        <w:t xml:space="preserve">considered statistically significant if the confidence intervals for the compared rates did not overlap. Data on the average annual number of workers employed in Massachusetts </w:t>
      </w:r>
      <w:r w:rsidR="00006B13">
        <w:t>between</w:t>
      </w:r>
      <w:r w:rsidR="00113966" w:rsidRPr="000905F5">
        <w:t xml:space="preserve"> 2011 </w:t>
      </w:r>
      <w:r w:rsidR="00006B13">
        <w:t>and</w:t>
      </w:r>
      <w:r w:rsidR="00113966" w:rsidRPr="000905F5">
        <w:t xml:space="preserve"> 2017 were obtained from the American Community Survey, 2011 </w:t>
      </w:r>
      <w:r w:rsidR="00AD4437">
        <w:t>-</w:t>
      </w:r>
      <w:r w:rsidR="00113966" w:rsidRPr="000905F5">
        <w:t xml:space="preserve"> 2017</w:t>
      </w:r>
      <w:r w:rsidR="00A45AF1">
        <w:t xml:space="preserve"> and se</w:t>
      </w:r>
      <w:r w:rsidR="00D84DA3">
        <w:t>rved as the denominator for rates.</w:t>
      </w:r>
      <w:r w:rsidR="00394C84" w:rsidRPr="00394C84">
        <w:rPr>
          <w:vertAlign w:val="superscript"/>
        </w:rPr>
        <w:t>8</w:t>
      </w:r>
      <w:r w:rsidR="00113966" w:rsidRPr="000905F5">
        <w:t xml:space="preserve"> It is assumed that </w:t>
      </w:r>
      <w:r w:rsidR="00554879">
        <w:t>decedents who</w:t>
      </w:r>
      <w:r w:rsidR="00113966" w:rsidRPr="000905F5">
        <w:t xml:space="preserve"> had an industry and/or occupation reported on their death certificates were employed in that industry and/or occupation in the years prior to death. </w:t>
      </w:r>
      <w:r w:rsidR="00804FAC">
        <w:t>Since</w:t>
      </w:r>
      <w:r w:rsidR="00113966" w:rsidRPr="000905F5">
        <w:t xml:space="preserve"> the death certificates contain information about the usual, not current, industry and/or occupation</w:t>
      </w:r>
      <w:r w:rsidR="00804FAC" w:rsidRPr="000905F5">
        <w:t xml:space="preserve">, this assumption may not </w:t>
      </w:r>
      <w:r w:rsidR="0032634E">
        <w:t>be true</w:t>
      </w:r>
      <w:r w:rsidR="00804FAC" w:rsidRPr="000905F5">
        <w:t xml:space="preserve"> if the decedents</w:t>
      </w:r>
      <w:r w:rsidR="00C245C7">
        <w:t>’</w:t>
      </w:r>
      <w:r w:rsidR="00804FAC" w:rsidRPr="000905F5">
        <w:t xml:space="preserve"> usual industry and occupation were different from the industry and occupation they were working </w:t>
      </w:r>
      <w:r w:rsidR="00804FAC">
        <w:t>in during the period</w:t>
      </w:r>
      <w:r w:rsidR="00804FAC" w:rsidRPr="000905F5">
        <w:t xml:space="preserve"> prior to death. </w:t>
      </w:r>
      <w:r w:rsidR="00804FAC">
        <w:t>However, research has shown high rates of concordance between current and usual industry and occupation, including the reporting of industry and occupation listed on death certificates.</w:t>
      </w:r>
      <w:r w:rsidR="00394C84" w:rsidRPr="00394C84">
        <w:rPr>
          <w:vertAlign w:val="superscript"/>
        </w:rPr>
        <w:t>9,10</w:t>
      </w:r>
      <w:r w:rsidR="00804FAC">
        <w:t xml:space="preserve"> Additionally, the assumption may be </w:t>
      </w:r>
      <w:r w:rsidR="005502A1">
        <w:t>invalid</w:t>
      </w:r>
      <w:r w:rsidR="00804FAC">
        <w:t xml:space="preserve"> if the decedent </w:t>
      </w:r>
      <w:r w:rsidR="00B76DEF">
        <w:t xml:space="preserve">had </w:t>
      </w:r>
      <w:r w:rsidR="00804FAC">
        <w:t>retired. A sensitivity analysis</w:t>
      </w:r>
      <w:r w:rsidR="0044403C">
        <w:t xml:space="preserve"> was conducted</w:t>
      </w:r>
      <w:r w:rsidR="00804FAC">
        <w:t xml:space="preserve"> </w:t>
      </w:r>
      <w:r w:rsidR="00D55CCE">
        <w:t xml:space="preserve">that excluded decedents over the age of 55 years old, who accounted for </w:t>
      </w:r>
      <w:r w:rsidR="00427185">
        <w:t>12.8</w:t>
      </w:r>
      <w:r w:rsidR="00D55CCE">
        <w:t xml:space="preserve">% of the deaths among those assumed to be working in this study. With and without the age restriction, the overall distributions of opioid-related overdose deaths by industry and occupation were found to be similar; therefore, findings presented in this report are based on deaths among workers of all ages. </w:t>
      </w:r>
    </w:p>
    <w:p w14:paraId="23F7EB24" w14:textId="77777777" w:rsidR="00B04808" w:rsidRDefault="00B04808" w:rsidP="00CC732F">
      <w:pPr>
        <w:jc w:val="left"/>
      </w:pPr>
    </w:p>
    <w:p w14:paraId="7904949F" w14:textId="18B351C2" w:rsidR="00B04808" w:rsidRDefault="00B04808" w:rsidP="00B04808">
      <w:pPr>
        <w:jc w:val="left"/>
      </w:pPr>
      <w:proofErr w:type="spellStart"/>
      <w:r>
        <w:t>Joinpoint</w:t>
      </w:r>
      <w:proofErr w:type="spellEnd"/>
      <w:r w:rsidR="001F3294">
        <w:t xml:space="preserve"> regression</w:t>
      </w:r>
      <w:r w:rsidR="00D118D6">
        <w:rPr>
          <w:rStyle w:val="FootnoteReference"/>
        </w:rPr>
        <w:footnoteReference w:id="3"/>
      </w:r>
      <w:r>
        <w:t xml:space="preserve"> was used to</w:t>
      </w:r>
      <w:r w:rsidR="00C96F87">
        <w:t xml:space="preserve"> identify</w:t>
      </w:r>
      <w:r w:rsidR="008945A6">
        <w:t xml:space="preserve"> </w:t>
      </w:r>
      <w:r w:rsidR="00CF0E52">
        <w:t>segments</w:t>
      </w:r>
      <w:r w:rsidR="00CC0535">
        <w:t xml:space="preserve"> of time when </w:t>
      </w:r>
      <w:r w:rsidR="008945A6">
        <w:t>the</w:t>
      </w:r>
      <w:r>
        <w:t xml:space="preserve"> rate of </w:t>
      </w:r>
      <w:r w:rsidR="007E3CDB">
        <w:t>OROD</w:t>
      </w:r>
      <w:r w:rsidR="008945A6">
        <w:t>s</w:t>
      </w:r>
      <w:r>
        <w:t xml:space="preserve"> by occupation</w:t>
      </w:r>
      <w:r w:rsidR="00CC0535">
        <w:t xml:space="preserve"> changed</w:t>
      </w:r>
      <w:r>
        <w:t xml:space="preserve"> from 2011 to 2017.</w:t>
      </w:r>
      <w:r w:rsidR="00394C84" w:rsidRPr="00394C84">
        <w:rPr>
          <w:vertAlign w:val="superscript"/>
        </w:rPr>
        <w:t>11</w:t>
      </w:r>
      <w:r>
        <w:t xml:space="preserve"> Negative binomial regression was used to determine</w:t>
      </w:r>
      <w:r w:rsidR="00300CA9">
        <w:t xml:space="preserve"> that </w:t>
      </w:r>
      <w:r w:rsidR="00CF0E52">
        <w:t>these</w:t>
      </w:r>
      <w:r w:rsidR="00C90C33">
        <w:t xml:space="preserve"> chang</w:t>
      </w:r>
      <w:r w:rsidR="00CF0E52">
        <w:t>es</w:t>
      </w:r>
      <w:r w:rsidR="00C90C33">
        <w:t xml:space="preserve"> in trend</w:t>
      </w:r>
      <w:r>
        <w:t xml:space="preserve"> </w:t>
      </w:r>
      <w:r w:rsidR="00D94C38">
        <w:t>(</w:t>
      </w:r>
      <w:r w:rsidR="00055AAD">
        <w:t xml:space="preserve">as measured by </w:t>
      </w:r>
      <w:r>
        <w:t>the annual percent change</w:t>
      </w:r>
      <w:r w:rsidR="00CF0E52">
        <w:t xml:space="preserve"> and the average annual percent change</w:t>
      </w:r>
      <w:r w:rsidR="00D94C38">
        <w:t>)</w:t>
      </w:r>
      <w:r>
        <w:t xml:space="preserve"> </w:t>
      </w:r>
      <w:r w:rsidR="00A167E9">
        <w:t>w</w:t>
      </w:r>
      <w:r w:rsidR="00CF0E52">
        <w:t>ere</w:t>
      </w:r>
      <w:r w:rsidR="00A167E9">
        <w:t xml:space="preserve"> statistically</w:t>
      </w:r>
      <w:r>
        <w:t xml:space="preserve"> significan</w:t>
      </w:r>
      <w:r w:rsidR="00A167E9">
        <w:t>t</w:t>
      </w:r>
      <w:r>
        <w:t xml:space="preserve">. </w:t>
      </w:r>
      <w:r w:rsidR="0082669B">
        <w:t>The</w:t>
      </w:r>
      <w:r w:rsidR="001818A8">
        <w:t xml:space="preserve"> percent of </w:t>
      </w:r>
      <w:r w:rsidR="00AD7952">
        <w:t>ORODs</w:t>
      </w:r>
      <w:r w:rsidR="009A2E84">
        <w:t xml:space="preserve"> </w:t>
      </w:r>
      <w:r w:rsidR="007B1E7D">
        <w:t>showing</w:t>
      </w:r>
      <w:r w:rsidR="00DB4FE5">
        <w:t xml:space="preserve"> the presence of</w:t>
      </w:r>
      <w:r w:rsidR="003D53DE">
        <w:t xml:space="preserve"> specific</w:t>
      </w:r>
      <w:r w:rsidR="00DB4FE5">
        <w:t xml:space="preserve"> drugs</w:t>
      </w:r>
      <w:r w:rsidR="00E32DFF">
        <w:t xml:space="preserve"> through</w:t>
      </w:r>
      <w:r w:rsidR="00367A10">
        <w:t xml:space="preserve"> toxicology screens </w:t>
      </w:r>
      <w:r w:rsidR="00F676E8">
        <w:t>w</w:t>
      </w:r>
      <w:r w:rsidR="00630918">
        <w:t>as</w:t>
      </w:r>
      <w:r w:rsidR="00F676E8">
        <w:t xml:space="preserve"> presented</w:t>
      </w:r>
      <w:r w:rsidR="00C045F8">
        <w:t xml:space="preserve"> annually</w:t>
      </w:r>
      <w:r w:rsidR="00132F9D">
        <w:t xml:space="preserve"> by occupation group</w:t>
      </w:r>
      <w:r w:rsidR="00F676E8">
        <w:t xml:space="preserve"> over the </w:t>
      </w:r>
      <w:r w:rsidR="00763136">
        <w:t>period 201</w:t>
      </w:r>
      <w:r w:rsidR="008945A6">
        <w:t>5</w:t>
      </w:r>
      <w:r w:rsidR="00763136">
        <w:t xml:space="preserve"> </w:t>
      </w:r>
      <w:r w:rsidR="0039737C">
        <w:t>-</w:t>
      </w:r>
      <w:r w:rsidR="00763136">
        <w:t xml:space="preserve"> 2017.</w:t>
      </w:r>
      <w:r w:rsidR="005D15CD">
        <w:t xml:space="preserve"> </w:t>
      </w:r>
      <w:r>
        <w:t>Drugs listed</w:t>
      </w:r>
      <w:r w:rsidR="00AD7952">
        <w:t xml:space="preserve"> on the death certificate</w:t>
      </w:r>
      <w:r>
        <w:t xml:space="preserve"> as a contributing cause of death were categorized </w:t>
      </w:r>
      <w:r w:rsidR="0071084E">
        <w:t>as</w:t>
      </w:r>
      <w:r w:rsidR="00AD6CC4">
        <w:t xml:space="preserve"> follow</w:t>
      </w:r>
      <w:r w:rsidR="0071084E">
        <w:t>s:</w:t>
      </w:r>
      <w:r w:rsidR="002B0395">
        <w:t xml:space="preserve"> </w:t>
      </w:r>
      <w:r>
        <w:t>fentanyl; heroin; cocaine; benzodiazepine; amphetamine; prescribed opioid; and alcohol.</w:t>
      </w:r>
    </w:p>
    <w:p w14:paraId="3FC6A214" w14:textId="77777777" w:rsidR="00D55CCE" w:rsidRDefault="00D55CCE" w:rsidP="00CC732F">
      <w:pPr>
        <w:jc w:val="left"/>
      </w:pPr>
    </w:p>
    <w:p w14:paraId="4244BF18" w14:textId="211DB2A5" w:rsidR="00B04808" w:rsidRDefault="00CC0535" w:rsidP="00CC732F">
      <w:pPr>
        <w:jc w:val="left"/>
      </w:pPr>
      <w:r>
        <w:t>To examine how</w:t>
      </w:r>
      <w:r w:rsidR="00744840">
        <w:t xml:space="preserve"> t</w:t>
      </w:r>
      <w:r w:rsidR="00B62862">
        <w:t>wo</w:t>
      </w:r>
      <w:r>
        <w:t xml:space="preserve"> work factors</w:t>
      </w:r>
      <w:r w:rsidR="00B62862">
        <w:t>, incidence of work-related injury and the availability of paid sick leave,</w:t>
      </w:r>
      <w:r>
        <w:t xml:space="preserve"> may be</w:t>
      </w:r>
      <w:r w:rsidR="000330BF">
        <w:t xml:space="preserve"> </w:t>
      </w:r>
      <w:r w:rsidR="004242D2">
        <w:t>contributing</w:t>
      </w:r>
      <w:r>
        <w:t xml:space="preserve"> to high OROD rates</w:t>
      </w:r>
      <w:r w:rsidR="00E361D4">
        <w:t xml:space="preserve"> among certain industr</w:t>
      </w:r>
      <w:r w:rsidR="00D8049D">
        <w:t>ies</w:t>
      </w:r>
      <w:r w:rsidR="00E361D4">
        <w:t xml:space="preserve"> and occupation</w:t>
      </w:r>
      <w:r w:rsidR="00D8049D">
        <w:t>s</w:t>
      </w:r>
      <w:r>
        <w:t xml:space="preserve">, </w:t>
      </w:r>
      <w:r w:rsidR="00E361D4">
        <w:t xml:space="preserve">OROD </w:t>
      </w:r>
      <w:r w:rsidR="00310864">
        <w:t>data were re-categorized</w:t>
      </w:r>
      <w:r w:rsidR="0045400A">
        <w:t xml:space="preserve"> </w:t>
      </w:r>
      <w:r w:rsidR="00310864">
        <w:t>according to</w:t>
      </w:r>
      <w:r w:rsidR="009F6992">
        <w:t xml:space="preserve"> </w:t>
      </w:r>
      <w:r w:rsidR="00744840">
        <w:t>findings</w:t>
      </w:r>
      <w:r w:rsidR="009F6992">
        <w:t xml:space="preserve"> from</w:t>
      </w:r>
      <w:r w:rsidR="00310864">
        <w:t xml:space="preserve"> </w:t>
      </w:r>
      <w:r w:rsidR="009E2123">
        <w:t>two</w:t>
      </w:r>
      <w:r w:rsidR="0045400A">
        <w:t xml:space="preserve"> surveys</w:t>
      </w:r>
      <w:r w:rsidR="004242D2">
        <w:t>.</w:t>
      </w:r>
      <w:r w:rsidR="0045400A">
        <w:t xml:space="preserve"> </w:t>
      </w:r>
      <w:r w:rsidR="00972FBF">
        <w:t>Data</w:t>
      </w:r>
      <w:r w:rsidR="009E2123">
        <w:t xml:space="preserve"> on non-fatal injuries and illnesses</w:t>
      </w:r>
      <w:r w:rsidR="00972FBF">
        <w:t xml:space="preserve"> from the Bureau of Labor St</w:t>
      </w:r>
      <w:r w:rsidR="00D13543">
        <w:t>atistics’</w:t>
      </w:r>
      <w:r w:rsidR="00F73093">
        <w:t xml:space="preserve"> 2014 Massachusetts Survey of Occupational Injuries and Illnesses were used to categorize</w:t>
      </w:r>
      <w:r w:rsidR="009E2123">
        <w:t xml:space="preserve"> both industry and</w:t>
      </w:r>
      <w:r w:rsidR="00E361D4">
        <w:t xml:space="preserve"> </w:t>
      </w:r>
      <w:r w:rsidR="00310864">
        <w:t>occupation groups</w:t>
      </w:r>
      <w:r w:rsidR="0045400A">
        <w:t>.</w:t>
      </w:r>
      <w:r w:rsidR="009E2123">
        <w:t xml:space="preserve"> </w:t>
      </w:r>
      <w:r w:rsidR="00D8049D">
        <w:t>Occupation</w:t>
      </w:r>
      <w:r w:rsidR="009E2123">
        <w:t xml:space="preserve"> categories</w:t>
      </w:r>
      <w:r w:rsidR="00D8049D">
        <w:t>, for example,</w:t>
      </w:r>
      <w:r w:rsidR="009E2123">
        <w:t xml:space="preserve"> were based on the number of injuries and illnesses per 10</w:t>
      </w:r>
      <w:r w:rsidR="00D8049D">
        <w:t>,000</w:t>
      </w:r>
      <w:r w:rsidR="009E2123">
        <w:t xml:space="preserve"> full</w:t>
      </w:r>
      <w:r w:rsidR="00D8049D">
        <w:t xml:space="preserve">-time workers in Massachusetts; the four </w:t>
      </w:r>
      <w:r w:rsidR="00D94C38">
        <w:t xml:space="preserve">ranges </w:t>
      </w:r>
      <w:r w:rsidR="00D8049D">
        <w:t>were 0-49, 50-99, 100-199, and 200+.</w:t>
      </w:r>
      <w:r w:rsidR="002743E6">
        <w:t xml:space="preserve"> </w:t>
      </w:r>
      <w:r w:rsidR="00876E2F">
        <w:t xml:space="preserve">Using </w:t>
      </w:r>
      <w:r w:rsidR="009E2123">
        <w:t xml:space="preserve">national </w:t>
      </w:r>
      <w:r w:rsidR="00876E2F">
        <w:t xml:space="preserve">data from the </w:t>
      </w:r>
      <w:r w:rsidR="001D30F4">
        <w:t>BLS</w:t>
      </w:r>
      <w:r w:rsidR="00876E2F">
        <w:t xml:space="preserve"> Employee Benefits Survey</w:t>
      </w:r>
      <w:r w:rsidR="009E2123">
        <w:t xml:space="preserve"> from 2011 -</w:t>
      </w:r>
      <w:r w:rsidR="00876E2F">
        <w:t xml:space="preserve"> 2017, occupation groups were categorized according to the availability</w:t>
      </w:r>
      <w:r w:rsidR="009E2123">
        <w:t xml:space="preserve"> level (high or low)</w:t>
      </w:r>
      <w:r w:rsidR="00876E2F">
        <w:t xml:space="preserve"> of paid sick leave. An occupation was considered to have </w:t>
      </w:r>
      <w:r w:rsidR="009E2123">
        <w:t>high</w:t>
      </w:r>
      <w:r w:rsidR="00876E2F">
        <w:t xml:space="preserve"> availability of paid sick leave if 70% or more </w:t>
      </w:r>
      <w:r w:rsidR="009E2123">
        <w:t>survey respondents</w:t>
      </w:r>
      <w:r w:rsidR="00876E2F">
        <w:t xml:space="preserve"> within that occupation reported having access to paid sick leave. </w:t>
      </w:r>
      <w:r w:rsidR="0044403C">
        <w:t>Findings presented in this report</w:t>
      </w:r>
      <w:r w:rsidR="0045400A">
        <w:t xml:space="preserve"> are not evidence that </w:t>
      </w:r>
      <w:r w:rsidR="0045400A" w:rsidRPr="005C0548">
        <w:t>these factors</w:t>
      </w:r>
      <w:r w:rsidR="0045400A">
        <w:t xml:space="preserve"> cause opioid-related overdose deaths, but rather suggest these factors may contribute to these deaths. </w:t>
      </w:r>
    </w:p>
    <w:p w14:paraId="6263CFC9" w14:textId="77777777" w:rsidR="00182F60" w:rsidRDefault="00182F60" w:rsidP="000056C8">
      <w:pPr>
        <w:jc w:val="left"/>
        <w:rPr>
          <w:b/>
          <w:color w:val="1F497D" w:themeColor="text2"/>
        </w:rPr>
      </w:pPr>
    </w:p>
    <w:p w14:paraId="09223D1D" w14:textId="77777777" w:rsidR="0010520D" w:rsidRDefault="0010520D" w:rsidP="000056C8">
      <w:pPr>
        <w:jc w:val="left"/>
        <w:rPr>
          <w:b/>
          <w:color w:val="1F497D" w:themeColor="text2"/>
        </w:rPr>
      </w:pPr>
    </w:p>
    <w:p w14:paraId="2A274A95" w14:textId="7AD64501" w:rsidR="00C11ED3" w:rsidRDefault="00D941DA" w:rsidP="000056C8">
      <w:pPr>
        <w:jc w:val="left"/>
        <w:rPr>
          <w:b/>
          <w:color w:val="1F497D" w:themeColor="text2"/>
        </w:rPr>
      </w:pPr>
      <w:r w:rsidRPr="00FC6879">
        <w:rPr>
          <w:b/>
          <w:color w:val="1F497D" w:themeColor="text2"/>
        </w:rPr>
        <w:t xml:space="preserve">Findings </w:t>
      </w:r>
    </w:p>
    <w:p w14:paraId="4064F392" w14:textId="77777777" w:rsidR="00C11ED3" w:rsidRDefault="00C11ED3" w:rsidP="000056C8">
      <w:pPr>
        <w:jc w:val="left"/>
        <w:rPr>
          <w:b/>
          <w:color w:val="1F497D" w:themeColor="text2"/>
        </w:rPr>
      </w:pPr>
    </w:p>
    <w:p w14:paraId="7BE0FFC7" w14:textId="1EDD6F35" w:rsidR="00C11ED3" w:rsidRPr="00BB732A" w:rsidRDefault="00C11ED3" w:rsidP="000905F5">
      <w:pPr>
        <w:jc w:val="both"/>
        <w:rPr>
          <w:b/>
          <w:bCs/>
          <w:i/>
          <w:color w:val="1F497D" w:themeColor="text2"/>
        </w:rPr>
      </w:pPr>
      <w:r w:rsidRPr="00BB732A">
        <w:rPr>
          <w:b/>
          <w:bCs/>
          <w:i/>
          <w:color w:val="1F497D" w:themeColor="text2"/>
        </w:rPr>
        <w:t>Study Group</w:t>
      </w:r>
    </w:p>
    <w:p w14:paraId="30000D9C" w14:textId="77777777" w:rsidR="00375259" w:rsidRPr="0060415F" w:rsidRDefault="00375259" w:rsidP="000905F5">
      <w:pPr>
        <w:jc w:val="both"/>
        <w:rPr>
          <w:i/>
          <w:color w:val="1F497D" w:themeColor="text2"/>
        </w:rPr>
      </w:pPr>
    </w:p>
    <w:p w14:paraId="740D8EBE" w14:textId="3F540BC2" w:rsidR="00456324" w:rsidRPr="000905F5" w:rsidRDefault="008773C6" w:rsidP="000056C8">
      <w:pPr>
        <w:jc w:val="left"/>
      </w:pPr>
      <w:r>
        <w:t>A total of 4,224 opioid-overdose related deaths occurred in Massachusetts in 2016-2017</w:t>
      </w:r>
      <w:r w:rsidR="002E1AEC">
        <w:t xml:space="preserve"> (</w:t>
      </w:r>
      <w:r w:rsidR="002E1AEC" w:rsidRPr="00394C84">
        <w:t>Figure 1)</w:t>
      </w:r>
      <w:r w:rsidRPr="00394C84">
        <w:t>.</w:t>
      </w:r>
      <w:r w:rsidRPr="00394C84">
        <w:rPr>
          <w:rStyle w:val="FootnoteReference"/>
        </w:rPr>
        <w:footnoteReference w:id="4"/>
      </w:r>
      <w:r w:rsidRPr="008F431D">
        <w:t xml:space="preserve"> </w:t>
      </w:r>
      <w:r>
        <w:t xml:space="preserve">For some analyses, we also examined data from 2011-2015, which </w:t>
      </w:r>
      <w:r w:rsidRPr="00706511">
        <w:t xml:space="preserve">included </w:t>
      </w:r>
      <w:r w:rsidR="00FD6EF4" w:rsidRPr="00706511">
        <w:t>5</w:t>
      </w:r>
      <w:r w:rsidR="00A8567E" w:rsidRPr="00706511">
        <w:t>,</w:t>
      </w:r>
      <w:r w:rsidR="00FD6EF4" w:rsidRPr="00706511">
        <w:t>580</w:t>
      </w:r>
      <w:r w:rsidR="00FD6EF4">
        <w:t xml:space="preserve"> opioid-related overdose deaths.</w:t>
      </w:r>
      <w:r w:rsidR="00394C84" w:rsidRPr="00394C84">
        <w:rPr>
          <w:vertAlign w:val="superscript"/>
        </w:rPr>
        <w:t>3</w:t>
      </w:r>
      <w:r w:rsidR="00FD6EF4">
        <w:t xml:space="preserve"> </w:t>
      </w:r>
      <w:r w:rsidR="008F431D" w:rsidRPr="000905F5">
        <w:t xml:space="preserve">Since this report focuses on </w:t>
      </w:r>
      <w:r w:rsidR="00876E2F">
        <w:t>ORODs</w:t>
      </w:r>
      <w:r w:rsidR="008F431D" w:rsidRPr="000905F5">
        <w:t xml:space="preserve"> </w:t>
      </w:r>
      <w:r w:rsidR="00C53926">
        <w:t xml:space="preserve">between 2016 and 2017 </w:t>
      </w:r>
      <w:r w:rsidR="008F431D" w:rsidRPr="000905F5">
        <w:t>among Massachusetts residents who are employed</w:t>
      </w:r>
      <w:r w:rsidR="00A90420" w:rsidRPr="00A90420">
        <w:t>,</w:t>
      </w:r>
      <w:r w:rsidR="001F6D5A">
        <w:t xml:space="preserve"> </w:t>
      </w:r>
      <w:r>
        <w:t>d</w:t>
      </w:r>
      <w:r w:rsidR="001F6D5A">
        <w:t xml:space="preserve">eaths </w:t>
      </w:r>
      <w:r w:rsidR="002C7DFA">
        <w:t>among</w:t>
      </w:r>
      <w:r w:rsidR="00A90420" w:rsidRPr="00A90420">
        <w:t xml:space="preserve"> </w:t>
      </w:r>
      <w:r w:rsidR="008F431D" w:rsidRPr="000905F5">
        <w:t>out-of-state residents</w:t>
      </w:r>
      <w:r w:rsidR="002C7DFA">
        <w:t xml:space="preserve"> (152) were excluded</w:t>
      </w:r>
      <w:r w:rsidR="008F431D" w:rsidRPr="000905F5">
        <w:t xml:space="preserve"> </w:t>
      </w:r>
      <w:r w:rsidR="002C7DFA">
        <w:t>as were an additional</w:t>
      </w:r>
      <w:r w:rsidR="008F431D" w:rsidRPr="000905F5">
        <w:t xml:space="preserve"> </w:t>
      </w:r>
      <w:r w:rsidR="00C53926">
        <w:t>553</w:t>
      </w:r>
      <w:r w:rsidR="00344525">
        <w:t xml:space="preserve"> deaths of</w:t>
      </w:r>
      <w:r w:rsidR="008F431D" w:rsidRPr="000905F5">
        <w:t xml:space="preserve"> individuals</w:t>
      </w:r>
      <w:r w:rsidR="00344525">
        <w:t xml:space="preserve"> who</w:t>
      </w:r>
      <w:r w:rsidR="008F431D" w:rsidRPr="000905F5">
        <w:t xml:space="preserve"> were not in the workforce</w:t>
      </w:r>
      <w:r w:rsidR="00C53926">
        <w:t xml:space="preserve"> either because they </w:t>
      </w:r>
      <w:r w:rsidR="008F431D" w:rsidRPr="000905F5">
        <w:t>were homemakers</w:t>
      </w:r>
      <w:r w:rsidR="00C53926">
        <w:t xml:space="preserve"> (196), </w:t>
      </w:r>
      <w:r w:rsidR="008F431D" w:rsidRPr="000905F5">
        <w:t>unemployed or had never been employed</w:t>
      </w:r>
      <w:r w:rsidR="00C53926">
        <w:t xml:space="preserve"> (231)</w:t>
      </w:r>
      <w:r w:rsidR="008F431D" w:rsidRPr="000905F5">
        <w:t>, unable to work due to disability or another reason</w:t>
      </w:r>
      <w:r w:rsidR="00C53926">
        <w:t xml:space="preserve"> (17) or</w:t>
      </w:r>
      <w:r w:rsidR="008F431D" w:rsidRPr="000905F5">
        <w:t xml:space="preserve"> students</w:t>
      </w:r>
      <w:r w:rsidR="00C53926">
        <w:t xml:space="preserve"> (109)</w:t>
      </w:r>
      <w:r w:rsidR="008F431D" w:rsidRPr="000905F5">
        <w:t xml:space="preserve">. </w:t>
      </w:r>
      <w:r w:rsidR="00164C69">
        <w:t xml:space="preserve">An additional </w:t>
      </w:r>
      <w:r w:rsidR="00C53926">
        <w:t xml:space="preserve">165 </w:t>
      </w:r>
      <w:r w:rsidR="00164C69">
        <w:t xml:space="preserve">deaths were excluded because </w:t>
      </w:r>
      <w:r w:rsidR="007A5CFA">
        <w:t>the corresponding</w:t>
      </w:r>
      <w:r w:rsidR="00164C69">
        <w:t xml:space="preserve"> death certificates </w:t>
      </w:r>
      <w:r w:rsidR="007A5CFA">
        <w:t>lacked</w:t>
      </w:r>
      <w:r w:rsidR="00164C69">
        <w:t xml:space="preserve"> </w:t>
      </w:r>
      <w:r w:rsidR="007A5CFA">
        <w:t xml:space="preserve">enough </w:t>
      </w:r>
      <w:r w:rsidR="00164C69">
        <w:t>information to code either industry or occupation</w:t>
      </w:r>
      <w:r w:rsidR="00721357">
        <w:t xml:space="preserve">. A </w:t>
      </w:r>
      <w:r w:rsidR="00A90420">
        <w:t xml:space="preserve">total of </w:t>
      </w:r>
      <w:r w:rsidR="00DA5E7A">
        <w:t>3,354</w:t>
      </w:r>
      <w:r w:rsidR="00721357">
        <w:t xml:space="preserve"> deaths </w:t>
      </w:r>
      <w:r>
        <w:t xml:space="preserve">between 2016 and 2017 </w:t>
      </w:r>
      <w:r w:rsidR="00721357">
        <w:t xml:space="preserve">with usable industry and /or occupation </w:t>
      </w:r>
      <w:r w:rsidR="00426838">
        <w:t xml:space="preserve">codes assigned </w:t>
      </w:r>
      <w:r w:rsidR="00721357">
        <w:t xml:space="preserve">were analyzed. </w:t>
      </w:r>
      <w:r w:rsidR="00721357" w:rsidRPr="00DA5E7A">
        <w:t xml:space="preserve">The </w:t>
      </w:r>
      <w:r w:rsidR="00DA5E7A" w:rsidRPr="00DA5E7A">
        <w:t xml:space="preserve">165 </w:t>
      </w:r>
      <w:r w:rsidR="00721357" w:rsidRPr="00DA5E7A">
        <w:t xml:space="preserve">deaths </w:t>
      </w:r>
      <w:r w:rsidR="006C3914">
        <w:t>that</w:t>
      </w:r>
      <w:r w:rsidR="00721357" w:rsidRPr="00DA5E7A">
        <w:t xml:space="preserve"> were excluded due to missing industry and occupation information were </w:t>
      </w:r>
      <w:proofErr w:type="gramStart"/>
      <w:r w:rsidR="00721357" w:rsidRPr="00DA5E7A">
        <w:t>similar to</w:t>
      </w:r>
      <w:proofErr w:type="gramEnd"/>
      <w:r w:rsidR="00721357" w:rsidRPr="00DA5E7A">
        <w:t xml:space="preserve"> those in the final dataset with respect to </w:t>
      </w:r>
      <w:r w:rsidR="003034D6">
        <w:t>sex</w:t>
      </w:r>
      <w:r w:rsidR="00A8567E">
        <w:t>,</w:t>
      </w:r>
      <w:r w:rsidR="00787AB9">
        <w:t xml:space="preserve"> </w:t>
      </w:r>
      <w:r w:rsidR="00721357" w:rsidRPr="00DA5E7A">
        <w:t>age</w:t>
      </w:r>
      <w:r w:rsidR="00D94C38">
        <w:t>,</w:t>
      </w:r>
      <w:r w:rsidR="00721357" w:rsidRPr="00DA5E7A">
        <w:t xml:space="preserve"> </w:t>
      </w:r>
      <w:r w:rsidR="00A8567E">
        <w:t>and race/ethnicity</w:t>
      </w:r>
      <w:r w:rsidR="00721357" w:rsidRPr="00DA5E7A">
        <w:t xml:space="preserve">. </w:t>
      </w:r>
      <w:r>
        <w:t>For some analyses, we used</w:t>
      </w:r>
      <w:r w:rsidR="00312B95">
        <w:t xml:space="preserve"> comparable</w:t>
      </w:r>
      <w:r>
        <w:t xml:space="preserve"> data from 2011-2015, which represented</w:t>
      </w:r>
      <w:r w:rsidRPr="002E1AEC">
        <w:rPr>
          <w:sz w:val="28"/>
        </w:rPr>
        <w:t xml:space="preserve"> </w:t>
      </w:r>
      <w:r w:rsidRPr="002E1AEC">
        <w:t>4,337 decedents</w:t>
      </w:r>
      <w:r w:rsidR="00312B95">
        <w:t xml:space="preserve"> after excluding the nonworkers and</w:t>
      </w:r>
      <w:r w:rsidR="00A22409">
        <w:t xml:space="preserve"> those with un</w:t>
      </w:r>
      <w:r w:rsidR="00DE53A8">
        <w:t>-codable</w:t>
      </w:r>
      <w:r w:rsidR="00312B95">
        <w:t xml:space="preserve"> </w:t>
      </w:r>
      <w:r w:rsidR="00A22409">
        <w:t>industry and occupation</w:t>
      </w:r>
      <w:r w:rsidRPr="002E1AEC">
        <w:t>.</w:t>
      </w:r>
      <w:r w:rsidR="00721357" w:rsidRPr="002E1AEC">
        <w:rPr>
          <w:sz w:val="28"/>
        </w:rPr>
        <w:t xml:space="preserve"> </w:t>
      </w:r>
    </w:p>
    <w:p w14:paraId="472A0710" w14:textId="77777777" w:rsidR="00A178BA" w:rsidRDefault="00456324">
      <w:pPr>
        <w:rPr>
          <w:highlight w:val="yellow"/>
        </w:rPr>
      </w:pPr>
      <w:r>
        <w:rPr>
          <w:highlight w:val="yellow"/>
        </w:rPr>
        <w:br w:type="page"/>
      </w:r>
    </w:p>
    <w:p w14:paraId="325DBAEB" w14:textId="77777777" w:rsidR="00865C05" w:rsidRPr="00FE521F" w:rsidRDefault="00865C05" w:rsidP="00FE521F">
      <w:pPr>
        <w:jc w:val="left"/>
        <w:rPr>
          <w:b/>
          <w:bCs/>
        </w:rPr>
      </w:pPr>
      <w:r w:rsidRPr="00FE521F">
        <w:rPr>
          <w:b/>
          <w:bCs/>
        </w:rPr>
        <w:lastRenderedPageBreak/>
        <w:t xml:space="preserve">Figure 1: </w:t>
      </w:r>
      <w:r w:rsidR="009B3F84">
        <w:rPr>
          <w:b/>
          <w:bCs/>
        </w:rPr>
        <w:t>Development of opioid overdose files for study</w:t>
      </w:r>
    </w:p>
    <w:p w14:paraId="50D8957F" w14:textId="77777777" w:rsidR="00865C05" w:rsidRDefault="00865C05" w:rsidP="00A178BA"/>
    <w:p w14:paraId="1FEC17F5" w14:textId="77777777" w:rsidR="00865C05" w:rsidRDefault="00865C05" w:rsidP="00A178BA"/>
    <w:p w14:paraId="3F5FDE48" w14:textId="77777777" w:rsidR="00A178BA" w:rsidRPr="00A178BA" w:rsidRDefault="00A178BA" w:rsidP="00A178BA">
      <w:pPr>
        <w:rPr>
          <w:highlight w:val="yellow"/>
        </w:rPr>
      </w:pPr>
      <w:r>
        <w:rPr>
          <w:noProof/>
        </w:rPr>
        <mc:AlternateContent>
          <mc:Choice Requires="wps">
            <w:drawing>
              <wp:anchor distT="0" distB="0" distL="114300" distR="114300" simplePos="0" relativeHeight="251653120" behindDoc="0" locked="0" layoutInCell="1" allowOverlap="1" wp14:anchorId="71A13782" wp14:editId="50DB7800">
                <wp:simplePos x="0" y="0"/>
                <wp:positionH relativeFrom="column">
                  <wp:posOffset>1171575</wp:posOffset>
                </wp:positionH>
                <wp:positionV relativeFrom="paragraph">
                  <wp:posOffset>-236220</wp:posOffset>
                </wp:positionV>
                <wp:extent cx="1876425" cy="8001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1876425" cy="800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DD1B78" w14:textId="77777777" w:rsidR="00003BEF" w:rsidRPr="00026F6A" w:rsidRDefault="00003BEF">
                            <w:pPr>
                              <w:rPr>
                                <w:sz w:val="22"/>
                              </w:rPr>
                            </w:pPr>
                            <w:r w:rsidRPr="00026F6A">
                              <w:rPr>
                                <w:sz w:val="22"/>
                              </w:rPr>
                              <w:t xml:space="preserve">5,580 opioid-related overdose deaths in Massachusetts, 2011-2015 </w:t>
                            </w:r>
                            <w:r>
                              <w:rPr>
                                <w:sz w:val="22"/>
                              </w:rPr>
                              <w:br/>
                            </w:r>
                            <w:r w:rsidRPr="00026F6A">
                              <w:rPr>
                                <w:sz w:val="22"/>
                              </w:rPr>
                              <w:t>(previously reported)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A13782" id="Text Box 2" o:spid="_x0000_s1031" type="#_x0000_t202" style="position:absolute;left:0;text-align:left;margin-left:92.25pt;margin-top:-18.6pt;width:147.75pt;height:63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" fillcolor="white [3201]" strokeweight=".5pt">
                <v:textbox>
                  <w:txbxContent>
                    <w:p w14:paraId="3EDD1B78" w14:textId="77777777" w:rsidR="00003BEF" w:rsidRPr="00026F6A" w:rsidRDefault="00003BEF">
                      <w:pPr>
                        <w:rPr>
                          <w:sz w:val="22"/>
                        </w:rPr>
                      </w:pPr>
                      <w:r w:rsidRPr="00026F6A">
                        <w:rPr>
                          <w:sz w:val="22"/>
                        </w:rPr>
                        <w:t xml:space="preserve">5,580 opioid-related overdose deaths in Massachusetts, 2011-2015 </w:t>
                      </w:r>
                      <w:r>
                        <w:rPr>
                          <w:sz w:val="22"/>
                        </w:rPr>
                        <w:br/>
                      </w:r>
                      <w:r w:rsidRPr="00026F6A">
                        <w:rPr>
                          <w:sz w:val="22"/>
                        </w:rPr>
                        <w:t>(previously reported)</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0E9788EC" wp14:editId="666C6EF1">
                <wp:simplePos x="0" y="0"/>
                <wp:positionH relativeFrom="column">
                  <wp:posOffset>3657600</wp:posOffset>
                </wp:positionH>
                <wp:positionV relativeFrom="paragraph">
                  <wp:posOffset>-245745</wp:posOffset>
                </wp:positionV>
                <wp:extent cx="1876425" cy="8001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1876425" cy="800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F0970E" w14:textId="77777777" w:rsidR="00003BEF" w:rsidRPr="00026F6A" w:rsidRDefault="00003BEF" w:rsidP="00A178BA">
                            <w:pPr>
                              <w:rPr>
                                <w:i/>
                                <w:sz w:val="22"/>
                              </w:rPr>
                            </w:pPr>
                            <w:r>
                              <w:rPr>
                                <w:sz w:val="22"/>
                              </w:rPr>
                              <w:t>4,</w:t>
                            </w:r>
                            <w:r w:rsidRPr="00A178BA">
                              <w:rPr>
                                <w:sz w:val="22"/>
                              </w:rPr>
                              <w:t>224</w:t>
                            </w:r>
                            <w:r w:rsidRPr="00026F6A">
                              <w:rPr>
                                <w:sz w:val="22"/>
                              </w:rPr>
                              <w:t xml:space="preserve"> opioid-related overdose deaths in Massachusetts</w:t>
                            </w:r>
                            <w:r w:rsidRPr="00A178BA">
                              <w:rPr>
                                <w:sz w:val="22"/>
                              </w:rPr>
                              <w:t>, 2016</w:t>
                            </w:r>
                            <w:r w:rsidRPr="00026F6A">
                              <w:rPr>
                                <w:sz w:val="22"/>
                              </w:rPr>
                              <w:t>-201</w:t>
                            </w:r>
                            <w:r w:rsidRPr="00A178BA">
                              <w:rPr>
                                <w:sz w:val="22"/>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E9788EC" id="Text Box 6" o:spid="_x0000_s1032" type="#_x0000_t202" style="position:absolute;left:0;text-align:left;margin-left:4in;margin-top:-19.35pt;width:147.75pt;height:63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" fillcolor="white [3201]" strokeweight=".5pt">
                <v:textbox>
                  <w:txbxContent>
                    <w:p w14:paraId="47F0970E" w14:textId="77777777" w:rsidR="00003BEF" w:rsidRPr="00026F6A" w:rsidRDefault="00003BEF" w:rsidP="00A178BA">
                      <w:pPr>
                        <w:rPr>
                          <w:i/>
                          <w:sz w:val="22"/>
                        </w:rPr>
                      </w:pPr>
                      <w:r>
                        <w:rPr>
                          <w:sz w:val="22"/>
                        </w:rPr>
                        <w:t>4,</w:t>
                      </w:r>
                      <w:r w:rsidRPr="00A178BA">
                        <w:rPr>
                          <w:sz w:val="22"/>
                        </w:rPr>
                        <w:t>224</w:t>
                      </w:r>
                      <w:r w:rsidRPr="00026F6A">
                        <w:rPr>
                          <w:sz w:val="22"/>
                        </w:rPr>
                        <w:t xml:space="preserve"> opioid-related overdose deaths in Massachusetts</w:t>
                      </w:r>
                      <w:r w:rsidRPr="00A178BA">
                        <w:rPr>
                          <w:sz w:val="22"/>
                        </w:rPr>
                        <w:t>, 2016</w:t>
                      </w:r>
                      <w:r w:rsidRPr="00026F6A">
                        <w:rPr>
                          <w:sz w:val="22"/>
                        </w:rPr>
                        <w:t>-201</w:t>
                      </w:r>
                      <w:r w:rsidRPr="00A178BA">
                        <w:rPr>
                          <w:sz w:val="22"/>
                        </w:rPr>
                        <w:t>7</w:t>
                      </w:r>
                    </w:p>
                  </w:txbxContent>
                </v:textbox>
              </v:shape>
            </w:pict>
          </mc:Fallback>
        </mc:AlternateContent>
      </w:r>
    </w:p>
    <w:p w14:paraId="5BDF468C" w14:textId="77777777" w:rsidR="00A178BA" w:rsidRPr="00A178BA" w:rsidRDefault="00A178BA" w:rsidP="00026F6A">
      <w:pPr>
        <w:jc w:val="left"/>
        <w:rPr>
          <w:highlight w:val="yellow"/>
        </w:rPr>
      </w:pPr>
    </w:p>
    <w:p w14:paraId="1FA25343" w14:textId="77777777" w:rsidR="00A178BA" w:rsidRPr="00A178BA" w:rsidRDefault="00A178BA" w:rsidP="00A178BA">
      <w:pPr>
        <w:rPr>
          <w:highlight w:val="yellow"/>
        </w:rPr>
      </w:pPr>
    </w:p>
    <w:p w14:paraId="3160E21F" w14:textId="77777777" w:rsidR="00A178BA" w:rsidRPr="00A178BA" w:rsidRDefault="009B3F84" w:rsidP="00A178BA">
      <w:pPr>
        <w:rPr>
          <w:highlight w:val="yellow"/>
        </w:rPr>
      </w:pPr>
      <w:r w:rsidRPr="00026F6A">
        <w:rPr>
          <w:noProof/>
          <w:highlight w:val="yellow"/>
        </w:rPr>
        <mc:AlternateContent>
          <mc:Choice Requires="wps">
            <w:drawing>
              <wp:anchor distT="0" distB="0" distL="114300" distR="114300" simplePos="0" relativeHeight="251676672" behindDoc="0" locked="0" layoutInCell="1" allowOverlap="1" wp14:anchorId="68E91001" wp14:editId="5017EB40">
                <wp:simplePos x="0" y="0"/>
                <wp:positionH relativeFrom="margin">
                  <wp:posOffset>0</wp:posOffset>
                </wp:positionH>
                <wp:positionV relativeFrom="paragraph">
                  <wp:posOffset>179070</wp:posOffset>
                </wp:positionV>
                <wp:extent cx="2438400" cy="428625"/>
                <wp:effectExtent l="0" t="0" r="1905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428625"/>
                        </a:xfrm>
                        <a:prstGeom prst="rect">
                          <a:avLst/>
                        </a:prstGeom>
                        <a:solidFill>
                          <a:srgbClr val="FFFFFF"/>
                        </a:solidFill>
                        <a:ln w="9525">
                          <a:solidFill>
                            <a:srgbClr val="000000"/>
                          </a:solidFill>
                          <a:miter lim="800000"/>
                          <a:headEnd/>
                          <a:tailEnd/>
                        </a:ln>
                      </wps:spPr>
                      <wps:txbx>
                        <w:txbxContent>
                          <w:p w14:paraId="6B703454" w14:textId="77777777" w:rsidR="00003BEF" w:rsidRPr="00026F6A" w:rsidRDefault="00003BEF" w:rsidP="009B3F84">
                            <w:pPr>
                              <w:jc w:val="left"/>
                              <w:rPr>
                                <w:sz w:val="22"/>
                              </w:rPr>
                            </w:pPr>
                            <w:r w:rsidRPr="00026F6A">
                              <w:rPr>
                                <w:sz w:val="22"/>
                              </w:rPr>
                              <w:t>99 additional opioid-related deaths were included, 2014-2015</w:t>
                            </w:r>
                          </w:p>
                          <w:p w14:paraId="4A946BBB" w14:textId="77777777" w:rsidR="00003BEF" w:rsidRPr="00026F6A" w:rsidRDefault="00003BEF" w:rsidP="009B3F84">
                            <w:pPr>
                              <w:jc w:val="left"/>
                              <w:rPr>
                                <w:sz w:val="2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E91001" id="_x0000_s1033" type="#_x0000_t202" style="position:absolute;left:0;text-align:left;margin-left:0;margin-top:14.1pt;width:192pt;height:33.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">
                <v:textbox>
                  <w:txbxContent>
                    <w:p w14:paraId="6B703454" w14:textId="77777777" w:rsidR="00003BEF" w:rsidRPr="00026F6A" w:rsidRDefault="00003BEF" w:rsidP="009B3F84">
                      <w:pPr>
                        <w:jc w:val="left"/>
                        <w:rPr>
                          <w:sz w:val="22"/>
                        </w:rPr>
                      </w:pPr>
                      <w:r w:rsidRPr="00026F6A">
                        <w:rPr>
                          <w:sz w:val="22"/>
                        </w:rPr>
                        <w:t>99 additional opioid-related deaths were included, 2014-2015</w:t>
                      </w:r>
                    </w:p>
                    <w:p w14:paraId="4A946BBB" w14:textId="77777777" w:rsidR="00003BEF" w:rsidRPr="00026F6A" w:rsidRDefault="00003BEF" w:rsidP="009B3F84">
                      <w:pPr>
                        <w:jc w:val="left"/>
                        <w:rPr>
                          <w:sz w:val="22"/>
                        </w:rPr>
                      </w:pPr>
                    </w:p>
                  </w:txbxContent>
                </v:textbox>
                <w10:wrap anchorx="margin"/>
              </v:shape>
            </w:pict>
          </mc:Fallback>
        </mc:AlternateContent>
      </w:r>
      <w:r w:rsidR="00A178BA">
        <w:rPr>
          <w:noProof/>
        </w:rPr>
        <mc:AlternateContent>
          <mc:Choice Requires="wps">
            <w:drawing>
              <wp:anchor distT="0" distB="0" distL="114300" distR="114300" simplePos="0" relativeHeight="251665408" behindDoc="0" locked="0" layoutInCell="1" allowOverlap="1" wp14:anchorId="40A8DDE0" wp14:editId="2954BC3C">
                <wp:simplePos x="0" y="0"/>
                <wp:positionH relativeFrom="column">
                  <wp:posOffset>2895600</wp:posOffset>
                </wp:positionH>
                <wp:positionV relativeFrom="paragraph">
                  <wp:posOffset>38100</wp:posOffset>
                </wp:positionV>
                <wp:extent cx="0" cy="1371600"/>
                <wp:effectExtent l="95250" t="0" r="57150" b="57150"/>
                <wp:wrapNone/>
                <wp:docPr id="18" name="Straight Arrow Connector 18"/>
                <wp:cNvGraphicFramePr/>
                <a:graphic xmlns:a="http://schemas.openxmlformats.org/drawingml/2006/main">
                  <a:graphicData uri="http://schemas.microsoft.com/office/word/2010/wordprocessingShape">
                    <wps:wsp>
                      <wps:cNvCnPr/>
                      <wps:spPr>
                        <a:xfrm>
                          <a:off x="0" y="0"/>
                          <a:ext cx="0" cy="13716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7C4E24A" id="_x0000_t32" coordsize="21600,21600" o:spt="32" o:oned="t" path="m,l21600,21600e" filled="f">
                <v:path arrowok="t" fillok="f" o:connecttype="none"/>
                <o:lock v:ext="edit" shapetype="t"/>
              </v:shapetype>
              <v:shape id="Straight Arrow Connector 18" o:spid="_x0000_s1026" type="#_x0000_t32" style="position:absolute;margin-left:228pt;margin-top:3pt;width:0;height:108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" strokecolor="black [3040]">
                <v:stroke endarrow="open"/>
              </v:shape>
            </w:pict>
          </mc:Fallback>
        </mc:AlternateContent>
      </w:r>
      <w:r w:rsidR="00A178BA">
        <w:rPr>
          <w:noProof/>
        </w:rPr>
        <mc:AlternateContent>
          <mc:Choice Requires="wps">
            <w:drawing>
              <wp:anchor distT="0" distB="0" distL="114300" distR="114300" simplePos="0" relativeHeight="251667456" behindDoc="0" locked="0" layoutInCell="1" allowOverlap="1" wp14:anchorId="32C605D1" wp14:editId="71D9E95B">
                <wp:simplePos x="0" y="0"/>
                <wp:positionH relativeFrom="column">
                  <wp:posOffset>3810000</wp:posOffset>
                </wp:positionH>
                <wp:positionV relativeFrom="paragraph">
                  <wp:posOffset>38100</wp:posOffset>
                </wp:positionV>
                <wp:extent cx="0" cy="4572000"/>
                <wp:effectExtent l="95250" t="0" r="57150" b="57150"/>
                <wp:wrapNone/>
                <wp:docPr id="291" name="Straight Arrow Connector 291"/>
                <wp:cNvGraphicFramePr/>
                <a:graphic xmlns:a="http://schemas.openxmlformats.org/drawingml/2006/main">
                  <a:graphicData uri="http://schemas.microsoft.com/office/word/2010/wordprocessingShape">
                    <wps:wsp>
                      <wps:cNvCnPr/>
                      <wps:spPr>
                        <a:xfrm>
                          <a:off x="0" y="0"/>
                          <a:ext cx="0" cy="4572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2A55E99" id="Straight Arrow Connector 291" o:spid="_x0000_s1026" type="#_x0000_t32" style="position:absolute;margin-left:300pt;margin-top:3pt;width:0;height:5in;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" strokecolor="black [3040]">
                <v:stroke endarrow="open"/>
              </v:shape>
            </w:pict>
          </mc:Fallback>
        </mc:AlternateContent>
      </w:r>
    </w:p>
    <w:p w14:paraId="6CCF7C40" w14:textId="77777777" w:rsidR="00A178BA" w:rsidRPr="00A178BA" w:rsidRDefault="00A178BA" w:rsidP="00A178BA">
      <w:pPr>
        <w:rPr>
          <w:highlight w:val="yellow"/>
        </w:rPr>
      </w:pPr>
      <w:r w:rsidRPr="00026F6A">
        <w:rPr>
          <w:noProof/>
          <w:highlight w:val="yellow"/>
        </w:rPr>
        <mc:AlternateContent>
          <mc:Choice Requires="wps">
            <w:drawing>
              <wp:anchor distT="0" distB="0" distL="114300" distR="114300" simplePos="0" relativeHeight="251659264" behindDoc="0" locked="0" layoutInCell="1" allowOverlap="1" wp14:anchorId="4FDA3E5F" wp14:editId="02979529">
                <wp:simplePos x="0" y="0"/>
                <wp:positionH relativeFrom="column">
                  <wp:posOffset>4114800</wp:posOffset>
                </wp:positionH>
                <wp:positionV relativeFrom="paragraph">
                  <wp:posOffset>91440</wp:posOffset>
                </wp:positionV>
                <wp:extent cx="2514600" cy="1867535"/>
                <wp:effectExtent l="0" t="0" r="19050" b="184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867535"/>
                        </a:xfrm>
                        <a:prstGeom prst="rect">
                          <a:avLst/>
                        </a:prstGeom>
                        <a:solidFill>
                          <a:srgbClr val="FFFFFF"/>
                        </a:solidFill>
                        <a:ln w="9525">
                          <a:solidFill>
                            <a:srgbClr val="000000"/>
                          </a:solidFill>
                          <a:miter lim="800000"/>
                          <a:headEnd/>
                          <a:tailEnd/>
                        </a:ln>
                      </wps:spPr>
                      <wps:txbx>
                        <w:txbxContent>
                          <w:p w14:paraId="034AE516" w14:textId="77777777" w:rsidR="00003BEF" w:rsidRPr="00026F6A" w:rsidRDefault="00003BEF" w:rsidP="00026F6A">
                            <w:pPr>
                              <w:jc w:val="left"/>
                              <w:rPr>
                                <w:sz w:val="22"/>
                              </w:rPr>
                            </w:pPr>
                            <w:r w:rsidRPr="00026F6A">
                              <w:rPr>
                                <w:sz w:val="22"/>
                              </w:rPr>
                              <w:t>152 out-of-state residents</w:t>
                            </w:r>
                          </w:p>
                          <w:p w14:paraId="6B432287" w14:textId="77777777" w:rsidR="00003BEF" w:rsidRPr="00026F6A" w:rsidRDefault="00003BEF" w:rsidP="00026F6A">
                            <w:pPr>
                              <w:jc w:val="left"/>
                              <w:rPr>
                                <w:sz w:val="22"/>
                              </w:rPr>
                            </w:pPr>
                            <w:r w:rsidRPr="00026F6A">
                              <w:rPr>
                                <w:sz w:val="22"/>
                              </w:rPr>
                              <w:t>553 not in the workforce</w:t>
                            </w:r>
                          </w:p>
                          <w:p w14:paraId="09909554" w14:textId="77777777" w:rsidR="00003BEF" w:rsidRPr="00026F6A" w:rsidRDefault="00003BEF" w:rsidP="00026F6A">
                            <w:pPr>
                              <w:ind w:left="720"/>
                              <w:jc w:val="left"/>
                              <w:rPr>
                                <w:sz w:val="22"/>
                              </w:rPr>
                            </w:pPr>
                            <w:r w:rsidRPr="00026F6A">
                              <w:rPr>
                                <w:sz w:val="22"/>
                              </w:rPr>
                              <w:t>homemakers (196)</w:t>
                            </w:r>
                          </w:p>
                          <w:p w14:paraId="0ABD5A83" w14:textId="77777777" w:rsidR="00003BEF" w:rsidRPr="00026F6A" w:rsidRDefault="00003BEF" w:rsidP="00026F6A">
                            <w:pPr>
                              <w:ind w:left="720"/>
                              <w:jc w:val="left"/>
                              <w:rPr>
                                <w:sz w:val="22"/>
                              </w:rPr>
                            </w:pPr>
                            <w:r w:rsidRPr="00026F6A">
                              <w:rPr>
                                <w:sz w:val="22"/>
                              </w:rPr>
                              <w:t>unemployed or had never been employed (231)</w:t>
                            </w:r>
                          </w:p>
                          <w:p w14:paraId="1D460066" w14:textId="77777777" w:rsidR="00003BEF" w:rsidRPr="00026F6A" w:rsidRDefault="00003BEF" w:rsidP="00026F6A">
                            <w:pPr>
                              <w:ind w:left="720"/>
                              <w:jc w:val="left"/>
                              <w:rPr>
                                <w:sz w:val="22"/>
                              </w:rPr>
                            </w:pPr>
                            <w:r w:rsidRPr="00026F6A">
                              <w:rPr>
                                <w:sz w:val="22"/>
                              </w:rPr>
                              <w:t>disability or another reason (17)</w:t>
                            </w:r>
                          </w:p>
                          <w:p w14:paraId="218A145C" w14:textId="77777777" w:rsidR="00003BEF" w:rsidRPr="00026F6A" w:rsidRDefault="00003BEF" w:rsidP="00026F6A">
                            <w:pPr>
                              <w:ind w:left="720"/>
                              <w:jc w:val="left"/>
                              <w:rPr>
                                <w:sz w:val="22"/>
                              </w:rPr>
                            </w:pPr>
                            <w:r w:rsidRPr="00026F6A">
                              <w:rPr>
                                <w:sz w:val="22"/>
                              </w:rPr>
                              <w:t>students (109)</w:t>
                            </w:r>
                          </w:p>
                          <w:p w14:paraId="493BD5F4" w14:textId="77777777" w:rsidR="00003BEF" w:rsidRDefault="00003BEF" w:rsidP="00026F6A">
                            <w:pPr>
                              <w:ind w:left="720"/>
                              <w:jc w:val="left"/>
                              <w:rPr>
                                <w:sz w:val="22"/>
                              </w:rPr>
                            </w:pPr>
                            <w:r w:rsidRPr="00026F6A">
                              <w:rPr>
                                <w:sz w:val="22"/>
                              </w:rPr>
                              <w:t>children (0)</w:t>
                            </w:r>
                          </w:p>
                          <w:p w14:paraId="178BC4E4" w14:textId="77777777" w:rsidR="00003BEF" w:rsidRPr="00026F6A" w:rsidRDefault="00003BEF" w:rsidP="00026F6A">
                            <w:pPr>
                              <w:jc w:val="left"/>
                              <w:rPr>
                                <w:sz w:val="22"/>
                              </w:rPr>
                            </w:pPr>
                            <w:r>
                              <w:rPr>
                                <w:sz w:val="22"/>
                              </w:rPr>
                              <w:t>165 contained no information or not enough information to code industry and occupation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4FDA3E5F" id="_x0000_s1034" type="#_x0000_t202" style="position:absolute;left:0;text-align:left;margin-left:324pt;margin-top:7.2pt;width:198pt;height:147.0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">
                <v:textbox style="mso-fit-shape-to-text:t">
                  <w:txbxContent>
                    <w:p w14:paraId="034AE516" w14:textId="77777777" w:rsidR="00003BEF" w:rsidRPr="00026F6A" w:rsidRDefault="00003BEF" w:rsidP="00026F6A">
                      <w:pPr>
                        <w:jc w:val="left"/>
                        <w:rPr>
                          <w:sz w:val="22"/>
                        </w:rPr>
                      </w:pPr>
                      <w:r w:rsidRPr="00026F6A">
                        <w:rPr>
                          <w:sz w:val="22"/>
                        </w:rPr>
                        <w:t>152 out-of-state residents</w:t>
                      </w:r>
                    </w:p>
                    <w:p w14:paraId="6B432287" w14:textId="77777777" w:rsidR="00003BEF" w:rsidRPr="00026F6A" w:rsidRDefault="00003BEF" w:rsidP="00026F6A">
                      <w:pPr>
                        <w:jc w:val="left"/>
                        <w:rPr>
                          <w:sz w:val="22"/>
                        </w:rPr>
                      </w:pPr>
                      <w:r w:rsidRPr="00026F6A">
                        <w:rPr>
                          <w:sz w:val="22"/>
                        </w:rPr>
                        <w:t>553 not in the workforce</w:t>
                      </w:r>
                    </w:p>
                    <w:p w14:paraId="09909554" w14:textId="77777777" w:rsidR="00003BEF" w:rsidRPr="00026F6A" w:rsidRDefault="00003BEF" w:rsidP="00026F6A">
                      <w:pPr>
                        <w:ind w:left="720"/>
                        <w:jc w:val="left"/>
                        <w:rPr>
                          <w:sz w:val="22"/>
                        </w:rPr>
                      </w:pPr>
                      <w:r w:rsidRPr="00026F6A">
                        <w:rPr>
                          <w:sz w:val="22"/>
                        </w:rPr>
                        <w:t>homemakers (196)</w:t>
                      </w:r>
                    </w:p>
                    <w:p w14:paraId="0ABD5A83" w14:textId="77777777" w:rsidR="00003BEF" w:rsidRPr="00026F6A" w:rsidRDefault="00003BEF" w:rsidP="00026F6A">
                      <w:pPr>
                        <w:ind w:left="720"/>
                        <w:jc w:val="left"/>
                        <w:rPr>
                          <w:sz w:val="22"/>
                        </w:rPr>
                      </w:pPr>
                      <w:r w:rsidRPr="00026F6A">
                        <w:rPr>
                          <w:sz w:val="22"/>
                        </w:rPr>
                        <w:t>unemployed or had never been employed (231)</w:t>
                      </w:r>
                    </w:p>
                    <w:p w14:paraId="1D460066" w14:textId="77777777" w:rsidR="00003BEF" w:rsidRPr="00026F6A" w:rsidRDefault="00003BEF" w:rsidP="00026F6A">
                      <w:pPr>
                        <w:ind w:left="720"/>
                        <w:jc w:val="left"/>
                        <w:rPr>
                          <w:sz w:val="22"/>
                        </w:rPr>
                      </w:pPr>
                      <w:r w:rsidRPr="00026F6A">
                        <w:rPr>
                          <w:sz w:val="22"/>
                        </w:rPr>
                        <w:t>disability or another reason (17)</w:t>
                      </w:r>
                    </w:p>
                    <w:p w14:paraId="218A145C" w14:textId="77777777" w:rsidR="00003BEF" w:rsidRPr="00026F6A" w:rsidRDefault="00003BEF" w:rsidP="00026F6A">
                      <w:pPr>
                        <w:ind w:left="720"/>
                        <w:jc w:val="left"/>
                        <w:rPr>
                          <w:sz w:val="22"/>
                        </w:rPr>
                      </w:pPr>
                      <w:r w:rsidRPr="00026F6A">
                        <w:rPr>
                          <w:sz w:val="22"/>
                        </w:rPr>
                        <w:t>students (109)</w:t>
                      </w:r>
                    </w:p>
                    <w:p w14:paraId="493BD5F4" w14:textId="77777777" w:rsidR="00003BEF" w:rsidRDefault="00003BEF" w:rsidP="00026F6A">
                      <w:pPr>
                        <w:ind w:left="720"/>
                        <w:jc w:val="left"/>
                        <w:rPr>
                          <w:sz w:val="22"/>
                        </w:rPr>
                      </w:pPr>
                      <w:r w:rsidRPr="00026F6A">
                        <w:rPr>
                          <w:sz w:val="22"/>
                        </w:rPr>
                        <w:t>children (0)</w:t>
                      </w:r>
                    </w:p>
                    <w:p w14:paraId="178BC4E4" w14:textId="77777777" w:rsidR="00003BEF" w:rsidRPr="00026F6A" w:rsidRDefault="00003BEF" w:rsidP="00026F6A">
                      <w:pPr>
                        <w:jc w:val="left"/>
                        <w:rPr>
                          <w:sz w:val="22"/>
                        </w:rPr>
                      </w:pPr>
                      <w:r>
                        <w:rPr>
                          <w:sz w:val="22"/>
                        </w:rPr>
                        <w:t>165 contained no information or not enough information to code industry and occupation</w:t>
                      </w:r>
                    </w:p>
                  </w:txbxContent>
                </v:textbox>
              </v:shape>
            </w:pict>
          </mc:Fallback>
        </mc:AlternateContent>
      </w:r>
    </w:p>
    <w:p w14:paraId="6EDE9DE8" w14:textId="77777777" w:rsidR="00A178BA" w:rsidRPr="00A178BA" w:rsidRDefault="009B3F84" w:rsidP="00A178BA">
      <w:pPr>
        <w:rPr>
          <w:highlight w:val="yellow"/>
        </w:rPr>
      </w:pPr>
      <w:r>
        <w:rPr>
          <w:noProof/>
        </w:rPr>
        <mc:AlternateContent>
          <mc:Choice Requires="wps">
            <w:drawing>
              <wp:anchor distT="0" distB="0" distL="114300" distR="114300" simplePos="0" relativeHeight="251678720" behindDoc="0" locked="0" layoutInCell="1" allowOverlap="1" wp14:anchorId="0C4206C9" wp14:editId="5C0B0C09">
                <wp:simplePos x="0" y="0"/>
                <wp:positionH relativeFrom="column">
                  <wp:posOffset>2438400</wp:posOffset>
                </wp:positionH>
                <wp:positionV relativeFrom="paragraph">
                  <wp:posOffset>38100</wp:posOffset>
                </wp:positionV>
                <wp:extent cx="457200" cy="0"/>
                <wp:effectExtent l="0" t="76200" r="19050" b="114300"/>
                <wp:wrapNone/>
                <wp:docPr id="11" name="Straight Connector 11"/>
                <wp:cNvGraphicFramePr/>
                <a:graphic xmlns:a="http://schemas.openxmlformats.org/drawingml/2006/main">
                  <a:graphicData uri="http://schemas.microsoft.com/office/word/2010/wordprocessingShape">
                    <wps:wsp>
                      <wps:cNvCnPr/>
                      <wps:spPr>
                        <a:xfrm>
                          <a:off x="0" y="0"/>
                          <a:ext cx="457200" cy="0"/>
                        </a:xfrm>
                        <a:prstGeom prst="line">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A35E8A" id="Straight Connector 1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pt,3pt" to="22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" strokecolor="black [3200]">
                <v:stroke endarrow="open"/>
              </v:line>
            </w:pict>
          </mc:Fallback>
        </mc:AlternateContent>
      </w:r>
    </w:p>
    <w:p w14:paraId="6D5CB474" w14:textId="77777777" w:rsidR="00A178BA" w:rsidRPr="00A178BA" w:rsidRDefault="009B3F84" w:rsidP="00A178BA">
      <w:pPr>
        <w:rPr>
          <w:highlight w:val="yellow"/>
        </w:rPr>
      </w:pPr>
      <w:r w:rsidRPr="00026F6A">
        <w:rPr>
          <w:noProof/>
          <w:highlight w:val="yellow"/>
        </w:rPr>
        <mc:AlternateContent>
          <mc:Choice Requires="wps">
            <w:drawing>
              <wp:anchor distT="0" distB="0" distL="114300" distR="114300" simplePos="0" relativeHeight="251656192" behindDoc="0" locked="0" layoutInCell="1" allowOverlap="1" wp14:anchorId="2ED99CE3" wp14:editId="6D648309">
                <wp:simplePos x="0" y="0"/>
                <wp:positionH relativeFrom="margin">
                  <wp:posOffset>0</wp:posOffset>
                </wp:positionH>
                <wp:positionV relativeFrom="paragraph">
                  <wp:posOffset>179070</wp:posOffset>
                </wp:positionV>
                <wp:extent cx="2438400" cy="903605"/>
                <wp:effectExtent l="0" t="0" r="19050" b="2730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03605"/>
                        </a:xfrm>
                        <a:prstGeom prst="rect">
                          <a:avLst/>
                        </a:prstGeom>
                        <a:solidFill>
                          <a:srgbClr val="FFFFFF"/>
                        </a:solidFill>
                        <a:ln w="9525">
                          <a:solidFill>
                            <a:srgbClr val="000000"/>
                          </a:solidFill>
                          <a:miter lim="800000"/>
                          <a:headEnd/>
                          <a:tailEnd/>
                        </a:ln>
                      </wps:spPr>
                      <wps:txbx>
                        <w:txbxContent>
                          <w:p w14:paraId="5761B912" w14:textId="77777777" w:rsidR="00003BEF" w:rsidRPr="00026F6A" w:rsidRDefault="00003BEF" w:rsidP="00026F6A">
                            <w:pPr>
                              <w:jc w:val="left"/>
                              <w:rPr>
                                <w:sz w:val="22"/>
                              </w:rPr>
                            </w:pPr>
                            <w:r w:rsidRPr="00026F6A">
                              <w:rPr>
                                <w:sz w:val="22"/>
                              </w:rPr>
                              <w:t>65 opioid-related deaths were excluded due to new opioid-related death classification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ED99CE3" id="_x0000_s1035" type="#_x0000_t202" style="position:absolute;left:0;text-align:left;margin-left:0;margin-top:14.1pt;width:192pt;height:71.15pt;z-index:25165619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">
                <v:textbox style="mso-fit-shape-to-text:t">
                  <w:txbxContent>
                    <w:p w14:paraId="5761B912" w14:textId="77777777" w:rsidR="00003BEF" w:rsidRPr="00026F6A" w:rsidRDefault="00003BEF" w:rsidP="00026F6A">
                      <w:pPr>
                        <w:jc w:val="left"/>
                        <w:rPr>
                          <w:sz w:val="22"/>
                        </w:rPr>
                      </w:pPr>
                      <w:r w:rsidRPr="00026F6A">
                        <w:rPr>
                          <w:sz w:val="22"/>
                        </w:rPr>
                        <w:t>65 opioid-related deaths were excluded due to new opioid-related death classification</w:t>
                      </w:r>
                    </w:p>
                  </w:txbxContent>
                </v:textbox>
                <w10:wrap anchorx="margin"/>
              </v:shape>
            </w:pict>
          </mc:Fallback>
        </mc:AlternateContent>
      </w:r>
    </w:p>
    <w:p w14:paraId="1883CAFE" w14:textId="77777777" w:rsidR="00A178BA" w:rsidRPr="00A178BA" w:rsidRDefault="00A178BA" w:rsidP="00A178BA">
      <w:pPr>
        <w:rPr>
          <w:highlight w:val="yellow"/>
        </w:rPr>
      </w:pPr>
    </w:p>
    <w:p w14:paraId="130F27B3" w14:textId="77777777" w:rsidR="00A178BA" w:rsidRPr="00A178BA" w:rsidRDefault="009B3F84" w:rsidP="00A178BA">
      <w:pPr>
        <w:rPr>
          <w:highlight w:val="yellow"/>
        </w:rPr>
      </w:pPr>
      <w:r>
        <w:rPr>
          <w:noProof/>
        </w:rPr>
        <mc:AlternateContent>
          <mc:Choice Requires="wps">
            <w:drawing>
              <wp:anchor distT="0" distB="0" distL="114300" distR="114300" simplePos="0" relativeHeight="251670528" behindDoc="0" locked="0" layoutInCell="1" allowOverlap="1" wp14:anchorId="4403D08D" wp14:editId="61649ACB">
                <wp:simplePos x="0" y="0"/>
                <wp:positionH relativeFrom="column">
                  <wp:posOffset>2428875</wp:posOffset>
                </wp:positionH>
                <wp:positionV relativeFrom="paragraph">
                  <wp:posOffset>104775</wp:posOffset>
                </wp:positionV>
                <wp:extent cx="466725" cy="0"/>
                <wp:effectExtent l="38100" t="76200" r="0" b="114300"/>
                <wp:wrapNone/>
                <wp:docPr id="293" name="Straight Connector 293"/>
                <wp:cNvGraphicFramePr/>
                <a:graphic xmlns:a="http://schemas.openxmlformats.org/drawingml/2006/main">
                  <a:graphicData uri="http://schemas.microsoft.com/office/word/2010/wordprocessingShape">
                    <wps:wsp>
                      <wps:cNvCnPr/>
                      <wps:spPr>
                        <a:xfrm flipH="1">
                          <a:off x="0" y="0"/>
                          <a:ext cx="466725" cy="0"/>
                        </a:xfrm>
                        <a:prstGeom prst="line">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62E917B3" id="Straight Connector 293"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191.25pt,8.25pt" to="22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" strokecolor="black [3200]">
                <v:stroke endarrow="open"/>
              </v:line>
            </w:pict>
          </mc:Fallback>
        </mc:AlternateContent>
      </w:r>
    </w:p>
    <w:p w14:paraId="4772C50F" w14:textId="77777777" w:rsidR="00A178BA" w:rsidRPr="00A178BA" w:rsidRDefault="00A178BA" w:rsidP="00A178BA">
      <w:pPr>
        <w:rPr>
          <w:highlight w:val="yellow"/>
        </w:rPr>
      </w:pPr>
      <w:r>
        <w:rPr>
          <w:noProof/>
        </w:rPr>
        <mc:AlternateContent>
          <mc:Choice Requires="wps">
            <w:drawing>
              <wp:anchor distT="0" distB="0" distL="114300" distR="114300" simplePos="0" relativeHeight="251671552" behindDoc="0" locked="0" layoutInCell="1" allowOverlap="1" wp14:anchorId="6B935B53" wp14:editId="0F23697B">
                <wp:simplePos x="0" y="0"/>
                <wp:positionH relativeFrom="column">
                  <wp:posOffset>3810000</wp:posOffset>
                </wp:positionH>
                <wp:positionV relativeFrom="paragraph">
                  <wp:posOffset>128270</wp:posOffset>
                </wp:positionV>
                <wp:extent cx="304800" cy="0"/>
                <wp:effectExtent l="0" t="76200" r="19050" b="114300"/>
                <wp:wrapNone/>
                <wp:docPr id="295" name="Straight Connector 295"/>
                <wp:cNvGraphicFramePr/>
                <a:graphic xmlns:a="http://schemas.openxmlformats.org/drawingml/2006/main">
                  <a:graphicData uri="http://schemas.microsoft.com/office/word/2010/wordprocessingShape">
                    <wps:wsp>
                      <wps:cNvCnPr/>
                      <wps:spPr>
                        <a:xfrm>
                          <a:off x="0" y="0"/>
                          <a:ext cx="304800" cy="0"/>
                        </a:xfrm>
                        <a:prstGeom prst="line">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7E1BCC8C" id="Straight Connector 295"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00pt,10.1pt" to="324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" strokecolor="black [3200]">
                <v:stroke endarrow="open"/>
              </v:line>
            </w:pict>
          </mc:Fallback>
        </mc:AlternateContent>
      </w:r>
    </w:p>
    <w:p w14:paraId="18FEB1C9" w14:textId="77777777" w:rsidR="00A178BA" w:rsidRPr="00A178BA" w:rsidRDefault="00A178BA" w:rsidP="00A178BA">
      <w:pPr>
        <w:rPr>
          <w:highlight w:val="yellow"/>
        </w:rPr>
      </w:pPr>
    </w:p>
    <w:p w14:paraId="7DF71D9E" w14:textId="77777777" w:rsidR="00A178BA" w:rsidRPr="00A178BA" w:rsidRDefault="00A178BA" w:rsidP="00A178BA">
      <w:pPr>
        <w:rPr>
          <w:highlight w:val="yellow"/>
        </w:rPr>
      </w:pPr>
      <w:r>
        <w:rPr>
          <w:noProof/>
        </w:rPr>
        <mc:AlternateContent>
          <mc:Choice Requires="wps">
            <w:drawing>
              <wp:anchor distT="0" distB="0" distL="114300" distR="114300" simplePos="0" relativeHeight="251658240" behindDoc="0" locked="0" layoutInCell="1" allowOverlap="1" wp14:anchorId="5C923D91" wp14:editId="7150D21E">
                <wp:simplePos x="0" y="0"/>
                <wp:positionH relativeFrom="column">
                  <wp:posOffset>1219200</wp:posOffset>
                </wp:positionH>
                <wp:positionV relativeFrom="paragraph">
                  <wp:posOffset>7620</wp:posOffset>
                </wp:positionV>
                <wp:extent cx="1876425" cy="80010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1876425" cy="800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E9E2A6" w14:textId="77777777" w:rsidR="00003BEF" w:rsidRPr="00026F6A" w:rsidRDefault="00003BEF" w:rsidP="00A178BA">
                            <w:pPr>
                              <w:rPr>
                                <w:sz w:val="22"/>
                              </w:rPr>
                            </w:pPr>
                            <w:r>
                              <w:rPr>
                                <w:sz w:val="22"/>
                              </w:rPr>
                              <w:t>5,614 opioid-related overdose deaths in Massachusetts, 2011-2015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C923D91" id="Text Box 10" o:spid="_x0000_s1036" type="#_x0000_t202" style="position:absolute;left:0;text-align:left;margin-left:96pt;margin-top:.6pt;width:147.75pt;height:63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" fillcolor="white [3201]" strokeweight=".5pt">
                <v:textbox>
                  <w:txbxContent>
                    <w:p w14:paraId="05E9E2A6" w14:textId="77777777" w:rsidR="00003BEF" w:rsidRPr="00026F6A" w:rsidRDefault="00003BEF" w:rsidP="00A178BA">
                      <w:pPr>
                        <w:rPr>
                          <w:sz w:val="22"/>
                        </w:rPr>
                      </w:pPr>
                      <w:r>
                        <w:rPr>
                          <w:sz w:val="22"/>
                        </w:rPr>
                        <w:t>5,614 opioid-related overdose deaths in Massachusetts, 2011-2015</w:t>
                      </w:r>
                    </w:p>
                  </w:txbxContent>
                </v:textbox>
              </v:shape>
            </w:pict>
          </mc:Fallback>
        </mc:AlternateContent>
      </w:r>
    </w:p>
    <w:p w14:paraId="0C38400C" w14:textId="77777777" w:rsidR="00A178BA" w:rsidRPr="00A178BA" w:rsidRDefault="00A178BA" w:rsidP="00A178BA">
      <w:pPr>
        <w:rPr>
          <w:highlight w:val="yellow"/>
        </w:rPr>
      </w:pPr>
    </w:p>
    <w:p w14:paraId="64FDB365" w14:textId="77777777" w:rsidR="00A178BA" w:rsidRPr="00A178BA" w:rsidRDefault="00A178BA" w:rsidP="00A178BA">
      <w:pPr>
        <w:rPr>
          <w:highlight w:val="yellow"/>
        </w:rPr>
      </w:pPr>
    </w:p>
    <w:p w14:paraId="73D81BE1" w14:textId="77777777" w:rsidR="00A178BA" w:rsidRPr="00A178BA" w:rsidRDefault="00A178BA" w:rsidP="00A178BA">
      <w:pPr>
        <w:rPr>
          <w:highlight w:val="yellow"/>
        </w:rPr>
      </w:pPr>
    </w:p>
    <w:p w14:paraId="44B2800C" w14:textId="77777777" w:rsidR="00A178BA" w:rsidRPr="00A178BA" w:rsidRDefault="00A178BA" w:rsidP="00A178BA">
      <w:pPr>
        <w:rPr>
          <w:highlight w:val="yellow"/>
        </w:rPr>
      </w:pPr>
      <w:r>
        <w:rPr>
          <w:noProof/>
        </w:rPr>
        <mc:AlternateContent>
          <mc:Choice Requires="wps">
            <w:drawing>
              <wp:anchor distT="0" distB="0" distL="114300" distR="114300" simplePos="0" relativeHeight="251669504" behindDoc="0" locked="0" layoutInCell="1" allowOverlap="1" wp14:anchorId="4499BF0F" wp14:editId="59438D85">
                <wp:simplePos x="0" y="0"/>
                <wp:positionH relativeFrom="column">
                  <wp:posOffset>2905125</wp:posOffset>
                </wp:positionH>
                <wp:positionV relativeFrom="paragraph">
                  <wp:posOffset>106680</wp:posOffset>
                </wp:positionV>
                <wp:extent cx="0" cy="2400300"/>
                <wp:effectExtent l="95250" t="0" r="57150" b="57150"/>
                <wp:wrapNone/>
                <wp:docPr id="292" name="Straight Arrow Connector 292"/>
                <wp:cNvGraphicFramePr/>
                <a:graphic xmlns:a="http://schemas.openxmlformats.org/drawingml/2006/main">
                  <a:graphicData uri="http://schemas.microsoft.com/office/word/2010/wordprocessingShape">
                    <wps:wsp>
                      <wps:cNvCnPr/>
                      <wps:spPr>
                        <a:xfrm>
                          <a:off x="0" y="0"/>
                          <a:ext cx="0" cy="24003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BE80DDC" id="Straight Arrow Connector 292" o:spid="_x0000_s1026" type="#_x0000_t32" style="position:absolute;margin-left:228.75pt;margin-top:8.4pt;width:0;height:189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" strokecolor="black [3040]">
                <v:stroke endarrow="open"/>
              </v:shape>
            </w:pict>
          </mc:Fallback>
        </mc:AlternateContent>
      </w:r>
    </w:p>
    <w:p w14:paraId="0EE72933" w14:textId="77777777" w:rsidR="00A178BA" w:rsidRPr="00A178BA" w:rsidRDefault="00A178BA" w:rsidP="00A178BA">
      <w:pPr>
        <w:rPr>
          <w:highlight w:val="yellow"/>
        </w:rPr>
      </w:pPr>
    </w:p>
    <w:p w14:paraId="55243F06" w14:textId="77777777" w:rsidR="00A178BA" w:rsidRPr="00A178BA" w:rsidRDefault="00A178BA" w:rsidP="00A178BA">
      <w:pPr>
        <w:rPr>
          <w:highlight w:val="yellow"/>
        </w:rPr>
      </w:pPr>
      <w:r w:rsidRPr="00026F6A">
        <w:rPr>
          <w:noProof/>
          <w:highlight w:val="yellow"/>
        </w:rPr>
        <mc:AlternateContent>
          <mc:Choice Requires="wps">
            <w:drawing>
              <wp:anchor distT="0" distB="0" distL="114300" distR="114300" simplePos="0" relativeHeight="251660288" behindDoc="0" locked="0" layoutInCell="1" allowOverlap="1" wp14:anchorId="0F9916D0" wp14:editId="7F0CE7D3">
                <wp:simplePos x="0" y="0"/>
                <wp:positionH relativeFrom="column">
                  <wp:posOffset>0</wp:posOffset>
                </wp:positionH>
                <wp:positionV relativeFrom="paragraph">
                  <wp:posOffset>99060</wp:posOffset>
                </wp:positionV>
                <wp:extent cx="2514600" cy="1867535"/>
                <wp:effectExtent l="0" t="0" r="19050" b="1841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867535"/>
                        </a:xfrm>
                        <a:prstGeom prst="rect">
                          <a:avLst/>
                        </a:prstGeom>
                        <a:solidFill>
                          <a:srgbClr val="FFFFFF"/>
                        </a:solidFill>
                        <a:ln w="9525">
                          <a:solidFill>
                            <a:srgbClr val="000000"/>
                          </a:solidFill>
                          <a:miter lim="800000"/>
                          <a:headEnd/>
                          <a:tailEnd/>
                        </a:ln>
                      </wps:spPr>
                      <wps:txbx>
                        <w:txbxContent>
                          <w:p w14:paraId="7992C9A9" w14:textId="77777777" w:rsidR="00003BEF" w:rsidRPr="00026F6A" w:rsidRDefault="00003BEF" w:rsidP="00026F6A">
                            <w:pPr>
                              <w:jc w:val="left"/>
                              <w:rPr>
                                <w:sz w:val="22"/>
                              </w:rPr>
                            </w:pPr>
                            <w:r w:rsidRPr="00026F6A">
                              <w:rPr>
                                <w:sz w:val="22"/>
                              </w:rPr>
                              <w:t>1</w:t>
                            </w:r>
                            <w:r>
                              <w:rPr>
                                <w:sz w:val="22"/>
                              </w:rPr>
                              <w:t>84</w:t>
                            </w:r>
                            <w:r w:rsidRPr="00026F6A">
                              <w:rPr>
                                <w:sz w:val="22"/>
                              </w:rPr>
                              <w:t xml:space="preserve"> out-of-state residents</w:t>
                            </w:r>
                          </w:p>
                          <w:p w14:paraId="0F4F6257" w14:textId="77777777" w:rsidR="00003BEF" w:rsidRPr="00026F6A" w:rsidRDefault="00003BEF" w:rsidP="00026F6A">
                            <w:pPr>
                              <w:jc w:val="left"/>
                              <w:rPr>
                                <w:sz w:val="22"/>
                              </w:rPr>
                            </w:pPr>
                            <w:r>
                              <w:rPr>
                                <w:sz w:val="22"/>
                              </w:rPr>
                              <w:t>891</w:t>
                            </w:r>
                            <w:r w:rsidRPr="00026F6A">
                              <w:rPr>
                                <w:sz w:val="22"/>
                              </w:rPr>
                              <w:t xml:space="preserve"> not in the workforce</w:t>
                            </w:r>
                          </w:p>
                          <w:p w14:paraId="737C6683" w14:textId="77777777" w:rsidR="00003BEF" w:rsidRPr="00026F6A" w:rsidRDefault="00003BEF" w:rsidP="00026F6A">
                            <w:pPr>
                              <w:ind w:left="720"/>
                              <w:jc w:val="left"/>
                              <w:rPr>
                                <w:sz w:val="22"/>
                              </w:rPr>
                            </w:pPr>
                            <w:r w:rsidRPr="00026F6A">
                              <w:rPr>
                                <w:sz w:val="22"/>
                              </w:rPr>
                              <w:t>homemakers (</w:t>
                            </w:r>
                            <w:r>
                              <w:rPr>
                                <w:sz w:val="22"/>
                              </w:rPr>
                              <w:t>324</w:t>
                            </w:r>
                            <w:r w:rsidRPr="00026F6A">
                              <w:rPr>
                                <w:sz w:val="22"/>
                              </w:rPr>
                              <w:t>)</w:t>
                            </w:r>
                          </w:p>
                          <w:p w14:paraId="0675B7AA" w14:textId="77777777" w:rsidR="00003BEF" w:rsidRPr="00026F6A" w:rsidRDefault="00003BEF" w:rsidP="00026F6A">
                            <w:pPr>
                              <w:ind w:left="720"/>
                              <w:jc w:val="left"/>
                              <w:rPr>
                                <w:sz w:val="22"/>
                              </w:rPr>
                            </w:pPr>
                            <w:r w:rsidRPr="00026F6A">
                              <w:rPr>
                                <w:sz w:val="22"/>
                              </w:rPr>
                              <w:t>unemployed or had never been employed (</w:t>
                            </w:r>
                            <w:r>
                              <w:rPr>
                                <w:sz w:val="22"/>
                              </w:rPr>
                              <w:t>213</w:t>
                            </w:r>
                            <w:r w:rsidRPr="00026F6A">
                              <w:rPr>
                                <w:sz w:val="22"/>
                              </w:rPr>
                              <w:t>)</w:t>
                            </w:r>
                          </w:p>
                          <w:p w14:paraId="6D13A2D6" w14:textId="77777777" w:rsidR="00003BEF" w:rsidRPr="00026F6A" w:rsidRDefault="00003BEF" w:rsidP="00026F6A">
                            <w:pPr>
                              <w:ind w:left="720"/>
                              <w:jc w:val="left"/>
                              <w:rPr>
                                <w:sz w:val="22"/>
                              </w:rPr>
                            </w:pPr>
                            <w:r w:rsidRPr="00026F6A">
                              <w:rPr>
                                <w:sz w:val="22"/>
                              </w:rPr>
                              <w:t>disability or another reason (</w:t>
                            </w:r>
                            <w:r>
                              <w:rPr>
                                <w:sz w:val="22"/>
                              </w:rPr>
                              <w:t>193</w:t>
                            </w:r>
                            <w:r w:rsidRPr="00026F6A">
                              <w:rPr>
                                <w:sz w:val="22"/>
                              </w:rPr>
                              <w:t>)</w:t>
                            </w:r>
                          </w:p>
                          <w:p w14:paraId="255AE0C8" w14:textId="77777777" w:rsidR="00003BEF" w:rsidRPr="00026F6A" w:rsidRDefault="00003BEF" w:rsidP="00026F6A">
                            <w:pPr>
                              <w:ind w:left="720"/>
                              <w:jc w:val="left"/>
                              <w:rPr>
                                <w:sz w:val="22"/>
                              </w:rPr>
                            </w:pPr>
                            <w:r w:rsidRPr="00026F6A">
                              <w:rPr>
                                <w:sz w:val="22"/>
                              </w:rPr>
                              <w:t>students (1</w:t>
                            </w:r>
                            <w:r>
                              <w:rPr>
                                <w:sz w:val="22"/>
                              </w:rPr>
                              <w:t>60</w:t>
                            </w:r>
                            <w:r w:rsidRPr="00026F6A">
                              <w:rPr>
                                <w:sz w:val="22"/>
                              </w:rPr>
                              <w:t>)</w:t>
                            </w:r>
                          </w:p>
                          <w:p w14:paraId="2A6E2802" w14:textId="77777777" w:rsidR="00003BEF" w:rsidRDefault="00003BEF" w:rsidP="00026F6A">
                            <w:pPr>
                              <w:ind w:left="720"/>
                              <w:jc w:val="left"/>
                              <w:rPr>
                                <w:sz w:val="22"/>
                              </w:rPr>
                            </w:pPr>
                            <w:r w:rsidRPr="00A178BA">
                              <w:rPr>
                                <w:sz w:val="22"/>
                              </w:rPr>
                              <w:t>children (</w:t>
                            </w:r>
                            <w:r>
                              <w:rPr>
                                <w:sz w:val="22"/>
                              </w:rPr>
                              <w:t>1</w:t>
                            </w:r>
                            <w:r w:rsidRPr="00026F6A">
                              <w:rPr>
                                <w:sz w:val="22"/>
                              </w:rPr>
                              <w:t>)</w:t>
                            </w:r>
                          </w:p>
                          <w:p w14:paraId="5F0195EA" w14:textId="77777777" w:rsidR="00003BEF" w:rsidRPr="00026F6A" w:rsidRDefault="00003BEF" w:rsidP="00026F6A">
                            <w:pPr>
                              <w:jc w:val="left"/>
                              <w:rPr>
                                <w:sz w:val="22"/>
                              </w:rPr>
                            </w:pPr>
                            <w:r>
                              <w:rPr>
                                <w:sz w:val="22"/>
                              </w:rPr>
                              <w:t>202 contained no information or not enough information to code industry and occupation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F9916D0" id="_x0000_s1037" type="#_x0000_t202" style="position:absolute;left:0;text-align:left;margin-left:0;margin-top:7.8pt;width:198pt;height:147.0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">
                <v:textbox style="mso-fit-shape-to-text:t">
                  <w:txbxContent>
                    <w:p w14:paraId="7992C9A9" w14:textId="77777777" w:rsidR="00003BEF" w:rsidRPr="00026F6A" w:rsidRDefault="00003BEF" w:rsidP="00026F6A">
                      <w:pPr>
                        <w:jc w:val="left"/>
                        <w:rPr>
                          <w:sz w:val="22"/>
                        </w:rPr>
                      </w:pPr>
                      <w:r w:rsidRPr="00026F6A">
                        <w:rPr>
                          <w:sz w:val="22"/>
                        </w:rPr>
                        <w:t>1</w:t>
                      </w:r>
                      <w:r>
                        <w:rPr>
                          <w:sz w:val="22"/>
                        </w:rPr>
                        <w:t>84</w:t>
                      </w:r>
                      <w:r w:rsidRPr="00026F6A">
                        <w:rPr>
                          <w:sz w:val="22"/>
                        </w:rPr>
                        <w:t xml:space="preserve"> out-of-state residents</w:t>
                      </w:r>
                    </w:p>
                    <w:p w14:paraId="0F4F6257" w14:textId="77777777" w:rsidR="00003BEF" w:rsidRPr="00026F6A" w:rsidRDefault="00003BEF" w:rsidP="00026F6A">
                      <w:pPr>
                        <w:jc w:val="left"/>
                        <w:rPr>
                          <w:sz w:val="22"/>
                        </w:rPr>
                      </w:pPr>
                      <w:r>
                        <w:rPr>
                          <w:sz w:val="22"/>
                        </w:rPr>
                        <w:t>891</w:t>
                      </w:r>
                      <w:r w:rsidRPr="00026F6A">
                        <w:rPr>
                          <w:sz w:val="22"/>
                        </w:rPr>
                        <w:t xml:space="preserve"> not in the workforce</w:t>
                      </w:r>
                    </w:p>
                    <w:p w14:paraId="737C6683" w14:textId="77777777" w:rsidR="00003BEF" w:rsidRPr="00026F6A" w:rsidRDefault="00003BEF" w:rsidP="00026F6A">
                      <w:pPr>
                        <w:ind w:left="720"/>
                        <w:jc w:val="left"/>
                        <w:rPr>
                          <w:sz w:val="22"/>
                        </w:rPr>
                      </w:pPr>
                      <w:r w:rsidRPr="00026F6A">
                        <w:rPr>
                          <w:sz w:val="22"/>
                        </w:rPr>
                        <w:t>homemakers (</w:t>
                      </w:r>
                      <w:r>
                        <w:rPr>
                          <w:sz w:val="22"/>
                        </w:rPr>
                        <w:t>324</w:t>
                      </w:r>
                      <w:r w:rsidRPr="00026F6A">
                        <w:rPr>
                          <w:sz w:val="22"/>
                        </w:rPr>
                        <w:t>)</w:t>
                      </w:r>
                    </w:p>
                    <w:p w14:paraId="0675B7AA" w14:textId="77777777" w:rsidR="00003BEF" w:rsidRPr="00026F6A" w:rsidRDefault="00003BEF" w:rsidP="00026F6A">
                      <w:pPr>
                        <w:ind w:left="720"/>
                        <w:jc w:val="left"/>
                        <w:rPr>
                          <w:sz w:val="22"/>
                        </w:rPr>
                      </w:pPr>
                      <w:r w:rsidRPr="00026F6A">
                        <w:rPr>
                          <w:sz w:val="22"/>
                        </w:rPr>
                        <w:t>unemployed or had never been employed (</w:t>
                      </w:r>
                      <w:r>
                        <w:rPr>
                          <w:sz w:val="22"/>
                        </w:rPr>
                        <w:t>213</w:t>
                      </w:r>
                      <w:r w:rsidRPr="00026F6A">
                        <w:rPr>
                          <w:sz w:val="22"/>
                        </w:rPr>
                        <w:t>)</w:t>
                      </w:r>
                    </w:p>
                    <w:p w14:paraId="6D13A2D6" w14:textId="77777777" w:rsidR="00003BEF" w:rsidRPr="00026F6A" w:rsidRDefault="00003BEF" w:rsidP="00026F6A">
                      <w:pPr>
                        <w:ind w:left="720"/>
                        <w:jc w:val="left"/>
                        <w:rPr>
                          <w:sz w:val="22"/>
                        </w:rPr>
                      </w:pPr>
                      <w:r w:rsidRPr="00026F6A">
                        <w:rPr>
                          <w:sz w:val="22"/>
                        </w:rPr>
                        <w:t>disability or another reason (</w:t>
                      </w:r>
                      <w:r>
                        <w:rPr>
                          <w:sz w:val="22"/>
                        </w:rPr>
                        <w:t>193</w:t>
                      </w:r>
                      <w:r w:rsidRPr="00026F6A">
                        <w:rPr>
                          <w:sz w:val="22"/>
                        </w:rPr>
                        <w:t>)</w:t>
                      </w:r>
                    </w:p>
                    <w:p w14:paraId="255AE0C8" w14:textId="77777777" w:rsidR="00003BEF" w:rsidRPr="00026F6A" w:rsidRDefault="00003BEF" w:rsidP="00026F6A">
                      <w:pPr>
                        <w:ind w:left="720"/>
                        <w:jc w:val="left"/>
                        <w:rPr>
                          <w:sz w:val="22"/>
                        </w:rPr>
                      </w:pPr>
                      <w:r w:rsidRPr="00026F6A">
                        <w:rPr>
                          <w:sz w:val="22"/>
                        </w:rPr>
                        <w:t>students (1</w:t>
                      </w:r>
                      <w:r>
                        <w:rPr>
                          <w:sz w:val="22"/>
                        </w:rPr>
                        <w:t>60</w:t>
                      </w:r>
                      <w:r w:rsidRPr="00026F6A">
                        <w:rPr>
                          <w:sz w:val="22"/>
                        </w:rPr>
                        <w:t>)</w:t>
                      </w:r>
                    </w:p>
                    <w:p w14:paraId="2A6E2802" w14:textId="77777777" w:rsidR="00003BEF" w:rsidRDefault="00003BEF" w:rsidP="00026F6A">
                      <w:pPr>
                        <w:ind w:left="720"/>
                        <w:jc w:val="left"/>
                        <w:rPr>
                          <w:sz w:val="22"/>
                        </w:rPr>
                      </w:pPr>
                      <w:r w:rsidRPr="00A178BA">
                        <w:rPr>
                          <w:sz w:val="22"/>
                        </w:rPr>
                        <w:t>children (</w:t>
                      </w:r>
                      <w:r>
                        <w:rPr>
                          <w:sz w:val="22"/>
                        </w:rPr>
                        <w:t>1</w:t>
                      </w:r>
                      <w:r w:rsidRPr="00026F6A">
                        <w:rPr>
                          <w:sz w:val="22"/>
                        </w:rPr>
                        <w:t>)</w:t>
                      </w:r>
                    </w:p>
                    <w:p w14:paraId="5F0195EA" w14:textId="77777777" w:rsidR="00003BEF" w:rsidRPr="00026F6A" w:rsidRDefault="00003BEF" w:rsidP="00026F6A">
                      <w:pPr>
                        <w:jc w:val="left"/>
                        <w:rPr>
                          <w:sz w:val="22"/>
                        </w:rPr>
                      </w:pPr>
                      <w:r>
                        <w:rPr>
                          <w:sz w:val="22"/>
                        </w:rPr>
                        <w:t>202 contained no information or not enough information to code industry and occupation</w:t>
                      </w:r>
                    </w:p>
                  </w:txbxContent>
                </v:textbox>
              </v:shape>
            </w:pict>
          </mc:Fallback>
        </mc:AlternateContent>
      </w:r>
    </w:p>
    <w:p w14:paraId="6A92BD8B" w14:textId="77777777" w:rsidR="00A178BA" w:rsidRPr="00A178BA" w:rsidRDefault="00A178BA" w:rsidP="00A178BA">
      <w:pPr>
        <w:rPr>
          <w:highlight w:val="yellow"/>
        </w:rPr>
      </w:pPr>
    </w:p>
    <w:p w14:paraId="1A7E5AB6" w14:textId="77777777" w:rsidR="00A178BA" w:rsidRPr="00A178BA" w:rsidRDefault="00A178BA" w:rsidP="00A178BA">
      <w:pPr>
        <w:rPr>
          <w:highlight w:val="yellow"/>
        </w:rPr>
      </w:pPr>
    </w:p>
    <w:p w14:paraId="7C6AAA17" w14:textId="77777777" w:rsidR="00A178BA" w:rsidRPr="00A178BA" w:rsidRDefault="00A178BA" w:rsidP="00A178BA">
      <w:pPr>
        <w:rPr>
          <w:highlight w:val="yellow"/>
        </w:rPr>
      </w:pPr>
    </w:p>
    <w:p w14:paraId="230C3A7B" w14:textId="77777777" w:rsidR="00A178BA" w:rsidRPr="00A178BA" w:rsidRDefault="00A178BA" w:rsidP="00A178BA">
      <w:pPr>
        <w:rPr>
          <w:highlight w:val="yellow"/>
        </w:rPr>
      </w:pPr>
    </w:p>
    <w:p w14:paraId="272C398E" w14:textId="77777777" w:rsidR="00A178BA" w:rsidRPr="00A178BA" w:rsidRDefault="00A178BA" w:rsidP="00A178BA">
      <w:pPr>
        <w:rPr>
          <w:highlight w:val="yellow"/>
        </w:rPr>
      </w:pPr>
      <w:r>
        <w:rPr>
          <w:noProof/>
        </w:rPr>
        <mc:AlternateContent>
          <mc:Choice Requires="wps">
            <w:drawing>
              <wp:anchor distT="0" distB="0" distL="114300" distR="114300" simplePos="0" relativeHeight="251672576" behindDoc="0" locked="0" layoutInCell="1" allowOverlap="1" wp14:anchorId="2D2687AF" wp14:editId="3A300C22">
                <wp:simplePos x="0" y="0"/>
                <wp:positionH relativeFrom="column">
                  <wp:posOffset>2514600</wp:posOffset>
                </wp:positionH>
                <wp:positionV relativeFrom="paragraph">
                  <wp:posOffset>137795</wp:posOffset>
                </wp:positionV>
                <wp:extent cx="390525" cy="0"/>
                <wp:effectExtent l="38100" t="76200" r="0" b="114300"/>
                <wp:wrapNone/>
                <wp:docPr id="296" name="Straight Connector 296"/>
                <wp:cNvGraphicFramePr/>
                <a:graphic xmlns:a="http://schemas.openxmlformats.org/drawingml/2006/main">
                  <a:graphicData uri="http://schemas.microsoft.com/office/word/2010/wordprocessingShape">
                    <wps:wsp>
                      <wps:cNvCnPr/>
                      <wps:spPr>
                        <a:xfrm flipH="1">
                          <a:off x="0" y="0"/>
                          <a:ext cx="390525" cy="0"/>
                        </a:xfrm>
                        <a:prstGeom prst="line">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351647F4" id="Straight Connector 296" o:spid="_x0000_s1026" style="position:absolute;flip:x;z-index:251672576;visibility:visible;mso-wrap-style:square;mso-wrap-distance-left:9pt;mso-wrap-distance-top:0;mso-wrap-distance-right:9pt;mso-wrap-distance-bottom:0;mso-position-horizontal:absolute;mso-position-horizontal-relative:text;mso-position-vertical:absolute;mso-position-vertical-relative:text" from="198pt,10.85pt" to="228.7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" strokecolor="black [3200]">
                <v:stroke endarrow="open"/>
              </v:line>
            </w:pict>
          </mc:Fallback>
        </mc:AlternateContent>
      </w:r>
    </w:p>
    <w:p w14:paraId="66A8D141" w14:textId="77777777" w:rsidR="00A178BA" w:rsidRPr="00A178BA" w:rsidRDefault="00A178BA" w:rsidP="00A178BA">
      <w:pPr>
        <w:rPr>
          <w:highlight w:val="yellow"/>
        </w:rPr>
      </w:pPr>
    </w:p>
    <w:p w14:paraId="75708E31" w14:textId="77777777" w:rsidR="00A178BA" w:rsidRPr="00A178BA" w:rsidRDefault="00A178BA" w:rsidP="00A178BA">
      <w:pPr>
        <w:rPr>
          <w:highlight w:val="yellow"/>
        </w:rPr>
      </w:pPr>
    </w:p>
    <w:p w14:paraId="7A0BD6FF" w14:textId="77777777" w:rsidR="00A178BA" w:rsidRPr="00A178BA" w:rsidRDefault="00A178BA" w:rsidP="00A178BA">
      <w:pPr>
        <w:rPr>
          <w:highlight w:val="yellow"/>
        </w:rPr>
      </w:pPr>
    </w:p>
    <w:p w14:paraId="3343F5BD" w14:textId="77777777" w:rsidR="00A178BA" w:rsidRPr="00A178BA" w:rsidRDefault="00A178BA" w:rsidP="00A178BA">
      <w:pPr>
        <w:rPr>
          <w:highlight w:val="yellow"/>
        </w:rPr>
      </w:pPr>
    </w:p>
    <w:p w14:paraId="51372C4D" w14:textId="77777777" w:rsidR="00A178BA" w:rsidRPr="00A178BA" w:rsidRDefault="00A178BA" w:rsidP="00A178BA">
      <w:pPr>
        <w:rPr>
          <w:highlight w:val="yellow"/>
        </w:rPr>
      </w:pPr>
    </w:p>
    <w:p w14:paraId="4CAB5B3E" w14:textId="77777777" w:rsidR="00A178BA" w:rsidRPr="00A178BA" w:rsidRDefault="00A178BA" w:rsidP="00A178BA">
      <w:pPr>
        <w:rPr>
          <w:highlight w:val="yellow"/>
        </w:rPr>
      </w:pPr>
    </w:p>
    <w:p w14:paraId="64D8281F" w14:textId="77777777" w:rsidR="00A178BA" w:rsidRPr="00A178BA" w:rsidRDefault="00A178BA" w:rsidP="00A178BA">
      <w:pPr>
        <w:rPr>
          <w:highlight w:val="yellow"/>
        </w:rPr>
      </w:pPr>
      <w:r>
        <w:rPr>
          <w:noProof/>
        </w:rPr>
        <mc:AlternateContent>
          <mc:Choice Requires="wps">
            <w:drawing>
              <wp:anchor distT="0" distB="0" distL="114300" distR="114300" simplePos="0" relativeHeight="251661312" behindDoc="0" locked="0" layoutInCell="1" allowOverlap="1" wp14:anchorId="604E39BC" wp14:editId="3409C2C8">
                <wp:simplePos x="0" y="0"/>
                <wp:positionH relativeFrom="column">
                  <wp:posOffset>3657600</wp:posOffset>
                </wp:positionH>
                <wp:positionV relativeFrom="paragraph">
                  <wp:posOffset>53975</wp:posOffset>
                </wp:positionV>
                <wp:extent cx="1876425" cy="80010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1876425" cy="800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B893B2" w14:textId="77777777" w:rsidR="00003BEF" w:rsidRPr="00026F6A" w:rsidRDefault="00003BEF" w:rsidP="00A178BA">
                            <w:pPr>
                              <w:rPr>
                                <w:sz w:val="22"/>
                              </w:rPr>
                            </w:pPr>
                            <w:r>
                              <w:rPr>
                                <w:sz w:val="22"/>
                              </w:rPr>
                              <w:t>3,354 opioid-related overdose deaths with usable industry (3,315) and/or occupation (3,342)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04E39BC" id="Text Box 15" o:spid="_x0000_s1038" type="#_x0000_t202" style="position:absolute;left:0;text-align:left;margin-left:4in;margin-top:4.25pt;width:147.75pt;height:6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" fillcolor="white [3201]" strokeweight=".5pt">
                <v:textbox>
                  <w:txbxContent>
                    <w:p w14:paraId="06B893B2" w14:textId="77777777" w:rsidR="00003BEF" w:rsidRPr="00026F6A" w:rsidRDefault="00003BEF" w:rsidP="00A178BA">
                      <w:pPr>
                        <w:rPr>
                          <w:sz w:val="22"/>
                        </w:rPr>
                      </w:pPr>
                      <w:r>
                        <w:rPr>
                          <w:sz w:val="22"/>
                        </w:rPr>
                        <w:t>3,354 opioid-related overdose deaths with usable industry (3,315) and/or occupation (3,342) information</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5823231" wp14:editId="1ECC8334">
                <wp:simplePos x="0" y="0"/>
                <wp:positionH relativeFrom="column">
                  <wp:posOffset>1247775</wp:posOffset>
                </wp:positionH>
                <wp:positionV relativeFrom="paragraph">
                  <wp:posOffset>53975</wp:posOffset>
                </wp:positionV>
                <wp:extent cx="1876425" cy="800100"/>
                <wp:effectExtent l="0" t="0" r="28575" b="19050"/>
                <wp:wrapNone/>
                <wp:docPr id="17" name="Text Box 17"/>
                <wp:cNvGraphicFramePr/>
                <a:graphic xmlns:a="http://schemas.openxmlformats.org/drawingml/2006/main">
                  <a:graphicData uri="http://schemas.microsoft.com/office/word/2010/wordprocessingShape">
                    <wps:wsp>
                      <wps:cNvSpPr txBox="1"/>
                      <wps:spPr>
                        <a:xfrm>
                          <a:off x="0" y="0"/>
                          <a:ext cx="1876425" cy="800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DB61AE" w14:textId="77777777" w:rsidR="00003BEF" w:rsidRPr="00026F6A" w:rsidRDefault="00003BEF" w:rsidP="00A178BA">
                            <w:pPr>
                              <w:rPr>
                                <w:sz w:val="22"/>
                              </w:rPr>
                            </w:pPr>
                            <w:r>
                              <w:rPr>
                                <w:sz w:val="22"/>
                              </w:rPr>
                              <w:t>4,337 opioid-related overdose deaths with usable industry (4,305) and/or occupation (4,319)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5823231" id="Text Box 17" o:spid="_x0000_s1039" type="#_x0000_t202" style="position:absolute;left:0;text-align:left;margin-left:98.25pt;margin-top:4.25pt;width:147.75pt;height:6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" fillcolor="white [3201]" strokeweight=".5pt">
                <v:textbox>
                  <w:txbxContent>
                    <w:p w14:paraId="0BDB61AE" w14:textId="77777777" w:rsidR="00003BEF" w:rsidRPr="00026F6A" w:rsidRDefault="00003BEF" w:rsidP="00A178BA">
                      <w:pPr>
                        <w:rPr>
                          <w:sz w:val="22"/>
                        </w:rPr>
                      </w:pPr>
                      <w:r>
                        <w:rPr>
                          <w:sz w:val="22"/>
                        </w:rPr>
                        <w:t>4,337 opioid-related overdose deaths with usable industry (4,305) and/or occupation (4,319) information</w:t>
                      </w:r>
                    </w:p>
                  </w:txbxContent>
                </v:textbox>
              </v:shape>
            </w:pict>
          </mc:Fallback>
        </mc:AlternateContent>
      </w:r>
    </w:p>
    <w:p w14:paraId="53881BDB" w14:textId="77777777" w:rsidR="00A178BA" w:rsidRPr="00A178BA" w:rsidRDefault="00A178BA" w:rsidP="00A178BA">
      <w:pPr>
        <w:rPr>
          <w:highlight w:val="yellow"/>
        </w:rPr>
      </w:pPr>
    </w:p>
    <w:p w14:paraId="27A17E4C" w14:textId="77777777" w:rsidR="00A178BA" w:rsidRPr="00A178BA" w:rsidRDefault="00A178BA" w:rsidP="00A178BA">
      <w:pPr>
        <w:rPr>
          <w:highlight w:val="yellow"/>
        </w:rPr>
      </w:pPr>
    </w:p>
    <w:p w14:paraId="7976E600" w14:textId="77777777" w:rsidR="00A178BA" w:rsidRDefault="00A178BA" w:rsidP="00A178BA">
      <w:pPr>
        <w:rPr>
          <w:highlight w:val="yellow"/>
        </w:rPr>
      </w:pPr>
    </w:p>
    <w:p w14:paraId="61627746" w14:textId="77777777" w:rsidR="00472E70" w:rsidRDefault="00472E70" w:rsidP="00A178BA">
      <w:pPr>
        <w:rPr>
          <w:highlight w:val="yellow"/>
        </w:rPr>
      </w:pPr>
    </w:p>
    <w:p w14:paraId="19869A37" w14:textId="77777777" w:rsidR="00472E70" w:rsidRPr="00A178BA" w:rsidRDefault="00472E70" w:rsidP="00A178BA">
      <w:pPr>
        <w:rPr>
          <w:highlight w:val="yellow"/>
        </w:rPr>
      </w:pPr>
    </w:p>
    <w:p w14:paraId="5BD6E507" w14:textId="77777777" w:rsidR="00040248" w:rsidRDefault="00040248" w:rsidP="00FC431B">
      <w:pPr>
        <w:jc w:val="left"/>
        <w:outlineLvl w:val="0"/>
        <w:rPr>
          <w:b/>
          <w:i/>
          <w:color w:val="1F497D" w:themeColor="text2"/>
        </w:rPr>
      </w:pPr>
    </w:p>
    <w:p w14:paraId="5E1D2E75" w14:textId="77777777" w:rsidR="00177B60" w:rsidRDefault="00177B60" w:rsidP="00FC431B">
      <w:pPr>
        <w:jc w:val="left"/>
        <w:outlineLvl w:val="0"/>
        <w:rPr>
          <w:b/>
          <w:i/>
          <w:color w:val="1F497D" w:themeColor="text2"/>
        </w:rPr>
      </w:pPr>
    </w:p>
    <w:p w14:paraId="208C3471" w14:textId="0D16ECD9" w:rsidR="00FC431B" w:rsidRDefault="00C11ED3" w:rsidP="00FC431B">
      <w:pPr>
        <w:jc w:val="left"/>
        <w:outlineLvl w:val="0"/>
        <w:rPr>
          <w:b/>
          <w:i/>
          <w:color w:val="1F497D" w:themeColor="text2"/>
        </w:rPr>
      </w:pPr>
      <w:r>
        <w:rPr>
          <w:b/>
          <w:i/>
          <w:color w:val="1F497D" w:themeColor="text2"/>
        </w:rPr>
        <w:t xml:space="preserve">All Deaths by </w:t>
      </w:r>
      <w:r w:rsidR="00FC431B" w:rsidRPr="00902985">
        <w:rPr>
          <w:b/>
          <w:i/>
          <w:color w:val="1F497D" w:themeColor="text2"/>
        </w:rPr>
        <w:t>Industry</w:t>
      </w:r>
    </w:p>
    <w:p w14:paraId="4388E5C6" w14:textId="77777777" w:rsidR="00375259" w:rsidRPr="00902985" w:rsidRDefault="00375259" w:rsidP="00FC431B">
      <w:pPr>
        <w:jc w:val="left"/>
        <w:outlineLvl w:val="0"/>
        <w:rPr>
          <w:b/>
          <w:i/>
          <w:color w:val="1F497D" w:themeColor="text2"/>
        </w:rPr>
      </w:pPr>
    </w:p>
    <w:p w14:paraId="3DC4A925" w14:textId="35385E4F" w:rsidR="0010686D" w:rsidRDefault="0010686D" w:rsidP="0010686D">
      <w:pPr>
        <w:jc w:val="left"/>
      </w:pPr>
      <w:r>
        <w:t xml:space="preserve">The overall rate of </w:t>
      </w:r>
      <w:r w:rsidR="009D331B">
        <w:t>ORODs</w:t>
      </w:r>
      <w:r>
        <w:t xml:space="preserve"> for all workers </w:t>
      </w:r>
      <w:r w:rsidR="00D94C38">
        <w:t xml:space="preserve">increased </w:t>
      </w:r>
      <w:r>
        <w:t>from 25.1 deaths per 100,000 workers in the period 2011 to 2015 to 46.1 in 2016-</w:t>
      </w:r>
      <w:r w:rsidR="00E462B8">
        <w:t>2017</w:t>
      </w:r>
      <w:r>
        <w:t xml:space="preserve">, a difference that is statistically significant (Figure 2). The rates in 10 out of 21 industry sectors have increased since the 2011-2015 data, and many have </w:t>
      </w:r>
      <w:r w:rsidR="00D94C38">
        <w:t>nearly doubled</w:t>
      </w:r>
      <w:r>
        <w:t xml:space="preserve">. Two notable industries that saw large jumps in the death rate </w:t>
      </w:r>
      <w:r w:rsidR="00344525">
        <w:t>were</w:t>
      </w:r>
      <w:r>
        <w:t xml:space="preserve"> the Construction industry and the Agriculture, </w:t>
      </w:r>
      <w:r w:rsidR="005628E4">
        <w:t>F</w:t>
      </w:r>
      <w:r>
        <w:t xml:space="preserve">orestry, </w:t>
      </w:r>
      <w:r w:rsidR="005628E4">
        <w:t>F</w:t>
      </w:r>
      <w:r>
        <w:t xml:space="preserve">ishing, and </w:t>
      </w:r>
      <w:r w:rsidR="005628E4">
        <w:t>H</w:t>
      </w:r>
      <w:r>
        <w:t xml:space="preserve">unting industry. The Construction industry continued to have a high rate of </w:t>
      </w:r>
      <w:r w:rsidR="009D331B">
        <w:t>ORODs</w:t>
      </w:r>
      <w:r>
        <w:t xml:space="preserve"> (228.9 deaths/100,000 workers) during 2016-2017 which represents an 83% increase over the 2011-2015 rate (124.9 in 2011-2015) as did the Agriculture, </w:t>
      </w:r>
      <w:r w:rsidR="005628E4">
        <w:t>F</w:t>
      </w:r>
      <w:r>
        <w:t xml:space="preserve">orestry, </w:t>
      </w:r>
      <w:r w:rsidR="005628E4">
        <w:t>F</w:t>
      </w:r>
      <w:r>
        <w:t xml:space="preserve">ishing, and </w:t>
      </w:r>
      <w:r w:rsidR="005628E4">
        <w:t>H</w:t>
      </w:r>
      <w:r>
        <w:t>unting industry—</w:t>
      </w:r>
      <w:r w:rsidR="005628E4">
        <w:t xml:space="preserve"> this group’s</w:t>
      </w:r>
      <w:r>
        <w:t xml:space="preserve"> rate more than doubled from 107.5 in 2011-2015 to 220.8 in 2016-2017.</w:t>
      </w:r>
    </w:p>
    <w:p w14:paraId="3C99BEF7" w14:textId="77777777" w:rsidR="0010686D" w:rsidRDefault="0010686D" w:rsidP="00826BDC">
      <w:pPr>
        <w:jc w:val="left"/>
      </w:pPr>
    </w:p>
    <w:p w14:paraId="713FF15B" w14:textId="692D69D4" w:rsidR="0067397F" w:rsidRDefault="002D3503" w:rsidP="00826BDC">
      <w:pPr>
        <w:jc w:val="left"/>
      </w:pPr>
      <w:r>
        <w:lastRenderedPageBreak/>
        <w:t>In 2016 and 2017, w</w:t>
      </w:r>
      <w:r w:rsidR="0067397F">
        <w:t xml:space="preserve">orkers within </w:t>
      </w:r>
      <w:r w:rsidR="00D013B8">
        <w:t>eight</w:t>
      </w:r>
      <w:r w:rsidR="000E43C9">
        <w:t xml:space="preserve"> </w:t>
      </w:r>
      <w:r w:rsidR="0067397F">
        <w:t xml:space="preserve">industry sectors had </w:t>
      </w:r>
      <w:r w:rsidR="009D331B">
        <w:t>OROD</w:t>
      </w:r>
      <w:r w:rsidR="0067397F">
        <w:t xml:space="preserve"> rates (</w:t>
      </w:r>
      <w:r w:rsidR="00AE5430">
        <w:t xml:space="preserve">deaths </w:t>
      </w:r>
      <w:r w:rsidR="0067397F">
        <w:t>per 100,000 workers) that were higher than the rate for all workers within all industry sectors (</w:t>
      </w:r>
      <w:r w:rsidR="000E43C9">
        <w:t>46.1</w:t>
      </w:r>
      <w:r w:rsidR="0067397F">
        <w:t>)</w:t>
      </w:r>
      <w:r w:rsidR="009B3F84">
        <w:t xml:space="preserve">. Those industries with a statistically significant higher rate compared to the rate for all workers are </w:t>
      </w:r>
      <w:r w:rsidR="009611DE">
        <w:t>denoted with an asterisk (*):</w:t>
      </w:r>
    </w:p>
    <w:p w14:paraId="3D1B11EA" w14:textId="77777777" w:rsidR="0067397F" w:rsidRDefault="0067397F" w:rsidP="000E43C9">
      <w:pPr>
        <w:pStyle w:val="ListParagraph"/>
        <w:numPr>
          <w:ilvl w:val="0"/>
          <w:numId w:val="15"/>
        </w:numPr>
        <w:jc w:val="left"/>
      </w:pPr>
      <w:r>
        <w:t>Construction (</w:t>
      </w:r>
      <w:proofErr w:type="gramStart"/>
      <w:r w:rsidR="000E43C9">
        <w:t>228.9</w:t>
      </w:r>
      <w:r>
        <w:t>)</w:t>
      </w:r>
      <w:r w:rsidR="009611DE">
        <w:t>*</w:t>
      </w:r>
      <w:proofErr w:type="gramEnd"/>
    </w:p>
    <w:p w14:paraId="528B208A" w14:textId="02279292" w:rsidR="000E43C9" w:rsidRDefault="0067397F" w:rsidP="006E5863">
      <w:pPr>
        <w:pStyle w:val="ListParagraph"/>
        <w:numPr>
          <w:ilvl w:val="0"/>
          <w:numId w:val="15"/>
        </w:numPr>
        <w:jc w:val="left"/>
      </w:pPr>
      <w:r>
        <w:t xml:space="preserve">Agriculture, </w:t>
      </w:r>
      <w:r w:rsidR="00925500">
        <w:t>F</w:t>
      </w:r>
      <w:r>
        <w:t xml:space="preserve">orestry, </w:t>
      </w:r>
      <w:r w:rsidR="00925500">
        <w:t>F</w:t>
      </w:r>
      <w:r>
        <w:t xml:space="preserve">ishing, and </w:t>
      </w:r>
      <w:r w:rsidR="00925500">
        <w:t>H</w:t>
      </w:r>
      <w:r>
        <w:t>unting (</w:t>
      </w:r>
      <w:proofErr w:type="gramStart"/>
      <w:r w:rsidR="00D013B8">
        <w:t>220.8</w:t>
      </w:r>
      <w:r>
        <w:t>)</w:t>
      </w:r>
      <w:r w:rsidR="009611DE">
        <w:t>*</w:t>
      </w:r>
      <w:proofErr w:type="gramEnd"/>
      <w:r w:rsidR="00B736A2">
        <w:rPr>
          <w:rStyle w:val="FootnoteReference"/>
        </w:rPr>
        <w:footnoteReference w:id="5"/>
      </w:r>
    </w:p>
    <w:p w14:paraId="3E6C2281" w14:textId="258AC6D1" w:rsidR="000E43C9" w:rsidRPr="000905F5" w:rsidRDefault="000E43C9" w:rsidP="000E43C9">
      <w:pPr>
        <w:pStyle w:val="ListParagraph"/>
        <w:numPr>
          <w:ilvl w:val="0"/>
          <w:numId w:val="15"/>
        </w:numPr>
        <w:jc w:val="left"/>
      </w:pPr>
      <w:r>
        <w:t xml:space="preserve">Administrative and </w:t>
      </w:r>
      <w:r w:rsidR="00925500">
        <w:t>S</w:t>
      </w:r>
      <w:r>
        <w:t xml:space="preserve">upport and </w:t>
      </w:r>
      <w:r w:rsidR="00925500">
        <w:t>W</w:t>
      </w:r>
      <w:r>
        <w:t xml:space="preserve">aste </w:t>
      </w:r>
      <w:r w:rsidR="00925500">
        <w:t>M</w:t>
      </w:r>
      <w:r>
        <w:t xml:space="preserve">anagement </w:t>
      </w:r>
      <w:r w:rsidR="00925500">
        <w:t>S</w:t>
      </w:r>
      <w:r>
        <w:t>ervices (</w:t>
      </w:r>
      <w:proofErr w:type="gramStart"/>
      <w:r>
        <w:t>82.0)</w:t>
      </w:r>
      <w:r w:rsidR="009611DE">
        <w:t>*</w:t>
      </w:r>
      <w:proofErr w:type="gramEnd"/>
      <w:r>
        <w:rPr>
          <w:rStyle w:val="FootnoteReference"/>
        </w:rPr>
        <w:footnoteReference w:id="6"/>
      </w:r>
    </w:p>
    <w:p w14:paraId="55747692" w14:textId="7AA8B107" w:rsidR="0067397F" w:rsidRDefault="0067397F" w:rsidP="000905F5">
      <w:pPr>
        <w:pStyle w:val="ListParagraph"/>
        <w:numPr>
          <w:ilvl w:val="0"/>
          <w:numId w:val="15"/>
        </w:numPr>
        <w:jc w:val="left"/>
      </w:pPr>
      <w:r>
        <w:t xml:space="preserve">Transportation and </w:t>
      </w:r>
      <w:r w:rsidR="00925500">
        <w:t>W</w:t>
      </w:r>
      <w:r>
        <w:t>arehousing (</w:t>
      </w:r>
      <w:proofErr w:type="gramStart"/>
      <w:r w:rsidR="000E43C9">
        <w:t>75.3</w:t>
      </w:r>
      <w:r w:rsidR="00315CB0">
        <w:t>)</w:t>
      </w:r>
      <w:r w:rsidR="009611DE">
        <w:t>*</w:t>
      </w:r>
      <w:proofErr w:type="gramEnd"/>
    </w:p>
    <w:p w14:paraId="6FF5925B" w14:textId="2B8957E7" w:rsidR="00315CB0" w:rsidRDefault="00315CB0" w:rsidP="000905F5">
      <w:pPr>
        <w:pStyle w:val="ListParagraph"/>
        <w:numPr>
          <w:ilvl w:val="0"/>
          <w:numId w:val="15"/>
        </w:numPr>
        <w:jc w:val="left"/>
      </w:pPr>
      <w:r>
        <w:t xml:space="preserve">Accommodation and </w:t>
      </w:r>
      <w:r w:rsidR="00925500">
        <w:t>F</w:t>
      </w:r>
      <w:r>
        <w:t xml:space="preserve">ood </w:t>
      </w:r>
      <w:r w:rsidR="00925500">
        <w:t>S</w:t>
      </w:r>
      <w:r>
        <w:t>ervices (</w:t>
      </w:r>
      <w:proofErr w:type="gramStart"/>
      <w:r w:rsidR="000E43C9">
        <w:t>74.4</w:t>
      </w:r>
      <w:r>
        <w:t>5)</w:t>
      </w:r>
      <w:r w:rsidR="009611DE">
        <w:t>*</w:t>
      </w:r>
      <w:proofErr w:type="gramEnd"/>
    </w:p>
    <w:p w14:paraId="3AFCACAA" w14:textId="0CAF7267" w:rsidR="00315CB0" w:rsidRPr="000905F5" w:rsidRDefault="00315CB0" w:rsidP="000905F5">
      <w:pPr>
        <w:pStyle w:val="ListParagraph"/>
        <w:numPr>
          <w:ilvl w:val="0"/>
          <w:numId w:val="15"/>
        </w:numPr>
        <w:jc w:val="left"/>
      </w:pPr>
      <w:r>
        <w:t xml:space="preserve">Other </w:t>
      </w:r>
      <w:r w:rsidR="00925500">
        <w:t>S</w:t>
      </w:r>
      <w:r>
        <w:t xml:space="preserve">ervices, </w:t>
      </w:r>
      <w:r w:rsidR="00925500">
        <w:t>E</w:t>
      </w:r>
      <w:r>
        <w:t xml:space="preserve">xcept </w:t>
      </w:r>
      <w:r w:rsidR="00925500">
        <w:t>P</w:t>
      </w:r>
      <w:r>
        <w:t xml:space="preserve">ublic </w:t>
      </w:r>
      <w:r w:rsidR="00925500">
        <w:t>A</w:t>
      </w:r>
      <w:r>
        <w:t>dministration (</w:t>
      </w:r>
      <w:proofErr w:type="gramStart"/>
      <w:r w:rsidR="000E43C9">
        <w:t>66.8</w:t>
      </w:r>
      <w:r>
        <w:t>)</w:t>
      </w:r>
      <w:r w:rsidR="009611DE">
        <w:t>*</w:t>
      </w:r>
      <w:proofErr w:type="gramEnd"/>
      <w:r w:rsidR="00B736A2">
        <w:rPr>
          <w:rStyle w:val="FootnoteReference"/>
        </w:rPr>
        <w:footnoteReference w:id="7"/>
      </w:r>
    </w:p>
    <w:p w14:paraId="0A78B620" w14:textId="4677143E" w:rsidR="00315CB0" w:rsidRDefault="00315CB0" w:rsidP="000905F5">
      <w:pPr>
        <w:pStyle w:val="ListParagraph"/>
        <w:numPr>
          <w:ilvl w:val="0"/>
          <w:numId w:val="15"/>
        </w:numPr>
        <w:jc w:val="left"/>
      </w:pPr>
      <w:r>
        <w:t xml:space="preserve">Arts, </w:t>
      </w:r>
      <w:r w:rsidR="00925500">
        <w:t>E</w:t>
      </w:r>
      <w:r>
        <w:t xml:space="preserve">ntertainment, and </w:t>
      </w:r>
      <w:r w:rsidR="00925500">
        <w:t>R</w:t>
      </w:r>
      <w:r>
        <w:t>ecreation (</w:t>
      </w:r>
      <w:r w:rsidR="000E43C9">
        <w:t>52.9</w:t>
      </w:r>
      <w:r>
        <w:t>)</w:t>
      </w:r>
    </w:p>
    <w:p w14:paraId="53EF9E39" w14:textId="77777777" w:rsidR="000E43C9" w:rsidRDefault="000E43C9" w:rsidP="000905F5">
      <w:pPr>
        <w:pStyle w:val="ListParagraph"/>
        <w:numPr>
          <w:ilvl w:val="0"/>
          <w:numId w:val="15"/>
        </w:numPr>
        <w:jc w:val="left"/>
      </w:pPr>
      <w:r>
        <w:t>Utilities (47.9)</w:t>
      </w:r>
    </w:p>
    <w:p w14:paraId="2A95DE2E" w14:textId="77777777" w:rsidR="000A5374" w:rsidRDefault="000A5374" w:rsidP="00BA7A0C">
      <w:pPr>
        <w:jc w:val="left"/>
      </w:pPr>
    </w:p>
    <w:p w14:paraId="52794CA6" w14:textId="77777777" w:rsidR="00F51E13" w:rsidRDefault="00F51E13" w:rsidP="00F51E13">
      <w:pPr>
        <w:jc w:val="left"/>
      </w:pPr>
    </w:p>
    <w:p w14:paraId="127E5027" w14:textId="77777777" w:rsidR="00965D11" w:rsidRDefault="00965D11" w:rsidP="00826BDC">
      <w:pPr>
        <w:jc w:val="left"/>
        <w:rPr>
          <w:b/>
          <w:color w:val="000000" w:themeColor="text1"/>
        </w:rPr>
      </w:pPr>
      <w:r w:rsidRPr="00A442F4">
        <w:rPr>
          <w:b/>
          <w:color w:val="000000" w:themeColor="text1"/>
        </w:rPr>
        <w:t xml:space="preserve">Figure </w:t>
      </w:r>
      <w:r w:rsidR="00FE521F">
        <w:rPr>
          <w:b/>
          <w:color w:val="000000" w:themeColor="text1"/>
        </w:rPr>
        <w:t>2</w:t>
      </w:r>
      <w:r w:rsidRPr="00A442F4">
        <w:rPr>
          <w:b/>
          <w:color w:val="000000" w:themeColor="text1"/>
        </w:rPr>
        <w:t xml:space="preserve">. </w:t>
      </w:r>
      <w:r w:rsidR="006B0F7D" w:rsidRPr="00A442F4">
        <w:rPr>
          <w:b/>
          <w:color w:val="000000" w:themeColor="text1"/>
        </w:rPr>
        <w:t>I</w:t>
      </w:r>
      <w:r w:rsidR="00FC2E03" w:rsidRPr="00A442F4">
        <w:rPr>
          <w:b/>
          <w:color w:val="000000" w:themeColor="text1"/>
        </w:rPr>
        <w:t>ndustry</w:t>
      </w:r>
      <w:r w:rsidR="00DF3BB2" w:rsidRPr="00A442F4">
        <w:rPr>
          <w:b/>
          <w:color w:val="000000" w:themeColor="text1"/>
        </w:rPr>
        <w:t xml:space="preserve"> sector</w:t>
      </w:r>
      <w:r w:rsidR="00EF1E19" w:rsidRPr="00A442F4">
        <w:rPr>
          <w:b/>
          <w:color w:val="000000" w:themeColor="text1"/>
        </w:rPr>
        <w:t xml:space="preserve">s with </w:t>
      </w:r>
      <w:r w:rsidR="0039692D">
        <w:rPr>
          <w:b/>
          <w:color w:val="000000" w:themeColor="text1"/>
        </w:rPr>
        <w:t xml:space="preserve">opioid-related overdose </w:t>
      </w:r>
      <w:r w:rsidR="006B0F7D" w:rsidRPr="00A442F4">
        <w:rPr>
          <w:b/>
          <w:color w:val="000000" w:themeColor="text1"/>
        </w:rPr>
        <w:t xml:space="preserve">death </w:t>
      </w:r>
      <w:r w:rsidR="00042075" w:rsidRPr="00A442F4">
        <w:rPr>
          <w:b/>
          <w:color w:val="000000" w:themeColor="text1"/>
        </w:rPr>
        <w:t xml:space="preserve">rates </w:t>
      </w:r>
      <w:r w:rsidR="00D57815">
        <w:rPr>
          <w:b/>
          <w:color w:val="000000" w:themeColor="text1"/>
        </w:rPr>
        <w:t>that are</w:t>
      </w:r>
      <w:r w:rsidR="00EF1E19" w:rsidRPr="00A442F4">
        <w:rPr>
          <w:b/>
          <w:color w:val="000000" w:themeColor="text1"/>
        </w:rPr>
        <w:t xml:space="preserve"> higher than the </w:t>
      </w:r>
      <w:r w:rsidR="00243A6F" w:rsidRPr="00A442F4">
        <w:rPr>
          <w:b/>
          <w:color w:val="000000" w:themeColor="text1"/>
        </w:rPr>
        <w:t xml:space="preserve">rate </w:t>
      </w:r>
      <w:r w:rsidR="00EF1E19" w:rsidRPr="00A442F4">
        <w:rPr>
          <w:b/>
          <w:color w:val="000000" w:themeColor="text1"/>
        </w:rPr>
        <w:t>for all workers</w:t>
      </w:r>
      <w:r w:rsidR="00FC2E03" w:rsidRPr="00A442F4">
        <w:rPr>
          <w:b/>
          <w:color w:val="000000" w:themeColor="text1"/>
        </w:rPr>
        <w:t>, M</w:t>
      </w:r>
      <w:r w:rsidR="000976AF" w:rsidRPr="00A442F4">
        <w:rPr>
          <w:b/>
          <w:color w:val="000000" w:themeColor="text1"/>
        </w:rPr>
        <w:t>assachusetts</w:t>
      </w:r>
      <w:r w:rsidR="00DF3BB2" w:rsidRPr="00A442F4">
        <w:rPr>
          <w:b/>
          <w:color w:val="000000" w:themeColor="text1"/>
        </w:rPr>
        <w:t xml:space="preserve"> </w:t>
      </w:r>
      <w:r w:rsidR="00B763BF" w:rsidRPr="00A442F4">
        <w:rPr>
          <w:b/>
          <w:color w:val="000000" w:themeColor="text1"/>
        </w:rPr>
        <w:t>workers</w:t>
      </w:r>
      <w:r w:rsidR="000976AF" w:rsidRPr="00A442F4">
        <w:rPr>
          <w:b/>
          <w:color w:val="000000" w:themeColor="text1"/>
        </w:rPr>
        <w:t>, 201</w:t>
      </w:r>
      <w:r w:rsidR="005A04F6">
        <w:rPr>
          <w:b/>
          <w:color w:val="000000" w:themeColor="text1"/>
        </w:rPr>
        <w:t>6</w:t>
      </w:r>
      <w:r w:rsidR="000976AF" w:rsidRPr="00A442F4">
        <w:rPr>
          <w:b/>
          <w:color w:val="000000" w:themeColor="text1"/>
        </w:rPr>
        <w:t>-201</w:t>
      </w:r>
      <w:r w:rsidR="008A784E">
        <w:rPr>
          <w:b/>
          <w:color w:val="000000" w:themeColor="text1"/>
        </w:rPr>
        <w:t>7</w:t>
      </w:r>
      <w:r w:rsidR="000976AF" w:rsidRPr="00A442F4">
        <w:rPr>
          <w:b/>
          <w:color w:val="000000" w:themeColor="text1"/>
        </w:rPr>
        <w:t xml:space="preserve">, </w:t>
      </w:r>
      <w:r w:rsidR="00B62862">
        <w:rPr>
          <w:b/>
          <w:color w:val="000000" w:themeColor="text1"/>
        </w:rPr>
        <w:t>N</w:t>
      </w:r>
      <w:r w:rsidR="000976AF" w:rsidRPr="00A442F4">
        <w:rPr>
          <w:b/>
          <w:color w:val="000000" w:themeColor="text1"/>
        </w:rPr>
        <w:t>=</w:t>
      </w:r>
      <w:r w:rsidR="005A04F6">
        <w:rPr>
          <w:b/>
          <w:color w:val="000000" w:themeColor="text1"/>
        </w:rPr>
        <w:t>3,354</w:t>
      </w:r>
    </w:p>
    <w:p w14:paraId="12D5A576" w14:textId="77777777" w:rsidR="004D1EB6" w:rsidRPr="00A442F4" w:rsidRDefault="00F51E13" w:rsidP="00826BDC">
      <w:pPr>
        <w:jc w:val="left"/>
        <w:rPr>
          <w:b/>
          <w:color w:val="000000" w:themeColor="text1"/>
          <w:vertAlign w:val="superscript"/>
        </w:rPr>
      </w:pPr>
      <w:r>
        <w:rPr>
          <w:noProof/>
        </w:rPr>
        <w:drawing>
          <wp:anchor distT="0" distB="0" distL="114300" distR="114300" simplePos="0" relativeHeight="251657216" behindDoc="1" locked="0" layoutInCell="1" allowOverlap="1" wp14:anchorId="26D2300B" wp14:editId="6889DAC7">
            <wp:simplePos x="0" y="0"/>
            <wp:positionH relativeFrom="column">
              <wp:posOffset>-200025</wp:posOffset>
            </wp:positionH>
            <wp:positionV relativeFrom="paragraph">
              <wp:posOffset>17458</wp:posOffset>
            </wp:positionV>
            <wp:extent cx="7029450" cy="2962275"/>
            <wp:effectExtent l="0" t="0" r="0" b="0"/>
            <wp:wrapThrough wrapText="bothSides">
              <wp:wrapPolygon edited="0">
                <wp:start x="410" y="417"/>
                <wp:lineTo x="351" y="17224"/>
                <wp:lineTo x="6498" y="18475"/>
                <wp:lineTo x="10771" y="18475"/>
                <wp:lineTo x="10302" y="20141"/>
                <wp:lineTo x="10302" y="20558"/>
                <wp:lineTo x="11239" y="20836"/>
                <wp:lineTo x="11532" y="20836"/>
                <wp:lineTo x="12761" y="20558"/>
                <wp:lineTo x="12702" y="19169"/>
                <wp:lineTo x="10771" y="18475"/>
                <wp:lineTo x="18966" y="18058"/>
                <wp:lineTo x="18849" y="16252"/>
                <wp:lineTo x="20546" y="16113"/>
                <wp:lineTo x="20546" y="14585"/>
                <wp:lineTo x="1756" y="14030"/>
                <wp:lineTo x="1873" y="12363"/>
                <wp:lineTo x="1639" y="11946"/>
                <wp:lineTo x="820" y="11807"/>
                <wp:lineTo x="10712" y="9585"/>
                <wp:lineTo x="1698" y="7362"/>
                <wp:lineTo x="10712" y="5140"/>
                <wp:lineTo x="820" y="2917"/>
                <wp:lineTo x="1522" y="2917"/>
                <wp:lineTo x="1756" y="2223"/>
                <wp:lineTo x="1698" y="417"/>
                <wp:lineTo x="410" y="417"/>
              </wp:wrapPolygon>
            </wp:wrapThrough>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293969AC" w14:textId="77777777" w:rsidR="003F114A" w:rsidRDefault="003F114A" w:rsidP="00BA7A0C">
      <w:pPr>
        <w:jc w:val="left"/>
      </w:pPr>
    </w:p>
    <w:p w14:paraId="1A97C21B" w14:textId="77777777" w:rsidR="003F114A" w:rsidRDefault="003F114A" w:rsidP="00D514C5">
      <w:pPr>
        <w:jc w:val="both"/>
      </w:pPr>
    </w:p>
    <w:p w14:paraId="4AFE3863" w14:textId="77777777" w:rsidR="003F114A" w:rsidRDefault="003F114A" w:rsidP="00D514C5">
      <w:pPr>
        <w:jc w:val="both"/>
      </w:pPr>
    </w:p>
    <w:p w14:paraId="15C5F8BF" w14:textId="77777777" w:rsidR="003F114A" w:rsidRDefault="003F114A" w:rsidP="00D514C5">
      <w:pPr>
        <w:jc w:val="both"/>
      </w:pPr>
    </w:p>
    <w:p w14:paraId="66E47580" w14:textId="77777777" w:rsidR="003F114A" w:rsidRDefault="003F114A" w:rsidP="00D514C5">
      <w:pPr>
        <w:jc w:val="both"/>
      </w:pPr>
    </w:p>
    <w:p w14:paraId="657C9F97" w14:textId="77777777" w:rsidR="003F114A" w:rsidRDefault="003F114A" w:rsidP="00D514C5">
      <w:pPr>
        <w:jc w:val="both"/>
      </w:pPr>
    </w:p>
    <w:p w14:paraId="790359DD" w14:textId="77777777" w:rsidR="003F114A" w:rsidRDefault="003F114A" w:rsidP="00D514C5">
      <w:pPr>
        <w:jc w:val="both"/>
      </w:pPr>
    </w:p>
    <w:p w14:paraId="109B76B6" w14:textId="77777777" w:rsidR="003F114A" w:rsidRDefault="003F114A" w:rsidP="00D514C5">
      <w:pPr>
        <w:jc w:val="both"/>
      </w:pPr>
    </w:p>
    <w:p w14:paraId="3725EEAC" w14:textId="77777777" w:rsidR="003F114A" w:rsidRDefault="003F114A" w:rsidP="00D514C5">
      <w:pPr>
        <w:jc w:val="both"/>
      </w:pPr>
    </w:p>
    <w:p w14:paraId="45420C0F" w14:textId="77777777" w:rsidR="003F114A" w:rsidRDefault="003F114A" w:rsidP="00D514C5">
      <w:pPr>
        <w:jc w:val="both"/>
      </w:pPr>
    </w:p>
    <w:p w14:paraId="11D5718C" w14:textId="77777777" w:rsidR="00A8567E" w:rsidRDefault="00A8567E" w:rsidP="003F114A">
      <w:pPr>
        <w:jc w:val="left"/>
      </w:pPr>
    </w:p>
    <w:p w14:paraId="4471B005" w14:textId="77777777" w:rsidR="00A8567E" w:rsidRDefault="00A8567E" w:rsidP="003F114A">
      <w:pPr>
        <w:jc w:val="left"/>
      </w:pPr>
    </w:p>
    <w:p w14:paraId="587A9771" w14:textId="77777777" w:rsidR="00A8567E" w:rsidRDefault="00A8567E" w:rsidP="003F114A">
      <w:pPr>
        <w:jc w:val="left"/>
      </w:pPr>
    </w:p>
    <w:p w14:paraId="7210ABE8" w14:textId="77777777" w:rsidR="00A8567E" w:rsidRDefault="00A8567E" w:rsidP="003F114A">
      <w:pPr>
        <w:jc w:val="left"/>
      </w:pPr>
    </w:p>
    <w:p w14:paraId="049FC5AB" w14:textId="77777777" w:rsidR="00A8567E" w:rsidRDefault="009D331B" w:rsidP="003F114A">
      <w:pPr>
        <w:jc w:val="left"/>
      </w:pPr>
      <w:r>
        <w:rPr>
          <w:noProof/>
        </w:rPr>
        <mc:AlternateContent>
          <mc:Choice Requires="wps">
            <w:drawing>
              <wp:anchor distT="0" distB="0" distL="114300" distR="114300" simplePos="0" relativeHeight="251654144" behindDoc="0" locked="0" layoutInCell="1" allowOverlap="1" wp14:anchorId="0B9AFAC2" wp14:editId="53929E9F">
                <wp:simplePos x="0" y="0"/>
                <wp:positionH relativeFrom="column">
                  <wp:posOffset>-43180</wp:posOffset>
                </wp:positionH>
                <wp:positionV relativeFrom="paragraph">
                  <wp:posOffset>36195</wp:posOffset>
                </wp:positionV>
                <wp:extent cx="6343650" cy="5810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581025"/>
                        </a:xfrm>
                        <a:prstGeom prst="rect">
                          <a:avLst/>
                        </a:prstGeom>
                        <a:solidFill>
                          <a:srgbClr val="FFFFFF"/>
                        </a:solidFill>
                        <a:ln w="9525">
                          <a:noFill/>
                          <a:miter lim="800000"/>
                          <a:headEnd/>
                          <a:tailEnd/>
                        </a:ln>
                      </wps:spPr>
                      <wps:txbx>
                        <w:txbxContent>
                          <w:p w14:paraId="6082B154" w14:textId="77777777" w:rsidR="00003BEF" w:rsidRDefault="00003BEF" w:rsidP="006A3EFA">
                            <w:pPr>
                              <w:jc w:val="left"/>
                              <w:rPr>
                                <w:sz w:val="16"/>
                                <w:szCs w:val="16"/>
                              </w:rPr>
                            </w:pPr>
                            <w:r>
                              <w:rPr>
                                <w:sz w:val="16"/>
                                <w:szCs w:val="16"/>
                              </w:rPr>
                              <w:t>*</w:t>
                            </w:r>
                            <w:r w:rsidRPr="006A3EFA">
                              <w:t xml:space="preserve"> </w:t>
                            </w:r>
                            <w:r>
                              <w:rPr>
                                <w:sz w:val="16"/>
                                <w:szCs w:val="16"/>
                              </w:rPr>
                              <w:t>This category excluded 16</w:t>
                            </w:r>
                            <w:r w:rsidRPr="00110323">
                              <w:rPr>
                                <w:sz w:val="16"/>
                                <w:szCs w:val="16"/>
                              </w:rPr>
                              <w:t xml:space="preserve"> deaths among those working in the military or military specific occupations due to lack of denominator information</w:t>
                            </w:r>
                            <w:r>
                              <w:rPr>
                                <w:sz w:val="16"/>
                                <w:szCs w:val="16"/>
                              </w:rPr>
                              <w:t>.</w:t>
                            </w:r>
                          </w:p>
                          <w:p w14:paraId="10D9D689" w14:textId="6EE96E36" w:rsidR="00003BEF" w:rsidRDefault="00003BEF" w:rsidP="006A3EFA">
                            <w:pPr>
                              <w:jc w:val="left"/>
                              <w:rPr>
                                <w:sz w:val="16"/>
                                <w:szCs w:val="16"/>
                              </w:rPr>
                            </w:pPr>
                            <w:r>
                              <w:rPr>
                                <w:sz w:val="16"/>
                                <w:szCs w:val="16"/>
                              </w:rPr>
                              <w:t>**</w:t>
                            </w:r>
                            <w:r w:rsidRPr="006A3EFA">
                              <w:t xml:space="preserve"> </w:t>
                            </w:r>
                            <w:r>
                              <w:rPr>
                                <w:sz w:val="16"/>
                                <w:szCs w:val="16"/>
                              </w:rPr>
                              <w:t>75.0</w:t>
                            </w:r>
                            <w:r w:rsidRPr="006F1B97">
                              <w:rPr>
                                <w:sz w:val="16"/>
                                <w:szCs w:val="16"/>
                              </w:rPr>
                              <w:t>% of these</w:t>
                            </w:r>
                            <w:r>
                              <w:rPr>
                                <w:sz w:val="16"/>
                                <w:szCs w:val="16"/>
                              </w:rPr>
                              <w:t xml:space="preserve"> deaths</w:t>
                            </w:r>
                            <w:r w:rsidRPr="006F1B97">
                              <w:rPr>
                                <w:sz w:val="16"/>
                                <w:szCs w:val="16"/>
                              </w:rPr>
                              <w:t xml:space="preserve"> occurred</w:t>
                            </w:r>
                            <w:r>
                              <w:rPr>
                                <w:sz w:val="16"/>
                                <w:szCs w:val="16"/>
                              </w:rPr>
                              <w:t xml:space="preserve"> among workers employed in Fishing occupations</w:t>
                            </w:r>
                            <w:r w:rsidRPr="006F1B97">
                              <w:rPr>
                                <w:sz w:val="16"/>
                                <w:szCs w:val="16"/>
                              </w:rPr>
                              <w:t xml:space="preserve">. </w:t>
                            </w:r>
                          </w:p>
                          <w:p w14:paraId="1007F248" w14:textId="77777777" w:rsidR="00003BEF" w:rsidRDefault="00003BEF" w:rsidP="006A3EFA">
                            <w:pPr>
                              <w:jc w:val="left"/>
                              <w:rPr>
                                <w:sz w:val="16"/>
                                <w:szCs w:val="16"/>
                              </w:rPr>
                            </w:pPr>
                            <w:r>
                              <w:rPr>
                                <w:sz w:val="16"/>
                                <w:szCs w:val="16"/>
                              </w:rPr>
                              <w:t>Numerator source: Occupational Health Surveillance Program, 2016-2017</w:t>
                            </w:r>
                          </w:p>
                          <w:p w14:paraId="1BE66397" w14:textId="77777777" w:rsidR="00003BEF" w:rsidRPr="00DB12DB" w:rsidRDefault="00003BEF" w:rsidP="006A3EFA">
                            <w:pPr>
                              <w:jc w:val="left"/>
                              <w:rPr>
                                <w:sz w:val="16"/>
                                <w:szCs w:val="16"/>
                              </w:rPr>
                            </w:pPr>
                            <w:r>
                              <w:rPr>
                                <w:sz w:val="16"/>
                                <w:szCs w:val="16"/>
                              </w:rPr>
                              <w:t>Denominator source: American Community Survey, 2016-2017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9AFAC2" id="Text Box 3" o:spid="_x0000_s1040" type="#_x0000_t202" style="position:absolute;margin-left:-3.4pt;margin-top:2.85pt;width:499.5pt;height:4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" stroked="f">
                <v:textbox>
                  <w:txbxContent>
                    <w:p w14:paraId="6082B154" w14:textId="77777777" w:rsidR="00003BEF" w:rsidRDefault="00003BEF" w:rsidP="006A3EFA">
                      <w:pPr>
                        <w:jc w:val="left"/>
                        <w:rPr>
                          <w:sz w:val="16"/>
                          <w:szCs w:val="16"/>
                        </w:rPr>
                      </w:pPr>
                      <w:r>
                        <w:rPr>
                          <w:sz w:val="16"/>
                          <w:szCs w:val="16"/>
                        </w:rPr>
                        <w:t>*</w:t>
                      </w:r>
                      <w:r w:rsidRPr="006A3EFA">
                        <w:t xml:space="preserve"> </w:t>
                      </w:r>
                      <w:r>
                        <w:rPr>
                          <w:sz w:val="16"/>
                          <w:szCs w:val="16"/>
                        </w:rPr>
                        <w:t>This category excluded 16</w:t>
                      </w:r>
                      <w:r w:rsidRPr="00110323">
                        <w:rPr>
                          <w:sz w:val="16"/>
                          <w:szCs w:val="16"/>
                        </w:rPr>
                        <w:t xml:space="preserve"> deaths among those working in the military or military specific occupations due to lack of denominator information</w:t>
                      </w:r>
                      <w:r>
                        <w:rPr>
                          <w:sz w:val="16"/>
                          <w:szCs w:val="16"/>
                        </w:rPr>
                        <w:t>.</w:t>
                      </w:r>
                    </w:p>
                    <w:p w14:paraId="10D9D689" w14:textId="6EE96E36" w:rsidR="00003BEF" w:rsidRDefault="00003BEF" w:rsidP="006A3EFA">
                      <w:pPr>
                        <w:jc w:val="left"/>
                        <w:rPr>
                          <w:sz w:val="16"/>
                          <w:szCs w:val="16"/>
                        </w:rPr>
                      </w:pPr>
                      <w:r>
                        <w:rPr>
                          <w:sz w:val="16"/>
                          <w:szCs w:val="16"/>
                        </w:rPr>
                        <w:t>**</w:t>
                      </w:r>
                      <w:r w:rsidRPr="006A3EFA">
                        <w:t xml:space="preserve"> </w:t>
                      </w:r>
                      <w:r>
                        <w:rPr>
                          <w:sz w:val="16"/>
                          <w:szCs w:val="16"/>
                        </w:rPr>
                        <w:t>75.0</w:t>
                      </w:r>
                      <w:r w:rsidRPr="006F1B97">
                        <w:rPr>
                          <w:sz w:val="16"/>
                          <w:szCs w:val="16"/>
                        </w:rPr>
                        <w:t>% of these</w:t>
                      </w:r>
                      <w:r>
                        <w:rPr>
                          <w:sz w:val="16"/>
                          <w:szCs w:val="16"/>
                        </w:rPr>
                        <w:t xml:space="preserve"> deaths</w:t>
                      </w:r>
                      <w:r w:rsidRPr="006F1B97">
                        <w:rPr>
                          <w:sz w:val="16"/>
                          <w:szCs w:val="16"/>
                        </w:rPr>
                        <w:t xml:space="preserve"> occurred</w:t>
                      </w:r>
                      <w:r>
                        <w:rPr>
                          <w:sz w:val="16"/>
                          <w:szCs w:val="16"/>
                        </w:rPr>
                        <w:t xml:space="preserve"> among workers employed in Fishing occupations</w:t>
                      </w:r>
                      <w:r w:rsidRPr="006F1B97">
                        <w:rPr>
                          <w:sz w:val="16"/>
                          <w:szCs w:val="16"/>
                        </w:rPr>
                        <w:t xml:space="preserve">. </w:t>
                      </w:r>
                    </w:p>
                    <w:p w14:paraId="1007F248" w14:textId="77777777" w:rsidR="00003BEF" w:rsidRDefault="00003BEF" w:rsidP="006A3EFA">
                      <w:pPr>
                        <w:jc w:val="left"/>
                        <w:rPr>
                          <w:sz w:val="16"/>
                          <w:szCs w:val="16"/>
                        </w:rPr>
                      </w:pPr>
                      <w:r>
                        <w:rPr>
                          <w:sz w:val="16"/>
                          <w:szCs w:val="16"/>
                        </w:rPr>
                        <w:t>Numerator source: Occupational Health Surveillance Program, 2016-2017</w:t>
                      </w:r>
                    </w:p>
                    <w:p w14:paraId="1BE66397" w14:textId="77777777" w:rsidR="00003BEF" w:rsidRPr="00DB12DB" w:rsidRDefault="00003BEF" w:rsidP="006A3EFA">
                      <w:pPr>
                        <w:jc w:val="left"/>
                        <w:rPr>
                          <w:sz w:val="16"/>
                          <w:szCs w:val="16"/>
                        </w:rPr>
                      </w:pPr>
                      <w:r>
                        <w:rPr>
                          <w:sz w:val="16"/>
                          <w:szCs w:val="16"/>
                        </w:rPr>
                        <w:t>Denominator source: American Community Survey, 2016-2017</w:t>
                      </w:r>
                    </w:p>
                  </w:txbxContent>
                </v:textbox>
              </v:shape>
            </w:pict>
          </mc:Fallback>
        </mc:AlternateContent>
      </w:r>
    </w:p>
    <w:p w14:paraId="006ED145" w14:textId="77777777" w:rsidR="00C02401" w:rsidRDefault="00C02401" w:rsidP="003F114A">
      <w:pPr>
        <w:jc w:val="left"/>
      </w:pPr>
    </w:p>
    <w:p w14:paraId="365EF49F" w14:textId="77777777" w:rsidR="00C02401" w:rsidRDefault="00C02401" w:rsidP="003F114A">
      <w:pPr>
        <w:jc w:val="left"/>
      </w:pPr>
    </w:p>
    <w:p w14:paraId="73DB4636" w14:textId="77777777" w:rsidR="00C02401" w:rsidRDefault="00C02401" w:rsidP="003F114A">
      <w:pPr>
        <w:jc w:val="left"/>
      </w:pPr>
    </w:p>
    <w:p w14:paraId="6F44B680" w14:textId="77777777" w:rsidR="0010520D" w:rsidRDefault="0010520D" w:rsidP="003F114A">
      <w:pPr>
        <w:jc w:val="left"/>
      </w:pPr>
    </w:p>
    <w:p w14:paraId="3E2171BD" w14:textId="51E6F139" w:rsidR="003F114A" w:rsidRDefault="003F114A" w:rsidP="003F114A">
      <w:pPr>
        <w:jc w:val="left"/>
      </w:pPr>
      <w:r>
        <w:t xml:space="preserve">Findings for all industry sectors are presented in Table 1. As shown, there were </w:t>
      </w:r>
      <w:r w:rsidR="00E20003">
        <w:t>ORODs</w:t>
      </w:r>
      <w:r w:rsidRPr="002621E9">
        <w:t xml:space="preserve"> </w:t>
      </w:r>
      <w:r>
        <w:t xml:space="preserve">among workers </w:t>
      </w:r>
      <w:r w:rsidRPr="002621E9">
        <w:t xml:space="preserve">in </w:t>
      </w:r>
      <w:r>
        <w:t>every</w:t>
      </w:r>
      <w:r w:rsidRPr="002621E9">
        <w:t xml:space="preserve"> industry sector.</w:t>
      </w:r>
      <w:r w:rsidR="004218CE">
        <w:t xml:space="preserve"> Compared to the previous report, the</w:t>
      </w:r>
      <w:r w:rsidR="00C662AE">
        <w:t xml:space="preserve"> five</w:t>
      </w:r>
      <w:r w:rsidR="004218CE">
        <w:t xml:space="preserve"> industry sectors</w:t>
      </w:r>
      <w:r w:rsidR="00671876">
        <w:t xml:space="preserve"> with the highest</w:t>
      </w:r>
      <w:r w:rsidR="004218CE">
        <w:t xml:space="preserve"> rate</w:t>
      </w:r>
      <w:r w:rsidR="00671876">
        <w:t>s</w:t>
      </w:r>
      <w:r w:rsidR="004218CE">
        <w:t xml:space="preserve"> of </w:t>
      </w:r>
      <w:r w:rsidR="00847B2F">
        <w:t>ORODs</w:t>
      </w:r>
      <w:r w:rsidR="004218CE">
        <w:t xml:space="preserve"> has fluctuated</w:t>
      </w:r>
      <w:r w:rsidR="00D94C38">
        <w:t>,</w:t>
      </w:r>
      <w:r w:rsidR="00DC7534">
        <w:t xml:space="preserve"> but only slightly</w:t>
      </w:r>
      <w:r w:rsidR="0048278C">
        <w:t xml:space="preserve">. In the previous report, </w:t>
      </w:r>
      <w:r w:rsidR="00671876">
        <w:t xml:space="preserve">Transportation and Warehousing </w:t>
      </w:r>
      <w:r w:rsidR="00A9534A">
        <w:t xml:space="preserve">occupations </w:t>
      </w:r>
      <w:r w:rsidR="00671876">
        <w:t>rank</w:t>
      </w:r>
      <w:r w:rsidR="0048278C">
        <w:t>ed just</w:t>
      </w:r>
      <w:r w:rsidR="00671876">
        <w:t xml:space="preserve"> higher than Administrative and Support and Waste Management Services</w:t>
      </w:r>
      <w:r w:rsidR="00A9534A">
        <w:t xml:space="preserve"> occupations</w:t>
      </w:r>
      <w:r w:rsidR="004218CE">
        <w:t xml:space="preserve">. </w:t>
      </w:r>
    </w:p>
    <w:p w14:paraId="24153DB2" w14:textId="77777777" w:rsidR="00F463CF" w:rsidRDefault="00F463CF" w:rsidP="00D514C5">
      <w:pPr>
        <w:jc w:val="both"/>
        <w:rPr>
          <w:b/>
        </w:rPr>
      </w:pPr>
    </w:p>
    <w:p w14:paraId="5DECADEE" w14:textId="77777777" w:rsidR="00F463CF" w:rsidRDefault="00F463CF" w:rsidP="00D514C5">
      <w:pPr>
        <w:jc w:val="both"/>
        <w:rPr>
          <w:b/>
        </w:rPr>
      </w:pPr>
    </w:p>
    <w:p w14:paraId="5BD95C40" w14:textId="77777777" w:rsidR="00492488" w:rsidRPr="00D514C5" w:rsidRDefault="00492488" w:rsidP="00D514C5">
      <w:pPr>
        <w:jc w:val="both"/>
      </w:pPr>
      <w:r w:rsidRPr="00A442F4">
        <w:rPr>
          <w:b/>
        </w:rPr>
        <w:t>Table</w:t>
      </w:r>
      <w:r w:rsidR="00AE5349">
        <w:rPr>
          <w:b/>
        </w:rPr>
        <w:t xml:space="preserve"> </w:t>
      </w:r>
      <w:r w:rsidRPr="00A442F4">
        <w:rPr>
          <w:b/>
        </w:rPr>
        <w:t xml:space="preserve">1. Rate, number, and percent of </w:t>
      </w:r>
      <w:r w:rsidR="0039692D">
        <w:rPr>
          <w:b/>
        </w:rPr>
        <w:t xml:space="preserve">opioid-related overdose </w:t>
      </w:r>
      <w:r w:rsidRPr="00A442F4">
        <w:rPr>
          <w:b/>
        </w:rPr>
        <w:t>death</w:t>
      </w:r>
      <w:r w:rsidR="0034330E">
        <w:rPr>
          <w:b/>
        </w:rPr>
        <w:t>s</w:t>
      </w:r>
      <w:r w:rsidRPr="00A442F4">
        <w:rPr>
          <w:b/>
        </w:rPr>
        <w:t xml:space="preserve"> by industry sector, Massachusetts workers, 201</w:t>
      </w:r>
      <w:r w:rsidR="00F42422">
        <w:rPr>
          <w:b/>
        </w:rPr>
        <w:t>6</w:t>
      </w:r>
      <w:r w:rsidRPr="00A442F4">
        <w:rPr>
          <w:b/>
        </w:rPr>
        <w:t>-201</w:t>
      </w:r>
      <w:r w:rsidR="00E50E92">
        <w:rPr>
          <w:b/>
        </w:rPr>
        <w:t>7</w:t>
      </w:r>
      <w:r w:rsidRPr="00A442F4">
        <w:rPr>
          <w:b/>
        </w:rPr>
        <w:t xml:space="preserve">, </w:t>
      </w:r>
      <w:r w:rsidR="00B62862">
        <w:rPr>
          <w:b/>
        </w:rPr>
        <w:t>N</w:t>
      </w:r>
      <w:r w:rsidRPr="00A442F4">
        <w:rPr>
          <w:b/>
        </w:rPr>
        <w:t>=</w:t>
      </w:r>
      <w:r w:rsidR="00F42422">
        <w:rPr>
          <w:b/>
        </w:rPr>
        <w:t>3,354</w:t>
      </w:r>
    </w:p>
    <w:tbl>
      <w:tblPr>
        <w:tblStyle w:val="TableGrid2"/>
        <w:tblW w:w="10615" w:type="dxa"/>
        <w:tblLayout w:type="fixed"/>
        <w:tblLook w:val="04A0" w:firstRow="1" w:lastRow="0" w:firstColumn="1" w:lastColumn="0" w:noHBand="0" w:noVBand="1"/>
      </w:tblPr>
      <w:tblGrid>
        <w:gridCol w:w="5035"/>
        <w:gridCol w:w="2936"/>
        <w:gridCol w:w="2644"/>
      </w:tblGrid>
      <w:tr w:rsidR="00D94C38" w:rsidRPr="00492488" w14:paraId="5D2CAAE6" w14:textId="77777777" w:rsidTr="00AA2288">
        <w:trPr>
          <w:trHeight w:val="863"/>
        </w:trPr>
        <w:tc>
          <w:tcPr>
            <w:tcW w:w="5035" w:type="dxa"/>
            <w:noWrap/>
            <w:vAlign w:val="center"/>
            <w:hideMark/>
          </w:tcPr>
          <w:p w14:paraId="3CB4E675" w14:textId="77777777" w:rsidR="00003C6E" w:rsidRPr="00F42422" w:rsidRDefault="00003C6E" w:rsidP="00492488">
            <w:pPr>
              <w:rPr>
                <w:rFonts w:eastAsia="Calibri"/>
                <w:b/>
                <w:sz w:val="22"/>
                <w:szCs w:val="22"/>
                <w:lang w:val="en-GB"/>
              </w:rPr>
            </w:pPr>
            <w:r w:rsidRPr="00F42422">
              <w:rPr>
                <w:rFonts w:eastAsia="Calibri"/>
                <w:b/>
                <w:sz w:val="22"/>
                <w:szCs w:val="22"/>
                <w:lang w:val="en-GB"/>
              </w:rPr>
              <w:t>Industry</w:t>
            </w:r>
          </w:p>
        </w:tc>
        <w:tc>
          <w:tcPr>
            <w:tcW w:w="2936" w:type="dxa"/>
            <w:vAlign w:val="center"/>
          </w:tcPr>
          <w:p w14:paraId="02F9DCDE" w14:textId="77777777" w:rsidR="00003C6E" w:rsidRPr="00F42422" w:rsidRDefault="00003C6E" w:rsidP="00F93F3E">
            <w:pPr>
              <w:rPr>
                <w:rFonts w:eastAsia="Calibri"/>
                <w:b/>
                <w:sz w:val="22"/>
                <w:szCs w:val="22"/>
                <w:lang w:val="en-GB"/>
              </w:rPr>
            </w:pPr>
            <w:r w:rsidRPr="00F42422">
              <w:rPr>
                <w:rFonts w:eastAsia="Calibri"/>
                <w:b/>
                <w:sz w:val="22"/>
                <w:szCs w:val="22"/>
                <w:lang w:val="en-GB"/>
              </w:rPr>
              <w:t xml:space="preserve">Rate of </w:t>
            </w:r>
            <w:r w:rsidR="0039692D" w:rsidRPr="00F42422">
              <w:rPr>
                <w:rFonts w:eastAsia="Calibri"/>
                <w:b/>
                <w:sz w:val="22"/>
                <w:szCs w:val="22"/>
                <w:lang w:val="en-GB"/>
              </w:rPr>
              <w:t xml:space="preserve">opioid-related overdose </w:t>
            </w:r>
            <w:r w:rsidRPr="00F42422">
              <w:rPr>
                <w:rFonts w:eastAsia="Calibri"/>
                <w:b/>
                <w:sz w:val="22"/>
                <w:szCs w:val="22"/>
                <w:lang w:val="en-GB"/>
              </w:rPr>
              <w:t>deaths/100,000 workers</w:t>
            </w:r>
          </w:p>
          <w:p w14:paraId="469AD344" w14:textId="77777777" w:rsidR="00003C6E" w:rsidRPr="00F42422" w:rsidRDefault="00003C6E" w:rsidP="00944C39">
            <w:pPr>
              <w:rPr>
                <w:rFonts w:eastAsia="Calibri"/>
                <w:b/>
                <w:sz w:val="22"/>
                <w:szCs w:val="22"/>
                <w:lang w:val="en-GB"/>
              </w:rPr>
            </w:pPr>
            <w:r w:rsidRPr="00F42422">
              <w:rPr>
                <w:rFonts w:eastAsia="Calibri"/>
                <w:b/>
                <w:sz w:val="22"/>
                <w:szCs w:val="22"/>
                <w:lang w:val="en-GB"/>
              </w:rPr>
              <w:t>Mean (95% CI)</w:t>
            </w:r>
          </w:p>
        </w:tc>
        <w:tc>
          <w:tcPr>
            <w:tcW w:w="2644" w:type="dxa"/>
            <w:noWrap/>
            <w:vAlign w:val="center"/>
            <w:hideMark/>
          </w:tcPr>
          <w:p w14:paraId="3CA7AE66" w14:textId="77777777" w:rsidR="00003C6E" w:rsidRPr="00F42422" w:rsidRDefault="0039692D" w:rsidP="00944C39">
            <w:pPr>
              <w:rPr>
                <w:rFonts w:eastAsia="Calibri"/>
                <w:b/>
                <w:sz w:val="22"/>
                <w:szCs w:val="22"/>
                <w:lang w:val="en-GB"/>
              </w:rPr>
            </w:pPr>
            <w:r w:rsidRPr="00F42422">
              <w:rPr>
                <w:rFonts w:eastAsia="Calibri"/>
                <w:b/>
                <w:sz w:val="22"/>
                <w:szCs w:val="22"/>
                <w:lang w:val="en-GB"/>
              </w:rPr>
              <w:t xml:space="preserve">Opioid-related overdose </w:t>
            </w:r>
            <w:r w:rsidR="00003C6E" w:rsidRPr="00F42422">
              <w:rPr>
                <w:rFonts w:eastAsia="Calibri"/>
                <w:b/>
                <w:sz w:val="22"/>
                <w:szCs w:val="22"/>
                <w:lang w:val="en-GB"/>
              </w:rPr>
              <w:t>deaths</w:t>
            </w:r>
          </w:p>
          <w:p w14:paraId="07DA4F9B" w14:textId="77777777" w:rsidR="00003C6E" w:rsidRPr="00F42422" w:rsidRDefault="00003C6E" w:rsidP="00944C39">
            <w:pPr>
              <w:rPr>
                <w:rFonts w:eastAsia="Calibri"/>
                <w:b/>
                <w:sz w:val="22"/>
                <w:szCs w:val="22"/>
                <w:lang w:val="en-GB"/>
              </w:rPr>
            </w:pPr>
            <w:r w:rsidRPr="00F42422">
              <w:rPr>
                <w:rFonts w:eastAsia="Calibri"/>
                <w:b/>
                <w:sz w:val="22"/>
                <w:szCs w:val="22"/>
                <w:lang w:val="en-GB"/>
              </w:rPr>
              <w:t>N (%)</w:t>
            </w:r>
          </w:p>
        </w:tc>
      </w:tr>
      <w:tr w:rsidR="00D94C38" w:rsidRPr="00492488" w14:paraId="7AE604AE" w14:textId="77777777" w:rsidTr="00AA2288">
        <w:trPr>
          <w:trHeight w:val="346"/>
        </w:trPr>
        <w:tc>
          <w:tcPr>
            <w:tcW w:w="5035" w:type="dxa"/>
            <w:noWrap/>
            <w:hideMark/>
          </w:tcPr>
          <w:p w14:paraId="15A51F3C" w14:textId="77777777" w:rsidR="00003C6E" w:rsidRPr="00F42422" w:rsidRDefault="00003C6E" w:rsidP="00492488">
            <w:pPr>
              <w:jc w:val="left"/>
              <w:rPr>
                <w:rFonts w:eastAsia="Calibri"/>
                <w:sz w:val="22"/>
                <w:szCs w:val="22"/>
                <w:vertAlign w:val="superscript"/>
                <w:lang w:val="en-GB"/>
              </w:rPr>
            </w:pPr>
            <w:r w:rsidRPr="00F42422">
              <w:t>Construction</w:t>
            </w:r>
          </w:p>
        </w:tc>
        <w:tc>
          <w:tcPr>
            <w:tcW w:w="2936" w:type="dxa"/>
            <w:noWrap/>
            <w:vAlign w:val="center"/>
          </w:tcPr>
          <w:p w14:paraId="7AAC06ED" w14:textId="77777777" w:rsidR="00003C6E" w:rsidRPr="00F42422" w:rsidRDefault="00F42422" w:rsidP="00671876">
            <w:pPr>
              <w:rPr>
                <w:rFonts w:eastAsia="Calibri"/>
                <w:sz w:val="22"/>
                <w:szCs w:val="22"/>
                <w:vertAlign w:val="superscript"/>
                <w:lang w:val="en-GB"/>
              </w:rPr>
            </w:pPr>
            <w:r>
              <w:rPr>
                <w:rFonts w:eastAsia="Calibri"/>
                <w:sz w:val="22"/>
                <w:szCs w:val="22"/>
                <w:lang w:val="en-GB"/>
              </w:rPr>
              <w:t>228.9</w:t>
            </w:r>
            <w:r w:rsidR="00E50E92" w:rsidRPr="00F42422">
              <w:rPr>
                <w:rFonts w:eastAsia="Calibri"/>
                <w:sz w:val="22"/>
                <w:szCs w:val="22"/>
                <w:lang w:val="en-GB"/>
              </w:rPr>
              <w:t xml:space="preserve"> (</w:t>
            </w:r>
            <w:r>
              <w:rPr>
                <w:rFonts w:eastAsia="Calibri"/>
                <w:sz w:val="22"/>
                <w:szCs w:val="22"/>
                <w:lang w:val="en-GB"/>
              </w:rPr>
              <w:t>208.3, 249.5</w:t>
            </w:r>
            <w:r w:rsidR="00C709CE" w:rsidRPr="00F42422">
              <w:rPr>
                <w:rFonts w:eastAsia="Calibri"/>
                <w:sz w:val="22"/>
                <w:szCs w:val="22"/>
                <w:lang w:val="en-GB"/>
              </w:rPr>
              <w:t>)</w:t>
            </w:r>
            <w:r w:rsidR="00AE5349" w:rsidRPr="00F42422">
              <w:rPr>
                <w:rFonts w:eastAsia="Calibri"/>
                <w:sz w:val="22"/>
                <w:szCs w:val="22"/>
                <w:vertAlign w:val="superscript"/>
                <w:lang w:val="en-GB"/>
              </w:rPr>
              <w:t>1</w:t>
            </w:r>
          </w:p>
        </w:tc>
        <w:tc>
          <w:tcPr>
            <w:tcW w:w="2644" w:type="dxa"/>
            <w:noWrap/>
            <w:vAlign w:val="center"/>
          </w:tcPr>
          <w:p w14:paraId="3492B2E7" w14:textId="77777777" w:rsidR="00003C6E" w:rsidRPr="00F42422" w:rsidRDefault="00F42422" w:rsidP="00671876">
            <w:pPr>
              <w:rPr>
                <w:rFonts w:eastAsia="Calibri"/>
                <w:sz w:val="22"/>
                <w:szCs w:val="22"/>
                <w:lang w:val="en-GB"/>
              </w:rPr>
            </w:pPr>
            <w:r>
              <w:rPr>
                <w:rFonts w:eastAsia="Calibri"/>
                <w:sz w:val="22"/>
                <w:szCs w:val="22"/>
                <w:lang w:val="en-GB"/>
              </w:rPr>
              <w:t>949</w:t>
            </w:r>
            <w:r w:rsidR="00C709CE" w:rsidRPr="00F42422">
              <w:rPr>
                <w:rFonts w:eastAsia="Calibri"/>
                <w:sz w:val="22"/>
                <w:szCs w:val="22"/>
                <w:lang w:val="en-GB"/>
              </w:rPr>
              <w:t xml:space="preserve"> (</w:t>
            </w:r>
            <w:r>
              <w:rPr>
                <w:rFonts w:eastAsia="Calibri"/>
                <w:sz w:val="22"/>
                <w:szCs w:val="22"/>
                <w:lang w:val="en-GB"/>
              </w:rPr>
              <w:t>28.3</w:t>
            </w:r>
            <w:r w:rsidR="00C709CE" w:rsidRPr="00F42422">
              <w:rPr>
                <w:rFonts w:eastAsia="Calibri"/>
                <w:sz w:val="22"/>
                <w:szCs w:val="22"/>
                <w:lang w:val="en-GB"/>
              </w:rPr>
              <w:t>)</w:t>
            </w:r>
          </w:p>
        </w:tc>
      </w:tr>
      <w:tr w:rsidR="00D94C38" w:rsidRPr="00492488" w14:paraId="27D154B2" w14:textId="77777777" w:rsidTr="00AA2288">
        <w:trPr>
          <w:trHeight w:val="346"/>
        </w:trPr>
        <w:tc>
          <w:tcPr>
            <w:tcW w:w="5035" w:type="dxa"/>
            <w:noWrap/>
            <w:hideMark/>
          </w:tcPr>
          <w:p w14:paraId="654E9353" w14:textId="77777777" w:rsidR="00003C6E" w:rsidRPr="00F42422" w:rsidRDefault="00003C6E" w:rsidP="00492488">
            <w:pPr>
              <w:jc w:val="left"/>
              <w:rPr>
                <w:rFonts w:eastAsia="Calibri"/>
                <w:sz w:val="22"/>
                <w:szCs w:val="22"/>
                <w:vertAlign w:val="superscript"/>
                <w:lang w:val="en-GB"/>
              </w:rPr>
            </w:pPr>
            <w:r w:rsidRPr="00F42422">
              <w:t xml:space="preserve">Agriculture, forestry, </w:t>
            </w:r>
            <w:proofErr w:type="gramStart"/>
            <w:r w:rsidRPr="00F42422">
              <w:t>fishing</w:t>
            </w:r>
            <w:proofErr w:type="gramEnd"/>
            <w:r w:rsidRPr="00F42422">
              <w:t xml:space="preserve"> and hunting</w:t>
            </w:r>
          </w:p>
        </w:tc>
        <w:tc>
          <w:tcPr>
            <w:tcW w:w="2936" w:type="dxa"/>
            <w:noWrap/>
            <w:vAlign w:val="center"/>
          </w:tcPr>
          <w:p w14:paraId="1276CAC5" w14:textId="77777777" w:rsidR="00003C6E" w:rsidRPr="00F42422" w:rsidRDefault="00F42422" w:rsidP="00671876">
            <w:pPr>
              <w:rPr>
                <w:rFonts w:eastAsia="Calibri"/>
                <w:sz w:val="22"/>
                <w:szCs w:val="22"/>
                <w:lang w:val="en-GB"/>
              </w:rPr>
            </w:pPr>
            <w:r>
              <w:rPr>
                <w:rFonts w:eastAsia="Calibri"/>
                <w:sz w:val="22"/>
                <w:szCs w:val="22"/>
                <w:lang w:val="en-GB"/>
              </w:rPr>
              <w:t>220.8</w:t>
            </w:r>
            <w:r w:rsidR="00C709CE" w:rsidRPr="00F42422">
              <w:rPr>
                <w:rFonts w:eastAsia="Calibri"/>
                <w:sz w:val="22"/>
                <w:szCs w:val="22"/>
                <w:lang w:val="en-GB"/>
              </w:rPr>
              <w:t xml:space="preserve"> (</w:t>
            </w:r>
            <w:r>
              <w:rPr>
                <w:rFonts w:eastAsia="Calibri"/>
                <w:sz w:val="22"/>
                <w:szCs w:val="22"/>
                <w:lang w:val="en-GB"/>
              </w:rPr>
              <w:t>141.8, 299.8</w:t>
            </w:r>
            <w:r w:rsidR="00C709CE" w:rsidRPr="00F42422">
              <w:rPr>
                <w:rFonts w:eastAsia="Calibri"/>
                <w:sz w:val="22"/>
                <w:szCs w:val="22"/>
                <w:lang w:val="en-GB"/>
              </w:rPr>
              <w:t>)</w:t>
            </w:r>
            <w:r w:rsidR="00AE5349" w:rsidRPr="00F42422">
              <w:rPr>
                <w:rFonts w:eastAsia="Calibri"/>
                <w:sz w:val="22"/>
                <w:szCs w:val="22"/>
                <w:vertAlign w:val="superscript"/>
                <w:lang w:val="en-GB"/>
              </w:rPr>
              <w:t xml:space="preserve"> 1</w:t>
            </w:r>
          </w:p>
        </w:tc>
        <w:tc>
          <w:tcPr>
            <w:tcW w:w="2644" w:type="dxa"/>
            <w:noWrap/>
            <w:vAlign w:val="center"/>
          </w:tcPr>
          <w:p w14:paraId="724DA574" w14:textId="77777777" w:rsidR="00003C6E" w:rsidRPr="00F42422" w:rsidRDefault="00F42422" w:rsidP="00671876">
            <w:pPr>
              <w:rPr>
                <w:rFonts w:eastAsia="Calibri"/>
                <w:sz w:val="22"/>
                <w:szCs w:val="22"/>
                <w:lang w:val="en-GB"/>
              </w:rPr>
            </w:pPr>
            <w:r>
              <w:rPr>
                <w:rFonts w:eastAsia="Calibri"/>
                <w:sz w:val="22"/>
                <w:szCs w:val="22"/>
                <w:lang w:val="en-GB"/>
              </w:rPr>
              <w:t>60</w:t>
            </w:r>
            <w:r w:rsidR="00C709CE" w:rsidRPr="00F42422">
              <w:rPr>
                <w:rFonts w:eastAsia="Calibri"/>
                <w:sz w:val="22"/>
                <w:szCs w:val="22"/>
                <w:lang w:val="en-GB"/>
              </w:rPr>
              <w:t xml:space="preserve"> (1.</w:t>
            </w:r>
            <w:r>
              <w:rPr>
                <w:rFonts w:eastAsia="Calibri"/>
                <w:sz w:val="22"/>
                <w:szCs w:val="22"/>
                <w:lang w:val="en-GB"/>
              </w:rPr>
              <w:t>8</w:t>
            </w:r>
            <w:r w:rsidR="00C709CE" w:rsidRPr="00F42422">
              <w:rPr>
                <w:rFonts w:eastAsia="Calibri"/>
                <w:sz w:val="22"/>
                <w:szCs w:val="22"/>
                <w:lang w:val="en-GB"/>
              </w:rPr>
              <w:t>)</w:t>
            </w:r>
          </w:p>
        </w:tc>
      </w:tr>
      <w:tr w:rsidR="00D94C38" w:rsidRPr="00492488" w14:paraId="2C5D3663" w14:textId="77777777" w:rsidTr="00AA2288">
        <w:trPr>
          <w:trHeight w:val="346"/>
        </w:trPr>
        <w:tc>
          <w:tcPr>
            <w:tcW w:w="5035" w:type="dxa"/>
            <w:noWrap/>
          </w:tcPr>
          <w:p w14:paraId="24AAE664" w14:textId="77777777" w:rsidR="004218CE" w:rsidRPr="00F42422" w:rsidRDefault="004218CE" w:rsidP="00492488">
            <w:pPr>
              <w:jc w:val="left"/>
            </w:pPr>
            <w:r w:rsidRPr="00F42422">
              <w:t>Mining, quarrying, and oil and gas extraction</w:t>
            </w:r>
          </w:p>
        </w:tc>
        <w:tc>
          <w:tcPr>
            <w:tcW w:w="2936" w:type="dxa"/>
            <w:noWrap/>
            <w:vAlign w:val="center"/>
          </w:tcPr>
          <w:p w14:paraId="4B5546DF" w14:textId="77777777" w:rsidR="004218CE" w:rsidRPr="00F42422" w:rsidRDefault="00706511" w:rsidP="00671876">
            <w:pPr>
              <w:rPr>
                <w:rFonts w:eastAsia="Calibri"/>
                <w:sz w:val="22"/>
                <w:szCs w:val="22"/>
                <w:lang w:val="en-GB"/>
              </w:rPr>
            </w:pPr>
            <w:r w:rsidRPr="00F42422">
              <w:t>__</w:t>
            </w:r>
            <w:r>
              <w:rPr>
                <w:vertAlign w:val="superscript"/>
              </w:rPr>
              <w:t>2</w:t>
            </w:r>
          </w:p>
        </w:tc>
        <w:tc>
          <w:tcPr>
            <w:tcW w:w="2644" w:type="dxa"/>
            <w:noWrap/>
            <w:vAlign w:val="center"/>
          </w:tcPr>
          <w:p w14:paraId="218CA9DD" w14:textId="77777777" w:rsidR="004218CE" w:rsidRPr="00F42422" w:rsidRDefault="00706511" w:rsidP="00671876">
            <w:pPr>
              <w:rPr>
                <w:rFonts w:eastAsia="Calibri"/>
                <w:sz w:val="22"/>
                <w:szCs w:val="22"/>
                <w:lang w:val="en-GB"/>
              </w:rPr>
            </w:pPr>
            <w:r w:rsidRPr="00F42422">
              <w:t>__</w:t>
            </w:r>
            <w:r>
              <w:rPr>
                <w:vertAlign w:val="superscript"/>
              </w:rPr>
              <w:t>2</w:t>
            </w:r>
          </w:p>
        </w:tc>
      </w:tr>
      <w:tr w:rsidR="00D94C38" w:rsidRPr="00492488" w14:paraId="3A324421" w14:textId="77777777" w:rsidTr="00AA2288">
        <w:trPr>
          <w:trHeight w:val="346"/>
        </w:trPr>
        <w:tc>
          <w:tcPr>
            <w:tcW w:w="5035" w:type="dxa"/>
            <w:noWrap/>
          </w:tcPr>
          <w:p w14:paraId="0EFC4929" w14:textId="77777777" w:rsidR="00222E93" w:rsidRPr="00F42422" w:rsidRDefault="00222E93" w:rsidP="00222E93">
            <w:pPr>
              <w:jc w:val="left"/>
            </w:pPr>
            <w:r w:rsidRPr="00F42422">
              <w:t>Administrative and support and waste management services</w:t>
            </w:r>
          </w:p>
        </w:tc>
        <w:tc>
          <w:tcPr>
            <w:tcW w:w="2936" w:type="dxa"/>
            <w:noWrap/>
            <w:vAlign w:val="center"/>
          </w:tcPr>
          <w:p w14:paraId="7F8F7186" w14:textId="77777777" w:rsidR="00222E93" w:rsidRDefault="00222E93" w:rsidP="00671876">
            <w:pPr>
              <w:rPr>
                <w:rFonts w:eastAsia="Calibri"/>
                <w:sz w:val="22"/>
                <w:szCs w:val="22"/>
                <w:lang w:val="en-GB"/>
              </w:rPr>
            </w:pPr>
            <w:r>
              <w:rPr>
                <w:rFonts w:eastAsia="Calibri"/>
                <w:sz w:val="22"/>
                <w:szCs w:val="22"/>
                <w:lang w:val="en-GB"/>
              </w:rPr>
              <w:t>82.0</w:t>
            </w:r>
            <w:r w:rsidRPr="00F42422">
              <w:rPr>
                <w:rFonts w:eastAsia="Calibri"/>
                <w:sz w:val="22"/>
                <w:szCs w:val="22"/>
                <w:lang w:val="en-GB"/>
              </w:rPr>
              <w:t xml:space="preserve"> (</w:t>
            </w:r>
            <w:r>
              <w:rPr>
                <w:rFonts w:eastAsia="Calibri"/>
                <w:sz w:val="22"/>
                <w:szCs w:val="22"/>
                <w:lang w:val="en-GB"/>
              </w:rPr>
              <w:t>66.5, 97.5</w:t>
            </w:r>
            <w:r w:rsidRPr="00F42422">
              <w:rPr>
                <w:rFonts w:eastAsia="Calibri"/>
                <w:sz w:val="22"/>
                <w:szCs w:val="22"/>
                <w:lang w:val="en-GB"/>
              </w:rPr>
              <w:t>)</w:t>
            </w:r>
            <w:r w:rsidRPr="00F42422">
              <w:rPr>
                <w:rFonts w:eastAsia="Calibri"/>
                <w:sz w:val="22"/>
                <w:szCs w:val="22"/>
                <w:vertAlign w:val="superscript"/>
                <w:lang w:val="en-GB"/>
              </w:rPr>
              <w:t xml:space="preserve"> 1</w:t>
            </w:r>
          </w:p>
        </w:tc>
        <w:tc>
          <w:tcPr>
            <w:tcW w:w="2644" w:type="dxa"/>
            <w:noWrap/>
            <w:vAlign w:val="center"/>
          </w:tcPr>
          <w:p w14:paraId="3D031465" w14:textId="77777777" w:rsidR="00222E93" w:rsidRDefault="00222E93" w:rsidP="00671876">
            <w:pPr>
              <w:rPr>
                <w:rFonts w:eastAsia="Calibri"/>
                <w:sz w:val="22"/>
                <w:szCs w:val="22"/>
                <w:lang w:val="en-GB"/>
              </w:rPr>
            </w:pPr>
            <w:r>
              <w:rPr>
                <w:rFonts w:eastAsia="Calibri"/>
                <w:sz w:val="22"/>
                <w:szCs w:val="22"/>
                <w:lang w:val="en-GB"/>
              </w:rPr>
              <w:t>215</w:t>
            </w:r>
            <w:r w:rsidRPr="00F42422">
              <w:rPr>
                <w:rFonts w:eastAsia="Calibri"/>
                <w:sz w:val="22"/>
                <w:szCs w:val="22"/>
                <w:lang w:val="en-GB"/>
              </w:rPr>
              <w:t xml:space="preserve"> (6.</w:t>
            </w:r>
            <w:r>
              <w:rPr>
                <w:rFonts w:eastAsia="Calibri"/>
                <w:sz w:val="22"/>
                <w:szCs w:val="22"/>
                <w:lang w:val="en-GB"/>
              </w:rPr>
              <w:t>4</w:t>
            </w:r>
            <w:r w:rsidRPr="00F42422">
              <w:rPr>
                <w:rFonts w:eastAsia="Calibri"/>
                <w:sz w:val="22"/>
                <w:szCs w:val="22"/>
                <w:lang w:val="en-GB"/>
              </w:rPr>
              <w:t>)</w:t>
            </w:r>
          </w:p>
        </w:tc>
      </w:tr>
      <w:tr w:rsidR="00D94C38" w:rsidRPr="00492488" w14:paraId="2E7A1771" w14:textId="77777777" w:rsidTr="00AA2288">
        <w:trPr>
          <w:trHeight w:val="346"/>
        </w:trPr>
        <w:tc>
          <w:tcPr>
            <w:tcW w:w="5035" w:type="dxa"/>
            <w:noWrap/>
            <w:hideMark/>
          </w:tcPr>
          <w:p w14:paraId="356C6CDF" w14:textId="77777777" w:rsidR="00222E93" w:rsidRPr="00F42422" w:rsidRDefault="00222E93" w:rsidP="00222E93">
            <w:pPr>
              <w:jc w:val="left"/>
              <w:rPr>
                <w:rFonts w:eastAsia="Calibri"/>
                <w:sz w:val="22"/>
                <w:szCs w:val="22"/>
                <w:vertAlign w:val="superscript"/>
                <w:lang w:val="en-GB"/>
              </w:rPr>
            </w:pPr>
            <w:r w:rsidRPr="00F42422">
              <w:t>Transportation and warehousing</w:t>
            </w:r>
          </w:p>
        </w:tc>
        <w:tc>
          <w:tcPr>
            <w:tcW w:w="2936" w:type="dxa"/>
            <w:noWrap/>
            <w:vAlign w:val="center"/>
          </w:tcPr>
          <w:p w14:paraId="1B997A69" w14:textId="77777777" w:rsidR="00222E93" w:rsidRPr="00F42422" w:rsidRDefault="00222E93" w:rsidP="00671876">
            <w:pPr>
              <w:rPr>
                <w:rFonts w:eastAsia="Calibri"/>
                <w:sz w:val="22"/>
                <w:szCs w:val="22"/>
                <w:lang w:val="en-GB"/>
              </w:rPr>
            </w:pPr>
            <w:r>
              <w:rPr>
                <w:rFonts w:eastAsia="Calibri"/>
                <w:sz w:val="22"/>
                <w:szCs w:val="22"/>
                <w:lang w:val="en-GB"/>
              </w:rPr>
              <w:t>75.3</w:t>
            </w:r>
            <w:r w:rsidRPr="00F42422">
              <w:rPr>
                <w:rFonts w:eastAsia="Calibri"/>
                <w:sz w:val="22"/>
                <w:szCs w:val="22"/>
                <w:lang w:val="en-GB"/>
              </w:rPr>
              <w:t xml:space="preserve"> (</w:t>
            </w:r>
            <w:r>
              <w:rPr>
                <w:rFonts w:eastAsia="Calibri"/>
                <w:sz w:val="22"/>
                <w:szCs w:val="22"/>
                <w:lang w:val="en-GB"/>
              </w:rPr>
              <w:t>59.4, 91.2</w:t>
            </w:r>
            <w:r w:rsidRPr="00F42422">
              <w:rPr>
                <w:rFonts w:eastAsia="Calibri"/>
                <w:sz w:val="22"/>
                <w:szCs w:val="22"/>
                <w:lang w:val="en-GB"/>
              </w:rPr>
              <w:t>)</w:t>
            </w:r>
            <w:r w:rsidRPr="00F42422">
              <w:rPr>
                <w:rFonts w:eastAsia="Calibri"/>
                <w:sz w:val="22"/>
                <w:szCs w:val="22"/>
                <w:vertAlign w:val="superscript"/>
                <w:lang w:val="en-GB"/>
              </w:rPr>
              <w:t xml:space="preserve"> 1</w:t>
            </w:r>
          </w:p>
        </w:tc>
        <w:tc>
          <w:tcPr>
            <w:tcW w:w="2644" w:type="dxa"/>
            <w:noWrap/>
            <w:vAlign w:val="center"/>
          </w:tcPr>
          <w:p w14:paraId="69F9C7FD" w14:textId="77777777" w:rsidR="00222E93" w:rsidRPr="00F42422" w:rsidRDefault="00222E93" w:rsidP="00671876">
            <w:pPr>
              <w:rPr>
                <w:rFonts w:eastAsia="Calibri"/>
                <w:sz w:val="22"/>
                <w:szCs w:val="22"/>
                <w:lang w:val="en-GB"/>
              </w:rPr>
            </w:pPr>
            <w:r>
              <w:rPr>
                <w:rFonts w:eastAsia="Calibri"/>
                <w:sz w:val="22"/>
                <w:szCs w:val="22"/>
                <w:lang w:val="en-GB"/>
              </w:rPr>
              <w:t>173</w:t>
            </w:r>
            <w:r w:rsidRPr="00F42422">
              <w:rPr>
                <w:rFonts w:eastAsia="Calibri"/>
                <w:sz w:val="22"/>
                <w:szCs w:val="22"/>
                <w:lang w:val="en-GB"/>
              </w:rPr>
              <w:t xml:space="preserve"> (</w:t>
            </w:r>
            <w:r>
              <w:rPr>
                <w:rFonts w:eastAsia="Calibri"/>
                <w:sz w:val="22"/>
                <w:szCs w:val="22"/>
                <w:lang w:val="en-GB"/>
              </w:rPr>
              <w:t>5.2</w:t>
            </w:r>
            <w:r w:rsidRPr="00F42422">
              <w:rPr>
                <w:rFonts w:eastAsia="Calibri"/>
                <w:sz w:val="22"/>
                <w:szCs w:val="22"/>
                <w:lang w:val="en-GB"/>
              </w:rPr>
              <w:t>)</w:t>
            </w:r>
          </w:p>
        </w:tc>
      </w:tr>
      <w:tr w:rsidR="00D94C38" w:rsidRPr="00492488" w14:paraId="66CB3040" w14:textId="77777777" w:rsidTr="00AA2288">
        <w:trPr>
          <w:trHeight w:val="346"/>
        </w:trPr>
        <w:tc>
          <w:tcPr>
            <w:tcW w:w="5035" w:type="dxa"/>
            <w:noWrap/>
            <w:hideMark/>
          </w:tcPr>
          <w:p w14:paraId="1CE21E6C" w14:textId="77777777" w:rsidR="00222E93" w:rsidRPr="00F42422" w:rsidRDefault="00222E93" w:rsidP="00222E93">
            <w:pPr>
              <w:jc w:val="left"/>
              <w:rPr>
                <w:rFonts w:eastAsia="Calibri"/>
                <w:sz w:val="22"/>
                <w:szCs w:val="22"/>
                <w:vertAlign w:val="superscript"/>
                <w:lang w:val="en-GB"/>
              </w:rPr>
            </w:pPr>
            <w:r w:rsidRPr="00F42422">
              <w:t>Accommodation and food services</w:t>
            </w:r>
          </w:p>
        </w:tc>
        <w:tc>
          <w:tcPr>
            <w:tcW w:w="2936" w:type="dxa"/>
            <w:noWrap/>
            <w:vAlign w:val="center"/>
          </w:tcPr>
          <w:p w14:paraId="29B5DCF1" w14:textId="77777777" w:rsidR="00222E93" w:rsidRPr="00F42422" w:rsidRDefault="00222E93" w:rsidP="00671876">
            <w:pPr>
              <w:rPr>
                <w:rFonts w:eastAsia="Calibri"/>
                <w:sz w:val="22"/>
                <w:szCs w:val="22"/>
                <w:lang w:val="en-GB"/>
              </w:rPr>
            </w:pPr>
            <w:r>
              <w:rPr>
                <w:rFonts w:eastAsia="Calibri"/>
                <w:sz w:val="22"/>
                <w:szCs w:val="22"/>
                <w:lang w:val="en-GB"/>
              </w:rPr>
              <w:t>74.4</w:t>
            </w:r>
            <w:r w:rsidRPr="00F42422">
              <w:rPr>
                <w:rFonts w:eastAsia="Calibri"/>
                <w:sz w:val="22"/>
                <w:szCs w:val="22"/>
                <w:lang w:val="en-GB"/>
              </w:rPr>
              <w:t xml:space="preserve"> (</w:t>
            </w:r>
            <w:r>
              <w:rPr>
                <w:rFonts w:eastAsia="Calibri"/>
                <w:sz w:val="22"/>
                <w:szCs w:val="22"/>
                <w:lang w:val="en-GB"/>
              </w:rPr>
              <w:t>63.4, 85.4</w:t>
            </w:r>
            <w:r w:rsidRPr="00F42422">
              <w:rPr>
                <w:rFonts w:eastAsia="Calibri"/>
                <w:sz w:val="22"/>
                <w:szCs w:val="22"/>
                <w:lang w:val="en-GB"/>
              </w:rPr>
              <w:t>)</w:t>
            </w:r>
            <w:r w:rsidRPr="00F42422">
              <w:rPr>
                <w:rFonts w:eastAsia="Calibri"/>
                <w:sz w:val="22"/>
                <w:szCs w:val="22"/>
                <w:vertAlign w:val="superscript"/>
                <w:lang w:val="en-GB"/>
              </w:rPr>
              <w:t xml:space="preserve"> 1</w:t>
            </w:r>
          </w:p>
        </w:tc>
        <w:tc>
          <w:tcPr>
            <w:tcW w:w="2644" w:type="dxa"/>
            <w:noWrap/>
            <w:vAlign w:val="center"/>
          </w:tcPr>
          <w:p w14:paraId="40E9DCDF" w14:textId="77777777" w:rsidR="00222E93" w:rsidRPr="00F42422" w:rsidRDefault="00222E93" w:rsidP="00671876">
            <w:pPr>
              <w:rPr>
                <w:rFonts w:eastAsia="Calibri"/>
                <w:sz w:val="22"/>
                <w:szCs w:val="22"/>
                <w:lang w:val="en-GB"/>
              </w:rPr>
            </w:pPr>
            <w:r>
              <w:rPr>
                <w:rFonts w:eastAsia="Calibri"/>
                <w:sz w:val="22"/>
                <w:szCs w:val="22"/>
                <w:lang w:val="en-GB"/>
              </w:rPr>
              <w:t>352</w:t>
            </w:r>
            <w:r w:rsidRPr="00F42422">
              <w:rPr>
                <w:rFonts w:eastAsia="Calibri"/>
                <w:sz w:val="22"/>
                <w:szCs w:val="22"/>
                <w:lang w:val="en-GB"/>
              </w:rPr>
              <w:t xml:space="preserve"> (10.</w:t>
            </w:r>
            <w:r>
              <w:rPr>
                <w:rFonts w:eastAsia="Calibri"/>
                <w:sz w:val="22"/>
                <w:szCs w:val="22"/>
                <w:lang w:val="en-GB"/>
              </w:rPr>
              <w:t>5</w:t>
            </w:r>
            <w:r w:rsidRPr="00F42422">
              <w:rPr>
                <w:rFonts w:eastAsia="Calibri"/>
                <w:sz w:val="22"/>
                <w:szCs w:val="22"/>
                <w:lang w:val="en-GB"/>
              </w:rPr>
              <w:t>)</w:t>
            </w:r>
          </w:p>
        </w:tc>
      </w:tr>
      <w:tr w:rsidR="00D94C38" w:rsidRPr="00492488" w14:paraId="10182BBA" w14:textId="77777777" w:rsidTr="00AA2288">
        <w:trPr>
          <w:trHeight w:val="346"/>
        </w:trPr>
        <w:tc>
          <w:tcPr>
            <w:tcW w:w="5035" w:type="dxa"/>
            <w:noWrap/>
            <w:hideMark/>
          </w:tcPr>
          <w:p w14:paraId="1C06EDE7" w14:textId="77777777" w:rsidR="00222E93" w:rsidRPr="00F42422" w:rsidRDefault="00222E93" w:rsidP="00222E93">
            <w:pPr>
              <w:jc w:val="left"/>
              <w:rPr>
                <w:rFonts w:eastAsia="Calibri"/>
                <w:sz w:val="22"/>
                <w:szCs w:val="22"/>
                <w:vertAlign w:val="superscript"/>
                <w:lang w:val="en-GB"/>
              </w:rPr>
            </w:pPr>
            <w:r w:rsidRPr="00F42422">
              <w:t>Other services, except public administration</w:t>
            </w:r>
          </w:p>
        </w:tc>
        <w:tc>
          <w:tcPr>
            <w:tcW w:w="2936" w:type="dxa"/>
            <w:noWrap/>
            <w:vAlign w:val="center"/>
          </w:tcPr>
          <w:p w14:paraId="50E18AE9" w14:textId="77777777" w:rsidR="00222E93" w:rsidRPr="00F42422" w:rsidRDefault="00222E93" w:rsidP="00671876">
            <w:pPr>
              <w:rPr>
                <w:rFonts w:eastAsia="Calibri"/>
                <w:sz w:val="22"/>
                <w:szCs w:val="22"/>
                <w:lang w:val="en-GB"/>
              </w:rPr>
            </w:pPr>
            <w:r>
              <w:rPr>
                <w:rFonts w:eastAsia="Calibri"/>
                <w:sz w:val="22"/>
                <w:szCs w:val="22"/>
                <w:lang w:val="en-GB"/>
              </w:rPr>
              <w:t>66.8</w:t>
            </w:r>
            <w:r w:rsidRPr="00F42422">
              <w:rPr>
                <w:rFonts w:eastAsia="Calibri"/>
                <w:sz w:val="22"/>
                <w:szCs w:val="22"/>
                <w:lang w:val="en-GB"/>
              </w:rPr>
              <w:t xml:space="preserve"> (</w:t>
            </w:r>
            <w:r>
              <w:rPr>
                <w:rFonts w:eastAsia="Calibri"/>
                <w:sz w:val="22"/>
                <w:szCs w:val="22"/>
                <w:lang w:val="en-GB"/>
              </w:rPr>
              <w:t>54.2, 79.5</w:t>
            </w:r>
            <w:r w:rsidRPr="00F42422">
              <w:rPr>
                <w:rFonts w:eastAsia="Calibri"/>
                <w:sz w:val="22"/>
                <w:szCs w:val="22"/>
                <w:lang w:val="en-GB"/>
              </w:rPr>
              <w:t>)</w:t>
            </w:r>
            <w:r w:rsidRPr="00F42422">
              <w:rPr>
                <w:rFonts w:eastAsia="Calibri"/>
                <w:sz w:val="22"/>
                <w:szCs w:val="22"/>
                <w:vertAlign w:val="superscript"/>
                <w:lang w:val="en-GB"/>
              </w:rPr>
              <w:t xml:space="preserve"> 1</w:t>
            </w:r>
          </w:p>
        </w:tc>
        <w:tc>
          <w:tcPr>
            <w:tcW w:w="2644" w:type="dxa"/>
            <w:noWrap/>
            <w:vAlign w:val="center"/>
          </w:tcPr>
          <w:p w14:paraId="779AFE3C" w14:textId="77777777" w:rsidR="00222E93" w:rsidRPr="00F42422" w:rsidRDefault="00222E93" w:rsidP="00671876">
            <w:pPr>
              <w:rPr>
                <w:rFonts w:eastAsia="Calibri"/>
                <w:sz w:val="22"/>
                <w:szCs w:val="22"/>
                <w:lang w:val="en-GB"/>
              </w:rPr>
            </w:pPr>
            <w:r>
              <w:rPr>
                <w:rFonts w:eastAsia="Calibri"/>
                <w:sz w:val="22"/>
                <w:szCs w:val="22"/>
                <w:lang w:val="en-GB"/>
              </w:rPr>
              <w:t>214</w:t>
            </w:r>
            <w:r w:rsidRPr="00F42422">
              <w:rPr>
                <w:rFonts w:eastAsia="Calibri"/>
                <w:sz w:val="22"/>
                <w:szCs w:val="22"/>
                <w:lang w:val="en-GB"/>
              </w:rPr>
              <w:t xml:space="preserve"> (6.</w:t>
            </w:r>
            <w:r>
              <w:rPr>
                <w:rFonts w:eastAsia="Calibri"/>
                <w:sz w:val="22"/>
                <w:szCs w:val="22"/>
                <w:lang w:val="en-GB"/>
              </w:rPr>
              <w:t>4</w:t>
            </w:r>
            <w:r w:rsidRPr="00F42422">
              <w:rPr>
                <w:rFonts w:eastAsia="Calibri"/>
                <w:sz w:val="22"/>
                <w:szCs w:val="22"/>
                <w:lang w:val="en-GB"/>
              </w:rPr>
              <w:t>)</w:t>
            </w:r>
          </w:p>
        </w:tc>
      </w:tr>
      <w:tr w:rsidR="00D94C38" w:rsidRPr="00492488" w14:paraId="273B8F59" w14:textId="77777777" w:rsidTr="00AA2288">
        <w:trPr>
          <w:trHeight w:val="346"/>
        </w:trPr>
        <w:tc>
          <w:tcPr>
            <w:tcW w:w="5035" w:type="dxa"/>
            <w:noWrap/>
            <w:hideMark/>
          </w:tcPr>
          <w:p w14:paraId="0A522FA7" w14:textId="77777777" w:rsidR="00222E93" w:rsidRPr="00F42422" w:rsidRDefault="00222E93" w:rsidP="00222E93">
            <w:pPr>
              <w:jc w:val="left"/>
              <w:rPr>
                <w:rFonts w:eastAsia="Calibri"/>
                <w:sz w:val="22"/>
                <w:szCs w:val="22"/>
                <w:vertAlign w:val="superscript"/>
                <w:lang w:val="en-GB"/>
              </w:rPr>
            </w:pPr>
            <w:r w:rsidRPr="00F42422">
              <w:t>Arts, entertainment, and recreation</w:t>
            </w:r>
          </w:p>
        </w:tc>
        <w:tc>
          <w:tcPr>
            <w:tcW w:w="2936" w:type="dxa"/>
            <w:noWrap/>
            <w:vAlign w:val="center"/>
          </w:tcPr>
          <w:p w14:paraId="0DFACC2C" w14:textId="0D8D9707" w:rsidR="00222E93" w:rsidRPr="00F42422" w:rsidRDefault="00222E93" w:rsidP="00671876">
            <w:pPr>
              <w:rPr>
                <w:rFonts w:eastAsia="Calibri"/>
                <w:sz w:val="22"/>
                <w:szCs w:val="22"/>
                <w:lang w:val="en-GB"/>
              </w:rPr>
            </w:pPr>
            <w:r>
              <w:rPr>
                <w:rFonts w:eastAsia="Calibri"/>
                <w:sz w:val="22"/>
                <w:szCs w:val="22"/>
                <w:lang w:val="en-GB"/>
              </w:rPr>
              <w:t>52.9</w:t>
            </w:r>
            <w:r w:rsidRPr="00F42422">
              <w:rPr>
                <w:rFonts w:eastAsia="Calibri"/>
                <w:sz w:val="22"/>
                <w:szCs w:val="22"/>
                <w:lang w:val="en-GB"/>
              </w:rPr>
              <w:t xml:space="preserve"> (</w:t>
            </w:r>
            <w:r>
              <w:rPr>
                <w:rFonts w:eastAsia="Calibri"/>
                <w:sz w:val="22"/>
                <w:szCs w:val="22"/>
                <w:lang w:val="en-GB"/>
              </w:rPr>
              <w:t>35.6, 70.2</w:t>
            </w:r>
            <w:r w:rsidRPr="00F42422">
              <w:rPr>
                <w:rFonts w:eastAsia="Calibri"/>
                <w:sz w:val="22"/>
                <w:szCs w:val="22"/>
                <w:lang w:val="en-GB"/>
              </w:rPr>
              <w:t>)</w:t>
            </w:r>
          </w:p>
        </w:tc>
        <w:tc>
          <w:tcPr>
            <w:tcW w:w="2644" w:type="dxa"/>
            <w:noWrap/>
            <w:vAlign w:val="center"/>
          </w:tcPr>
          <w:p w14:paraId="697777CB" w14:textId="77777777" w:rsidR="00222E93" w:rsidRPr="00F42422" w:rsidRDefault="00222E93" w:rsidP="00671876">
            <w:pPr>
              <w:rPr>
                <w:rFonts w:eastAsia="Calibri"/>
                <w:sz w:val="22"/>
                <w:szCs w:val="22"/>
                <w:lang w:val="en-GB"/>
              </w:rPr>
            </w:pPr>
            <w:r>
              <w:rPr>
                <w:rFonts w:eastAsia="Calibri"/>
                <w:sz w:val="22"/>
                <w:szCs w:val="22"/>
                <w:lang w:val="en-GB"/>
              </w:rPr>
              <w:t xml:space="preserve">72 </w:t>
            </w:r>
            <w:r w:rsidRPr="00F42422">
              <w:rPr>
                <w:rFonts w:eastAsia="Calibri"/>
                <w:sz w:val="22"/>
                <w:szCs w:val="22"/>
                <w:lang w:val="en-GB"/>
              </w:rPr>
              <w:t>(</w:t>
            </w:r>
            <w:r>
              <w:rPr>
                <w:rFonts w:eastAsia="Calibri"/>
                <w:sz w:val="22"/>
                <w:szCs w:val="22"/>
                <w:lang w:val="en-GB"/>
              </w:rPr>
              <w:t>2.2</w:t>
            </w:r>
            <w:r w:rsidRPr="00F42422">
              <w:rPr>
                <w:rFonts w:eastAsia="Calibri"/>
                <w:sz w:val="22"/>
                <w:szCs w:val="22"/>
                <w:lang w:val="en-GB"/>
              </w:rPr>
              <w:t>)</w:t>
            </w:r>
          </w:p>
        </w:tc>
      </w:tr>
      <w:tr w:rsidR="00D94C38" w:rsidRPr="00492488" w14:paraId="202A5EDA" w14:textId="77777777" w:rsidTr="00AA2288">
        <w:trPr>
          <w:trHeight w:val="346"/>
        </w:trPr>
        <w:tc>
          <w:tcPr>
            <w:tcW w:w="5035" w:type="dxa"/>
            <w:noWrap/>
            <w:hideMark/>
          </w:tcPr>
          <w:p w14:paraId="32F712B0" w14:textId="77777777" w:rsidR="00222E93" w:rsidRPr="00F42422" w:rsidRDefault="00222E93" w:rsidP="00222E93">
            <w:pPr>
              <w:jc w:val="left"/>
              <w:rPr>
                <w:rFonts w:eastAsia="Calibri"/>
                <w:sz w:val="22"/>
                <w:szCs w:val="22"/>
                <w:lang w:val="en-GB"/>
              </w:rPr>
            </w:pPr>
            <w:r w:rsidRPr="00F42422">
              <w:t>Utilities</w:t>
            </w:r>
          </w:p>
        </w:tc>
        <w:tc>
          <w:tcPr>
            <w:tcW w:w="2936" w:type="dxa"/>
            <w:noWrap/>
            <w:vAlign w:val="center"/>
          </w:tcPr>
          <w:p w14:paraId="4B94BD1C" w14:textId="0BE79268" w:rsidR="00222E93" w:rsidRPr="00F42422" w:rsidRDefault="00222E93" w:rsidP="00671876">
            <w:pPr>
              <w:rPr>
                <w:rFonts w:eastAsia="Calibri"/>
                <w:sz w:val="22"/>
                <w:szCs w:val="22"/>
                <w:lang w:val="en-GB"/>
              </w:rPr>
            </w:pPr>
            <w:r>
              <w:rPr>
                <w:rFonts w:eastAsia="Calibri"/>
                <w:sz w:val="22"/>
                <w:szCs w:val="22"/>
                <w:lang w:val="en-GB"/>
              </w:rPr>
              <w:t>47.9</w:t>
            </w:r>
            <w:r w:rsidRPr="00F42422">
              <w:rPr>
                <w:rFonts w:eastAsia="Calibri"/>
                <w:sz w:val="22"/>
                <w:szCs w:val="22"/>
                <w:lang w:val="en-GB"/>
              </w:rPr>
              <w:t xml:space="preserve"> (</w:t>
            </w:r>
            <w:r>
              <w:rPr>
                <w:rFonts w:eastAsia="Calibri"/>
                <w:sz w:val="22"/>
                <w:szCs w:val="22"/>
                <w:lang w:val="en-GB"/>
              </w:rPr>
              <w:t>19.6, 76.2</w:t>
            </w:r>
            <w:r w:rsidRPr="00F42422">
              <w:rPr>
                <w:rFonts w:eastAsia="Calibri"/>
                <w:sz w:val="22"/>
                <w:szCs w:val="22"/>
                <w:lang w:val="en-GB"/>
              </w:rPr>
              <w:t>)</w:t>
            </w:r>
          </w:p>
        </w:tc>
        <w:tc>
          <w:tcPr>
            <w:tcW w:w="2644" w:type="dxa"/>
            <w:noWrap/>
            <w:vAlign w:val="center"/>
          </w:tcPr>
          <w:p w14:paraId="2427A67A" w14:textId="77777777" w:rsidR="00222E93" w:rsidRPr="00F42422" w:rsidRDefault="00222E93" w:rsidP="00671876">
            <w:pPr>
              <w:rPr>
                <w:rFonts w:eastAsia="Calibri"/>
                <w:sz w:val="22"/>
                <w:szCs w:val="22"/>
                <w:lang w:val="en-GB"/>
              </w:rPr>
            </w:pPr>
            <w:r>
              <w:rPr>
                <w:rFonts w:eastAsia="Calibri"/>
                <w:sz w:val="22"/>
                <w:szCs w:val="22"/>
                <w:lang w:val="en-GB"/>
              </w:rPr>
              <w:t>22</w:t>
            </w:r>
            <w:r w:rsidRPr="00F42422">
              <w:rPr>
                <w:rFonts w:eastAsia="Calibri"/>
                <w:sz w:val="22"/>
                <w:szCs w:val="22"/>
                <w:lang w:val="en-GB"/>
              </w:rPr>
              <w:t xml:space="preserve"> (0.</w:t>
            </w:r>
            <w:r>
              <w:rPr>
                <w:rFonts w:eastAsia="Calibri"/>
                <w:sz w:val="22"/>
                <w:szCs w:val="22"/>
                <w:lang w:val="en-GB"/>
              </w:rPr>
              <w:t>7</w:t>
            </w:r>
            <w:r w:rsidRPr="00F42422">
              <w:rPr>
                <w:rFonts w:eastAsia="Calibri"/>
                <w:sz w:val="22"/>
                <w:szCs w:val="22"/>
                <w:lang w:val="en-GB"/>
              </w:rPr>
              <w:t>)</w:t>
            </w:r>
          </w:p>
        </w:tc>
      </w:tr>
      <w:tr w:rsidR="00D94C38" w:rsidRPr="00492488" w14:paraId="6C9808EE" w14:textId="77777777" w:rsidTr="00AA2288">
        <w:trPr>
          <w:trHeight w:val="346"/>
        </w:trPr>
        <w:tc>
          <w:tcPr>
            <w:tcW w:w="5035" w:type="dxa"/>
            <w:noWrap/>
            <w:hideMark/>
          </w:tcPr>
          <w:p w14:paraId="1485A472" w14:textId="77777777" w:rsidR="00222E93" w:rsidRPr="00F42422" w:rsidRDefault="00222E93" w:rsidP="00222E93">
            <w:pPr>
              <w:jc w:val="left"/>
              <w:rPr>
                <w:rFonts w:eastAsia="Calibri"/>
                <w:sz w:val="22"/>
                <w:szCs w:val="22"/>
                <w:lang w:val="en-GB"/>
              </w:rPr>
            </w:pPr>
            <w:r w:rsidRPr="00F42422">
              <w:t>Retail trade</w:t>
            </w:r>
          </w:p>
        </w:tc>
        <w:tc>
          <w:tcPr>
            <w:tcW w:w="2936" w:type="dxa"/>
            <w:noWrap/>
            <w:vAlign w:val="center"/>
          </w:tcPr>
          <w:p w14:paraId="66025552" w14:textId="77777777" w:rsidR="00222E93" w:rsidRPr="00F42422" w:rsidRDefault="00222E93" w:rsidP="00671876">
            <w:pPr>
              <w:rPr>
                <w:rFonts w:eastAsia="Calibri"/>
                <w:sz w:val="22"/>
                <w:szCs w:val="22"/>
                <w:lang w:val="en-GB"/>
              </w:rPr>
            </w:pPr>
            <w:r>
              <w:rPr>
                <w:rFonts w:eastAsia="Calibri"/>
                <w:sz w:val="22"/>
                <w:szCs w:val="22"/>
                <w:lang w:val="en-GB"/>
              </w:rPr>
              <w:t>39.6</w:t>
            </w:r>
            <w:r w:rsidRPr="00F42422">
              <w:rPr>
                <w:rFonts w:eastAsia="Calibri"/>
                <w:sz w:val="22"/>
                <w:szCs w:val="22"/>
                <w:lang w:val="en-GB"/>
              </w:rPr>
              <w:t xml:space="preserve"> (</w:t>
            </w:r>
            <w:r>
              <w:rPr>
                <w:rFonts w:eastAsia="Calibri"/>
                <w:sz w:val="22"/>
                <w:szCs w:val="22"/>
                <w:lang w:val="en-GB"/>
              </w:rPr>
              <w:t>33.2, 45.9</w:t>
            </w:r>
            <w:r w:rsidRPr="00F42422">
              <w:rPr>
                <w:rFonts w:eastAsia="Calibri"/>
                <w:sz w:val="22"/>
                <w:szCs w:val="22"/>
                <w:lang w:val="en-GB"/>
              </w:rPr>
              <w:t>)</w:t>
            </w:r>
          </w:p>
        </w:tc>
        <w:tc>
          <w:tcPr>
            <w:tcW w:w="2644" w:type="dxa"/>
            <w:noWrap/>
            <w:vAlign w:val="center"/>
          </w:tcPr>
          <w:p w14:paraId="02901591" w14:textId="77777777" w:rsidR="00222E93" w:rsidRPr="00F42422" w:rsidRDefault="00222E93" w:rsidP="00671876">
            <w:pPr>
              <w:rPr>
                <w:rFonts w:eastAsia="Calibri"/>
                <w:sz w:val="22"/>
                <w:szCs w:val="22"/>
                <w:lang w:val="en-GB"/>
              </w:rPr>
            </w:pPr>
            <w:r>
              <w:rPr>
                <w:rFonts w:eastAsia="Calibri"/>
                <w:sz w:val="22"/>
                <w:szCs w:val="22"/>
                <w:lang w:val="en-GB"/>
              </w:rPr>
              <w:t>296</w:t>
            </w:r>
            <w:r w:rsidRPr="00F42422">
              <w:rPr>
                <w:rFonts w:eastAsia="Calibri"/>
                <w:sz w:val="22"/>
                <w:szCs w:val="22"/>
                <w:lang w:val="en-GB"/>
              </w:rPr>
              <w:t xml:space="preserve"> (</w:t>
            </w:r>
            <w:r>
              <w:rPr>
                <w:rFonts w:eastAsia="Calibri"/>
                <w:sz w:val="22"/>
                <w:szCs w:val="22"/>
                <w:lang w:val="en-GB"/>
              </w:rPr>
              <w:t>8.9</w:t>
            </w:r>
            <w:r w:rsidRPr="00F42422">
              <w:rPr>
                <w:rFonts w:eastAsia="Calibri"/>
                <w:sz w:val="22"/>
                <w:szCs w:val="22"/>
                <w:lang w:val="en-GB"/>
              </w:rPr>
              <w:t>)</w:t>
            </w:r>
          </w:p>
        </w:tc>
      </w:tr>
      <w:tr w:rsidR="00D94C38" w:rsidRPr="00492488" w14:paraId="2F3C8759" w14:textId="77777777" w:rsidTr="00AA2288">
        <w:trPr>
          <w:trHeight w:val="346"/>
        </w:trPr>
        <w:tc>
          <w:tcPr>
            <w:tcW w:w="5035" w:type="dxa"/>
            <w:noWrap/>
            <w:hideMark/>
          </w:tcPr>
          <w:p w14:paraId="1F9B8794" w14:textId="77777777" w:rsidR="00222E93" w:rsidRPr="00F42422" w:rsidRDefault="00222E93" w:rsidP="00222E93">
            <w:pPr>
              <w:jc w:val="left"/>
              <w:rPr>
                <w:rFonts w:eastAsia="Calibri"/>
                <w:sz w:val="22"/>
                <w:szCs w:val="22"/>
                <w:lang w:val="en-GB"/>
              </w:rPr>
            </w:pPr>
            <w:r w:rsidRPr="00F42422">
              <w:t>Manufacturing</w:t>
            </w:r>
          </w:p>
        </w:tc>
        <w:tc>
          <w:tcPr>
            <w:tcW w:w="2936" w:type="dxa"/>
            <w:noWrap/>
            <w:vAlign w:val="center"/>
          </w:tcPr>
          <w:p w14:paraId="2CACFF93" w14:textId="77777777" w:rsidR="00222E93" w:rsidRPr="00F42422" w:rsidRDefault="00222E93" w:rsidP="00671876">
            <w:pPr>
              <w:rPr>
                <w:rFonts w:eastAsia="Calibri"/>
                <w:sz w:val="22"/>
                <w:szCs w:val="22"/>
                <w:lang w:val="en-GB"/>
              </w:rPr>
            </w:pPr>
            <w:r>
              <w:rPr>
                <w:rFonts w:eastAsia="Calibri"/>
                <w:sz w:val="22"/>
                <w:szCs w:val="22"/>
                <w:lang w:val="en-GB"/>
              </w:rPr>
              <w:t>39.0</w:t>
            </w:r>
            <w:r w:rsidRPr="00F42422">
              <w:rPr>
                <w:rFonts w:eastAsia="Calibri"/>
                <w:sz w:val="22"/>
                <w:szCs w:val="22"/>
                <w:lang w:val="en-GB"/>
              </w:rPr>
              <w:t xml:space="preserve"> (</w:t>
            </w:r>
            <w:r>
              <w:rPr>
                <w:rFonts w:eastAsia="Calibri"/>
                <w:sz w:val="22"/>
                <w:szCs w:val="22"/>
                <w:lang w:val="en-GB"/>
              </w:rPr>
              <w:t>32.1, 45.9</w:t>
            </w:r>
            <w:r w:rsidRPr="00F42422">
              <w:rPr>
                <w:rFonts w:eastAsia="Calibri"/>
                <w:sz w:val="22"/>
                <w:szCs w:val="22"/>
                <w:lang w:val="en-GB"/>
              </w:rPr>
              <w:t>)</w:t>
            </w:r>
          </w:p>
        </w:tc>
        <w:tc>
          <w:tcPr>
            <w:tcW w:w="2644" w:type="dxa"/>
            <w:noWrap/>
            <w:vAlign w:val="center"/>
          </w:tcPr>
          <w:p w14:paraId="03D576D5" w14:textId="77777777" w:rsidR="00222E93" w:rsidRPr="00F42422" w:rsidRDefault="00222E93" w:rsidP="00671876">
            <w:pPr>
              <w:rPr>
                <w:rFonts w:eastAsia="Calibri"/>
                <w:sz w:val="22"/>
                <w:szCs w:val="22"/>
                <w:lang w:val="en-GB"/>
              </w:rPr>
            </w:pPr>
            <w:r>
              <w:rPr>
                <w:rFonts w:eastAsia="Calibri"/>
                <w:sz w:val="22"/>
                <w:szCs w:val="22"/>
                <w:lang w:val="en-GB"/>
              </w:rPr>
              <w:t>247</w:t>
            </w:r>
            <w:r w:rsidRPr="00F42422">
              <w:rPr>
                <w:rFonts w:eastAsia="Calibri"/>
                <w:sz w:val="22"/>
                <w:szCs w:val="22"/>
                <w:lang w:val="en-GB"/>
              </w:rPr>
              <w:t xml:space="preserve"> (7.</w:t>
            </w:r>
            <w:r>
              <w:rPr>
                <w:rFonts w:eastAsia="Calibri"/>
                <w:sz w:val="22"/>
                <w:szCs w:val="22"/>
                <w:lang w:val="en-GB"/>
              </w:rPr>
              <w:t>4</w:t>
            </w:r>
            <w:r w:rsidRPr="00F42422">
              <w:rPr>
                <w:rFonts w:eastAsia="Calibri"/>
                <w:sz w:val="22"/>
                <w:szCs w:val="22"/>
                <w:lang w:val="en-GB"/>
              </w:rPr>
              <w:t>)</w:t>
            </w:r>
          </w:p>
        </w:tc>
      </w:tr>
      <w:tr w:rsidR="00D94C38" w:rsidRPr="00492488" w14:paraId="37C82227" w14:textId="77777777" w:rsidTr="00AA2288">
        <w:trPr>
          <w:trHeight w:val="346"/>
        </w:trPr>
        <w:tc>
          <w:tcPr>
            <w:tcW w:w="5035" w:type="dxa"/>
            <w:noWrap/>
          </w:tcPr>
          <w:p w14:paraId="40211D20" w14:textId="77777777" w:rsidR="00222E93" w:rsidRPr="00F42422" w:rsidRDefault="00222E93" w:rsidP="00222E93">
            <w:pPr>
              <w:jc w:val="left"/>
            </w:pPr>
            <w:r w:rsidRPr="00F42422">
              <w:t>Real estate and rental and leasing</w:t>
            </w:r>
          </w:p>
        </w:tc>
        <w:tc>
          <w:tcPr>
            <w:tcW w:w="2936" w:type="dxa"/>
            <w:noWrap/>
            <w:vAlign w:val="center"/>
          </w:tcPr>
          <w:p w14:paraId="51672C84" w14:textId="77777777" w:rsidR="00222E93" w:rsidRDefault="00222E93" w:rsidP="00671876">
            <w:pPr>
              <w:rPr>
                <w:rFonts w:eastAsia="Calibri"/>
                <w:sz w:val="22"/>
                <w:szCs w:val="22"/>
                <w:lang w:val="en-GB"/>
              </w:rPr>
            </w:pPr>
            <w:r>
              <w:rPr>
                <w:rFonts w:eastAsia="Calibri"/>
                <w:sz w:val="22"/>
                <w:szCs w:val="22"/>
                <w:lang w:val="en-GB"/>
              </w:rPr>
              <w:t>30.4</w:t>
            </w:r>
            <w:r w:rsidRPr="00F42422">
              <w:rPr>
                <w:rFonts w:eastAsia="Calibri"/>
                <w:sz w:val="22"/>
                <w:szCs w:val="22"/>
                <w:lang w:val="en-GB"/>
              </w:rPr>
              <w:t xml:space="preserve"> (</w:t>
            </w:r>
            <w:r>
              <w:rPr>
                <w:rFonts w:eastAsia="Calibri"/>
                <w:sz w:val="22"/>
                <w:szCs w:val="22"/>
                <w:lang w:val="en-GB"/>
              </w:rPr>
              <w:t>16.9, 43.9</w:t>
            </w:r>
            <w:r w:rsidRPr="00F42422">
              <w:rPr>
                <w:rFonts w:eastAsia="Calibri"/>
                <w:sz w:val="22"/>
                <w:szCs w:val="22"/>
                <w:lang w:val="en-GB"/>
              </w:rPr>
              <w:t>)</w:t>
            </w:r>
          </w:p>
        </w:tc>
        <w:tc>
          <w:tcPr>
            <w:tcW w:w="2644" w:type="dxa"/>
            <w:noWrap/>
            <w:vAlign w:val="center"/>
          </w:tcPr>
          <w:p w14:paraId="7E23A043" w14:textId="77777777" w:rsidR="00222E93" w:rsidRDefault="00222E93" w:rsidP="00671876">
            <w:pPr>
              <w:rPr>
                <w:rFonts w:eastAsia="Calibri"/>
                <w:sz w:val="22"/>
                <w:szCs w:val="22"/>
                <w:lang w:val="en-GB"/>
              </w:rPr>
            </w:pPr>
            <w:r>
              <w:rPr>
                <w:rFonts w:eastAsia="Calibri"/>
                <w:sz w:val="22"/>
                <w:szCs w:val="22"/>
                <w:lang w:val="en-GB"/>
              </w:rPr>
              <w:t>39</w:t>
            </w:r>
            <w:r w:rsidRPr="00F42422">
              <w:rPr>
                <w:rFonts w:eastAsia="Calibri"/>
                <w:sz w:val="22"/>
                <w:szCs w:val="22"/>
                <w:lang w:val="en-GB"/>
              </w:rPr>
              <w:t xml:space="preserve"> (1.</w:t>
            </w:r>
            <w:r>
              <w:rPr>
                <w:rFonts w:eastAsia="Calibri"/>
                <w:sz w:val="22"/>
                <w:szCs w:val="22"/>
                <w:lang w:val="en-GB"/>
              </w:rPr>
              <w:t>2</w:t>
            </w:r>
            <w:r w:rsidRPr="00F42422">
              <w:rPr>
                <w:rFonts w:eastAsia="Calibri"/>
                <w:sz w:val="22"/>
                <w:szCs w:val="22"/>
                <w:lang w:val="en-GB"/>
              </w:rPr>
              <w:t>)</w:t>
            </w:r>
          </w:p>
        </w:tc>
      </w:tr>
      <w:tr w:rsidR="00D94C38" w:rsidRPr="00492488" w14:paraId="6FAB0E0D" w14:textId="77777777" w:rsidTr="00AA2288">
        <w:trPr>
          <w:trHeight w:val="346"/>
        </w:trPr>
        <w:tc>
          <w:tcPr>
            <w:tcW w:w="5035" w:type="dxa"/>
            <w:noWrap/>
            <w:hideMark/>
          </w:tcPr>
          <w:p w14:paraId="13D2F6BB" w14:textId="77777777" w:rsidR="00222E93" w:rsidRPr="00F42422" w:rsidRDefault="00222E93" w:rsidP="00222E93">
            <w:pPr>
              <w:jc w:val="left"/>
              <w:rPr>
                <w:rFonts w:eastAsia="Calibri"/>
                <w:sz w:val="22"/>
                <w:szCs w:val="22"/>
                <w:lang w:val="en-GB"/>
              </w:rPr>
            </w:pPr>
            <w:r w:rsidRPr="00F42422">
              <w:t>Information</w:t>
            </w:r>
          </w:p>
        </w:tc>
        <w:tc>
          <w:tcPr>
            <w:tcW w:w="2936" w:type="dxa"/>
            <w:noWrap/>
            <w:vAlign w:val="center"/>
          </w:tcPr>
          <w:p w14:paraId="1F501F21" w14:textId="77777777" w:rsidR="00222E93" w:rsidRPr="00F42422" w:rsidRDefault="00222E93" w:rsidP="00671876">
            <w:pPr>
              <w:rPr>
                <w:rFonts w:eastAsia="Calibri"/>
                <w:sz w:val="22"/>
                <w:szCs w:val="22"/>
                <w:lang w:val="en-GB"/>
              </w:rPr>
            </w:pPr>
            <w:r w:rsidRPr="00F42422">
              <w:rPr>
                <w:rFonts w:eastAsia="Calibri"/>
                <w:sz w:val="22"/>
                <w:szCs w:val="22"/>
                <w:lang w:val="en-GB"/>
              </w:rPr>
              <w:t>2</w:t>
            </w:r>
            <w:r>
              <w:rPr>
                <w:rFonts w:eastAsia="Calibri"/>
                <w:sz w:val="22"/>
                <w:szCs w:val="22"/>
                <w:lang w:val="en-GB"/>
              </w:rPr>
              <w:t>9.9</w:t>
            </w:r>
            <w:r w:rsidRPr="00F42422">
              <w:rPr>
                <w:rFonts w:eastAsia="Calibri"/>
                <w:sz w:val="22"/>
                <w:szCs w:val="22"/>
                <w:lang w:val="en-GB"/>
              </w:rPr>
              <w:t xml:space="preserve"> (1</w:t>
            </w:r>
            <w:r>
              <w:rPr>
                <w:rFonts w:eastAsia="Calibri"/>
                <w:sz w:val="22"/>
                <w:szCs w:val="22"/>
                <w:lang w:val="en-GB"/>
              </w:rPr>
              <w:t>8.0, 41.7</w:t>
            </w:r>
            <w:r w:rsidRPr="00F42422">
              <w:rPr>
                <w:rFonts w:eastAsia="Calibri"/>
                <w:sz w:val="22"/>
                <w:szCs w:val="22"/>
                <w:lang w:val="en-GB"/>
              </w:rPr>
              <w:t>)</w:t>
            </w:r>
          </w:p>
        </w:tc>
        <w:tc>
          <w:tcPr>
            <w:tcW w:w="2644" w:type="dxa"/>
            <w:noWrap/>
            <w:vAlign w:val="center"/>
          </w:tcPr>
          <w:p w14:paraId="5FC6FB7F" w14:textId="77777777" w:rsidR="00222E93" w:rsidRPr="00F42422" w:rsidRDefault="00222E93" w:rsidP="00671876">
            <w:pPr>
              <w:rPr>
                <w:rFonts w:eastAsia="Calibri"/>
                <w:sz w:val="22"/>
                <w:szCs w:val="22"/>
                <w:lang w:val="en-GB"/>
              </w:rPr>
            </w:pPr>
            <w:r>
              <w:rPr>
                <w:rFonts w:eastAsia="Calibri"/>
                <w:sz w:val="22"/>
                <w:szCs w:val="22"/>
                <w:lang w:val="en-GB"/>
              </w:rPr>
              <w:t>49</w:t>
            </w:r>
            <w:r w:rsidRPr="00F42422">
              <w:rPr>
                <w:rFonts w:eastAsia="Calibri"/>
                <w:sz w:val="22"/>
                <w:szCs w:val="22"/>
                <w:lang w:val="en-GB"/>
              </w:rPr>
              <w:t xml:space="preserve"> (</w:t>
            </w:r>
            <w:r>
              <w:rPr>
                <w:rFonts w:eastAsia="Calibri"/>
                <w:sz w:val="22"/>
                <w:szCs w:val="22"/>
                <w:lang w:val="en-GB"/>
              </w:rPr>
              <w:t>1.2</w:t>
            </w:r>
            <w:r w:rsidRPr="00F42422">
              <w:rPr>
                <w:rFonts w:eastAsia="Calibri"/>
                <w:sz w:val="22"/>
                <w:szCs w:val="22"/>
                <w:lang w:val="en-GB"/>
              </w:rPr>
              <w:t>)</w:t>
            </w:r>
          </w:p>
        </w:tc>
      </w:tr>
      <w:tr w:rsidR="00D94C38" w:rsidRPr="00492488" w14:paraId="16D75B4D" w14:textId="77777777" w:rsidTr="00AA2288">
        <w:trPr>
          <w:trHeight w:val="346"/>
        </w:trPr>
        <w:tc>
          <w:tcPr>
            <w:tcW w:w="5035" w:type="dxa"/>
            <w:noWrap/>
          </w:tcPr>
          <w:p w14:paraId="1046FD8A" w14:textId="77777777" w:rsidR="00222E93" w:rsidRPr="00F42422" w:rsidRDefault="00222E93" w:rsidP="00222E93">
            <w:pPr>
              <w:jc w:val="left"/>
              <w:rPr>
                <w:rFonts w:eastAsia="Calibri"/>
                <w:sz w:val="22"/>
                <w:szCs w:val="22"/>
                <w:lang w:val="en-GB"/>
              </w:rPr>
            </w:pPr>
            <w:r w:rsidRPr="00F42422">
              <w:t>Wholesale trade</w:t>
            </w:r>
          </w:p>
        </w:tc>
        <w:tc>
          <w:tcPr>
            <w:tcW w:w="2936" w:type="dxa"/>
            <w:noWrap/>
            <w:vAlign w:val="center"/>
          </w:tcPr>
          <w:p w14:paraId="0E795181" w14:textId="77777777" w:rsidR="00222E93" w:rsidRPr="00F42422" w:rsidRDefault="00222E93" w:rsidP="00671876">
            <w:pPr>
              <w:rPr>
                <w:rFonts w:eastAsia="Calibri"/>
                <w:sz w:val="22"/>
                <w:szCs w:val="22"/>
                <w:vertAlign w:val="superscript"/>
                <w:lang w:val="en-GB"/>
              </w:rPr>
            </w:pPr>
            <w:r w:rsidRPr="00F42422">
              <w:rPr>
                <w:rFonts w:eastAsia="Calibri"/>
                <w:sz w:val="22"/>
                <w:szCs w:val="22"/>
                <w:lang w:val="en-GB"/>
              </w:rPr>
              <w:t>2</w:t>
            </w:r>
            <w:r>
              <w:rPr>
                <w:rFonts w:eastAsia="Calibri"/>
                <w:sz w:val="22"/>
                <w:szCs w:val="22"/>
                <w:lang w:val="en-GB"/>
              </w:rPr>
              <w:t>9.2</w:t>
            </w:r>
            <w:r w:rsidRPr="00F42422">
              <w:rPr>
                <w:rFonts w:eastAsia="Calibri"/>
                <w:sz w:val="22"/>
                <w:szCs w:val="22"/>
                <w:lang w:val="en-GB"/>
              </w:rPr>
              <w:t xml:space="preserve"> (</w:t>
            </w:r>
            <w:r>
              <w:rPr>
                <w:rFonts w:eastAsia="Calibri"/>
                <w:sz w:val="22"/>
                <w:szCs w:val="22"/>
                <w:lang w:val="en-GB"/>
              </w:rPr>
              <w:t>17.4, 41.0</w:t>
            </w:r>
            <w:r w:rsidRPr="00F42422">
              <w:rPr>
                <w:rFonts w:eastAsia="Calibri"/>
                <w:sz w:val="22"/>
                <w:szCs w:val="22"/>
                <w:lang w:val="en-GB"/>
              </w:rPr>
              <w:t>)</w:t>
            </w:r>
          </w:p>
        </w:tc>
        <w:tc>
          <w:tcPr>
            <w:tcW w:w="2644" w:type="dxa"/>
            <w:noWrap/>
            <w:vAlign w:val="center"/>
          </w:tcPr>
          <w:p w14:paraId="5F388872" w14:textId="77777777" w:rsidR="00222E93" w:rsidRPr="00F42422" w:rsidRDefault="00222E93" w:rsidP="00671876">
            <w:pPr>
              <w:rPr>
                <w:rFonts w:eastAsia="Calibri"/>
                <w:sz w:val="22"/>
                <w:szCs w:val="22"/>
                <w:vertAlign w:val="superscript"/>
                <w:lang w:val="en-GB"/>
              </w:rPr>
            </w:pPr>
            <w:r>
              <w:rPr>
                <w:rFonts w:eastAsia="Calibri"/>
                <w:sz w:val="22"/>
                <w:szCs w:val="22"/>
                <w:lang w:val="en-GB"/>
              </w:rPr>
              <w:t>47</w:t>
            </w:r>
            <w:r w:rsidRPr="00F42422">
              <w:rPr>
                <w:rFonts w:eastAsia="Calibri"/>
                <w:sz w:val="22"/>
                <w:szCs w:val="22"/>
                <w:lang w:val="en-GB"/>
              </w:rPr>
              <w:t xml:space="preserve"> (1.</w:t>
            </w:r>
            <w:r>
              <w:rPr>
                <w:rFonts w:eastAsia="Calibri"/>
                <w:sz w:val="22"/>
                <w:szCs w:val="22"/>
                <w:lang w:val="en-GB"/>
              </w:rPr>
              <w:t>4</w:t>
            </w:r>
            <w:r w:rsidRPr="00F42422">
              <w:rPr>
                <w:rFonts w:eastAsia="Calibri"/>
                <w:sz w:val="22"/>
                <w:szCs w:val="22"/>
                <w:lang w:val="en-GB"/>
              </w:rPr>
              <w:t>)</w:t>
            </w:r>
          </w:p>
        </w:tc>
      </w:tr>
      <w:tr w:rsidR="00D94C38" w:rsidRPr="00492488" w14:paraId="70CB1FB0" w14:textId="77777777" w:rsidTr="00AA2288">
        <w:trPr>
          <w:trHeight w:val="346"/>
        </w:trPr>
        <w:tc>
          <w:tcPr>
            <w:tcW w:w="5035" w:type="dxa"/>
            <w:noWrap/>
            <w:hideMark/>
          </w:tcPr>
          <w:p w14:paraId="5ED6634D" w14:textId="77777777" w:rsidR="00222E93" w:rsidRPr="00F42422" w:rsidRDefault="00222E93" w:rsidP="00222E93">
            <w:pPr>
              <w:jc w:val="left"/>
              <w:rPr>
                <w:rFonts w:eastAsia="Calibri"/>
                <w:sz w:val="22"/>
                <w:szCs w:val="22"/>
                <w:lang w:val="en-GB"/>
              </w:rPr>
            </w:pPr>
            <w:r w:rsidRPr="00F42422">
              <w:t>Health care and social assistance </w:t>
            </w:r>
          </w:p>
        </w:tc>
        <w:tc>
          <w:tcPr>
            <w:tcW w:w="2936" w:type="dxa"/>
            <w:noWrap/>
            <w:vAlign w:val="center"/>
          </w:tcPr>
          <w:p w14:paraId="61AC6201" w14:textId="77777777" w:rsidR="00222E93" w:rsidRPr="00F42422" w:rsidRDefault="00222E93" w:rsidP="00671876">
            <w:pPr>
              <w:rPr>
                <w:rFonts w:eastAsia="Calibri"/>
                <w:sz w:val="22"/>
                <w:szCs w:val="22"/>
                <w:lang w:val="en-GB"/>
              </w:rPr>
            </w:pPr>
            <w:r>
              <w:rPr>
                <w:rFonts w:eastAsia="Calibri"/>
                <w:sz w:val="22"/>
                <w:szCs w:val="22"/>
                <w:lang w:val="en-GB"/>
              </w:rPr>
              <w:t>26.1</w:t>
            </w:r>
            <w:r w:rsidRPr="00F42422">
              <w:rPr>
                <w:rFonts w:eastAsia="Calibri"/>
                <w:sz w:val="22"/>
                <w:szCs w:val="22"/>
                <w:lang w:val="en-GB"/>
              </w:rPr>
              <w:t xml:space="preserve"> (</w:t>
            </w:r>
            <w:r>
              <w:rPr>
                <w:rFonts w:eastAsia="Calibri"/>
                <w:sz w:val="22"/>
                <w:szCs w:val="22"/>
                <w:lang w:val="en-GB"/>
              </w:rPr>
              <w:t>22.0, 30.2</w:t>
            </w:r>
            <w:r w:rsidRPr="00F42422">
              <w:rPr>
                <w:rFonts w:eastAsia="Calibri"/>
                <w:sz w:val="22"/>
                <w:szCs w:val="22"/>
                <w:lang w:val="en-GB"/>
              </w:rPr>
              <w:t>)</w:t>
            </w:r>
          </w:p>
        </w:tc>
        <w:tc>
          <w:tcPr>
            <w:tcW w:w="2644" w:type="dxa"/>
            <w:noWrap/>
            <w:vAlign w:val="center"/>
          </w:tcPr>
          <w:p w14:paraId="2D38A2D2" w14:textId="77777777" w:rsidR="00222E93" w:rsidRPr="00052716" w:rsidRDefault="00222E93" w:rsidP="00671876">
            <w:pPr>
              <w:spacing w:before="100" w:beforeAutospacing="1" w:after="100" w:afterAutospacing="1"/>
              <w:rPr>
                <w:rFonts w:eastAsia="Calibri"/>
                <w:sz w:val="22"/>
                <w:szCs w:val="22"/>
                <w:lang w:val="en-GB"/>
              </w:rPr>
            </w:pPr>
            <w:r w:rsidRPr="001E3D6A">
              <w:rPr>
                <w:rFonts w:eastAsia="Calibri"/>
                <w:sz w:val="22"/>
                <w:szCs w:val="22"/>
                <w:lang w:val="en-GB"/>
              </w:rPr>
              <w:t>310 (9.2)</w:t>
            </w:r>
          </w:p>
        </w:tc>
      </w:tr>
      <w:tr w:rsidR="00D94C38" w:rsidRPr="00492488" w14:paraId="5548F589" w14:textId="77777777" w:rsidTr="00AA2288">
        <w:trPr>
          <w:trHeight w:val="346"/>
        </w:trPr>
        <w:tc>
          <w:tcPr>
            <w:tcW w:w="5035" w:type="dxa"/>
            <w:noWrap/>
          </w:tcPr>
          <w:p w14:paraId="3B8B9521" w14:textId="77777777" w:rsidR="007922D6" w:rsidRPr="00F42422" w:rsidRDefault="007922D6" w:rsidP="007922D6">
            <w:pPr>
              <w:jc w:val="left"/>
            </w:pPr>
            <w:r w:rsidRPr="00F42422">
              <w:t>Professional, scientific, and technical services</w:t>
            </w:r>
          </w:p>
        </w:tc>
        <w:tc>
          <w:tcPr>
            <w:tcW w:w="2936" w:type="dxa"/>
            <w:noWrap/>
            <w:vAlign w:val="center"/>
          </w:tcPr>
          <w:p w14:paraId="74E4E5EE" w14:textId="77777777" w:rsidR="007922D6" w:rsidRDefault="007922D6" w:rsidP="00671876">
            <w:pPr>
              <w:rPr>
                <w:rFonts w:eastAsia="Calibri"/>
                <w:sz w:val="22"/>
                <w:szCs w:val="22"/>
                <w:lang w:val="en-GB"/>
              </w:rPr>
            </w:pPr>
            <w:r>
              <w:rPr>
                <w:rFonts w:eastAsia="Calibri"/>
                <w:sz w:val="22"/>
                <w:szCs w:val="22"/>
                <w:lang w:val="en-GB"/>
              </w:rPr>
              <w:t>14.8</w:t>
            </w:r>
            <w:r w:rsidRPr="00F42422">
              <w:rPr>
                <w:rFonts w:eastAsia="Calibri"/>
                <w:sz w:val="22"/>
                <w:szCs w:val="22"/>
                <w:lang w:val="en-GB"/>
              </w:rPr>
              <w:t xml:space="preserve"> (</w:t>
            </w:r>
            <w:r>
              <w:rPr>
                <w:rFonts w:eastAsia="Calibri"/>
                <w:sz w:val="22"/>
                <w:szCs w:val="22"/>
                <w:lang w:val="en-GB"/>
              </w:rPr>
              <w:t>10.9, 18.8</w:t>
            </w:r>
            <w:r w:rsidRPr="00F42422">
              <w:rPr>
                <w:rFonts w:eastAsia="Calibri"/>
                <w:sz w:val="22"/>
                <w:szCs w:val="22"/>
                <w:lang w:val="en-GB"/>
              </w:rPr>
              <w:t>)</w:t>
            </w:r>
          </w:p>
        </w:tc>
        <w:tc>
          <w:tcPr>
            <w:tcW w:w="2644" w:type="dxa"/>
            <w:noWrap/>
            <w:vAlign w:val="center"/>
          </w:tcPr>
          <w:p w14:paraId="0C55DE97" w14:textId="77777777" w:rsidR="007922D6" w:rsidRPr="001E3D6A" w:rsidRDefault="007922D6" w:rsidP="00671876">
            <w:pPr>
              <w:spacing w:before="100" w:beforeAutospacing="1" w:after="100" w:afterAutospacing="1"/>
              <w:rPr>
                <w:rFonts w:eastAsia="Calibri"/>
                <w:sz w:val="22"/>
                <w:szCs w:val="22"/>
                <w:lang w:val="en-GB"/>
              </w:rPr>
            </w:pPr>
            <w:r w:rsidRPr="001E3D6A">
              <w:rPr>
                <w:rFonts w:eastAsia="Calibri"/>
                <w:sz w:val="22"/>
                <w:szCs w:val="22"/>
                <w:lang w:val="en-GB"/>
              </w:rPr>
              <w:t>106 (3.2)</w:t>
            </w:r>
          </w:p>
        </w:tc>
      </w:tr>
      <w:tr w:rsidR="00D94C38" w:rsidRPr="00492488" w14:paraId="628DE958" w14:textId="77777777" w:rsidTr="00AA2288">
        <w:trPr>
          <w:trHeight w:val="346"/>
        </w:trPr>
        <w:tc>
          <w:tcPr>
            <w:tcW w:w="5035" w:type="dxa"/>
            <w:noWrap/>
            <w:hideMark/>
          </w:tcPr>
          <w:p w14:paraId="6B0068D3" w14:textId="77777777" w:rsidR="007922D6" w:rsidRPr="00F42422" w:rsidRDefault="007922D6" w:rsidP="007922D6">
            <w:pPr>
              <w:jc w:val="left"/>
              <w:rPr>
                <w:rFonts w:eastAsia="Calibri"/>
                <w:sz w:val="22"/>
                <w:szCs w:val="22"/>
                <w:lang w:val="en-GB"/>
              </w:rPr>
            </w:pPr>
            <w:r w:rsidRPr="00F42422">
              <w:t>Finance and insurance</w:t>
            </w:r>
          </w:p>
        </w:tc>
        <w:tc>
          <w:tcPr>
            <w:tcW w:w="2936" w:type="dxa"/>
            <w:noWrap/>
            <w:vAlign w:val="center"/>
          </w:tcPr>
          <w:p w14:paraId="09C2619D" w14:textId="77777777" w:rsidR="007922D6" w:rsidRPr="00F42422" w:rsidRDefault="007922D6" w:rsidP="00671876">
            <w:pPr>
              <w:rPr>
                <w:rFonts w:eastAsia="Calibri"/>
                <w:sz w:val="22"/>
                <w:szCs w:val="22"/>
                <w:lang w:val="en-GB"/>
              </w:rPr>
            </w:pPr>
            <w:r>
              <w:rPr>
                <w:rFonts w:eastAsia="Calibri"/>
                <w:sz w:val="22"/>
                <w:szCs w:val="22"/>
                <w:lang w:val="en-GB"/>
              </w:rPr>
              <w:t>14.8</w:t>
            </w:r>
            <w:r w:rsidRPr="00F42422">
              <w:rPr>
                <w:rFonts w:eastAsia="Calibri"/>
                <w:sz w:val="22"/>
                <w:szCs w:val="22"/>
                <w:lang w:val="en-GB"/>
              </w:rPr>
              <w:t xml:space="preserve"> (</w:t>
            </w:r>
            <w:r>
              <w:rPr>
                <w:rFonts w:eastAsia="Calibri"/>
                <w:sz w:val="22"/>
                <w:szCs w:val="22"/>
                <w:lang w:val="en-GB"/>
              </w:rPr>
              <w:t>9.5, 20.2</w:t>
            </w:r>
            <w:r w:rsidRPr="00F42422">
              <w:rPr>
                <w:rFonts w:eastAsia="Calibri"/>
                <w:sz w:val="22"/>
                <w:szCs w:val="22"/>
                <w:lang w:val="en-GB"/>
              </w:rPr>
              <w:t>)</w:t>
            </w:r>
          </w:p>
        </w:tc>
        <w:tc>
          <w:tcPr>
            <w:tcW w:w="2644" w:type="dxa"/>
            <w:noWrap/>
            <w:vAlign w:val="center"/>
          </w:tcPr>
          <w:p w14:paraId="01277A5D" w14:textId="77777777" w:rsidR="007922D6" w:rsidRPr="00052716" w:rsidRDefault="007922D6" w:rsidP="00671876">
            <w:pPr>
              <w:spacing w:before="100" w:beforeAutospacing="1" w:after="100" w:afterAutospacing="1"/>
              <w:rPr>
                <w:rFonts w:eastAsia="Calibri"/>
                <w:sz w:val="22"/>
                <w:szCs w:val="22"/>
                <w:lang w:val="en-GB"/>
              </w:rPr>
            </w:pPr>
            <w:r w:rsidRPr="001E3D6A">
              <w:rPr>
                <w:rFonts w:eastAsia="Calibri"/>
                <w:sz w:val="22"/>
                <w:szCs w:val="22"/>
                <w:lang w:val="en-GB"/>
              </w:rPr>
              <w:t>60 (1.8)</w:t>
            </w:r>
          </w:p>
        </w:tc>
      </w:tr>
      <w:tr w:rsidR="00D94C38" w:rsidRPr="00492488" w14:paraId="0FF9E4DF" w14:textId="77777777" w:rsidTr="00AA2288">
        <w:trPr>
          <w:trHeight w:val="346"/>
        </w:trPr>
        <w:tc>
          <w:tcPr>
            <w:tcW w:w="5035" w:type="dxa"/>
            <w:noWrap/>
          </w:tcPr>
          <w:p w14:paraId="793DD193" w14:textId="77777777" w:rsidR="007922D6" w:rsidRPr="00F42422" w:rsidRDefault="007922D6" w:rsidP="007922D6">
            <w:pPr>
              <w:jc w:val="left"/>
            </w:pPr>
            <w:r w:rsidRPr="00F42422">
              <w:t>Public administration</w:t>
            </w:r>
          </w:p>
        </w:tc>
        <w:tc>
          <w:tcPr>
            <w:tcW w:w="2936" w:type="dxa"/>
            <w:noWrap/>
            <w:vAlign w:val="center"/>
          </w:tcPr>
          <w:p w14:paraId="539DDC54" w14:textId="77777777" w:rsidR="007922D6" w:rsidRDefault="007922D6" w:rsidP="00671876">
            <w:pPr>
              <w:rPr>
                <w:rFonts w:eastAsia="Calibri"/>
                <w:sz w:val="22"/>
                <w:szCs w:val="22"/>
                <w:lang w:val="en-GB"/>
              </w:rPr>
            </w:pPr>
            <w:r>
              <w:rPr>
                <w:rFonts w:eastAsia="Calibri"/>
                <w:sz w:val="22"/>
                <w:szCs w:val="22"/>
                <w:lang w:val="en-GB"/>
              </w:rPr>
              <w:t>11.9</w:t>
            </w:r>
            <w:r w:rsidRPr="00F42422">
              <w:rPr>
                <w:rFonts w:eastAsia="Calibri"/>
                <w:sz w:val="22"/>
                <w:szCs w:val="22"/>
                <w:lang w:val="en-GB"/>
              </w:rPr>
              <w:t xml:space="preserve"> (</w:t>
            </w:r>
            <w:r>
              <w:rPr>
                <w:rFonts w:eastAsia="Calibri"/>
                <w:sz w:val="22"/>
                <w:szCs w:val="22"/>
                <w:lang w:val="en-GB"/>
              </w:rPr>
              <w:t>6.2, 17.6</w:t>
            </w:r>
            <w:r w:rsidRPr="00F42422">
              <w:rPr>
                <w:rFonts w:eastAsia="Calibri"/>
                <w:sz w:val="22"/>
                <w:szCs w:val="22"/>
                <w:lang w:val="en-GB"/>
              </w:rPr>
              <w:t>)</w:t>
            </w:r>
          </w:p>
        </w:tc>
        <w:tc>
          <w:tcPr>
            <w:tcW w:w="2644" w:type="dxa"/>
            <w:noWrap/>
            <w:vAlign w:val="center"/>
          </w:tcPr>
          <w:p w14:paraId="6A1A59F4" w14:textId="77777777" w:rsidR="007922D6" w:rsidRPr="001E3D6A" w:rsidRDefault="007922D6" w:rsidP="00671876">
            <w:pPr>
              <w:rPr>
                <w:rFonts w:eastAsia="Calibri"/>
                <w:sz w:val="22"/>
                <w:szCs w:val="22"/>
                <w:lang w:val="en-GB"/>
              </w:rPr>
            </w:pPr>
            <w:r w:rsidRPr="001E3D6A">
              <w:rPr>
                <w:rFonts w:eastAsia="Calibri"/>
                <w:sz w:val="22"/>
                <w:szCs w:val="22"/>
                <w:lang w:val="en-GB"/>
              </w:rPr>
              <w:t>33 (1.0)</w:t>
            </w:r>
          </w:p>
        </w:tc>
      </w:tr>
      <w:tr w:rsidR="00D94C38" w:rsidRPr="00492488" w14:paraId="47A7F7DC" w14:textId="77777777" w:rsidTr="00AA2288">
        <w:trPr>
          <w:trHeight w:val="346"/>
        </w:trPr>
        <w:tc>
          <w:tcPr>
            <w:tcW w:w="5035" w:type="dxa"/>
            <w:noWrap/>
            <w:hideMark/>
          </w:tcPr>
          <w:p w14:paraId="00CE02D3" w14:textId="77777777" w:rsidR="007922D6" w:rsidRPr="00F42422" w:rsidRDefault="007922D6" w:rsidP="007922D6">
            <w:pPr>
              <w:jc w:val="left"/>
              <w:rPr>
                <w:rFonts w:eastAsia="Calibri"/>
                <w:sz w:val="22"/>
                <w:szCs w:val="22"/>
                <w:lang w:val="en-GB"/>
              </w:rPr>
            </w:pPr>
            <w:r w:rsidRPr="00F42422">
              <w:t>Educational services</w:t>
            </w:r>
          </w:p>
        </w:tc>
        <w:tc>
          <w:tcPr>
            <w:tcW w:w="2936" w:type="dxa"/>
            <w:noWrap/>
            <w:vAlign w:val="center"/>
          </w:tcPr>
          <w:p w14:paraId="7A4F1AE3" w14:textId="77777777" w:rsidR="007922D6" w:rsidRPr="00F42422" w:rsidRDefault="007922D6" w:rsidP="00671876">
            <w:pPr>
              <w:rPr>
                <w:rFonts w:eastAsia="Calibri"/>
                <w:sz w:val="22"/>
                <w:szCs w:val="22"/>
                <w:lang w:val="en-GB"/>
              </w:rPr>
            </w:pPr>
            <w:r>
              <w:rPr>
                <w:rFonts w:eastAsia="Calibri"/>
                <w:sz w:val="22"/>
                <w:szCs w:val="22"/>
                <w:lang w:val="en-GB"/>
              </w:rPr>
              <w:t>6.0</w:t>
            </w:r>
            <w:r w:rsidRPr="00F42422">
              <w:rPr>
                <w:rFonts w:eastAsia="Calibri"/>
                <w:sz w:val="22"/>
                <w:szCs w:val="22"/>
                <w:lang w:val="en-GB"/>
              </w:rPr>
              <w:t xml:space="preserve"> (</w:t>
            </w:r>
            <w:r>
              <w:rPr>
                <w:rFonts w:eastAsia="Calibri"/>
                <w:sz w:val="22"/>
                <w:szCs w:val="22"/>
                <w:lang w:val="en-GB"/>
              </w:rPr>
              <w:t>3.6, 8.4</w:t>
            </w:r>
            <w:r w:rsidRPr="00F42422">
              <w:rPr>
                <w:rFonts w:eastAsia="Calibri"/>
                <w:sz w:val="22"/>
                <w:szCs w:val="22"/>
                <w:lang w:val="en-GB"/>
              </w:rPr>
              <w:t>)</w:t>
            </w:r>
          </w:p>
        </w:tc>
        <w:tc>
          <w:tcPr>
            <w:tcW w:w="2644" w:type="dxa"/>
            <w:noWrap/>
            <w:vAlign w:val="center"/>
          </w:tcPr>
          <w:p w14:paraId="47C7662F" w14:textId="77777777" w:rsidR="007922D6" w:rsidRPr="001E3D6A" w:rsidRDefault="007922D6" w:rsidP="00671876">
            <w:pPr>
              <w:rPr>
                <w:rFonts w:eastAsia="Calibri"/>
                <w:sz w:val="22"/>
                <w:szCs w:val="22"/>
                <w:lang w:val="en-GB"/>
              </w:rPr>
            </w:pPr>
            <w:r w:rsidRPr="001E3D6A">
              <w:rPr>
                <w:rFonts w:eastAsia="Calibri"/>
                <w:sz w:val="22"/>
                <w:szCs w:val="22"/>
                <w:lang w:val="en-GB"/>
              </w:rPr>
              <w:t>49 (1.5)</w:t>
            </w:r>
          </w:p>
        </w:tc>
      </w:tr>
      <w:tr w:rsidR="00D94C38" w:rsidRPr="00492488" w14:paraId="2AE54C18" w14:textId="77777777" w:rsidTr="00AA2288">
        <w:trPr>
          <w:trHeight w:val="346"/>
        </w:trPr>
        <w:tc>
          <w:tcPr>
            <w:tcW w:w="5035" w:type="dxa"/>
            <w:noWrap/>
          </w:tcPr>
          <w:p w14:paraId="11DC8426" w14:textId="77777777" w:rsidR="007922D6" w:rsidRPr="00F42422" w:rsidRDefault="007922D6" w:rsidP="007922D6">
            <w:pPr>
              <w:jc w:val="left"/>
            </w:pPr>
            <w:r w:rsidRPr="00F42422">
              <w:t>Management of companies and enterprises</w:t>
            </w:r>
          </w:p>
        </w:tc>
        <w:tc>
          <w:tcPr>
            <w:tcW w:w="2936" w:type="dxa"/>
            <w:noWrap/>
            <w:vAlign w:val="center"/>
          </w:tcPr>
          <w:p w14:paraId="53C65562" w14:textId="77777777" w:rsidR="007922D6" w:rsidRPr="00F42422" w:rsidRDefault="00706511" w:rsidP="00671876">
            <w:pPr>
              <w:rPr>
                <w:rFonts w:eastAsia="Calibri"/>
                <w:sz w:val="22"/>
                <w:szCs w:val="22"/>
                <w:lang w:val="en-GB"/>
              </w:rPr>
            </w:pPr>
            <w:r w:rsidRPr="00F42422">
              <w:t>__</w:t>
            </w:r>
            <w:r>
              <w:rPr>
                <w:vertAlign w:val="superscript"/>
              </w:rPr>
              <w:t>2</w:t>
            </w:r>
          </w:p>
        </w:tc>
        <w:tc>
          <w:tcPr>
            <w:tcW w:w="2644" w:type="dxa"/>
            <w:noWrap/>
            <w:vAlign w:val="center"/>
          </w:tcPr>
          <w:p w14:paraId="7AC6778D" w14:textId="77777777" w:rsidR="007922D6" w:rsidRPr="00052716" w:rsidRDefault="00706511" w:rsidP="00671876">
            <w:pPr>
              <w:spacing w:before="100" w:beforeAutospacing="1" w:after="100" w:afterAutospacing="1"/>
              <w:rPr>
                <w:rFonts w:eastAsia="Calibri"/>
                <w:sz w:val="22"/>
                <w:szCs w:val="22"/>
                <w:lang w:val="en-GB"/>
              </w:rPr>
            </w:pPr>
            <w:r w:rsidRPr="00F42422">
              <w:t>__</w:t>
            </w:r>
            <w:r>
              <w:rPr>
                <w:vertAlign w:val="superscript"/>
              </w:rPr>
              <w:t>2</w:t>
            </w:r>
          </w:p>
        </w:tc>
      </w:tr>
      <w:tr w:rsidR="00D94C38" w:rsidRPr="00492488" w14:paraId="48398873" w14:textId="77777777" w:rsidTr="00AA2288">
        <w:trPr>
          <w:trHeight w:val="346"/>
        </w:trPr>
        <w:tc>
          <w:tcPr>
            <w:tcW w:w="5035" w:type="dxa"/>
            <w:noWrap/>
            <w:hideMark/>
          </w:tcPr>
          <w:p w14:paraId="39A4EF8A" w14:textId="77777777" w:rsidR="007922D6" w:rsidRPr="00F42422" w:rsidRDefault="007922D6" w:rsidP="007922D6">
            <w:pPr>
              <w:jc w:val="left"/>
              <w:rPr>
                <w:rFonts w:eastAsia="Calibri"/>
                <w:sz w:val="22"/>
                <w:szCs w:val="22"/>
                <w:lang w:val="en-GB"/>
              </w:rPr>
            </w:pPr>
            <w:r w:rsidRPr="00F42422">
              <w:t>Military</w:t>
            </w:r>
          </w:p>
        </w:tc>
        <w:tc>
          <w:tcPr>
            <w:tcW w:w="2936" w:type="dxa"/>
            <w:noWrap/>
            <w:vAlign w:val="center"/>
          </w:tcPr>
          <w:p w14:paraId="07864B2A" w14:textId="77777777" w:rsidR="007922D6" w:rsidRPr="00F42422" w:rsidRDefault="007922D6" w:rsidP="00671876">
            <w:pPr>
              <w:rPr>
                <w:rFonts w:eastAsia="Calibri"/>
                <w:sz w:val="22"/>
                <w:szCs w:val="22"/>
                <w:vertAlign w:val="superscript"/>
                <w:lang w:val="en-GB"/>
              </w:rPr>
            </w:pPr>
            <w:r w:rsidRPr="00F42422">
              <w:t>__</w:t>
            </w:r>
            <w:r w:rsidRPr="00F42422">
              <w:rPr>
                <w:vertAlign w:val="superscript"/>
              </w:rPr>
              <w:t>3</w:t>
            </w:r>
          </w:p>
        </w:tc>
        <w:tc>
          <w:tcPr>
            <w:tcW w:w="2644" w:type="dxa"/>
            <w:noWrap/>
            <w:vAlign w:val="center"/>
          </w:tcPr>
          <w:p w14:paraId="45FE4F6B" w14:textId="77777777" w:rsidR="007922D6" w:rsidRPr="00052716" w:rsidRDefault="007922D6" w:rsidP="00671876">
            <w:pPr>
              <w:spacing w:before="100" w:beforeAutospacing="1" w:after="100" w:afterAutospacing="1"/>
              <w:rPr>
                <w:rFonts w:eastAsia="Calibri"/>
                <w:sz w:val="22"/>
                <w:szCs w:val="22"/>
                <w:lang w:val="en-GB"/>
              </w:rPr>
            </w:pPr>
            <w:r w:rsidRPr="001E3D6A">
              <w:rPr>
                <w:rFonts w:eastAsia="Calibri"/>
                <w:sz w:val="22"/>
                <w:szCs w:val="22"/>
                <w:lang w:val="en-GB"/>
              </w:rPr>
              <w:t>16 (0.5)</w:t>
            </w:r>
          </w:p>
        </w:tc>
      </w:tr>
      <w:tr w:rsidR="00D94C38" w:rsidRPr="00492488" w14:paraId="4F1ED9F9" w14:textId="77777777" w:rsidTr="00AA2288">
        <w:trPr>
          <w:trHeight w:val="346"/>
        </w:trPr>
        <w:tc>
          <w:tcPr>
            <w:tcW w:w="5035" w:type="dxa"/>
            <w:noWrap/>
            <w:hideMark/>
          </w:tcPr>
          <w:p w14:paraId="62346FAE" w14:textId="77777777" w:rsidR="007922D6" w:rsidRPr="00F42422" w:rsidRDefault="007922D6" w:rsidP="007922D6">
            <w:pPr>
              <w:jc w:val="left"/>
              <w:rPr>
                <w:rFonts w:eastAsia="Calibri"/>
                <w:sz w:val="22"/>
                <w:szCs w:val="22"/>
                <w:lang w:val="en-GB"/>
              </w:rPr>
            </w:pPr>
            <w:r w:rsidRPr="00F42422">
              <w:t>Unknown</w:t>
            </w:r>
          </w:p>
        </w:tc>
        <w:tc>
          <w:tcPr>
            <w:tcW w:w="2936" w:type="dxa"/>
            <w:noWrap/>
            <w:vAlign w:val="center"/>
          </w:tcPr>
          <w:p w14:paraId="10AD4021" w14:textId="77777777" w:rsidR="007922D6" w:rsidRPr="00F42422" w:rsidRDefault="007922D6" w:rsidP="00671876">
            <w:pPr>
              <w:rPr>
                <w:rFonts w:eastAsia="Calibri"/>
                <w:sz w:val="22"/>
                <w:szCs w:val="22"/>
                <w:vertAlign w:val="superscript"/>
                <w:lang w:val="en-GB"/>
              </w:rPr>
            </w:pPr>
            <w:r w:rsidRPr="00F42422">
              <w:t>__</w:t>
            </w:r>
            <w:r w:rsidRPr="00F42422">
              <w:rPr>
                <w:vertAlign w:val="superscript"/>
              </w:rPr>
              <w:t>3</w:t>
            </w:r>
          </w:p>
        </w:tc>
        <w:tc>
          <w:tcPr>
            <w:tcW w:w="2644" w:type="dxa"/>
            <w:noWrap/>
            <w:vAlign w:val="center"/>
          </w:tcPr>
          <w:p w14:paraId="6181E443" w14:textId="77777777" w:rsidR="007922D6" w:rsidRPr="00052716" w:rsidRDefault="007922D6" w:rsidP="00671876">
            <w:pPr>
              <w:spacing w:before="100" w:beforeAutospacing="1" w:after="100" w:afterAutospacing="1"/>
              <w:rPr>
                <w:rFonts w:eastAsia="Calibri"/>
                <w:sz w:val="22"/>
                <w:szCs w:val="22"/>
                <w:lang w:val="en-GB"/>
              </w:rPr>
            </w:pPr>
            <w:r w:rsidRPr="001E3D6A">
              <w:rPr>
                <w:rFonts w:eastAsia="Calibri"/>
                <w:sz w:val="22"/>
                <w:szCs w:val="22"/>
                <w:lang w:val="en-GB"/>
              </w:rPr>
              <w:t>39 (1.2)</w:t>
            </w:r>
          </w:p>
        </w:tc>
      </w:tr>
      <w:tr w:rsidR="00D94C38" w:rsidRPr="00492488" w14:paraId="2E9E99AC" w14:textId="77777777" w:rsidTr="00AA2288">
        <w:trPr>
          <w:trHeight w:val="346"/>
        </w:trPr>
        <w:tc>
          <w:tcPr>
            <w:tcW w:w="5035" w:type="dxa"/>
            <w:noWrap/>
            <w:hideMark/>
          </w:tcPr>
          <w:p w14:paraId="6D9CF40E" w14:textId="77777777" w:rsidR="007922D6" w:rsidRPr="00F42422" w:rsidRDefault="00C1330E" w:rsidP="007922D6">
            <w:pPr>
              <w:jc w:val="left"/>
              <w:rPr>
                <w:rFonts w:eastAsia="Calibri"/>
                <w:sz w:val="22"/>
                <w:szCs w:val="22"/>
                <w:lang w:val="en-GB"/>
              </w:rPr>
            </w:pPr>
            <w:r>
              <w:rPr>
                <w:b/>
              </w:rPr>
              <w:t xml:space="preserve"> All Industries</w:t>
            </w:r>
          </w:p>
        </w:tc>
        <w:tc>
          <w:tcPr>
            <w:tcW w:w="2936" w:type="dxa"/>
            <w:noWrap/>
            <w:vAlign w:val="center"/>
          </w:tcPr>
          <w:p w14:paraId="394BABAE" w14:textId="77777777" w:rsidR="007922D6" w:rsidRPr="00F42422" w:rsidRDefault="007922D6" w:rsidP="00671876">
            <w:pPr>
              <w:rPr>
                <w:rFonts w:eastAsia="Calibri"/>
                <w:sz w:val="22"/>
                <w:szCs w:val="22"/>
                <w:lang w:val="en-GB"/>
              </w:rPr>
            </w:pPr>
            <w:r>
              <w:rPr>
                <w:rFonts w:eastAsia="Calibri"/>
                <w:sz w:val="22"/>
                <w:szCs w:val="22"/>
                <w:lang w:val="en-GB"/>
              </w:rPr>
              <w:t>46.1</w:t>
            </w:r>
            <w:r w:rsidRPr="00F42422">
              <w:rPr>
                <w:rFonts w:eastAsia="Calibri"/>
                <w:sz w:val="22"/>
                <w:szCs w:val="22"/>
                <w:lang w:val="en-GB"/>
              </w:rPr>
              <w:t xml:space="preserve"> (</w:t>
            </w:r>
            <w:r>
              <w:rPr>
                <w:rFonts w:eastAsia="Calibri"/>
                <w:sz w:val="22"/>
                <w:szCs w:val="22"/>
                <w:lang w:val="en-GB"/>
              </w:rPr>
              <w:t>43.8, 48.3</w:t>
            </w:r>
            <w:r w:rsidRPr="00F42422">
              <w:rPr>
                <w:rFonts w:eastAsia="Calibri"/>
                <w:sz w:val="22"/>
                <w:szCs w:val="22"/>
                <w:lang w:val="en-GB"/>
              </w:rPr>
              <w:t>)</w:t>
            </w:r>
          </w:p>
        </w:tc>
        <w:tc>
          <w:tcPr>
            <w:tcW w:w="2644" w:type="dxa"/>
            <w:noWrap/>
            <w:vAlign w:val="center"/>
          </w:tcPr>
          <w:p w14:paraId="27060FF3" w14:textId="77777777" w:rsidR="007922D6" w:rsidRPr="00052716" w:rsidRDefault="007922D6" w:rsidP="00671876">
            <w:pPr>
              <w:spacing w:before="100" w:beforeAutospacing="1" w:after="100" w:afterAutospacing="1"/>
              <w:rPr>
                <w:rFonts w:eastAsia="Calibri"/>
                <w:sz w:val="22"/>
                <w:szCs w:val="22"/>
                <w:lang w:val="en-GB"/>
              </w:rPr>
            </w:pPr>
            <w:r w:rsidRPr="001E3D6A">
              <w:rPr>
                <w:rFonts w:eastAsia="Calibri"/>
                <w:sz w:val="22"/>
                <w:szCs w:val="22"/>
                <w:lang w:val="en-GB"/>
              </w:rPr>
              <w:t>3,354 (100)</w:t>
            </w:r>
          </w:p>
        </w:tc>
      </w:tr>
    </w:tbl>
    <w:p w14:paraId="157A1E66" w14:textId="77777777" w:rsidR="00492488" w:rsidRPr="00492488" w:rsidRDefault="00492488" w:rsidP="00492488">
      <w:pPr>
        <w:jc w:val="left"/>
        <w:rPr>
          <w:sz w:val="20"/>
          <w:szCs w:val="20"/>
        </w:rPr>
      </w:pPr>
      <w:r w:rsidRPr="00492488">
        <w:rPr>
          <w:sz w:val="20"/>
          <w:szCs w:val="20"/>
          <w:vertAlign w:val="superscript"/>
        </w:rPr>
        <w:t>1</w:t>
      </w:r>
      <w:r w:rsidR="00D80406">
        <w:rPr>
          <w:sz w:val="20"/>
          <w:szCs w:val="20"/>
          <w:vertAlign w:val="superscript"/>
        </w:rPr>
        <w:t xml:space="preserve"> </w:t>
      </w:r>
      <w:r w:rsidRPr="00492488">
        <w:rPr>
          <w:sz w:val="20"/>
          <w:szCs w:val="20"/>
        </w:rPr>
        <w:t>Rate significantly higher than rate for all industr</w:t>
      </w:r>
      <w:r w:rsidR="0052314D">
        <w:rPr>
          <w:sz w:val="20"/>
          <w:szCs w:val="20"/>
        </w:rPr>
        <w:t>ies combined</w:t>
      </w:r>
    </w:p>
    <w:p w14:paraId="08ECEA67" w14:textId="77777777" w:rsidR="00492488" w:rsidRPr="00492488" w:rsidRDefault="00492488" w:rsidP="00492488">
      <w:pPr>
        <w:jc w:val="left"/>
        <w:rPr>
          <w:sz w:val="20"/>
          <w:szCs w:val="20"/>
        </w:rPr>
      </w:pPr>
      <w:r w:rsidRPr="00492488">
        <w:rPr>
          <w:sz w:val="20"/>
          <w:szCs w:val="20"/>
          <w:vertAlign w:val="superscript"/>
        </w:rPr>
        <w:t>2</w:t>
      </w:r>
      <w:r w:rsidR="00D80406">
        <w:rPr>
          <w:sz w:val="20"/>
          <w:szCs w:val="20"/>
          <w:vertAlign w:val="superscript"/>
        </w:rPr>
        <w:t xml:space="preserve"> </w:t>
      </w:r>
      <w:r w:rsidR="0034330E">
        <w:rPr>
          <w:sz w:val="20"/>
          <w:szCs w:val="20"/>
        </w:rPr>
        <w:t>Su</w:t>
      </w:r>
      <w:r w:rsidR="00D80406">
        <w:rPr>
          <w:sz w:val="20"/>
          <w:szCs w:val="20"/>
        </w:rPr>
        <w:t>p</w:t>
      </w:r>
      <w:r w:rsidRPr="00492488">
        <w:rPr>
          <w:sz w:val="20"/>
          <w:szCs w:val="20"/>
        </w:rPr>
        <w:t>pressed due to cell size restriction</w:t>
      </w:r>
    </w:p>
    <w:p w14:paraId="03E91F81" w14:textId="77777777" w:rsidR="00820EA1" w:rsidRDefault="00492488" w:rsidP="00492488">
      <w:pPr>
        <w:jc w:val="left"/>
        <w:rPr>
          <w:sz w:val="20"/>
          <w:szCs w:val="20"/>
        </w:rPr>
      </w:pPr>
      <w:r w:rsidRPr="00492488">
        <w:rPr>
          <w:sz w:val="20"/>
          <w:szCs w:val="20"/>
          <w:vertAlign w:val="superscript"/>
        </w:rPr>
        <w:t>3</w:t>
      </w:r>
      <w:r w:rsidRPr="00492488">
        <w:rPr>
          <w:sz w:val="20"/>
          <w:szCs w:val="20"/>
        </w:rPr>
        <w:t xml:space="preserve"> Unable to calculate rate due to lack of denominator</w:t>
      </w:r>
    </w:p>
    <w:p w14:paraId="216A402D" w14:textId="77777777" w:rsidR="00820EA1" w:rsidRPr="00820EA1" w:rsidRDefault="00820EA1" w:rsidP="00820EA1">
      <w:pPr>
        <w:jc w:val="left"/>
        <w:rPr>
          <w:sz w:val="20"/>
          <w:szCs w:val="20"/>
        </w:rPr>
      </w:pPr>
      <w:r w:rsidRPr="00820EA1">
        <w:rPr>
          <w:sz w:val="20"/>
          <w:szCs w:val="20"/>
        </w:rPr>
        <w:t>Numerator source: Occupational Health Surveillance Program, 201</w:t>
      </w:r>
      <w:r w:rsidR="008A5F32">
        <w:rPr>
          <w:sz w:val="20"/>
          <w:szCs w:val="20"/>
        </w:rPr>
        <w:t>6</w:t>
      </w:r>
      <w:r w:rsidRPr="00820EA1">
        <w:rPr>
          <w:sz w:val="20"/>
          <w:szCs w:val="20"/>
        </w:rPr>
        <w:t>-201</w:t>
      </w:r>
      <w:r w:rsidR="00F23552">
        <w:rPr>
          <w:sz w:val="20"/>
          <w:szCs w:val="20"/>
        </w:rPr>
        <w:t>7</w:t>
      </w:r>
    </w:p>
    <w:p w14:paraId="042CCD8D" w14:textId="77777777" w:rsidR="00820EA1" w:rsidRDefault="00820EA1" w:rsidP="00820EA1">
      <w:pPr>
        <w:jc w:val="left"/>
        <w:rPr>
          <w:sz w:val="20"/>
          <w:szCs w:val="20"/>
        </w:rPr>
      </w:pPr>
      <w:r w:rsidRPr="00820EA1">
        <w:rPr>
          <w:sz w:val="20"/>
          <w:szCs w:val="20"/>
        </w:rPr>
        <w:t>Denominator source: American Community Survey, 201</w:t>
      </w:r>
      <w:r w:rsidR="008A5F32">
        <w:rPr>
          <w:sz w:val="20"/>
          <w:szCs w:val="20"/>
        </w:rPr>
        <w:t>6</w:t>
      </w:r>
      <w:r w:rsidRPr="00820EA1">
        <w:rPr>
          <w:sz w:val="20"/>
          <w:szCs w:val="20"/>
        </w:rPr>
        <w:t>-201</w:t>
      </w:r>
      <w:r w:rsidR="00F23552">
        <w:rPr>
          <w:sz w:val="20"/>
          <w:szCs w:val="20"/>
        </w:rPr>
        <w:t>7</w:t>
      </w:r>
    </w:p>
    <w:p w14:paraId="45D64D79" w14:textId="77777777" w:rsidR="00373B67" w:rsidRDefault="00373B67" w:rsidP="00373B67">
      <w:pPr>
        <w:jc w:val="left"/>
        <w:rPr>
          <w:sz w:val="18"/>
          <w:szCs w:val="18"/>
        </w:rPr>
      </w:pPr>
    </w:p>
    <w:p w14:paraId="4966FE16" w14:textId="77777777" w:rsidR="00373B67" w:rsidRDefault="00373B67" w:rsidP="00373B67">
      <w:pPr>
        <w:jc w:val="left"/>
        <w:rPr>
          <w:sz w:val="18"/>
          <w:szCs w:val="18"/>
        </w:rPr>
      </w:pPr>
    </w:p>
    <w:p w14:paraId="0F2E77C0" w14:textId="77777777" w:rsidR="00373B67" w:rsidRDefault="00373B67" w:rsidP="00373B67">
      <w:pPr>
        <w:jc w:val="left"/>
        <w:rPr>
          <w:sz w:val="18"/>
          <w:szCs w:val="18"/>
        </w:rPr>
      </w:pPr>
    </w:p>
    <w:p w14:paraId="7F743E07" w14:textId="566A90E7" w:rsidR="00375259" w:rsidRDefault="00B4402B" w:rsidP="007922D6">
      <w:pPr>
        <w:jc w:val="left"/>
      </w:pPr>
      <w:r>
        <w:t>When prioritizing industries for prevention, it is important to consider both the number of deceased workers and their ‘risk’ of dying (rate of death).</w:t>
      </w:r>
      <w:r w:rsidR="002C7D9A">
        <w:t xml:space="preserve"> </w:t>
      </w:r>
      <w:r>
        <w:t xml:space="preserve">As seen in Table 1, </w:t>
      </w:r>
      <w:r w:rsidR="00CA66DE">
        <w:t xml:space="preserve">many of the industries with the highest rates of </w:t>
      </w:r>
      <w:r w:rsidR="00847B2F">
        <w:t>OROD</w:t>
      </w:r>
      <w:r w:rsidR="00CA66DE">
        <w:t xml:space="preserve"> rates also have the highest numbers. For example, </w:t>
      </w:r>
      <w:r>
        <w:t xml:space="preserve">the </w:t>
      </w:r>
      <w:r w:rsidR="00A9534A">
        <w:t>C</w:t>
      </w:r>
      <w:r>
        <w:t xml:space="preserve">onstruction industry has </w:t>
      </w:r>
      <w:r w:rsidR="00947E9A">
        <w:t xml:space="preserve">the highest rate of </w:t>
      </w:r>
      <w:r w:rsidR="00847B2F">
        <w:t>ORODs</w:t>
      </w:r>
      <w:r>
        <w:t xml:space="preserve"> </w:t>
      </w:r>
      <w:r w:rsidR="00947E9A">
        <w:t xml:space="preserve">and </w:t>
      </w:r>
      <w:r>
        <w:t>account</w:t>
      </w:r>
      <w:r w:rsidR="00947E9A">
        <w:t>s</w:t>
      </w:r>
      <w:r>
        <w:t xml:space="preserve"> for more than one-quarter (28.3%) of all deaths </w:t>
      </w:r>
      <w:r w:rsidR="00947E9A">
        <w:t xml:space="preserve">from </w:t>
      </w:r>
      <w:r>
        <w:t xml:space="preserve">2016-2017. </w:t>
      </w:r>
      <w:r w:rsidR="00947E9A">
        <w:t xml:space="preserve">Of the </w:t>
      </w:r>
      <w:r w:rsidR="00764020">
        <w:t xml:space="preserve">nine </w:t>
      </w:r>
      <w:r w:rsidR="00947E9A">
        <w:t xml:space="preserve">industries with fatality rates higher than the </w:t>
      </w:r>
      <w:r w:rsidR="00C62B83">
        <w:t>overall rate</w:t>
      </w:r>
      <w:r w:rsidR="006D5421">
        <w:t>,</w:t>
      </w:r>
      <w:r w:rsidR="00947E9A">
        <w:t xml:space="preserve"> </w:t>
      </w:r>
      <w:r w:rsidR="00764020">
        <w:t xml:space="preserve">five </w:t>
      </w:r>
      <w:r w:rsidR="00947E9A">
        <w:t xml:space="preserve">had more than 150 deaths in the two-year period. </w:t>
      </w:r>
    </w:p>
    <w:p w14:paraId="5145CFD9" w14:textId="77777777" w:rsidR="009832EC" w:rsidRDefault="009832EC" w:rsidP="007922D6">
      <w:pPr>
        <w:jc w:val="left"/>
      </w:pPr>
    </w:p>
    <w:p w14:paraId="218A3CBB" w14:textId="3EF14ADB" w:rsidR="00492488" w:rsidRDefault="00492488" w:rsidP="00492488">
      <w:pPr>
        <w:jc w:val="left"/>
        <w:rPr>
          <w:b/>
          <w:i/>
          <w:color w:val="1F497D" w:themeColor="text2"/>
        </w:rPr>
      </w:pPr>
    </w:p>
    <w:p w14:paraId="4F488F00" w14:textId="75E3A575" w:rsidR="00FC431B" w:rsidRDefault="00C11ED3" w:rsidP="006221A5">
      <w:pPr>
        <w:jc w:val="both"/>
        <w:rPr>
          <w:b/>
          <w:i/>
          <w:color w:val="1F497D" w:themeColor="text2"/>
        </w:rPr>
      </w:pPr>
      <w:r>
        <w:rPr>
          <w:b/>
          <w:i/>
          <w:color w:val="1F497D" w:themeColor="text2"/>
        </w:rPr>
        <w:lastRenderedPageBreak/>
        <w:t xml:space="preserve">All Deaths by </w:t>
      </w:r>
      <w:r w:rsidR="00FC431B" w:rsidRPr="00D00DD3">
        <w:rPr>
          <w:b/>
          <w:i/>
          <w:color w:val="1F497D" w:themeColor="text2"/>
        </w:rPr>
        <w:t>Occupation</w:t>
      </w:r>
    </w:p>
    <w:p w14:paraId="394F731D" w14:textId="77777777" w:rsidR="00375259" w:rsidRPr="00D00DD3" w:rsidRDefault="00375259" w:rsidP="006221A5">
      <w:pPr>
        <w:jc w:val="both"/>
        <w:rPr>
          <w:b/>
          <w:i/>
          <w:color w:val="1F497D" w:themeColor="text2"/>
        </w:rPr>
      </w:pPr>
    </w:p>
    <w:p w14:paraId="59CFC352" w14:textId="3A1A3254" w:rsidR="00631EBA" w:rsidRDefault="00256EE9" w:rsidP="00631EBA">
      <w:pPr>
        <w:jc w:val="left"/>
      </w:pPr>
      <w:r w:rsidRPr="00BA7A0C">
        <w:t xml:space="preserve">As shown in Figure </w:t>
      </w:r>
      <w:r w:rsidR="00FE521F">
        <w:t>3</w:t>
      </w:r>
      <w:r w:rsidRPr="00BA7A0C">
        <w:t xml:space="preserve">, </w:t>
      </w:r>
      <w:r w:rsidR="006F4DE2" w:rsidRPr="00BA7A0C">
        <w:t xml:space="preserve">workers in </w:t>
      </w:r>
      <w:r w:rsidRPr="00BA7A0C">
        <w:t>n</w:t>
      </w:r>
      <w:r w:rsidR="00631EBA" w:rsidRPr="00BA7A0C">
        <w:t xml:space="preserve">ine occupation groups had </w:t>
      </w:r>
      <w:r w:rsidR="00847B2F">
        <w:t>OROD</w:t>
      </w:r>
      <w:r w:rsidR="00631EBA" w:rsidRPr="00BA7A0C">
        <w:t xml:space="preserve"> rate</w:t>
      </w:r>
      <w:r w:rsidR="00661BCB" w:rsidRPr="00BA7A0C">
        <w:t>s</w:t>
      </w:r>
      <w:r w:rsidR="00631EBA" w:rsidRPr="00BA7A0C">
        <w:t xml:space="preserve"> </w:t>
      </w:r>
      <w:r w:rsidR="0056175B" w:rsidRPr="00BA7A0C">
        <w:t>(</w:t>
      </w:r>
      <w:r w:rsidR="00811E67">
        <w:t xml:space="preserve">deaths </w:t>
      </w:r>
      <w:r w:rsidR="0056175B" w:rsidRPr="00BA7A0C">
        <w:t xml:space="preserve">per 100,000 workers) </w:t>
      </w:r>
      <w:r w:rsidR="00631EBA" w:rsidRPr="00BA7A0C">
        <w:t>that were higher than the</w:t>
      </w:r>
      <w:r w:rsidR="0056175B" w:rsidRPr="00BA7A0C">
        <w:t xml:space="preserve"> </w:t>
      </w:r>
      <w:r w:rsidR="00631EBA" w:rsidRPr="00BA7A0C">
        <w:t>rate for all workers</w:t>
      </w:r>
      <w:r w:rsidR="0056175B" w:rsidRPr="00BA7A0C">
        <w:t xml:space="preserve"> </w:t>
      </w:r>
      <w:r w:rsidR="0056175B" w:rsidRPr="008A5F32">
        <w:t>(</w:t>
      </w:r>
      <w:r w:rsidR="00D50441">
        <w:t>46.5</w:t>
      </w:r>
      <w:r w:rsidR="0056175B" w:rsidRPr="00BA7A0C">
        <w:t>)</w:t>
      </w:r>
      <w:r w:rsidR="00DF72CE">
        <w:t xml:space="preserve"> in 2016-2017</w:t>
      </w:r>
      <w:r w:rsidR="006F5C42">
        <w:t>. Those occupations with a statistically significant higher rate compared to the rate for all workers are denoted with an asterisk (*):</w:t>
      </w:r>
    </w:p>
    <w:p w14:paraId="1A09A034" w14:textId="77777777" w:rsidR="0010520D" w:rsidRPr="00BA7A0C" w:rsidRDefault="0010520D" w:rsidP="00631EBA">
      <w:pPr>
        <w:jc w:val="left"/>
      </w:pPr>
    </w:p>
    <w:p w14:paraId="1284F89C" w14:textId="01F4D356" w:rsidR="006C3ACD" w:rsidRPr="000905F5" w:rsidRDefault="006C3ACD" w:rsidP="006C3ACD">
      <w:pPr>
        <w:pStyle w:val="ListParagraph"/>
        <w:numPr>
          <w:ilvl w:val="0"/>
          <w:numId w:val="4"/>
        </w:numPr>
        <w:jc w:val="left"/>
      </w:pPr>
      <w:r w:rsidRPr="000905F5">
        <w:t xml:space="preserve">Farming, </w:t>
      </w:r>
      <w:r w:rsidR="00A9534A">
        <w:t>F</w:t>
      </w:r>
      <w:r w:rsidRPr="000905F5">
        <w:t xml:space="preserve">ishing, and </w:t>
      </w:r>
      <w:r w:rsidR="00A9534A">
        <w:t>F</w:t>
      </w:r>
      <w:r w:rsidRPr="000905F5">
        <w:t xml:space="preserve">orestry occupations </w:t>
      </w:r>
      <w:r w:rsidRPr="008A5F32">
        <w:t>(</w:t>
      </w:r>
      <w:proofErr w:type="gramStart"/>
      <w:r w:rsidR="00D50441">
        <w:t>345.8</w:t>
      </w:r>
      <w:r w:rsidRPr="008A5F32">
        <w:t>)</w:t>
      </w:r>
      <w:r w:rsidR="006F5C42">
        <w:t>*</w:t>
      </w:r>
      <w:proofErr w:type="gramEnd"/>
      <w:r w:rsidRPr="000905F5">
        <w:rPr>
          <w:rStyle w:val="FootnoteReference"/>
        </w:rPr>
        <w:footnoteReference w:id="8"/>
      </w:r>
    </w:p>
    <w:p w14:paraId="124227A8" w14:textId="755A8517" w:rsidR="00631EBA" w:rsidRPr="00BA7A0C" w:rsidRDefault="00631EBA" w:rsidP="00631EBA">
      <w:pPr>
        <w:pStyle w:val="ListParagraph"/>
        <w:numPr>
          <w:ilvl w:val="0"/>
          <w:numId w:val="4"/>
        </w:numPr>
        <w:jc w:val="left"/>
      </w:pPr>
      <w:r w:rsidRPr="00BA7A0C">
        <w:t xml:space="preserve">Construction and </w:t>
      </w:r>
      <w:r w:rsidR="00A9534A">
        <w:t>E</w:t>
      </w:r>
      <w:r w:rsidRPr="00BA7A0C">
        <w:t xml:space="preserve">xtraction occupations </w:t>
      </w:r>
      <w:r w:rsidRPr="008A5F32">
        <w:t>(</w:t>
      </w:r>
      <w:proofErr w:type="gramStart"/>
      <w:r w:rsidR="00D50441">
        <w:t>282.4</w:t>
      </w:r>
      <w:r w:rsidRPr="008A5F32">
        <w:t>)</w:t>
      </w:r>
      <w:r w:rsidR="006F5C42">
        <w:t>*</w:t>
      </w:r>
      <w:proofErr w:type="gramEnd"/>
      <w:r w:rsidR="00A07A1C" w:rsidRPr="00BA7A0C">
        <w:rPr>
          <w:rStyle w:val="FootnoteReference"/>
        </w:rPr>
        <w:footnoteReference w:id="9"/>
      </w:r>
    </w:p>
    <w:p w14:paraId="0EF8073D" w14:textId="01AE3E6B" w:rsidR="00631EBA" w:rsidRPr="008A5F32" w:rsidRDefault="00631EBA" w:rsidP="00631EBA">
      <w:pPr>
        <w:pStyle w:val="ListParagraph"/>
        <w:numPr>
          <w:ilvl w:val="0"/>
          <w:numId w:val="4"/>
        </w:numPr>
        <w:jc w:val="left"/>
      </w:pPr>
      <w:r w:rsidRPr="00BA7A0C">
        <w:t xml:space="preserve">Installation, </w:t>
      </w:r>
      <w:r w:rsidR="00A9534A">
        <w:t>M</w:t>
      </w:r>
      <w:r w:rsidRPr="00BA7A0C">
        <w:t xml:space="preserve">aintenance, and </w:t>
      </w:r>
      <w:r w:rsidR="00A9534A">
        <w:t>R</w:t>
      </w:r>
      <w:r w:rsidRPr="00BA7A0C">
        <w:t>epair occupations (</w:t>
      </w:r>
      <w:proofErr w:type="gramStart"/>
      <w:r w:rsidR="00D50441">
        <w:t>128.1</w:t>
      </w:r>
      <w:r w:rsidRPr="008A5F32">
        <w:t>)</w:t>
      </w:r>
      <w:r w:rsidR="006F5C42">
        <w:t>*</w:t>
      </w:r>
      <w:proofErr w:type="gramEnd"/>
    </w:p>
    <w:p w14:paraId="5C3A7345" w14:textId="37F011E5" w:rsidR="00631EBA" w:rsidRPr="008A5F32" w:rsidRDefault="00631EBA" w:rsidP="00631EBA">
      <w:pPr>
        <w:pStyle w:val="ListParagraph"/>
        <w:numPr>
          <w:ilvl w:val="0"/>
          <w:numId w:val="4"/>
        </w:numPr>
        <w:jc w:val="left"/>
      </w:pPr>
      <w:r w:rsidRPr="00BA7A0C">
        <w:t>Transportation</w:t>
      </w:r>
      <w:r w:rsidR="00DE28BA" w:rsidRPr="000905F5">
        <w:t xml:space="preserve"> and </w:t>
      </w:r>
      <w:r w:rsidR="00A9534A">
        <w:t>M</w:t>
      </w:r>
      <w:r w:rsidR="00DE28BA" w:rsidRPr="000905F5">
        <w:t xml:space="preserve">aterial </w:t>
      </w:r>
      <w:r w:rsidR="00A9534A">
        <w:t>M</w:t>
      </w:r>
      <w:r w:rsidR="00DE28BA" w:rsidRPr="000905F5">
        <w:t>oving</w:t>
      </w:r>
      <w:r w:rsidRPr="00BA7A0C">
        <w:t xml:space="preserve"> occupations </w:t>
      </w:r>
      <w:r w:rsidRPr="008A5F32">
        <w:t>(</w:t>
      </w:r>
      <w:proofErr w:type="gramStart"/>
      <w:r w:rsidR="00D50441">
        <w:t>87.1</w:t>
      </w:r>
      <w:r w:rsidRPr="008A5F32">
        <w:t>)</w:t>
      </w:r>
      <w:r w:rsidR="006F5C42">
        <w:t>*</w:t>
      </w:r>
      <w:proofErr w:type="gramEnd"/>
      <w:r w:rsidR="00D74262">
        <w:rPr>
          <w:rStyle w:val="FootnoteReference"/>
        </w:rPr>
        <w:footnoteReference w:id="10"/>
      </w:r>
    </w:p>
    <w:p w14:paraId="4964FC2D" w14:textId="748CE87A" w:rsidR="006C3ACD" w:rsidRPr="008A5F32" w:rsidRDefault="006C3ACD" w:rsidP="006C3ACD">
      <w:pPr>
        <w:pStyle w:val="ListParagraph"/>
        <w:numPr>
          <w:ilvl w:val="0"/>
          <w:numId w:val="4"/>
        </w:numPr>
        <w:jc w:val="left"/>
      </w:pPr>
      <w:r w:rsidRPr="000905F5">
        <w:t xml:space="preserve">Building and </w:t>
      </w:r>
      <w:r w:rsidR="00A9534A">
        <w:t>G</w:t>
      </w:r>
      <w:r w:rsidRPr="000905F5">
        <w:t xml:space="preserve">rounds </w:t>
      </w:r>
      <w:r w:rsidR="00A9534A">
        <w:t>C</w:t>
      </w:r>
      <w:r w:rsidRPr="000905F5">
        <w:t xml:space="preserve">leaning and </w:t>
      </w:r>
      <w:r w:rsidR="00A9534A">
        <w:t>M</w:t>
      </w:r>
      <w:r w:rsidRPr="000905F5">
        <w:t>aintenance occupations (</w:t>
      </w:r>
      <w:proofErr w:type="gramStart"/>
      <w:r w:rsidR="00D50441">
        <w:t>83.5</w:t>
      </w:r>
      <w:r w:rsidRPr="008A5F32">
        <w:t>)</w:t>
      </w:r>
      <w:r w:rsidR="006F5C42">
        <w:t>*</w:t>
      </w:r>
      <w:proofErr w:type="gramEnd"/>
    </w:p>
    <w:p w14:paraId="422B2995" w14:textId="1142BC2C" w:rsidR="006C3ACD" w:rsidRPr="000905F5" w:rsidRDefault="006C3ACD" w:rsidP="006C3ACD">
      <w:pPr>
        <w:pStyle w:val="ListParagraph"/>
        <w:numPr>
          <w:ilvl w:val="0"/>
          <w:numId w:val="4"/>
        </w:numPr>
        <w:jc w:val="left"/>
      </w:pPr>
      <w:r w:rsidRPr="000905F5">
        <w:t xml:space="preserve">Food </w:t>
      </w:r>
      <w:r w:rsidR="00A9534A">
        <w:t>P</w:t>
      </w:r>
      <w:r w:rsidRPr="000905F5">
        <w:t xml:space="preserve">reparation and </w:t>
      </w:r>
      <w:r w:rsidR="00A9534A">
        <w:t>S</w:t>
      </w:r>
      <w:r w:rsidRPr="000905F5">
        <w:t xml:space="preserve">erving </w:t>
      </w:r>
      <w:r w:rsidR="00A9534A">
        <w:t>R</w:t>
      </w:r>
      <w:r w:rsidRPr="000905F5">
        <w:t xml:space="preserve">elated occupations </w:t>
      </w:r>
      <w:r w:rsidRPr="008A5F32">
        <w:t>(</w:t>
      </w:r>
      <w:proofErr w:type="gramStart"/>
      <w:r w:rsidR="00D50441">
        <w:t>78.4</w:t>
      </w:r>
      <w:r w:rsidRPr="008A5F32">
        <w:t>)</w:t>
      </w:r>
      <w:r w:rsidR="006F5C42">
        <w:t>*</w:t>
      </w:r>
      <w:proofErr w:type="gramEnd"/>
    </w:p>
    <w:p w14:paraId="0CE70DCD" w14:textId="77777777" w:rsidR="00631EBA" w:rsidRPr="00BA7A0C" w:rsidRDefault="00631EBA" w:rsidP="00631EBA">
      <w:pPr>
        <w:pStyle w:val="ListParagraph"/>
        <w:numPr>
          <w:ilvl w:val="0"/>
          <w:numId w:val="4"/>
        </w:numPr>
        <w:jc w:val="left"/>
      </w:pPr>
      <w:r w:rsidRPr="00BA7A0C">
        <w:t xml:space="preserve">Production occupations </w:t>
      </w:r>
      <w:r w:rsidRPr="008A5F32">
        <w:t>(</w:t>
      </w:r>
      <w:proofErr w:type="gramStart"/>
      <w:r w:rsidR="00D50441">
        <w:t>67.1</w:t>
      </w:r>
      <w:r w:rsidRPr="008A5F32">
        <w:t>)</w:t>
      </w:r>
      <w:r w:rsidR="006F5C42">
        <w:t>*</w:t>
      </w:r>
      <w:proofErr w:type="gramEnd"/>
    </w:p>
    <w:p w14:paraId="17092EB1" w14:textId="7D09589E" w:rsidR="00631EBA" w:rsidRPr="000905F5" w:rsidRDefault="00631EBA" w:rsidP="00631EBA">
      <w:pPr>
        <w:pStyle w:val="ListParagraph"/>
        <w:numPr>
          <w:ilvl w:val="0"/>
          <w:numId w:val="4"/>
        </w:numPr>
        <w:jc w:val="left"/>
      </w:pPr>
      <w:r w:rsidRPr="00BA7A0C">
        <w:t xml:space="preserve">Healthcare </w:t>
      </w:r>
      <w:r w:rsidR="00A9534A">
        <w:t>S</w:t>
      </w:r>
      <w:r w:rsidRPr="00BA7A0C">
        <w:t xml:space="preserve">upport occupations </w:t>
      </w:r>
      <w:r w:rsidRPr="008A5F32">
        <w:t>(</w:t>
      </w:r>
      <w:r w:rsidR="00D50441">
        <w:t>58.2</w:t>
      </w:r>
      <w:r w:rsidRPr="008A5F32">
        <w:t>)</w:t>
      </w:r>
    </w:p>
    <w:p w14:paraId="5650FF23" w14:textId="220E2AC2" w:rsidR="00DE28BA" w:rsidRPr="00BA7A0C" w:rsidRDefault="00DE28BA" w:rsidP="00631EBA">
      <w:pPr>
        <w:pStyle w:val="ListParagraph"/>
        <w:numPr>
          <w:ilvl w:val="0"/>
          <w:numId w:val="4"/>
        </w:numPr>
        <w:jc w:val="left"/>
      </w:pPr>
      <w:r w:rsidRPr="000905F5">
        <w:t xml:space="preserve">Personal </w:t>
      </w:r>
      <w:r w:rsidR="00A9534A">
        <w:t>C</w:t>
      </w:r>
      <w:r w:rsidRPr="000905F5">
        <w:t xml:space="preserve">are and </w:t>
      </w:r>
      <w:r w:rsidR="00A9534A">
        <w:t>S</w:t>
      </w:r>
      <w:r w:rsidRPr="000905F5">
        <w:t xml:space="preserve">ervice occupations </w:t>
      </w:r>
      <w:r w:rsidRPr="008A5F32">
        <w:t>(</w:t>
      </w:r>
      <w:r w:rsidR="00D50441">
        <w:t>49.7</w:t>
      </w:r>
      <w:r w:rsidRPr="008A5F32">
        <w:t>)</w:t>
      </w:r>
    </w:p>
    <w:p w14:paraId="7C58BC73" w14:textId="77777777" w:rsidR="00454770" w:rsidRPr="000905F5" w:rsidRDefault="00454770" w:rsidP="00631EBA">
      <w:pPr>
        <w:jc w:val="left"/>
      </w:pPr>
    </w:p>
    <w:p w14:paraId="734286B4" w14:textId="0ACC6F2E" w:rsidR="00454770" w:rsidRDefault="00900CCC" w:rsidP="00631EBA">
      <w:pPr>
        <w:jc w:val="left"/>
      </w:pPr>
      <w:r>
        <w:t xml:space="preserve">When comparing </w:t>
      </w:r>
      <w:r w:rsidR="00847B2F">
        <w:t>OROD</w:t>
      </w:r>
      <w:r>
        <w:t xml:space="preserve"> rates among occupational groups </w:t>
      </w:r>
      <w:r w:rsidR="00847B2F">
        <w:t xml:space="preserve">in the 2011-2015 data </w:t>
      </w:r>
      <w:r>
        <w:t>to those in</w:t>
      </w:r>
      <w:r w:rsidR="00B83F0B">
        <w:t xml:space="preserve"> the period</w:t>
      </w:r>
      <w:r>
        <w:t xml:space="preserve"> 2016-2017, workers in 12 occupational groups </w:t>
      </w:r>
      <w:r w:rsidR="00454770" w:rsidRPr="000905F5">
        <w:t>had a significantly higher opioid-related overdose death rate</w:t>
      </w:r>
      <w:r>
        <w:t xml:space="preserve"> </w:t>
      </w:r>
      <w:r w:rsidR="002C7D9A">
        <w:t xml:space="preserve">in the more recent period compared to the previous period. In </w:t>
      </w:r>
      <w:r w:rsidR="00B7245D">
        <w:t xml:space="preserve">many cases, </w:t>
      </w:r>
      <w:r>
        <w:t xml:space="preserve">the rate </w:t>
      </w:r>
      <w:r w:rsidR="00B7245D">
        <w:t>more than double</w:t>
      </w:r>
      <w:r>
        <w:t xml:space="preserve">d </w:t>
      </w:r>
      <w:r w:rsidR="002C7D9A">
        <w:t xml:space="preserve">between </w:t>
      </w:r>
      <w:r w:rsidR="00B83F0B">
        <w:t>the two periods</w:t>
      </w:r>
      <w:r w:rsidR="002C7D9A">
        <w:t xml:space="preserve"> </w:t>
      </w:r>
      <w:r>
        <w:t xml:space="preserve">(groups where the rate has </w:t>
      </w:r>
      <w:proofErr w:type="gramStart"/>
      <w:r w:rsidR="00706511">
        <w:t>doubled</w:t>
      </w:r>
      <w:proofErr w:type="gramEnd"/>
      <w:r w:rsidR="00706511">
        <w:t xml:space="preserve"> </w:t>
      </w:r>
      <w:r>
        <w:t xml:space="preserve">or more are indicated with an asterisk </w:t>
      </w:r>
      <w:r w:rsidR="00290815">
        <w:t>[</w:t>
      </w:r>
      <w:r>
        <w:t>*</w:t>
      </w:r>
      <w:r w:rsidR="00290815">
        <w:t>]</w:t>
      </w:r>
      <w:r w:rsidR="00706511">
        <w:t>)</w:t>
      </w:r>
      <w:r w:rsidR="00454770" w:rsidRPr="000905F5">
        <w:t>:</w:t>
      </w:r>
    </w:p>
    <w:p w14:paraId="68AD30CB" w14:textId="77777777" w:rsidR="0010520D" w:rsidRPr="000905F5" w:rsidRDefault="0010520D" w:rsidP="00631EBA">
      <w:pPr>
        <w:jc w:val="left"/>
      </w:pPr>
    </w:p>
    <w:p w14:paraId="5A369C34" w14:textId="016A213E" w:rsidR="00454770" w:rsidRPr="000905F5" w:rsidRDefault="00454770" w:rsidP="000905F5">
      <w:pPr>
        <w:pStyle w:val="ListParagraph"/>
        <w:numPr>
          <w:ilvl w:val="0"/>
          <w:numId w:val="17"/>
        </w:numPr>
        <w:jc w:val="left"/>
      </w:pPr>
      <w:r w:rsidRPr="000905F5">
        <w:t xml:space="preserve">Farming, </w:t>
      </w:r>
      <w:r w:rsidR="00A9534A">
        <w:t>F</w:t>
      </w:r>
      <w:r w:rsidRPr="000905F5">
        <w:t xml:space="preserve">ishing, and </w:t>
      </w:r>
      <w:r w:rsidR="00A9534A">
        <w:t>F</w:t>
      </w:r>
      <w:r w:rsidRPr="000905F5">
        <w:t>o</w:t>
      </w:r>
      <w:r w:rsidR="00E97181" w:rsidRPr="00E97181">
        <w:t>restry occupations</w:t>
      </w:r>
      <w:r w:rsidR="001D3FE7">
        <w:t>*</w:t>
      </w:r>
    </w:p>
    <w:p w14:paraId="7C13579F" w14:textId="4ED82167" w:rsidR="00454770" w:rsidRPr="000905F5" w:rsidRDefault="00454770" w:rsidP="000905F5">
      <w:pPr>
        <w:pStyle w:val="ListParagraph"/>
        <w:numPr>
          <w:ilvl w:val="0"/>
          <w:numId w:val="17"/>
        </w:numPr>
        <w:jc w:val="left"/>
      </w:pPr>
      <w:r w:rsidRPr="000905F5">
        <w:t xml:space="preserve">Construction and </w:t>
      </w:r>
      <w:r w:rsidR="00A9534A">
        <w:t>E</w:t>
      </w:r>
      <w:r w:rsidRPr="000905F5">
        <w:t>xtraction occupations</w:t>
      </w:r>
    </w:p>
    <w:p w14:paraId="0D155BB6" w14:textId="445C5078" w:rsidR="00454770" w:rsidRPr="000905F5" w:rsidRDefault="006C3ACD" w:rsidP="000905F5">
      <w:pPr>
        <w:pStyle w:val="ListParagraph"/>
        <w:numPr>
          <w:ilvl w:val="0"/>
          <w:numId w:val="17"/>
        </w:numPr>
        <w:jc w:val="left"/>
      </w:pPr>
      <w:r w:rsidRPr="000905F5">
        <w:t xml:space="preserve">Installation, </w:t>
      </w:r>
      <w:r w:rsidR="00A9534A">
        <w:t>M</w:t>
      </w:r>
      <w:r w:rsidRPr="000905F5">
        <w:t xml:space="preserve">aintenance, and </w:t>
      </w:r>
      <w:r w:rsidR="00A9534A">
        <w:t>R</w:t>
      </w:r>
      <w:r w:rsidRPr="000905F5">
        <w:t>epair occupations</w:t>
      </w:r>
      <w:r w:rsidR="001D3FE7">
        <w:t>*</w:t>
      </w:r>
    </w:p>
    <w:p w14:paraId="076C0CCB" w14:textId="13FB1E1F" w:rsidR="00F12496" w:rsidRPr="002A698A" w:rsidRDefault="00686C05" w:rsidP="00F12496">
      <w:pPr>
        <w:pStyle w:val="ListParagraph"/>
        <w:numPr>
          <w:ilvl w:val="0"/>
          <w:numId w:val="17"/>
        </w:numPr>
        <w:jc w:val="left"/>
      </w:pPr>
      <w:r>
        <w:t>Building</w:t>
      </w:r>
      <w:r w:rsidR="00A9534A">
        <w:t xml:space="preserve"> and G</w:t>
      </w:r>
      <w:r>
        <w:t xml:space="preserve">rounds </w:t>
      </w:r>
      <w:r w:rsidR="00A9534A">
        <w:t>C</w:t>
      </w:r>
      <w:r>
        <w:t>leaning and</w:t>
      </w:r>
      <w:r w:rsidR="00F12496" w:rsidRPr="002A698A">
        <w:t xml:space="preserve"> </w:t>
      </w:r>
      <w:r w:rsidR="00A9534A">
        <w:t>M</w:t>
      </w:r>
      <w:r w:rsidR="00F12496" w:rsidRPr="002A698A">
        <w:t>aintenance occupations</w:t>
      </w:r>
      <w:r w:rsidR="001D3FE7">
        <w:t>*</w:t>
      </w:r>
    </w:p>
    <w:p w14:paraId="573379A6" w14:textId="64405BDE" w:rsidR="00F12496" w:rsidRPr="002A698A" w:rsidRDefault="00F12496" w:rsidP="00F12496">
      <w:pPr>
        <w:pStyle w:val="ListParagraph"/>
        <w:numPr>
          <w:ilvl w:val="0"/>
          <w:numId w:val="17"/>
        </w:numPr>
        <w:jc w:val="left"/>
      </w:pPr>
      <w:r w:rsidRPr="002A698A">
        <w:t xml:space="preserve">Food </w:t>
      </w:r>
      <w:r w:rsidR="00A9534A">
        <w:t>P</w:t>
      </w:r>
      <w:r w:rsidRPr="002A698A">
        <w:t xml:space="preserve">reparation and </w:t>
      </w:r>
      <w:r w:rsidR="00A9534A">
        <w:t>S</w:t>
      </w:r>
      <w:r w:rsidRPr="002A698A">
        <w:t>e</w:t>
      </w:r>
      <w:r w:rsidR="00E97181">
        <w:t xml:space="preserve">rving </w:t>
      </w:r>
      <w:r w:rsidR="00A9534A">
        <w:t>R</w:t>
      </w:r>
      <w:r w:rsidR="00E97181">
        <w:t>elated occupations</w:t>
      </w:r>
    </w:p>
    <w:p w14:paraId="6CCEAE18" w14:textId="77777777" w:rsidR="006C3ACD" w:rsidRPr="000905F5" w:rsidRDefault="00E97181" w:rsidP="000905F5">
      <w:pPr>
        <w:pStyle w:val="ListParagraph"/>
        <w:numPr>
          <w:ilvl w:val="0"/>
          <w:numId w:val="17"/>
        </w:numPr>
        <w:jc w:val="left"/>
      </w:pPr>
      <w:r w:rsidRPr="00E97181">
        <w:t>Production occupations</w:t>
      </w:r>
    </w:p>
    <w:p w14:paraId="4FF9B1EC" w14:textId="777D99A6" w:rsidR="006C3ACD" w:rsidRPr="000905F5" w:rsidRDefault="006C3ACD" w:rsidP="000905F5">
      <w:pPr>
        <w:pStyle w:val="ListParagraph"/>
        <w:numPr>
          <w:ilvl w:val="0"/>
          <w:numId w:val="17"/>
        </w:numPr>
        <w:jc w:val="left"/>
      </w:pPr>
      <w:r w:rsidRPr="000905F5">
        <w:t xml:space="preserve">Healthcare </w:t>
      </w:r>
      <w:r w:rsidR="00A9534A">
        <w:t>S</w:t>
      </w:r>
      <w:r w:rsidRPr="000905F5">
        <w:t>upport occupations</w:t>
      </w:r>
    </w:p>
    <w:p w14:paraId="392B9775" w14:textId="5697B575" w:rsidR="001E3D6A" w:rsidRPr="000905F5" w:rsidRDefault="006C3ACD" w:rsidP="000905F5">
      <w:pPr>
        <w:pStyle w:val="ListParagraph"/>
        <w:numPr>
          <w:ilvl w:val="0"/>
          <w:numId w:val="17"/>
        </w:numPr>
        <w:jc w:val="left"/>
      </w:pPr>
      <w:r w:rsidRPr="000905F5">
        <w:t xml:space="preserve">Personal </w:t>
      </w:r>
      <w:r w:rsidR="00A9534A">
        <w:t>C</w:t>
      </w:r>
      <w:r w:rsidRPr="000905F5">
        <w:t xml:space="preserve">are and </w:t>
      </w:r>
      <w:r w:rsidR="00A9534A">
        <w:t>S</w:t>
      </w:r>
      <w:r w:rsidRPr="000905F5">
        <w:t>ervice occupations</w:t>
      </w:r>
      <w:r w:rsidR="001D3FE7">
        <w:t>*</w:t>
      </w:r>
    </w:p>
    <w:p w14:paraId="585E2C7C" w14:textId="61B56837" w:rsidR="001E3D6A" w:rsidRDefault="006C3ACD">
      <w:pPr>
        <w:pStyle w:val="ListParagraph"/>
        <w:numPr>
          <w:ilvl w:val="0"/>
          <w:numId w:val="17"/>
        </w:numPr>
        <w:jc w:val="left"/>
      </w:pPr>
      <w:r w:rsidRPr="000905F5">
        <w:t>Sale</w:t>
      </w:r>
      <w:r w:rsidR="00E97181" w:rsidRPr="00E97181">
        <w:t xml:space="preserve">s and </w:t>
      </w:r>
      <w:r w:rsidR="00873347">
        <w:t>R</w:t>
      </w:r>
      <w:r w:rsidR="00E97181" w:rsidRPr="00E97181">
        <w:t>elated occupations</w:t>
      </w:r>
    </w:p>
    <w:p w14:paraId="2FDD67BD" w14:textId="285BAB26" w:rsidR="001E3D6A" w:rsidRDefault="001E3D6A" w:rsidP="001E3D6A">
      <w:pPr>
        <w:pStyle w:val="ListParagraph"/>
        <w:numPr>
          <w:ilvl w:val="0"/>
          <w:numId w:val="17"/>
        </w:numPr>
        <w:jc w:val="left"/>
      </w:pPr>
      <w:r w:rsidRPr="000905F5">
        <w:t xml:space="preserve">Arts, </w:t>
      </w:r>
      <w:r w:rsidR="00873347">
        <w:t>D</w:t>
      </w:r>
      <w:r w:rsidRPr="000905F5">
        <w:t xml:space="preserve">esign, </w:t>
      </w:r>
      <w:r w:rsidR="00873347">
        <w:t>E</w:t>
      </w:r>
      <w:r w:rsidRPr="000905F5">
        <w:t xml:space="preserve">ntertainment, </w:t>
      </w:r>
      <w:r w:rsidR="00873347">
        <w:t>S</w:t>
      </w:r>
      <w:r w:rsidRPr="000905F5">
        <w:t xml:space="preserve">ports and </w:t>
      </w:r>
      <w:r w:rsidR="00873347">
        <w:t>M</w:t>
      </w:r>
      <w:r w:rsidRPr="000905F5">
        <w:t>edia occupations</w:t>
      </w:r>
    </w:p>
    <w:p w14:paraId="5BE19D91" w14:textId="1B7ACBC1" w:rsidR="001E3D6A" w:rsidRDefault="001E3D6A" w:rsidP="001E3D6A">
      <w:pPr>
        <w:pStyle w:val="ListParagraph"/>
        <w:numPr>
          <w:ilvl w:val="0"/>
          <w:numId w:val="17"/>
        </w:numPr>
        <w:jc w:val="left"/>
      </w:pPr>
      <w:r w:rsidRPr="000905F5">
        <w:t xml:space="preserve">Office and </w:t>
      </w:r>
      <w:r w:rsidR="00873347">
        <w:t>A</w:t>
      </w:r>
      <w:r w:rsidRPr="000905F5">
        <w:t>dministr</w:t>
      </w:r>
      <w:r w:rsidRPr="00E97181">
        <w:t xml:space="preserve">ative </w:t>
      </w:r>
      <w:r w:rsidR="00873347">
        <w:t>S</w:t>
      </w:r>
      <w:r w:rsidRPr="00E97181">
        <w:t>upport occupations</w:t>
      </w:r>
    </w:p>
    <w:p w14:paraId="7966B0B1" w14:textId="657F198B" w:rsidR="001E3D6A" w:rsidRDefault="001E3D6A" w:rsidP="00026F6A">
      <w:pPr>
        <w:pStyle w:val="ListParagraph"/>
        <w:numPr>
          <w:ilvl w:val="0"/>
          <w:numId w:val="17"/>
        </w:numPr>
        <w:jc w:val="left"/>
      </w:pPr>
      <w:r w:rsidRPr="000905F5">
        <w:t xml:space="preserve">Business and </w:t>
      </w:r>
      <w:r w:rsidR="00873347">
        <w:t>F</w:t>
      </w:r>
      <w:r w:rsidRPr="000905F5">
        <w:t>inanc</w:t>
      </w:r>
      <w:r w:rsidRPr="00E97181">
        <w:t xml:space="preserve">ial </w:t>
      </w:r>
      <w:r w:rsidR="00873347">
        <w:t>O</w:t>
      </w:r>
      <w:r w:rsidRPr="00E97181">
        <w:t>perations occupations</w:t>
      </w:r>
    </w:p>
    <w:p w14:paraId="73958184" w14:textId="77777777" w:rsidR="00916163" w:rsidRDefault="00916163">
      <w:r>
        <w:br w:type="page"/>
      </w:r>
    </w:p>
    <w:p w14:paraId="499691AC" w14:textId="77777777" w:rsidR="00741218" w:rsidRDefault="00A2124A" w:rsidP="00826BDC">
      <w:pPr>
        <w:jc w:val="left"/>
        <w:rPr>
          <w:b/>
        </w:rPr>
      </w:pPr>
      <w:r w:rsidRPr="00A442F4">
        <w:rPr>
          <w:b/>
          <w:noProof/>
        </w:rPr>
        <w:lastRenderedPageBreak/>
        <mc:AlternateContent>
          <mc:Choice Requires="wps">
            <w:drawing>
              <wp:anchor distT="0" distB="0" distL="114300" distR="114300" simplePos="0" relativeHeight="251642880" behindDoc="0" locked="0" layoutInCell="1" allowOverlap="1" wp14:anchorId="3ADC11CE" wp14:editId="27A3CFB9">
                <wp:simplePos x="0" y="0"/>
                <wp:positionH relativeFrom="column">
                  <wp:posOffset>267970</wp:posOffset>
                </wp:positionH>
                <wp:positionV relativeFrom="paragraph">
                  <wp:posOffset>3239770</wp:posOffset>
                </wp:positionV>
                <wp:extent cx="6343650" cy="833717"/>
                <wp:effectExtent l="0" t="0" r="0" b="50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833717"/>
                        </a:xfrm>
                        <a:prstGeom prst="rect">
                          <a:avLst/>
                        </a:prstGeom>
                        <a:solidFill>
                          <a:srgbClr val="FFFFFF"/>
                        </a:solidFill>
                        <a:ln w="9525">
                          <a:noFill/>
                          <a:miter lim="800000"/>
                          <a:headEnd/>
                          <a:tailEnd/>
                        </a:ln>
                      </wps:spPr>
                      <wps:txbx>
                        <w:txbxContent>
                          <w:p w14:paraId="11422EFA" w14:textId="77777777" w:rsidR="00003BEF" w:rsidRDefault="00003BEF" w:rsidP="00753671">
                            <w:pPr>
                              <w:jc w:val="left"/>
                              <w:rPr>
                                <w:sz w:val="16"/>
                                <w:szCs w:val="16"/>
                              </w:rPr>
                            </w:pPr>
                            <w:r>
                              <w:rPr>
                                <w:sz w:val="16"/>
                                <w:szCs w:val="16"/>
                              </w:rPr>
                              <w:t>*</w:t>
                            </w:r>
                            <w:r w:rsidRPr="006A3EFA">
                              <w:t xml:space="preserve"> </w:t>
                            </w:r>
                            <w:r>
                              <w:rPr>
                                <w:sz w:val="16"/>
                                <w:szCs w:val="16"/>
                              </w:rPr>
                              <w:t>This category excluded 26</w:t>
                            </w:r>
                            <w:r w:rsidRPr="00110323">
                              <w:rPr>
                                <w:sz w:val="16"/>
                                <w:szCs w:val="16"/>
                              </w:rPr>
                              <w:t xml:space="preserve"> deaths among those working in the military or military specific occupations due to lack of denominator information</w:t>
                            </w:r>
                            <w:r>
                              <w:rPr>
                                <w:sz w:val="16"/>
                                <w:szCs w:val="16"/>
                              </w:rPr>
                              <w:t>.</w:t>
                            </w:r>
                          </w:p>
                          <w:p w14:paraId="3310E6E4" w14:textId="1349ACDD" w:rsidR="00003BEF" w:rsidRDefault="00003BEF" w:rsidP="00753671">
                            <w:pPr>
                              <w:jc w:val="left"/>
                              <w:rPr>
                                <w:sz w:val="16"/>
                                <w:szCs w:val="16"/>
                              </w:rPr>
                            </w:pPr>
                            <w:r w:rsidRPr="00FD36DC">
                              <w:rPr>
                                <w:sz w:val="16"/>
                                <w:szCs w:val="16"/>
                              </w:rPr>
                              <w:t xml:space="preserve">** At least 89.4% of these deaths occurred among workers employed in </w:t>
                            </w:r>
                            <w:r>
                              <w:rPr>
                                <w:sz w:val="16"/>
                                <w:szCs w:val="16"/>
                              </w:rPr>
                              <w:t>C</w:t>
                            </w:r>
                            <w:r w:rsidRPr="00FD36DC">
                              <w:rPr>
                                <w:sz w:val="16"/>
                                <w:szCs w:val="16"/>
                              </w:rPr>
                              <w:t>onstruction occupations.</w:t>
                            </w:r>
                            <w:r w:rsidRPr="006306D4">
                              <w:rPr>
                                <w:sz w:val="16"/>
                                <w:szCs w:val="16"/>
                              </w:rPr>
                              <w:t xml:space="preserve">   </w:t>
                            </w:r>
                          </w:p>
                          <w:p w14:paraId="2A7689E7" w14:textId="769CF463" w:rsidR="00003BEF" w:rsidRDefault="00003BEF" w:rsidP="00753671">
                            <w:pPr>
                              <w:jc w:val="left"/>
                              <w:rPr>
                                <w:sz w:val="16"/>
                                <w:szCs w:val="16"/>
                              </w:rPr>
                            </w:pPr>
                            <w:r>
                              <w:rPr>
                                <w:sz w:val="16"/>
                                <w:szCs w:val="16"/>
                              </w:rPr>
                              <w:t>*** 75.4</w:t>
                            </w:r>
                            <w:r w:rsidRPr="006306D4">
                              <w:rPr>
                                <w:sz w:val="16"/>
                                <w:szCs w:val="16"/>
                              </w:rPr>
                              <w:t xml:space="preserve">% of these deaths occurred among workers employed in </w:t>
                            </w:r>
                            <w:r>
                              <w:rPr>
                                <w:sz w:val="16"/>
                                <w:szCs w:val="16"/>
                              </w:rPr>
                              <w:t>F</w:t>
                            </w:r>
                            <w:r w:rsidRPr="006306D4">
                              <w:rPr>
                                <w:sz w:val="16"/>
                                <w:szCs w:val="16"/>
                              </w:rPr>
                              <w:t>ishing occupations.</w:t>
                            </w:r>
                          </w:p>
                          <w:p w14:paraId="20952AED" w14:textId="77777777" w:rsidR="00003BEF" w:rsidRDefault="00003BEF" w:rsidP="005A6D0D">
                            <w:pPr>
                              <w:jc w:val="left"/>
                              <w:rPr>
                                <w:sz w:val="16"/>
                                <w:szCs w:val="16"/>
                              </w:rPr>
                            </w:pPr>
                            <w:r>
                              <w:rPr>
                                <w:sz w:val="16"/>
                                <w:szCs w:val="16"/>
                              </w:rPr>
                              <w:t>Numerator source: Occupational Health Surveillance Program, 2016-2017</w:t>
                            </w:r>
                          </w:p>
                          <w:p w14:paraId="159C8EEE" w14:textId="77777777" w:rsidR="00003BEF" w:rsidRPr="00DB12DB" w:rsidRDefault="00003BEF" w:rsidP="005A6D0D">
                            <w:pPr>
                              <w:jc w:val="left"/>
                              <w:rPr>
                                <w:sz w:val="16"/>
                                <w:szCs w:val="16"/>
                              </w:rPr>
                            </w:pPr>
                            <w:r>
                              <w:rPr>
                                <w:sz w:val="16"/>
                                <w:szCs w:val="16"/>
                              </w:rPr>
                              <w:t>Denominator source: American Community Survey, 2016-2017</w:t>
                            </w:r>
                          </w:p>
                          <w:p w14:paraId="32240938" w14:textId="77777777" w:rsidR="00003BEF" w:rsidRPr="00DB12DB" w:rsidRDefault="00003BEF" w:rsidP="00753671">
                            <w:pPr>
                              <w:jc w:val="left"/>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DC11CE" id="Text Box 9" o:spid="_x0000_s1041" type="#_x0000_t202" style="position:absolute;margin-left:21.1pt;margin-top:255.1pt;width:499.5pt;height:65.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" stroked="f">
                <v:textbox>
                  <w:txbxContent>
                    <w:p w14:paraId="11422EFA" w14:textId="77777777" w:rsidR="00003BEF" w:rsidRDefault="00003BEF" w:rsidP="00753671">
                      <w:pPr>
                        <w:jc w:val="left"/>
                        <w:rPr>
                          <w:sz w:val="16"/>
                          <w:szCs w:val="16"/>
                        </w:rPr>
                      </w:pPr>
                      <w:r>
                        <w:rPr>
                          <w:sz w:val="16"/>
                          <w:szCs w:val="16"/>
                        </w:rPr>
                        <w:t>*</w:t>
                      </w:r>
                      <w:r w:rsidRPr="006A3EFA">
                        <w:t xml:space="preserve"> </w:t>
                      </w:r>
                      <w:r>
                        <w:rPr>
                          <w:sz w:val="16"/>
                          <w:szCs w:val="16"/>
                        </w:rPr>
                        <w:t>This category excluded 26</w:t>
                      </w:r>
                      <w:r w:rsidRPr="00110323">
                        <w:rPr>
                          <w:sz w:val="16"/>
                          <w:szCs w:val="16"/>
                        </w:rPr>
                        <w:t xml:space="preserve"> deaths among those working in the military or military specific occupations due to lack of denominator information</w:t>
                      </w:r>
                      <w:r>
                        <w:rPr>
                          <w:sz w:val="16"/>
                          <w:szCs w:val="16"/>
                        </w:rPr>
                        <w:t>.</w:t>
                      </w:r>
                    </w:p>
                    <w:p w14:paraId="3310E6E4" w14:textId="1349ACDD" w:rsidR="00003BEF" w:rsidRDefault="00003BEF" w:rsidP="00753671">
                      <w:pPr>
                        <w:jc w:val="left"/>
                        <w:rPr>
                          <w:sz w:val="16"/>
                          <w:szCs w:val="16"/>
                        </w:rPr>
                      </w:pPr>
                      <w:r w:rsidRPr="00FD36DC">
                        <w:rPr>
                          <w:sz w:val="16"/>
                          <w:szCs w:val="16"/>
                        </w:rPr>
                        <w:t xml:space="preserve">** At least 89.4% of these deaths occurred among workers employed in </w:t>
                      </w:r>
                      <w:r>
                        <w:rPr>
                          <w:sz w:val="16"/>
                          <w:szCs w:val="16"/>
                        </w:rPr>
                        <w:t>C</w:t>
                      </w:r>
                      <w:r w:rsidRPr="00FD36DC">
                        <w:rPr>
                          <w:sz w:val="16"/>
                          <w:szCs w:val="16"/>
                        </w:rPr>
                        <w:t>onstruction occupations.</w:t>
                      </w:r>
                      <w:r w:rsidRPr="006306D4">
                        <w:rPr>
                          <w:sz w:val="16"/>
                          <w:szCs w:val="16"/>
                        </w:rPr>
                        <w:t xml:space="preserve">   </w:t>
                      </w:r>
                    </w:p>
                    <w:p w14:paraId="2A7689E7" w14:textId="769CF463" w:rsidR="00003BEF" w:rsidRDefault="00003BEF" w:rsidP="00753671">
                      <w:pPr>
                        <w:jc w:val="left"/>
                        <w:rPr>
                          <w:sz w:val="16"/>
                          <w:szCs w:val="16"/>
                        </w:rPr>
                      </w:pPr>
                      <w:r>
                        <w:rPr>
                          <w:sz w:val="16"/>
                          <w:szCs w:val="16"/>
                        </w:rPr>
                        <w:t>*** 75.4</w:t>
                      </w:r>
                      <w:r w:rsidRPr="006306D4">
                        <w:rPr>
                          <w:sz w:val="16"/>
                          <w:szCs w:val="16"/>
                        </w:rPr>
                        <w:t xml:space="preserve">% of these deaths occurred among workers employed in </w:t>
                      </w:r>
                      <w:r>
                        <w:rPr>
                          <w:sz w:val="16"/>
                          <w:szCs w:val="16"/>
                        </w:rPr>
                        <w:t>F</w:t>
                      </w:r>
                      <w:r w:rsidRPr="006306D4">
                        <w:rPr>
                          <w:sz w:val="16"/>
                          <w:szCs w:val="16"/>
                        </w:rPr>
                        <w:t>ishing occupations.</w:t>
                      </w:r>
                    </w:p>
                    <w:p w14:paraId="20952AED" w14:textId="77777777" w:rsidR="00003BEF" w:rsidRDefault="00003BEF" w:rsidP="005A6D0D">
                      <w:pPr>
                        <w:jc w:val="left"/>
                        <w:rPr>
                          <w:sz w:val="16"/>
                          <w:szCs w:val="16"/>
                        </w:rPr>
                      </w:pPr>
                      <w:r>
                        <w:rPr>
                          <w:sz w:val="16"/>
                          <w:szCs w:val="16"/>
                        </w:rPr>
                        <w:t>Numerator source: Occupational Health Surveillance Program, 2016-2017</w:t>
                      </w:r>
                    </w:p>
                    <w:p w14:paraId="159C8EEE" w14:textId="77777777" w:rsidR="00003BEF" w:rsidRPr="00DB12DB" w:rsidRDefault="00003BEF" w:rsidP="005A6D0D">
                      <w:pPr>
                        <w:jc w:val="left"/>
                        <w:rPr>
                          <w:sz w:val="16"/>
                          <w:szCs w:val="16"/>
                        </w:rPr>
                      </w:pPr>
                      <w:r>
                        <w:rPr>
                          <w:sz w:val="16"/>
                          <w:szCs w:val="16"/>
                        </w:rPr>
                        <w:t>Denominator source: American Community Survey, 2016-2017</w:t>
                      </w:r>
                    </w:p>
                    <w:p w14:paraId="32240938" w14:textId="77777777" w:rsidR="00003BEF" w:rsidRPr="00DB12DB" w:rsidRDefault="00003BEF" w:rsidP="00753671">
                      <w:pPr>
                        <w:jc w:val="left"/>
                        <w:rPr>
                          <w:sz w:val="16"/>
                          <w:szCs w:val="16"/>
                        </w:rPr>
                      </w:pPr>
                    </w:p>
                  </w:txbxContent>
                </v:textbox>
              </v:shape>
            </w:pict>
          </mc:Fallback>
        </mc:AlternateContent>
      </w:r>
      <w:r>
        <w:rPr>
          <w:noProof/>
        </w:rPr>
        <w:drawing>
          <wp:anchor distT="0" distB="0" distL="114300" distR="114300" simplePos="0" relativeHeight="251644928" behindDoc="1" locked="0" layoutInCell="1" allowOverlap="1" wp14:anchorId="5264B569" wp14:editId="7C9068BD">
            <wp:simplePos x="0" y="0"/>
            <wp:positionH relativeFrom="column">
              <wp:posOffset>0</wp:posOffset>
            </wp:positionH>
            <wp:positionV relativeFrom="paragraph">
              <wp:posOffset>490855</wp:posOffset>
            </wp:positionV>
            <wp:extent cx="6762750" cy="2705100"/>
            <wp:effectExtent l="0" t="0" r="0" b="0"/>
            <wp:wrapTight wrapText="bothSides">
              <wp:wrapPolygon edited="0">
                <wp:start x="0" y="0"/>
                <wp:lineTo x="0" y="21448"/>
                <wp:lineTo x="21539" y="21448"/>
                <wp:lineTo x="21539" y="0"/>
                <wp:lineTo x="0" y="0"/>
              </wp:wrapPolygon>
            </wp:wrapTight>
            <wp:docPr id="300" name="Chart 300">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0976AF" w:rsidRPr="00A442F4">
        <w:rPr>
          <w:b/>
        </w:rPr>
        <w:t xml:space="preserve">Figure </w:t>
      </w:r>
      <w:r w:rsidR="00FE521F">
        <w:rPr>
          <w:b/>
        </w:rPr>
        <w:t>3</w:t>
      </w:r>
      <w:r w:rsidR="000976AF" w:rsidRPr="00A442F4">
        <w:rPr>
          <w:b/>
        </w:rPr>
        <w:t xml:space="preserve">. </w:t>
      </w:r>
      <w:r w:rsidR="0056175B" w:rsidRPr="00A442F4">
        <w:rPr>
          <w:b/>
        </w:rPr>
        <w:t>O</w:t>
      </w:r>
      <w:r w:rsidR="00256EE9" w:rsidRPr="00A442F4">
        <w:rPr>
          <w:b/>
        </w:rPr>
        <w:t>ccupation</w:t>
      </w:r>
      <w:r w:rsidR="00E00472" w:rsidRPr="00A442F4">
        <w:rPr>
          <w:b/>
        </w:rPr>
        <w:t xml:space="preserve"> groups</w:t>
      </w:r>
      <w:r w:rsidR="00256EE9" w:rsidRPr="00A442F4">
        <w:rPr>
          <w:b/>
        </w:rPr>
        <w:t xml:space="preserve"> </w:t>
      </w:r>
      <w:r w:rsidR="005E77F0" w:rsidRPr="00A442F4">
        <w:rPr>
          <w:b/>
        </w:rPr>
        <w:t xml:space="preserve">with </w:t>
      </w:r>
      <w:r w:rsidR="0039692D">
        <w:rPr>
          <w:b/>
        </w:rPr>
        <w:t xml:space="preserve">opioid-related overdose </w:t>
      </w:r>
      <w:r w:rsidR="0056175B" w:rsidRPr="00A442F4">
        <w:rPr>
          <w:b/>
        </w:rPr>
        <w:t xml:space="preserve">death </w:t>
      </w:r>
      <w:r w:rsidR="005E77F0" w:rsidRPr="00A442F4">
        <w:rPr>
          <w:b/>
        </w:rPr>
        <w:t xml:space="preserve">rates </w:t>
      </w:r>
      <w:r w:rsidR="00D57815">
        <w:rPr>
          <w:b/>
        </w:rPr>
        <w:t>that are</w:t>
      </w:r>
      <w:r w:rsidR="005E77F0" w:rsidRPr="00A442F4">
        <w:rPr>
          <w:b/>
        </w:rPr>
        <w:t xml:space="preserve"> higher than the</w:t>
      </w:r>
      <w:r w:rsidR="00661BCB" w:rsidRPr="00A442F4">
        <w:rPr>
          <w:b/>
        </w:rPr>
        <w:t xml:space="preserve"> rate</w:t>
      </w:r>
      <w:r w:rsidR="005E77F0" w:rsidRPr="00A442F4">
        <w:rPr>
          <w:b/>
        </w:rPr>
        <w:t xml:space="preserve"> for all workers, Massachusetts </w:t>
      </w:r>
      <w:r w:rsidR="00B763BF" w:rsidRPr="00A442F4">
        <w:rPr>
          <w:b/>
        </w:rPr>
        <w:t>workers</w:t>
      </w:r>
      <w:r w:rsidR="005E77F0" w:rsidRPr="00A442F4">
        <w:rPr>
          <w:b/>
        </w:rPr>
        <w:t>, 201</w:t>
      </w:r>
      <w:r w:rsidR="0071390E">
        <w:rPr>
          <w:b/>
        </w:rPr>
        <w:t>6</w:t>
      </w:r>
      <w:r w:rsidR="005E77F0" w:rsidRPr="00A442F4">
        <w:rPr>
          <w:b/>
        </w:rPr>
        <w:t>-201</w:t>
      </w:r>
      <w:r w:rsidR="00F23552">
        <w:rPr>
          <w:b/>
        </w:rPr>
        <w:t>7</w:t>
      </w:r>
      <w:r w:rsidR="005E77F0" w:rsidRPr="00A442F4">
        <w:rPr>
          <w:b/>
        </w:rPr>
        <w:t xml:space="preserve">, </w:t>
      </w:r>
      <w:r w:rsidR="00B62862">
        <w:rPr>
          <w:b/>
        </w:rPr>
        <w:t>N</w:t>
      </w:r>
      <w:r w:rsidR="005E77F0" w:rsidRPr="00A442F4">
        <w:rPr>
          <w:b/>
        </w:rPr>
        <w:t>=</w:t>
      </w:r>
      <w:r w:rsidR="0071390E">
        <w:rPr>
          <w:b/>
        </w:rPr>
        <w:t>3,354</w:t>
      </w:r>
    </w:p>
    <w:p w14:paraId="305F62E7" w14:textId="77777777" w:rsidR="00F23552" w:rsidRDefault="00F23552" w:rsidP="00826BDC">
      <w:pPr>
        <w:jc w:val="left"/>
        <w:rPr>
          <w:b/>
        </w:rPr>
      </w:pPr>
    </w:p>
    <w:p w14:paraId="56621594" w14:textId="77777777" w:rsidR="00F23552" w:rsidRDefault="00F23552" w:rsidP="00826BDC">
      <w:pPr>
        <w:jc w:val="left"/>
        <w:rPr>
          <w:b/>
        </w:rPr>
      </w:pPr>
    </w:p>
    <w:p w14:paraId="0BE2AA8E" w14:textId="77777777" w:rsidR="00D74262" w:rsidRDefault="00D74262" w:rsidP="003F114A">
      <w:pPr>
        <w:jc w:val="left"/>
      </w:pPr>
    </w:p>
    <w:p w14:paraId="11B5D09F" w14:textId="77777777" w:rsidR="00D74262" w:rsidRDefault="00D74262" w:rsidP="003F114A">
      <w:pPr>
        <w:jc w:val="left"/>
      </w:pPr>
    </w:p>
    <w:p w14:paraId="07111EBC" w14:textId="77777777" w:rsidR="00D74262" w:rsidRDefault="00D74262" w:rsidP="003F114A">
      <w:pPr>
        <w:jc w:val="left"/>
      </w:pPr>
    </w:p>
    <w:p w14:paraId="36D4C3E6" w14:textId="37E403A9" w:rsidR="00916163" w:rsidRDefault="003F114A" w:rsidP="003F114A">
      <w:pPr>
        <w:jc w:val="left"/>
      </w:pPr>
      <w:r>
        <w:t>Findings for all occupation</w:t>
      </w:r>
      <w:r w:rsidR="00E97181">
        <w:t>al</w:t>
      </w:r>
      <w:r>
        <w:t xml:space="preserve"> groups are included in Table 2. </w:t>
      </w:r>
      <w:r w:rsidRPr="00110323">
        <w:t>As shown,</w:t>
      </w:r>
      <w:r>
        <w:t xml:space="preserve"> there were </w:t>
      </w:r>
      <w:r w:rsidR="0007088F">
        <w:t>ORODs</w:t>
      </w:r>
      <w:r>
        <w:t xml:space="preserve"> among workers in every</w:t>
      </w:r>
      <w:r w:rsidRPr="00110323">
        <w:t xml:space="preserve"> </w:t>
      </w:r>
      <w:r>
        <w:t>occupation group.</w:t>
      </w:r>
      <w:r w:rsidR="00F12496">
        <w:t xml:space="preserve"> Compared to the previous report, the </w:t>
      </w:r>
      <w:r w:rsidR="00A76C1C">
        <w:t>order of occupation groups</w:t>
      </w:r>
      <w:r w:rsidR="00E25202">
        <w:t xml:space="preserve"> from highest to lowest</w:t>
      </w:r>
      <w:r w:rsidR="00F12496">
        <w:t xml:space="preserve"> rate of </w:t>
      </w:r>
      <w:r w:rsidR="0007088F">
        <w:t>ORODs</w:t>
      </w:r>
      <w:r w:rsidR="00F12496">
        <w:t xml:space="preserve"> has slightly shifted. Farming, </w:t>
      </w:r>
      <w:r w:rsidR="0048278C">
        <w:t>F</w:t>
      </w:r>
      <w:r w:rsidR="00F12496">
        <w:t xml:space="preserve">ishing, and </w:t>
      </w:r>
      <w:r w:rsidR="0048278C">
        <w:t>F</w:t>
      </w:r>
      <w:r w:rsidR="00F12496">
        <w:t xml:space="preserve">orestry occupations now have the highest rate of </w:t>
      </w:r>
      <w:r w:rsidR="0007088F">
        <w:t>ORODs</w:t>
      </w:r>
      <w:r w:rsidR="00751A87">
        <w:t>,</w:t>
      </w:r>
      <w:r w:rsidR="0007088F">
        <w:t xml:space="preserve"> </w:t>
      </w:r>
      <w:r w:rsidR="00F12496">
        <w:t>with</w:t>
      </w:r>
      <w:r w:rsidR="0048278C">
        <w:t xml:space="preserve"> the</w:t>
      </w:r>
      <w:r w:rsidR="00F12496">
        <w:t xml:space="preserve"> </w:t>
      </w:r>
      <w:r w:rsidR="0048278C">
        <w:t>C</w:t>
      </w:r>
      <w:r w:rsidR="00F12496">
        <w:t xml:space="preserve">onstruction and </w:t>
      </w:r>
      <w:r w:rsidR="0048278C">
        <w:t>E</w:t>
      </w:r>
      <w:r w:rsidR="00F12496">
        <w:t xml:space="preserve">xtraction occupation group having the second highest rate of </w:t>
      </w:r>
      <w:r w:rsidR="0007088F">
        <w:t>ORODs</w:t>
      </w:r>
      <w:r w:rsidR="00F12496">
        <w:t>.</w:t>
      </w:r>
      <w:r w:rsidR="00686C05">
        <w:t xml:space="preserve"> </w:t>
      </w:r>
      <w:r w:rsidR="00D9053A">
        <w:t xml:space="preserve">The rate among </w:t>
      </w:r>
      <w:r w:rsidR="00A977CD">
        <w:t>B</w:t>
      </w:r>
      <w:r w:rsidR="00686C05">
        <w:t>uilding</w:t>
      </w:r>
      <w:r w:rsidR="00873347">
        <w:t xml:space="preserve"> and G</w:t>
      </w:r>
      <w:r w:rsidR="00686C05">
        <w:t xml:space="preserve">rounds </w:t>
      </w:r>
      <w:r w:rsidR="00A977CD">
        <w:t>C</w:t>
      </w:r>
      <w:r w:rsidR="00686C05">
        <w:t>leaning and</w:t>
      </w:r>
      <w:r w:rsidR="00A76C1C">
        <w:t xml:space="preserve"> </w:t>
      </w:r>
      <w:r w:rsidR="00A977CD">
        <w:t>M</w:t>
      </w:r>
      <w:r w:rsidR="00A76C1C">
        <w:t>aintenance occupations has increased</w:t>
      </w:r>
      <w:r w:rsidR="00751A87">
        <w:t>,</w:t>
      </w:r>
      <w:r w:rsidR="00A76C1C">
        <w:t xml:space="preserve"> while</w:t>
      </w:r>
      <w:r w:rsidR="00D9053A">
        <w:t xml:space="preserve"> the rate for</w:t>
      </w:r>
      <w:r w:rsidR="00A76C1C">
        <w:t xml:space="preserve"> </w:t>
      </w:r>
      <w:r w:rsidR="00A07533">
        <w:t>P</w:t>
      </w:r>
      <w:r w:rsidR="00A76C1C">
        <w:t>roduction occupations ha</w:t>
      </w:r>
      <w:r w:rsidR="00D9053A">
        <w:t>s</w:t>
      </w:r>
      <w:r w:rsidR="00A76C1C">
        <w:t xml:space="preserve"> decreased, </w:t>
      </w:r>
      <w:r w:rsidR="00860E1D">
        <w:t>irrespective</w:t>
      </w:r>
      <w:r w:rsidR="00A76C1C">
        <w:t xml:space="preserve"> of the increased</w:t>
      </w:r>
      <w:r w:rsidR="00D9053A">
        <w:t xml:space="preserve"> number of</w:t>
      </w:r>
      <w:r w:rsidR="00A76C1C">
        <w:t xml:space="preserve"> </w:t>
      </w:r>
      <w:r w:rsidR="0007088F">
        <w:t>ORODs</w:t>
      </w:r>
      <w:r w:rsidR="00A76C1C">
        <w:t xml:space="preserve">. </w:t>
      </w:r>
    </w:p>
    <w:p w14:paraId="1B6C31D6" w14:textId="77777777" w:rsidR="00492488" w:rsidRDefault="00492488" w:rsidP="00DA09B0">
      <w:pPr>
        <w:jc w:val="both"/>
        <w:sectPr w:rsidR="00492488" w:rsidSect="00C2294E">
          <w:headerReference w:type="default" r:id="rId13"/>
          <w:footerReference w:type="default" r:id="rId14"/>
          <w:footnotePr>
            <w:numFmt w:val="lowerLetter"/>
          </w:footnotePr>
          <w:pgSz w:w="11906" w:h="16838"/>
          <w:pgMar w:top="720" w:right="720" w:bottom="720" w:left="720" w:header="720" w:footer="720" w:gutter="0"/>
          <w:pgNumType w:start="0"/>
          <w:cols w:space="720"/>
          <w:docGrid w:linePitch="360"/>
        </w:sectPr>
      </w:pPr>
    </w:p>
    <w:p w14:paraId="20C0AC12" w14:textId="77777777" w:rsidR="00492488" w:rsidRPr="00D00DD3" w:rsidRDefault="00492488" w:rsidP="001401D6">
      <w:pPr>
        <w:jc w:val="left"/>
        <w:rPr>
          <w:b/>
        </w:rPr>
      </w:pPr>
      <w:r w:rsidRPr="00D00DD3">
        <w:rPr>
          <w:b/>
        </w:rPr>
        <w:lastRenderedPageBreak/>
        <w:t xml:space="preserve">Table 2. Rate, number, and percent of </w:t>
      </w:r>
      <w:r w:rsidR="0039692D">
        <w:rPr>
          <w:b/>
        </w:rPr>
        <w:t xml:space="preserve">opioid-related overdose </w:t>
      </w:r>
      <w:r w:rsidRPr="00D00DD3">
        <w:rPr>
          <w:b/>
        </w:rPr>
        <w:t>deaths by occupation group,</w:t>
      </w:r>
      <w:r>
        <w:rPr>
          <w:b/>
        </w:rPr>
        <w:t xml:space="preserve"> overall and by </w:t>
      </w:r>
      <w:r w:rsidR="00B72B32">
        <w:rPr>
          <w:b/>
        </w:rPr>
        <w:t>sex</w:t>
      </w:r>
      <w:r>
        <w:rPr>
          <w:b/>
        </w:rPr>
        <w:t>,</w:t>
      </w:r>
      <w:r w:rsidR="001401D6">
        <w:rPr>
          <w:b/>
        </w:rPr>
        <w:t xml:space="preserve"> Massachusetts </w:t>
      </w:r>
      <w:r w:rsidR="0007088F">
        <w:rPr>
          <w:b/>
        </w:rPr>
        <w:t xml:space="preserve">workers, </w:t>
      </w:r>
      <w:r w:rsidRPr="00D00DD3">
        <w:rPr>
          <w:b/>
        </w:rPr>
        <w:t>201</w:t>
      </w:r>
      <w:r w:rsidR="007C2335">
        <w:rPr>
          <w:b/>
        </w:rPr>
        <w:t>6</w:t>
      </w:r>
      <w:r w:rsidRPr="00D00DD3">
        <w:rPr>
          <w:b/>
        </w:rPr>
        <w:t>-201</w:t>
      </w:r>
      <w:r w:rsidR="001370D9">
        <w:rPr>
          <w:b/>
        </w:rPr>
        <w:t>7</w:t>
      </w:r>
      <w:r w:rsidRPr="00D00DD3">
        <w:rPr>
          <w:b/>
        </w:rPr>
        <w:t xml:space="preserve">, </w:t>
      </w:r>
      <w:r w:rsidR="00B62862">
        <w:rPr>
          <w:b/>
        </w:rPr>
        <w:t>N</w:t>
      </w:r>
      <w:r w:rsidRPr="00D00DD3">
        <w:rPr>
          <w:b/>
        </w:rPr>
        <w:t>=</w:t>
      </w:r>
      <w:r w:rsidR="007C2335">
        <w:rPr>
          <w:b/>
        </w:rPr>
        <w:t>3,354</w:t>
      </w:r>
    </w:p>
    <w:tbl>
      <w:tblPr>
        <w:tblStyle w:val="TableGrid1"/>
        <w:tblW w:w="15678" w:type="dxa"/>
        <w:tblLayout w:type="fixed"/>
        <w:tblLook w:val="04A0" w:firstRow="1" w:lastRow="0" w:firstColumn="1" w:lastColumn="0" w:noHBand="0" w:noVBand="1"/>
      </w:tblPr>
      <w:tblGrid>
        <w:gridCol w:w="4788"/>
        <w:gridCol w:w="2790"/>
        <w:gridCol w:w="2160"/>
        <w:gridCol w:w="2160"/>
        <w:gridCol w:w="1260"/>
        <w:gridCol w:w="1260"/>
        <w:gridCol w:w="1260"/>
      </w:tblGrid>
      <w:tr w:rsidR="00492488" w:rsidRPr="00492488" w14:paraId="4B7DDC01" w14:textId="77777777" w:rsidTr="00911A49">
        <w:trPr>
          <w:trHeight w:val="128"/>
        </w:trPr>
        <w:tc>
          <w:tcPr>
            <w:tcW w:w="4788" w:type="dxa"/>
            <w:vMerge w:val="restart"/>
            <w:noWrap/>
            <w:vAlign w:val="center"/>
            <w:hideMark/>
          </w:tcPr>
          <w:p w14:paraId="1A95F367" w14:textId="77777777" w:rsidR="00492488" w:rsidRPr="00492488" w:rsidRDefault="00492488" w:rsidP="00492488">
            <w:pPr>
              <w:rPr>
                <w:rFonts w:eastAsia="Calibri"/>
                <w:b/>
                <w:sz w:val="22"/>
                <w:szCs w:val="22"/>
                <w:lang w:val="en-GB"/>
              </w:rPr>
            </w:pPr>
            <w:r w:rsidRPr="00492488">
              <w:rPr>
                <w:rFonts w:eastAsia="Calibri"/>
                <w:b/>
                <w:sz w:val="22"/>
                <w:szCs w:val="22"/>
                <w:lang w:val="en-GB"/>
              </w:rPr>
              <w:t>Occupation</w:t>
            </w:r>
          </w:p>
        </w:tc>
        <w:tc>
          <w:tcPr>
            <w:tcW w:w="7110" w:type="dxa"/>
            <w:gridSpan w:val="3"/>
          </w:tcPr>
          <w:p w14:paraId="05A76720" w14:textId="77777777" w:rsidR="00492488" w:rsidRPr="00492488" w:rsidRDefault="00492488" w:rsidP="00860E1D">
            <w:pPr>
              <w:rPr>
                <w:rFonts w:eastAsia="Calibri"/>
                <w:b/>
                <w:sz w:val="22"/>
                <w:szCs w:val="22"/>
                <w:lang w:val="en-GB"/>
              </w:rPr>
            </w:pPr>
            <w:r w:rsidRPr="00492488">
              <w:rPr>
                <w:rFonts w:eastAsia="Calibri"/>
                <w:b/>
                <w:sz w:val="22"/>
                <w:szCs w:val="22"/>
                <w:lang w:val="en-GB"/>
              </w:rPr>
              <w:t xml:space="preserve">Rate of </w:t>
            </w:r>
            <w:r w:rsidR="0039692D">
              <w:rPr>
                <w:rFonts w:eastAsia="Calibri"/>
                <w:b/>
                <w:sz w:val="22"/>
                <w:szCs w:val="22"/>
                <w:lang w:val="en-GB"/>
              </w:rPr>
              <w:t xml:space="preserve">opioid-related overdose </w:t>
            </w:r>
            <w:r w:rsidRPr="00492488">
              <w:rPr>
                <w:rFonts w:eastAsia="Calibri"/>
                <w:b/>
                <w:sz w:val="22"/>
                <w:szCs w:val="22"/>
                <w:lang w:val="en-GB"/>
              </w:rPr>
              <w:t>deaths/100,000</w:t>
            </w:r>
            <w:r w:rsidR="0030286C">
              <w:rPr>
                <w:rFonts w:eastAsia="Calibri"/>
                <w:b/>
                <w:sz w:val="22"/>
                <w:szCs w:val="22"/>
                <w:lang w:val="en-GB"/>
              </w:rPr>
              <w:t xml:space="preserve"> workers</w:t>
            </w:r>
          </w:p>
          <w:p w14:paraId="022BECA7" w14:textId="77777777" w:rsidR="00492488" w:rsidRPr="00492488" w:rsidRDefault="00492488" w:rsidP="00492488">
            <w:pPr>
              <w:rPr>
                <w:rFonts w:eastAsia="Calibri"/>
                <w:b/>
                <w:sz w:val="22"/>
                <w:szCs w:val="22"/>
                <w:lang w:val="en-GB"/>
              </w:rPr>
            </w:pPr>
            <w:r w:rsidRPr="00492488">
              <w:rPr>
                <w:rFonts w:eastAsia="Calibri"/>
                <w:b/>
                <w:sz w:val="22"/>
                <w:szCs w:val="22"/>
                <w:lang w:val="en-GB"/>
              </w:rPr>
              <w:t xml:space="preserve"> </w:t>
            </w:r>
            <w:r w:rsidR="00860E1D">
              <w:rPr>
                <w:rFonts w:eastAsia="Calibri"/>
                <w:b/>
                <w:sz w:val="22"/>
                <w:szCs w:val="22"/>
                <w:lang w:val="en-GB"/>
              </w:rPr>
              <w:t xml:space="preserve">Rate </w:t>
            </w:r>
            <w:r w:rsidRPr="00492488">
              <w:rPr>
                <w:rFonts w:eastAsia="Calibri"/>
                <w:b/>
                <w:sz w:val="22"/>
                <w:szCs w:val="22"/>
                <w:lang w:val="en-GB"/>
              </w:rPr>
              <w:t>(95% CI)</w:t>
            </w:r>
          </w:p>
        </w:tc>
        <w:tc>
          <w:tcPr>
            <w:tcW w:w="3780" w:type="dxa"/>
            <w:gridSpan w:val="3"/>
            <w:noWrap/>
            <w:hideMark/>
          </w:tcPr>
          <w:p w14:paraId="6A2274B8" w14:textId="77777777" w:rsidR="00492488" w:rsidRPr="00492488" w:rsidRDefault="0039692D" w:rsidP="00492488">
            <w:pPr>
              <w:rPr>
                <w:rFonts w:eastAsia="Calibri"/>
                <w:b/>
                <w:sz w:val="22"/>
                <w:szCs w:val="22"/>
                <w:lang w:val="en-GB"/>
              </w:rPr>
            </w:pPr>
            <w:r>
              <w:rPr>
                <w:rFonts w:eastAsia="Calibri"/>
                <w:b/>
                <w:sz w:val="22"/>
                <w:szCs w:val="22"/>
                <w:lang w:val="en-GB"/>
              </w:rPr>
              <w:t xml:space="preserve">Opioid-related overdose </w:t>
            </w:r>
            <w:r w:rsidR="00492488" w:rsidRPr="00492488">
              <w:rPr>
                <w:rFonts w:eastAsia="Calibri"/>
                <w:b/>
                <w:sz w:val="22"/>
                <w:szCs w:val="22"/>
                <w:lang w:val="en-GB"/>
              </w:rPr>
              <w:t>deaths</w:t>
            </w:r>
          </w:p>
          <w:p w14:paraId="46E49D93" w14:textId="77777777" w:rsidR="00492488" w:rsidRPr="00492488" w:rsidRDefault="00492488" w:rsidP="00492488">
            <w:pPr>
              <w:rPr>
                <w:rFonts w:eastAsia="Calibri"/>
                <w:b/>
                <w:sz w:val="22"/>
                <w:szCs w:val="22"/>
                <w:lang w:val="en-GB"/>
              </w:rPr>
            </w:pPr>
            <w:r w:rsidRPr="00492488">
              <w:rPr>
                <w:rFonts w:eastAsia="Calibri"/>
                <w:b/>
                <w:sz w:val="22"/>
                <w:szCs w:val="22"/>
                <w:lang w:val="en-GB"/>
              </w:rPr>
              <w:t>N (%)</w:t>
            </w:r>
          </w:p>
        </w:tc>
      </w:tr>
      <w:tr w:rsidR="00492488" w:rsidRPr="00492488" w14:paraId="027DB7B4" w14:textId="77777777" w:rsidTr="00911A49">
        <w:trPr>
          <w:trHeight w:val="127"/>
        </w:trPr>
        <w:tc>
          <w:tcPr>
            <w:tcW w:w="4788" w:type="dxa"/>
            <w:vMerge/>
            <w:noWrap/>
          </w:tcPr>
          <w:p w14:paraId="366DF6C5" w14:textId="77777777" w:rsidR="00492488" w:rsidRPr="00492488" w:rsidRDefault="00492488" w:rsidP="00492488">
            <w:pPr>
              <w:jc w:val="left"/>
              <w:rPr>
                <w:rFonts w:eastAsia="Calibri"/>
                <w:sz w:val="22"/>
                <w:szCs w:val="22"/>
                <w:lang w:val="en-GB"/>
              </w:rPr>
            </w:pPr>
          </w:p>
        </w:tc>
        <w:tc>
          <w:tcPr>
            <w:tcW w:w="2790" w:type="dxa"/>
            <w:noWrap/>
          </w:tcPr>
          <w:p w14:paraId="33A0A654" w14:textId="77777777" w:rsidR="00492488" w:rsidRPr="00492488" w:rsidRDefault="00492488" w:rsidP="00492488">
            <w:pPr>
              <w:rPr>
                <w:rFonts w:eastAsia="Calibri"/>
                <w:b/>
                <w:sz w:val="22"/>
                <w:szCs w:val="22"/>
                <w:lang w:val="en-GB"/>
              </w:rPr>
            </w:pPr>
            <w:r>
              <w:rPr>
                <w:rFonts w:eastAsia="Calibri"/>
                <w:b/>
                <w:sz w:val="22"/>
                <w:szCs w:val="22"/>
                <w:lang w:val="en-GB"/>
              </w:rPr>
              <w:t>Overall</w:t>
            </w:r>
          </w:p>
        </w:tc>
        <w:tc>
          <w:tcPr>
            <w:tcW w:w="2160" w:type="dxa"/>
          </w:tcPr>
          <w:p w14:paraId="3519B849" w14:textId="77777777" w:rsidR="00492488" w:rsidRPr="00492488" w:rsidRDefault="00492488" w:rsidP="00492488">
            <w:pPr>
              <w:rPr>
                <w:rFonts w:eastAsia="Calibri"/>
                <w:b/>
                <w:sz w:val="22"/>
                <w:szCs w:val="22"/>
                <w:lang w:val="en-GB"/>
              </w:rPr>
            </w:pPr>
            <w:r w:rsidRPr="00492488">
              <w:rPr>
                <w:rFonts w:eastAsia="Calibri"/>
                <w:b/>
                <w:sz w:val="22"/>
                <w:szCs w:val="22"/>
                <w:lang w:val="en-GB"/>
              </w:rPr>
              <w:t>Males</w:t>
            </w:r>
          </w:p>
        </w:tc>
        <w:tc>
          <w:tcPr>
            <w:tcW w:w="2160" w:type="dxa"/>
          </w:tcPr>
          <w:p w14:paraId="36BFA535" w14:textId="77777777" w:rsidR="00492488" w:rsidRPr="00492488" w:rsidRDefault="00492488" w:rsidP="00492488">
            <w:pPr>
              <w:rPr>
                <w:rFonts w:eastAsia="Calibri"/>
                <w:b/>
                <w:sz w:val="22"/>
                <w:szCs w:val="22"/>
                <w:lang w:val="en-GB"/>
              </w:rPr>
            </w:pPr>
            <w:r w:rsidRPr="00492488">
              <w:rPr>
                <w:rFonts w:eastAsia="Calibri"/>
                <w:b/>
                <w:sz w:val="22"/>
                <w:szCs w:val="22"/>
                <w:lang w:val="en-GB"/>
              </w:rPr>
              <w:t>Females</w:t>
            </w:r>
          </w:p>
        </w:tc>
        <w:tc>
          <w:tcPr>
            <w:tcW w:w="1260" w:type="dxa"/>
            <w:noWrap/>
          </w:tcPr>
          <w:p w14:paraId="7131B02D" w14:textId="77777777" w:rsidR="00492488" w:rsidRPr="00492488" w:rsidRDefault="00492488" w:rsidP="00492488">
            <w:pPr>
              <w:rPr>
                <w:rFonts w:eastAsia="Calibri"/>
                <w:b/>
                <w:sz w:val="22"/>
                <w:szCs w:val="22"/>
                <w:lang w:val="en-GB"/>
              </w:rPr>
            </w:pPr>
            <w:r w:rsidRPr="00492488">
              <w:rPr>
                <w:rFonts w:eastAsia="Calibri"/>
                <w:b/>
                <w:sz w:val="22"/>
                <w:szCs w:val="22"/>
                <w:lang w:val="en-GB"/>
              </w:rPr>
              <w:t>Total</w:t>
            </w:r>
          </w:p>
        </w:tc>
        <w:tc>
          <w:tcPr>
            <w:tcW w:w="1260" w:type="dxa"/>
          </w:tcPr>
          <w:p w14:paraId="1A40AAF5" w14:textId="77777777" w:rsidR="00492488" w:rsidRPr="00492488" w:rsidRDefault="00492488" w:rsidP="00492488">
            <w:pPr>
              <w:rPr>
                <w:rFonts w:eastAsia="Calibri"/>
                <w:b/>
                <w:sz w:val="22"/>
                <w:szCs w:val="22"/>
                <w:lang w:val="en-GB"/>
              </w:rPr>
            </w:pPr>
            <w:r w:rsidRPr="00492488">
              <w:rPr>
                <w:rFonts w:eastAsia="Calibri"/>
                <w:b/>
                <w:sz w:val="22"/>
                <w:szCs w:val="22"/>
                <w:lang w:val="en-GB"/>
              </w:rPr>
              <w:t>Males</w:t>
            </w:r>
          </w:p>
        </w:tc>
        <w:tc>
          <w:tcPr>
            <w:tcW w:w="1260" w:type="dxa"/>
          </w:tcPr>
          <w:p w14:paraId="3DEB2F2D" w14:textId="77777777" w:rsidR="00492488" w:rsidRPr="00492488" w:rsidRDefault="00492488" w:rsidP="00492488">
            <w:pPr>
              <w:rPr>
                <w:rFonts w:eastAsia="Calibri"/>
                <w:b/>
                <w:sz w:val="22"/>
                <w:szCs w:val="22"/>
                <w:lang w:val="en-GB"/>
              </w:rPr>
            </w:pPr>
            <w:r w:rsidRPr="00492488">
              <w:rPr>
                <w:rFonts w:eastAsia="Calibri"/>
                <w:b/>
                <w:sz w:val="22"/>
                <w:szCs w:val="22"/>
                <w:lang w:val="en-GB"/>
              </w:rPr>
              <w:t>Females</w:t>
            </w:r>
          </w:p>
        </w:tc>
      </w:tr>
      <w:tr w:rsidR="00706511" w:rsidRPr="00492488" w14:paraId="1272F213" w14:textId="77777777" w:rsidTr="00A07533">
        <w:trPr>
          <w:trHeight w:val="20"/>
        </w:trPr>
        <w:tc>
          <w:tcPr>
            <w:tcW w:w="4788" w:type="dxa"/>
            <w:noWrap/>
          </w:tcPr>
          <w:p w14:paraId="2BFD2C83" w14:textId="77777777" w:rsidR="00706511" w:rsidRPr="00492488" w:rsidRDefault="00706511" w:rsidP="00706511">
            <w:pPr>
              <w:jc w:val="left"/>
              <w:rPr>
                <w:rFonts w:eastAsia="Calibri"/>
                <w:sz w:val="22"/>
                <w:szCs w:val="22"/>
                <w:lang w:val="en-GB"/>
              </w:rPr>
            </w:pPr>
            <w:r w:rsidRPr="00492488">
              <w:rPr>
                <w:rFonts w:eastAsia="Calibri"/>
                <w:sz w:val="22"/>
                <w:szCs w:val="22"/>
                <w:lang w:val="en-GB"/>
              </w:rPr>
              <w:t>Farming, fishing, and forestry</w:t>
            </w:r>
          </w:p>
        </w:tc>
        <w:tc>
          <w:tcPr>
            <w:tcW w:w="2790" w:type="dxa"/>
            <w:noWrap/>
            <w:vAlign w:val="center"/>
          </w:tcPr>
          <w:p w14:paraId="2AA1794E" w14:textId="77777777" w:rsidR="00706511" w:rsidRDefault="00706511" w:rsidP="00A07533">
            <w:pPr>
              <w:rPr>
                <w:rFonts w:eastAsia="Calibri"/>
                <w:sz w:val="22"/>
                <w:szCs w:val="22"/>
                <w:lang w:val="en-GB"/>
              </w:rPr>
            </w:pPr>
            <w:r>
              <w:rPr>
                <w:rFonts w:eastAsia="Calibri"/>
                <w:sz w:val="22"/>
                <w:szCs w:val="22"/>
                <w:lang w:val="en-GB"/>
              </w:rPr>
              <w:t>345.8 (224.1, 467.5)</w:t>
            </w:r>
            <w:r w:rsidRPr="002A698A">
              <w:rPr>
                <w:rFonts w:eastAsia="Calibri"/>
                <w:sz w:val="22"/>
                <w:szCs w:val="22"/>
                <w:vertAlign w:val="superscript"/>
                <w:lang w:val="en-GB"/>
              </w:rPr>
              <w:t xml:space="preserve"> 1</w:t>
            </w:r>
          </w:p>
        </w:tc>
        <w:tc>
          <w:tcPr>
            <w:tcW w:w="2160" w:type="dxa"/>
            <w:vAlign w:val="center"/>
          </w:tcPr>
          <w:p w14:paraId="0FB77C68" w14:textId="77777777" w:rsidR="00706511" w:rsidRDefault="00706511" w:rsidP="00A07533">
            <w:pPr>
              <w:rPr>
                <w:rFonts w:eastAsia="Calibri"/>
                <w:sz w:val="22"/>
                <w:szCs w:val="22"/>
                <w:lang w:val="en-GB"/>
              </w:rPr>
            </w:pPr>
            <w:r>
              <w:rPr>
                <w:rFonts w:eastAsia="Calibri"/>
                <w:sz w:val="22"/>
                <w:szCs w:val="22"/>
                <w:lang w:val="en-GB"/>
              </w:rPr>
              <w:t>444.3 (286.6, 602.0)</w:t>
            </w:r>
            <w:r w:rsidRPr="002A698A">
              <w:rPr>
                <w:rFonts w:eastAsia="Calibri"/>
                <w:sz w:val="22"/>
                <w:szCs w:val="22"/>
                <w:vertAlign w:val="superscript"/>
                <w:lang w:val="en-GB"/>
              </w:rPr>
              <w:t xml:space="preserve"> 1</w:t>
            </w:r>
          </w:p>
        </w:tc>
        <w:tc>
          <w:tcPr>
            <w:tcW w:w="2160" w:type="dxa"/>
            <w:vAlign w:val="center"/>
          </w:tcPr>
          <w:p w14:paraId="0D2C57CF" w14:textId="77777777" w:rsidR="00706511" w:rsidRDefault="00706511" w:rsidP="00A07533">
            <w:pPr>
              <w:rPr>
                <w:rFonts w:eastAsia="Calibri"/>
                <w:sz w:val="22"/>
                <w:szCs w:val="22"/>
                <w:lang w:val="en-GB"/>
              </w:rPr>
            </w:pPr>
            <w:r>
              <w:rPr>
                <w:rFonts w:eastAsia="Calibri"/>
                <w:sz w:val="22"/>
                <w:szCs w:val="22"/>
                <w:lang w:val="en-GB"/>
              </w:rPr>
              <w:t>__</w:t>
            </w:r>
            <w:r>
              <w:rPr>
                <w:rFonts w:eastAsia="Calibri"/>
                <w:sz w:val="22"/>
                <w:szCs w:val="22"/>
                <w:vertAlign w:val="superscript"/>
                <w:lang w:val="en-GB"/>
              </w:rPr>
              <w:t>4</w:t>
            </w:r>
          </w:p>
        </w:tc>
        <w:tc>
          <w:tcPr>
            <w:tcW w:w="1260" w:type="dxa"/>
            <w:noWrap/>
            <w:vAlign w:val="center"/>
          </w:tcPr>
          <w:p w14:paraId="79315240" w14:textId="77777777" w:rsidR="00706511" w:rsidRDefault="00706511" w:rsidP="00A07533">
            <w:pPr>
              <w:rPr>
                <w:rFonts w:eastAsia="Calibri"/>
                <w:sz w:val="22"/>
                <w:szCs w:val="22"/>
                <w:lang w:val="en-GB"/>
              </w:rPr>
            </w:pPr>
            <w:r>
              <w:rPr>
                <w:rFonts w:eastAsia="Calibri"/>
                <w:sz w:val="22"/>
                <w:szCs w:val="22"/>
                <w:lang w:val="en-GB"/>
              </w:rPr>
              <w:t>62 (1.9)</w:t>
            </w:r>
          </w:p>
        </w:tc>
        <w:tc>
          <w:tcPr>
            <w:tcW w:w="1260" w:type="dxa"/>
            <w:vAlign w:val="center"/>
          </w:tcPr>
          <w:p w14:paraId="742D47F9" w14:textId="77777777" w:rsidR="00706511" w:rsidRDefault="00706511" w:rsidP="00A07533">
            <w:pPr>
              <w:rPr>
                <w:rFonts w:eastAsia="Calibri"/>
                <w:sz w:val="22"/>
                <w:szCs w:val="22"/>
                <w:lang w:val="en-GB"/>
              </w:rPr>
            </w:pPr>
            <w:r>
              <w:rPr>
                <w:rFonts w:eastAsia="Calibri"/>
                <w:sz w:val="22"/>
                <w:szCs w:val="22"/>
                <w:lang w:val="en-GB"/>
              </w:rPr>
              <w:t>__</w:t>
            </w:r>
            <w:r>
              <w:rPr>
                <w:rFonts w:eastAsia="Calibri"/>
                <w:sz w:val="22"/>
                <w:szCs w:val="22"/>
                <w:vertAlign w:val="superscript"/>
                <w:lang w:val="en-GB"/>
              </w:rPr>
              <w:t>2</w:t>
            </w:r>
          </w:p>
        </w:tc>
        <w:tc>
          <w:tcPr>
            <w:tcW w:w="1260" w:type="dxa"/>
            <w:vAlign w:val="center"/>
          </w:tcPr>
          <w:p w14:paraId="082F1CDD" w14:textId="77777777" w:rsidR="00706511" w:rsidRDefault="00706511" w:rsidP="00A07533">
            <w:pPr>
              <w:rPr>
                <w:rFonts w:eastAsia="Calibri"/>
                <w:sz w:val="22"/>
                <w:szCs w:val="22"/>
                <w:lang w:val="en-GB"/>
              </w:rPr>
            </w:pPr>
            <w:r>
              <w:rPr>
                <w:rFonts w:eastAsia="Calibri"/>
                <w:sz w:val="22"/>
                <w:szCs w:val="22"/>
                <w:lang w:val="en-GB"/>
              </w:rPr>
              <w:t>__</w:t>
            </w:r>
            <w:r>
              <w:rPr>
                <w:rFonts w:eastAsia="Calibri"/>
                <w:sz w:val="22"/>
                <w:szCs w:val="22"/>
                <w:vertAlign w:val="superscript"/>
                <w:lang w:val="en-GB"/>
              </w:rPr>
              <w:t>2</w:t>
            </w:r>
          </w:p>
        </w:tc>
      </w:tr>
      <w:tr w:rsidR="00706511" w:rsidRPr="00492488" w14:paraId="0BA7DB9A" w14:textId="77777777" w:rsidTr="00A07533">
        <w:trPr>
          <w:trHeight w:val="20"/>
        </w:trPr>
        <w:tc>
          <w:tcPr>
            <w:tcW w:w="4788" w:type="dxa"/>
            <w:noWrap/>
            <w:hideMark/>
          </w:tcPr>
          <w:p w14:paraId="5EBD87AF" w14:textId="77777777" w:rsidR="00706511" w:rsidRPr="00492488" w:rsidRDefault="00706511" w:rsidP="00706511">
            <w:pPr>
              <w:jc w:val="left"/>
              <w:rPr>
                <w:rFonts w:eastAsia="Calibri"/>
                <w:sz w:val="22"/>
                <w:szCs w:val="22"/>
                <w:vertAlign w:val="superscript"/>
                <w:lang w:val="en-GB"/>
              </w:rPr>
            </w:pPr>
            <w:r w:rsidRPr="00492488">
              <w:rPr>
                <w:rFonts w:eastAsia="Calibri"/>
                <w:sz w:val="22"/>
                <w:szCs w:val="22"/>
                <w:lang w:val="en-GB"/>
              </w:rPr>
              <w:t>Construction and extraction</w:t>
            </w:r>
          </w:p>
        </w:tc>
        <w:tc>
          <w:tcPr>
            <w:tcW w:w="2790" w:type="dxa"/>
            <w:noWrap/>
            <w:vAlign w:val="center"/>
          </w:tcPr>
          <w:p w14:paraId="280B3B0A" w14:textId="77777777" w:rsidR="00706511" w:rsidRPr="005B47BA" w:rsidRDefault="00706511" w:rsidP="00A07533">
            <w:pPr>
              <w:rPr>
                <w:rFonts w:eastAsia="Calibri"/>
                <w:sz w:val="22"/>
                <w:szCs w:val="22"/>
                <w:vertAlign w:val="superscript"/>
                <w:lang w:val="en-GB"/>
              </w:rPr>
            </w:pPr>
            <w:r>
              <w:rPr>
                <w:rFonts w:eastAsia="Calibri"/>
                <w:sz w:val="22"/>
                <w:szCs w:val="22"/>
                <w:lang w:val="en-GB"/>
              </w:rPr>
              <w:t>282.4 (256.4, 308.4)</w:t>
            </w:r>
            <w:r w:rsidRPr="000905F5">
              <w:rPr>
                <w:rFonts w:eastAsia="Calibri"/>
                <w:sz w:val="22"/>
                <w:szCs w:val="22"/>
                <w:vertAlign w:val="superscript"/>
                <w:lang w:val="en-GB"/>
              </w:rPr>
              <w:t>1</w:t>
            </w:r>
          </w:p>
        </w:tc>
        <w:tc>
          <w:tcPr>
            <w:tcW w:w="2160" w:type="dxa"/>
            <w:vAlign w:val="center"/>
          </w:tcPr>
          <w:p w14:paraId="51E4A8C7" w14:textId="77777777" w:rsidR="00706511" w:rsidRPr="005B47BA" w:rsidRDefault="00706511" w:rsidP="00A07533">
            <w:pPr>
              <w:rPr>
                <w:rFonts w:eastAsia="Calibri"/>
                <w:sz w:val="22"/>
                <w:szCs w:val="22"/>
                <w:vertAlign w:val="superscript"/>
                <w:lang w:val="en-GB"/>
              </w:rPr>
            </w:pPr>
            <w:r>
              <w:rPr>
                <w:rFonts w:eastAsia="Calibri"/>
                <w:sz w:val="22"/>
                <w:szCs w:val="22"/>
                <w:lang w:val="en-GB"/>
              </w:rPr>
              <w:t>284.5 (258.1, 310.9)</w:t>
            </w:r>
            <w:r w:rsidRPr="002A698A">
              <w:rPr>
                <w:rFonts w:eastAsia="Calibri"/>
                <w:sz w:val="22"/>
                <w:szCs w:val="22"/>
                <w:vertAlign w:val="superscript"/>
                <w:lang w:val="en-GB"/>
              </w:rPr>
              <w:t xml:space="preserve"> 1</w:t>
            </w:r>
          </w:p>
        </w:tc>
        <w:tc>
          <w:tcPr>
            <w:tcW w:w="2160" w:type="dxa"/>
            <w:vAlign w:val="center"/>
          </w:tcPr>
          <w:p w14:paraId="4C2BB255" w14:textId="77777777" w:rsidR="00706511" w:rsidRPr="00492488" w:rsidRDefault="00706511" w:rsidP="00A07533">
            <w:pPr>
              <w:rPr>
                <w:rFonts w:eastAsia="Calibri"/>
                <w:sz w:val="22"/>
                <w:szCs w:val="22"/>
                <w:lang w:val="en-GB"/>
              </w:rPr>
            </w:pPr>
            <w:r>
              <w:rPr>
                <w:rFonts w:eastAsia="Calibri"/>
                <w:sz w:val="22"/>
                <w:szCs w:val="22"/>
                <w:lang w:val="en-GB"/>
              </w:rPr>
              <w:t>186.9 (43.2, 330.6)</w:t>
            </w:r>
            <w:r w:rsidRPr="002A698A">
              <w:rPr>
                <w:rFonts w:eastAsia="Calibri"/>
                <w:sz w:val="22"/>
                <w:szCs w:val="22"/>
                <w:vertAlign w:val="superscript"/>
                <w:lang w:val="en-GB"/>
              </w:rPr>
              <w:t xml:space="preserve"> 1</w:t>
            </w:r>
          </w:p>
        </w:tc>
        <w:tc>
          <w:tcPr>
            <w:tcW w:w="1260" w:type="dxa"/>
            <w:noWrap/>
            <w:vAlign w:val="center"/>
          </w:tcPr>
          <w:p w14:paraId="43655121" w14:textId="77777777" w:rsidR="00706511" w:rsidRPr="00492488" w:rsidRDefault="00706511" w:rsidP="00A07533">
            <w:pPr>
              <w:rPr>
                <w:rFonts w:eastAsia="Calibri"/>
                <w:sz w:val="22"/>
                <w:szCs w:val="22"/>
                <w:lang w:val="en-GB"/>
              </w:rPr>
            </w:pPr>
            <w:r>
              <w:rPr>
                <w:rFonts w:eastAsia="Calibri"/>
                <w:sz w:val="22"/>
                <w:szCs w:val="22"/>
                <w:lang w:val="en-GB"/>
              </w:rPr>
              <w:t>904 (26.9)</w:t>
            </w:r>
          </w:p>
        </w:tc>
        <w:tc>
          <w:tcPr>
            <w:tcW w:w="1260" w:type="dxa"/>
            <w:vAlign w:val="center"/>
          </w:tcPr>
          <w:p w14:paraId="20E62832" w14:textId="77777777" w:rsidR="00706511" w:rsidRPr="00492488" w:rsidRDefault="00706511" w:rsidP="00A07533">
            <w:pPr>
              <w:rPr>
                <w:rFonts w:eastAsia="Calibri"/>
                <w:sz w:val="22"/>
                <w:szCs w:val="22"/>
                <w:lang w:val="en-GB"/>
              </w:rPr>
            </w:pPr>
            <w:r>
              <w:rPr>
                <w:rFonts w:eastAsia="Calibri"/>
                <w:sz w:val="22"/>
                <w:szCs w:val="22"/>
                <w:lang w:val="en-GB"/>
              </w:rPr>
              <w:t>891 (33.6)</w:t>
            </w:r>
          </w:p>
        </w:tc>
        <w:tc>
          <w:tcPr>
            <w:tcW w:w="1260" w:type="dxa"/>
            <w:vAlign w:val="center"/>
          </w:tcPr>
          <w:p w14:paraId="38A0CB66" w14:textId="77777777" w:rsidR="00706511" w:rsidRPr="00492488" w:rsidRDefault="00706511" w:rsidP="00A07533">
            <w:pPr>
              <w:rPr>
                <w:rFonts w:eastAsia="Calibri"/>
                <w:sz w:val="22"/>
                <w:szCs w:val="22"/>
                <w:lang w:val="en-GB"/>
              </w:rPr>
            </w:pPr>
            <w:r>
              <w:rPr>
                <w:rFonts w:eastAsia="Calibri"/>
                <w:sz w:val="22"/>
                <w:szCs w:val="22"/>
                <w:lang w:val="en-GB"/>
              </w:rPr>
              <w:t>13 (1.9)</w:t>
            </w:r>
          </w:p>
        </w:tc>
      </w:tr>
      <w:tr w:rsidR="00706511" w:rsidRPr="00492488" w14:paraId="2E5AA66D" w14:textId="77777777" w:rsidTr="00A07533">
        <w:trPr>
          <w:trHeight w:val="20"/>
        </w:trPr>
        <w:tc>
          <w:tcPr>
            <w:tcW w:w="4788" w:type="dxa"/>
            <w:noWrap/>
          </w:tcPr>
          <w:p w14:paraId="41A06ABA" w14:textId="77777777" w:rsidR="00706511" w:rsidRPr="00492488" w:rsidRDefault="00706511" w:rsidP="00706511">
            <w:pPr>
              <w:jc w:val="left"/>
              <w:rPr>
                <w:rFonts w:eastAsia="Calibri"/>
                <w:sz w:val="22"/>
                <w:szCs w:val="22"/>
                <w:vertAlign w:val="superscript"/>
                <w:lang w:val="en-GB"/>
              </w:rPr>
            </w:pPr>
            <w:r w:rsidRPr="00492488">
              <w:rPr>
                <w:rFonts w:eastAsia="Calibri"/>
                <w:sz w:val="22"/>
                <w:szCs w:val="22"/>
                <w:lang w:val="en-GB"/>
              </w:rPr>
              <w:t>Installation, maintenance, &amp; repair</w:t>
            </w:r>
          </w:p>
        </w:tc>
        <w:tc>
          <w:tcPr>
            <w:tcW w:w="2790" w:type="dxa"/>
            <w:noWrap/>
            <w:vAlign w:val="center"/>
          </w:tcPr>
          <w:p w14:paraId="422B3BDC" w14:textId="77777777" w:rsidR="00706511" w:rsidRPr="005B47BA" w:rsidRDefault="00706511" w:rsidP="00A07533">
            <w:pPr>
              <w:rPr>
                <w:rFonts w:eastAsia="Calibri"/>
                <w:sz w:val="22"/>
                <w:szCs w:val="22"/>
                <w:vertAlign w:val="superscript"/>
                <w:lang w:val="en-GB"/>
              </w:rPr>
            </w:pPr>
            <w:r>
              <w:rPr>
                <w:rFonts w:eastAsia="Calibri"/>
                <w:sz w:val="22"/>
                <w:szCs w:val="22"/>
                <w:lang w:val="en-GB"/>
              </w:rPr>
              <w:t>128.1 (102.3, 153.9)</w:t>
            </w:r>
            <w:r w:rsidRPr="002A698A">
              <w:rPr>
                <w:rFonts w:eastAsia="Calibri"/>
                <w:sz w:val="22"/>
                <w:szCs w:val="22"/>
                <w:vertAlign w:val="superscript"/>
                <w:lang w:val="en-GB"/>
              </w:rPr>
              <w:t xml:space="preserve"> 1</w:t>
            </w:r>
          </w:p>
        </w:tc>
        <w:tc>
          <w:tcPr>
            <w:tcW w:w="2160" w:type="dxa"/>
            <w:vAlign w:val="center"/>
          </w:tcPr>
          <w:p w14:paraId="0FA43C0B" w14:textId="77777777" w:rsidR="00706511" w:rsidRPr="005B47BA" w:rsidRDefault="00706511" w:rsidP="00A07533">
            <w:pPr>
              <w:rPr>
                <w:rFonts w:eastAsia="Calibri"/>
                <w:sz w:val="22"/>
                <w:szCs w:val="22"/>
                <w:vertAlign w:val="superscript"/>
                <w:lang w:val="en-GB"/>
              </w:rPr>
            </w:pPr>
            <w:r>
              <w:rPr>
                <w:rFonts w:eastAsia="Calibri"/>
                <w:sz w:val="22"/>
                <w:szCs w:val="22"/>
                <w:lang w:val="en-GB"/>
              </w:rPr>
              <w:t>128.7 (102.4, 155.0)</w:t>
            </w:r>
            <w:r w:rsidRPr="002A698A">
              <w:rPr>
                <w:rFonts w:eastAsia="Calibri"/>
                <w:sz w:val="22"/>
                <w:szCs w:val="22"/>
                <w:vertAlign w:val="superscript"/>
                <w:lang w:val="en-GB"/>
              </w:rPr>
              <w:t xml:space="preserve"> 1</w:t>
            </w:r>
          </w:p>
        </w:tc>
        <w:tc>
          <w:tcPr>
            <w:tcW w:w="2160" w:type="dxa"/>
            <w:vAlign w:val="center"/>
          </w:tcPr>
          <w:p w14:paraId="2AA032A9" w14:textId="77777777" w:rsidR="00706511" w:rsidRPr="005B47BA" w:rsidRDefault="00706511" w:rsidP="00A07533">
            <w:pPr>
              <w:rPr>
                <w:rFonts w:eastAsia="Calibri"/>
                <w:sz w:val="22"/>
                <w:szCs w:val="22"/>
                <w:vertAlign w:val="superscript"/>
                <w:lang w:val="en-GB"/>
              </w:rPr>
            </w:pPr>
            <w:r>
              <w:rPr>
                <w:rFonts w:eastAsia="Calibri"/>
                <w:sz w:val="22"/>
                <w:szCs w:val="22"/>
                <w:lang w:val="en-GB"/>
              </w:rPr>
              <w:t>__</w:t>
            </w:r>
            <w:r>
              <w:rPr>
                <w:rFonts w:eastAsia="Calibri"/>
                <w:sz w:val="22"/>
                <w:szCs w:val="22"/>
                <w:vertAlign w:val="superscript"/>
                <w:lang w:val="en-GB"/>
              </w:rPr>
              <w:t>4</w:t>
            </w:r>
          </w:p>
        </w:tc>
        <w:tc>
          <w:tcPr>
            <w:tcW w:w="1260" w:type="dxa"/>
            <w:noWrap/>
            <w:vAlign w:val="center"/>
          </w:tcPr>
          <w:p w14:paraId="5EC44DDE" w14:textId="77777777" w:rsidR="00706511" w:rsidRPr="00492488" w:rsidRDefault="00706511" w:rsidP="00A07533">
            <w:pPr>
              <w:rPr>
                <w:rFonts w:eastAsia="Calibri"/>
                <w:sz w:val="22"/>
                <w:szCs w:val="22"/>
                <w:lang w:val="en-GB"/>
              </w:rPr>
            </w:pPr>
            <w:r>
              <w:rPr>
                <w:rFonts w:eastAsia="Calibri"/>
                <w:sz w:val="22"/>
                <w:szCs w:val="22"/>
                <w:lang w:val="en-GB"/>
              </w:rPr>
              <w:t>189 (5.6)</w:t>
            </w:r>
          </w:p>
        </w:tc>
        <w:tc>
          <w:tcPr>
            <w:tcW w:w="1260" w:type="dxa"/>
            <w:vAlign w:val="center"/>
          </w:tcPr>
          <w:p w14:paraId="2BEC1AA3" w14:textId="77777777" w:rsidR="00706511" w:rsidRPr="005B47BA" w:rsidRDefault="00706511" w:rsidP="00A07533">
            <w:pPr>
              <w:rPr>
                <w:rFonts w:eastAsia="Calibri"/>
                <w:sz w:val="22"/>
                <w:szCs w:val="22"/>
                <w:vertAlign w:val="superscript"/>
                <w:lang w:val="en-GB"/>
              </w:rPr>
            </w:pPr>
            <w:r>
              <w:rPr>
                <w:rFonts w:eastAsia="Calibri"/>
                <w:sz w:val="22"/>
                <w:szCs w:val="22"/>
                <w:lang w:val="en-GB"/>
              </w:rPr>
              <w:t>184 (6.9)</w:t>
            </w:r>
          </w:p>
        </w:tc>
        <w:tc>
          <w:tcPr>
            <w:tcW w:w="1260" w:type="dxa"/>
            <w:vAlign w:val="center"/>
          </w:tcPr>
          <w:p w14:paraId="1BC6A2A7" w14:textId="77777777" w:rsidR="00706511" w:rsidRPr="005B47BA" w:rsidRDefault="00706511" w:rsidP="00A07533">
            <w:pPr>
              <w:rPr>
                <w:rFonts w:eastAsia="Calibri"/>
                <w:sz w:val="22"/>
                <w:szCs w:val="22"/>
                <w:vertAlign w:val="superscript"/>
                <w:lang w:val="en-GB"/>
              </w:rPr>
            </w:pPr>
            <w:r>
              <w:rPr>
                <w:rFonts w:eastAsia="Calibri"/>
                <w:sz w:val="22"/>
                <w:szCs w:val="22"/>
                <w:lang w:val="en-GB"/>
              </w:rPr>
              <w:t>5 (0.7)</w:t>
            </w:r>
          </w:p>
        </w:tc>
      </w:tr>
      <w:tr w:rsidR="00706511" w:rsidRPr="00492488" w14:paraId="39B57E91" w14:textId="77777777" w:rsidTr="00A07533">
        <w:trPr>
          <w:trHeight w:val="20"/>
        </w:trPr>
        <w:tc>
          <w:tcPr>
            <w:tcW w:w="4788" w:type="dxa"/>
            <w:noWrap/>
          </w:tcPr>
          <w:p w14:paraId="66AF818E" w14:textId="77777777" w:rsidR="00706511" w:rsidRPr="00492488" w:rsidRDefault="00706511" w:rsidP="00706511">
            <w:pPr>
              <w:jc w:val="left"/>
              <w:rPr>
                <w:rFonts w:eastAsia="Calibri"/>
                <w:sz w:val="22"/>
                <w:szCs w:val="22"/>
                <w:vertAlign w:val="superscript"/>
                <w:lang w:val="en-GB"/>
              </w:rPr>
            </w:pPr>
            <w:r>
              <w:rPr>
                <w:rFonts w:eastAsia="Calibri"/>
                <w:sz w:val="22"/>
                <w:szCs w:val="22"/>
                <w:lang w:val="en-GB"/>
              </w:rPr>
              <w:t>Transportation and m</w:t>
            </w:r>
            <w:r w:rsidRPr="00492488">
              <w:rPr>
                <w:rFonts w:eastAsia="Calibri"/>
                <w:sz w:val="22"/>
                <w:szCs w:val="22"/>
                <w:lang w:val="en-GB"/>
              </w:rPr>
              <w:t>aterial moving</w:t>
            </w:r>
          </w:p>
        </w:tc>
        <w:tc>
          <w:tcPr>
            <w:tcW w:w="2790" w:type="dxa"/>
            <w:noWrap/>
            <w:vAlign w:val="center"/>
          </w:tcPr>
          <w:p w14:paraId="760A1C3E" w14:textId="77777777" w:rsidR="00706511" w:rsidRPr="005B47BA" w:rsidRDefault="00706511" w:rsidP="00A07533">
            <w:pPr>
              <w:rPr>
                <w:rFonts w:eastAsia="Calibri"/>
                <w:sz w:val="22"/>
                <w:szCs w:val="22"/>
                <w:vertAlign w:val="superscript"/>
                <w:lang w:val="en-GB"/>
              </w:rPr>
            </w:pPr>
            <w:r>
              <w:rPr>
                <w:rFonts w:eastAsia="Calibri"/>
                <w:sz w:val="22"/>
                <w:szCs w:val="22"/>
                <w:lang w:val="en-GB"/>
              </w:rPr>
              <w:t>87.</w:t>
            </w:r>
            <w:r>
              <w:rPr>
                <w:rFonts w:eastAsia="Calibri"/>
                <w:noProof/>
                <w:sz w:val="22"/>
                <w:szCs w:val="22"/>
                <w:lang w:val="en-GB"/>
              </w:rPr>
              <w:t xml:space="preserve"> </w:t>
            </w:r>
            <w:r>
              <w:rPr>
                <w:rFonts w:eastAsia="Calibri"/>
                <w:sz w:val="22"/>
                <w:szCs w:val="22"/>
                <w:lang w:val="en-GB"/>
              </w:rPr>
              <w:t>1 (73.0, 101.3)</w:t>
            </w:r>
            <w:r w:rsidRPr="002A698A">
              <w:rPr>
                <w:rFonts w:eastAsia="Calibri"/>
                <w:sz w:val="22"/>
                <w:szCs w:val="22"/>
                <w:vertAlign w:val="superscript"/>
                <w:lang w:val="en-GB"/>
              </w:rPr>
              <w:t xml:space="preserve"> 1</w:t>
            </w:r>
          </w:p>
        </w:tc>
        <w:tc>
          <w:tcPr>
            <w:tcW w:w="2160" w:type="dxa"/>
            <w:vAlign w:val="center"/>
          </w:tcPr>
          <w:p w14:paraId="7CEA79CB" w14:textId="77777777" w:rsidR="00706511" w:rsidRPr="005B47BA" w:rsidRDefault="00706511" w:rsidP="00A07533">
            <w:pPr>
              <w:rPr>
                <w:rFonts w:eastAsia="Calibri"/>
                <w:sz w:val="22"/>
                <w:szCs w:val="22"/>
                <w:vertAlign w:val="superscript"/>
                <w:lang w:val="en-GB"/>
              </w:rPr>
            </w:pPr>
            <w:r>
              <w:rPr>
                <w:rFonts w:eastAsia="Calibri"/>
                <w:sz w:val="22"/>
                <w:szCs w:val="22"/>
                <w:lang w:val="en-GB"/>
              </w:rPr>
              <w:t>99.1 (82.5, 115.7)</w:t>
            </w:r>
            <w:r w:rsidRPr="002A698A">
              <w:rPr>
                <w:rFonts w:eastAsia="Calibri"/>
                <w:sz w:val="22"/>
                <w:szCs w:val="22"/>
                <w:vertAlign w:val="superscript"/>
                <w:lang w:val="en-GB"/>
              </w:rPr>
              <w:t xml:space="preserve"> 1</w:t>
            </w:r>
          </w:p>
        </w:tc>
        <w:tc>
          <w:tcPr>
            <w:tcW w:w="2160" w:type="dxa"/>
            <w:vAlign w:val="center"/>
          </w:tcPr>
          <w:p w14:paraId="4A4F69F1" w14:textId="77777777" w:rsidR="00706511" w:rsidRPr="00492488" w:rsidRDefault="00706511" w:rsidP="00A07533">
            <w:pPr>
              <w:rPr>
                <w:rFonts w:eastAsia="Calibri"/>
                <w:sz w:val="22"/>
                <w:szCs w:val="22"/>
                <w:lang w:val="en-GB"/>
              </w:rPr>
            </w:pPr>
            <w:r>
              <w:rPr>
                <w:rFonts w:eastAsia="Calibri"/>
                <w:sz w:val="22"/>
                <w:szCs w:val="22"/>
                <w:lang w:val="en-GB"/>
              </w:rPr>
              <w:t>31.9 (11.6, 52.1)</w:t>
            </w:r>
            <w:r w:rsidRPr="002A698A">
              <w:rPr>
                <w:rFonts w:eastAsia="Calibri"/>
                <w:sz w:val="22"/>
                <w:szCs w:val="22"/>
                <w:vertAlign w:val="superscript"/>
                <w:lang w:val="en-GB"/>
              </w:rPr>
              <w:t xml:space="preserve"> 1</w:t>
            </w:r>
          </w:p>
        </w:tc>
        <w:tc>
          <w:tcPr>
            <w:tcW w:w="1260" w:type="dxa"/>
            <w:noWrap/>
            <w:vAlign w:val="center"/>
          </w:tcPr>
          <w:p w14:paraId="63A00C81" w14:textId="77777777" w:rsidR="00706511" w:rsidRPr="00492488" w:rsidRDefault="00706511" w:rsidP="00A07533">
            <w:pPr>
              <w:rPr>
                <w:rFonts w:eastAsia="Calibri"/>
                <w:sz w:val="22"/>
                <w:szCs w:val="22"/>
                <w:lang w:val="en-GB"/>
              </w:rPr>
            </w:pPr>
            <w:r>
              <w:rPr>
                <w:rFonts w:eastAsia="Calibri"/>
                <w:sz w:val="22"/>
                <w:szCs w:val="22"/>
                <w:lang w:val="en-GB"/>
              </w:rPr>
              <w:t>292 (8.7)</w:t>
            </w:r>
          </w:p>
        </w:tc>
        <w:tc>
          <w:tcPr>
            <w:tcW w:w="1260" w:type="dxa"/>
            <w:vAlign w:val="center"/>
          </w:tcPr>
          <w:p w14:paraId="0E0C956C" w14:textId="77777777" w:rsidR="00706511" w:rsidRPr="00492488" w:rsidRDefault="00706511" w:rsidP="00A07533">
            <w:pPr>
              <w:rPr>
                <w:rFonts w:eastAsia="Calibri"/>
                <w:sz w:val="22"/>
                <w:szCs w:val="22"/>
                <w:lang w:val="en-GB"/>
              </w:rPr>
            </w:pPr>
            <w:r>
              <w:rPr>
                <w:rFonts w:eastAsia="Calibri"/>
                <w:sz w:val="22"/>
                <w:szCs w:val="22"/>
                <w:lang w:val="en-GB"/>
              </w:rPr>
              <w:t>273 (10.3)</w:t>
            </w:r>
          </w:p>
        </w:tc>
        <w:tc>
          <w:tcPr>
            <w:tcW w:w="1260" w:type="dxa"/>
            <w:vAlign w:val="center"/>
          </w:tcPr>
          <w:p w14:paraId="13CCFA92" w14:textId="77777777" w:rsidR="00706511" w:rsidRPr="00492488" w:rsidRDefault="00706511" w:rsidP="00A07533">
            <w:pPr>
              <w:rPr>
                <w:rFonts w:eastAsia="Calibri"/>
                <w:sz w:val="22"/>
                <w:szCs w:val="22"/>
                <w:lang w:val="en-GB"/>
              </w:rPr>
            </w:pPr>
            <w:r>
              <w:rPr>
                <w:rFonts w:eastAsia="Calibri"/>
                <w:sz w:val="22"/>
                <w:szCs w:val="22"/>
                <w:lang w:val="en-GB"/>
              </w:rPr>
              <w:t>19 (2.7)</w:t>
            </w:r>
          </w:p>
        </w:tc>
      </w:tr>
      <w:tr w:rsidR="00706511" w:rsidRPr="00492488" w14:paraId="1BB453B5" w14:textId="77777777" w:rsidTr="00A07533">
        <w:trPr>
          <w:trHeight w:val="20"/>
        </w:trPr>
        <w:tc>
          <w:tcPr>
            <w:tcW w:w="4788" w:type="dxa"/>
            <w:noWrap/>
          </w:tcPr>
          <w:p w14:paraId="02C55E1E" w14:textId="77777777" w:rsidR="00706511" w:rsidRPr="00492488" w:rsidRDefault="00706511" w:rsidP="00706511">
            <w:pPr>
              <w:jc w:val="left"/>
              <w:rPr>
                <w:rFonts w:eastAsia="Calibri"/>
                <w:sz w:val="22"/>
                <w:szCs w:val="22"/>
                <w:vertAlign w:val="superscript"/>
                <w:lang w:val="en-GB"/>
              </w:rPr>
            </w:pPr>
            <w:r w:rsidRPr="00492488">
              <w:rPr>
                <w:rFonts w:eastAsia="Calibri"/>
                <w:sz w:val="22"/>
                <w:szCs w:val="22"/>
                <w:lang w:val="en-GB"/>
              </w:rPr>
              <w:t>Building/grounds cleaning &amp; maintenance</w:t>
            </w:r>
          </w:p>
        </w:tc>
        <w:tc>
          <w:tcPr>
            <w:tcW w:w="2790" w:type="dxa"/>
            <w:noWrap/>
            <w:vAlign w:val="center"/>
          </w:tcPr>
          <w:p w14:paraId="68B8456A" w14:textId="77777777" w:rsidR="00706511" w:rsidRPr="005B47BA" w:rsidRDefault="00706511" w:rsidP="00A07533">
            <w:pPr>
              <w:rPr>
                <w:rFonts w:eastAsia="Calibri"/>
                <w:sz w:val="22"/>
                <w:szCs w:val="22"/>
                <w:vertAlign w:val="superscript"/>
                <w:lang w:val="en-GB"/>
              </w:rPr>
            </w:pPr>
            <w:r>
              <w:rPr>
                <w:rFonts w:eastAsia="Calibri"/>
                <w:sz w:val="22"/>
                <w:szCs w:val="22"/>
                <w:lang w:val="en-GB"/>
              </w:rPr>
              <w:t>83.5 (67.2, 99.8)</w:t>
            </w:r>
            <w:r w:rsidRPr="002A698A">
              <w:rPr>
                <w:rFonts w:eastAsia="Calibri"/>
                <w:sz w:val="22"/>
                <w:szCs w:val="22"/>
                <w:vertAlign w:val="superscript"/>
                <w:lang w:val="en-GB"/>
              </w:rPr>
              <w:t xml:space="preserve"> 1</w:t>
            </w:r>
          </w:p>
        </w:tc>
        <w:tc>
          <w:tcPr>
            <w:tcW w:w="2160" w:type="dxa"/>
            <w:vAlign w:val="center"/>
          </w:tcPr>
          <w:p w14:paraId="004BED46" w14:textId="77777777" w:rsidR="00706511" w:rsidRPr="00492488" w:rsidRDefault="00706511" w:rsidP="00A07533">
            <w:pPr>
              <w:rPr>
                <w:rFonts w:eastAsia="Calibri"/>
                <w:sz w:val="22"/>
                <w:szCs w:val="22"/>
                <w:lang w:val="en-GB"/>
              </w:rPr>
            </w:pPr>
            <w:r>
              <w:rPr>
                <w:rFonts w:eastAsia="Calibri"/>
                <w:sz w:val="22"/>
                <w:szCs w:val="22"/>
                <w:lang w:val="en-GB"/>
              </w:rPr>
              <w:t>124.2 (99.2, 149.3)</w:t>
            </w:r>
            <w:r w:rsidRPr="002A698A">
              <w:rPr>
                <w:rFonts w:eastAsia="Calibri"/>
                <w:sz w:val="22"/>
                <w:szCs w:val="22"/>
                <w:vertAlign w:val="superscript"/>
                <w:lang w:val="en-GB"/>
              </w:rPr>
              <w:t xml:space="preserve"> 1</w:t>
            </w:r>
          </w:p>
        </w:tc>
        <w:tc>
          <w:tcPr>
            <w:tcW w:w="2160" w:type="dxa"/>
            <w:vAlign w:val="center"/>
          </w:tcPr>
          <w:p w14:paraId="7BDA40E9" w14:textId="77777777" w:rsidR="00706511" w:rsidRPr="00492488" w:rsidRDefault="00706511" w:rsidP="00A07533">
            <w:pPr>
              <w:rPr>
                <w:rFonts w:eastAsia="Calibri"/>
                <w:sz w:val="22"/>
                <w:szCs w:val="22"/>
                <w:lang w:val="en-GB"/>
              </w:rPr>
            </w:pPr>
            <w:r>
              <w:rPr>
                <w:rFonts w:eastAsia="Calibri"/>
                <w:sz w:val="22"/>
                <w:szCs w:val="22"/>
                <w:lang w:val="en-GB"/>
              </w:rPr>
              <w:t>13.6 (2.7, 24.4)</w:t>
            </w:r>
          </w:p>
        </w:tc>
        <w:tc>
          <w:tcPr>
            <w:tcW w:w="1260" w:type="dxa"/>
            <w:noWrap/>
            <w:vAlign w:val="center"/>
          </w:tcPr>
          <w:p w14:paraId="7EF92A78" w14:textId="77777777" w:rsidR="00706511" w:rsidRPr="00492488" w:rsidRDefault="00706511" w:rsidP="00A07533">
            <w:pPr>
              <w:rPr>
                <w:rFonts w:eastAsia="Calibri"/>
                <w:sz w:val="22"/>
                <w:szCs w:val="22"/>
                <w:lang w:val="en-GB"/>
              </w:rPr>
            </w:pPr>
            <w:r>
              <w:rPr>
                <w:rFonts w:eastAsia="Calibri"/>
                <w:sz w:val="22"/>
                <w:szCs w:val="22"/>
                <w:lang w:val="en-GB"/>
              </w:rPr>
              <w:t>201 (6.0)</w:t>
            </w:r>
          </w:p>
        </w:tc>
        <w:tc>
          <w:tcPr>
            <w:tcW w:w="1260" w:type="dxa"/>
            <w:vAlign w:val="center"/>
          </w:tcPr>
          <w:p w14:paraId="37DF478A" w14:textId="77777777" w:rsidR="00706511" w:rsidRPr="00492488" w:rsidRDefault="00706511" w:rsidP="00A07533">
            <w:pPr>
              <w:rPr>
                <w:rFonts w:eastAsia="Calibri"/>
                <w:sz w:val="22"/>
                <w:szCs w:val="22"/>
                <w:lang w:val="en-GB"/>
              </w:rPr>
            </w:pPr>
            <w:r>
              <w:rPr>
                <w:rFonts w:eastAsia="Calibri"/>
                <w:sz w:val="22"/>
                <w:szCs w:val="22"/>
                <w:lang w:val="en-GB"/>
              </w:rPr>
              <w:t>189 (7.1)</w:t>
            </w:r>
          </w:p>
        </w:tc>
        <w:tc>
          <w:tcPr>
            <w:tcW w:w="1260" w:type="dxa"/>
            <w:vAlign w:val="center"/>
          </w:tcPr>
          <w:p w14:paraId="0BC83C0C" w14:textId="77777777" w:rsidR="00706511" w:rsidRPr="00492488" w:rsidRDefault="00706511" w:rsidP="00A07533">
            <w:pPr>
              <w:rPr>
                <w:rFonts w:eastAsia="Calibri"/>
                <w:sz w:val="22"/>
                <w:szCs w:val="22"/>
                <w:lang w:val="en-GB"/>
              </w:rPr>
            </w:pPr>
            <w:r>
              <w:rPr>
                <w:rFonts w:eastAsia="Calibri"/>
                <w:sz w:val="22"/>
                <w:szCs w:val="22"/>
                <w:lang w:val="en-GB"/>
              </w:rPr>
              <w:t>12 (1.7)</w:t>
            </w:r>
          </w:p>
        </w:tc>
      </w:tr>
      <w:tr w:rsidR="00706511" w:rsidRPr="00492488" w14:paraId="3EFE367C" w14:textId="77777777" w:rsidTr="00A07533">
        <w:trPr>
          <w:trHeight w:val="20"/>
        </w:trPr>
        <w:tc>
          <w:tcPr>
            <w:tcW w:w="4788" w:type="dxa"/>
            <w:noWrap/>
            <w:hideMark/>
          </w:tcPr>
          <w:p w14:paraId="6FFBF4D5" w14:textId="77777777" w:rsidR="00706511" w:rsidRPr="00492488" w:rsidRDefault="00706511" w:rsidP="00706511">
            <w:pPr>
              <w:jc w:val="left"/>
              <w:rPr>
                <w:rFonts w:eastAsia="Calibri"/>
                <w:sz w:val="22"/>
                <w:szCs w:val="22"/>
                <w:vertAlign w:val="superscript"/>
                <w:lang w:val="en-GB"/>
              </w:rPr>
            </w:pPr>
            <w:r w:rsidRPr="00492488">
              <w:rPr>
                <w:rFonts w:eastAsia="Calibri"/>
                <w:sz w:val="22"/>
                <w:szCs w:val="22"/>
                <w:lang w:val="en-GB"/>
              </w:rPr>
              <w:t>Food preparation and serving related</w:t>
            </w:r>
          </w:p>
        </w:tc>
        <w:tc>
          <w:tcPr>
            <w:tcW w:w="2790" w:type="dxa"/>
            <w:noWrap/>
            <w:vAlign w:val="center"/>
          </w:tcPr>
          <w:p w14:paraId="2FEC846B" w14:textId="77777777" w:rsidR="00706511" w:rsidRPr="005B47BA" w:rsidRDefault="00706511" w:rsidP="00A07533">
            <w:pPr>
              <w:rPr>
                <w:rFonts w:eastAsia="Calibri"/>
                <w:sz w:val="22"/>
                <w:szCs w:val="22"/>
                <w:vertAlign w:val="superscript"/>
                <w:lang w:val="en-GB"/>
              </w:rPr>
            </w:pPr>
            <w:r>
              <w:rPr>
                <w:rFonts w:eastAsia="Calibri"/>
                <w:sz w:val="22"/>
                <w:szCs w:val="22"/>
                <w:lang w:val="en-GB"/>
              </w:rPr>
              <w:t>78.4 (66.0, 90.9)</w:t>
            </w:r>
            <w:r w:rsidRPr="002A698A">
              <w:rPr>
                <w:rFonts w:eastAsia="Calibri"/>
                <w:sz w:val="22"/>
                <w:szCs w:val="22"/>
                <w:vertAlign w:val="superscript"/>
                <w:lang w:val="en-GB"/>
              </w:rPr>
              <w:t xml:space="preserve"> 1</w:t>
            </w:r>
          </w:p>
        </w:tc>
        <w:tc>
          <w:tcPr>
            <w:tcW w:w="2160" w:type="dxa"/>
            <w:vAlign w:val="center"/>
          </w:tcPr>
          <w:p w14:paraId="1FA0CC39" w14:textId="77777777" w:rsidR="00706511" w:rsidRPr="00492488" w:rsidRDefault="00706511" w:rsidP="00A07533">
            <w:pPr>
              <w:rPr>
                <w:rFonts w:eastAsia="Calibri"/>
                <w:sz w:val="22"/>
                <w:szCs w:val="22"/>
                <w:lang w:val="en-GB"/>
              </w:rPr>
            </w:pPr>
            <w:r>
              <w:rPr>
                <w:rFonts w:eastAsia="Calibri"/>
                <w:sz w:val="22"/>
                <w:szCs w:val="22"/>
                <w:lang w:val="en-GB"/>
              </w:rPr>
              <w:t>105.9 (84.8, 127.0)</w:t>
            </w:r>
            <w:r w:rsidRPr="002A698A">
              <w:rPr>
                <w:rFonts w:eastAsia="Calibri"/>
                <w:sz w:val="22"/>
                <w:szCs w:val="22"/>
                <w:vertAlign w:val="superscript"/>
                <w:lang w:val="en-GB"/>
              </w:rPr>
              <w:t xml:space="preserve"> 1</w:t>
            </w:r>
          </w:p>
        </w:tc>
        <w:tc>
          <w:tcPr>
            <w:tcW w:w="2160" w:type="dxa"/>
            <w:vAlign w:val="center"/>
          </w:tcPr>
          <w:p w14:paraId="76C767E4" w14:textId="77777777" w:rsidR="00706511" w:rsidRPr="005B47BA" w:rsidRDefault="00706511" w:rsidP="00A07533">
            <w:pPr>
              <w:rPr>
                <w:rFonts w:eastAsia="Calibri"/>
                <w:sz w:val="22"/>
                <w:szCs w:val="22"/>
                <w:vertAlign w:val="superscript"/>
                <w:lang w:val="en-GB"/>
              </w:rPr>
            </w:pPr>
            <w:r>
              <w:rPr>
                <w:rFonts w:eastAsia="Calibri"/>
                <w:sz w:val="22"/>
                <w:szCs w:val="22"/>
                <w:lang w:val="en-GB"/>
              </w:rPr>
              <w:t>54.1 (39.9, 68.3)</w:t>
            </w:r>
            <w:r w:rsidRPr="002A698A">
              <w:rPr>
                <w:rFonts w:eastAsia="Calibri"/>
                <w:sz w:val="22"/>
                <w:szCs w:val="22"/>
                <w:vertAlign w:val="superscript"/>
                <w:lang w:val="en-GB"/>
              </w:rPr>
              <w:t xml:space="preserve"> 1</w:t>
            </w:r>
          </w:p>
        </w:tc>
        <w:tc>
          <w:tcPr>
            <w:tcW w:w="1260" w:type="dxa"/>
            <w:noWrap/>
            <w:vAlign w:val="center"/>
          </w:tcPr>
          <w:p w14:paraId="5AE99714" w14:textId="77777777" w:rsidR="00706511" w:rsidRPr="00492488" w:rsidRDefault="00706511" w:rsidP="00A07533">
            <w:pPr>
              <w:rPr>
                <w:rFonts w:eastAsia="Calibri"/>
                <w:sz w:val="22"/>
                <w:szCs w:val="22"/>
                <w:lang w:val="en-GB"/>
              </w:rPr>
            </w:pPr>
            <w:r>
              <w:rPr>
                <w:rFonts w:eastAsia="Calibri"/>
                <w:sz w:val="22"/>
                <w:szCs w:val="22"/>
                <w:lang w:val="en-GB"/>
              </w:rPr>
              <w:t>306 (9.1)</w:t>
            </w:r>
          </w:p>
        </w:tc>
        <w:tc>
          <w:tcPr>
            <w:tcW w:w="1260" w:type="dxa"/>
            <w:vAlign w:val="center"/>
          </w:tcPr>
          <w:p w14:paraId="4E55C0D8" w14:textId="77777777" w:rsidR="00706511" w:rsidRPr="00492488" w:rsidRDefault="00706511" w:rsidP="00A07533">
            <w:pPr>
              <w:rPr>
                <w:rFonts w:eastAsia="Calibri"/>
                <w:sz w:val="22"/>
                <w:szCs w:val="22"/>
                <w:lang w:val="en-GB"/>
              </w:rPr>
            </w:pPr>
            <w:r>
              <w:rPr>
                <w:rFonts w:eastAsia="Calibri"/>
                <w:sz w:val="22"/>
                <w:szCs w:val="22"/>
                <w:lang w:val="en-GB"/>
              </w:rPr>
              <w:t>194 (7.3)</w:t>
            </w:r>
          </w:p>
        </w:tc>
        <w:tc>
          <w:tcPr>
            <w:tcW w:w="1260" w:type="dxa"/>
            <w:vAlign w:val="center"/>
          </w:tcPr>
          <w:p w14:paraId="4AD3EB7F" w14:textId="77777777" w:rsidR="00706511" w:rsidRPr="00492488" w:rsidRDefault="00706511" w:rsidP="00A07533">
            <w:pPr>
              <w:rPr>
                <w:rFonts w:eastAsia="Calibri"/>
                <w:sz w:val="22"/>
                <w:szCs w:val="22"/>
                <w:lang w:val="en-GB"/>
              </w:rPr>
            </w:pPr>
            <w:r>
              <w:rPr>
                <w:rFonts w:eastAsia="Calibri"/>
                <w:sz w:val="22"/>
                <w:szCs w:val="22"/>
                <w:lang w:val="en-GB"/>
              </w:rPr>
              <w:t>112 (15.9)</w:t>
            </w:r>
          </w:p>
        </w:tc>
      </w:tr>
      <w:tr w:rsidR="00706511" w:rsidRPr="00492488" w14:paraId="1CE3C5D4" w14:textId="77777777" w:rsidTr="00A07533">
        <w:trPr>
          <w:trHeight w:val="20"/>
        </w:trPr>
        <w:tc>
          <w:tcPr>
            <w:tcW w:w="4788" w:type="dxa"/>
            <w:noWrap/>
          </w:tcPr>
          <w:p w14:paraId="397D1A99" w14:textId="77777777" w:rsidR="00706511" w:rsidRPr="00492488" w:rsidRDefault="00706511" w:rsidP="00706511">
            <w:pPr>
              <w:jc w:val="left"/>
              <w:rPr>
                <w:rFonts w:eastAsia="Calibri"/>
                <w:sz w:val="22"/>
                <w:szCs w:val="22"/>
                <w:vertAlign w:val="superscript"/>
                <w:lang w:val="en-GB"/>
              </w:rPr>
            </w:pPr>
            <w:r w:rsidRPr="00492488">
              <w:rPr>
                <w:rFonts w:eastAsia="Calibri"/>
                <w:sz w:val="22"/>
                <w:szCs w:val="22"/>
                <w:lang w:val="en-GB"/>
              </w:rPr>
              <w:t>Production</w:t>
            </w:r>
          </w:p>
        </w:tc>
        <w:tc>
          <w:tcPr>
            <w:tcW w:w="2790" w:type="dxa"/>
            <w:noWrap/>
            <w:vAlign w:val="center"/>
          </w:tcPr>
          <w:p w14:paraId="0F723A79" w14:textId="77777777" w:rsidR="00706511" w:rsidRPr="005B47BA" w:rsidRDefault="00706511" w:rsidP="00A07533">
            <w:pPr>
              <w:rPr>
                <w:rFonts w:eastAsia="Calibri"/>
                <w:sz w:val="22"/>
                <w:szCs w:val="22"/>
                <w:vertAlign w:val="superscript"/>
                <w:lang w:val="en-GB"/>
              </w:rPr>
            </w:pPr>
            <w:r>
              <w:rPr>
                <w:rFonts w:eastAsia="Calibri"/>
                <w:sz w:val="22"/>
                <w:szCs w:val="22"/>
                <w:lang w:val="en-GB"/>
              </w:rPr>
              <w:t>67.1 (53.6, 80.5)</w:t>
            </w:r>
            <w:r w:rsidRPr="002A698A">
              <w:rPr>
                <w:rFonts w:eastAsia="Calibri"/>
                <w:sz w:val="22"/>
                <w:szCs w:val="22"/>
                <w:vertAlign w:val="superscript"/>
                <w:lang w:val="en-GB"/>
              </w:rPr>
              <w:t xml:space="preserve"> 1</w:t>
            </w:r>
          </w:p>
        </w:tc>
        <w:tc>
          <w:tcPr>
            <w:tcW w:w="2160" w:type="dxa"/>
            <w:vAlign w:val="center"/>
          </w:tcPr>
          <w:p w14:paraId="2C39F419" w14:textId="77777777" w:rsidR="00706511" w:rsidRPr="00492488" w:rsidRDefault="00706511" w:rsidP="00A07533">
            <w:pPr>
              <w:rPr>
                <w:rFonts w:eastAsia="Calibri"/>
                <w:sz w:val="22"/>
                <w:szCs w:val="22"/>
                <w:lang w:val="en-GB"/>
              </w:rPr>
            </w:pPr>
            <w:r>
              <w:rPr>
                <w:rFonts w:eastAsia="Calibri"/>
                <w:sz w:val="22"/>
                <w:szCs w:val="22"/>
                <w:lang w:val="en-GB"/>
              </w:rPr>
              <w:t>87.6 (69.2, 106.0)</w:t>
            </w:r>
            <w:r w:rsidRPr="002A698A">
              <w:rPr>
                <w:rFonts w:eastAsia="Calibri"/>
                <w:sz w:val="22"/>
                <w:szCs w:val="22"/>
                <w:vertAlign w:val="superscript"/>
                <w:lang w:val="en-GB"/>
              </w:rPr>
              <w:t xml:space="preserve"> 1</w:t>
            </w:r>
          </w:p>
        </w:tc>
        <w:tc>
          <w:tcPr>
            <w:tcW w:w="2160" w:type="dxa"/>
            <w:vAlign w:val="center"/>
          </w:tcPr>
          <w:p w14:paraId="46562924" w14:textId="77777777" w:rsidR="00706511" w:rsidRPr="00492488" w:rsidRDefault="00706511" w:rsidP="00A07533">
            <w:pPr>
              <w:rPr>
                <w:rFonts w:eastAsia="Calibri"/>
                <w:sz w:val="22"/>
                <w:szCs w:val="22"/>
                <w:lang w:val="en-GB"/>
              </w:rPr>
            </w:pPr>
            <w:r>
              <w:rPr>
                <w:rFonts w:eastAsia="Calibri"/>
                <w:sz w:val="22"/>
                <w:szCs w:val="22"/>
                <w:lang w:val="en-GB"/>
              </w:rPr>
              <w:t>20.5 (7.1, 33.9)</w:t>
            </w:r>
            <w:r w:rsidRPr="002A698A">
              <w:rPr>
                <w:rFonts w:eastAsia="Calibri"/>
                <w:sz w:val="22"/>
                <w:szCs w:val="22"/>
                <w:vertAlign w:val="superscript"/>
                <w:lang w:val="en-GB"/>
              </w:rPr>
              <w:t xml:space="preserve"> 1</w:t>
            </w:r>
          </w:p>
        </w:tc>
        <w:tc>
          <w:tcPr>
            <w:tcW w:w="1260" w:type="dxa"/>
            <w:noWrap/>
            <w:vAlign w:val="center"/>
          </w:tcPr>
          <w:p w14:paraId="72751D8C" w14:textId="77777777" w:rsidR="00706511" w:rsidRPr="00492488" w:rsidRDefault="00706511" w:rsidP="00A07533">
            <w:pPr>
              <w:rPr>
                <w:rFonts w:eastAsia="Calibri"/>
                <w:sz w:val="22"/>
                <w:szCs w:val="22"/>
                <w:lang w:val="en-GB"/>
              </w:rPr>
            </w:pPr>
            <w:r>
              <w:rPr>
                <w:rFonts w:eastAsia="Calibri"/>
                <w:sz w:val="22"/>
                <w:szCs w:val="22"/>
                <w:lang w:val="en-GB"/>
              </w:rPr>
              <w:t>192 (5.7)</w:t>
            </w:r>
          </w:p>
        </w:tc>
        <w:tc>
          <w:tcPr>
            <w:tcW w:w="1260" w:type="dxa"/>
            <w:vAlign w:val="center"/>
          </w:tcPr>
          <w:p w14:paraId="11FB6B0A" w14:textId="77777777" w:rsidR="00706511" w:rsidRPr="00492488" w:rsidRDefault="00706511" w:rsidP="00A07533">
            <w:pPr>
              <w:rPr>
                <w:rFonts w:eastAsia="Calibri"/>
                <w:sz w:val="22"/>
                <w:szCs w:val="22"/>
                <w:lang w:val="en-GB"/>
              </w:rPr>
            </w:pPr>
            <w:r>
              <w:rPr>
                <w:rFonts w:eastAsia="Calibri"/>
                <w:sz w:val="22"/>
                <w:szCs w:val="22"/>
                <w:lang w:val="en-GB"/>
              </w:rPr>
              <w:t>174 (6.6)</w:t>
            </w:r>
          </w:p>
        </w:tc>
        <w:tc>
          <w:tcPr>
            <w:tcW w:w="1260" w:type="dxa"/>
            <w:vAlign w:val="center"/>
          </w:tcPr>
          <w:p w14:paraId="754616C0" w14:textId="77777777" w:rsidR="00706511" w:rsidRPr="00492488" w:rsidRDefault="00706511" w:rsidP="00A07533">
            <w:pPr>
              <w:rPr>
                <w:rFonts w:eastAsia="Calibri"/>
                <w:sz w:val="22"/>
                <w:szCs w:val="22"/>
                <w:lang w:val="en-GB"/>
              </w:rPr>
            </w:pPr>
            <w:r>
              <w:rPr>
                <w:rFonts w:eastAsia="Calibri"/>
                <w:sz w:val="22"/>
                <w:szCs w:val="22"/>
                <w:lang w:val="en-GB"/>
              </w:rPr>
              <w:t>18 (2.6)</w:t>
            </w:r>
          </w:p>
        </w:tc>
      </w:tr>
      <w:tr w:rsidR="00706511" w:rsidRPr="00492488" w14:paraId="538551D2" w14:textId="77777777" w:rsidTr="00A07533">
        <w:trPr>
          <w:trHeight w:val="20"/>
        </w:trPr>
        <w:tc>
          <w:tcPr>
            <w:tcW w:w="4788" w:type="dxa"/>
            <w:noWrap/>
            <w:hideMark/>
          </w:tcPr>
          <w:p w14:paraId="69291614" w14:textId="77777777" w:rsidR="00706511" w:rsidRPr="00492488" w:rsidRDefault="00706511" w:rsidP="00706511">
            <w:pPr>
              <w:jc w:val="left"/>
              <w:rPr>
                <w:rFonts w:eastAsia="Calibri"/>
                <w:sz w:val="22"/>
                <w:szCs w:val="22"/>
                <w:vertAlign w:val="superscript"/>
                <w:lang w:val="en-GB"/>
              </w:rPr>
            </w:pPr>
            <w:r w:rsidRPr="00492488">
              <w:rPr>
                <w:rFonts w:eastAsia="Calibri"/>
                <w:sz w:val="22"/>
                <w:szCs w:val="22"/>
                <w:lang w:val="en-GB"/>
              </w:rPr>
              <w:t>Healthcare support</w:t>
            </w:r>
          </w:p>
        </w:tc>
        <w:tc>
          <w:tcPr>
            <w:tcW w:w="2790" w:type="dxa"/>
            <w:noWrap/>
            <w:vAlign w:val="center"/>
          </w:tcPr>
          <w:p w14:paraId="6840E2B7" w14:textId="77777777" w:rsidR="00706511" w:rsidRPr="005B47BA" w:rsidRDefault="00706511" w:rsidP="00A07533">
            <w:pPr>
              <w:rPr>
                <w:rFonts w:eastAsia="Calibri"/>
                <w:sz w:val="22"/>
                <w:szCs w:val="22"/>
                <w:vertAlign w:val="superscript"/>
                <w:lang w:val="en-GB"/>
              </w:rPr>
            </w:pPr>
            <w:r>
              <w:rPr>
                <w:rFonts w:eastAsia="Calibri"/>
                <w:sz w:val="22"/>
                <w:szCs w:val="22"/>
                <w:lang w:val="en-GB"/>
              </w:rPr>
              <w:t>58.2 (42.8, 73.6)</w:t>
            </w:r>
            <w:r w:rsidRPr="002A698A">
              <w:rPr>
                <w:rFonts w:eastAsia="Calibri"/>
                <w:sz w:val="22"/>
                <w:szCs w:val="22"/>
                <w:vertAlign w:val="superscript"/>
                <w:lang w:val="en-GB"/>
              </w:rPr>
              <w:t xml:space="preserve"> 1</w:t>
            </w:r>
          </w:p>
        </w:tc>
        <w:tc>
          <w:tcPr>
            <w:tcW w:w="2160" w:type="dxa"/>
            <w:vAlign w:val="center"/>
          </w:tcPr>
          <w:p w14:paraId="1C468470" w14:textId="77777777" w:rsidR="00706511" w:rsidRPr="00492488" w:rsidRDefault="00706511" w:rsidP="00A07533">
            <w:pPr>
              <w:rPr>
                <w:rFonts w:eastAsia="Calibri"/>
                <w:sz w:val="22"/>
                <w:szCs w:val="22"/>
                <w:lang w:val="en-GB"/>
              </w:rPr>
            </w:pPr>
            <w:r>
              <w:rPr>
                <w:rFonts w:eastAsia="Calibri"/>
                <w:sz w:val="22"/>
                <w:szCs w:val="22"/>
                <w:lang w:val="en-GB"/>
              </w:rPr>
              <w:t>66.7 (20.5, 113.0)</w:t>
            </w:r>
          </w:p>
        </w:tc>
        <w:tc>
          <w:tcPr>
            <w:tcW w:w="2160" w:type="dxa"/>
            <w:vAlign w:val="center"/>
          </w:tcPr>
          <w:p w14:paraId="58537D20" w14:textId="77777777" w:rsidR="00706511" w:rsidRPr="005B47BA" w:rsidRDefault="00706511" w:rsidP="00A07533">
            <w:pPr>
              <w:rPr>
                <w:rFonts w:eastAsia="Calibri"/>
                <w:sz w:val="22"/>
                <w:szCs w:val="22"/>
                <w:vertAlign w:val="superscript"/>
                <w:lang w:val="en-GB"/>
              </w:rPr>
            </w:pPr>
            <w:r>
              <w:rPr>
                <w:rFonts w:eastAsia="Calibri"/>
                <w:sz w:val="22"/>
                <w:szCs w:val="22"/>
                <w:lang w:val="en-GB"/>
              </w:rPr>
              <w:t>57.0 (40.7, 73.3)</w:t>
            </w:r>
            <w:r w:rsidRPr="002A698A">
              <w:rPr>
                <w:rFonts w:eastAsia="Calibri"/>
                <w:sz w:val="22"/>
                <w:szCs w:val="22"/>
                <w:vertAlign w:val="superscript"/>
                <w:lang w:val="en-GB"/>
              </w:rPr>
              <w:t xml:space="preserve"> 1</w:t>
            </w:r>
          </w:p>
        </w:tc>
        <w:tc>
          <w:tcPr>
            <w:tcW w:w="1260" w:type="dxa"/>
            <w:noWrap/>
            <w:vAlign w:val="center"/>
          </w:tcPr>
          <w:p w14:paraId="15F4168F" w14:textId="77777777" w:rsidR="00706511" w:rsidRPr="00492488" w:rsidRDefault="00706511" w:rsidP="00A07533">
            <w:pPr>
              <w:rPr>
                <w:rFonts w:eastAsia="Calibri"/>
                <w:sz w:val="22"/>
                <w:szCs w:val="22"/>
                <w:lang w:val="en-GB"/>
              </w:rPr>
            </w:pPr>
            <w:r>
              <w:rPr>
                <w:rFonts w:eastAsia="Calibri"/>
                <w:sz w:val="22"/>
                <w:szCs w:val="22"/>
                <w:lang w:val="en-GB"/>
              </w:rPr>
              <w:t>110 (3.3)</w:t>
            </w:r>
          </w:p>
        </w:tc>
        <w:tc>
          <w:tcPr>
            <w:tcW w:w="1260" w:type="dxa"/>
            <w:vAlign w:val="center"/>
          </w:tcPr>
          <w:p w14:paraId="50122EEF" w14:textId="77777777" w:rsidR="00706511" w:rsidRPr="00492488" w:rsidRDefault="00706511" w:rsidP="00A07533">
            <w:pPr>
              <w:rPr>
                <w:rFonts w:eastAsia="Calibri"/>
                <w:sz w:val="22"/>
                <w:szCs w:val="22"/>
                <w:lang w:val="en-GB"/>
              </w:rPr>
            </w:pPr>
            <w:r>
              <w:rPr>
                <w:rFonts w:eastAsia="Calibri"/>
                <w:sz w:val="22"/>
                <w:szCs w:val="22"/>
                <w:lang w:val="en-GB"/>
              </w:rPr>
              <w:t>16 (0.6)</w:t>
            </w:r>
          </w:p>
        </w:tc>
        <w:tc>
          <w:tcPr>
            <w:tcW w:w="1260" w:type="dxa"/>
            <w:vAlign w:val="center"/>
          </w:tcPr>
          <w:p w14:paraId="649F6F7F" w14:textId="77777777" w:rsidR="00706511" w:rsidRPr="00492488" w:rsidRDefault="00706511" w:rsidP="00A07533">
            <w:pPr>
              <w:rPr>
                <w:rFonts w:eastAsia="Calibri"/>
                <w:sz w:val="22"/>
                <w:szCs w:val="22"/>
                <w:lang w:val="en-GB"/>
              </w:rPr>
            </w:pPr>
            <w:r>
              <w:rPr>
                <w:rFonts w:eastAsia="Calibri"/>
                <w:sz w:val="22"/>
                <w:szCs w:val="22"/>
                <w:lang w:val="en-GB"/>
              </w:rPr>
              <w:t>94 (13.4)</w:t>
            </w:r>
          </w:p>
        </w:tc>
      </w:tr>
      <w:tr w:rsidR="00706511" w:rsidRPr="00492488" w14:paraId="7F349FD8" w14:textId="77777777" w:rsidTr="00A07533">
        <w:trPr>
          <w:trHeight w:val="20"/>
        </w:trPr>
        <w:tc>
          <w:tcPr>
            <w:tcW w:w="4788" w:type="dxa"/>
            <w:noWrap/>
            <w:hideMark/>
          </w:tcPr>
          <w:p w14:paraId="3CA0DAB4" w14:textId="77777777" w:rsidR="00706511" w:rsidRPr="00492488" w:rsidRDefault="00706511" w:rsidP="00706511">
            <w:pPr>
              <w:jc w:val="left"/>
              <w:rPr>
                <w:rFonts w:eastAsia="Calibri"/>
                <w:sz w:val="22"/>
                <w:szCs w:val="22"/>
                <w:lang w:val="en-GB"/>
              </w:rPr>
            </w:pPr>
            <w:r w:rsidRPr="00492488">
              <w:rPr>
                <w:rFonts w:eastAsia="Calibri"/>
                <w:sz w:val="22"/>
                <w:szCs w:val="22"/>
                <w:lang w:val="en-GB"/>
              </w:rPr>
              <w:t xml:space="preserve">Personal care and service </w:t>
            </w:r>
          </w:p>
        </w:tc>
        <w:tc>
          <w:tcPr>
            <w:tcW w:w="2790" w:type="dxa"/>
            <w:noWrap/>
            <w:vAlign w:val="center"/>
          </w:tcPr>
          <w:p w14:paraId="01F2F713" w14:textId="77777777" w:rsidR="00706511" w:rsidRPr="00492488" w:rsidRDefault="00706511" w:rsidP="00A07533">
            <w:pPr>
              <w:rPr>
                <w:rFonts w:eastAsia="Calibri"/>
                <w:sz w:val="22"/>
                <w:szCs w:val="22"/>
                <w:lang w:val="en-GB"/>
              </w:rPr>
            </w:pPr>
            <w:r>
              <w:rPr>
                <w:rFonts w:eastAsia="Calibri"/>
                <w:sz w:val="22"/>
                <w:szCs w:val="22"/>
                <w:lang w:val="en-GB"/>
              </w:rPr>
              <w:t>49.7 (38.0, 61.4)</w:t>
            </w:r>
            <w:r w:rsidRPr="002A698A">
              <w:rPr>
                <w:rFonts w:eastAsia="Calibri"/>
                <w:sz w:val="22"/>
                <w:szCs w:val="22"/>
                <w:vertAlign w:val="superscript"/>
                <w:lang w:val="en-GB"/>
              </w:rPr>
              <w:t xml:space="preserve"> 1</w:t>
            </w:r>
          </w:p>
        </w:tc>
        <w:tc>
          <w:tcPr>
            <w:tcW w:w="2160" w:type="dxa"/>
            <w:vAlign w:val="center"/>
          </w:tcPr>
          <w:p w14:paraId="60FD328C" w14:textId="77777777" w:rsidR="00706511" w:rsidRPr="00492488" w:rsidRDefault="00706511" w:rsidP="00A07533">
            <w:pPr>
              <w:rPr>
                <w:rFonts w:eastAsia="Calibri"/>
                <w:sz w:val="22"/>
                <w:szCs w:val="22"/>
                <w:lang w:val="en-GB"/>
              </w:rPr>
            </w:pPr>
            <w:r>
              <w:rPr>
                <w:rFonts w:eastAsia="Calibri"/>
                <w:sz w:val="22"/>
                <w:szCs w:val="22"/>
                <w:lang w:val="en-GB"/>
              </w:rPr>
              <w:t>71.7 (43.0, 100.4)</w:t>
            </w:r>
            <w:r w:rsidRPr="002A698A">
              <w:rPr>
                <w:rFonts w:eastAsia="Calibri"/>
                <w:sz w:val="22"/>
                <w:szCs w:val="22"/>
                <w:vertAlign w:val="superscript"/>
                <w:lang w:val="en-GB"/>
              </w:rPr>
              <w:t xml:space="preserve"> 1</w:t>
            </w:r>
          </w:p>
        </w:tc>
        <w:tc>
          <w:tcPr>
            <w:tcW w:w="2160" w:type="dxa"/>
            <w:vAlign w:val="center"/>
          </w:tcPr>
          <w:p w14:paraId="6C8909DD" w14:textId="77777777" w:rsidR="00706511" w:rsidRPr="00492488" w:rsidRDefault="00706511" w:rsidP="00A07533">
            <w:pPr>
              <w:rPr>
                <w:rFonts w:eastAsia="Calibri"/>
                <w:sz w:val="22"/>
                <w:szCs w:val="22"/>
                <w:lang w:val="en-GB"/>
              </w:rPr>
            </w:pPr>
            <w:r>
              <w:rPr>
                <w:rFonts w:eastAsia="Calibri"/>
                <w:sz w:val="22"/>
                <w:szCs w:val="22"/>
                <w:lang w:val="en-GB"/>
              </w:rPr>
              <w:t>42.8 (30.4, 55.2)</w:t>
            </w:r>
            <w:r w:rsidRPr="002A698A">
              <w:rPr>
                <w:rFonts w:eastAsia="Calibri"/>
                <w:sz w:val="22"/>
                <w:szCs w:val="22"/>
                <w:vertAlign w:val="superscript"/>
                <w:lang w:val="en-GB"/>
              </w:rPr>
              <w:t xml:space="preserve"> 1</w:t>
            </w:r>
          </w:p>
        </w:tc>
        <w:tc>
          <w:tcPr>
            <w:tcW w:w="1260" w:type="dxa"/>
            <w:noWrap/>
            <w:vAlign w:val="center"/>
          </w:tcPr>
          <w:p w14:paraId="604C4E6E" w14:textId="77777777" w:rsidR="00706511" w:rsidRPr="00492488" w:rsidRDefault="00706511" w:rsidP="00A07533">
            <w:pPr>
              <w:rPr>
                <w:rFonts w:eastAsia="Calibri"/>
                <w:sz w:val="22"/>
                <w:szCs w:val="22"/>
                <w:lang w:val="en-GB"/>
              </w:rPr>
            </w:pPr>
            <w:r>
              <w:rPr>
                <w:rFonts w:eastAsia="Calibri"/>
                <w:sz w:val="22"/>
                <w:szCs w:val="22"/>
                <w:lang w:val="en-GB"/>
              </w:rPr>
              <w:t>139 (4.1)</w:t>
            </w:r>
          </w:p>
        </w:tc>
        <w:tc>
          <w:tcPr>
            <w:tcW w:w="1260" w:type="dxa"/>
            <w:vAlign w:val="center"/>
          </w:tcPr>
          <w:p w14:paraId="6A69C892" w14:textId="77777777" w:rsidR="00706511" w:rsidRPr="00492488" w:rsidRDefault="00706511" w:rsidP="00A07533">
            <w:pPr>
              <w:rPr>
                <w:rFonts w:eastAsia="Calibri"/>
                <w:sz w:val="22"/>
                <w:szCs w:val="22"/>
                <w:lang w:val="en-GB"/>
              </w:rPr>
            </w:pPr>
            <w:r>
              <w:rPr>
                <w:rFonts w:eastAsia="Calibri"/>
                <w:sz w:val="22"/>
                <w:szCs w:val="22"/>
                <w:lang w:val="en-GB"/>
              </w:rPr>
              <w:t>48 (1.8)</w:t>
            </w:r>
          </w:p>
        </w:tc>
        <w:tc>
          <w:tcPr>
            <w:tcW w:w="1260" w:type="dxa"/>
            <w:vAlign w:val="center"/>
          </w:tcPr>
          <w:p w14:paraId="7740777B" w14:textId="77777777" w:rsidR="00706511" w:rsidRPr="00492488" w:rsidRDefault="00706511" w:rsidP="00A07533">
            <w:pPr>
              <w:rPr>
                <w:rFonts w:eastAsia="Calibri"/>
                <w:sz w:val="22"/>
                <w:szCs w:val="22"/>
                <w:lang w:val="en-GB"/>
              </w:rPr>
            </w:pPr>
            <w:r>
              <w:rPr>
                <w:rFonts w:eastAsia="Calibri"/>
                <w:sz w:val="22"/>
                <w:szCs w:val="22"/>
                <w:lang w:val="en-GB"/>
              </w:rPr>
              <w:t>91 (12.9)</w:t>
            </w:r>
          </w:p>
        </w:tc>
      </w:tr>
      <w:tr w:rsidR="00706511" w:rsidRPr="00492488" w14:paraId="6FF0485A" w14:textId="77777777" w:rsidTr="00A07533">
        <w:trPr>
          <w:trHeight w:val="20"/>
        </w:trPr>
        <w:tc>
          <w:tcPr>
            <w:tcW w:w="4788" w:type="dxa"/>
            <w:noWrap/>
            <w:hideMark/>
          </w:tcPr>
          <w:p w14:paraId="20E50C8B" w14:textId="77777777" w:rsidR="00706511" w:rsidRPr="00492488" w:rsidRDefault="00706511" w:rsidP="00706511">
            <w:pPr>
              <w:jc w:val="left"/>
              <w:rPr>
                <w:rFonts w:eastAsia="Calibri"/>
                <w:sz w:val="22"/>
                <w:szCs w:val="22"/>
                <w:lang w:val="en-GB"/>
              </w:rPr>
            </w:pPr>
            <w:r w:rsidRPr="00492488">
              <w:rPr>
                <w:rFonts w:eastAsia="Calibri"/>
                <w:sz w:val="22"/>
                <w:szCs w:val="22"/>
                <w:lang w:val="en-GB"/>
              </w:rPr>
              <w:t xml:space="preserve">Sales and related </w:t>
            </w:r>
          </w:p>
        </w:tc>
        <w:tc>
          <w:tcPr>
            <w:tcW w:w="2790" w:type="dxa"/>
            <w:noWrap/>
            <w:vAlign w:val="center"/>
          </w:tcPr>
          <w:p w14:paraId="0E1EF9B4" w14:textId="77777777" w:rsidR="00706511" w:rsidRPr="00492488" w:rsidRDefault="00706511" w:rsidP="00A07533">
            <w:pPr>
              <w:rPr>
                <w:rFonts w:eastAsia="Calibri"/>
                <w:sz w:val="22"/>
                <w:szCs w:val="22"/>
                <w:lang w:val="en-GB"/>
              </w:rPr>
            </w:pPr>
            <w:r>
              <w:rPr>
                <w:rFonts w:eastAsia="Calibri"/>
                <w:sz w:val="22"/>
                <w:szCs w:val="22"/>
                <w:lang w:val="en-GB"/>
              </w:rPr>
              <w:t>38.9 (32.3, 45.5)</w:t>
            </w:r>
          </w:p>
        </w:tc>
        <w:tc>
          <w:tcPr>
            <w:tcW w:w="2160" w:type="dxa"/>
            <w:vAlign w:val="center"/>
          </w:tcPr>
          <w:p w14:paraId="555E33A0" w14:textId="77777777" w:rsidR="00706511" w:rsidRPr="00492488" w:rsidRDefault="00706511" w:rsidP="00A07533">
            <w:pPr>
              <w:rPr>
                <w:rFonts w:eastAsia="Calibri"/>
                <w:sz w:val="22"/>
                <w:szCs w:val="22"/>
                <w:lang w:val="en-GB"/>
              </w:rPr>
            </w:pPr>
            <w:r>
              <w:rPr>
                <w:rFonts w:eastAsia="Calibri"/>
                <w:sz w:val="22"/>
                <w:szCs w:val="22"/>
                <w:lang w:val="en-GB"/>
              </w:rPr>
              <w:t>50.0 (39.7, 60.3)</w:t>
            </w:r>
          </w:p>
        </w:tc>
        <w:tc>
          <w:tcPr>
            <w:tcW w:w="2160" w:type="dxa"/>
            <w:vAlign w:val="center"/>
          </w:tcPr>
          <w:p w14:paraId="19EF54AC" w14:textId="77777777" w:rsidR="00706511" w:rsidRPr="00492488" w:rsidRDefault="00706511" w:rsidP="00A07533">
            <w:pPr>
              <w:rPr>
                <w:rFonts w:eastAsia="Calibri"/>
                <w:sz w:val="22"/>
                <w:szCs w:val="22"/>
                <w:lang w:val="en-GB"/>
              </w:rPr>
            </w:pPr>
            <w:r>
              <w:rPr>
                <w:rFonts w:eastAsia="Calibri"/>
                <w:sz w:val="22"/>
                <w:szCs w:val="22"/>
                <w:lang w:val="en-GB"/>
              </w:rPr>
              <w:t>26.8 (18.9, 34.7)</w:t>
            </w:r>
            <w:r w:rsidRPr="002A698A">
              <w:rPr>
                <w:rFonts w:eastAsia="Calibri"/>
                <w:sz w:val="22"/>
                <w:szCs w:val="22"/>
                <w:vertAlign w:val="superscript"/>
                <w:lang w:val="en-GB"/>
              </w:rPr>
              <w:t xml:space="preserve"> 1</w:t>
            </w:r>
          </w:p>
        </w:tc>
        <w:tc>
          <w:tcPr>
            <w:tcW w:w="1260" w:type="dxa"/>
            <w:noWrap/>
            <w:vAlign w:val="center"/>
          </w:tcPr>
          <w:p w14:paraId="0D901245" w14:textId="77777777" w:rsidR="00706511" w:rsidRPr="00492488" w:rsidRDefault="00706511" w:rsidP="00A07533">
            <w:pPr>
              <w:rPr>
                <w:rFonts w:eastAsia="Calibri"/>
                <w:sz w:val="22"/>
                <w:szCs w:val="22"/>
                <w:lang w:val="en-GB"/>
              </w:rPr>
            </w:pPr>
            <w:r>
              <w:rPr>
                <w:rFonts w:eastAsia="Calibri"/>
                <w:sz w:val="22"/>
                <w:szCs w:val="22"/>
                <w:lang w:val="en-GB"/>
              </w:rPr>
              <w:t>268 (8.0)</w:t>
            </w:r>
          </w:p>
        </w:tc>
        <w:tc>
          <w:tcPr>
            <w:tcW w:w="1260" w:type="dxa"/>
            <w:vAlign w:val="center"/>
          </w:tcPr>
          <w:p w14:paraId="6B1994FD" w14:textId="77777777" w:rsidR="00706511" w:rsidRPr="00492488" w:rsidRDefault="00706511" w:rsidP="00A07533">
            <w:pPr>
              <w:rPr>
                <w:rFonts w:eastAsia="Calibri"/>
                <w:sz w:val="22"/>
                <w:szCs w:val="22"/>
                <w:lang w:val="en-GB"/>
              </w:rPr>
            </w:pPr>
            <w:r>
              <w:rPr>
                <w:rFonts w:eastAsia="Calibri"/>
                <w:sz w:val="22"/>
                <w:szCs w:val="22"/>
                <w:lang w:val="en-GB"/>
              </w:rPr>
              <w:t>180 (6.8)</w:t>
            </w:r>
          </w:p>
        </w:tc>
        <w:tc>
          <w:tcPr>
            <w:tcW w:w="1260" w:type="dxa"/>
            <w:vAlign w:val="center"/>
          </w:tcPr>
          <w:p w14:paraId="4F75A964" w14:textId="77777777" w:rsidR="00706511" w:rsidRPr="00492488" w:rsidRDefault="00706511" w:rsidP="00A07533">
            <w:pPr>
              <w:rPr>
                <w:rFonts w:eastAsia="Calibri"/>
                <w:sz w:val="22"/>
                <w:szCs w:val="22"/>
                <w:lang w:val="en-GB"/>
              </w:rPr>
            </w:pPr>
            <w:r>
              <w:rPr>
                <w:rFonts w:eastAsia="Calibri"/>
                <w:sz w:val="22"/>
                <w:szCs w:val="22"/>
                <w:lang w:val="en-GB"/>
              </w:rPr>
              <w:t>88 (12.5)</w:t>
            </w:r>
          </w:p>
        </w:tc>
      </w:tr>
      <w:tr w:rsidR="00706511" w:rsidRPr="00492488" w14:paraId="4B6D022D" w14:textId="77777777" w:rsidTr="00A07533">
        <w:trPr>
          <w:trHeight w:val="20"/>
        </w:trPr>
        <w:tc>
          <w:tcPr>
            <w:tcW w:w="4788" w:type="dxa"/>
            <w:noWrap/>
            <w:hideMark/>
          </w:tcPr>
          <w:p w14:paraId="70149B87" w14:textId="77777777" w:rsidR="00706511" w:rsidRPr="00492488" w:rsidRDefault="00706511" w:rsidP="00706511">
            <w:pPr>
              <w:jc w:val="left"/>
              <w:rPr>
                <w:rFonts w:eastAsia="Calibri"/>
                <w:sz w:val="22"/>
                <w:szCs w:val="22"/>
                <w:lang w:val="en-GB"/>
              </w:rPr>
            </w:pPr>
            <w:r w:rsidRPr="00492488">
              <w:rPr>
                <w:rFonts w:eastAsia="Calibri"/>
                <w:sz w:val="22"/>
                <w:szCs w:val="22"/>
                <w:lang w:val="en-GB"/>
              </w:rPr>
              <w:t xml:space="preserve">Arts, design, entertainment, sports, &amp; media </w:t>
            </w:r>
          </w:p>
        </w:tc>
        <w:tc>
          <w:tcPr>
            <w:tcW w:w="2790" w:type="dxa"/>
            <w:noWrap/>
            <w:vAlign w:val="center"/>
          </w:tcPr>
          <w:p w14:paraId="619F8D8A" w14:textId="4CEA5104" w:rsidR="00706511" w:rsidRPr="00492488" w:rsidRDefault="00706511" w:rsidP="00A07533">
            <w:pPr>
              <w:rPr>
                <w:rFonts w:eastAsia="Calibri"/>
                <w:sz w:val="22"/>
                <w:szCs w:val="22"/>
                <w:lang w:val="en-GB"/>
              </w:rPr>
            </w:pPr>
            <w:r>
              <w:rPr>
                <w:rFonts w:eastAsia="Calibri"/>
                <w:sz w:val="22"/>
                <w:szCs w:val="22"/>
                <w:lang w:val="en-GB"/>
              </w:rPr>
              <w:t>36.5 (23.5, 49.6)</w:t>
            </w:r>
          </w:p>
        </w:tc>
        <w:tc>
          <w:tcPr>
            <w:tcW w:w="2160" w:type="dxa"/>
            <w:vAlign w:val="center"/>
          </w:tcPr>
          <w:p w14:paraId="4105DEF2" w14:textId="77777777" w:rsidR="00706511" w:rsidRPr="00492488" w:rsidRDefault="00706511" w:rsidP="00A07533">
            <w:pPr>
              <w:rPr>
                <w:rFonts w:eastAsia="Calibri"/>
                <w:sz w:val="22"/>
                <w:szCs w:val="22"/>
                <w:lang w:val="en-GB"/>
              </w:rPr>
            </w:pPr>
            <w:r>
              <w:rPr>
                <w:rFonts w:eastAsia="Calibri"/>
                <w:sz w:val="22"/>
                <w:szCs w:val="22"/>
                <w:lang w:val="en-GB"/>
              </w:rPr>
              <w:t>57.8 (33.9, 81.6)</w:t>
            </w:r>
          </w:p>
        </w:tc>
        <w:tc>
          <w:tcPr>
            <w:tcW w:w="2160" w:type="dxa"/>
            <w:vAlign w:val="center"/>
          </w:tcPr>
          <w:p w14:paraId="1946AE67" w14:textId="77777777" w:rsidR="00706511" w:rsidRPr="00492488" w:rsidRDefault="00706511" w:rsidP="00A07533">
            <w:pPr>
              <w:rPr>
                <w:rFonts w:eastAsia="Calibri"/>
                <w:sz w:val="22"/>
                <w:szCs w:val="22"/>
                <w:lang w:val="en-GB"/>
              </w:rPr>
            </w:pPr>
            <w:r>
              <w:rPr>
                <w:rFonts w:eastAsia="Calibri"/>
                <w:sz w:val="22"/>
                <w:szCs w:val="22"/>
                <w:lang w:val="en-GB"/>
              </w:rPr>
              <w:t>17.4 (4.9, 29.8)</w:t>
            </w:r>
          </w:p>
        </w:tc>
        <w:tc>
          <w:tcPr>
            <w:tcW w:w="1260" w:type="dxa"/>
            <w:noWrap/>
            <w:vAlign w:val="center"/>
          </w:tcPr>
          <w:p w14:paraId="479D59A5" w14:textId="77777777" w:rsidR="00706511" w:rsidRPr="00492488" w:rsidRDefault="00706511" w:rsidP="00A07533">
            <w:pPr>
              <w:rPr>
                <w:rFonts w:eastAsia="Calibri"/>
                <w:sz w:val="22"/>
                <w:szCs w:val="22"/>
                <w:lang w:val="en-GB"/>
              </w:rPr>
            </w:pPr>
            <w:r>
              <w:rPr>
                <w:rFonts w:eastAsia="Calibri"/>
                <w:sz w:val="22"/>
                <w:szCs w:val="22"/>
                <w:lang w:val="en-GB"/>
              </w:rPr>
              <w:t>60 (1.8)</w:t>
            </w:r>
          </w:p>
        </w:tc>
        <w:tc>
          <w:tcPr>
            <w:tcW w:w="1260" w:type="dxa"/>
            <w:vAlign w:val="center"/>
          </w:tcPr>
          <w:p w14:paraId="7A84D991" w14:textId="77777777" w:rsidR="00706511" w:rsidRPr="00492488" w:rsidRDefault="00706511" w:rsidP="00A07533">
            <w:pPr>
              <w:rPr>
                <w:rFonts w:eastAsia="Calibri"/>
                <w:sz w:val="22"/>
                <w:szCs w:val="22"/>
                <w:lang w:val="en-GB"/>
              </w:rPr>
            </w:pPr>
            <w:r>
              <w:rPr>
                <w:rFonts w:eastAsia="Calibri"/>
                <w:sz w:val="22"/>
                <w:szCs w:val="22"/>
                <w:lang w:val="en-GB"/>
              </w:rPr>
              <w:t>45 (1.7)</w:t>
            </w:r>
          </w:p>
        </w:tc>
        <w:tc>
          <w:tcPr>
            <w:tcW w:w="1260" w:type="dxa"/>
            <w:vAlign w:val="center"/>
          </w:tcPr>
          <w:p w14:paraId="559B8C95" w14:textId="77777777" w:rsidR="00706511" w:rsidRPr="00492488" w:rsidRDefault="00706511" w:rsidP="00A07533">
            <w:pPr>
              <w:rPr>
                <w:rFonts w:eastAsia="Calibri"/>
                <w:sz w:val="22"/>
                <w:szCs w:val="22"/>
                <w:lang w:val="en-GB"/>
              </w:rPr>
            </w:pPr>
            <w:r>
              <w:rPr>
                <w:rFonts w:eastAsia="Calibri"/>
                <w:sz w:val="22"/>
                <w:szCs w:val="22"/>
                <w:lang w:val="en-GB"/>
              </w:rPr>
              <w:t>15 (2.1)</w:t>
            </w:r>
          </w:p>
        </w:tc>
      </w:tr>
      <w:tr w:rsidR="00706511" w:rsidRPr="00492488" w14:paraId="7ACE3EB1" w14:textId="77777777" w:rsidTr="00A07533">
        <w:trPr>
          <w:trHeight w:val="20"/>
        </w:trPr>
        <w:tc>
          <w:tcPr>
            <w:tcW w:w="4788" w:type="dxa"/>
            <w:noWrap/>
            <w:hideMark/>
          </w:tcPr>
          <w:p w14:paraId="2FF94E37" w14:textId="77777777" w:rsidR="00706511" w:rsidRPr="00492488" w:rsidRDefault="00706511" w:rsidP="00706511">
            <w:pPr>
              <w:jc w:val="left"/>
              <w:rPr>
                <w:rFonts w:eastAsia="Calibri"/>
                <w:sz w:val="22"/>
                <w:szCs w:val="22"/>
                <w:lang w:val="en-GB"/>
              </w:rPr>
            </w:pPr>
            <w:r w:rsidRPr="00492488">
              <w:rPr>
                <w:rFonts w:eastAsia="Calibri"/>
                <w:sz w:val="22"/>
                <w:szCs w:val="22"/>
                <w:lang w:val="en-GB"/>
              </w:rPr>
              <w:t xml:space="preserve">Community and social services </w:t>
            </w:r>
          </w:p>
        </w:tc>
        <w:tc>
          <w:tcPr>
            <w:tcW w:w="2790" w:type="dxa"/>
            <w:noWrap/>
            <w:vAlign w:val="center"/>
          </w:tcPr>
          <w:p w14:paraId="0A3A73F8" w14:textId="77777777" w:rsidR="00706511" w:rsidRPr="00492488" w:rsidRDefault="00706511" w:rsidP="00A07533">
            <w:pPr>
              <w:rPr>
                <w:rFonts w:eastAsia="Calibri"/>
                <w:sz w:val="22"/>
                <w:szCs w:val="22"/>
                <w:lang w:val="en-GB"/>
              </w:rPr>
            </w:pPr>
            <w:r>
              <w:rPr>
                <w:rFonts w:eastAsia="Calibri"/>
                <w:sz w:val="22"/>
                <w:szCs w:val="22"/>
                <w:lang w:val="en-GB"/>
              </w:rPr>
              <w:t>25.0 (13.7, 36.2)</w:t>
            </w:r>
          </w:p>
        </w:tc>
        <w:tc>
          <w:tcPr>
            <w:tcW w:w="2160" w:type="dxa"/>
            <w:vAlign w:val="center"/>
          </w:tcPr>
          <w:p w14:paraId="7F7F985A" w14:textId="77777777" w:rsidR="00706511" w:rsidRPr="00492488" w:rsidRDefault="00706511" w:rsidP="00A07533">
            <w:pPr>
              <w:rPr>
                <w:rFonts w:eastAsia="Calibri"/>
                <w:sz w:val="22"/>
                <w:szCs w:val="22"/>
                <w:lang w:val="en-GB"/>
              </w:rPr>
            </w:pPr>
            <w:r>
              <w:rPr>
                <w:rFonts w:eastAsia="Calibri"/>
                <w:sz w:val="22"/>
                <w:szCs w:val="22"/>
                <w:lang w:val="en-GB"/>
              </w:rPr>
              <w:t>60.9 (27.8, 94.0)</w:t>
            </w:r>
          </w:p>
        </w:tc>
        <w:tc>
          <w:tcPr>
            <w:tcW w:w="2160" w:type="dxa"/>
            <w:vAlign w:val="center"/>
          </w:tcPr>
          <w:p w14:paraId="5D04BBCA" w14:textId="77777777" w:rsidR="00706511" w:rsidRPr="00492488" w:rsidRDefault="00706511" w:rsidP="00A07533">
            <w:pPr>
              <w:rPr>
                <w:rFonts w:eastAsia="Calibri"/>
                <w:sz w:val="22"/>
                <w:szCs w:val="22"/>
                <w:lang w:val="en-GB"/>
              </w:rPr>
            </w:pPr>
            <w:r>
              <w:rPr>
                <w:rFonts w:eastAsia="Calibri"/>
                <w:sz w:val="22"/>
                <w:szCs w:val="22"/>
                <w:lang w:val="en-GB"/>
              </w:rPr>
              <w:t>11.0 (2.2, 19.7)</w:t>
            </w:r>
          </w:p>
        </w:tc>
        <w:tc>
          <w:tcPr>
            <w:tcW w:w="1260" w:type="dxa"/>
            <w:noWrap/>
            <w:vAlign w:val="center"/>
          </w:tcPr>
          <w:p w14:paraId="19A52168" w14:textId="77777777" w:rsidR="00706511" w:rsidRPr="00492488" w:rsidRDefault="00706511" w:rsidP="00A07533">
            <w:pPr>
              <w:rPr>
                <w:rFonts w:eastAsia="Calibri"/>
                <w:sz w:val="22"/>
                <w:szCs w:val="22"/>
                <w:lang w:val="en-GB"/>
              </w:rPr>
            </w:pPr>
            <w:r>
              <w:rPr>
                <w:rFonts w:eastAsia="Calibri"/>
                <w:sz w:val="22"/>
                <w:szCs w:val="22"/>
                <w:lang w:val="en-GB"/>
              </w:rPr>
              <w:t>38 (1.1)</w:t>
            </w:r>
          </w:p>
        </w:tc>
        <w:tc>
          <w:tcPr>
            <w:tcW w:w="1260" w:type="dxa"/>
            <w:vAlign w:val="center"/>
          </w:tcPr>
          <w:p w14:paraId="6EFF5145" w14:textId="77777777" w:rsidR="00706511" w:rsidRPr="00492488" w:rsidRDefault="00706511" w:rsidP="00A07533">
            <w:pPr>
              <w:rPr>
                <w:rFonts w:eastAsia="Calibri"/>
                <w:sz w:val="22"/>
                <w:szCs w:val="22"/>
                <w:lang w:val="en-GB"/>
              </w:rPr>
            </w:pPr>
            <w:r>
              <w:rPr>
                <w:rFonts w:eastAsia="Calibri"/>
                <w:sz w:val="22"/>
                <w:szCs w:val="22"/>
                <w:lang w:val="en-GB"/>
              </w:rPr>
              <w:t>26 (1.0)</w:t>
            </w:r>
          </w:p>
        </w:tc>
        <w:tc>
          <w:tcPr>
            <w:tcW w:w="1260" w:type="dxa"/>
            <w:vAlign w:val="center"/>
          </w:tcPr>
          <w:p w14:paraId="53DDB0A3" w14:textId="77777777" w:rsidR="00706511" w:rsidRPr="00492488" w:rsidRDefault="00706511" w:rsidP="00A07533">
            <w:pPr>
              <w:rPr>
                <w:rFonts w:eastAsia="Calibri"/>
                <w:sz w:val="22"/>
                <w:szCs w:val="22"/>
                <w:lang w:val="en-GB"/>
              </w:rPr>
            </w:pPr>
            <w:r>
              <w:rPr>
                <w:rFonts w:eastAsia="Calibri"/>
                <w:sz w:val="22"/>
                <w:szCs w:val="22"/>
                <w:lang w:val="en-GB"/>
              </w:rPr>
              <w:t>12 (1.7)</w:t>
            </w:r>
          </w:p>
        </w:tc>
      </w:tr>
      <w:tr w:rsidR="00706511" w:rsidRPr="00492488" w14:paraId="3310C39C" w14:textId="77777777" w:rsidTr="00A07533">
        <w:trPr>
          <w:trHeight w:val="20"/>
        </w:trPr>
        <w:tc>
          <w:tcPr>
            <w:tcW w:w="4788" w:type="dxa"/>
            <w:noWrap/>
            <w:hideMark/>
          </w:tcPr>
          <w:p w14:paraId="55481891" w14:textId="77777777" w:rsidR="00706511" w:rsidRPr="00492488" w:rsidRDefault="00706511" w:rsidP="00706511">
            <w:pPr>
              <w:jc w:val="left"/>
              <w:rPr>
                <w:rFonts w:eastAsia="Calibri"/>
                <w:sz w:val="22"/>
                <w:szCs w:val="22"/>
                <w:lang w:val="en-GB"/>
              </w:rPr>
            </w:pPr>
            <w:r w:rsidRPr="00492488">
              <w:rPr>
                <w:rFonts w:eastAsia="Calibri"/>
                <w:sz w:val="22"/>
                <w:szCs w:val="22"/>
                <w:lang w:val="en-GB"/>
              </w:rPr>
              <w:t xml:space="preserve">Protective service </w:t>
            </w:r>
          </w:p>
        </w:tc>
        <w:tc>
          <w:tcPr>
            <w:tcW w:w="2790" w:type="dxa"/>
            <w:noWrap/>
            <w:vAlign w:val="center"/>
          </w:tcPr>
          <w:p w14:paraId="49E34DB7" w14:textId="77777777" w:rsidR="00706511" w:rsidRPr="00492488" w:rsidRDefault="00706511" w:rsidP="00A07533">
            <w:pPr>
              <w:rPr>
                <w:rFonts w:eastAsia="Calibri"/>
                <w:sz w:val="22"/>
                <w:szCs w:val="22"/>
                <w:lang w:val="en-GB"/>
              </w:rPr>
            </w:pPr>
            <w:r>
              <w:rPr>
                <w:rFonts w:eastAsia="Calibri"/>
                <w:sz w:val="22"/>
                <w:szCs w:val="22"/>
                <w:lang w:val="en-GB"/>
              </w:rPr>
              <w:t>20.6 (10.3, 30.9)</w:t>
            </w:r>
          </w:p>
        </w:tc>
        <w:tc>
          <w:tcPr>
            <w:tcW w:w="2160" w:type="dxa"/>
            <w:vAlign w:val="center"/>
          </w:tcPr>
          <w:p w14:paraId="3029338F" w14:textId="77777777" w:rsidR="00706511" w:rsidRPr="00492488" w:rsidRDefault="00706511" w:rsidP="00A07533">
            <w:pPr>
              <w:rPr>
                <w:rFonts w:eastAsia="Calibri"/>
                <w:sz w:val="22"/>
                <w:szCs w:val="22"/>
                <w:lang w:val="en-GB"/>
              </w:rPr>
            </w:pPr>
            <w:r>
              <w:rPr>
                <w:rFonts w:eastAsia="Calibri"/>
                <w:sz w:val="22"/>
                <w:szCs w:val="22"/>
                <w:lang w:val="en-GB"/>
              </w:rPr>
              <w:t>22.2 (10.6, 33.8)</w:t>
            </w:r>
          </w:p>
        </w:tc>
        <w:tc>
          <w:tcPr>
            <w:tcW w:w="2160" w:type="dxa"/>
            <w:vAlign w:val="center"/>
          </w:tcPr>
          <w:p w14:paraId="37ABB2C4" w14:textId="77777777" w:rsidR="00706511" w:rsidRPr="007D7E9B" w:rsidRDefault="00706511" w:rsidP="00A07533">
            <w:pPr>
              <w:rPr>
                <w:rFonts w:eastAsia="Calibri"/>
                <w:sz w:val="22"/>
                <w:szCs w:val="22"/>
                <w:highlight w:val="yellow"/>
                <w:lang w:val="en-GB"/>
              </w:rPr>
            </w:pPr>
            <w:r>
              <w:rPr>
                <w:rFonts w:eastAsia="Calibri"/>
                <w:sz w:val="22"/>
                <w:szCs w:val="22"/>
                <w:lang w:val="en-GB"/>
              </w:rPr>
              <w:t>__</w:t>
            </w:r>
            <w:r>
              <w:rPr>
                <w:rFonts w:eastAsia="Calibri"/>
                <w:sz w:val="22"/>
                <w:szCs w:val="22"/>
                <w:vertAlign w:val="superscript"/>
                <w:lang w:val="en-GB"/>
              </w:rPr>
              <w:t>4</w:t>
            </w:r>
          </w:p>
        </w:tc>
        <w:tc>
          <w:tcPr>
            <w:tcW w:w="1260" w:type="dxa"/>
            <w:noWrap/>
            <w:vAlign w:val="center"/>
          </w:tcPr>
          <w:p w14:paraId="50F5DD6C" w14:textId="77777777" w:rsidR="00706511" w:rsidRPr="00492488" w:rsidRDefault="00706511" w:rsidP="00A07533">
            <w:pPr>
              <w:rPr>
                <w:rFonts w:eastAsia="Calibri"/>
                <w:sz w:val="22"/>
                <w:szCs w:val="22"/>
                <w:lang w:val="en-GB"/>
              </w:rPr>
            </w:pPr>
            <w:r>
              <w:rPr>
                <w:rFonts w:eastAsia="Calibri"/>
                <w:sz w:val="22"/>
                <w:szCs w:val="22"/>
                <w:lang w:val="en-GB"/>
              </w:rPr>
              <w:t>31 (0.9)</w:t>
            </w:r>
          </w:p>
        </w:tc>
        <w:tc>
          <w:tcPr>
            <w:tcW w:w="1260" w:type="dxa"/>
            <w:vAlign w:val="center"/>
          </w:tcPr>
          <w:p w14:paraId="033C585F" w14:textId="77777777" w:rsidR="00706511" w:rsidRPr="00492488" w:rsidRDefault="00706511" w:rsidP="00A07533">
            <w:pPr>
              <w:rPr>
                <w:rFonts w:eastAsia="Calibri"/>
                <w:sz w:val="22"/>
                <w:szCs w:val="22"/>
                <w:lang w:val="en-GB"/>
              </w:rPr>
            </w:pPr>
            <w:r>
              <w:rPr>
                <w:rFonts w:eastAsia="Calibri"/>
                <w:sz w:val="22"/>
                <w:szCs w:val="22"/>
                <w:lang w:val="en-GB"/>
              </w:rPr>
              <w:t>__</w:t>
            </w:r>
            <w:r>
              <w:rPr>
                <w:rFonts w:eastAsia="Calibri"/>
                <w:sz w:val="22"/>
                <w:szCs w:val="22"/>
                <w:vertAlign w:val="superscript"/>
                <w:lang w:val="en-GB"/>
              </w:rPr>
              <w:t>2</w:t>
            </w:r>
          </w:p>
        </w:tc>
        <w:tc>
          <w:tcPr>
            <w:tcW w:w="1260" w:type="dxa"/>
            <w:vAlign w:val="center"/>
          </w:tcPr>
          <w:p w14:paraId="3D16E9B6" w14:textId="5432F4D2" w:rsidR="00706511" w:rsidRPr="00492488" w:rsidRDefault="00706511" w:rsidP="00A07533">
            <w:pPr>
              <w:rPr>
                <w:rFonts w:eastAsia="Calibri"/>
                <w:sz w:val="22"/>
                <w:szCs w:val="22"/>
                <w:lang w:val="en-GB"/>
              </w:rPr>
            </w:pPr>
            <w:r>
              <w:rPr>
                <w:rFonts w:eastAsia="Calibri"/>
                <w:sz w:val="22"/>
                <w:szCs w:val="22"/>
                <w:lang w:val="en-GB"/>
              </w:rPr>
              <w:t>__</w:t>
            </w:r>
            <w:r>
              <w:rPr>
                <w:rFonts w:eastAsia="Calibri"/>
                <w:sz w:val="22"/>
                <w:szCs w:val="22"/>
                <w:vertAlign w:val="superscript"/>
                <w:lang w:val="en-GB"/>
              </w:rPr>
              <w:t>2</w:t>
            </w:r>
          </w:p>
        </w:tc>
      </w:tr>
      <w:tr w:rsidR="00706511" w:rsidRPr="00492488" w14:paraId="2336918B" w14:textId="77777777" w:rsidTr="00A07533">
        <w:trPr>
          <w:trHeight w:val="20"/>
        </w:trPr>
        <w:tc>
          <w:tcPr>
            <w:tcW w:w="4788" w:type="dxa"/>
            <w:noWrap/>
            <w:hideMark/>
          </w:tcPr>
          <w:p w14:paraId="252D1602" w14:textId="77777777" w:rsidR="00706511" w:rsidRPr="00492488" w:rsidRDefault="00706511" w:rsidP="00706511">
            <w:pPr>
              <w:jc w:val="left"/>
              <w:rPr>
                <w:rFonts w:eastAsia="Calibri"/>
                <w:sz w:val="22"/>
                <w:szCs w:val="22"/>
                <w:lang w:val="en-GB"/>
              </w:rPr>
            </w:pPr>
            <w:r w:rsidRPr="00492488">
              <w:rPr>
                <w:rFonts w:eastAsia="Calibri"/>
                <w:sz w:val="22"/>
                <w:szCs w:val="22"/>
                <w:lang w:val="en-GB"/>
              </w:rPr>
              <w:t xml:space="preserve">Architecture and engineering </w:t>
            </w:r>
          </w:p>
        </w:tc>
        <w:tc>
          <w:tcPr>
            <w:tcW w:w="2790" w:type="dxa"/>
            <w:noWrap/>
            <w:vAlign w:val="center"/>
          </w:tcPr>
          <w:p w14:paraId="4DB21880" w14:textId="77777777" w:rsidR="00706511" w:rsidRPr="00492488" w:rsidRDefault="00706511" w:rsidP="00A07533">
            <w:pPr>
              <w:rPr>
                <w:rFonts w:eastAsia="Calibri"/>
                <w:sz w:val="22"/>
                <w:szCs w:val="22"/>
                <w:lang w:val="en-GB"/>
              </w:rPr>
            </w:pPr>
            <w:r>
              <w:rPr>
                <w:rFonts w:eastAsia="Calibri"/>
                <w:sz w:val="22"/>
                <w:szCs w:val="22"/>
                <w:lang w:val="en-GB"/>
              </w:rPr>
              <w:t>18.8 (9.6, 28.0)</w:t>
            </w:r>
          </w:p>
        </w:tc>
        <w:tc>
          <w:tcPr>
            <w:tcW w:w="2160" w:type="dxa"/>
            <w:vAlign w:val="center"/>
          </w:tcPr>
          <w:p w14:paraId="4462D52B" w14:textId="77777777" w:rsidR="00706511" w:rsidRPr="00492488" w:rsidRDefault="00706511" w:rsidP="00A07533">
            <w:pPr>
              <w:rPr>
                <w:rFonts w:eastAsia="Calibri"/>
                <w:sz w:val="22"/>
                <w:szCs w:val="22"/>
                <w:lang w:val="en-GB"/>
              </w:rPr>
            </w:pPr>
            <w:r>
              <w:rPr>
                <w:rFonts w:eastAsia="Calibri"/>
                <w:sz w:val="22"/>
                <w:szCs w:val="22"/>
                <w:lang w:val="en-GB"/>
              </w:rPr>
              <w:t>22.1 (11.1, 33.1)</w:t>
            </w:r>
          </w:p>
        </w:tc>
        <w:tc>
          <w:tcPr>
            <w:tcW w:w="2160" w:type="dxa"/>
            <w:vAlign w:val="center"/>
          </w:tcPr>
          <w:p w14:paraId="1E98B754" w14:textId="77777777" w:rsidR="00706511" w:rsidRPr="007D7E9B" w:rsidRDefault="00706511" w:rsidP="00A07533">
            <w:pPr>
              <w:rPr>
                <w:rFonts w:eastAsia="Calibri"/>
                <w:sz w:val="22"/>
                <w:szCs w:val="22"/>
                <w:highlight w:val="yellow"/>
                <w:lang w:val="en-GB"/>
              </w:rPr>
            </w:pPr>
            <w:r>
              <w:rPr>
                <w:rFonts w:eastAsia="Calibri"/>
                <w:sz w:val="22"/>
                <w:szCs w:val="22"/>
                <w:lang w:val="en-GB"/>
              </w:rPr>
              <w:t>__</w:t>
            </w:r>
            <w:r>
              <w:rPr>
                <w:rFonts w:eastAsia="Calibri"/>
                <w:sz w:val="22"/>
                <w:szCs w:val="22"/>
                <w:vertAlign w:val="superscript"/>
                <w:lang w:val="en-GB"/>
              </w:rPr>
              <w:t>4</w:t>
            </w:r>
          </w:p>
        </w:tc>
        <w:tc>
          <w:tcPr>
            <w:tcW w:w="1260" w:type="dxa"/>
            <w:noWrap/>
            <w:vAlign w:val="center"/>
          </w:tcPr>
          <w:p w14:paraId="63BDC9C9" w14:textId="77777777" w:rsidR="00706511" w:rsidRPr="00492488" w:rsidRDefault="00706511" w:rsidP="00A07533">
            <w:pPr>
              <w:rPr>
                <w:rFonts w:eastAsia="Calibri"/>
                <w:sz w:val="22"/>
                <w:szCs w:val="22"/>
                <w:lang w:val="en-GB"/>
              </w:rPr>
            </w:pPr>
            <w:r>
              <w:rPr>
                <w:rFonts w:eastAsia="Calibri"/>
                <w:sz w:val="22"/>
                <w:szCs w:val="22"/>
                <w:lang w:val="en-GB"/>
              </w:rPr>
              <w:t>32 (1.0)</w:t>
            </w:r>
          </w:p>
        </w:tc>
        <w:tc>
          <w:tcPr>
            <w:tcW w:w="1260" w:type="dxa"/>
            <w:vAlign w:val="center"/>
          </w:tcPr>
          <w:p w14:paraId="02F30DAC" w14:textId="77777777" w:rsidR="00706511" w:rsidRPr="00492488" w:rsidRDefault="00706511" w:rsidP="00A07533">
            <w:pPr>
              <w:rPr>
                <w:rFonts w:eastAsia="Calibri"/>
                <w:sz w:val="22"/>
                <w:szCs w:val="22"/>
                <w:lang w:val="en-GB"/>
              </w:rPr>
            </w:pPr>
            <w:r>
              <w:rPr>
                <w:rFonts w:eastAsia="Calibri"/>
                <w:sz w:val="22"/>
                <w:szCs w:val="22"/>
                <w:lang w:val="en-GB"/>
              </w:rPr>
              <w:t>__</w:t>
            </w:r>
            <w:r>
              <w:rPr>
                <w:rFonts w:eastAsia="Calibri"/>
                <w:sz w:val="22"/>
                <w:szCs w:val="22"/>
                <w:vertAlign w:val="superscript"/>
                <w:lang w:val="en-GB"/>
              </w:rPr>
              <w:t>2</w:t>
            </w:r>
          </w:p>
        </w:tc>
        <w:tc>
          <w:tcPr>
            <w:tcW w:w="1260" w:type="dxa"/>
            <w:vAlign w:val="center"/>
          </w:tcPr>
          <w:p w14:paraId="4160374E" w14:textId="77777777" w:rsidR="00706511" w:rsidRPr="00492488" w:rsidRDefault="00706511" w:rsidP="00A07533">
            <w:pPr>
              <w:rPr>
                <w:rFonts w:eastAsia="Calibri"/>
                <w:sz w:val="22"/>
                <w:szCs w:val="22"/>
                <w:lang w:val="en-GB"/>
              </w:rPr>
            </w:pPr>
            <w:r>
              <w:rPr>
                <w:rFonts w:eastAsia="Calibri"/>
                <w:sz w:val="22"/>
                <w:szCs w:val="22"/>
                <w:lang w:val="en-GB"/>
              </w:rPr>
              <w:t>__</w:t>
            </w:r>
            <w:r>
              <w:rPr>
                <w:rFonts w:eastAsia="Calibri"/>
                <w:sz w:val="22"/>
                <w:szCs w:val="22"/>
                <w:vertAlign w:val="superscript"/>
                <w:lang w:val="en-GB"/>
              </w:rPr>
              <w:t>2</w:t>
            </w:r>
          </w:p>
        </w:tc>
      </w:tr>
      <w:tr w:rsidR="00706511" w:rsidRPr="00492488" w14:paraId="41B3866D" w14:textId="77777777" w:rsidTr="00A07533">
        <w:trPr>
          <w:trHeight w:val="20"/>
        </w:trPr>
        <w:tc>
          <w:tcPr>
            <w:tcW w:w="4788" w:type="dxa"/>
            <w:noWrap/>
            <w:hideMark/>
          </w:tcPr>
          <w:p w14:paraId="7F7A42AE" w14:textId="77777777" w:rsidR="00706511" w:rsidRPr="00492488" w:rsidRDefault="00706511" w:rsidP="00706511">
            <w:pPr>
              <w:jc w:val="left"/>
              <w:rPr>
                <w:rFonts w:eastAsia="Calibri"/>
                <w:sz w:val="22"/>
                <w:szCs w:val="22"/>
                <w:lang w:val="en-GB"/>
              </w:rPr>
            </w:pPr>
            <w:r w:rsidRPr="00492488">
              <w:rPr>
                <w:rFonts w:eastAsia="Calibri"/>
                <w:sz w:val="22"/>
                <w:szCs w:val="22"/>
                <w:lang w:val="en-GB"/>
              </w:rPr>
              <w:t xml:space="preserve">Office &amp; administrative support </w:t>
            </w:r>
          </w:p>
        </w:tc>
        <w:tc>
          <w:tcPr>
            <w:tcW w:w="2790" w:type="dxa"/>
            <w:noWrap/>
            <w:vAlign w:val="center"/>
          </w:tcPr>
          <w:p w14:paraId="105D0E77" w14:textId="77777777" w:rsidR="00706511" w:rsidRPr="00492488" w:rsidRDefault="00706511" w:rsidP="00A07533">
            <w:pPr>
              <w:rPr>
                <w:rFonts w:eastAsia="Calibri"/>
                <w:sz w:val="22"/>
                <w:szCs w:val="22"/>
                <w:lang w:val="en-GB"/>
              </w:rPr>
            </w:pPr>
            <w:r>
              <w:rPr>
                <w:rFonts w:eastAsia="Calibri"/>
                <w:sz w:val="22"/>
                <w:szCs w:val="22"/>
                <w:lang w:val="en-GB"/>
              </w:rPr>
              <w:t>20.0 (15.7, 24.3)</w:t>
            </w:r>
          </w:p>
        </w:tc>
        <w:tc>
          <w:tcPr>
            <w:tcW w:w="2160" w:type="dxa"/>
            <w:vAlign w:val="center"/>
          </w:tcPr>
          <w:p w14:paraId="5D00AB71" w14:textId="77777777" w:rsidR="00706511" w:rsidRPr="00492488" w:rsidRDefault="00706511" w:rsidP="00A07533">
            <w:pPr>
              <w:rPr>
                <w:rFonts w:eastAsia="Calibri"/>
                <w:sz w:val="22"/>
                <w:szCs w:val="22"/>
                <w:lang w:val="en-GB"/>
              </w:rPr>
            </w:pPr>
            <w:r>
              <w:rPr>
                <w:rFonts w:eastAsia="Calibri"/>
                <w:sz w:val="22"/>
                <w:szCs w:val="22"/>
                <w:lang w:val="en-GB"/>
              </w:rPr>
              <w:t>26.9 (17.8, 35.9)</w:t>
            </w:r>
          </w:p>
        </w:tc>
        <w:tc>
          <w:tcPr>
            <w:tcW w:w="2160" w:type="dxa"/>
            <w:vAlign w:val="center"/>
          </w:tcPr>
          <w:p w14:paraId="7DBE0170" w14:textId="77777777" w:rsidR="00706511" w:rsidRPr="00492488" w:rsidRDefault="00706511" w:rsidP="00A07533">
            <w:pPr>
              <w:rPr>
                <w:rFonts w:eastAsia="Calibri"/>
                <w:sz w:val="22"/>
                <w:szCs w:val="22"/>
                <w:lang w:val="en-GB"/>
              </w:rPr>
            </w:pPr>
            <w:r>
              <w:rPr>
                <w:rFonts w:eastAsia="Calibri"/>
                <w:sz w:val="22"/>
                <w:szCs w:val="22"/>
                <w:lang w:val="en-GB"/>
              </w:rPr>
              <w:t>17.0 (12.3, 21.8)</w:t>
            </w:r>
          </w:p>
        </w:tc>
        <w:tc>
          <w:tcPr>
            <w:tcW w:w="1260" w:type="dxa"/>
            <w:noWrap/>
            <w:vAlign w:val="center"/>
          </w:tcPr>
          <w:p w14:paraId="7D4A1B65" w14:textId="77777777" w:rsidR="00706511" w:rsidRPr="00492488" w:rsidRDefault="00706511" w:rsidP="00A07533">
            <w:pPr>
              <w:rPr>
                <w:rFonts w:eastAsia="Calibri"/>
                <w:sz w:val="22"/>
                <w:szCs w:val="22"/>
                <w:lang w:val="en-GB"/>
              </w:rPr>
            </w:pPr>
            <w:r>
              <w:rPr>
                <w:rFonts w:eastAsia="Calibri"/>
                <w:sz w:val="22"/>
                <w:szCs w:val="22"/>
                <w:lang w:val="en-GB"/>
              </w:rPr>
              <w:t>165 (5.0)</w:t>
            </w:r>
          </w:p>
        </w:tc>
        <w:tc>
          <w:tcPr>
            <w:tcW w:w="1260" w:type="dxa"/>
            <w:vAlign w:val="center"/>
          </w:tcPr>
          <w:p w14:paraId="1F09FFAF" w14:textId="77777777" w:rsidR="00706511" w:rsidRPr="00492488" w:rsidRDefault="00706511" w:rsidP="00A07533">
            <w:pPr>
              <w:rPr>
                <w:rFonts w:eastAsia="Calibri"/>
                <w:sz w:val="22"/>
                <w:szCs w:val="22"/>
                <w:lang w:val="en-GB"/>
              </w:rPr>
            </w:pPr>
            <w:r>
              <w:rPr>
                <w:rFonts w:eastAsia="Calibri"/>
                <w:sz w:val="22"/>
                <w:szCs w:val="22"/>
                <w:lang w:val="en-GB"/>
              </w:rPr>
              <w:t>67 (2.5)</w:t>
            </w:r>
          </w:p>
        </w:tc>
        <w:tc>
          <w:tcPr>
            <w:tcW w:w="1260" w:type="dxa"/>
            <w:vAlign w:val="center"/>
          </w:tcPr>
          <w:p w14:paraId="5DA29824" w14:textId="77777777" w:rsidR="00706511" w:rsidRPr="00492488" w:rsidRDefault="00706511" w:rsidP="00A07533">
            <w:pPr>
              <w:rPr>
                <w:rFonts w:eastAsia="Calibri"/>
                <w:sz w:val="22"/>
                <w:szCs w:val="22"/>
                <w:lang w:val="en-GB"/>
              </w:rPr>
            </w:pPr>
            <w:r>
              <w:rPr>
                <w:rFonts w:eastAsia="Calibri"/>
                <w:sz w:val="22"/>
                <w:szCs w:val="22"/>
                <w:lang w:val="en-GB"/>
              </w:rPr>
              <w:t>98 (14.1)</w:t>
            </w:r>
          </w:p>
        </w:tc>
      </w:tr>
      <w:tr w:rsidR="00706511" w:rsidRPr="00492488" w14:paraId="2C0FA672" w14:textId="77777777" w:rsidTr="00A07533">
        <w:trPr>
          <w:trHeight w:val="20"/>
        </w:trPr>
        <w:tc>
          <w:tcPr>
            <w:tcW w:w="4788" w:type="dxa"/>
            <w:noWrap/>
            <w:hideMark/>
          </w:tcPr>
          <w:p w14:paraId="1F38EC46" w14:textId="77777777" w:rsidR="00706511" w:rsidRPr="00492488" w:rsidRDefault="00706511" w:rsidP="00706511">
            <w:pPr>
              <w:jc w:val="left"/>
              <w:rPr>
                <w:rFonts w:eastAsia="Calibri"/>
                <w:sz w:val="22"/>
                <w:szCs w:val="22"/>
                <w:lang w:val="en-GB"/>
              </w:rPr>
            </w:pPr>
            <w:r w:rsidRPr="00492488">
              <w:rPr>
                <w:rFonts w:eastAsia="Calibri"/>
                <w:sz w:val="22"/>
                <w:szCs w:val="22"/>
                <w:lang w:val="en-GB"/>
              </w:rPr>
              <w:t xml:space="preserve">Healthcare practitioner and technical </w:t>
            </w:r>
          </w:p>
        </w:tc>
        <w:tc>
          <w:tcPr>
            <w:tcW w:w="2790" w:type="dxa"/>
            <w:noWrap/>
            <w:vAlign w:val="center"/>
          </w:tcPr>
          <w:p w14:paraId="65CD09C0" w14:textId="77777777" w:rsidR="00706511" w:rsidRPr="00492488" w:rsidRDefault="00706511" w:rsidP="00A07533">
            <w:pPr>
              <w:rPr>
                <w:rFonts w:eastAsia="Calibri"/>
                <w:sz w:val="22"/>
                <w:szCs w:val="22"/>
                <w:lang w:val="en-GB"/>
              </w:rPr>
            </w:pPr>
            <w:r>
              <w:rPr>
                <w:rFonts w:eastAsia="Calibri"/>
                <w:sz w:val="22"/>
                <w:szCs w:val="22"/>
                <w:lang w:val="en-GB"/>
              </w:rPr>
              <w:t>17.0 (11.8, 22.1)</w:t>
            </w:r>
          </w:p>
        </w:tc>
        <w:tc>
          <w:tcPr>
            <w:tcW w:w="2160" w:type="dxa"/>
            <w:vAlign w:val="center"/>
          </w:tcPr>
          <w:p w14:paraId="05FC002B" w14:textId="77777777" w:rsidR="00706511" w:rsidRPr="00492488" w:rsidRDefault="00706511" w:rsidP="00A07533">
            <w:pPr>
              <w:rPr>
                <w:rFonts w:eastAsia="Calibri"/>
                <w:sz w:val="22"/>
                <w:szCs w:val="22"/>
                <w:lang w:val="en-GB"/>
              </w:rPr>
            </w:pPr>
            <w:r>
              <w:rPr>
                <w:rFonts w:eastAsia="Calibri"/>
                <w:sz w:val="22"/>
                <w:szCs w:val="22"/>
                <w:lang w:val="en-GB"/>
              </w:rPr>
              <w:t>21.4 (9.3, 33.5)</w:t>
            </w:r>
          </w:p>
        </w:tc>
        <w:tc>
          <w:tcPr>
            <w:tcW w:w="2160" w:type="dxa"/>
            <w:vAlign w:val="center"/>
          </w:tcPr>
          <w:p w14:paraId="2F9F16F0" w14:textId="77777777" w:rsidR="00706511" w:rsidRPr="00492488" w:rsidRDefault="00706511" w:rsidP="00A07533">
            <w:pPr>
              <w:rPr>
                <w:rFonts w:eastAsia="Calibri"/>
                <w:sz w:val="22"/>
                <w:szCs w:val="22"/>
                <w:lang w:val="en-GB"/>
              </w:rPr>
            </w:pPr>
            <w:r>
              <w:rPr>
                <w:rFonts w:eastAsia="Calibri"/>
                <w:sz w:val="22"/>
                <w:szCs w:val="22"/>
                <w:lang w:val="en-GB"/>
              </w:rPr>
              <w:t>15.7 (10.0, 21.8)</w:t>
            </w:r>
          </w:p>
        </w:tc>
        <w:tc>
          <w:tcPr>
            <w:tcW w:w="1260" w:type="dxa"/>
            <w:noWrap/>
            <w:vAlign w:val="center"/>
          </w:tcPr>
          <w:p w14:paraId="053FBA33" w14:textId="77777777" w:rsidR="00706511" w:rsidRPr="00492488" w:rsidRDefault="00706511" w:rsidP="00A07533">
            <w:pPr>
              <w:rPr>
                <w:rFonts w:eastAsia="Calibri"/>
                <w:sz w:val="22"/>
                <w:szCs w:val="22"/>
                <w:lang w:val="en-GB"/>
              </w:rPr>
            </w:pPr>
            <w:r>
              <w:rPr>
                <w:rFonts w:eastAsia="Calibri"/>
                <w:sz w:val="22"/>
                <w:szCs w:val="22"/>
                <w:lang w:val="en-GB"/>
              </w:rPr>
              <w:t>83 (2.5)</w:t>
            </w:r>
          </w:p>
        </w:tc>
        <w:tc>
          <w:tcPr>
            <w:tcW w:w="1260" w:type="dxa"/>
            <w:vAlign w:val="center"/>
          </w:tcPr>
          <w:p w14:paraId="78D6F52A" w14:textId="77777777" w:rsidR="00706511" w:rsidRPr="00492488" w:rsidRDefault="00706511" w:rsidP="00A07533">
            <w:pPr>
              <w:rPr>
                <w:rFonts w:eastAsia="Calibri"/>
                <w:sz w:val="22"/>
                <w:szCs w:val="22"/>
                <w:lang w:val="en-GB"/>
              </w:rPr>
            </w:pPr>
            <w:r>
              <w:rPr>
                <w:rFonts w:eastAsia="Calibri"/>
                <w:sz w:val="22"/>
                <w:szCs w:val="22"/>
                <w:lang w:val="en-GB"/>
              </w:rPr>
              <w:t>24 (0.9)</w:t>
            </w:r>
          </w:p>
        </w:tc>
        <w:tc>
          <w:tcPr>
            <w:tcW w:w="1260" w:type="dxa"/>
            <w:vAlign w:val="center"/>
          </w:tcPr>
          <w:p w14:paraId="698846C3" w14:textId="77777777" w:rsidR="00706511" w:rsidRPr="00492488" w:rsidRDefault="00706511" w:rsidP="00A07533">
            <w:pPr>
              <w:rPr>
                <w:rFonts w:eastAsia="Calibri"/>
                <w:sz w:val="22"/>
                <w:szCs w:val="22"/>
                <w:lang w:val="en-GB"/>
              </w:rPr>
            </w:pPr>
            <w:r>
              <w:rPr>
                <w:rFonts w:eastAsia="Calibri"/>
                <w:sz w:val="22"/>
                <w:szCs w:val="22"/>
                <w:lang w:val="en-GB"/>
              </w:rPr>
              <w:t>59 (8.4)</w:t>
            </w:r>
          </w:p>
        </w:tc>
      </w:tr>
      <w:tr w:rsidR="00706511" w:rsidRPr="00492488" w14:paraId="46262EDE" w14:textId="77777777" w:rsidTr="00A07533">
        <w:trPr>
          <w:trHeight w:val="20"/>
        </w:trPr>
        <w:tc>
          <w:tcPr>
            <w:tcW w:w="4788" w:type="dxa"/>
            <w:noWrap/>
            <w:hideMark/>
          </w:tcPr>
          <w:p w14:paraId="6F7123B3" w14:textId="77777777" w:rsidR="00706511" w:rsidRPr="00492488" w:rsidRDefault="00706511" w:rsidP="00706511">
            <w:pPr>
              <w:jc w:val="left"/>
              <w:rPr>
                <w:rFonts w:eastAsia="Calibri"/>
                <w:sz w:val="22"/>
                <w:szCs w:val="22"/>
                <w:lang w:val="en-GB"/>
              </w:rPr>
            </w:pPr>
            <w:r w:rsidRPr="00492488">
              <w:rPr>
                <w:rFonts w:eastAsia="Calibri"/>
                <w:sz w:val="22"/>
                <w:szCs w:val="22"/>
                <w:lang w:val="en-GB"/>
              </w:rPr>
              <w:t xml:space="preserve">Management </w:t>
            </w:r>
          </w:p>
        </w:tc>
        <w:tc>
          <w:tcPr>
            <w:tcW w:w="2790" w:type="dxa"/>
            <w:noWrap/>
            <w:vAlign w:val="center"/>
          </w:tcPr>
          <w:p w14:paraId="62738462" w14:textId="77777777" w:rsidR="00706511" w:rsidRPr="00492488" w:rsidRDefault="00706511" w:rsidP="00A07533">
            <w:pPr>
              <w:rPr>
                <w:rFonts w:eastAsia="Calibri"/>
                <w:sz w:val="22"/>
                <w:szCs w:val="22"/>
                <w:lang w:val="en-GB"/>
              </w:rPr>
            </w:pPr>
            <w:r>
              <w:rPr>
                <w:rFonts w:eastAsia="Calibri"/>
                <w:sz w:val="22"/>
                <w:szCs w:val="22"/>
                <w:lang w:val="en-GB"/>
              </w:rPr>
              <w:t>12.5 (9.2, 15.9)</w:t>
            </w:r>
          </w:p>
        </w:tc>
        <w:tc>
          <w:tcPr>
            <w:tcW w:w="2160" w:type="dxa"/>
            <w:vAlign w:val="center"/>
          </w:tcPr>
          <w:p w14:paraId="04AA9546" w14:textId="77777777" w:rsidR="00706511" w:rsidRPr="00492488" w:rsidRDefault="00706511" w:rsidP="00A07533">
            <w:pPr>
              <w:rPr>
                <w:rFonts w:eastAsia="Calibri"/>
                <w:sz w:val="22"/>
                <w:szCs w:val="22"/>
                <w:lang w:val="en-GB"/>
              </w:rPr>
            </w:pPr>
            <w:r>
              <w:rPr>
                <w:rFonts w:eastAsia="Calibri"/>
                <w:sz w:val="22"/>
                <w:szCs w:val="22"/>
                <w:lang w:val="en-GB"/>
              </w:rPr>
              <w:t>18.7 (13.2, 24.1)</w:t>
            </w:r>
          </w:p>
        </w:tc>
        <w:tc>
          <w:tcPr>
            <w:tcW w:w="2160" w:type="dxa"/>
            <w:vAlign w:val="center"/>
          </w:tcPr>
          <w:p w14:paraId="1F2D4099" w14:textId="77777777" w:rsidR="00706511" w:rsidRPr="00492488" w:rsidRDefault="00706511" w:rsidP="00A07533">
            <w:pPr>
              <w:rPr>
                <w:rFonts w:eastAsia="Calibri"/>
                <w:sz w:val="22"/>
                <w:szCs w:val="22"/>
                <w:lang w:val="en-GB"/>
              </w:rPr>
            </w:pPr>
            <w:r>
              <w:rPr>
                <w:rFonts w:eastAsia="Calibri"/>
                <w:sz w:val="22"/>
                <w:szCs w:val="22"/>
                <w:lang w:val="en-GB"/>
              </w:rPr>
              <w:t>4.6 (1.5, 7.7)</w:t>
            </w:r>
          </w:p>
        </w:tc>
        <w:tc>
          <w:tcPr>
            <w:tcW w:w="1260" w:type="dxa"/>
            <w:noWrap/>
            <w:vAlign w:val="center"/>
          </w:tcPr>
          <w:p w14:paraId="261400D4" w14:textId="77777777" w:rsidR="00706511" w:rsidRPr="00492488" w:rsidRDefault="00706511" w:rsidP="00A07533">
            <w:pPr>
              <w:rPr>
                <w:rFonts w:eastAsia="Calibri"/>
                <w:sz w:val="22"/>
                <w:szCs w:val="22"/>
                <w:lang w:val="en-GB"/>
              </w:rPr>
            </w:pPr>
            <w:r>
              <w:rPr>
                <w:rFonts w:eastAsia="Calibri"/>
                <w:sz w:val="22"/>
                <w:szCs w:val="22"/>
                <w:lang w:val="en-GB"/>
              </w:rPr>
              <w:t>106 (3.2)</w:t>
            </w:r>
          </w:p>
        </w:tc>
        <w:tc>
          <w:tcPr>
            <w:tcW w:w="1260" w:type="dxa"/>
            <w:vAlign w:val="center"/>
          </w:tcPr>
          <w:p w14:paraId="68709749" w14:textId="77777777" w:rsidR="00706511" w:rsidRPr="00492488" w:rsidRDefault="00706511" w:rsidP="00A07533">
            <w:pPr>
              <w:rPr>
                <w:rFonts w:eastAsia="Calibri"/>
                <w:sz w:val="22"/>
                <w:szCs w:val="22"/>
                <w:lang w:val="en-GB"/>
              </w:rPr>
            </w:pPr>
            <w:r>
              <w:rPr>
                <w:rFonts w:eastAsia="Calibri"/>
                <w:sz w:val="22"/>
                <w:szCs w:val="22"/>
                <w:lang w:val="en-GB"/>
              </w:rPr>
              <w:t>89 (3.4)</w:t>
            </w:r>
          </w:p>
        </w:tc>
        <w:tc>
          <w:tcPr>
            <w:tcW w:w="1260" w:type="dxa"/>
            <w:vAlign w:val="center"/>
          </w:tcPr>
          <w:p w14:paraId="4268B64B" w14:textId="77777777" w:rsidR="00706511" w:rsidRPr="00492488" w:rsidRDefault="00706511" w:rsidP="00A07533">
            <w:pPr>
              <w:rPr>
                <w:rFonts w:eastAsia="Calibri"/>
                <w:sz w:val="22"/>
                <w:szCs w:val="22"/>
                <w:lang w:val="en-GB"/>
              </w:rPr>
            </w:pPr>
            <w:r>
              <w:rPr>
                <w:rFonts w:eastAsia="Calibri"/>
                <w:sz w:val="22"/>
                <w:szCs w:val="22"/>
                <w:lang w:val="en-GB"/>
              </w:rPr>
              <w:t>17 (2.4)</w:t>
            </w:r>
          </w:p>
        </w:tc>
      </w:tr>
      <w:tr w:rsidR="00706511" w:rsidRPr="00492488" w14:paraId="0164360B" w14:textId="77777777" w:rsidTr="00A07533">
        <w:trPr>
          <w:trHeight w:val="20"/>
        </w:trPr>
        <w:tc>
          <w:tcPr>
            <w:tcW w:w="4788" w:type="dxa"/>
            <w:noWrap/>
          </w:tcPr>
          <w:p w14:paraId="41E0C966" w14:textId="77777777" w:rsidR="00706511" w:rsidRPr="00492488" w:rsidRDefault="00706511" w:rsidP="00706511">
            <w:pPr>
              <w:jc w:val="left"/>
              <w:rPr>
                <w:rFonts w:eastAsia="Calibri"/>
                <w:sz w:val="22"/>
                <w:szCs w:val="22"/>
                <w:lang w:val="en-GB"/>
              </w:rPr>
            </w:pPr>
            <w:r w:rsidRPr="00492488">
              <w:rPr>
                <w:rFonts w:eastAsia="Calibri"/>
                <w:sz w:val="22"/>
                <w:szCs w:val="22"/>
                <w:lang w:val="en-GB"/>
              </w:rPr>
              <w:t xml:space="preserve">Business and financial operations </w:t>
            </w:r>
          </w:p>
        </w:tc>
        <w:tc>
          <w:tcPr>
            <w:tcW w:w="2790" w:type="dxa"/>
            <w:noWrap/>
            <w:vAlign w:val="center"/>
          </w:tcPr>
          <w:p w14:paraId="679B2438" w14:textId="77777777" w:rsidR="00706511" w:rsidRDefault="00706511" w:rsidP="00A07533">
            <w:pPr>
              <w:rPr>
                <w:rFonts w:eastAsia="Calibri"/>
                <w:sz w:val="22"/>
                <w:szCs w:val="22"/>
                <w:lang w:val="en-GB"/>
              </w:rPr>
            </w:pPr>
            <w:r>
              <w:rPr>
                <w:rFonts w:eastAsia="Calibri"/>
                <w:sz w:val="22"/>
                <w:szCs w:val="22"/>
                <w:lang w:val="en-GB"/>
              </w:rPr>
              <w:t>13.3 (8.4, 18.2)</w:t>
            </w:r>
          </w:p>
        </w:tc>
        <w:tc>
          <w:tcPr>
            <w:tcW w:w="2160" w:type="dxa"/>
            <w:vAlign w:val="center"/>
          </w:tcPr>
          <w:p w14:paraId="45C97433" w14:textId="77777777" w:rsidR="00706511" w:rsidRDefault="00706511" w:rsidP="00A07533">
            <w:pPr>
              <w:rPr>
                <w:rFonts w:eastAsia="Calibri"/>
                <w:sz w:val="22"/>
                <w:szCs w:val="22"/>
                <w:lang w:val="en-GB"/>
              </w:rPr>
            </w:pPr>
            <w:r>
              <w:rPr>
                <w:rFonts w:eastAsia="Calibri"/>
                <w:sz w:val="22"/>
                <w:szCs w:val="22"/>
                <w:lang w:val="en-GB"/>
              </w:rPr>
              <w:t>20.6 (11.6, 29.6)</w:t>
            </w:r>
          </w:p>
        </w:tc>
        <w:tc>
          <w:tcPr>
            <w:tcW w:w="2160" w:type="dxa"/>
            <w:vAlign w:val="center"/>
          </w:tcPr>
          <w:p w14:paraId="5C7BAC08" w14:textId="77777777" w:rsidR="00706511" w:rsidRDefault="00706511" w:rsidP="00A07533">
            <w:pPr>
              <w:rPr>
                <w:rFonts w:eastAsia="Calibri"/>
                <w:sz w:val="22"/>
                <w:szCs w:val="22"/>
                <w:lang w:val="en-GB"/>
              </w:rPr>
            </w:pPr>
            <w:r>
              <w:rPr>
                <w:rFonts w:eastAsia="Calibri"/>
                <w:sz w:val="22"/>
                <w:szCs w:val="22"/>
                <w:lang w:val="en-GB"/>
              </w:rPr>
              <w:t>7.3 (2.4, 12.2)</w:t>
            </w:r>
          </w:p>
        </w:tc>
        <w:tc>
          <w:tcPr>
            <w:tcW w:w="1260" w:type="dxa"/>
            <w:noWrap/>
            <w:vAlign w:val="center"/>
          </w:tcPr>
          <w:p w14:paraId="0F839124" w14:textId="77777777" w:rsidR="00706511" w:rsidRDefault="00706511" w:rsidP="00A07533">
            <w:pPr>
              <w:rPr>
                <w:rFonts w:eastAsia="Calibri"/>
                <w:sz w:val="22"/>
                <w:szCs w:val="22"/>
                <w:lang w:val="en-GB"/>
              </w:rPr>
            </w:pPr>
            <w:r>
              <w:rPr>
                <w:rFonts w:eastAsia="Calibri"/>
                <w:sz w:val="22"/>
                <w:szCs w:val="22"/>
                <w:lang w:val="en-GB"/>
              </w:rPr>
              <w:t>57 (1.7)</w:t>
            </w:r>
          </w:p>
        </w:tc>
        <w:tc>
          <w:tcPr>
            <w:tcW w:w="1260" w:type="dxa"/>
            <w:vAlign w:val="center"/>
          </w:tcPr>
          <w:p w14:paraId="4563CA93" w14:textId="77777777" w:rsidR="00706511" w:rsidRDefault="00706511" w:rsidP="00A07533">
            <w:pPr>
              <w:rPr>
                <w:rFonts w:eastAsia="Calibri"/>
                <w:sz w:val="22"/>
                <w:szCs w:val="22"/>
                <w:lang w:val="en-GB"/>
              </w:rPr>
            </w:pPr>
            <w:r>
              <w:rPr>
                <w:rFonts w:eastAsia="Calibri"/>
                <w:sz w:val="22"/>
                <w:szCs w:val="22"/>
                <w:lang w:val="en-GB"/>
              </w:rPr>
              <w:t>40 (1.5)</w:t>
            </w:r>
          </w:p>
        </w:tc>
        <w:tc>
          <w:tcPr>
            <w:tcW w:w="1260" w:type="dxa"/>
            <w:vAlign w:val="center"/>
          </w:tcPr>
          <w:p w14:paraId="205F4198" w14:textId="77777777" w:rsidR="00706511" w:rsidRDefault="00706511" w:rsidP="00A07533">
            <w:pPr>
              <w:rPr>
                <w:rFonts w:eastAsia="Calibri"/>
                <w:sz w:val="22"/>
                <w:szCs w:val="22"/>
                <w:lang w:val="en-GB"/>
              </w:rPr>
            </w:pPr>
            <w:r>
              <w:rPr>
                <w:rFonts w:eastAsia="Calibri"/>
                <w:sz w:val="22"/>
                <w:szCs w:val="22"/>
                <w:lang w:val="en-GB"/>
              </w:rPr>
              <w:t>17 (2.4)</w:t>
            </w:r>
          </w:p>
        </w:tc>
      </w:tr>
      <w:tr w:rsidR="00706511" w:rsidRPr="00492488" w14:paraId="2BFA7E74" w14:textId="77777777" w:rsidTr="00A07533">
        <w:trPr>
          <w:trHeight w:val="20"/>
        </w:trPr>
        <w:tc>
          <w:tcPr>
            <w:tcW w:w="4788" w:type="dxa"/>
            <w:noWrap/>
          </w:tcPr>
          <w:p w14:paraId="7C7A04F5" w14:textId="77777777" w:rsidR="00706511" w:rsidRPr="00492488" w:rsidRDefault="00706511" w:rsidP="00706511">
            <w:pPr>
              <w:jc w:val="left"/>
              <w:rPr>
                <w:rFonts w:eastAsia="Calibri"/>
                <w:sz w:val="22"/>
                <w:szCs w:val="22"/>
                <w:lang w:val="en-GB"/>
              </w:rPr>
            </w:pPr>
            <w:r w:rsidRPr="00492488">
              <w:rPr>
                <w:rFonts w:eastAsia="Calibri"/>
                <w:sz w:val="22"/>
                <w:szCs w:val="22"/>
                <w:lang w:val="en-GB"/>
              </w:rPr>
              <w:t xml:space="preserve">Life, physical, and social science </w:t>
            </w:r>
          </w:p>
        </w:tc>
        <w:tc>
          <w:tcPr>
            <w:tcW w:w="2790" w:type="dxa"/>
            <w:noWrap/>
            <w:vAlign w:val="center"/>
          </w:tcPr>
          <w:p w14:paraId="701D1759" w14:textId="77777777" w:rsidR="00706511" w:rsidRDefault="00706511" w:rsidP="00A07533">
            <w:pPr>
              <w:rPr>
                <w:rFonts w:eastAsia="Calibri"/>
                <w:sz w:val="22"/>
                <w:szCs w:val="22"/>
                <w:lang w:val="en-GB"/>
              </w:rPr>
            </w:pPr>
            <w:r>
              <w:rPr>
                <w:rFonts w:eastAsia="Calibri"/>
                <w:sz w:val="22"/>
                <w:szCs w:val="22"/>
                <w:lang w:val="en-GB"/>
              </w:rPr>
              <w:t>14.7 (5.6, 23.8)</w:t>
            </w:r>
          </w:p>
        </w:tc>
        <w:tc>
          <w:tcPr>
            <w:tcW w:w="2160" w:type="dxa"/>
            <w:vAlign w:val="center"/>
          </w:tcPr>
          <w:p w14:paraId="2715AFBD" w14:textId="77777777" w:rsidR="00706511" w:rsidRDefault="00706511" w:rsidP="00A07533">
            <w:pPr>
              <w:rPr>
                <w:rFonts w:eastAsia="Calibri"/>
                <w:sz w:val="22"/>
                <w:szCs w:val="22"/>
                <w:lang w:val="en-GB"/>
              </w:rPr>
            </w:pPr>
            <w:r>
              <w:rPr>
                <w:rFonts w:eastAsia="Calibri"/>
                <w:sz w:val="22"/>
                <w:szCs w:val="22"/>
                <w:lang w:val="en-GB"/>
              </w:rPr>
              <w:t>24.0 (7.9, 40.1)</w:t>
            </w:r>
          </w:p>
        </w:tc>
        <w:tc>
          <w:tcPr>
            <w:tcW w:w="2160" w:type="dxa"/>
            <w:vAlign w:val="center"/>
          </w:tcPr>
          <w:p w14:paraId="0603A9A0" w14:textId="77777777" w:rsidR="00706511" w:rsidRPr="00AE7F40" w:rsidRDefault="00706511" w:rsidP="00A07533">
            <w:pPr>
              <w:rPr>
                <w:rFonts w:eastAsia="Calibri"/>
                <w:sz w:val="22"/>
                <w:szCs w:val="22"/>
                <w:highlight w:val="yellow"/>
                <w:lang w:val="en-GB"/>
              </w:rPr>
            </w:pPr>
            <w:r>
              <w:rPr>
                <w:rFonts w:eastAsia="Calibri"/>
                <w:sz w:val="22"/>
                <w:szCs w:val="22"/>
                <w:lang w:val="en-GB"/>
              </w:rPr>
              <w:t>__</w:t>
            </w:r>
            <w:r>
              <w:rPr>
                <w:rFonts w:eastAsia="Calibri"/>
                <w:sz w:val="22"/>
                <w:szCs w:val="22"/>
                <w:vertAlign w:val="superscript"/>
                <w:lang w:val="en-GB"/>
              </w:rPr>
              <w:t>4</w:t>
            </w:r>
          </w:p>
        </w:tc>
        <w:tc>
          <w:tcPr>
            <w:tcW w:w="1260" w:type="dxa"/>
            <w:noWrap/>
            <w:vAlign w:val="center"/>
          </w:tcPr>
          <w:p w14:paraId="558F08EF" w14:textId="77777777" w:rsidR="00706511" w:rsidRDefault="00706511" w:rsidP="00A07533">
            <w:pPr>
              <w:rPr>
                <w:rFonts w:eastAsia="Calibri"/>
                <w:sz w:val="22"/>
                <w:szCs w:val="22"/>
                <w:lang w:val="en-GB"/>
              </w:rPr>
            </w:pPr>
            <w:r>
              <w:rPr>
                <w:rFonts w:eastAsia="Calibri"/>
                <w:sz w:val="22"/>
                <w:szCs w:val="22"/>
                <w:lang w:val="en-GB"/>
              </w:rPr>
              <w:t>20 (0.6)</w:t>
            </w:r>
          </w:p>
        </w:tc>
        <w:tc>
          <w:tcPr>
            <w:tcW w:w="1260" w:type="dxa"/>
            <w:vAlign w:val="center"/>
          </w:tcPr>
          <w:p w14:paraId="6B56A04C" w14:textId="77777777" w:rsidR="00706511" w:rsidRDefault="00706511" w:rsidP="00A07533">
            <w:pPr>
              <w:rPr>
                <w:rFonts w:eastAsia="Calibri"/>
                <w:sz w:val="22"/>
                <w:szCs w:val="22"/>
                <w:lang w:val="en-GB"/>
              </w:rPr>
            </w:pPr>
            <w:r>
              <w:rPr>
                <w:rFonts w:eastAsia="Calibri"/>
                <w:sz w:val="22"/>
                <w:szCs w:val="22"/>
                <w:lang w:val="en-GB"/>
              </w:rPr>
              <w:t>__</w:t>
            </w:r>
            <w:r>
              <w:rPr>
                <w:rFonts w:eastAsia="Calibri"/>
                <w:sz w:val="22"/>
                <w:szCs w:val="22"/>
                <w:vertAlign w:val="superscript"/>
                <w:lang w:val="en-GB"/>
              </w:rPr>
              <w:t>2</w:t>
            </w:r>
          </w:p>
        </w:tc>
        <w:tc>
          <w:tcPr>
            <w:tcW w:w="1260" w:type="dxa"/>
            <w:vAlign w:val="center"/>
          </w:tcPr>
          <w:p w14:paraId="75507DE4" w14:textId="77777777" w:rsidR="00706511" w:rsidRDefault="00706511" w:rsidP="00A07533">
            <w:pPr>
              <w:rPr>
                <w:rFonts w:eastAsia="Calibri"/>
                <w:sz w:val="22"/>
                <w:szCs w:val="22"/>
                <w:lang w:val="en-GB"/>
              </w:rPr>
            </w:pPr>
            <w:r>
              <w:rPr>
                <w:rFonts w:eastAsia="Calibri"/>
                <w:sz w:val="22"/>
                <w:szCs w:val="22"/>
                <w:lang w:val="en-GB"/>
              </w:rPr>
              <w:t>__</w:t>
            </w:r>
            <w:r>
              <w:rPr>
                <w:rFonts w:eastAsia="Calibri"/>
                <w:sz w:val="22"/>
                <w:szCs w:val="22"/>
                <w:vertAlign w:val="superscript"/>
                <w:lang w:val="en-GB"/>
              </w:rPr>
              <w:t>2</w:t>
            </w:r>
          </w:p>
        </w:tc>
      </w:tr>
      <w:tr w:rsidR="00706511" w:rsidRPr="00492488" w14:paraId="54DDC49A" w14:textId="77777777" w:rsidTr="00A07533">
        <w:trPr>
          <w:trHeight w:val="20"/>
        </w:trPr>
        <w:tc>
          <w:tcPr>
            <w:tcW w:w="4788" w:type="dxa"/>
            <w:noWrap/>
          </w:tcPr>
          <w:p w14:paraId="43D1EDE6" w14:textId="77777777" w:rsidR="00706511" w:rsidRPr="00492488" w:rsidRDefault="00706511" w:rsidP="00706511">
            <w:pPr>
              <w:jc w:val="left"/>
              <w:rPr>
                <w:rFonts w:eastAsia="Calibri"/>
                <w:sz w:val="22"/>
                <w:szCs w:val="22"/>
                <w:lang w:val="en-GB"/>
              </w:rPr>
            </w:pPr>
            <w:r w:rsidRPr="00492488">
              <w:rPr>
                <w:rFonts w:eastAsia="Calibri"/>
                <w:sz w:val="22"/>
                <w:szCs w:val="22"/>
                <w:lang w:val="en-GB"/>
              </w:rPr>
              <w:t xml:space="preserve">Computer and mathematical </w:t>
            </w:r>
          </w:p>
        </w:tc>
        <w:tc>
          <w:tcPr>
            <w:tcW w:w="2790" w:type="dxa"/>
            <w:noWrap/>
            <w:vAlign w:val="center"/>
          </w:tcPr>
          <w:p w14:paraId="67A06E83" w14:textId="77777777" w:rsidR="00706511" w:rsidRPr="00492488" w:rsidRDefault="00706511" w:rsidP="00A07533">
            <w:pPr>
              <w:rPr>
                <w:rFonts w:eastAsia="Calibri"/>
                <w:sz w:val="22"/>
                <w:szCs w:val="22"/>
                <w:lang w:val="en-GB"/>
              </w:rPr>
            </w:pPr>
            <w:r>
              <w:rPr>
                <w:rFonts w:eastAsia="Calibri"/>
                <w:sz w:val="22"/>
                <w:szCs w:val="22"/>
                <w:lang w:val="en-GB"/>
              </w:rPr>
              <w:t>11.7 (6.2, 17.1)</w:t>
            </w:r>
          </w:p>
        </w:tc>
        <w:tc>
          <w:tcPr>
            <w:tcW w:w="2160" w:type="dxa"/>
            <w:vAlign w:val="center"/>
          </w:tcPr>
          <w:p w14:paraId="10BC8F41" w14:textId="77777777" w:rsidR="00706511" w:rsidRPr="00492488" w:rsidRDefault="00706511" w:rsidP="00A07533">
            <w:pPr>
              <w:rPr>
                <w:rFonts w:eastAsia="Calibri"/>
                <w:sz w:val="22"/>
                <w:szCs w:val="22"/>
                <w:lang w:val="en-GB"/>
              </w:rPr>
            </w:pPr>
            <w:r>
              <w:rPr>
                <w:rFonts w:eastAsia="Calibri"/>
                <w:sz w:val="22"/>
                <w:szCs w:val="22"/>
                <w:lang w:val="en-GB"/>
              </w:rPr>
              <w:t>14.8 (7.6, 21.9)</w:t>
            </w:r>
          </w:p>
        </w:tc>
        <w:tc>
          <w:tcPr>
            <w:tcW w:w="2160" w:type="dxa"/>
            <w:vAlign w:val="center"/>
          </w:tcPr>
          <w:p w14:paraId="2CD0672A" w14:textId="77777777" w:rsidR="00706511" w:rsidRPr="00AE7F40" w:rsidRDefault="00706511" w:rsidP="00A07533">
            <w:pPr>
              <w:rPr>
                <w:rFonts w:eastAsia="Calibri"/>
                <w:sz w:val="22"/>
                <w:szCs w:val="22"/>
                <w:highlight w:val="yellow"/>
                <w:lang w:val="en-GB"/>
              </w:rPr>
            </w:pPr>
            <w:r>
              <w:rPr>
                <w:rFonts w:eastAsia="Calibri"/>
                <w:sz w:val="22"/>
                <w:szCs w:val="22"/>
                <w:lang w:val="en-GB"/>
              </w:rPr>
              <w:t>__</w:t>
            </w:r>
            <w:r>
              <w:rPr>
                <w:rFonts w:eastAsia="Calibri"/>
                <w:sz w:val="22"/>
                <w:szCs w:val="22"/>
                <w:vertAlign w:val="superscript"/>
                <w:lang w:val="en-GB"/>
              </w:rPr>
              <w:t>4</w:t>
            </w:r>
          </w:p>
        </w:tc>
        <w:tc>
          <w:tcPr>
            <w:tcW w:w="1260" w:type="dxa"/>
            <w:noWrap/>
            <w:vAlign w:val="center"/>
          </w:tcPr>
          <w:p w14:paraId="521272B9" w14:textId="77777777" w:rsidR="00706511" w:rsidRPr="00492488" w:rsidRDefault="00706511" w:rsidP="00A07533">
            <w:pPr>
              <w:rPr>
                <w:rFonts w:eastAsia="Calibri"/>
                <w:sz w:val="22"/>
                <w:szCs w:val="22"/>
                <w:lang w:val="en-GB"/>
              </w:rPr>
            </w:pPr>
            <w:r>
              <w:rPr>
                <w:rFonts w:eastAsia="Calibri"/>
                <w:sz w:val="22"/>
                <w:szCs w:val="22"/>
                <w:lang w:val="en-GB"/>
              </w:rPr>
              <w:t>35 (1.0)</w:t>
            </w:r>
          </w:p>
        </w:tc>
        <w:tc>
          <w:tcPr>
            <w:tcW w:w="1260" w:type="dxa"/>
            <w:vAlign w:val="center"/>
          </w:tcPr>
          <w:p w14:paraId="28C81374" w14:textId="77777777" w:rsidR="00706511" w:rsidRPr="00492488" w:rsidRDefault="00706511" w:rsidP="00A07533">
            <w:pPr>
              <w:rPr>
                <w:rFonts w:eastAsia="Calibri"/>
                <w:sz w:val="22"/>
                <w:szCs w:val="22"/>
                <w:lang w:val="en-GB"/>
              </w:rPr>
            </w:pPr>
            <w:r>
              <w:rPr>
                <w:rFonts w:eastAsia="Calibri"/>
                <w:sz w:val="22"/>
                <w:szCs w:val="22"/>
                <w:lang w:val="en-GB"/>
              </w:rPr>
              <w:t>__</w:t>
            </w:r>
            <w:r>
              <w:rPr>
                <w:rFonts w:eastAsia="Calibri"/>
                <w:sz w:val="22"/>
                <w:szCs w:val="22"/>
                <w:vertAlign w:val="superscript"/>
                <w:lang w:val="en-GB"/>
              </w:rPr>
              <w:t>2</w:t>
            </w:r>
          </w:p>
        </w:tc>
        <w:tc>
          <w:tcPr>
            <w:tcW w:w="1260" w:type="dxa"/>
            <w:vAlign w:val="center"/>
          </w:tcPr>
          <w:p w14:paraId="1E9F005D" w14:textId="77777777" w:rsidR="00706511" w:rsidRPr="00492488" w:rsidRDefault="00706511" w:rsidP="00A07533">
            <w:pPr>
              <w:rPr>
                <w:rFonts w:eastAsia="Calibri"/>
                <w:sz w:val="22"/>
                <w:szCs w:val="22"/>
                <w:lang w:val="en-GB"/>
              </w:rPr>
            </w:pPr>
            <w:r>
              <w:rPr>
                <w:rFonts w:eastAsia="Calibri"/>
                <w:sz w:val="22"/>
                <w:szCs w:val="22"/>
                <w:lang w:val="en-GB"/>
              </w:rPr>
              <w:t>__</w:t>
            </w:r>
            <w:r>
              <w:rPr>
                <w:rFonts w:eastAsia="Calibri"/>
                <w:sz w:val="22"/>
                <w:szCs w:val="22"/>
                <w:vertAlign w:val="superscript"/>
                <w:lang w:val="en-GB"/>
              </w:rPr>
              <w:t>2</w:t>
            </w:r>
          </w:p>
        </w:tc>
      </w:tr>
      <w:tr w:rsidR="00706511" w:rsidRPr="00492488" w14:paraId="763BD77C" w14:textId="77777777" w:rsidTr="00A07533">
        <w:trPr>
          <w:trHeight w:val="20"/>
        </w:trPr>
        <w:tc>
          <w:tcPr>
            <w:tcW w:w="4788" w:type="dxa"/>
            <w:noWrap/>
          </w:tcPr>
          <w:p w14:paraId="5ACC3976" w14:textId="77777777" w:rsidR="00706511" w:rsidRPr="00492488" w:rsidRDefault="00706511" w:rsidP="00706511">
            <w:pPr>
              <w:jc w:val="left"/>
              <w:rPr>
                <w:rFonts w:eastAsia="Calibri"/>
                <w:sz w:val="22"/>
                <w:szCs w:val="22"/>
                <w:lang w:val="en-GB"/>
              </w:rPr>
            </w:pPr>
            <w:r w:rsidRPr="00492488">
              <w:rPr>
                <w:rFonts w:eastAsia="Calibri"/>
                <w:sz w:val="22"/>
                <w:szCs w:val="22"/>
                <w:lang w:val="en-GB"/>
              </w:rPr>
              <w:t xml:space="preserve">Legal </w:t>
            </w:r>
          </w:p>
        </w:tc>
        <w:tc>
          <w:tcPr>
            <w:tcW w:w="2790" w:type="dxa"/>
            <w:noWrap/>
            <w:vAlign w:val="center"/>
          </w:tcPr>
          <w:p w14:paraId="67C544D3" w14:textId="77777777" w:rsidR="00706511" w:rsidRPr="00492488" w:rsidRDefault="00706511" w:rsidP="00A07533">
            <w:pPr>
              <w:rPr>
                <w:rFonts w:eastAsia="Calibri"/>
                <w:sz w:val="22"/>
                <w:szCs w:val="22"/>
                <w:lang w:val="en-GB"/>
              </w:rPr>
            </w:pPr>
            <w:r>
              <w:rPr>
                <w:rFonts w:eastAsia="Calibri"/>
                <w:sz w:val="22"/>
                <w:szCs w:val="22"/>
                <w:lang w:val="en-GB"/>
              </w:rPr>
              <w:t>__</w:t>
            </w:r>
            <w:r>
              <w:rPr>
                <w:rFonts w:eastAsia="Calibri"/>
                <w:sz w:val="22"/>
                <w:szCs w:val="22"/>
                <w:vertAlign w:val="superscript"/>
                <w:lang w:val="en-GB"/>
              </w:rPr>
              <w:t>4</w:t>
            </w:r>
          </w:p>
        </w:tc>
        <w:tc>
          <w:tcPr>
            <w:tcW w:w="2160" w:type="dxa"/>
            <w:vAlign w:val="center"/>
          </w:tcPr>
          <w:p w14:paraId="15EE2E25" w14:textId="77777777" w:rsidR="00706511" w:rsidRPr="007D7E9B" w:rsidRDefault="0007088F" w:rsidP="00A07533">
            <w:pPr>
              <w:rPr>
                <w:rFonts w:eastAsia="Calibri"/>
                <w:sz w:val="22"/>
                <w:szCs w:val="22"/>
                <w:highlight w:val="yellow"/>
                <w:lang w:val="en-GB"/>
              </w:rPr>
            </w:pPr>
            <w:r>
              <w:rPr>
                <w:rFonts w:eastAsia="Calibri"/>
                <w:sz w:val="22"/>
                <w:szCs w:val="22"/>
                <w:lang w:val="en-GB"/>
              </w:rPr>
              <w:t>__</w:t>
            </w:r>
            <w:r>
              <w:rPr>
                <w:rFonts w:eastAsia="Calibri"/>
                <w:sz w:val="22"/>
                <w:szCs w:val="22"/>
                <w:vertAlign w:val="superscript"/>
                <w:lang w:val="en-GB"/>
              </w:rPr>
              <w:t>4</w:t>
            </w:r>
          </w:p>
        </w:tc>
        <w:tc>
          <w:tcPr>
            <w:tcW w:w="2160" w:type="dxa"/>
            <w:vAlign w:val="center"/>
          </w:tcPr>
          <w:p w14:paraId="6D6CEC99" w14:textId="77777777" w:rsidR="00706511" w:rsidRPr="007D7E9B" w:rsidRDefault="00706511" w:rsidP="00A07533">
            <w:pPr>
              <w:rPr>
                <w:rFonts w:eastAsia="Calibri"/>
                <w:sz w:val="22"/>
                <w:szCs w:val="22"/>
                <w:highlight w:val="yellow"/>
                <w:lang w:val="en-GB"/>
              </w:rPr>
            </w:pPr>
            <w:r>
              <w:rPr>
                <w:rFonts w:eastAsia="Calibri"/>
                <w:sz w:val="22"/>
                <w:szCs w:val="22"/>
                <w:lang w:val="en-GB"/>
              </w:rPr>
              <w:t>__</w:t>
            </w:r>
            <w:r>
              <w:rPr>
                <w:rFonts w:eastAsia="Calibri"/>
                <w:sz w:val="22"/>
                <w:szCs w:val="22"/>
                <w:vertAlign w:val="superscript"/>
                <w:lang w:val="en-GB"/>
              </w:rPr>
              <w:t>4</w:t>
            </w:r>
          </w:p>
        </w:tc>
        <w:tc>
          <w:tcPr>
            <w:tcW w:w="1260" w:type="dxa"/>
            <w:noWrap/>
            <w:vAlign w:val="center"/>
          </w:tcPr>
          <w:p w14:paraId="06BD9B67" w14:textId="77777777" w:rsidR="00706511" w:rsidRPr="00492488" w:rsidRDefault="00706511" w:rsidP="00A07533">
            <w:pPr>
              <w:rPr>
                <w:rFonts w:eastAsia="Calibri"/>
                <w:sz w:val="22"/>
                <w:szCs w:val="22"/>
                <w:lang w:val="en-GB"/>
              </w:rPr>
            </w:pPr>
            <w:r>
              <w:rPr>
                <w:rFonts w:eastAsia="Calibri"/>
                <w:sz w:val="22"/>
                <w:szCs w:val="22"/>
                <w:lang w:val="en-GB"/>
              </w:rPr>
              <w:t>7 (0.2)</w:t>
            </w:r>
          </w:p>
        </w:tc>
        <w:tc>
          <w:tcPr>
            <w:tcW w:w="1260" w:type="dxa"/>
            <w:vAlign w:val="center"/>
          </w:tcPr>
          <w:p w14:paraId="32FF6E99" w14:textId="77777777" w:rsidR="00706511" w:rsidRPr="00492488" w:rsidRDefault="00706511" w:rsidP="00A07533">
            <w:pPr>
              <w:rPr>
                <w:rFonts w:eastAsia="Calibri"/>
                <w:sz w:val="22"/>
                <w:szCs w:val="22"/>
                <w:lang w:val="en-GB"/>
              </w:rPr>
            </w:pPr>
            <w:r>
              <w:rPr>
                <w:rFonts w:eastAsia="Calibri"/>
                <w:sz w:val="22"/>
                <w:szCs w:val="22"/>
                <w:lang w:val="en-GB"/>
              </w:rPr>
              <w:t>__</w:t>
            </w:r>
            <w:r>
              <w:rPr>
                <w:rFonts w:eastAsia="Calibri"/>
                <w:sz w:val="22"/>
                <w:szCs w:val="22"/>
                <w:vertAlign w:val="superscript"/>
                <w:lang w:val="en-GB"/>
              </w:rPr>
              <w:t>2</w:t>
            </w:r>
          </w:p>
        </w:tc>
        <w:tc>
          <w:tcPr>
            <w:tcW w:w="1260" w:type="dxa"/>
            <w:vAlign w:val="center"/>
          </w:tcPr>
          <w:p w14:paraId="0C42B58F" w14:textId="77777777" w:rsidR="00706511" w:rsidRPr="00492488" w:rsidRDefault="00706511" w:rsidP="00A07533">
            <w:pPr>
              <w:rPr>
                <w:rFonts w:eastAsia="Calibri"/>
                <w:sz w:val="22"/>
                <w:szCs w:val="22"/>
                <w:lang w:val="en-GB"/>
              </w:rPr>
            </w:pPr>
            <w:r>
              <w:rPr>
                <w:rFonts w:eastAsia="Calibri"/>
                <w:sz w:val="22"/>
                <w:szCs w:val="22"/>
                <w:lang w:val="en-GB"/>
              </w:rPr>
              <w:t>__</w:t>
            </w:r>
            <w:r>
              <w:rPr>
                <w:rFonts w:eastAsia="Calibri"/>
                <w:sz w:val="22"/>
                <w:szCs w:val="22"/>
                <w:vertAlign w:val="superscript"/>
                <w:lang w:val="en-GB"/>
              </w:rPr>
              <w:t>2</w:t>
            </w:r>
          </w:p>
        </w:tc>
      </w:tr>
      <w:tr w:rsidR="00706511" w:rsidRPr="00492488" w14:paraId="1F105767" w14:textId="77777777" w:rsidTr="00A07533">
        <w:trPr>
          <w:trHeight w:val="20"/>
        </w:trPr>
        <w:tc>
          <w:tcPr>
            <w:tcW w:w="4788" w:type="dxa"/>
            <w:noWrap/>
            <w:hideMark/>
          </w:tcPr>
          <w:p w14:paraId="70C69426" w14:textId="77777777" w:rsidR="00706511" w:rsidRPr="00492488" w:rsidRDefault="00706511" w:rsidP="00706511">
            <w:pPr>
              <w:jc w:val="left"/>
              <w:rPr>
                <w:rFonts w:eastAsia="Calibri"/>
                <w:sz w:val="22"/>
                <w:szCs w:val="22"/>
                <w:lang w:val="en-GB"/>
              </w:rPr>
            </w:pPr>
            <w:r w:rsidRPr="00492488">
              <w:rPr>
                <w:rFonts w:eastAsia="Calibri"/>
                <w:sz w:val="22"/>
                <w:szCs w:val="22"/>
                <w:lang w:val="en-GB"/>
              </w:rPr>
              <w:t xml:space="preserve">Education, training, and library </w:t>
            </w:r>
          </w:p>
        </w:tc>
        <w:tc>
          <w:tcPr>
            <w:tcW w:w="2790" w:type="dxa"/>
            <w:noWrap/>
            <w:vAlign w:val="center"/>
          </w:tcPr>
          <w:p w14:paraId="0D2E696C" w14:textId="77777777" w:rsidR="00706511" w:rsidRPr="00492488" w:rsidRDefault="00706511" w:rsidP="00A07533">
            <w:pPr>
              <w:rPr>
                <w:rFonts w:eastAsia="Calibri"/>
                <w:sz w:val="22"/>
                <w:szCs w:val="22"/>
                <w:lang w:val="en-GB"/>
              </w:rPr>
            </w:pPr>
            <w:r>
              <w:rPr>
                <w:rFonts w:eastAsia="Calibri"/>
                <w:sz w:val="22"/>
                <w:szCs w:val="22"/>
                <w:lang w:val="en-GB"/>
              </w:rPr>
              <w:t>5.9 (2.9, 8.9)</w:t>
            </w:r>
          </w:p>
        </w:tc>
        <w:tc>
          <w:tcPr>
            <w:tcW w:w="2160" w:type="dxa"/>
            <w:vAlign w:val="center"/>
          </w:tcPr>
          <w:p w14:paraId="488F1233" w14:textId="77777777" w:rsidR="00706511" w:rsidRPr="00492488" w:rsidRDefault="00706511" w:rsidP="00A07533">
            <w:pPr>
              <w:rPr>
                <w:rFonts w:eastAsia="Calibri"/>
                <w:sz w:val="22"/>
                <w:szCs w:val="22"/>
                <w:lang w:val="en-GB"/>
              </w:rPr>
            </w:pPr>
            <w:r>
              <w:rPr>
                <w:rFonts w:eastAsia="Calibri"/>
                <w:sz w:val="22"/>
                <w:szCs w:val="22"/>
                <w:lang w:val="en-GB"/>
              </w:rPr>
              <w:t>9.6 (2.5, 16.8)</w:t>
            </w:r>
          </w:p>
        </w:tc>
        <w:tc>
          <w:tcPr>
            <w:tcW w:w="2160" w:type="dxa"/>
            <w:vAlign w:val="center"/>
          </w:tcPr>
          <w:p w14:paraId="33BA10AF" w14:textId="77777777" w:rsidR="00706511" w:rsidRPr="00492488" w:rsidRDefault="00706511" w:rsidP="00A07533">
            <w:pPr>
              <w:rPr>
                <w:rFonts w:eastAsia="Calibri"/>
                <w:sz w:val="22"/>
                <w:szCs w:val="22"/>
                <w:lang w:val="en-GB"/>
              </w:rPr>
            </w:pPr>
            <w:r>
              <w:rPr>
                <w:rFonts w:eastAsia="Calibri"/>
                <w:sz w:val="22"/>
                <w:szCs w:val="22"/>
                <w:lang w:val="en-GB"/>
              </w:rPr>
              <w:t>4.4 (1.4, 7.5)</w:t>
            </w:r>
          </w:p>
        </w:tc>
        <w:tc>
          <w:tcPr>
            <w:tcW w:w="1260" w:type="dxa"/>
            <w:noWrap/>
            <w:vAlign w:val="center"/>
          </w:tcPr>
          <w:p w14:paraId="041EE178" w14:textId="77777777" w:rsidR="00706511" w:rsidRPr="00492488" w:rsidRDefault="00706511" w:rsidP="00A07533">
            <w:pPr>
              <w:rPr>
                <w:rFonts w:eastAsia="Calibri"/>
                <w:sz w:val="22"/>
                <w:szCs w:val="22"/>
                <w:lang w:val="en-GB"/>
              </w:rPr>
            </w:pPr>
            <w:r>
              <w:rPr>
                <w:rFonts w:eastAsia="Calibri"/>
                <w:sz w:val="22"/>
                <w:szCs w:val="22"/>
                <w:lang w:val="en-GB"/>
              </w:rPr>
              <w:t>30 (0.9)</w:t>
            </w:r>
          </w:p>
        </w:tc>
        <w:tc>
          <w:tcPr>
            <w:tcW w:w="1260" w:type="dxa"/>
            <w:vAlign w:val="center"/>
          </w:tcPr>
          <w:p w14:paraId="2FBC6E8B" w14:textId="77777777" w:rsidR="00706511" w:rsidRPr="00492488" w:rsidRDefault="00706511" w:rsidP="00A07533">
            <w:pPr>
              <w:rPr>
                <w:rFonts w:eastAsia="Calibri"/>
                <w:sz w:val="22"/>
                <w:szCs w:val="22"/>
                <w:lang w:val="en-GB"/>
              </w:rPr>
            </w:pPr>
            <w:r>
              <w:rPr>
                <w:rFonts w:eastAsia="Calibri"/>
                <w:sz w:val="22"/>
                <w:szCs w:val="22"/>
                <w:lang w:val="en-GB"/>
              </w:rPr>
              <w:t>14 (0.5)</w:t>
            </w:r>
          </w:p>
        </w:tc>
        <w:tc>
          <w:tcPr>
            <w:tcW w:w="1260" w:type="dxa"/>
            <w:vAlign w:val="center"/>
          </w:tcPr>
          <w:p w14:paraId="6AE99BF1" w14:textId="77777777" w:rsidR="00706511" w:rsidRPr="00492488" w:rsidRDefault="00706511" w:rsidP="00A07533">
            <w:pPr>
              <w:rPr>
                <w:rFonts w:eastAsia="Calibri"/>
                <w:sz w:val="22"/>
                <w:szCs w:val="22"/>
                <w:lang w:val="en-GB"/>
              </w:rPr>
            </w:pPr>
            <w:r>
              <w:rPr>
                <w:rFonts w:eastAsia="Calibri"/>
                <w:sz w:val="22"/>
                <w:szCs w:val="22"/>
                <w:lang w:val="en-GB"/>
              </w:rPr>
              <w:t>16 (2.3)</w:t>
            </w:r>
          </w:p>
        </w:tc>
      </w:tr>
      <w:tr w:rsidR="00706511" w:rsidRPr="00492488" w14:paraId="7E8F5EA2" w14:textId="77777777" w:rsidTr="00A07533">
        <w:trPr>
          <w:trHeight w:val="20"/>
        </w:trPr>
        <w:tc>
          <w:tcPr>
            <w:tcW w:w="4788" w:type="dxa"/>
            <w:noWrap/>
            <w:hideMark/>
          </w:tcPr>
          <w:p w14:paraId="50F5BECB" w14:textId="77777777" w:rsidR="00706511" w:rsidRPr="00492488" w:rsidRDefault="00706511" w:rsidP="00706511">
            <w:pPr>
              <w:jc w:val="left"/>
              <w:rPr>
                <w:rFonts w:eastAsia="Calibri"/>
                <w:sz w:val="22"/>
                <w:szCs w:val="22"/>
                <w:lang w:val="en-GB"/>
              </w:rPr>
            </w:pPr>
            <w:r w:rsidRPr="00492488">
              <w:rPr>
                <w:rFonts w:eastAsia="Calibri"/>
                <w:sz w:val="22"/>
                <w:szCs w:val="22"/>
                <w:lang w:val="en-GB"/>
              </w:rPr>
              <w:t xml:space="preserve">Military specific </w:t>
            </w:r>
          </w:p>
        </w:tc>
        <w:tc>
          <w:tcPr>
            <w:tcW w:w="2790" w:type="dxa"/>
            <w:noWrap/>
            <w:vAlign w:val="center"/>
          </w:tcPr>
          <w:p w14:paraId="7EA54A4F" w14:textId="77777777" w:rsidR="00706511" w:rsidRPr="00F62D9F" w:rsidRDefault="00706511" w:rsidP="00A07533">
            <w:pPr>
              <w:rPr>
                <w:rFonts w:eastAsia="Calibri"/>
                <w:sz w:val="22"/>
                <w:szCs w:val="22"/>
                <w:vertAlign w:val="superscript"/>
                <w:lang w:val="en-GB"/>
              </w:rPr>
            </w:pPr>
            <w:r>
              <w:rPr>
                <w:rFonts w:eastAsia="Calibri"/>
                <w:sz w:val="22"/>
                <w:szCs w:val="22"/>
                <w:lang w:val="en-GB"/>
              </w:rPr>
              <w:t>__</w:t>
            </w:r>
            <w:r>
              <w:rPr>
                <w:rFonts w:eastAsia="Calibri"/>
                <w:sz w:val="22"/>
                <w:szCs w:val="22"/>
                <w:vertAlign w:val="superscript"/>
                <w:lang w:val="en-GB"/>
              </w:rPr>
              <w:t>3</w:t>
            </w:r>
          </w:p>
        </w:tc>
        <w:tc>
          <w:tcPr>
            <w:tcW w:w="2160" w:type="dxa"/>
            <w:vAlign w:val="center"/>
          </w:tcPr>
          <w:p w14:paraId="2620AD5D" w14:textId="77777777" w:rsidR="00706511" w:rsidRPr="00F62D9F" w:rsidRDefault="00706511" w:rsidP="00A07533">
            <w:pPr>
              <w:rPr>
                <w:rFonts w:eastAsia="Calibri"/>
                <w:sz w:val="22"/>
                <w:szCs w:val="22"/>
                <w:vertAlign w:val="superscript"/>
                <w:lang w:val="en-GB"/>
              </w:rPr>
            </w:pPr>
            <w:r>
              <w:rPr>
                <w:rFonts w:eastAsia="Calibri"/>
                <w:sz w:val="22"/>
                <w:szCs w:val="22"/>
                <w:lang w:val="en-GB"/>
              </w:rPr>
              <w:t>__</w:t>
            </w:r>
            <w:r>
              <w:rPr>
                <w:rFonts w:eastAsia="Calibri"/>
                <w:sz w:val="22"/>
                <w:szCs w:val="22"/>
                <w:vertAlign w:val="superscript"/>
                <w:lang w:val="en-GB"/>
              </w:rPr>
              <w:t>3</w:t>
            </w:r>
          </w:p>
        </w:tc>
        <w:tc>
          <w:tcPr>
            <w:tcW w:w="2160" w:type="dxa"/>
            <w:vAlign w:val="center"/>
          </w:tcPr>
          <w:p w14:paraId="4EA79B95" w14:textId="77777777" w:rsidR="00706511" w:rsidRPr="00F62D9F" w:rsidRDefault="00706511" w:rsidP="00A07533">
            <w:pPr>
              <w:rPr>
                <w:rFonts w:eastAsia="Calibri"/>
                <w:sz w:val="22"/>
                <w:szCs w:val="22"/>
                <w:vertAlign w:val="superscript"/>
                <w:lang w:val="en-GB"/>
              </w:rPr>
            </w:pPr>
            <w:r>
              <w:rPr>
                <w:rFonts w:eastAsia="Calibri"/>
                <w:sz w:val="22"/>
                <w:szCs w:val="22"/>
                <w:lang w:val="en-GB"/>
              </w:rPr>
              <w:t>__</w:t>
            </w:r>
            <w:r>
              <w:rPr>
                <w:rFonts w:eastAsia="Calibri"/>
                <w:sz w:val="22"/>
                <w:szCs w:val="22"/>
                <w:vertAlign w:val="superscript"/>
                <w:lang w:val="en-GB"/>
              </w:rPr>
              <w:t>3</w:t>
            </w:r>
          </w:p>
        </w:tc>
        <w:tc>
          <w:tcPr>
            <w:tcW w:w="1260" w:type="dxa"/>
            <w:noWrap/>
            <w:vAlign w:val="center"/>
          </w:tcPr>
          <w:p w14:paraId="0F0871F5" w14:textId="77777777" w:rsidR="00706511" w:rsidRPr="00492488" w:rsidRDefault="00706511" w:rsidP="00A07533">
            <w:pPr>
              <w:rPr>
                <w:rFonts w:eastAsia="Calibri"/>
                <w:sz w:val="22"/>
                <w:szCs w:val="22"/>
                <w:lang w:val="en-GB"/>
              </w:rPr>
            </w:pPr>
            <w:r>
              <w:rPr>
                <w:rFonts w:eastAsia="Calibri"/>
                <w:sz w:val="22"/>
                <w:szCs w:val="22"/>
                <w:lang w:val="en-GB"/>
              </w:rPr>
              <w:t>15 (0.5)</w:t>
            </w:r>
          </w:p>
        </w:tc>
        <w:tc>
          <w:tcPr>
            <w:tcW w:w="1260" w:type="dxa"/>
            <w:vAlign w:val="center"/>
          </w:tcPr>
          <w:p w14:paraId="52087AC7" w14:textId="77777777" w:rsidR="00706511" w:rsidRPr="005B47BA" w:rsidRDefault="00706511" w:rsidP="00A07533">
            <w:pPr>
              <w:rPr>
                <w:rFonts w:eastAsia="Calibri"/>
                <w:sz w:val="22"/>
                <w:szCs w:val="22"/>
                <w:vertAlign w:val="superscript"/>
                <w:lang w:val="en-GB"/>
              </w:rPr>
            </w:pPr>
            <w:r>
              <w:rPr>
                <w:rFonts w:eastAsia="Calibri"/>
                <w:sz w:val="22"/>
                <w:szCs w:val="22"/>
                <w:lang w:val="en-GB"/>
              </w:rPr>
              <w:t>__</w:t>
            </w:r>
            <w:r>
              <w:rPr>
                <w:rFonts w:eastAsia="Calibri"/>
                <w:sz w:val="22"/>
                <w:szCs w:val="22"/>
                <w:vertAlign w:val="superscript"/>
                <w:lang w:val="en-GB"/>
              </w:rPr>
              <w:t>2</w:t>
            </w:r>
          </w:p>
        </w:tc>
        <w:tc>
          <w:tcPr>
            <w:tcW w:w="1260" w:type="dxa"/>
            <w:vAlign w:val="center"/>
          </w:tcPr>
          <w:p w14:paraId="2A5AF5AB" w14:textId="77777777" w:rsidR="00706511" w:rsidRPr="005B47BA" w:rsidRDefault="00706511" w:rsidP="00A07533">
            <w:pPr>
              <w:rPr>
                <w:rFonts w:eastAsia="Calibri"/>
                <w:sz w:val="22"/>
                <w:szCs w:val="22"/>
                <w:vertAlign w:val="superscript"/>
                <w:lang w:val="en-GB"/>
              </w:rPr>
            </w:pPr>
            <w:r>
              <w:rPr>
                <w:rFonts w:eastAsia="Calibri"/>
                <w:sz w:val="22"/>
                <w:szCs w:val="22"/>
                <w:lang w:val="en-GB"/>
              </w:rPr>
              <w:t>__</w:t>
            </w:r>
            <w:r>
              <w:rPr>
                <w:rFonts w:eastAsia="Calibri"/>
                <w:sz w:val="22"/>
                <w:szCs w:val="22"/>
                <w:vertAlign w:val="superscript"/>
                <w:lang w:val="en-GB"/>
              </w:rPr>
              <w:t>2</w:t>
            </w:r>
          </w:p>
        </w:tc>
      </w:tr>
      <w:tr w:rsidR="00706511" w:rsidRPr="00492488" w14:paraId="2661598F" w14:textId="77777777" w:rsidTr="00A07533">
        <w:trPr>
          <w:trHeight w:val="20"/>
        </w:trPr>
        <w:tc>
          <w:tcPr>
            <w:tcW w:w="4788" w:type="dxa"/>
            <w:noWrap/>
            <w:hideMark/>
          </w:tcPr>
          <w:p w14:paraId="5D2E71EC" w14:textId="77777777" w:rsidR="00706511" w:rsidRPr="00492488" w:rsidRDefault="00706511" w:rsidP="00706511">
            <w:pPr>
              <w:jc w:val="left"/>
              <w:rPr>
                <w:rFonts w:eastAsia="Calibri"/>
                <w:sz w:val="22"/>
                <w:szCs w:val="22"/>
                <w:lang w:val="en-GB"/>
              </w:rPr>
            </w:pPr>
            <w:r w:rsidRPr="00492488">
              <w:rPr>
                <w:rFonts w:eastAsia="Calibri"/>
                <w:sz w:val="22"/>
                <w:szCs w:val="22"/>
                <w:lang w:val="en-GB"/>
              </w:rPr>
              <w:t>Unknown</w:t>
            </w:r>
          </w:p>
        </w:tc>
        <w:tc>
          <w:tcPr>
            <w:tcW w:w="2790" w:type="dxa"/>
            <w:noWrap/>
            <w:vAlign w:val="center"/>
          </w:tcPr>
          <w:p w14:paraId="59D55B5A" w14:textId="77777777" w:rsidR="00706511" w:rsidRPr="00F62D9F" w:rsidRDefault="00706511" w:rsidP="00A07533">
            <w:pPr>
              <w:rPr>
                <w:rFonts w:eastAsia="Calibri"/>
                <w:sz w:val="22"/>
                <w:szCs w:val="22"/>
                <w:vertAlign w:val="superscript"/>
                <w:lang w:val="en-GB"/>
              </w:rPr>
            </w:pPr>
            <w:r>
              <w:rPr>
                <w:rFonts w:eastAsia="Calibri"/>
                <w:sz w:val="22"/>
                <w:szCs w:val="22"/>
                <w:lang w:val="en-GB"/>
              </w:rPr>
              <w:t>__</w:t>
            </w:r>
            <w:r>
              <w:rPr>
                <w:rFonts w:eastAsia="Calibri"/>
                <w:sz w:val="22"/>
                <w:szCs w:val="22"/>
                <w:vertAlign w:val="superscript"/>
                <w:lang w:val="en-GB"/>
              </w:rPr>
              <w:t>3</w:t>
            </w:r>
          </w:p>
        </w:tc>
        <w:tc>
          <w:tcPr>
            <w:tcW w:w="2160" w:type="dxa"/>
            <w:vAlign w:val="center"/>
          </w:tcPr>
          <w:p w14:paraId="691E65C2" w14:textId="77777777" w:rsidR="00706511" w:rsidRPr="00F62D9F" w:rsidRDefault="00706511" w:rsidP="00A07533">
            <w:pPr>
              <w:rPr>
                <w:rFonts w:eastAsia="Calibri"/>
                <w:sz w:val="22"/>
                <w:szCs w:val="22"/>
                <w:vertAlign w:val="superscript"/>
                <w:lang w:val="en-GB"/>
              </w:rPr>
            </w:pPr>
            <w:r>
              <w:rPr>
                <w:rFonts w:eastAsia="Calibri"/>
                <w:sz w:val="22"/>
                <w:szCs w:val="22"/>
                <w:lang w:val="en-GB"/>
              </w:rPr>
              <w:t>__</w:t>
            </w:r>
            <w:r>
              <w:rPr>
                <w:rFonts w:eastAsia="Calibri"/>
                <w:sz w:val="22"/>
                <w:szCs w:val="22"/>
                <w:vertAlign w:val="superscript"/>
                <w:lang w:val="en-GB"/>
              </w:rPr>
              <w:t>3</w:t>
            </w:r>
          </w:p>
        </w:tc>
        <w:tc>
          <w:tcPr>
            <w:tcW w:w="2160" w:type="dxa"/>
            <w:vAlign w:val="center"/>
          </w:tcPr>
          <w:p w14:paraId="4E32AA0E" w14:textId="77777777" w:rsidR="00706511" w:rsidRPr="00F62D9F" w:rsidRDefault="00706511" w:rsidP="00A07533">
            <w:pPr>
              <w:rPr>
                <w:rFonts w:eastAsia="Calibri"/>
                <w:sz w:val="22"/>
                <w:szCs w:val="22"/>
                <w:vertAlign w:val="superscript"/>
                <w:lang w:val="en-GB"/>
              </w:rPr>
            </w:pPr>
            <w:r>
              <w:rPr>
                <w:rFonts w:eastAsia="Calibri"/>
                <w:sz w:val="22"/>
                <w:szCs w:val="22"/>
                <w:lang w:val="en-GB"/>
              </w:rPr>
              <w:t>__</w:t>
            </w:r>
            <w:r>
              <w:rPr>
                <w:rFonts w:eastAsia="Calibri"/>
                <w:sz w:val="22"/>
                <w:szCs w:val="22"/>
                <w:vertAlign w:val="superscript"/>
                <w:lang w:val="en-GB"/>
              </w:rPr>
              <w:t>3</w:t>
            </w:r>
          </w:p>
        </w:tc>
        <w:tc>
          <w:tcPr>
            <w:tcW w:w="1260" w:type="dxa"/>
            <w:noWrap/>
            <w:vAlign w:val="center"/>
          </w:tcPr>
          <w:p w14:paraId="08B2A81E" w14:textId="77777777" w:rsidR="00706511" w:rsidRPr="00492488" w:rsidRDefault="00706511" w:rsidP="00A07533">
            <w:pPr>
              <w:rPr>
                <w:rFonts w:eastAsia="Calibri"/>
                <w:sz w:val="22"/>
                <w:szCs w:val="22"/>
                <w:lang w:val="en-GB"/>
              </w:rPr>
            </w:pPr>
            <w:r>
              <w:rPr>
                <w:rFonts w:eastAsia="Calibri"/>
                <w:sz w:val="22"/>
                <w:szCs w:val="22"/>
                <w:lang w:val="en-GB"/>
              </w:rPr>
              <w:t>7 (0.2)</w:t>
            </w:r>
          </w:p>
        </w:tc>
        <w:tc>
          <w:tcPr>
            <w:tcW w:w="1260" w:type="dxa"/>
            <w:vAlign w:val="center"/>
          </w:tcPr>
          <w:p w14:paraId="48E82FE2" w14:textId="77777777" w:rsidR="00706511" w:rsidRPr="005B47BA" w:rsidRDefault="00706511" w:rsidP="00A07533">
            <w:pPr>
              <w:rPr>
                <w:rFonts w:eastAsia="Calibri"/>
                <w:sz w:val="22"/>
                <w:szCs w:val="22"/>
                <w:vertAlign w:val="superscript"/>
                <w:lang w:val="en-GB"/>
              </w:rPr>
            </w:pPr>
            <w:r>
              <w:rPr>
                <w:rFonts w:eastAsia="Calibri"/>
                <w:sz w:val="22"/>
                <w:szCs w:val="22"/>
                <w:lang w:val="en-GB"/>
              </w:rPr>
              <w:t>__</w:t>
            </w:r>
            <w:r>
              <w:rPr>
                <w:rFonts w:eastAsia="Calibri"/>
                <w:sz w:val="22"/>
                <w:szCs w:val="22"/>
                <w:vertAlign w:val="superscript"/>
                <w:lang w:val="en-GB"/>
              </w:rPr>
              <w:t>2</w:t>
            </w:r>
          </w:p>
        </w:tc>
        <w:tc>
          <w:tcPr>
            <w:tcW w:w="1260" w:type="dxa"/>
            <w:vAlign w:val="center"/>
          </w:tcPr>
          <w:p w14:paraId="0E81D8A8" w14:textId="77777777" w:rsidR="00706511" w:rsidRPr="005B47BA" w:rsidRDefault="00706511" w:rsidP="00A07533">
            <w:pPr>
              <w:rPr>
                <w:rFonts w:eastAsia="Calibri"/>
                <w:sz w:val="22"/>
                <w:szCs w:val="22"/>
                <w:vertAlign w:val="superscript"/>
                <w:lang w:val="en-GB"/>
              </w:rPr>
            </w:pPr>
            <w:r>
              <w:rPr>
                <w:rFonts w:eastAsia="Calibri"/>
                <w:sz w:val="22"/>
                <w:szCs w:val="22"/>
                <w:lang w:val="en-GB"/>
              </w:rPr>
              <w:t>__</w:t>
            </w:r>
            <w:r>
              <w:rPr>
                <w:rFonts w:eastAsia="Calibri"/>
                <w:sz w:val="22"/>
                <w:szCs w:val="22"/>
                <w:vertAlign w:val="superscript"/>
                <w:lang w:val="en-GB"/>
              </w:rPr>
              <w:t>2</w:t>
            </w:r>
          </w:p>
        </w:tc>
      </w:tr>
      <w:tr w:rsidR="00706511" w:rsidRPr="00492488" w14:paraId="37CE7D48" w14:textId="77777777" w:rsidTr="00A07533">
        <w:trPr>
          <w:trHeight w:val="300"/>
        </w:trPr>
        <w:tc>
          <w:tcPr>
            <w:tcW w:w="4788" w:type="dxa"/>
            <w:noWrap/>
            <w:hideMark/>
          </w:tcPr>
          <w:p w14:paraId="7FB58316" w14:textId="77777777" w:rsidR="00706511" w:rsidRPr="00492488" w:rsidRDefault="00706511" w:rsidP="00706511">
            <w:pPr>
              <w:jc w:val="left"/>
              <w:rPr>
                <w:rFonts w:eastAsia="Calibri"/>
                <w:b/>
                <w:sz w:val="22"/>
                <w:szCs w:val="22"/>
                <w:lang w:val="en-GB"/>
              </w:rPr>
            </w:pPr>
            <w:r w:rsidRPr="00492488">
              <w:rPr>
                <w:rFonts w:eastAsia="Calibri"/>
                <w:b/>
                <w:sz w:val="22"/>
                <w:szCs w:val="22"/>
                <w:lang w:val="en-GB"/>
              </w:rPr>
              <w:t>All Occupations</w:t>
            </w:r>
          </w:p>
        </w:tc>
        <w:tc>
          <w:tcPr>
            <w:tcW w:w="2790" w:type="dxa"/>
            <w:noWrap/>
            <w:vAlign w:val="center"/>
          </w:tcPr>
          <w:p w14:paraId="7172CF69" w14:textId="77777777" w:rsidR="00706511" w:rsidRPr="00492488" w:rsidRDefault="00706511" w:rsidP="00A07533">
            <w:pPr>
              <w:rPr>
                <w:rFonts w:eastAsia="Calibri"/>
                <w:b/>
                <w:sz w:val="22"/>
                <w:szCs w:val="22"/>
                <w:lang w:val="en-GB"/>
              </w:rPr>
            </w:pPr>
            <w:r>
              <w:rPr>
                <w:rFonts w:eastAsia="Calibri"/>
                <w:b/>
                <w:sz w:val="22"/>
                <w:szCs w:val="22"/>
                <w:lang w:val="en-GB"/>
              </w:rPr>
              <w:t>46.5 (44.3, 48.7)</w:t>
            </w:r>
          </w:p>
        </w:tc>
        <w:tc>
          <w:tcPr>
            <w:tcW w:w="2160" w:type="dxa"/>
            <w:vAlign w:val="center"/>
          </w:tcPr>
          <w:p w14:paraId="5C8BE90D" w14:textId="77777777" w:rsidR="00706511" w:rsidRPr="00492488" w:rsidRDefault="00706511" w:rsidP="00A07533">
            <w:pPr>
              <w:rPr>
                <w:rFonts w:eastAsia="Calibri"/>
                <w:b/>
                <w:sz w:val="22"/>
                <w:szCs w:val="22"/>
                <w:lang w:val="en-GB"/>
              </w:rPr>
            </w:pPr>
            <w:r>
              <w:rPr>
                <w:rFonts w:eastAsia="Calibri"/>
                <w:b/>
                <w:sz w:val="22"/>
                <w:szCs w:val="22"/>
                <w:lang w:val="en-GB"/>
              </w:rPr>
              <w:t>72.3 (68.4, 76.2)</w:t>
            </w:r>
          </w:p>
        </w:tc>
        <w:tc>
          <w:tcPr>
            <w:tcW w:w="2160" w:type="dxa"/>
            <w:vAlign w:val="center"/>
          </w:tcPr>
          <w:p w14:paraId="7E7885F0" w14:textId="77777777" w:rsidR="00706511" w:rsidRPr="00492488" w:rsidRDefault="00706511" w:rsidP="00A07533">
            <w:pPr>
              <w:rPr>
                <w:rFonts w:eastAsia="Calibri"/>
                <w:b/>
                <w:sz w:val="22"/>
                <w:szCs w:val="22"/>
                <w:lang w:val="en-GB"/>
              </w:rPr>
            </w:pPr>
            <w:r>
              <w:rPr>
                <w:rFonts w:eastAsia="Calibri"/>
                <w:b/>
                <w:sz w:val="22"/>
                <w:szCs w:val="22"/>
                <w:lang w:val="en-GB"/>
              </w:rPr>
              <w:t>19.8 (17.8, 21.9)</w:t>
            </w:r>
          </w:p>
        </w:tc>
        <w:tc>
          <w:tcPr>
            <w:tcW w:w="1260" w:type="dxa"/>
            <w:noWrap/>
            <w:vAlign w:val="center"/>
          </w:tcPr>
          <w:p w14:paraId="70B74FCE" w14:textId="77777777" w:rsidR="00706511" w:rsidRPr="00492488" w:rsidRDefault="00706511" w:rsidP="00A07533">
            <w:pPr>
              <w:rPr>
                <w:rFonts w:eastAsia="Calibri"/>
                <w:b/>
                <w:sz w:val="22"/>
                <w:szCs w:val="22"/>
                <w:lang w:val="en-GB"/>
              </w:rPr>
            </w:pPr>
            <w:r>
              <w:rPr>
                <w:rFonts w:eastAsia="Calibri"/>
                <w:b/>
                <w:sz w:val="22"/>
                <w:szCs w:val="22"/>
                <w:lang w:val="en-GB"/>
              </w:rPr>
              <w:t>3,354 (100)</w:t>
            </w:r>
          </w:p>
        </w:tc>
        <w:tc>
          <w:tcPr>
            <w:tcW w:w="1260" w:type="dxa"/>
            <w:vAlign w:val="center"/>
          </w:tcPr>
          <w:p w14:paraId="437D8959" w14:textId="77777777" w:rsidR="00706511" w:rsidRPr="00492488" w:rsidRDefault="00706511" w:rsidP="00A07533">
            <w:pPr>
              <w:rPr>
                <w:rFonts w:eastAsia="Calibri"/>
                <w:b/>
                <w:sz w:val="22"/>
                <w:szCs w:val="22"/>
                <w:lang w:val="en-GB"/>
              </w:rPr>
            </w:pPr>
            <w:r>
              <w:rPr>
                <w:rFonts w:eastAsia="Calibri"/>
                <w:b/>
                <w:sz w:val="22"/>
                <w:szCs w:val="22"/>
                <w:lang w:val="en-GB"/>
              </w:rPr>
              <w:t>2,651 (100)</w:t>
            </w:r>
          </w:p>
        </w:tc>
        <w:tc>
          <w:tcPr>
            <w:tcW w:w="1260" w:type="dxa"/>
            <w:vAlign w:val="center"/>
          </w:tcPr>
          <w:p w14:paraId="420AEA62" w14:textId="77777777" w:rsidR="00706511" w:rsidRPr="00492488" w:rsidRDefault="00706511" w:rsidP="00A07533">
            <w:pPr>
              <w:rPr>
                <w:rFonts w:eastAsia="Calibri"/>
                <w:b/>
                <w:sz w:val="22"/>
                <w:szCs w:val="22"/>
                <w:lang w:val="en-GB"/>
              </w:rPr>
            </w:pPr>
            <w:r>
              <w:rPr>
                <w:rFonts w:eastAsia="Calibri"/>
                <w:b/>
                <w:sz w:val="22"/>
                <w:szCs w:val="22"/>
                <w:lang w:val="en-GB"/>
              </w:rPr>
              <w:t>703 (100)</w:t>
            </w:r>
          </w:p>
        </w:tc>
      </w:tr>
    </w:tbl>
    <w:p w14:paraId="07A8F82B" w14:textId="77777777" w:rsidR="00492488" w:rsidRPr="00706511" w:rsidRDefault="00492488" w:rsidP="00492488">
      <w:pPr>
        <w:jc w:val="left"/>
        <w:rPr>
          <w:sz w:val="16"/>
          <w:szCs w:val="16"/>
        </w:rPr>
      </w:pPr>
      <w:r w:rsidRPr="00706511">
        <w:rPr>
          <w:sz w:val="16"/>
          <w:szCs w:val="16"/>
          <w:vertAlign w:val="superscript"/>
        </w:rPr>
        <w:t>1</w:t>
      </w:r>
      <w:r w:rsidR="00917406" w:rsidRPr="00706511">
        <w:rPr>
          <w:sz w:val="16"/>
          <w:szCs w:val="16"/>
          <w:vertAlign w:val="superscript"/>
        </w:rPr>
        <w:t xml:space="preserve"> </w:t>
      </w:r>
      <w:r w:rsidRPr="00706511">
        <w:rPr>
          <w:sz w:val="16"/>
          <w:szCs w:val="16"/>
        </w:rPr>
        <w:t xml:space="preserve">Rate significantly higher than rate for all </w:t>
      </w:r>
      <w:r w:rsidR="00EA27F8" w:rsidRPr="00706511">
        <w:rPr>
          <w:sz w:val="16"/>
          <w:szCs w:val="16"/>
        </w:rPr>
        <w:t xml:space="preserve">occupation </w:t>
      </w:r>
      <w:r w:rsidRPr="00706511">
        <w:rPr>
          <w:sz w:val="16"/>
          <w:szCs w:val="16"/>
        </w:rPr>
        <w:t>categories</w:t>
      </w:r>
    </w:p>
    <w:p w14:paraId="78454842" w14:textId="77777777" w:rsidR="00492488" w:rsidRPr="00706511" w:rsidRDefault="00492488" w:rsidP="00492488">
      <w:pPr>
        <w:jc w:val="left"/>
        <w:rPr>
          <w:sz w:val="16"/>
          <w:szCs w:val="16"/>
        </w:rPr>
      </w:pPr>
      <w:r w:rsidRPr="00706511">
        <w:rPr>
          <w:sz w:val="16"/>
          <w:szCs w:val="16"/>
          <w:vertAlign w:val="superscript"/>
        </w:rPr>
        <w:t>2</w:t>
      </w:r>
      <w:r w:rsidR="00917406" w:rsidRPr="00706511">
        <w:rPr>
          <w:sz w:val="16"/>
          <w:szCs w:val="16"/>
          <w:vertAlign w:val="superscript"/>
        </w:rPr>
        <w:t xml:space="preserve"> </w:t>
      </w:r>
      <w:r w:rsidR="00223F7D" w:rsidRPr="00706511">
        <w:rPr>
          <w:sz w:val="16"/>
          <w:szCs w:val="16"/>
        </w:rPr>
        <w:t>Su</w:t>
      </w:r>
      <w:r w:rsidR="00917406" w:rsidRPr="00706511">
        <w:rPr>
          <w:sz w:val="16"/>
          <w:szCs w:val="16"/>
        </w:rPr>
        <w:t>p</w:t>
      </w:r>
      <w:r w:rsidRPr="00706511">
        <w:rPr>
          <w:sz w:val="16"/>
          <w:szCs w:val="16"/>
        </w:rPr>
        <w:t>pressed due to cell size restriction</w:t>
      </w:r>
    </w:p>
    <w:p w14:paraId="14F2067D" w14:textId="77777777" w:rsidR="00A54201" w:rsidRPr="00706511" w:rsidRDefault="00492488" w:rsidP="00492488">
      <w:pPr>
        <w:jc w:val="left"/>
        <w:rPr>
          <w:sz w:val="16"/>
          <w:szCs w:val="16"/>
        </w:rPr>
      </w:pPr>
      <w:r w:rsidRPr="00706511">
        <w:rPr>
          <w:sz w:val="16"/>
          <w:szCs w:val="16"/>
          <w:vertAlign w:val="superscript"/>
        </w:rPr>
        <w:t>3</w:t>
      </w:r>
      <w:r w:rsidRPr="00706511">
        <w:rPr>
          <w:sz w:val="16"/>
          <w:szCs w:val="16"/>
        </w:rPr>
        <w:t xml:space="preserve"> Unable to calculate rate due to lack of denominator</w:t>
      </w:r>
    </w:p>
    <w:p w14:paraId="23EF9C4A" w14:textId="77777777" w:rsidR="00706511" w:rsidRPr="00706511" w:rsidRDefault="00706511" w:rsidP="00492488">
      <w:pPr>
        <w:jc w:val="left"/>
        <w:rPr>
          <w:sz w:val="16"/>
          <w:szCs w:val="16"/>
        </w:rPr>
      </w:pPr>
      <w:r w:rsidRPr="00706511">
        <w:rPr>
          <w:sz w:val="16"/>
          <w:szCs w:val="16"/>
          <w:vertAlign w:val="superscript"/>
        </w:rPr>
        <w:t>4</w:t>
      </w:r>
      <w:r w:rsidRPr="00706511">
        <w:rPr>
          <w:sz w:val="16"/>
          <w:szCs w:val="16"/>
        </w:rPr>
        <w:t xml:space="preserve"> Rates not calculated due to N’s &lt; 10</w:t>
      </w:r>
    </w:p>
    <w:p w14:paraId="3A4B832C" w14:textId="77777777" w:rsidR="005A6D0D" w:rsidRPr="00706511" w:rsidRDefault="005A6D0D" w:rsidP="005A6D0D">
      <w:pPr>
        <w:jc w:val="left"/>
        <w:rPr>
          <w:sz w:val="16"/>
          <w:szCs w:val="16"/>
        </w:rPr>
      </w:pPr>
      <w:r w:rsidRPr="00706511">
        <w:rPr>
          <w:sz w:val="16"/>
          <w:szCs w:val="16"/>
        </w:rPr>
        <w:t>Numerator source: Occupational Health Surveillance Program, 201</w:t>
      </w:r>
      <w:r w:rsidR="00C44584" w:rsidRPr="00706511">
        <w:rPr>
          <w:sz w:val="16"/>
          <w:szCs w:val="16"/>
        </w:rPr>
        <w:t>6</w:t>
      </w:r>
      <w:r w:rsidRPr="00706511">
        <w:rPr>
          <w:sz w:val="16"/>
          <w:szCs w:val="16"/>
        </w:rPr>
        <w:t>-201</w:t>
      </w:r>
      <w:r w:rsidR="001370D9" w:rsidRPr="00706511">
        <w:rPr>
          <w:sz w:val="16"/>
          <w:szCs w:val="16"/>
        </w:rPr>
        <w:t>7</w:t>
      </w:r>
    </w:p>
    <w:p w14:paraId="7DF402FA" w14:textId="77777777" w:rsidR="00F463CF" w:rsidRPr="00706511" w:rsidRDefault="005A6D0D" w:rsidP="00492488">
      <w:pPr>
        <w:jc w:val="left"/>
        <w:rPr>
          <w:sz w:val="16"/>
          <w:szCs w:val="16"/>
        </w:rPr>
        <w:sectPr w:rsidR="00F463CF" w:rsidRPr="00706511" w:rsidSect="00492488">
          <w:footnotePr>
            <w:numFmt w:val="lowerLetter"/>
          </w:footnotePr>
          <w:pgSz w:w="16838" w:h="11906" w:orient="landscape"/>
          <w:pgMar w:top="720" w:right="720" w:bottom="720" w:left="720" w:header="720" w:footer="720" w:gutter="0"/>
          <w:cols w:space="720"/>
          <w:docGrid w:linePitch="360"/>
        </w:sectPr>
      </w:pPr>
      <w:r w:rsidRPr="00706511">
        <w:rPr>
          <w:sz w:val="16"/>
          <w:szCs w:val="16"/>
        </w:rPr>
        <w:t>Denominator source: American Community Survey, 201</w:t>
      </w:r>
      <w:r w:rsidR="00C44584" w:rsidRPr="00706511">
        <w:rPr>
          <w:sz w:val="16"/>
          <w:szCs w:val="16"/>
        </w:rPr>
        <w:t>6</w:t>
      </w:r>
      <w:r w:rsidRPr="00706511">
        <w:rPr>
          <w:sz w:val="16"/>
          <w:szCs w:val="16"/>
        </w:rPr>
        <w:t>-201</w:t>
      </w:r>
      <w:r w:rsidR="001370D9" w:rsidRPr="00706511">
        <w:rPr>
          <w:sz w:val="16"/>
          <w:szCs w:val="16"/>
        </w:rPr>
        <w:t>7</w:t>
      </w:r>
      <w:r w:rsidR="00706511" w:rsidRPr="00706511">
        <w:rPr>
          <w:sz w:val="16"/>
          <w:szCs w:val="16"/>
        </w:rPr>
        <w:br/>
      </w:r>
    </w:p>
    <w:p w14:paraId="1523226A" w14:textId="1BE3C12C" w:rsidR="00E854CB" w:rsidRDefault="00966E81" w:rsidP="00F871B6">
      <w:pPr>
        <w:jc w:val="left"/>
      </w:pPr>
      <w:proofErr w:type="gramStart"/>
      <w:r>
        <w:lastRenderedPageBreak/>
        <w:t>Similar to</w:t>
      </w:r>
      <w:proofErr w:type="gramEnd"/>
      <w:r w:rsidR="00860E1D">
        <w:t xml:space="preserve"> the</w:t>
      </w:r>
      <w:r>
        <w:t xml:space="preserve"> </w:t>
      </w:r>
      <w:r w:rsidR="00AF5708">
        <w:t>2011-2015 data</w:t>
      </w:r>
      <w:r>
        <w:t xml:space="preserve">, </w:t>
      </w:r>
      <w:r w:rsidR="008D61C1" w:rsidRPr="000905F5">
        <w:t xml:space="preserve">the number of </w:t>
      </w:r>
      <w:r w:rsidR="0007088F">
        <w:t>ORODs</w:t>
      </w:r>
      <w:r w:rsidR="008D61C1" w:rsidRPr="000905F5">
        <w:t xml:space="preserve"> w</w:t>
      </w:r>
      <w:r w:rsidR="005F3A72">
        <w:t>as</w:t>
      </w:r>
      <w:r w:rsidR="008D61C1" w:rsidRPr="000905F5">
        <w:t xml:space="preserve"> higher among workers in </w:t>
      </w:r>
      <w:r w:rsidR="00873347">
        <w:t>C</w:t>
      </w:r>
      <w:r w:rsidR="008D61C1" w:rsidRPr="000905F5">
        <w:t xml:space="preserve">onstruction and </w:t>
      </w:r>
      <w:r w:rsidR="00873347">
        <w:t>E</w:t>
      </w:r>
      <w:r w:rsidR="008D61C1" w:rsidRPr="000905F5">
        <w:t>xtraction occupations compared to all other occupation groups</w:t>
      </w:r>
      <w:r w:rsidR="0030286C">
        <w:t>.</w:t>
      </w:r>
      <w:r w:rsidR="008D61C1" w:rsidRPr="000905F5">
        <w:t xml:space="preserve"> Table 3 provides</w:t>
      </w:r>
      <w:r w:rsidR="0037156D">
        <w:t xml:space="preserve"> the distribution of OROD deaths by</w:t>
      </w:r>
      <w:r w:rsidR="008D61C1" w:rsidRPr="000905F5">
        <w:t xml:space="preserve"> detailed occupations </w:t>
      </w:r>
      <w:r w:rsidR="00D312EE" w:rsidRPr="000905F5">
        <w:t xml:space="preserve">within this group. </w:t>
      </w:r>
      <w:r w:rsidR="00CB7E3F">
        <w:t xml:space="preserve">Note that in the </w:t>
      </w:r>
      <w:r w:rsidR="0037156D">
        <w:t>two</w:t>
      </w:r>
      <w:r w:rsidR="00CB7E3F">
        <w:t>-year period of 2016</w:t>
      </w:r>
      <w:r w:rsidR="0030286C">
        <w:t>-</w:t>
      </w:r>
      <w:r w:rsidR="00CB7E3F">
        <w:t>2017</w:t>
      </w:r>
      <w:r w:rsidR="00751A87">
        <w:t>,</w:t>
      </w:r>
      <w:r w:rsidR="00CB7E3F">
        <w:t xml:space="preserve"> there were almost as many deaths in the </w:t>
      </w:r>
      <w:r w:rsidR="00EE7BED">
        <w:t>C</w:t>
      </w:r>
      <w:r w:rsidR="00CB7E3F">
        <w:t>onstruction</w:t>
      </w:r>
      <w:r w:rsidR="0030286C">
        <w:t xml:space="preserve"> and </w:t>
      </w:r>
      <w:r w:rsidR="00A07533">
        <w:t>E</w:t>
      </w:r>
      <w:r w:rsidR="0030286C">
        <w:t>xtraction</w:t>
      </w:r>
      <w:r w:rsidR="00CB7E3F">
        <w:t xml:space="preserve"> occupation</w:t>
      </w:r>
      <w:r w:rsidR="0030286C">
        <w:t>s</w:t>
      </w:r>
      <w:r w:rsidR="00CB7E3F">
        <w:t xml:space="preserve"> (N=904) as in the previous </w:t>
      </w:r>
      <w:r w:rsidR="0037156D">
        <w:t>five</w:t>
      </w:r>
      <w:r w:rsidR="00CB7E3F">
        <w:t>-year period of 2011-2015 (N</w:t>
      </w:r>
      <w:r w:rsidR="00D929DE">
        <w:t>=</w:t>
      </w:r>
      <w:r w:rsidR="00CB7E3F">
        <w:t>1,096).</w:t>
      </w:r>
      <w:r w:rsidR="008B40DD">
        <w:t xml:space="preserve"> The number of deaths in the </w:t>
      </w:r>
      <w:r w:rsidR="00A07533">
        <w:t>C</w:t>
      </w:r>
      <w:r w:rsidR="008B40DD">
        <w:t xml:space="preserve">onstruction and </w:t>
      </w:r>
      <w:r w:rsidR="00A07533">
        <w:t>E</w:t>
      </w:r>
      <w:r w:rsidR="008B40DD">
        <w:t>xtraction occupations represented approximately 27% of total opioid-related overdose deaths in 2016-2017.</w:t>
      </w:r>
      <w:r w:rsidR="00CB7E3F">
        <w:t xml:space="preserve"> </w:t>
      </w:r>
      <w:r w:rsidR="00CB7E3F">
        <w:br/>
      </w:r>
    </w:p>
    <w:p w14:paraId="7FEBFE11" w14:textId="3C3EBFB6" w:rsidR="00E854CB" w:rsidRPr="00D00DD3" w:rsidRDefault="00E854CB" w:rsidP="006221A5">
      <w:pPr>
        <w:jc w:val="both"/>
        <w:rPr>
          <w:b/>
        </w:rPr>
      </w:pPr>
      <w:r w:rsidRPr="00D00DD3">
        <w:rPr>
          <w:b/>
        </w:rPr>
        <w:t xml:space="preserve">Table 3. Number and percent of </w:t>
      </w:r>
      <w:r w:rsidR="0039692D">
        <w:rPr>
          <w:b/>
        </w:rPr>
        <w:t xml:space="preserve">opioid-related overdose </w:t>
      </w:r>
      <w:r w:rsidR="004B69A0" w:rsidRPr="00D00DD3">
        <w:rPr>
          <w:b/>
        </w:rPr>
        <w:t>deaths</w:t>
      </w:r>
      <w:r w:rsidRPr="00D00DD3">
        <w:rPr>
          <w:b/>
        </w:rPr>
        <w:t xml:space="preserve"> by detailed </w:t>
      </w:r>
      <w:r w:rsidR="00A50366" w:rsidRPr="00D00DD3">
        <w:rPr>
          <w:b/>
        </w:rPr>
        <w:t xml:space="preserve">occupation within </w:t>
      </w:r>
      <w:r w:rsidR="001E146D" w:rsidRPr="00D00DD3">
        <w:rPr>
          <w:b/>
        </w:rPr>
        <w:t xml:space="preserve">the </w:t>
      </w:r>
      <w:r w:rsidR="00873347">
        <w:rPr>
          <w:b/>
        </w:rPr>
        <w:t>C</w:t>
      </w:r>
      <w:r w:rsidR="001E146D" w:rsidRPr="00D00DD3">
        <w:rPr>
          <w:b/>
        </w:rPr>
        <w:t xml:space="preserve">onstruction and </w:t>
      </w:r>
      <w:r w:rsidR="00873347">
        <w:rPr>
          <w:b/>
        </w:rPr>
        <w:t>E</w:t>
      </w:r>
      <w:r w:rsidR="001E146D" w:rsidRPr="00D00DD3">
        <w:rPr>
          <w:b/>
        </w:rPr>
        <w:t>xtraction occupations group, Massachusetts</w:t>
      </w:r>
      <w:r w:rsidR="00B763BF" w:rsidRPr="00D00DD3">
        <w:rPr>
          <w:b/>
        </w:rPr>
        <w:t xml:space="preserve"> workers</w:t>
      </w:r>
      <w:r w:rsidRPr="00D00DD3">
        <w:rPr>
          <w:b/>
        </w:rPr>
        <w:t xml:space="preserve">, </w:t>
      </w:r>
      <w:r w:rsidRPr="002366EF">
        <w:rPr>
          <w:b/>
        </w:rPr>
        <w:t>201</w:t>
      </w:r>
      <w:r w:rsidR="007E1ACA">
        <w:rPr>
          <w:b/>
        </w:rPr>
        <w:t>6</w:t>
      </w:r>
      <w:r w:rsidRPr="002366EF">
        <w:rPr>
          <w:b/>
        </w:rPr>
        <w:t>-201</w:t>
      </w:r>
      <w:r w:rsidR="001627EF" w:rsidRPr="002366EF">
        <w:rPr>
          <w:b/>
        </w:rPr>
        <w:t>7</w:t>
      </w:r>
      <w:r w:rsidRPr="002366EF">
        <w:rPr>
          <w:b/>
        </w:rPr>
        <w:t xml:space="preserve">, </w:t>
      </w:r>
      <w:r w:rsidR="00B62862">
        <w:rPr>
          <w:b/>
        </w:rPr>
        <w:t>N</w:t>
      </w:r>
      <w:r w:rsidRPr="002366EF">
        <w:rPr>
          <w:b/>
        </w:rPr>
        <w:t>=</w:t>
      </w:r>
      <w:r w:rsidR="007E1ACA">
        <w:rPr>
          <w:b/>
        </w:rPr>
        <w:t>904</w:t>
      </w:r>
    </w:p>
    <w:tbl>
      <w:tblPr>
        <w:tblStyle w:val="TableGrid"/>
        <w:tblW w:w="10378" w:type="dxa"/>
        <w:tblLayout w:type="fixed"/>
        <w:tblLook w:val="04A0" w:firstRow="1" w:lastRow="0" w:firstColumn="1" w:lastColumn="0" w:noHBand="0" w:noVBand="1"/>
      </w:tblPr>
      <w:tblGrid>
        <w:gridCol w:w="6768"/>
        <w:gridCol w:w="3610"/>
      </w:tblGrid>
      <w:tr w:rsidR="00F62D9F" w:rsidRPr="00C65B87" w14:paraId="55AC9CBC" w14:textId="77777777" w:rsidTr="00A07533">
        <w:trPr>
          <w:trHeight w:val="296"/>
        </w:trPr>
        <w:tc>
          <w:tcPr>
            <w:tcW w:w="6768" w:type="dxa"/>
            <w:noWrap/>
            <w:hideMark/>
          </w:tcPr>
          <w:p w14:paraId="1B7ECFE8" w14:textId="77777777" w:rsidR="00F62D9F" w:rsidRPr="00D00DD3" w:rsidRDefault="00F62D9F" w:rsidP="00D00DD3">
            <w:pPr>
              <w:rPr>
                <w:b/>
              </w:rPr>
            </w:pPr>
            <w:r w:rsidRPr="00D00DD3">
              <w:rPr>
                <w:b/>
              </w:rPr>
              <w:t>Occupation</w:t>
            </w:r>
          </w:p>
        </w:tc>
        <w:tc>
          <w:tcPr>
            <w:tcW w:w="3610" w:type="dxa"/>
            <w:noWrap/>
            <w:hideMark/>
          </w:tcPr>
          <w:p w14:paraId="6AFAC953" w14:textId="77777777" w:rsidR="00F62D9F" w:rsidRPr="00F62D9F" w:rsidRDefault="0039692D" w:rsidP="00F62D9F">
            <w:pPr>
              <w:rPr>
                <w:b/>
              </w:rPr>
            </w:pPr>
            <w:r>
              <w:rPr>
                <w:b/>
              </w:rPr>
              <w:t xml:space="preserve">Opioid-related overdose </w:t>
            </w:r>
            <w:r w:rsidR="00F62D9F" w:rsidRPr="00F62D9F">
              <w:rPr>
                <w:b/>
              </w:rPr>
              <w:t>deaths</w:t>
            </w:r>
          </w:p>
          <w:p w14:paraId="320A7162" w14:textId="77777777" w:rsidR="00F62D9F" w:rsidRPr="00D00DD3" w:rsidRDefault="00F62D9F" w:rsidP="00F62D9F">
            <w:pPr>
              <w:rPr>
                <w:b/>
              </w:rPr>
            </w:pPr>
            <w:r w:rsidRPr="00F62D9F">
              <w:rPr>
                <w:b/>
              </w:rPr>
              <w:t>N (%)</w:t>
            </w:r>
          </w:p>
        </w:tc>
      </w:tr>
      <w:tr w:rsidR="00F62D9F" w:rsidRPr="00C65B87" w14:paraId="3841C4D7" w14:textId="77777777" w:rsidTr="00A07533">
        <w:trPr>
          <w:trHeight w:val="296"/>
        </w:trPr>
        <w:tc>
          <w:tcPr>
            <w:tcW w:w="6768" w:type="dxa"/>
            <w:noWrap/>
            <w:hideMark/>
          </w:tcPr>
          <w:p w14:paraId="5A05B3DC" w14:textId="77777777" w:rsidR="00F62D9F" w:rsidRPr="00C65B87" w:rsidRDefault="00F62D9F" w:rsidP="00215460">
            <w:pPr>
              <w:jc w:val="left"/>
            </w:pPr>
            <w:r w:rsidRPr="00C65B87">
              <w:t>Construction laborers</w:t>
            </w:r>
          </w:p>
        </w:tc>
        <w:tc>
          <w:tcPr>
            <w:tcW w:w="3610" w:type="dxa"/>
            <w:noWrap/>
            <w:vAlign w:val="center"/>
          </w:tcPr>
          <w:p w14:paraId="27D1D76A" w14:textId="77777777" w:rsidR="00F62D9F" w:rsidRPr="002366EF" w:rsidRDefault="007E1ACA" w:rsidP="00A07533">
            <w:r>
              <w:t>303</w:t>
            </w:r>
            <w:r w:rsidR="001627EF" w:rsidRPr="002366EF">
              <w:t xml:space="preserve"> (</w:t>
            </w:r>
            <w:r>
              <w:t>33.5</w:t>
            </w:r>
            <w:r w:rsidR="001627EF" w:rsidRPr="002366EF">
              <w:t>)</w:t>
            </w:r>
          </w:p>
        </w:tc>
      </w:tr>
      <w:tr w:rsidR="00F62D9F" w:rsidRPr="00C65B87" w14:paraId="5B6D9641" w14:textId="77777777" w:rsidTr="00A07533">
        <w:trPr>
          <w:trHeight w:val="296"/>
        </w:trPr>
        <w:tc>
          <w:tcPr>
            <w:tcW w:w="6768" w:type="dxa"/>
            <w:noWrap/>
            <w:hideMark/>
          </w:tcPr>
          <w:p w14:paraId="4E2942F2" w14:textId="77777777" w:rsidR="00F62D9F" w:rsidRPr="00C65B87" w:rsidRDefault="00F62D9F" w:rsidP="00215460">
            <w:pPr>
              <w:jc w:val="left"/>
            </w:pPr>
            <w:r w:rsidRPr="00C65B87">
              <w:t>Carpenters</w:t>
            </w:r>
          </w:p>
        </w:tc>
        <w:tc>
          <w:tcPr>
            <w:tcW w:w="3610" w:type="dxa"/>
            <w:noWrap/>
            <w:vAlign w:val="center"/>
          </w:tcPr>
          <w:p w14:paraId="1FFA2BC3" w14:textId="77777777" w:rsidR="00F62D9F" w:rsidRPr="002366EF" w:rsidRDefault="007E1ACA" w:rsidP="00A07533">
            <w:r>
              <w:t>185</w:t>
            </w:r>
            <w:r w:rsidR="001627EF" w:rsidRPr="002366EF">
              <w:t xml:space="preserve"> (</w:t>
            </w:r>
            <w:r>
              <w:t>20.5</w:t>
            </w:r>
            <w:r w:rsidR="001627EF" w:rsidRPr="002366EF">
              <w:t>)</w:t>
            </w:r>
          </w:p>
        </w:tc>
      </w:tr>
      <w:tr w:rsidR="00F62D9F" w:rsidRPr="00C65B87" w14:paraId="3570F9C9" w14:textId="77777777" w:rsidTr="00A07533">
        <w:trPr>
          <w:trHeight w:val="298"/>
        </w:trPr>
        <w:tc>
          <w:tcPr>
            <w:tcW w:w="6768" w:type="dxa"/>
            <w:noWrap/>
            <w:hideMark/>
          </w:tcPr>
          <w:p w14:paraId="162A2138" w14:textId="77777777" w:rsidR="00F62D9F" w:rsidRPr="00C65B87" w:rsidRDefault="00F62D9F" w:rsidP="00215460">
            <w:pPr>
              <w:jc w:val="left"/>
            </w:pPr>
            <w:r w:rsidRPr="00C65B87">
              <w:t xml:space="preserve">Painters, </w:t>
            </w:r>
            <w:proofErr w:type="gramStart"/>
            <w:r w:rsidRPr="00C65B87">
              <w:t>construction</w:t>
            </w:r>
            <w:proofErr w:type="gramEnd"/>
            <w:r w:rsidRPr="00C65B87">
              <w:t xml:space="preserve"> and maintenance</w:t>
            </w:r>
          </w:p>
        </w:tc>
        <w:tc>
          <w:tcPr>
            <w:tcW w:w="3610" w:type="dxa"/>
            <w:noWrap/>
            <w:vAlign w:val="center"/>
          </w:tcPr>
          <w:p w14:paraId="69492082" w14:textId="77777777" w:rsidR="00F62D9F" w:rsidRPr="002366EF" w:rsidRDefault="007E1ACA" w:rsidP="00A07533">
            <w:r>
              <w:t>69</w:t>
            </w:r>
            <w:r w:rsidR="001627EF" w:rsidRPr="002366EF">
              <w:t xml:space="preserve"> (</w:t>
            </w:r>
            <w:r>
              <w:t>7.6</w:t>
            </w:r>
            <w:r w:rsidR="001627EF" w:rsidRPr="002366EF">
              <w:t>)</w:t>
            </w:r>
          </w:p>
        </w:tc>
      </w:tr>
      <w:tr w:rsidR="00F62D9F" w:rsidRPr="00C65B87" w14:paraId="39A209B5" w14:textId="77777777" w:rsidTr="00A07533">
        <w:trPr>
          <w:trHeight w:val="296"/>
        </w:trPr>
        <w:tc>
          <w:tcPr>
            <w:tcW w:w="6768" w:type="dxa"/>
            <w:noWrap/>
            <w:hideMark/>
          </w:tcPr>
          <w:p w14:paraId="4A2B76B3" w14:textId="77777777" w:rsidR="00F62D9F" w:rsidRPr="00C65B87" w:rsidRDefault="007E1ACA" w:rsidP="00215460">
            <w:pPr>
              <w:jc w:val="left"/>
            </w:pPr>
            <w:r>
              <w:t>Electricians</w:t>
            </w:r>
          </w:p>
        </w:tc>
        <w:tc>
          <w:tcPr>
            <w:tcW w:w="3610" w:type="dxa"/>
            <w:noWrap/>
            <w:vAlign w:val="center"/>
          </w:tcPr>
          <w:p w14:paraId="00759356" w14:textId="77777777" w:rsidR="00F62D9F" w:rsidRPr="002366EF" w:rsidRDefault="007E1ACA" w:rsidP="00A07533">
            <w:r>
              <w:t>61</w:t>
            </w:r>
            <w:r w:rsidR="001627EF" w:rsidRPr="002366EF">
              <w:t xml:space="preserve"> (6.</w:t>
            </w:r>
            <w:r>
              <w:t>8</w:t>
            </w:r>
            <w:r w:rsidR="001627EF" w:rsidRPr="002366EF">
              <w:t>)</w:t>
            </w:r>
          </w:p>
        </w:tc>
      </w:tr>
      <w:tr w:rsidR="00F62D9F" w:rsidRPr="00C65B87" w14:paraId="54A0DCD9" w14:textId="77777777" w:rsidTr="00A07533">
        <w:trPr>
          <w:trHeight w:val="296"/>
        </w:trPr>
        <w:tc>
          <w:tcPr>
            <w:tcW w:w="6768" w:type="dxa"/>
            <w:noWrap/>
            <w:hideMark/>
          </w:tcPr>
          <w:p w14:paraId="185B38D4" w14:textId="77777777" w:rsidR="00F62D9F" w:rsidRPr="00C65B87" w:rsidRDefault="007E1ACA" w:rsidP="00215460">
            <w:pPr>
              <w:jc w:val="left"/>
            </w:pPr>
            <w:r w:rsidRPr="00C65B87">
              <w:t>Pipe layers, plumbers, pipefitters, and steamfitters</w:t>
            </w:r>
          </w:p>
        </w:tc>
        <w:tc>
          <w:tcPr>
            <w:tcW w:w="3610" w:type="dxa"/>
            <w:noWrap/>
            <w:vAlign w:val="center"/>
          </w:tcPr>
          <w:p w14:paraId="7E9FD44F" w14:textId="77777777" w:rsidR="00F62D9F" w:rsidRPr="002366EF" w:rsidRDefault="007E1ACA" w:rsidP="00A07533">
            <w:r>
              <w:t>53</w:t>
            </w:r>
            <w:r w:rsidR="001627EF" w:rsidRPr="002366EF">
              <w:t xml:space="preserve"> (5.</w:t>
            </w:r>
            <w:r>
              <w:t>9</w:t>
            </w:r>
            <w:r w:rsidR="001627EF" w:rsidRPr="002366EF">
              <w:t>)</w:t>
            </w:r>
          </w:p>
        </w:tc>
      </w:tr>
      <w:tr w:rsidR="00F62D9F" w:rsidRPr="00C65B87" w14:paraId="2CC18947" w14:textId="77777777" w:rsidTr="00A07533">
        <w:trPr>
          <w:trHeight w:val="296"/>
        </w:trPr>
        <w:tc>
          <w:tcPr>
            <w:tcW w:w="6768" w:type="dxa"/>
            <w:noWrap/>
            <w:hideMark/>
          </w:tcPr>
          <w:p w14:paraId="3A455E4E" w14:textId="77777777" w:rsidR="00F62D9F" w:rsidRPr="00C65B87" w:rsidRDefault="007E1ACA" w:rsidP="00215460">
            <w:pPr>
              <w:jc w:val="left"/>
            </w:pPr>
            <w:r>
              <w:t>Roofers</w:t>
            </w:r>
          </w:p>
        </w:tc>
        <w:tc>
          <w:tcPr>
            <w:tcW w:w="3610" w:type="dxa"/>
            <w:noWrap/>
            <w:vAlign w:val="center"/>
          </w:tcPr>
          <w:p w14:paraId="123F9847" w14:textId="77777777" w:rsidR="00F62D9F" w:rsidRPr="002366EF" w:rsidRDefault="007E1ACA" w:rsidP="00A07533">
            <w:r>
              <w:t>46</w:t>
            </w:r>
            <w:r w:rsidR="000B3CAD" w:rsidRPr="002366EF">
              <w:t xml:space="preserve"> (</w:t>
            </w:r>
            <w:r>
              <w:t>5.1</w:t>
            </w:r>
            <w:r w:rsidR="000B3CAD" w:rsidRPr="002366EF">
              <w:t>)</w:t>
            </w:r>
          </w:p>
        </w:tc>
      </w:tr>
      <w:tr w:rsidR="00F62D9F" w:rsidRPr="00C65B87" w14:paraId="37E8DFBA" w14:textId="77777777" w:rsidTr="00A07533">
        <w:trPr>
          <w:trHeight w:val="296"/>
        </w:trPr>
        <w:tc>
          <w:tcPr>
            <w:tcW w:w="6768" w:type="dxa"/>
            <w:noWrap/>
            <w:hideMark/>
          </w:tcPr>
          <w:p w14:paraId="17BC2616" w14:textId="77777777" w:rsidR="00F62D9F" w:rsidRPr="00C65B87" w:rsidRDefault="00F62D9F" w:rsidP="00215460">
            <w:pPr>
              <w:jc w:val="left"/>
            </w:pPr>
            <w:r w:rsidRPr="00C65B87">
              <w:t>First-line supervisors of construction trades and extraction workers</w:t>
            </w:r>
          </w:p>
        </w:tc>
        <w:tc>
          <w:tcPr>
            <w:tcW w:w="3610" w:type="dxa"/>
            <w:noWrap/>
            <w:vAlign w:val="center"/>
          </w:tcPr>
          <w:p w14:paraId="280DE3CC" w14:textId="77777777" w:rsidR="00F62D9F" w:rsidRPr="002366EF" w:rsidRDefault="007E1ACA" w:rsidP="00A07533">
            <w:r>
              <w:t>41</w:t>
            </w:r>
            <w:r w:rsidR="000B3CAD" w:rsidRPr="002366EF">
              <w:t xml:space="preserve"> (4.</w:t>
            </w:r>
            <w:r>
              <w:t>5</w:t>
            </w:r>
            <w:r w:rsidR="000B3CAD" w:rsidRPr="002366EF">
              <w:t>)</w:t>
            </w:r>
          </w:p>
        </w:tc>
      </w:tr>
      <w:tr w:rsidR="00F62D9F" w:rsidRPr="00C65B87" w14:paraId="437F09C7" w14:textId="77777777" w:rsidTr="00A07533">
        <w:trPr>
          <w:trHeight w:val="296"/>
        </w:trPr>
        <w:tc>
          <w:tcPr>
            <w:tcW w:w="6768" w:type="dxa"/>
            <w:noWrap/>
            <w:hideMark/>
          </w:tcPr>
          <w:p w14:paraId="7BDBBB82" w14:textId="77777777" w:rsidR="00F62D9F" w:rsidRPr="00C65B87" w:rsidRDefault="00F62D9F" w:rsidP="00215460">
            <w:pPr>
              <w:jc w:val="left"/>
            </w:pPr>
            <w:r w:rsidRPr="00C65B87">
              <w:t>Brick masons, block masons, and stone</w:t>
            </w:r>
            <w:r>
              <w:t xml:space="preserve"> </w:t>
            </w:r>
            <w:r w:rsidRPr="00C65B87">
              <w:t>masons</w:t>
            </w:r>
          </w:p>
        </w:tc>
        <w:tc>
          <w:tcPr>
            <w:tcW w:w="3610" w:type="dxa"/>
            <w:noWrap/>
            <w:vAlign w:val="center"/>
          </w:tcPr>
          <w:p w14:paraId="37B55B5E" w14:textId="77777777" w:rsidR="00F62D9F" w:rsidRPr="002366EF" w:rsidRDefault="007E1ACA" w:rsidP="00A07533">
            <w:r>
              <w:t>31</w:t>
            </w:r>
            <w:r w:rsidR="000B3CAD" w:rsidRPr="002366EF">
              <w:t xml:space="preserve"> (3.4)</w:t>
            </w:r>
          </w:p>
        </w:tc>
      </w:tr>
      <w:tr w:rsidR="00F62D9F" w:rsidRPr="00C65B87" w14:paraId="4051FBD1" w14:textId="77777777" w:rsidTr="00A07533">
        <w:trPr>
          <w:trHeight w:val="296"/>
        </w:trPr>
        <w:tc>
          <w:tcPr>
            <w:tcW w:w="6768" w:type="dxa"/>
            <w:noWrap/>
            <w:hideMark/>
          </w:tcPr>
          <w:p w14:paraId="7BA6EEF5" w14:textId="77777777" w:rsidR="00F62D9F" w:rsidRPr="00C65B87" w:rsidRDefault="007E1ACA" w:rsidP="00215460">
            <w:pPr>
              <w:jc w:val="left"/>
            </w:pPr>
            <w:r w:rsidRPr="00C65B87">
              <w:t>Operating engineers and other construction equipment operators</w:t>
            </w:r>
          </w:p>
        </w:tc>
        <w:tc>
          <w:tcPr>
            <w:tcW w:w="3610" w:type="dxa"/>
            <w:noWrap/>
            <w:vAlign w:val="center"/>
          </w:tcPr>
          <w:p w14:paraId="4E2A1AC6" w14:textId="77777777" w:rsidR="00F62D9F" w:rsidRPr="002366EF" w:rsidRDefault="007E1ACA" w:rsidP="00A07533">
            <w:r>
              <w:t>15</w:t>
            </w:r>
            <w:r w:rsidR="000B3CAD" w:rsidRPr="002366EF">
              <w:t xml:space="preserve"> (1.7)</w:t>
            </w:r>
          </w:p>
        </w:tc>
      </w:tr>
      <w:tr w:rsidR="00F62D9F" w:rsidRPr="00C65B87" w14:paraId="46D0E566" w14:textId="77777777" w:rsidTr="00A07533">
        <w:trPr>
          <w:trHeight w:val="296"/>
        </w:trPr>
        <w:tc>
          <w:tcPr>
            <w:tcW w:w="6768" w:type="dxa"/>
            <w:noWrap/>
          </w:tcPr>
          <w:p w14:paraId="24364B42" w14:textId="77777777" w:rsidR="00F62D9F" w:rsidRPr="00C65B87" w:rsidRDefault="007E1ACA" w:rsidP="00215460">
            <w:pPr>
              <w:jc w:val="left"/>
            </w:pPr>
            <w:r w:rsidRPr="00C65B87">
              <w:t>Carpet, floor, and tile installers and finishers</w:t>
            </w:r>
          </w:p>
        </w:tc>
        <w:tc>
          <w:tcPr>
            <w:tcW w:w="3610" w:type="dxa"/>
            <w:noWrap/>
            <w:vAlign w:val="center"/>
          </w:tcPr>
          <w:p w14:paraId="51F1DDA5" w14:textId="77777777" w:rsidR="00F62D9F" w:rsidRPr="002366EF" w:rsidRDefault="007E1ACA" w:rsidP="00A07533">
            <w:r>
              <w:t>12</w:t>
            </w:r>
            <w:r w:rsidR="000B3CAD" w:rsidRPr="002366EF">
              <w:t xml:space="preserve"> (1.</w:t>
            </w:r>
            <w:r>
              <w:t>3</w:t>
            </w:r>
            <w:r w:rsidR="000B3CAD" w:rsidRPr="002366EF">
              <w:t>)</w:t>
            </w:r>
          </w:p>
        </w:tc>
      </w:tr>
      <w:tr w:rsidR="00F62D9F" w:rsidRPr="00C65B87" w14:paraId="38DDD2D3" w14:textId="77777777" w:rsidTr="00A07533">
        <w:trPr>
          <w:trHeight w:val="296"/>
        </w:trPr>
        <w:tc>
          <w:tcPr>
            <w:tcW w:w="6768" w:type="dxa"/>
            <w:noWrap/>
          </w:tcPr>
          <w:p w14:paraId="56FD4774" w14:textId="77777777" w:rsidR="00F62D9F" w:rsidRPr="00C65B87" w:rsidRDefault="00F62D9F" w:rsidP="00215460">
            <w:pPr>
              <w:jc w:val="left"/>
            </w:pPr>
            <w:r w:rsidRPr="00C65B87">
              <w:t>Sheet metal workers</w:t>
            </w:r>
          </w:p>
        </w:tc>
        <w:tc>
          <w:tcPr>
            <w:tcW w:w="3610" w:type="dxa"/>
            <w:noWrap/>
            <w:vAlign w:val="center"/>
          </w:tcPr>
          <w:p w14:paraId="4DAB1F55" w14:textId="77777777" w:rsidR="00F62D9F" w:rsidRPr="002366EF" w:rsidRDefault="007E1ACA" w:rsidP="00A07533">
            <w:r>
              <w:t>11</w:t>
            </w:r>
            <w:r w:rsidR="000B3CAD" w:rsidRPr="002366EF">
              <w:t xml:space="preserve"> (1.</w:t>
            </w:r>
            <w:r>
              <w:t>2</w:t>
            </w:r>
            <w:r w:rsidR="000B3CAD" w:rsidRPr="002366EF">
              <w:t>)</w:t>
            </w:r>
          </w:p>
        </w:tc>
      </w:tr>
      <w:tr w:rsidR="00F62D9F" w:rsidRPr="00C65B87" w14:paraId="27D5698B" w14:textId="77777777" w:rsidTr="00A07533">
        <w:trPr>
          <w:trHeight w:val="296"/>
        </w:trPr>
        <w:tc>
          <w:tcPr>
            <w:tcW w:w="6768" w:type="dxa"/>
            <w:noWrap/>
            <w:hideMark/>
          </w:tcPr>
          <w:p w14:paraId="30EDC56A" w14:textId="77777777" w:rsidR="00F62D9F" w:rsidRPr="00C65B87" w:rsidRDefault="00F62D9F" w:rsidP="00215460">
            <w:pPr>
              <w:jc w:val="left"/>
            </w:pPr>
            <w:r w:rsidRPr="00C65B87">
              <w:t>All others</w:t>
            </w:r>
          </w:p>
        </w:tc>
        <w:tc>
          <w:tcPr>
            <w:tcW w:w="3610" w:type="dxa"/>
            <w:noWrap/>
            <w:vAlign w:val="center"/>
          </w:tcPr>
          <w:p w14:paraId="2CBB4867" w14:textId="77777777" w:rsidR="00F62D9F" w:rsidRPr="002366EF" w:rsidRDefault="007E1ACA" w:rsidP="00A07533">
            <w:r>
              <w:t>77</w:t>
            </w:r>
            <w:r w:rsidR="000B3CAD" w:rsidRPr="002366EF">
              <w:t xml:space="preserve"> (</w:t>
            </w:r>
            <w:r>
              <w:t>8.5</w:t>
            </w:r>
            <w:r w:rsidR="000B3CAD" w:rsidRPr="002366EF">
              <w:t>)</w:t>
            </w:r>
          </w:p>
        </w:tc>
      </w:tr>
      <w:tr w:rsidR="00F62D9F" w:rsidRPr="00C65B87" w14:paraId="7B85BD00" w14:textId="77777777" w:rsidTr="00A07533">
        <w:trPr>
          <w:trHeight w:val="296"/>
        </w:trPr>
        <w:tc>
          <w:tcPr>
            <w:tcW w:w="6768" w:type="dxa"/>
            <w:noWrap/>
            <w:hideMark/>
          </w:tcPr>
          <w:p w14:paraId="413EAFF8" w14:textId="77777777" w:rsidR="00F62D9F" w:rsidRPr="00C65B87" w:rsidRDefault="00F62D9F" w:rsidP="00215460">
            <w:pPr>
              <w:jc w:val="left"/>
            </w:pPr>
            <w:r w:rsidRPr="00240F25">
              <w:rPr>
                <w:b/>
              </w:rPr>
              <w:t>Total</w:t>
            </w:r>
            <w:r w:rsidRPr="00240F25">
              <w:rPr>
                <w:b/>
              </w:rPr>
              <w:tab/>
            </w:r>
          </w:p>
        </w:tc>
        <w:tc>
          <w:tcPr>
            <w:tcW w:w="3610" w:type="dxa"/>
            <w:noWrap/>
            <w:vAlign w:val="center"/>
          </w:tcPr>
          <w:p w14:paraId="1CF198F5" w14:textId="77777777" w:rsidR="00F62D9F" w:rsidRPr="002366EF" w:rsidRDefault="007E1ACA" w:rsidP="00A07533">
            <w:r>
              <w:rPr>
                <w:b/>
              </w:rPr>
              <w:t>904</w:t>
            </w:r>
            <w:r w:rsidR="000B3CAD" w:rsidRPr="002366EF">
              <w:rPr>
                <w:b/>
              </w:rPr>
              <w:t xml:space="preserve"> (100)</w:t>
            </w:r>
          </w:p>
        </w:tc>
      </w:tr>
    </w:tbl>
    <w:p w14:paraId="54B0AC93" w14:textId="77777777" w:rsidR="003B5280" w:rsidRDefault="000068FD" w:rsidP="001C686A">
      <w:pPr>
        <w:jc w:val="left"/>
      </w:pPr>
      <w:r>
        <w:rPr>
          <w:sz w:val="20"/>
          <w:szCs w:val="20"/>
        </w:rPr>
        <w:t>S</w:t>
      </w:r>
      <w:r w:rsidRPr="00820EA1">
        <w:rPr>
          <w:sz w:val="20"/>
          <w:szCs w:val="20"/>
        </w:rPr>
        <w:t>ource: Occupational Health Surveillance Program, 201</w:t>
      </w:r>
      <w:r w:rsidR="007E1ACA">
        <w:rPr>
          <w:sz w:val="20"/>
          <w:szCs w:val="20"/>
        </w:rPr>
        <w:t>6</w:t>
      </w:r>
      <w:r w:rsidRPr="00820EA1">
        <w:rPr>
          <w:sz w:val="20"/>
          <w:szCs w:val="20"/>
        </w:rPr>
        <w:t>-201</w:t>
      </w:r>
      <w:r w:rsidR="001627EF">
        <w:rPr>
          <w:sz w:val="20"/>
          <w:szCs w:val="20"/>
        </w:rPr>
        <w:t>7</w:t>
      </w:r>
    </w:p>
    <w:p w14:paraId="18D95BBF" w14:textId="77777777" w:rsidR="000068FD" w:rsidRDefault="000068FD" w:rsidP="00023BC9">
      <w:pPr>
        <w:jc w:val="left"/>
        <w:rPr>
          <w:b/>
          <w:i/>
          <w:color w:val="1F497D" w:themeColor="text2"/>
        </w:rPr>
      </w:pPr>
    </w:p>
    <w:p w14:paraId="65A167C8" w14:textId="77777777" w:rsidR="006220CF" w:rsidRDefault="006220CF" w:rsidP="006220CF">
      <w:pPr>
        <w:jc w:val="left"/>
        <w:rPr>
          <w:b/>
          <w:i/>
          <w:color w:val="1F497D" w:themeColor="text2"/>
        </w:rPr>
      </w:pPr>
    </w:p>
    <w:p w14:paraId="7C1742BD" w14:textId="77777777" w:rsidR="006220CF" w:rsidRPr="00761B5F" w:rsidRDefault="006220CF" w:rsidP="006220CF">
      <w:pPr>
        <w:jc w:val="left"/>
        <w:rPr>
          <w:b/>
          <w:i/>
          <w:color w:val="1F497D" w:themeColor="text2"/>
        </w:rPr>
      </w:pPr>
      <w:r>
        <w:rPr>
          <w:b/>
          <w:i/>
          <w:color w:val="1F497D" w:themeColor="text2"/>
        </w:rPr>
        <w:t>Opioid-Related Overdose Death among Massachusetts workers by occupational trends, 2011-2017</w:t>
      </w:r>
    </w:p>
    <w:p w14:paraId="39FFA158" w14:textId="77777777" w:rsidR="00375259" w:rsidRDefault="00375259" w:rsidP="006220CF">
      <w:pPr>
        <w:jc w:val="left"/>
      </w:pPr>
    </w:p>
    <w:p w14:paraId="707C8CEF" w14:textId="0E871852" w:rsidR="006220CF" w:rsidRDefault="006220CF" w:rsidP="006220CF">
      <w:pPr>
        <w:jc w:val="left"/>
      </w:pPr>
      <w:r>
        <w:t>While this report only covers deaths through 2017, r</w:t>
      </w:r>
      <w:r w:rsidRPr="000905F5">
        <w:t xml:space="preserve">ecent </w:t>
      </w:r>
      <w:r>
        <w:t xml:space="preserve">state-wide reports from the </w:t>
      </w:r>
      <w:r w:rsidR="00751A87">
        <w:t>Massachusetts Department of Public Health (</w:t>
      </w:r>
      <w:r>
        <w:t>MDPH</w:t>
      </w:r>
      <w:r w:rsidR="00751A87">
        <w:t>)</w:t>
      </w:r>
      <w:r>
        <w:t xml:space="preserve"> show an </w:t>
      </w:r>
      <w:r w:rsidRPr="004E2B08">
        <w:t>estimated 4%</w:t>
      </w:r>
      <w:r>
        <w:t xml:space="preserve"> decrease in</w:t>
      </w:r>
      <w:r w:rsidR="00CB09F5">
        <w:t xml:space="preserve"> the number of</w:t>
      </w:r>
      <w:r w:rsidR="00471554">
        <w:t xml:space="preserve"> </w:t>
      </w:r>
      <w:r>
        <w:t>ORODs among Massachusetts residents from 2016 to 201</w:t>
      </w:r>
      <w:r w:rsidR="00E26BC1">
        <w:t>9</w:t>
      </w:r>
      <w:r w:rsidR="005F3A72">
        <w:t xml:space="preserve"> </w:t>
      </w:r>
      <w:r w:rsidR="00655C28">
        <w:t>(</w:t>
      </w:r>
      <w:r w:rsidR="005F3A72">
        <w:t>and this trendline is projected to</w:t>
      </w:r>
      <w:r>
        <w:t xml:space="preserve"> decrease </w:t>
      </w:r>
      <w:r w:rsidR="004E2B08">
        <w:t xml:space="preserve">or stabilize </w:t>
      </w:r>
      <w:r>
        <w:t>over</w:t>
      </w:r>
      <w:r w:rsidR="0030286C">
        <w:t xml:space="preserve"> </w:t>
      </w:r>
      <w:r>
        <w:t>time</w:t>
      </w:r>
      <w:r w:rsidR="00655C28">
        <w:t>)</w:t>
      </w:r>
      <w:r>
        <w:t>.</w:t>
      </w:r>
      <w:r w:rsidR="00394C84" w:rsidRPr="00394C84">
        <w:rPr>
          <w:vertAlign w:val="superscript"/>
        </w:rPr>
        <w:t>12</w:t>
      </w:r>
      <w:r>
        <w:t xml:space="preserve"> While the overall </w:t>
      </w:r>
      <w:r w:rsidR="00AC57E2">
        <w:t>rate</w:t>
      </w:r>
      <w:r>
        <w:t xml:space="preserve"> of ORODs among Massachusetts residents declined</w:t>
      </w:r>
      <w:r w:rsidR="00E26BC1">
        <w:t xml:space="preserve"> slightly</w:t>
      </w:r>
      <w:r w:rsidR="00751A87">
        <w:t xml:space="preserve"> from 2016-201</w:t>
      </w:r>
      <w:r w:rsidR="00226EA3">
        <w:t>7</w:t>
      </w:r>
      <w:r w:rsidR="00A81170">
        <w:t>,</w:t>
      </w:r>
      <w:r w:rsidR="00226EA3" w:rsidRPr="00226EA3">
        <w:rPr>
          <w:vertAlign w:val="superscript"/>
        </w:rPr>
        <w:t>12</w:t>
      </w:r>
      <w:r>
        <w:t xml:space="preserve"> </w:t>
      </w:r>
      <w:r w:rsidR="00226EA3">
        <w:t xml:space="preserve">in this study </w:t>
      </w:r>
      <w:r>
        <w:t xml:space="preserve">the rate of ORODs among </w:t>
      </w:r>
      <w:r w:rsidR="003012F2">
        <w:t>residents</w:t>
      </w:r>
      <w:r>
        <w:t xml:space="preserve"> in certain occupations </w:t>
      </w:r>
      <w:r w:rsidR="0030286C">
        <w:t xml:space="preserve">has </w:t>
      </w:r>
      <w:r>
        <w:t>not. Rates of OROD among occupational groups by year are shown in Figure 4. Only occupations w</w:t>
      </w:r>
      <w:r w:rsidR="00C14703">
        <w:t>ith</w:t>
      </w:r>
      <w:r>
        <w:t xml:space="preserve"> 2016-2017 OROD rate</w:t>
      </w:r>
      <w:r w:rsidR="00C14703">
        <w:t>s</w:t>
      </w:r>
      <w:r>
        <w:t xml:space="preserve"> higher than the overall</w:t>
      </w:r>
      <w:r w:rsidR="00C14703">
        <w:t xml:space="preserve"> statewide</w:t>
      </w:r>
      <w:r>
        <w:t xml:space="preserve"> OROD rate </w:t>
      </w:r>
      <w:r w:rsidR="0030286C">
        <w:t xml:space="preserve">are </w:t>
      </w:r>
      <w:r>
        <w:t xml:space="preserve">presented. Occupational groups, </w:t>
      </w:r>
      <w:r w:rsidR="00751A87">
        <w:t xml:space="preserve">other than (1) </w:t>
      </w:r>
      <w:r>
        <w:t xml:space="preserve">Construction and </w:t>
      </w:r>
      <w:r w:rsidR="00046F75">
        <w:t>E</w:t>
      </w:r>
      <w:r>
        <w:t>xtraction,</w:t>
      </w:r>
      <w:r w:rsidR="00751A87">
        <w:t xml:space="preserve"> (2)</w:t>
      </w:r>
      <w:r w:rsidR="00046F75">
        <w:t xml:space="preserve"> </w:t>
      </w:r>
      <w:r>
        <w:t xml:space="preserve">Farming, </w:t>
      </w:r>
      <w:r w:rsidR="00046F75">
        <w:t>F</w:t>
      </w:r>
      <w:r>
        <w:t xml:space="preserve">ishing, and </w:t>
      </w:r>
      <w:r w:rsidR="00046F75">
        <w:t>F</w:t>
      </w:r>
      <w:r>
        <w:t xml:space="preserve">orestry, and </w:t>
      </w:r>
      <w:r w:rsidR="00751A87">
        <w:t xml:space="preserve">(3) </w:t>
      </w:r>
      <w:r>
        <w:t xml:space="preserve">Food </w:t>
      </w:r>
      <w:r w:rsidR="00046F75">
        <w:t>P</w:t>
      </w:r>
      <w:r>
        <w:t xml:space="preserve">reparation and </w:t>
      </w:r>
      <w:r w:rsidR="00046F75">
        <w:t>S</w:t>
      </w:r>
      <w:r>
        <w:t xml:space="preserve">erving </w:t>
      </w:r>
      <w:r w:rsidR="00CC447E">
        <w:t>R</w:t>
      </w:r>
      <w:r>
        <w:t xml:space="preserve">elated, show similar trends compared to the overall decrease in the number of ORODs. From 2011 to 2017, the </w:t>
      </w:r>
      <w:r w:rsidR="00571D8E">
        <w:t>average annual</w:t>
      </w:r>
      <w:r>
        <w:t xml:space="preserve"> percent change of OROD rates for Farming, </w:t>
      </w:r>
      <w:r w:rsidR="009816DB">
        <w:t>F</w:t>
      </w:r>
      <w:r>
        <w:t xml:space="preserve">ishing, and </w:t>
      </w:r>
      <w:r w:rsidR="009816DB">
        <w:t>F</w:t>
      </w:r>
      <w:r>
        <w:t xml:space="preserve">orestry occupations and </w:t>
      </w:r>
      <w:r w:rsidR="00751A87">
        <w:t>F</w:t>
      </w:r>
      <w:r>
        <w:t xml:space="preserve">ood preparation and </w:t>
      </w:r>
      <w:r w:rsidR="009816DB">
        <w:t>S</w:t>
      </w:r>
      <w:r>
        <w:t xml:space="preserve">erving </w:t>
      </w:r>
      <w:r w:rsidR="00CC447E">
        <w:t>R</w:t>
      </w:r>
      <w:r>
        <w:t>elated occupations have increased</w:t>
      </w:r>
      <w:r w:rsidR="00762D21">
        <w:t xml:space="preserve"> on average</w:t>
      </w:r>
      <w:r>
        <w:t xml:space="preserve"> by 17.9% and 23.6% </w:t>
      </w:r>
      <w:r w:rsidR="00867F3B">
        <w:t>(</w:t>
      </w:r>
      <w:r>
        <w:t>p</w:t>
      </w:r>
      <w:r w:rsidR="00867F3B">
        <w:t>’s</w:t>
      </w:r>
      <w:r>
        <w:t>&lt;0.01</w:t>
      </w:r>
      <w:r w:rsidR="00867F3B">
        <w:t xml:space="preserve">), </w:t>
      </w:r>
      <w:r>
        <w:t>respectively, while</w:t>
      </w:r>
      <w:r w:rsidR="00EA22AF">
        <w:t xml:space="preserve"> the rate for</w:t>
      </w:r>
      <w:r>
        <w:t xml:space="preserve"> Construction and </w:t>
      </w:r>
      <w:r w:rsidR="009816DB">
        <w:t>E</w:t>
      </w:r>
      <w:r>
        <w:t>xtraction occupations ha</w:t>
      </w:r>
      <w:r w:rsidR="00C14703">
        <w:t>s</w:t>
      </w:r>
      <w:r>
        <w:t xml:space="preserve"> increased</w:t>
      </w:r>
      <w:r w:rsidR="00EA22AF">
        <w:t xml:space="preserve"> on average</w:t>
      </w:r>
      <w:r>
        <w:t xml:space="preserve"> 30.8% from 2011 to 2015</w:t>
      </w:r>
      <w:r w:rsidR="00571D8E">
        <w:t xml:space="preserve"> (p&lt;0.01)</w:t>
      </w:r>
      <w:r>
        <w:t xml:space="preserve"> but ha</w:t>
      </w:r>
      <w:r w:rsidR="00CB09F5">
        <w:t>s</w:t>
      </w:r>
      <w:r>
        <w:t xml:space="preserve"> plateaued from 2015 to 2017</w:t>
      </w:r>
      <w:r w:rsidR="00571D8E">
        <w:t xml:space="preserve"> (p=0.44)</w:t>
      </w:r>
      <w:r>
        <w:t xml:space="preserve">. </w:t>
      </w:r>
    </w:p>
    <w:p w14:paraId="75379545" w14:textId="77777777" w:rsidR="006220CF" w:rsidRDefault="006220CF" w:rsidP="006220CF">
      <w:pPr>
        <w:jc w:val="left"/>
      </w:pPr>
    </w:p>
    <w:p w14:paraId="7066805C" w14:textId="77777777" w:rsidR="006220CF" w:rsidRDefault="006220CF" w:rsidP="006220CF"/>
    <w:p w14:paraId="275732D9" w14:textId="77777777" w:rsidR="006220CF" w:rsidRDefault="006220CF" w:rsidP="006220CF"/>
    <w:p w14:paraId="57467830" w14:textId="77777777" w:rsidR="006220CF" w:rsidRDefault="006220CF" w:rsidP="006220CF">
      <w:pPr>
        <w:jc w:val="both"/>
      </w:pPr>
    </w:p>
    <w:p w14:paraId="457D9C9C" w14:textId="77777777" w:rsidR="006220CF" w:rsidRPr="000905F5" w:rsidRDefault="006220CF" w:rsidP="006220CF">
      <w:pPr>
        <w:jc w:val="both"/>
        <w:sectPr w:rsidR="006220CF" w:rsidRPr="000905F5" w:rsidSect="005841FB">
          <w:footnotePr>
            <w:numFmt w:val="lowerLetter"/>
          </w:footnotePr>
          <w:pgSz w:w="11906" w:h="16838"/>
          <w:pgMar w:top="720" w:right="720" w:bottom="720" w:left="720" w:header="720" w:footer="720" w:gutter="0"/>
          <w:cols w:space="720"/>
          <w:docGrid w:linePitch="360"/>
        </w:sectPr>
      </w:pPr>
    </w:p>
    <w:p w14:paraId="7EEDD7F9" w14:textId="77777777" w:rsidR="006220CF" w:rsidRPr="000905F5" w:rsidRDefault="006220CF" w:rsidP="006220CF">
      <w:pPr>
        <w:jc w:val="left"/>
        <w:rPr>
          <w:b/>
        </w:rPr>
        <w:sectPr w:rsidR="006220CF" w:rsidRPr="000905F5" w:rsidSect="000905F5">
          <w:footnotePr>
            <w:numFmt w:val="lowerLetter"/>
          </w:footnotePr>
          <w:pgSz w:w="16838" w:h="11906" w:orient="landscape"/>
          <w:pgMar w:top="720" w:right="720" w:bottom="720" w:left="720" w:header="720" w:footer="720" w:gutter="0"/>
          <w:cols w:space="720"/>
          <w:docGrid w:linePitch="360"/>
        </w:sectPr>
      </w:pPr>
      <w:r>
        <w:rPr>
          <w:noProof/>
        </w:rPr>
        <w:lastRenderedPageBreak/>
        <mc:AlternateContent>
          <mc:Choice Requires="wps">
            <w:drawing>
              <wp:anchor distT="0" distB="0" distL="114300" distR="114300" simplePos="0" relativeHeight="251674624" behindDoc="0" locked="0" layoutInCell="1" allowOverlap="1" wp14:anchorId="4B0F1491" wp14:editId="1C94ECE6">
                <wp:simplePos x="0" y="0"/>
                <wp:positionH relativeFrom="column">
                  <wp:posOffset>95693</wp:posOffset>
                </wp:positionH>
                <wp:positionV relativeFrom="paragraph">
                  <wp:posOffset>5454857</wp:posOffset>
                </wp:positionV>
                <wp:extent cx="8241030" cy="574158"/>
                <wp:effectExtent l="0" t="0" r="0" b="0"/>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1030" cy="574158"/>
                        </a:xfrm>
                        <a:prstGeom prst="rect">
                          <a:avLst/>
                        </a:prstGeom>
                        <a:noFill/>
                        <a:ln w="9525">
                          <a:noFill/>
                          <a:miter lim="800000"/>
                          <a:headEnd/>
                          <a:tailEnd/>
                        </a:ln>
                      </wps:spPr>
                      <wps:txbx>
                        <w:txbxContent>
                          <w:p w14:paraId="4554BD42" w14:textId="77777777" w:rsidR="00003BEF" w:rsidRDefault="00003BEF" w:rsidP="006220CF">
                            <w:pPr>
                              <w:jc w:val="left"/>
                              <w:rPr>
                                <w:sz w:val="16"/>
                                <w:szCs w:val="16"/>
                              </w:rPr>
                            </w:pPr>
                            <w:r w:rsidRPr="00C2625B">
                              <w:rPr>
                                <w:sz w:val="16"/>
                                <w:szCs w:val="16"/>
                              </w:rPr>
                              <w:t>* The figure excludes</w:t>
                            </w:r>
                            <w:r w:rsidRPr="00C2625B">
                              <w:t xml:space="preserve"> </w:t>
                            </w:r>
                            <w:r w:rsidRPr="00C2625B">
                              <w:rPr>
                                <w:sz w:val="16"/>
                                <w:szCs w:val="16"/>
                              </w:rPr>
                              <w:t>28 deaths among those working in the military or military specific occupations</w:t>
                            </w:r>
                            <w:r>
                              <w:rPr>
                                <w:sz w:val="16"/>
                                <w:szCs w:val="16"/>
                              </w:rPr>
                              <w:t xml:space="preserve"> due to lack of denominator information</w:t>
                            </w:r>
                          </w:p>
                          <w:p w14:paraId="5EED78DF" w14:textId="77777777" w:rsidR="00003BEF" w:rsidRDefault="00003BEF" w:rsidP="006220CF">
                            <w:pPr>
                              <w:jc w:val="left"/>
                              <w:rPr>
                                <w:sz w:val="16"/>
                                <w:szCs w:val="16"/>
                              </w:rPr>
                            </w:pPr>
                            <w:r>
                              <w:rPr>
                                <w:sz w:val="16"/>
                                <w:szCs w:val="16"/>
                              </w:rPr>
                              <w:t>**Occupation groups with rates greater than the overall opioid-related overdose death rate are presented</w:t>
                            </w:r>
                          </w:p>
                          <w:p w14:paraId="5742F26E" w14:textId="77777777" w:rsidR="00003BEF" w:rsidRDefault="00003BEF" w:rsidP="006220CF">
                            <w:pPr>
                              <w:jc w:val="left"/>
                              <w:rPr>
                                <w:sz w:val="16"/>
                                <w:szCs w:val="16"/>
                              </w:rPr>
                            </w:pPr>
                            <w:r>
                              <w:rPr>
                                <w:sz w:val="16"/>
                                <w:szCs w:val="16"/>
                              </w:rPr>
                              <w:t>Numerator source: Occupational Health Surveillance Program, 2011-2017</w:t>
                            </w:r>
                          </w:p>
                          <w:p w14:paraId="3E5B439F" w14:textId="77777777" w:rsidR="00003BEF" w:rsidRPr="00DB12DB" w:rsidRDefault="00003BEF" w:rsidP="006220CF">
                            <w:pPr>
                              <w:jc w:val="left"/>
                              <w:rPr>
                                <w:sz w:val="16"/>
                                <w:szCs w:val="16"/>
                              </w:rPr>
                            </w:pPr>
                            <w:r>
                              <w:rPr>
                                <w:sz w:val="16"/>
                                <w:szCs w:val="16"/>
                              </w:rPr>
                              <w:t>Denominator source: American Community Survey, 2011-2017</w:t>
                            </w:r>
                          </w:p>
                          <w:p w14:paraId="4E3E068C" w14:textId="77777777" w:rsidR="00003BEF" w:rsidRPr="00DB12DB" w:rsidRDefault="00003BEF" w:rsidP="006220CF">
                            <w:pPr>
                              <w:jc w:val="left"/>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0F1491" id="Text Box 299" o:spid="_x0000_s1042" type="#_x0000_t202" style="position:absolute;margin-left:7.55pt;margin-top:429.5pt;width:648.9pt;height:45.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" filled="f" stroked="f">
                <v:textbox>
                  <w:txbxContent>
                    <w:p w14:paraId="4554BD42" w14:textId="77777777" w:rsidR="00003BEF" w:rsidRDefault="00003BEF" w:rsidP="006220CF">
                      <w:pPr>
                        <w:jc w:val="left"/>
                        <w:rPr>
                          <w:sz w:val="16"/>
                          <w:szCs w:val="16"/>
                        </w:rPr>
                      </w:pPr>
                      <w:r w:rsidRPr="00C2625B">
                        <w:rPr>
                          <w:sz w:val="16"/>
                          <w:szCs w:val="16"/>
                        </w:rPr>
                        <w:t>* The figure excludes</w:t>
                      </w:r>
                      <w:r w:rsidRPr="00C2625B">
                        <w:t xml:space="preserve"> </w:t>
                      </w:r>
                      <w:r w:rsidRPr="00C2625B">
                        <w:rPr>
                          <w:sz w:val="16"/>
                          <w:szCs w:val="16"/>
                        </w:rPr>
                        <w:t>28 deaths among those working in the military or military specific occupations</w:t>
                      </w:r>
                      <w:r>
                        <w:rPr>
                          <w:sz w:val="16"/>
                          <w:szCs w:val="16"/>
                        </w:rPr>
                        <w:t xml:space="preserve"> due to lack of denominator information</w:t>
                      </w:r>
                    </w:p>
                    <w:p w14:paraId="5EED78DF" w14:textId="77777777" w:rsidR="00003BEF" w:rsidRDefault="00003BEF" w:rsidP="006220CF">
                      <w:pPr>
                        <w:jc w:val="left"/>
                        <w:rPr>
                          <w:sz w:val="16"/>
                          <w:szCs w:val="16"/>
                        </w:rPr>
                      </w:pPr>
                      <w:r>
                        <w:rPr>
                          <w:sz w:val="16"/>
                          <w:szCs w:val="16"/>
                        </w:rPr>
                        <w:t>**Occupation groups with rates greater than the overall opioid-related overdose death rate are presented</w:t>
                      </w:r>
                    </w:p>
                    <w:p w14:paraId="5742F26E" w14:textId="77777777" w:rsidR="00003BEF" w:rsidRDefault="00003BEF" w:rsidP="006220CF">
                      <w:pPr>
                        <w:jc w:val="left"/>
                        <w:rPr>
                          <w:sz w:val="16"/>
                          <w:szCs w:val="16"/>
                        </w:rPr>
                      </w:pPr>
                      <w:r>
                        <w:rPr>
                          <w:sz w:val="16"/>
                          <w:szCs w:val="16"/>
                        </w:rPr>
                        <w:t>Numerator source: Occupational Health Surveillance Program, 2011-2017</w:t>
                      </w:r>
                    </w:p>
                    <w:p w14:paraId="3E5B439F" w14:textId="77777777" w:rsidR="00003BEF" w:rsidRPr="00DB12DB" w:rsidRDefault="00003BEF" w:rsidP="006220CF">
                      <w:pPr>
                        <w:jc w:val="left"/>
                        <w:rPr>
                          <w:sz w:val="16"/>
                          <w:szCs w:val="16"/>
                        </w:rPr>
                      </w:pPr>
                      <w:r>
                        <w:rPr>
                          <w:sz w:val="16"/>
                          <w:szCs w:val="16"/>
                        </w:rPr>
                        <w:t>Denominator source: American Community Survey, 2011-2017</w:t>
                      </w:r>
                    </w:p>
                    <w:p w14:paraId="4E3E068C" w14:textId="77777777" w:rsidR="00003BEF" w:rsidRPr="00DB12DB" w:rsidRDefault="00003BEF" w:rsidP="006220CF">
                      <w:pPr>
                        <w:jc w:val="left"/>
                        <w:rPr>
                          <w:sz w:val="16"/>
                          <w:szCs w:val="16"/>
                        </w:rPr>
                      </w:pPr>
                    </w:p>
                  </w:txbxContent>
                </v:textbox>
              </v:shape>
            </w:pict>
          </mc:Fallback>
        </mc:AlternateContent>
      </w:r>
      <w:r w:rsidRPr="004B7FA6">
        <w:rPr>
          <w:b/>
        </w:rPr>
        <w:t xml:space="preserve">Figure </w:t>
      </w:r>
      <w:r>
        <w:rPr>
          <w:b/>
        </w:rPr>
        <w:t>4</w:t>
      </w:r>
      <w:r w:rsidRPr="004B7FA6">
        <w:rPr>
          <w:b/>
        </w:rPr>
        <w:t xml:space="preserve">. Rate of </w:t>
      </w:r>
      <w:r>
        <w:rPr>
          <w:b/>
        </w:rPr>
        <w:t xml:space="preserve">opioid-related overdose </w:t>
      </w:r>
      <w:r w:rsidRPr="004B7FA6">
        <w:rPr>
          <w:b/>
        </w:rPr>
        <w:t>death</w:t>
      </w:r>
      <w:r>
        <w:rPr>
          <w:b/>
        </w:rPr>
        <w:t xml:space="preserve">s among Massachusetts workers </w:t>
      </w:r>
      <w:r w:rsidRPr="004B7FA6">
        <w:rPr>
          <w:b/>
        </w:rPr>
        <w:t xml:space="preserve">by </w:t>
      </w:r>
      <w:r>
        <w:rPr>
          <w:b/>
        </w:rPr>
        <w:t xml:space="preserve">occupation, </w:t>
      </w:r>
      <w:r w:rsidR="00335250">
        <w:rPr>
          <w:b/>
        </w:rPr>
        <w:t>N</w:t>
      </w:r>
      <w:r>
        <w:rPr>
          <w:b/>
        </w:rPr>
        <w:t>=7,691*</w:t>
      </w:r>
      <w:r>
        <w:rPr>
          <w:b/>
        </w:rPr>
        <w:br/>
      </w:r>
      <w:r>
        <w:rPr>
          <w:noProof/>
        </w:rPr>
        <w:drawing>
          <wp:inline distT="0" distB="0" distL="0" distR="0" wp14:anchorId="1850EE73" wp14:editId="73D882C6">
            <wp:extent cx="9777730" cy="5283200"/>
            <wp:effectExtent l="0" t="0" r="0" b="0"/>
            <wp:docPr id="301" name="Chart 301">
              <a:extLst xmlns:a="http://schemas.openxmlformats.org/drawingml/2006/main">
                <a:ext uri="{FF2B5EF4-FFF2-40B4-BE49-F238E27FC236}">
                  <a16:creationId xmlns:a16="http://schemas.microsoft.com/office/drawing/2014/main" id="{84C69F37-8D72-4A84-A4FE-9324290CE2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5835A5B" w14:textId="77777777" w:rsidR="003B5280" w:rsidRPr="00761B5F" w:rsidRDefault="00C11ED3" w:rsidP="00023BC9">
      <w:pPr>
        <w:jc w:val="left"/>
        <w:rPr>
          <w:b/>
          <w:i/>
          <w:color w:val="1F497D" w:themeColor="text2"/>
        </w:rPr>
      </w:pPr>
      <w:r>
        <w:rPr>
          <w:b/>
          <w:i/>
          <w:color w:val="1F497D" w:themeColor="text2"/>
        </w:rPr>
        <w:lastRenderedPageBreak/>
        <w:t xml:space="preserve">Deaths by </w:t>
      </w:r>
      <w:r w:rsidR="00B72B32">
        <w:rPr>
          <w:b/>
          <w:i/>
          <w:color w:val="1F497D" w:themeColor="text2"/>
        </w:rPr>
        <w:t>Sex</w:t>
      </w:r>
      <w:r>
        <w:rPr>
          <w:b/>
          <w:i/>
          <w:color w:val="1F497D" w:themeColor="text2"/>
        </w:rPr>
        <w:t xml:space="preserve"> and Occupation</w:t>
      </w:r>
      <w:r w:rsidR="00703184">
        <w:rPr>
          <w:b/>
          <w:i/>
          <w:color w:val="1F497D" w:themeColor="text2"/>
        </w:rPr>
        <w:t>, 2016-2017</w:t>
      </w:r>
    </w:p>
    <w:p w14:paraId="1B2E01F1" w14:textId="77777777" w:rsidR="0023721D" w:rsidRDefault="0023721D" w:rsidP="00023BC9">
      <w:pPr>
        <w:jc w:val="left"/>
      </w:pPr>
    </w:p>
    <w:p w14:paraId="4F0D4CD2" w14:textId="2B2989C4" w:rsidR="008913FD" w:rsidRPr="00722576" w:rsidRDefault="00AB40A8" w:rsidP="00194C3C">
      <w:pPr>
        <w:jc w:val="left"/>
      </w:pPr>
      <w:r w:rsidRPr="000905F5">
        <w:t xml:space="preserve">The majority of </w:t>
      </w:r>
      <w:r w:rsidR="0007088F">
        <w:t>ORODs</w:t>
      </w:r>
      <w:r w:rsidRPr="000905F5">
        <w:t xml:space="preserve"> occurr</w:t>
      </w:r>
      <w:r w:rsidR="00A90420">
        <w:t xml:space="preserve">ed among </w:t>
      </w:r>
      <w:r w:rsidR="00A90420" w:rsidRPr="00F464CF">
        <w:t>males (7</w:t>
      </w:r>
      <w:r w:rsidR="00F464CF">
        <w:t>9.0</w:t>
      </w:r>
      <w:r w:rsidR="00A90420" w:rsidRPr="00F464CF">
        <w:t>%, n=</w:t>
      </w:r>
      <w:r w:rsidR="00F464CF">
        <w:t>2,651</w:t>
      </w:r>
      <w:r w:rsidR="00F712DE" w:rsidRPr="00F464CF">
        <w:t>)</w:t>
      </w:r>
      <w:r w:rsidR="00A90420" w:rsidRPr="00F464CF">
        <w:t xml:space="preserve"> compared to females (2</w:t>
      </w:r>
      <w:r w:rsidR="00F464CF">
        <w:t>1.0</w:t>
      </w:r>
      <w:r w:rsidRPr="00F464CF">
        <w:t>%, n=</w:t>
      </w:r>
      <w:r w:rsidR="00F464CF">
        <w:t>703</w:t>
      </w:r>
      <w:r w:rsidRPr="00F464CF">
        <w:t>)</w:t>
      </w:r>
      <w:r w:rsidR="009913EE">
        <w:t xml:space="preserve">, </w:t>
      </w:r>
      <w:proofErr w:type="gramStart"/>
      <w:r w:rsidR="009913EE">
        <w:t>similar to</w:t>
      </w:r>
      <w:proofErr w:type="gramEnd"/>
      <w:r w:rsidR="009913EE">
        <w:t xml:space="preserve"> finding</w:t>
      </w:r>
      <w:r w:rsidR="00751A87">
        <w:t>s</w:t>
      </w:r>
      <w:r w:rsidR="009913EE">
        <w:t xml:space="preserve"> </w:t>
      </w:r>
      <w:r w:rsidRPr="000905F5">
        <w:t>among</w:t>
      </w:r>
      <w:r w:rsidR="009913EE">
        <w:t xml:space="preserve"> all</w:t>
      </w:r>
      <w:r w:rsidRPr="000905F5">
        <w:t xml:space="preserve"> Massachusetts residents.</w:t>
      </w:r>
      <w:r w:rsidR="006522CB" w:rsidRPr="006522CB">
        <w:rPr>
          <w:vertAlign w:val="superscript"/>
        </w:rPr>
        <w:t>13</w:t>
      </w:r>
      <w:r w:rsidRPr="000905F5">
        <w:t xml:space="preserve"> </w:t>
      </w:r>
      <w:r w:rsidR="00F712DE" w:rsidRPr="000905F5">
        <w:t xml:space="preserve">Findings for all occupation </w:t>
      </w:r>
      <w:r w:rsidR="00F712DE" w:rsidRPr="0005117E">
        <w:t>groups</w:t>
      </w:r>
      <w:r w:rsidR="009913EE">
        <w:t xml:space="preserve"> by </w:t>
      </w:r>
      <w:r w:rsidR="003034D6">
        <w:t>sex</w:t>
      </w:r>
      <w:r w:rsidR="00F712DE" w:rsidRPr="0005117E">
        <w:t xml:space="preserve"> are shown in Table 2</w:t>
      </w:r>
      <w:r w:rsidR="0037156D">
        <w:t>,</w:t>
      </w:r>
      <w:r w:rsidR="00F712DE" w:rsidRPr="0005117E">
        <w:t xml:space="preserve"> and results for the five occupation groups with the highest rates by </w:t>
      </w:r>
      <w:r w:rsidR="003034D6">
        <w:t>sex</w:t>
      </w:r>
      <w:r w:rsidR="00F712DE" w:rsidRPr="0005117E">
        <w:t xml:space="preserve"> are shown in Table 4. The </w:t>
      </w:r>
      <w:r w:rsidR="0007088F">
        <w:t>OROD</w:t>
      </w:r>
      <w:r w:rsidR="00F712DE" w:rsidRPr="0005117E">
        <w:t xml:space="preserve"> rate was significantly higher among male workers (</w:t>
      </w:r>
      <w:r w:rsidR="00722576" w:rsidRPr="0005117E">
        <w:t>72.3</w:t>
      </w:r>
      <w:r w:rsidR="00F712DE" w:rsidRPr="0005117E">
        <w:t xml:space="preserve"> per 100,000 workers) compared to female workers (</w:t>
      </w:r>
      <w:r w:rsidR="00722576" w:rsidRPr="0005117E">
        <w:t>19.8</w:t>
      </w:r>
      <w:r w:rsidR="00F712DE" w:rsidRPr="0005117E">
        <w:t>). As shown in Table 2,</w:t>
      </w:r>
      <w:r w:rsidR="00EA22AF">
        <w:t xml:space="preserve"> although</w:t>
      </w:r>
      <w:r w:rsidR="00F712DE" w:rsidRPr="0005117E">
        <w:t xml:space="preserve"> the rates of </w:t>
      </w:r>
      <w:r w:rsidR="0007088F">
        <w:t>OROD</w:t>
      </w:r>
      <w:r w:rsidR="00F712DE" w:rsidRPr="0005117E">
        <w:t xml:space="preserve"> w</w:t>
      </w:r>
      <w:r w:rsidR="00EA22AF">
        <w:t>ere</w:t>
      </w:r>
      <w:r w:rsidR="00F712DE" w:rsidRPr="0005117E">
        <w:t xml:space="preserve"> higher among males than females for all occupation groups, </w:t>
      </w:r>
      <w:r w:rsidR="000C6F6A">
        <w:t xml:space="preserve">there </w:t>
      </w:r>
      <w:r w:rsidR="00EA22AF">
        <w:t>were some</w:t>
      </w:r>
      <w:r w:rsidR="000C6F6A">
        <w:t xml:space="preserve"> occupations</w:t>
      </w:r>
      <w:r w:rsidR="00EA22AF">
        <w:t xml:space="preserve"> groups</w:t>
      </w:r>
      <w:r w:rsidR="000C6F6A">
        <w:t xml:space="preserve"> </w:t>
      </w:r>
      <w:r w:rsidR="00400A1E">
        <w:t>that had</w:t>
      </w:r>
      <w:r w:rsidR="000C6F6A">
        <w:t xml:space="preserve"> a higher number of female workers</w:t>
      </w:r>
      <w:r w:rsidR="00400A1E">
        <w:t xml:space="preserve"> experiencing a fatal overdose</w:t>
      </w:r>
      <w:r w:rsidR="000C6F6A">
        <w:t xml:space="preserve"> compared to males:</w:t>
      </w:r>
    </w:p>
    <w:p w14:paraId="4C48FF10" w14:textId="0BA1FE55" w:rsidR="005B2BF9" w:rsidRPr="00722576" w:rsidRDefault="000C6F6A" w:rsidP="000905F5">
      <w:pPr>
        <w:pStyle w:val="ListParagraph"/>
        <w:numPr>
          <w:ilvl w:val="0"/>
          <w:numId w:val="19"/>
        </w:numPr>
        <w:jc w:val="left"/>
      </w:pPr>
      <w:r>
        <w:t xml:space="preserve">Healthcare </w:t>
      </w:r>
      <w:r w:rsidR="00C473AB">
        <w:t>S</w:t>
      </w:r>
      <w:r>
        <w:t>upport</w:t>
      </w:r>
      <w:r w:rsidR="00C473AB">
        <w:t xml:space="preserve"> occupations</w:t>
      </w:r>
    </w:p>
    <w:p w14:paraId="276DDC6F" w14:textId="0D3D3259" w:rsidR="005B2BF9" w:rsidRDefault="000C6F6A" w:rsidP="000905F5">
      <w:pPr>
        <w:pStyle w:val="ListParagraph"/>
        <w:numPr>
          <w:ilvl w:val="0"/>
          <w:numId w:val="19"/>
        </w:numPr>
        <w:jc w:val="left"/>
      </w:pPr>
      <w:r>
        <w:t xml:space="preserve">Personal </w:t>
      </w:r>
      <w:r w:rsidR="00C473AB">
        <w:t>C</w:t>
      </w:r>
      <w:r>
        <w:t xml:space="preserve">are and </w:t>
      </w:r>
      <w:r w:rsidR="00C473AB">
        <w:t>S</w:t>
      </w:r>
      <w:r>
        <w:t>ervice</w:t>
      </w:r>
      <w:r w:rsidR="00C473AB">
        <w:t xml:space="preserve"> occupations</w:t>
      </w:r>
    </w:p>
    <w:p w14:paraId="3CAE5D13" w14:textId="6738A871" w:rsidR="00241009" w:rsidRPr="00722576" w:rsidRDefault="000C6F6A" w:rsidP="00241009">
      <w:pPr>
        <w:pStyle w:val="ListParagraph"/>
        <w:numPr>
          <w:ilvl w:val="0"/>
          <w:numId w:val="19"/>
        </w:numPr>
        <w:jc w:val="left"/>
      </w:pPr>
      <w:r>
        <w:t xml:space="preserve">Office and </w:t>
      </w:r>
      <w:r w:rsidR="00C473AB">
        <w:t>A</w:t>
      </w:r>
      <w:r>
        <w:t xml:space="preserve">dministrative </w:t>
      </w:r>
      <w:r w:rsidR="00C473AB">
        <w:t>S</w:t>
      </w:r>
      <w:r>
        <w:t>upport</w:t>
      </w:r>
      <w:r w:rsidR="00C473AB">
        <w:t xml:space="preserve"> occupations</w:t>
      </w:r>
    </w:p>
    <w:p w14:paraId="08357813" w14:textId="29D50CC1" w:rsidR="005B2BF9" w:rsidRPr="00722576" w:rsidRDefault="000C6F6A" w:rsidP="000905F5">
      <w:pPr>
        <w:pStyle w:val="ListParagraph"/>
        <w:numPr>
          <w:ilvl w:val="0"/>
          <w:numId w:val="19"/>
        </w:numPr>
        <w:jc w:val="left"/>
      </w:pPr>
      <w:r>
        <w:t xml:space="preserve">Healthcare </w:t>
      </w:r>
      <w:r w:rsidR="00C473AB">
        <w:t>P</w:t>
      </w:r>
      <w:r>
        <w:t xml:space="preserve">ractitioner and </w:t>
      </w:r>
      <w:r w:rsidR="00C473AB">
        <w:t>T</w:t>
      </w:r>
      <w:r>
        <w:t xml:space="preserve">echnical </w:t>
      </w:r>
      <w:r w:rsidR="00C473AB">
        <w:t>occupations</w:t>
      </w:r>
    </w:p>
    <w:p w14:paraId="064C2009" w14:textId="3916592A" w:rsidR="00241009" w:rsidRPr="00722576" w:rsidRDefault="000C6F6A" w:rsidP="00241009">
      <w:pPr>
        <w:pStyle w:val="ListParagraph"/>
        <w:numPr>
          <w:ilvl w:val="0"/>
          <w:numId w:val="19"/>
        </w:numPr>
        <w:jc w:val="left"/>
      </w:pPr>
      <w:r>
        <w:t xml:space="preserve">Education, </w:t>
      </w:r>
      <w:r w:rsidR="00C473AB">
        <w:t>T</w:t>
      </w:r>
      <w:r>
        <w:t>rai</w:t>
      </w:r>
      <w:r w:rsidR="0037156D">
        <w:t>n</w:t>
      </w:r>
      <w:r>
        <w:t xml:space="preserve">ing, and </w:t>
      </w:r>
      <w:r w:rsidR="00C473AB">
        <w:t>L</w:t>
      </w:r>
      <w:r>
        <w:t>ibrary</w:t>
      </w:r>
      <w:r w:rsidR="00F43627">
        <w:t xml:space="preserve"> occupations</w:t>
      </w:r>
    </w:p>
    <w:p w14:paraId="3175B66A" w14:textId="77777777" w:rsidR="008913FD" w:rsidRDefault="008913FD" w:rsidP="00A405A9">
      <w:pPr>
        <w:pStyle w:val="ListParagraph"/>
        <w:jc w:val="left"/>
        <w:rPr>
          <w:highlight w:val="yellow"/>
        </w:rPr>
      </w:pPr>
    </w:p>
    <w:p w14:paraId="0BE3BC61" w14:textId="77777777" w:rsidR="00A405A9" w:rsidRDefault="00A405A9" w:rsidP="00A405A9">
      <w:pPr>
        <w:pStyle w:val="ListParagraph"/>
        <w:jc w:val="left"/>
        <w:rPr>
          <w:highlight w:val="yellow"/>
        </w:rPr>
      </w:pPr>
    </w:p>
    <w:p w14:paraId="3ABE8DBC" w14:textId="77777777" w:rsidR="00A405A9" w:rsidRPr="000C6F6A" w:rsidRDefault="00A405A9" w:rsidP="00A405A9">
      <w:pPr>
        <w:pStyle w:val="ListParagraph"/>
        <w:jc w:val="left"/>
        <w:rPr>
          <w:highlight w:val="yellow"/>
        </w:rPr>
      </w:pPr>
    </w:p>
    <w:p w14:paraId="3B503D7D" w14:textId="77777777" w:rsidR="00FF3454" w:rsidRPr="00924706" w:rsidRDefault="00FF3454" w:rsidP="00194C3C">
      <w:pPr>
        <w:jc w:val="left"/>
        <w:rPr>
          <w:b/>
        </w:rPr>
      </w:pPr>
      <w:r w:rsidRPr="00683532">
        <w:rPr>
          <w:b/>
        </w:rPr>
        <w:t xml:space="preserve">Table 4. Rate, number, and percent of opioid-related overdose deaths </w:t>
      </w:r>
      <w:r w:rsidR="005B5096" w:rsidRPr="00683532">
        <w:rPr>
          <w:b/>
        </w:rPr>
        <w:t xml:space="preserve">by occupation groups with five highest rates </w:t>
      </w:r>
      <w:r w:rsidRPr="00683532">
        <w:rPr>
          <w:b/>
        </w:rPr>
        <w:t xml:space="preserve">by </w:t>
      </w:r>
      <w:r w:rsidR="00EB7B70">
        <w:rPr>
          <w:b/>
        </w:rPr>
        <w:t>sex</w:t>
      </w:r>
      <w:r w:rsidRPr="00683532">
        <w:rPr>
          <w:b/>
        </w:rPr>
        <w:t>, Massachusetts workers, 201</w:t>
      </w:r>
      <w:r w:rsidR="00683532">
        <w:rPr>
          <w:b/>
        </w:rPr>
        <w:t>6</w:t>
      </w:r>
      <w:r w:rsidRPr="00683532">
        <w:rPr>
          <w:b/>
        </w:rPr>
        <w:t>-201</w:t>
      </w:r>
      <w:r w:rsidR="000B3CAD" w:rsidRPr="00683532">
        <w:rPr>
          <w:b/>
        </w:rPr>
        <w:t>7</w:t>
      </w:r>
      <w:r w:rsidRPr="00683532">
        <w:rPr>
          <w:b/>
        </w:rPr>
        <w:t xml:space="preserve">, </w:t>
      </w:r>
      <w:r w:rsidR="00335250">
        <w:rPr>
          <w:b/>
        </w:rPr>
        <w:t>N</w:t>
      </w:r>
      <w:r w:rsidRPr="00683532">
        <w:rPr>
          <w:b/>
        </w:rPr>
        <w:t>=</w:t>
      </w:r>
      <w:r w:rsidR="00683532">
        <w:rPr>
          <w:b/>
        </w:rPr>
        <w:t>3,354</w:t>
      </w:r>
    </w:p>
    <w:tbl>
      <w:tblPr>
        <w:tblStyle w:val="TableGrid"/>
        <w:tblW w:w="0" w:type="auto"/>
        <w:tblLayout w:type="fixed"/>
        <w:tblLook w:val="04A0" w:firstRow="1" w:lastRow="0" w:firstColumn="1" w:lastColumn="0" w:noHBand="0" w:noVBand="1"/>
      </w:tblPr>
      <w:tblGrid>
        <w:gridCol w:w="2155"/>
        <w:gridCol w:w="2160"/>
        <w:gridCol w:w="1170"/>
        <w:gridCol w:w="1757"/>
        <w:gridCol w:w="2114"/>
        <w:gridCol w:w="1079"/>
      </w:tblGrid>
      <w:tr w:rsidR="00867ABE" w:rsidRPr="00FF3454" w14:paraId="7682DCC2" w14:textId="77777777" w:rsidTr="00E64123">
        <w:trPr>
          <w:trHeight w:val="300"/>
        </w:trPr>
        <w:tc>
          <w:tcPr>
            <w:tcW w:w="10435" w:type="dxa"/>
            <w:gridSpan w:val="6"/>
            <w:noWrap/>
          </w:tcPr>
          <w:p w14:paraId="1053B63C" w14:textId="77777777" w:rsidR="00867ABE" w:rsidRPr="00FF3454" w:rsidRDefault="00406C7B" w:rsidP="00FF3454">
            <w:pPr>
              <w:rPr>
                <w:b/>
                <w:sz w:val="22"/>
                <w:szCs w:val="22"/>
              </w:rPr>
            </w:pPr>
            <w:r>
              <w:rPr>
                <w:b/>
                <w:sz w:val="22"/>
                <w:szCs w:val="22"/>
              </w:rPr>
              <w:t xml:space="preserve">Opioid-related </w:t>
            </w:r>
            <w:r w:rsidR="00E64123">
              <w:rPr>
                <w:b/>
                <w:sz w:val="22"/>
                <w:szCs w:val="22"/>
              </w:rPr>
              <w:t>o</w:t>
            </w:r>
            <w:r>
              <w:rPr>
                <w:b/>
                <w:sz w:val="22"/>
                <w:szCs w:val="22"/>
              </w:rPr>
              <w:t xml:space="preserve">verdose </w:t>
            </w:r>
            <w:r w:rsidR="00E64123">
              <w:rPr>
                <w:b/>
                <w:sz w:val="22"/>
                <w:szCs w:val="22"/>
              </w:rPr>
              <w:t>d</w:t>
            </w:r>
            <w:r>
              <w:rPr>
                <w:b/>
                <w:sz w:val="22"/>
                <w:szCs w:val="22"/>
              </w:rPr>
              <w:t>eaths</w:t>
            </w:r>
          </w:p>
        </w:tc>
      </w:tr>
      <w:tr w:rsidR="00406C7B" w:rsidRPr="00FF3454" w14:paraId="490A1C35" w14:textId="77777777" w:rsidTr="00E64123">
        <w:trPr>
          <w:trHeight w:val="332"/>
        </w:trPr>
        <w:tc>
          <w:tcPr>
            <w:tcW w:w="5485" w:type="dxa"/>
            <w:gridSpan w:val="3"/>
            <w:tcBorders>
              <w:right w:val="single" w:sz="12" w:space="0" w:color="auto"/>
            </w:tcBorders>
            <w:noWrap/>
          </w:tcPr>
          <w:p w14:paraId="155BEAD3" w14:textId="77777777" w:rsidR="00406C7B" w:rsidRPr="00FF3454" w:rsidRDefault="00406C7B" w:rsidP="00FF3454">
            <w:pPr>
              <w:rPr>
                <w:b/>
                <w:sz w:val="22"/>
                <w:szCs w:val="22"/>
              </w:rPr>
            </w:pPr>
            <w:r>
              <w:rPr>
                <w:b/>
                <w:sz w:val="22"/>
                <w:szCs w:val="22"/>
              </w:rPr>
              <w:t>Male</w:t>
            </w:r>
          </w:p>
        </w:tc>
        <w:tc>
          <w:tcPr>
            <w:tcW w:w="4950" w:type="dxa"/>
            <w:gridSpan w:val="3"/>
            <w:tcBorders>
              <w:left w:val="single" w:sz="12" w:space="0" w:color="auto"/>
              <w:right w:val="single" w:sz="4" w:space="0" w:color="auto"/>
            </w:tcBorders>
            <w:noWrap/>
          </w:tcPr>
          <w:p w14:paraId="024C6D4F" w14:textId="77777777" w:rsidR="00406C7B" w:rsidRPr="00FF3454" w:rsidRDefault="00406C7B" w:rsidP="00FF3454">
            <w:pPr>
              <w:rPr>
                <w:b/>
                <w:sz w:val="22"/>
                <w:szCs w:val="22"/>
              </w:rPr>
            </w:pPr>
            <w:r>
              <w:rPr>
                <w:b/>
                <w:sz w:val="22"/>
                <w:szCs w:val="22"/>
              </w:rPr>
              <w:t>Female</w:t>
            </w:r>
          </w:p>
        </w:tc>
      </w:tr>
      <w:tr w:rsidR="00406C7B" w:rsidRPr="00FF3454" w14:paraId="439650D4" w14:textId="77777777" w:rsidTr="00E64123">
        <w:trPr>
          <w:trHeight w:val="818"/>
        </w:trPr>
        <w:tc>
          <w:tcPr>
            <w:tcW w:w="2155" w:type="dxa"/>
            <w:noWrap/>
            <w:hideMark/>
          </w:tcPr>
          <w:p w14:paraId="23E8F30D" w14:textId="77777777" w:rsidR="00406C7B" w:rsidRPr="00FF3454" w:rsidRDefault="00406C7B" w:rsidP="00406C7B">
            <w:pPr>
              <w:rPr>
                <w:b/>
                <w:sz w:val="22"/>
                <w:szCs w:val="22"/>
              </w:rPr>
            </w:pPr>
            <w:r w:rsidRPr="00FF3454">
              <w:rPr>
                <w:b/>
                <w:sz w:val="22"/>
                <w:szCs w:val="22"/>
              </w:rPr>
              <w:t>Occupation</w:t>
            </w:r>
          </w:p>
        </w:tc>
        <w:tc>
          <w:tcPr>
            <w:tcW w:w="2160" w:type="dxa"/>
            <w:noWrap/>
            <w:hideMark/>
          </w:tcPr>
          <w:p w14:paraId="3AC10361" w14:textId="77777777" w:rsidR="00406C7B" w:rsidRPr="00FF3454" w:rsidRDefault="00406C7B" w:rsidP="00406C7B">
            <w:pPr>
              <w:rPr>
                <w:b/>
                <w:sz w:val="22"/>
                <w:szCs w:val="22"/>
              </w:rPr>
            </w:pPr>
            <w:r w:rsidRPr="00FF3454">
              <w:rPr>
                <w:b/>
                <w:sz w:val="22"/>
                <w:szCs w:val="22"/>
              </w:rPr>
              <w:t>Rate</w:t>
            </w:r>
            <w:r>
              <w:rPr>
                <w:b/>
                <w:sz w:val="22"/>
                <w:szCs w:val="22"/>
              </w:rPr>
              <w:t xml:space="preserve"> per </w:t>
            </w:r>
            <w:r w:rsidRPr="00FF3454">
              <w:rPr>
                <w:b/>
                <w:sz w:val="22"/>
                <w:szCs w:val="22"/>
              </w:rPr>
              <w:t>100,000</w:t>
            </w:r>
            <w:r>
              <w:rPr>
                <w:b/>
                <w:sz w:val="22"/>
                <w:szCs w:val="22"/>
              </w:rPr>
              <w:t xml:space="preserve"> workers</w:t>
            </w:r>
          </w:p>
          <w:p w14:paraId="19AB68EC" w14:textId="77777777" w:rsidR="00406C7B" w:rsidRPr="00FF3454" w:rsidRDefault="00406C7B" w:rsidP="00406C7B">
            <w:pPr>
              <w:rPr>
                <w:b/>
                <w:sz w:val="22"/>
                <w:szCs w:val="22"/>
              </w:rPr>
            </w:pPr>
            <w:r w:rsidRPr="00FF3454">
              <w:rPr>
                <w:b/>
                <w:sz w:val="22"/>
                <w:szCs w:val="22"/>
              </w:rPr>
              <w:t>(95% CI)</w:t>
            </w:r>
          </w:p>
        </w:tc>
        <w:tc>
          <w:tcPr>
            <w:tcW w:w="1170" w:type="dxa"/>
            <w:tcBorders>
              <w:right w:val="single" w:sz="12" w:space="0" w:color="auto"/>
            </w:tcBorders>
            <w:noWrap/>
            <w:hideMark/>
          </w:tcPr>
          <w:p w14:paraId="5FE4E08D" w14:textId="77777777" w:rsidR="00406C7B" w:rsidRPr="00FF3454" w:rsidRDefault="00406C7B" w:rsidP="00406C7B">
            <w:pPr>
              <w:rPr>
                <w:b/>
                <w:sz w:val="22"/>
                <w:szCs w:val="22"/>
              </w:rPr>
            </w:pPr>
            <w:r w:rsidRPr="00FF3454">
              <w:rPr>
                <w:b/>
                <w:sz w:val="22"/>
                <w:szCs w:val="22"/>
              </w:rPr>
              <w:t>N (%)</w:t>
            </w:r>
          </w:p>
        </w:tc>
        <w:tc>
          <w:tcPr>
            <w:tcW w:w="1757" w:type="dxa"/>
            <w:tcBorders>
              <w:left w:val="single" w:sz="12" w:space="0" w:color="auto"/>
            </w:tcBorders>
            <w:noWrap/>
            <w:hideMark/>
          </w:tcPr>
          <w:p w14:paraId="6A87719D" w14:textId="77777777" w:rsidR="00406C7B" w:rsidRPr="00FF3454" w:rsidRDefault="00406C7B" w:rsidP="00406C7B">
            <w:pPr>
              <w:rPr>
                <w:b/>
                <w:sz w:val="22"/>
                <w:szCs w:val="22"/>
              </w:rPr>
            </w:pPr>
            <w:r w:rsidRPr="00FF3454">
              <w:rPr>
                <w:b/>
                <w:sz w:val="22"/>
                <w:szCs w:val="22"/>
              </w:rPr>
              <w:t>Occupation</w:t>
            </w:r>
          </w:p>
        </w:tc>
        <w:tc>
          <w:tcPr>
            <w:tcW w:w="2114" w:type="dxa"/>
            <w:noWrap/>
          </w:tcPr>
          <w:p w14:paraId="691E7F8E" w14:textId="77777777" w:rsidR="00406C7B" w:rsidRPr="00FF3454" w:rsidRDefault="00406C7B" w:rsidP="00406C7B">
            <w:pPr>
              <w:rPr>
                <w:b/>
                <w:sz w:val="22"/>
                <w:szCs w:val="22"/>
              </w:rPr>
            </w:pPr>
            <w:r w:rsidRPr="00FF3454">
              <w:rPr>
                <w:b/>
                <w:sz w:val="22"/>
                <w:szCs w:val="22"/>
              </w:rPr>
              <w:t>Rate</w:t>
            </w:r>
            <w:r>
              <w:rPr>
                <w:b/>
                <w:sz w:val="22"/>
                <w:szCs w:val="22"/>
              </w:rPr>
              <w:t xml:space="preserve"> per </w:t>
            </w:r>
            <w:r w:rsidRPr="00FF3454">
              <w:rPr>
                <w:b/>
                <w:sz w:val="22"/>
                <w:szCs w:val="22"/>
              </w:rPr>
              <w:t>100,000</w:t>
            </w:r>
            <w:r>
              <w:rPr>
                <w:b/>
                <w:sz w:val="22"/>
                <w:szCs w:val="22"/>
              </w:rPr>
              <w:t xml:space="preserve"> workers</w:t>
            </w:r>
          </w:p>
          <w:p w14:paraId="52105D86" w14:textId="77777777" w:rsidR="00406C7B" w:rsidRPr="00FF3454" w:rsidRDefault="00406C7B" w:rsidP="00406C7B">
            <w:pPr>
              <w:rPr>
                <w:b/>
                <w:sz w:val="22"/>
                <w:szCs w:val="22"/>
              </w:rPr>
            </w:pPr>
            <w:r w:rsidRPr="00FF3454">
              <w:rPr>
                <w:b/>
                <w:sz w:val="22"/>
                <w:szCs w:val="22"/>
              </w:rPr>
              <w:t>(95% CI)</w:t>
            </w:r>
          </w:p>
        </w:tc>
        <w:tc>
          <w:tcPr>
            <w:tcW w:w="1079" w:type="dxa"/>
            <w:tcBorders>
              <w:right w:val="single" w:sz="4" w:space="0" w:color="auto"/>
            </w:tcBorders>
            <w:noWrap/>
          </w:tcPr>
          <w:p w14:paraId="58E0CFF2" w14:textId="77777777" w:rsidR="00406C7B" w:rsidRPr="00FF3454" w:rsidRDefault="00406C7B" w:rsidP="00406C7B">
            <w:pPr>
              <w:rPr>
                <w:b/>
                <w:sz w:val="22"/>
                <w:szCs w:val="22"/>
              </w:rPr>
            </w:pPr>
            <w:r w:rsidRPr="00FF3454">
              <w:rPr>
                <w:b/>
                <w:sz w:val="22"/>
                <w:szCs w:val="22"/>
              </w:rPr>
              <w:t>N (%)</w:t>
            </w:r>
          </w:p>
        </w:tc>
      </w:tr>
      <w:tr w:rsidR="00A15027" w:rsidRPr="00FF3454" w14:paraId="6A01B7E6" w14:textId="77777777" w:rsidTr="00E64123">
        <w:trPr>
          <w:trHeight w:val="300"/>
        </w:trPr>
        <w:tc>
          <w:tcPr>
            <w:tcW w:w="2155" w:type="dxa"/>
            <w:noWrap/>
            <w:hideMark/>
          </w:tcPr>
          <w:p w14:paraId="78A7ADA7" w14:textId="77777777" w:rsidR="00FF3454" w:rsidRPr="00FF3454" w:rsidRDefault="00FF3454" w:rsidP="00FF3454">
            <w:pPr>
              <w:jc w:val="left"/>
              <w:rPr>
                <w:sz w:val="22"/>
                <w:szCs w:val="22"/>
              </w:rPr>
            </w:pPr>
            <w:r w:rsidRPr="00FF3454">
              <w:rPr>
                <w:sz w:val="22"/>
                <w:szCs w:val="22"/>
              </w:rPr>
              <w:t>Farming, fishing, and forestry</w:t>
            </w:r>
          </w:p>
        </w:tc>
        <w:tc>
          <w:tcPr>
            <w:tcW w:w="2160" w:type="dxa"/>
            <w:noWrap/>
          </w:tcPr>
          <w:p w14:paraId="53BDDB4C" w14:textId="77777777" w:rsidR="00FF3454" w:rsidRPr="00FF3454" w:rsidRDefault="00683532" w:rsidP="00FF3454">
            <w:pPr>
              <w:jc w:val="left"/>
              <w:rPr>
                <w:sz w:val="22"/>
                <w:szCs w:val="22"/>
                <w:vertAlign w:val="superscript"/>
              </w:rPr>
            </w:pPr>
            <w:r>
              <w:rPr>
                <w:sz w:val="22"/>
                <w:szCs w:val="22"/>
              </w:rPr>
              <w:t>444.3</w:t>
            </w:r>
            <w:r w:rsidR="00A15027">
              <w:rPr>
                <w:sz w:val="22"/>
                <w:szCs w:val="22"/>
              </w:rPr>
              <w:t xml:space="preserve"> (</w:t>
            </w:r>
            <w:r>
              <w:rPr>
                <w:sz w:val="22"/>
                <w:szCs w:val="22"/>
              </w:rPr>
              <w:t>286.6, 602.0</w:t>
            </w:r>
            <w:r w:rsidR="00A15027">
              <w:rPr>
                <w:sz w:val="22"/>
                <w:szCs w:val="22"/>
              </w:rPr>
              <w:t>)</w:t>
            </w:r>
            <w:r w:rsidR="00A15027" w:rsidRPr="000905F5">
              <w:rPr>
                <w:sz w:val="22"/>
                <w:szCs w:val="22"/>
                <w:vertAlign w:val="superscript"/>
              </w:rPr>
              <w:t>1</w:t>
            </w:r>
          </w:p>
        </w:tc>
        <w:tc>
          <w:tcPr>
            <w:tcW w:w="1170" w:type="dxa"/>
            <w:tcBorders>
              <w:right w:val="single" w:sz="12" w:space="0" w:color="auto"/>
            </w:tcBorders>
            <w:noWrap/>
          </w:tcPr>
          <w:p w14:paraId="3592E7B9" w14:textId="77777777" w:rsidR="00FF3454" w:rsidRPr="00FF3454" w:rsidRDefault="00683532" w:rsidP="00FF3454">
            <w:pPr>
              <w:jc w:val="left"/>
              <w:rPr>
                <w:sz w:val="22"/>
                <w:szCs w:val="22"/>
                <w:vertAlign w:val="superscript"/>
              </w:rPr>
            </w:pPr>
            <w:r>
              <w:rPr>
                <w:sz w:val="22"/>
                <w:szCs w:val="22"/>
              </w:rPr>
              <w:t>61</w:t>
            </w:r>
            <w:r w:rsidR="00A15027">
              <w:rPr>
                <w:sz w:val="22"/>
                <w:szCs w:val="22"/>
              </w:rPr>
              <w:t xml:space="preserve"> (2.</w:t>
            </w:r>
            <w:r>
              <w:rPr>
                <w:sz w:val="22"/>
                <w:szCs w:val="22"/>
              </w:rPr>
              <w:t>3</w:t>
            </w:r>
            <w:r w:rsidR="00A15027">
              <w:rPr>
                <w:sz w:val="22"/>
                <w:szCs w:val="22"/>
              </w:rPr>
              <w:t>)</w:t>
            </w:r>
          </w:p>
        </w:tc>
        <w:tc>
          <w:tcPr>
            <w:tcW w:w="1757" w:type="dxa"/>
            <w:tcBorders>
              <w:left w:val="single" w:sz="12" w:space="0" w:color="auto"/>
            </w:tcBorders>
            <w:noWrap/>
            <w:hideMark/>
          </w:tcPr>
          <w:p w14:paraId="5FD07A5F" w14:textId="77777777" w:rsidR="00FF3454" w:rsidRPr="00FF3454" w:rsidRDefault="00FF3454" w:rsidP="00FF3454">
            <w:pPr>
              <w:jc w:val="left"/>
              <w:rPr>
                <w:sz w:val="22"/>
                <w:szCs w:val="22"/>
              </w:rPr>
            </w:pPr>
            <w:r w:rsidRPr="00FF3454">
              <w:rPr>
                <w:sz w:val="22"/>
                <w:szCs w:val="22"/>
              </w:rPr>
              <w:t>Construction and extraction</w:t>
            </w:r>
          </w:p>
        </w:tc>
        <w:tc>
          <w:tcPr>
            <w:tcW w:w="2114" w:type="dxa"/>
            <w:noWrap/>
          </w:tcPr>
          <w:p w14:paraId="5BF38A5E" w14:textId="77777777" w:rsidR="00FF3454" w:rsidRPr="00FF3454" w:rsidRDefault="009C7E0B" w:rsidP="00FF3454">
            <w:pPr>
              <w:jc w:val="left"/>
              <w:rPr>
                <w:sz w:val="22"/>
                <w:szCs w:val="22"/>
              </w:rPr>
            </w:pPr>
            <w:r>
              <w:rPr>
                <w:sz w:val="22"/>
                <w:szCs w:val="22"/>
              </w:rPr>
              <w:t>186.9</w:t>
            </w:r>
            <w:r w:rsidR="00A15027">
              <w:rPr>
                <w:sz w:val="22"/>
                <w:szCs w:val="22"/>
              </w:rPr>
              <w:t xml:space="preserve"> (</w:t>
            </w:r>
            <w:r>
              <w:rPr>
                <w:sz w:val="22"/>
                <w:szCs w:val="22"/>
              </w:rPr>
              <w:t>43.2, 330.6</w:t>
            </w:r>
            <w:r w:rsidR="00A15027">
              <w:rPr>
                <w:sz w:val="22"/>
                <w:szCs w:val="22"/>
              </w:rPr>
              <w:t>)</w:t>
            </w:r>
            <w:r w:rsidR="00A15027" w:rsidRPr="002A698A">
              <w:rPr>
                <w:sz w:val="22"/>
                <w:szCs w:val="22"/>
                <w:vertAlign w:val="superscript"/>
              </w:rPr>
              <w:t xml:space="preserve"> 1</w:t>
            </w:r>
          </w:p>
        </w:tc>
        <w:tc>
          <w:tcPr>
            <w:tcW w:w="1079" w:type="dxa"/>
            <w:noWrap/>
          </w:tcPr>
          <w:p w14:paraId="29101BA8" w14:textId="77777777" w:rsidR="00FF3454" w:rsidRPr="00FF3454" w:rsidRDefault="009C7E0B" w:rsidP="00FF3454">
            <w:pPr>
              <w:jc w:val="left"/>
              <w:rPr>
                <w:sz w:val="22"/>
                <w:szCs w:val="22"/>
              </w:rPr>
            </w:pPr>
            <w:r>
              <w:rPr>
                <w:sz w:val="22"/>
                <w:szCs w:val="22"/>
              </w:rPr>
              <w:t>13</w:t>
            </w:r>
            <w:r w:rsidR="00A15027">
              <w:rPr>
                <w:sz w:val="22"/>
                <w:szCs w:val="22"/>
              </w:rPr>
              <w:t xml:space="preserve"> (1.</w:t>
            </w:r>
            <w:r>
              <w:rPr>
                <w:sz w:val="22"/>
                <w:szCs w:val="22"/>
              </w:rPr>
              <w:t>9</w:t>
            </w:r>
            <w:r w:rsidR="00A15027">
              <w:rPr>
                <w:sz w:val="22"/>
                <w:szCs w:val="22"/>
              </w:rPr>
              <w:t>)</w:t>
            </w:r>
          </w:p>
        </w:tc>
      </w:tr>
      <w:tr w:rsidR="00A15027" w:rsidRPr="00FF3454" w14:paraId="695EC259" w14:textId="77777777" w:rsidTr="00E64123">
        <w:trPr>
          <w:trHeight w:val="300"/>
        </w:trPr>
        <w:tc>
          <w:tcPr>
            <w:tcW w:w="2155" w:type="dxa"/>
            <w:noWrap/>
            <w:hideMark/>
          </w:tcPr>
          <w:p w14:paraId="5EF8D16A" w14:textId="77777777" w:rsidR="00FF3454" w:rsidRPr="00FF3454" w:rsidRDefault="00FF3454" w:rsidP="00FF3454">
            <w:pPr>
              <w:jc w:val="left"/>
              <w:rPr>
                <w:sz w:val="22"/>
                <w:szCs w:val="22"/>
              </w:rPr>
            </w:pPr>
            <w:r w:rsidRPr="00FF3454">
              <w:rPr>
                <w:sz w:val="22"/>
                <w:szCs w:val="22"/>
              </w:rPr>
              <w:t>Construction and extraction</w:t>
            </w:r>
          </w:p>
        </w:tc>
        <w:tc>
          <w:tcPr>
            <w:tcW w:w="2160" w:type="dxa"/>
            <w:noWrap/>
          </w:tcPr>
          <w:p w14:paraId="0A86A7B4" w14:textId="77777777" w:rsidR="00FF3454" w:rsidRPr="00FF3454" w:rsidRDefault="009C7E0B" w:rsidP="00910027">
            <w:pPr>
              <w:jc w:val="left"/>
              <w:rPr>
                <w:sz w:val="22"/>
                <w:szCs w:val="22"/>
              </w:rPr>
            </w:pPr>
            <w:r>
              <w:rPr>
                <w:sz w:val="22"/>
                <w:szCs w:val="22"/>
              </w:rPr>
              <w:t>284.5</w:t>
            </w:r>
            <w:r w:rsidR="00A15027">
              <w:rPr>
                <w:sz w:val="22"/>
                <w:szCs w:val="22"/>
              </w:rPr>
              <w:t xml:space="preserve"> (</w:t>
            </w:r>
            <w:r>
              <w:rPr>
                <w:sz w:val="22"/>
                <w:szCs w:val="22"/>
              </w:rPr>
              <w:t>258.1, 310.9</w:t>
            </w:r>
            <w:r w:rsidR="00A15027">
              <w:rPr>
                <w:sz w:val="22"/>
                <w:szCs w:val="22"/>
              </w:rPr>
              <w:t>)</w:t>
            </w:r>
            <w:r w:rsidR="00A15027" w:rsidRPr="002A698A">
              <w:rPr>
                <w:sz w:val="22"/>
                <w:szCs w:val="22"/>
                <w:vertAlign w:val="superscript"/>
              </w:rPr>
              <w:t xml:space="preserve"> 1</w:t>
            </w:r>
          </w:p>
        </w:tc>
        <w:tc>
          <w:tcPr>
            <w:tcW w:w="1170" w:type="dxa"/>
            <w:tcBorders>
              <w:right w:val="single" w:sz="12" w:space="0" w:color="auto"/>
            </w:tcBorders>
            <w:noWrap/>
          </w:tcPr>
          <w:p w14:paraId="6ADC4FD9" w14:textId="77777777" w:rsidR="00FF3454" w:rsidRPr="00FF3454" w:rsidRDefault="009C7E0B" w:rsidP="00FF3454">
            <w:pPr>
              <w:jc w:val="left"/>
              <w:rPr>
                <w:sz w:val="22"/>
                <w:szCs w:val="22"/>
              </w:rPr>
            </w:pPr>
            <w:r>
              <w:rPr>
                <w:sz w:val="22"/>
                <w:szCs w:val="22"/>
              </w:rPr>
              <w:t>891</w:t>
            </w:r>
            <w:r w:rsidR="00A15027">
              <w:rPr>
                <w:sz w:val="22"/>
                <w:szCs w:val="22"/>
              </w:rPr>
              <w:t xml:space="preserve"> (</w:t>
            </w:r>
            <w:r>
              <w:rPr>
                <w:sz w:val="22"/>
                <w:szCs w:val="22"/>
              </w:rPr>
              <w:t>33.6</w:t>
            </w:r>
            <w:r w:rsidR="00A15027">
              <w:rPr>
                <w:sz w:val="22"/>
                <w:szCs w:val="22"/>
              </w:rPr>
              <w:t>)</w:t>
            </w:r>
          </w:p>
        </w:tc>
        <w:tc>
          <w:tcPr>
            <w:tcW w:w="1757" w:type="dxa"/>
            <w:tcBorders>
              <w:left w:val="single" w:sz="12" w:space="0" w:color="auto"/>
            </w:tcBorders>
            <w:noWrap/>
            <w:hideMark/>
          </w:tcPr>
          <w:p w14:paraId="20F01F29" w14:textId="77777777" w:rsidR="00FF3454" w:rsidRPr="00FF3454" w:rsidRDefault="00FF3454" w:rsidP="00FF3454">
            <w:pPr>
              <w:jc w:val="left"/>
              <w:rPr>
                <w:sz w:val="22"/>
                <w:szCs w:val="22"/>
              </w:rPr>
            </w:pPr>
            <w:r w:rsidRPr="00FF3454">
              <w:rPr>
                <w:sz w:val="22"/>
                <w:szCs w:val="22"/>
              </w:rPr>
              <w:t>Installation, maintenance, &amp; repair</w:t>
            </w:r>
          </w:p>
        </w:tc>
        <w:tc>
          <w:tcPr>
            <w:tcW w:w="2114" w:type="dxa"/>
            <w:noWrap/>
          </w:tcPr>
          <w:p w14:paraId="36E82DF4" w14:textId="77777777" w:rsidR="00FF3454" w:rsidRPr="00FF3454" w:rsidRDefault="009C7E0B" w:rsidP="00FF3454">
            <w:pPr>
              <w:jc w:val="left"/>
              <w:rPr>
                <w:sz w:val="22"/>
                <w:szCs w:val="22"/>
              </w:rPr>
            </w:pPr>
            <w:r>
              <w:rPr>
                <w:sz w:val="22"/>
                <w:szCs w:val="22"/>
              </w:rPr>
              <w:t>109.4</w:t>
            </w:r>
            <w:r w:rsidR="00A15027">
              <w:rPr>
                <w:sz w:val="22"/>
                <w:szCs w:val="22"/>
              </w:rPr>
              <w:t xml:space="preserve"> (-26.</w:t>
            </w:r>
            <w:r>
              <w:rPr>
                <w:sz w:val="22"/>
                <w:szCs w:val="22"/>
              </w:rPr>
              <w:t>2</w:t>
            </w:r>
            <w:r w:rsidR="00A15027">
              <w:rPr>
                <w:sz w:val="22"/>
                <w:szCs w:val="22"/>
              </w:rPr>
              <w:t xml:space="preserve">, </w:t>
            </w:r>
            <w:r>
              <w:rPr>
                <w:sz w:val="22"/>
                <w:szCs w:val="22"/>
              </w:rPr>
              <w:t>245.1</w:t>
            </w:r>
            <w:r w:rsidR="00A15027">
              <w:rPr>
                <w:sz w:val="22"/>
                <w:szCs w:val="22"/>
              </w:rPr>
              <w:t>)</w:t>
            </w:r>
            <w:r w:rsidR="00A15027" w:rsidRPr="002A698A">
              <w:rPr>
                <w:sz w:val="22"/>
                <w:szCs w:val="22"/>
                <w:vertAlign w:val="superscript"/>
              </w:rPr>
              <w:t xml:space="preserve"> 1</w:t>
            </w:r>
          </w:p>
        </w:tc>
        <w:tc>
          <w:tcPr>
            <w:tcW w:w="1079" w:type="dxa"/>
            <w:noWrap/>
          </w:tcPr>
          <w:p w14:paraId="0437BD1D" w14:textId="77777777" w:rsidR="00FF3454" w:rsidRPr="00FF3454" w:rsidRDefault="009C7E0B" w:rsidP="00FF3454">
            <w:pPr>
              <w:jc w:val="left"/>
              <w:rPr>
                <w:sz w:val="22"/>
                <w:szCs w:val="22"/>
              </w:rPr>
            </w:pPr>
            <w:r>
              <w:rPr>
                <w:sz w:val="22"/>
                <w:szCs w:val="22"/>
              </w:rPr>
              <w:t>5</w:t>
            </w:r>
            <w:r w:rsidR="00A15027">
              <w:rPr>
                <w:sz w:val="22"/>
                <w:szCs w:val="22"/>
              </w:rPr>
              <w:t xml:space="preserve"> (0.</w:t>
            </w:r>
            <w:r>
              <w:rPr>
                <w:sz w:val="22"/>
                <w:szCs w:val="22"/>
              </w:rPr>
              <w:t>7</w:t>
            </w:r>
            <w:r w:rsidR="00A15027">
              <w:rPr>
                <w:sz w:val="22"/>
                <w:szCs w:val="22"/>
              </w:rPr>
              <w:t>)</w:t>
            </w:r>
          </w:p>
        </w:tc>
      </w:tr>
      <w:tr w:rsidR="00A15027" w:rsidRPr="00FF3454" w14:paraId="700A7FA1" w14:textId="77777777" w:rsidTr="00E64123">
        <w:trPr>
          <w:trHeight w:val="300"/>
        </w:trPr>
        <w:tc>
          <w:tcPr>
            <w:tcW w:w="2155" w:type="dxa"/>
            <w:noWrap/>
            <w:hideMark/>
          </w:tcPr>
          <w:p w14:paraId="7352AEBD" w14:textId="77777777" w:rsidR="00FF3454" w:rsidRPr="00FF3454" w:rsidRDefault="009C7E0B" w:rsidP="00FF3454">
            <w:pPr>
              <w:jc w:val="left"/>
              <w:rPr>
                <w:sz w:val="22"/>
                <w:szCs w:val="22"/>
              </w:rPr>
            </w:pPr>
            <w:r w:rsidRPr="00FF3454">
              <w:rPr>
                <w:sz w:val="22"/>
                <w:szCs w:val="22"/>
              </w:rPr>
              <w:t>Installation, maintenance, &amp; repair</w:t>
            </w:r>
          </w:p>
        </w:tc>
        <w:tc>
          <w:tcPr>
            <w:tcW w:w="2160" w:type="dxa"/>
            <w:noWrap/>
          </w:tcPr>
          <w:p w14:paraId="460683C4" w14:textId="77777777" w:rsidR="00FF3454" w:rsidRPr="00FF3454" w:rsidRDefault="009C7E0B" w:rsidP="00FF3454">
            <w:pPr>
              <w:jc w:val="left"/>
              <w:rPr>
                <w:sz w:val="22"/>
                <w:szCs w:val="22"/>
              </w:rPr>
            </w:pPr>
            <w:r>
              <w:rPr>
                <w:sz w:val="22"/>
                <w:szCs w:val="22"/>
              </w:rPr>
              <w:t>128.7</w:t>
            </w:r>
            <w:r w:rsidR="00A15027">
              <w:rPr>
                <w:sz w:val="22"/>
                <w:szCs w:val="22"/>
              </w:rPr>
              <w:t xml:space="preserve"> (</w:t>
            </w:r>
            <w:r>
              <w:rPr>
                <w:sz w:val="22"/>
                <w:szCs w:val="22"/>
              </w:rPr>
              <w:t>102.4, 155.0</w:t>
            </w:r>
            <w:r w:rsidR="00A15027">
              <w:rPr>
                <w:sz w:val="22"/>
                <w:szCs w:val="22"/>
              </w:rPr>
              <w:t>)</w:t>
            </w:r>
            <w:r w:rsidR="00A15027" w:rsidRPr="002A698A">
              <w:rPr>
                <w:sz w:val="22"/>
                <w:szCs w:val="22"/>
                <w:vertAlign w:val="superscript"/>
              </w:rPr>
              <w:t xml:space="preserve"> 1</w:t>
            </w:r>
          </w:p>
        </w:tc>
        <w:tc>
          <w:tcPr>
            <w:tcW w:w="1170" w:type="dxa"/>
            <w:tcBorders>
              <w:right w:val="single" w:sz="12" w:space="0" w:color="auto"/>
            </w:tcBorders>
            <w:noWrap/>
          </w:tcPr>
          <w:p w14:paraId="02F9E0D5" w14:textId="77777777" w:rsidR="00FF3454" w:rsidRPr="00FF3454" w:rsidRDefault="009C7E0B" w:rsidP="00FF3454">
            <w:pPr>
              <w:jc w:val="left"/>
              <w:rPr>
                <w:sz w:val="22"/>
                <w:szCs w:val="22"/>
              </w:rPr>
            </w:pPr>
            <w:r>
              <w:rPr>
                <w:sz w:val="22"/>
                <w:szCs w:val="22"/>
              </w:rPr>
              <w:t>184</w:t>
            </w:r>
            <w:r w:rsidR="00A15027">
              <w:rPr>
                <w:sz w:val="22"/>
                <w:szCs w:val="22"/>
              </w:rPr>
              <w:t xml:space="preserve"> (6.</w:t>
            </w:r>
            <w:r>
              <w:rPr>
                <w:sz w:val="22"/>
                <w:szCs w:val="22"/>
              </w:rPr>
              <w:t>9</w:t>
            </w:r>
            <w:r w:rsidR="00A15027">
              <w:rPr>
                <w:sz w:val="22"/>
                <w:szCs w:val="22"/>
              </w:rPr>
              <w:t>)</w:t>
            </w:r>
          </w:p>
        </w:tc>
        <w:tc>
          <w:tcPr>
            <w:tcW w:w="1757" w:type="dxa"/>
            <w:tcBorders>
              <w:left w:val="single" w:sz="12" w:space="0" w:color="auto"/>
            </w:tcBorders>
            <w:noWrap/>
            <w:hideMark/>
          </w:tcPr>
          <w:p w14:paraId="4732EAB3" w14:textId="77777777" w:rsidR="00FF3454" w:rsidRPr="00FF3454" w:rsidRDefault="00FF3454" w:rsidP="00FF3454">
            <w:pPr>
              <w:jc w:val="left"/>
              <w:rPr>
                <w:sz w:val="22"/>
                <w:szCs w:val="22"/>
              </w:rPr>
            </w:pPr>
            <w:r w:rsidRPr="00FF3454">
              <w:rPr>
                <w:sz w:val="22"/>
                <w:szCs w:val="22"/>
              </w:rPr>
              <w:t>Healthcare support</w:t>
            </w:r>
          </w:p>
        </w:tc>
        <w:tc>
          <w:tcPr>
            <w:tcW w:w="2114" w:type="dxa"/>
            <w:noWrap/>
          </w:tcPr>
          <w:p w14:paraId="0762AC06" w14:textId="77777777" w:rsidR="00FF3454" w:rsidRPr="00FF3454" w:rsidRDefault="009C7E0B" w:rsidP="00FF3454">
            <w:pPr>
              <w:jc w:val="left"/>
              <w:rPr>
                <w:sz w:val="22"/>
                <w:szCs w:val="22"/>
              </w:rPr>
            </w:pPr>
            <w:r>
              <w:rPr>
                <w:sz w:val="22"/>
                <w:szCs w:val="22"/>
              </w:rPr>
              <w:t>57.0</w:t>
            </w:r>
            <w:r w:rsidR="00A15027">
              <w:rPr>
                <w:sz w:val="22"/>
                <w:szCs w:val="22"/>
              </w:rPr>
              <w:t xml:space="preserve"> (</w:t>
            </w:r>
            <w:r>
              <w:rPr>
                <w:sz w:val="22"/>
                <w:szCs w:val="22"/>
              </w:rPr>
              <w:t>40.7, 73.3</w:t>
            </w:r>
            <w:r w:rsidR="00A15027">
              <w:rPr>
                <w:sz w:val="22"/>
                <w:szCs w:val="22"/>
              </w:rPr>
              <w:t>)</w:t>
            </w:r>
            <w:r w:rsidR="00A15027" w:rsidRPr="002A698A">
              <w:rPr>
                <w:sz w:val="22"/>
                <w:szCs w:val="22"/>
                <w:vertAlign w:val="superscript"/>
              </w:rPr>
              <w:t xml:space="preserve"> 1</w:t>
            </w:r>
          </w:p>
        </w:tc>
        <w:tc>
          <w:tcPr>
            <w:tcW w:w="1079" w:type="dxa"/>
            <w:noWrap/>
          </w:tcPr>
          <w:p w14:paraId="6F6E283C" w14:textId="77777777" w:rsidR="00FF3454" w:rsidRPr="00FF3454" w:rsidRDefault="009C7E0B" w:rsidP="00FF3454">
            <w:pPr>
              <w:jc w:val="left"/>
              <w:rPr>
                <w:sz w:val="22"/>
                <w:szCs w:val="22"/>
              </w:rPr>
            </w:pPr>
            <w:r>
              <w:rPr>
                <w:sz w:val="22"/>
                <w:szCs w:val="22"/>
              </w:rPr>
              <w:t>94</w:t>
            </w:r>
            <w:r w:rsidR="00A15027">
              <w:rPr>
                <w:sz w:val="22"/>
                <w:szCs w:val="22"/>
              </w:rPr>
              <w:t xml:space="preserve"> (13.</w:t>
            </w:r>
            <w:r>
              <w:rPr>
                <w:sz w:val="22"/>
                <w:szCs w:val="22"/>
              </w:rPr>
              <w:t>4</w:t>
            </w:r>
            <w:r w:rsidR="00A15027">
              <w:rPr>
                <w:sz w:val="22"/>
                <w:szCs w:val="22"/>
              </w:rPr>
              <w:t>)</w:t>
            </w:r>
          </w:p>
        </w:tc>
      </w:tr>
      <w:tr w:rsidR="00A15027" w:rsidRPr="00FF3454" w14:paraId="11618E9B" w14:textId="77777777" w:rsidTr="00E64123">
        <w:trPr>
          <w:trHeight w:val="300"/>
        </w:trPr>
        <w:tc>
          <w:tcPr>
            <w:tcW w:w="2155" w:type="dxa"/>
            <w:noWrap/>
            <w:hideMark/>
          </w:tcPr>
          <w:p w14:paraId="5DCF2AD0" w14:textId="77777777" w:rsidR="00FF3454" w:rsidRPr="00FF3454" w:rsidRDefault="009C7E0B" w:rsidP="00FF3454">
            <w:pPr>
              <w:jc w:val="left"/>
              <w:rPr>
                <w:sz w:val="22"/>
                <w:szCs w:val="22"/>
              </w:rPr>
            </w:pPr>
            <w:r w:rsidRPr="00FF3454">
              <w:rPr>
                <w:sz w:val="22"/>
                <w:szCs w:val="22"/>
              </w:rPr>
              <w:t>Building/grounds cleaning &amp; maintenance</w:t>
            </w:r>
          </w:p>
        </w:tc>
        <w:tc>
          <w:tcPr>
            <w:tcW w:w="2160" w:type="dxa"/>
            <w:noWrap/>
          </w:tcPr>
          <w:p w14:paraId="6FAA59FB" w14:textId="77777777" w:rsidR="00FF3454" w:rsidRPr="00FF3454" w:rsidRDefault="009C7E0B" w:rsidP="00FF3454">
            <w:pPr>
              <w:jc w:val="left"/>
              <w:rPr>
                <w:sz w:val="22"/>
                <w:szCs w:val="22"/>
              </w:rPr>
            </w:pPr>
            <w:r>
              <w:rPr>
                <w:sz w:val="22"/>
                <w:szCs w:val="22"/>
              </w:rPr>
              <w:t>124.2</w:t>
            </w:r>
            <w:r w:rsidR="00A15027">
              <w:rPr>
                <w:sz w:val="22"/>
                <w:szCs w:val="22"/>
              </w:rPr>
              <w:t xml:space="preserve"> (</w:t>
            </w:r>
            <w:r>
              <w:rPr>
                <w:sz w:val="22"/>
                <w:szCs w:val="22"/>
              </w:rPr>
              <w:t>99.2, 149.3</w:t>
            </w:r>
            <w:r w:rsidR="00A15027">
              <w:rPr>
                <w:sz w:val="22"/>
                <w:szCs w:val="22"/>
              </w:rPr>
              <w:t>)</w:t>
            </w:r>
            <w:r w:rsidR="00A15027" w:rsidRPr="002A698A">
              <w:rPr>
                <w:sz w:val="22"/>
                <w:szCs w:val="22"/>
                <w:vertAlign w:val="superscript"/>
              </w:rPr>
              <w:t xml:space="preserve"> 1</w:t>
            </w:r>
          </w:p>
        </w:tc>
        <w:tc>
          <w:tcPr>
            <w:tcW w:w="1170" w:type="dxa"/>
            <w:tcBorders>
              <w:right w:val="single" w:sz="12" w:space="0" w:color="auto"/>
            </w:tcBorders>
            <w:noWrap/>
          </w:tcPr>
          <w:p w14:paraId="754AEC04" w14:textId="77777777" w:rsidR="00FF3454" w:rsidRPr="00FF3454" w:rsidRDefault="009C7E0B" w:rsidP="00FF3454">
            <w:pPr>
              <w:jc w:val="left"/>
              <w:rPr>
                <w:sz w:val="22"/>
                <w:szCs w:val="22"/>
              </w:rPr>
            </w:pPr>
            <w:r>
              <w:rPr>
                <w:sz w:val="22"/>
                <w:szCs w:val="22"/>
              </w:rPr>
              <w:t>189</w:t>
            </w:r>
            <w:r w:rsidR="00A15027">
              <w:rPr>
                <w:sz w:val="22"/>
                <w:szCs w:val="22"/>
              </w:rPr>
              <w:t xml:space="preserve"> (</w:t>
            </w:r>
            <w:r>
              <w:rPr>
                <w:sz w:val="22"/>
                <w:szCs w:val="22"/>
              </w:rPr>
              <w:t>7.1</w:t>
            </w:r>
            <w:r w:rsidR="00A15027">
              <w:rPr>
                <w:sz w:val="22"/>
                <w:szCs w:val="22"/>
              </w:rPr>
              <w:t>)</w:t>
            </w:r>
          </w:p>
        </w:tc>
        <w:tc>
          <w:tcPr>
            <w:tcW w:w="1757" w:type="dxa"/>
            <w:tcBorders>
              <w:left w:val="single" w:sz="12" w:space="0" w:color="auto"/>
            </w:tcBorders>
            <w:noWrap/>
            <w:hideMark/>
          </w:tcPr>
          <w:p w14:paraId="564D3CC7" w14:textId="77777777" w:rsidR="00FF3454" w:rsidRPr="00FF3454" w:rsidRDefault="00FF3454" w:rsidP="00FF3454">
            <w:pPr>
              <w:jc w:val="left"/>
              <w:rPr>
                <w:sz w:val="22"/>
                <w:szCs w:val="22"/>
              </w:rPr>
            </w:pPr>
            <w:r w:rsidRPr="00FF3454">
              <w:rPr>
                <w:sz w:val="22"/>
                <w:szCs w:val="22"/>
              </w:rPr>
              <w:t>Food preparation and serving related</w:t>
            </w:r>
          </w:p>
        </w:tc>
        <w:tc>
          <w:tcPr>
            <w:tcW w:w="2114" w:type="dxa"/>
            <w:noWrap/>
          </w:tcPr>
          <w:p w14:paraId="6C218AB6" w14:textId="77777777" w:rsidR="00FF3454" w:rsidRPr="00FF3454" w:rsidRDefault="009C7E0B" w:rsidP="00FF3454">
            <w:pPr>
              <w:jc w:val="left"/>
              <w:rPr>
                <w:sz w:val="22"/>
                <w:szCs w:val="22"/>
              </w:rPr>
            </w:pPr>
            <w:r>
              <w:rPr>
                <w:sz w:val="22"/>
                <w:szCs w:val="22"/>
              </w:rPr>
              <w:t>54.1</w:t>
            </w:r>
            <w:r w:rsidR="00A15027">
              <w:rPr>
                <w:sz w:val="22"/>
                <w:szCs w:val="22"/>
              </w:rPr>
              <w:t xml:space="preserve"> (</w:t>
            </w:r>
            <w:r>
              <w:rPr>
                <w:sz w:val="22"/>
                <w:szCs w:val="22"/>
              </w:rPr>
              <w:t>39.9, 68.3</w:t>
            </w:r>
            <w:r w:rsidR="00A15027">
              <w:rPr>
                <w:sz w:val="22"/>
                <w:szCs w:val="22"/>
              </w:rPr>
              <w:t>)</w:t>
            </w:r>
            <w:r w:rsidR="00A15027" w:rsidRPr="002A698A">
              <w:rPr>
                <w:sz w:val="22"/>
                <w:szCs w:val="22"/>
                <w:vertAlign w:val="superscript"/>
              </w:rPr>
              <w:t xml:space="preserve"> 1</w:t>
            </w:r>
          </w:p>
        </w:tc>
        <w:tc>
          <w:tcPr>
            <w:tcW w:w="1079" w:type="dxa"/>
            <w:noWrap/>
          </w:tcPr>
          <w:p w14:paraId="5DD361F3" w14:textId="77777777" w:rsidR="00FF3454" w:rsidRPr="00FF3454" w:rsidRDefault="009C7E0B" w:rsidP="00FF3454">
            <w:pPr>
              <w:jc w:val="left"/>
              <w:rPr>
                <w:sz w:val="22"/>
                <w:szCs w:val="22"/>
              </w:rPr>
            </w:pPr>
            <w:r>
              <w:rPr>
                <w:sz w:val="22"/>
                <w:szCs w:val="22"/>
              </w:rPr>
              <w:t>112</w:t>
            </w:r>
            <w:r w:rsidR="00A15027">
              <w:rPr>
                <w:sz w:val="22"/>
                <w:szCs w:val="22"/>
              </w:rPr>
              <w:t xml:space="preserve"> (15.</w:t>
            </w:r>
            <w:r>
              <w:rPr>
                <w:sz w:val="22"/>
                <w:szCs w:val="22"/>
              </w:rPr>
              <w:t>9</w:t>
            </w:r>
            <w:r w:rsidR="00A15027">
              <w:rPr>
                <w:sz w:val="22"/>
                <w:szCs w:val="22"/>
              </w:rPr>
              <w:t>)</w:t>
            </w:r>
          </w:p>
        </w:tc>
      </w:tr>
      <w:tr w:rsidR="00A15027" w:rsidRPr="00FF3454" w14:paraId="701406EA" w14:textId="77777777" w:rsidTr="00E64123">
        <w:trPr>
          <w:trHeight w:val="300"/>
        </w:trPr>
        <w:tc>
          <w:tcPr>
            <w:tcW w:w="2155" w:type="dxa"/>
            <w:noWrap/>
            <w:hideMark/>
          </w:tcPr>
          <w:p w14:paraId="66A8964A" w14:textId="77777777" w:rsidR="00FF3454" w:rsidRPr="00FF3454" w:rsidRDefault="009C7E0B" w:rsidP="00FF3454">
            <w:pPr>
              <w:jc w:val="left"/>
              <w:rPr>
                <w:sz w:val="22"/>
                <w:szCs w:val="22"/>
              </w:rPr>
            </w:pPr>
            <w:r>
              <w:rPr>
                <w:sz w:val="22"/>
                <w:szCs w:val="22"/>
              </w:rPr>
              <w:t>Food preparation and serving related</w:t>
            </w:r>
          </w:p>
        </w:tc>
        <w:tc>
          <w:tcPr>
            <w:tcW w:w="2160" w:type="dxa"/>
            <w:noWrap/>
          </w:tcPr>
          <w:p w14:paraId="6C9A87BF" w14:textId="77777777" w:rsidR="00FF3454" w:rsidRPr="00FF3454" w:rsidRDefault="009C7E0B" w:rsidP="00FF3454">
            <w:pPr>
              <w:jc w:val="left"/>
              <w:rPr>
                <w:sz w:val="22"/>
                <w:szCs w:val="22"/>
              </w:rPr>
            </w:pPr>
            <w:r>
              <w:rPr>
                <w:sz w:val="22"/>
                <w:szCs w:val="22"/>
              </w:rPr>
              <w:t>105.9</w:t>
            </w:r>
            <w:r w:rsidR="00A15027">
              <w:rPr>
                <w:sz w:val="22"/>
                <w:szCs w:val="22"/>
              </w:rPr>
              <w:t xml:space="preserve"> (</w:t>
            </w:r>
            <w:r>
              <w:rPr>
                <w:sz w:val="22"/>
                <w:szCs w:val="22"/>
              </w:rPr>
              <w:t>84.8, 127.0</w:t>
            </w:r>
            <w:r w:rsidR="00A15027">
              <w:rPr>
                <w:sz w:val="22"/>
                <w:szCs w:val="22"/>
              </w:rPr>
              <w:t>)</w:t>
            </w:r>
            <w:r w:rsidR="00A15027" w:rsidRPr="002A698A">
              <w:rPr>
                <w:sz w:val="22"/>
                <w:szCs w:val="22"/>
                <w:vertAlign w:val="superscript"/>
              </w:rPr>
              <w:t xml:space="preserve"> 1</w:t>
            </w:r>
          </w:p>
        </w:tc>
        <w:tc>
          <w:tcPr>
            <w:tcW w:w="1170" w:type="dxa"/>
            <w:tcBorders>
              <w:right w:val="single" w:sz="12" w:space="0" w:color="auto"/>
            </w:tcBorders>
            <w:noWrap/>
          </w:tcPr>
          <w:p w14:paraId="7F5695AE" w14:textId="77777777" w:rsidR="00FF3454" w:rsidRPr="00FF3454" w:rsidRDefault="009C7E0B" w:rsidP="00FF3454">
            <w:pPr>
              <w:jc w:val="left"/>
              <w:rPr>
                <w:sz w:val="22"/>
                <w:szCs w:val="22"/>
              </w:rPr>
            </w:pPr>
            <w:r>
              <w:rPr>
                <w:sz w:val="22"/>
                <w:szCs w:val="22"/>
              </w:rPr>
              <w:t>194</w:t>
            </w:r>
            <w:r w:rsidR="00A15027">
              <w:rPr>
                <w:sz w:val="22"/>
                <w:szCs w:val="22"/>
              </w:rPr>
              <w:t xml:space="preserve"> (</w:t>
            </w:r>
            <w:r>
              <w:rPr>
                <w:sz w:val="22"/>
                <w:szCs w:val="22"/>
              </w:rPr>
              <w:t>7.3</w:t>
            </w:r>
            <w:r w:rsidR="00A15027">
              <w:rPr>
                <w:sz w:val="22"/>
                <w:szCs w:val="22"/>
              </w:rPr>
              <w:t>)</w:t>
            </w:r>
          </w:p>
        </w:tc>
        <w:tc>
          <w:tcPr>
            <w:tcW w:w="1757" w:type="dxa"/>
            <w:tcBorders>
              <w:left w:val="single" w:sz="12" w:space="0" w:color="auto"/>
            </w:tcBorders>
            <w:noWrap/>
            <w:hideMark/>
          </w:tcPr>
          <w:p w14:paraId="37B9389C" w14:textId="77777777" w:rsidR="00FF3454" w:rsidRPr="00FF3454" w:rsidRDefault="000B3CAD" w:rsidP="00FF3454">
            <w:pPr>
              <w:jc w:val="left"/>
              <w:rPr>
                <w:sz w:val="22"/>
                <w:szCs w:val="22"/>
              </w:rPr>
            </w:pPr>
            <w:r>
              <w:rPr>
                <w:sz w:val="22"/>
                <w:szCs w:val="22"/>
              </w:rPr>
              <w:t>Personal care and service</w:t>
            </w:r>
          </w:p>
        </w:tc>
        <w:tc>
          <w:tcPr>
            <w:tcW w:w="2114" w:type="dxa"/>
            <w:noWrap/>
          </w:tcPr>
          <w:p w14:paraId="57BD9103" w14:textId="77777777" w:rsidR="00FF3454" w:rsidRPr="00FF3454" w:rsidRDefault="009C7E0B" w:rsidP="00FF3454">
            <w:pPr>
              <w:jc w:val="left"/>
              <w:rPr>
                <w:sz w:val="22"/>
                <w:szCs w:val="22"/>
              </w:rPr>
            </w:pPr>
            <w:r>
              <w:rPr>
                <w:sz w:val="22"/>
                <w:szCs w:val="22"/>
              </w:rPr>
              <w:t>42.8</w:t>
            </w:r>
            <w:r w:rsidR="00A15027">
              <w:rPr>
                <w:sz w:val="22"/>
                <w:szCs w:val="22"/>
              </w:rPr>
              <w:t xml:space="preserve"> (</w:t>
            </w:r>
            <w:r>
              <w:rPr>
                <w:sz w:val="22"/>
                <w:szCs w:val="22"/>
              </w:rPr>
              <w:t>30.4, 55.2</w:t>
            </w:r>
            <w:r w:rsidR="00A15027">
              <w:rPr>
                <w:sz w:val="22"/>
                <w:szCs w:val="22"/>
              </w:rPr>
              <w:t>)</w:t>
            </w:r>
            <w:r w:rsidR="00EA27F8" w:rsidRPr="002A698A">
              <w:rPr>
                <w:sz w:val="22"/>
                <w:szCs w:val="22"/>
                <w:vertAlign w:val="superscript"/>
              </w:rPr>
              <w:t xml:space="preserve"> </w:t>
            </w:r>
          </w:p>
        </w:tc>
        <w:tc>
          <w:tcPr>
            <w:tcW w:w="1079" w:type="dxa"/>
            <w:noWrap/>
          </w:tcPr>
          <w:p w14:paraId="1E70FFDA" w14:textId="77777777" w:rsidR="00FF3454" w:rsidRPr="00FF3454" w:rsidRDefault="009C7E0B" w:rsidP="00FF3454">
            <w:pPr>
              <w:jc w:val="left"/>
              <w:rPr>
                <w:sz w:val="22"/>
                <w:szCs w:val="22"/>
              </w:rPr>
            </w:pPr>
            <w:r>
              <w:rPr>
                <w:sz w:val="22"/>
                <w:szCs w:val="22"/>
              </w:rPr>
              <w:t>91</w:t>
            </w:r>
            <w:r w:rsidR="00A15027">
              <w:rPr>
                <w:sz w:val="22"/>
                <w:szCs w:val="22"/>
              </w:rPr>
              <w:t xml:space="preserve"> (</w:t>
            </w:r>
            <w:r>
              <w:rPr>
                <w:sz w:val="22"/>
                <w:szCs w:val="22"/>
              </w:rPr>
              <w:t>12.9</w:t>
            </w:r>
            <w:r w:rsidR="00A15027">
              <w:rPr>
                <w:sz w:val="22"/>
                <w:szCs w:val="22"/>
              </w:rPr>
              <w:t>)</w:t>
            </w:r>
          </w:p>
        </w:tc>
      </w:tr>
      <w:tr w:rsidR="00A15027" w:rsidRPr="00FF3454" w14:paraId="0EA81707" w14:textId="77777777" w:rsidTr="00E64123">
        <w:trPr>
          <w:trHeight w:val="300"/>
        </w:trPr>
        <w:tc>
          <w:tcPr>
            <w:tcW w:w="2155" w:type="dxa"/>
            <w:noWrap/>
            <w:hideMark/>
          </w:tcPr>
          <w:p w14:paraId="4B5A2C1A" w14:textId="77777777" w:rsidR="00FF3454" w:rsidRPr="00FF3454" w:rsidRDefault="00FF3454" w:rsidP="00FF3454">
            <w:pPr>
              <w:jc w:val="left"/>
              <w:rPr>
                <w:b/>
                <w:sz w:val="22"/>
                <w:szCs w:val="22"/>
              </w:rPr>
            </w:pPr>
            <w:r w:rsidRPr="00FF3454">
              <w:rPr>
                <w:b/>
                <w:sz w:val="22"/>
                <w:szCs w:val="22"/>
              </w:rPr>
              <w:t>All Occupations</w:t>
            </w:r>
          </w:p>
        </w:tc>
        <w:tc>
          <w:tcPr>
            <w:tcW w:w="2160" w:type="dxa"/>
            <w:noWrap/>
          </w:tcPr>
          <w:p w14:paraId="5D5ACD44" w14:textId="77777777" w:rsidR="00FF3454" w:rsidRPr="00FF3454" w:rsidRDefault="009C7E0B" w:rsidP="00FF3454">
            <w:pPr>
              <w:jc w:val="left"/>
              <w:rPr>
                <w:b/>
                <w:sz w:val="22"/>
                <w:szCs w:val="22"/>
              </w:rPr>
            </w:pPr>
            <w:r>
              <w:rPr>
                <w:b/>
                <w:sz w:val="22"/>
                <w:szCs w:val="22"/>
              </w:rPr>
              <w:t>72.3</w:t>
            </w:r>
            <w:r w:rsidR="00A15027">
              <w:rPr>
                <w:b/>
                <w:sz w:val="22"/>
                <w:szCs w:val="22"/>
              </w:rPr>
              <w:t xml:space="preserve"> (</w:t>
            </w:r>
            <w:r>
              <w:rPr>
                <w:b/>
                <w:sz w:val="22"/>
                <w:szCs w:val="22"/>
              </w:rPr>
              <w:t>68.4, 76.2</w:t>
            </w:r>
            <w:r w:rsidR="00A15027">
              <w:rPr>
                <w:b/>
                <w:sz w:val="22"/>
                <w:szCs w:val="22"/>
              </w:rPr>
              <w:t>)</w:t>
            </w:r>
          </w:p>
        </w:tc>
        <w:tc>
          <w:tcPr>
            <w:tcW w:w="1170" w:type="dxa"/>
            <w:tcBorders>
              <w:right w:val="single" w:sz="12" w:space="0" w:color="auto"/>
            </w:tcBorders>
            <w:noWrap/>
          </w:tcPr>
          <w:p w14:paraId="7F819226" w14:textId="77777777" w:rsidR="00FF3454" w:rsidRPr="00FF3454" w:rsidRDefault="009C7E0B" w:rsidP="00FF3454">
            <w:pPr>
              <w:jc w:val="left"/>
              <w:rPr>
                <w:b/>
                <w:sz w:val="22"/>
                <w:szCs w:val="22"/>
              </w:rPr>
            </w:pPr>
            <w:r w:rsidRPr="00C84DAA">
              <w:rPr>
                <w:b/>
                <w:sz w:val="22"/>
                <w:szCs w:val="22"/>
              </w:rPr>
              <w:t>2,651</w:t>
            </w:r>
            <w:r w:rsidR="00A15027" w:rsidRPr="00C84DAA">
              <w:rPr>
                <w:b/>
                <w:sz w:val="22"/>
                <w:szCs w:val="22"/>
              </w:rPr>
              <w:t xml:space="preserve"> (100)</w:t>
            </w:r>
          </w:p>
        </w:tc>
        <w:tc>
          <w:tcPr>
            <w:tcW w:w="1757" w:type="dxa"/>
            <w:tcBorders>
              <w:left w:val="single" w:sz="12" w:space="0" w:color="auto"/>
            </w:tcBorders>
            <w:noWrap/>
            <w:hideMark/>
          </w:tcPr>
          <w:p w14:paraId="28D0C3F3" w14:textId="77777777" w:rsidR="00FF3454" w:rsidRPr="00FF3454" w:rsidRDefault="00FF3454" w:rsidP="00FF3454">
            <w:pPr>
              <w:jc w:val="left"/>
              <w:rPr>
                <w:b/>
                <w:sz w:val="22"/>
                <w:szCs w:val="22"/>
              </w:rPr>
            </w:pPr>
            <w:r w:rsidRPr="00FF3454">
              <w:rPr>
                <w:b/>
                <w:sz w:val="22"/>
                <w:szCs w:val="22"/>
              </w:rPr>
              <w:t>All Occupations</w:t>
            </w:r>
          </w:p>
        </w:tc>
        <w:tc>
          <w:tcPr>
            <w:tcW w:w="2114" w:type="dxa"/>
            <w:noWrap/>
          </w:tcPr>
          <w:p w14:paraId="6BFA1CC3" w14:textId="77777777" w:rsidR="00FF3454" w:rsidRPr="00FF3454" w:rsidRDefault="009C7E0B" w:rsidP="00FF3454">
            <w:pPr>
              <w:jc w:val="left"/>
              <w:rPr>
                <w:b/>
                <w:sz w:val="22"/>
                <w:szCs w:val="22"/>
              </w:rPr>
            </w:pPr>
            <w:r>
              <w:rPr>
                <w:b/>
                <w:sz w:val="22"/>
                <w:szCs w:val="22"/>
              </w:rPr>
              <w:t>19.9</w:t>
            </w:r>
            <w:r w:rsidR="00A15027">
              <w:rPr>
                <w:b/>
                <w:sz w:val="22"/>
                <w:szCs w:val="22"/>
              </w:rPr>
              <w:t xml:space="preserve"> (</w:t>
            </w:r>
            <w:r>
              <w:rPr>
                <w:b/>
                <w:sz w:val="22"/>
                <w:szCs w:val="22"/>
              </w:rPr>
              <w:t>17.8, 22.0</w:t>
            </w:r>
            <w:r w:rsidR="00A15027">
              <w:rPr>
                <w:b/>
                <w:sz w:val="22"/>
                <w:szCs w:val="22"/>
              </w:rPr>
              <w:t>)</w:t>
            </w:r>
          </w:p>
        </w:tc>
        <w:tc>
          <w:tcPr>
            <w:tcW w:w="1079" w:type="dxa"/>
            <w:noWrap/>
          </w:tcPr>
          <w:p w14:paraId="752E5CB9" w14:textId="77777777" w:rsidR="00FF3454" w:rsidRPr="00FF3454" w:rsidRDefault="009C7E0B" w:rsidP="00FF3454">
            <w:pPr>
              <w:jc w:val="left"/>
              <w:rPr>
                <w:b/>
                <w:sz w:val="22"/>
                <w:szCs w:val="22"/>
              </w:rPr>
            </w:pPr>
            <w:r>
              <w:rPr>
                <w:b/>
                <w:sz w:val="22"/>
                <w:szCs w:val="22"/>
              </w:rPr>
              <w:t>703</w:t>
            </w:r>
            <w:r w:rsidR="00A15027">
              <w:rPr>
                <w:b/>
                <w:sz w:val="22"/>
                <w:szCs w:val="22"/>
              </w:rPr>
              <w:t xml:space="preserve"> (100)</w:t>
            </w:r>
          </w:p>
        </w:tc>
      </w:tr>
    </w:tbl>
    <w:p w14:paraId="618817B8" w14:textId="77777777" w:rsidR="00FF3454" w:rsidRPr="00A54201" w:rsidRDefault="00FF3454" w:rsidP="00FF3454">
      <w:pPr>
        <w:jc w:val="left"/>
        <w:rPr>
          <w:sz w:val="18"/>
          <w:szCs w:val="18"/>
        </w:rPr>
      </w:pPr>
      <w:r w:rsidRPr="004E4CF4">
        <w:rPr>
          <w:sz w:val="18"/>
          <w:szCs w:val="18"/>
          <w:vertAlign w:val="superscript"/>
        </w:rPr>
        <w:t>1</w:t>
      </w:r>
      <w:r w:rsidRPr="004E4CF4">
        <w:rPr>
          <w:sz w:val="18"/>
          <w:szCs w:val="18"/>
        </w:rPr>
        <w:t xml:space="preserve">Rate significantly higher than rate for all </w:t>
      </w:r>
      <w:r w:rsidR="00EA27F8" w:rsidRPr="004E4CF4">
        <w:rPr>
          <w:sz w:val="18"/>
          <w:szCs w:val="18"/>
        </w:rPr>
        <w:t xml:space="preserve">occupation </w:t>
      </w:r>
      <w:r w:rsidRPr="004E4CF4">
        <w:rPr>
          <w:sz w:val="18"/>
          <w:szCs w:val="18"/>
        </w:rPr>
        <w:t>categories</w:t>
      </w:r>
    </w:p>
    <w:p w14:paraId="3D02E62E" w14:textId="77777777" w:rsidR="000068FD" w:rsidRPr="005A6D0D" w:rsidRDefault="000068FD" w:rsidP="000068FD">
      <w:pPr>
        <w:jc w:val="left"/>
        <w:rPr>
          <w:sz w:val="18"/>
          <w:szCs w:val="18"/>
        </w:rPr>
      </w:pPr>
      <w:r w:rsidRPr="005A6D0D">
        <w:rPr>
          <w:sz w:val="18"/>
          <w:szCs w:val="18"/>
        </w:rPr>
        <w:t>Numerator source: Occupational Health Surveillance Program, 201</w:t>
      </w:r>
      <w:r w:rsidR="009C7E0B">
        <w:rPr>
          <w:sz w:val="18"/>
          <w:szCs w:val="18"/>
        </w:rPr>
        <w:t>6</w:t>
      </w:r>
      <w:r w:rsidRPr="005A6D0D">
        <w:rPr>
          <w:sz w:val="18"/>
          <w:szCs w:val="18"/>
        </w:rPr>
        <w:t>-201</w:t>
      </w:r>
      <w:r w:rsidR="00A15027">
        <w:rPr>
          <w:sz w:val="18"/>
          <w:szCs w:val="18"/>
        </w:rPr>
        <w:t>7</w:t>
      </w:r>
    </w:p>
    <w:p w14:paraId="3345419D" w14:textId="77777777" w:rsidR="000068FD" w:rsidRDefault="000068FD" w:rsidP="000068FD">
      <w:pPr>
        <w:jc w:val="left"/>
        <w:rPr>
          <w:sz w:val="18"/>
          <w:szCs w:val="18"/>
        </w:rPr>
      </w:pPr>
      <w:r w:rsidRPr="005A6D0D">
        <w:rPr>
          <w:sz w:val="18"/>
          <w:szCs w:val="18"/>
        </w:rPr>
        <w:t>Denominator source: American Community Survey, 201</w:t>
      </w:r>
      <w:r w:rsidR="009C7E0B">
        <w:rPr>
          <w:sz w:val="18"/>
          <w:szCs w:val="18"/>
        </w:rPr>
        <w:t>6</w:t>
      </w:r>
      <w:r w:rsidRPr="005A6D0D">
        <w:rPr>
          <w:sz w:val="18"/>
          <w:szCs w:val="18"/>
        </w:rPr>
        <w:t>-201</w:t>
      </w:r>
      <w:r w:rsidR="00A15027">
        <w:rPr>
          <w:sz w:val="18"/>
          <w:szCs w:val="18"/>
        </w:rPr>
        <w:t>7</w:t>
      </w:r>
    </w:p>
    <w:p w14:paraId="02F2E1C8" w14:textId="77777777" w:rsidR="00FF3454" w:rsidRDefault="00FF3454" w:rsidP="00194C3C">
      <w:pPr>
        <w:jc w:val="left"/>
      </w:pPr>
    </w:p>
    <w:p w14:paraId="3ACC5C8B" w14:textId="77777777" w:rsidR="006220CF" w:rsidRDefault="006220CF" w:rsidP="000F291B">
      <w:pPr>
        <w:jc w:val="both"/>
        <w:rPr>
          <w:b/>
          <w:i/>
          <w:color w:val="1F497D" w:themeColor="text2"/>
        </w:rPr>
      </w:pPr>
    </w:p>
    <w:p w14:paraId="4D0724C1" w14:textId="77777777" w:rsidR="0023721D" w:rsidRPr="000F291B" w:rsidRDefault="00C11ED3" w:rsidP="000F291B">
      <w:pPr>
        <w:jc w:val="both"/>
      </w:pPr>
      <w:r>
        <w:rPr>
          <w:b/>
          <w:i/>
          <w:color w:val="1F497D" w:themeColor="text2"/>
        </w:rPr>
        <w:t xml:space="preserve">Deaths by </w:t>
      </w:r>
      <w:r w:rsidR="0023721D" w:rsidRPr="00CD29DB">
        <w:rPr>
          <w:b/>
          <w:i/>
          <w:color w:val="1F497D" w:themeColor="text2"/>
        </w:rPr>
        <w:t xml:space="preserve">Race/Ethnicity </w:t>
      </w:r>
      <w:r>
        <w:rPr>
          <w:b/>
          <w:i/>
          <w:color w:val="1F497D" w:themeColor="text2"/>
        </w:rPr>
        <w:t>and Occupation</w:t>
      </w:r>
    </w:p>
    <w:p w14:paraId="2619CBF1" w14:textId="77777777" w:rsidR="0023721D" w:rsidRDefault="0023721D" w:rsidP="00E854CB">
      <w:pPr>
        <w:jc w:val="left"/>
      </w:pPr>
    </w:p>
    <w:p w14:paraId="46B1AF7F" w14:textId="77777777" w:rsidR="00093F26" w:rsidRPr="000905F5" w:rsidRDefault="00093F26" w:rsidP="000905F5">
      <w:pPr>
        <w:jc w:val="left"/>
      </w:pPr>
      <w:r w:rsidRPr="000905F5">
        <w:t xml:space="preserve">Similar to findings for all </w:t>
      </w:r>
      <w:r w:rsidR="0007088F">
        <w:t>ORODs</w:t>
      </w:r>
      <w:r w:rsidRPr="000905F5">
        <w:t xml:space="preserve"> </w:t>
      </w:r>
      <w:r w:rsidR="00373B67">
        <w:t xml:space="preserve">by race/ethnicity </w:t>
      </w:r>
      <w:r w:rsidRPr="000905F5">
        <w:t>among</w:t>
      </w:r>
      <w:r w:rsidR="0037156D">
        <w:t xml:space="preserve"> all</w:t>
      </w:r>
      <w:r w:rsidRPr="000905F5">
        <w:t xml:space="preserve"> Massachusetts residents, the </w:t>
      </w:r>
      <w:r w:rsidR="00574EE1">
        <w:t xml:space="preserve">overall </w:t>
      </w:r>
      <w:r w:rsidRPr="000905F5">
        <w:t xml:space="preserve">rate of </w:t>
      </w:r>
      <w:r w:rsidR="0007088F">
        <w:t>OROD</w:t>
      </w:r>
      <w:r w:rsidRPr="000905F5">
        <w:t xml:space="preserve"> was significantly </w:t>
      </w:r>
      <w:r w:rsidRPr="005B7DD9">
        <w:t xml:space="preserve">higher among </w:t>
      </w:r>
      <w:r w:rsidR="00CF1907">
        <w:t>white,</w:t>
      </w:r>
      <w:r w:rsidR="00FE521F">
        <w:t xml:space="preserve"> </w:t>
      </w:r>
      <w:r w:rsidR="00CF1907">
        <w:t>no</w:t>
      </w:r>
      <w:r w:rsidR="00FE521F">
        <w:t>n</w:t>
      </w:r>
      <w:r w:rsidR="00CF1907">
        <w:t xml:space="preserve">-Hispanic workers (35.4 per 100,000 workers) </w:t>
      </w:r>
      <w:r w:rsidRPr="005B7DD9">
        <w:t>compared with Hispanic (</w:t>
      </w:r>
      <w:r w:rsidR="00574EE1" w:rsidRPr="005B7DD9">
        <w:t>30.0</w:t>
      </w:r>
      <w:r w:rsidRPr="005B7DD9">
        <w:t>),</w:t>
      </w:r>
      <w:r w:rsidR="00CF1907">
        <w:t xml:space="preserve"> and</w:t>
      </w:r>
      <w:r w:rsidRPr="005B7DD9">
        <w:t xml:space="preserve"> </w:t>
      </w:r>
      <w:r w:rsidR="00574EE1" w:rsidRPr="005B7DD9">
        <w:t>B</w:t>
      </w:r>
      <w:r w:rsidRPr="005B7DD9">
        <w:t>lack, non-Hispanic (</w:t>
      </w:r>
      <w:r w:rsidR="00574EE1" w:rsidRPr="005B7DD9">
        <w:t>20.4</w:t>
      </w:r>
      <w:r w:rsidRPr="005B7DD9">
        <w:t>)</w:t>
      </w:r>
      <w:r w:rsidR="00CF1907">
        <w:t xml:space="preserve"> workers </w:t>
      </w:r>
      <w:r w:rsidR="00331A19" w:rsidRPr="005B7DD9">
        <w:t>(</w:t>
      </w:r>
      <w:r w:rsidR="0007088F">
        <w:t>data not shown</w:t>
      </w:r>
      <w:r w:rsidR="00331A19" w:rsidRPr="005B7DD9">
        <w:t>)</w:t>
      </w:r>
      <w:r w:rsidR="00D40235" w:rsidRPr="005B7DD9">
        <w:t>.</w:t>
      </w:r>
      <w:r w:rsidR="006522CB" w:rsidRPr="006522CB">
        <w:rPr>
          <w:vertAlign w:val="superscript"/>
        </w:rPr>
        <w:t>13</w:t>
      </w:r>
      <w:r w:rsidR="00D40235" w:rsidRPr="005B7DD9">
        <w:t xml:space="preserve"> It is important to note, </w:t>
      </w:r>
      <w:r w:rsidR="005D15CD">
        <w:t xml:space="preserve">using data from 2011-2017, </w:t>
      </w:r>
      <w:r w:rsidR="00D40235" w:rsidRPr="005B7DD9">
        <w:t>the rates for Hispani</w:t>
      </w:r>
      <w:r w:rsidR="00331A19" w:rsidRPr="005B7DD9">
        <w:t>c</w:t>
      </w:r>
      <w:r w:rsidR="00D40235" w:rsidRPr="005B7DD9">
        <w:t xml:space="preserve">, </w:t>
      </w:r>
      <w:r w:rsidR="00574EE1" w:rsidRPr="005B7DD9">
        <w:t>and B</w:t>
      </w:r>
      <w:r w:rsidR="00D40235" w:rsidRPr="005B7DD9">
        <w:t>lack, non-Hispanic</w:t>
      </w:r>
      <w:r w:rsidR="00574EE1">
        <w:t xml:space="preserve"> </w:t>
      </w:r>
      <w:r w:rsidR="00331A19" w:rsidRPr="000905F5">
        <w:t>workers</w:t>
      </w:r>
      <w:r w:rsidR="00D40235" w:rsidRPr="000905F5">
        <w:t xml:space="preserve"> may be underestimated </w:t>
      </w:r>
      <w:r w:rsidR="00F363F2" w:rsidRPr="000905F5">
        <w:t>because the death certificates among these racial/ethnic groups were more like</w:t>
      </w:r>
      <w:r w:rsidR="007D5E31" w:rsidRPr="007D5E31">
        <w:t>ly to have missing industry and</w:t>
      </w:r>
      <w:r w:rsidR="00F363F2" w:rsidRPr="000905F5">
        <w:t xml:space="preserve"> occupation information </w:t>
      </w:r>
      <w:r w:rsidR="00373B67">
        <w:t xml:space="preserve">and </w:t>
      </w:r>
      <w:r w:rsidR="00F363F2" w:rsidRPr="000905F5">
        <w:t>therefore</w:t>
      </w:r>
      <w:r w:rsidR="00373B67">
        <w:t>, as mentioned above in the Methods section, these death certificates were excluded from the analysis</w:t>
      </w:r>
      <w:r w:rsidR="00F363F2" w:rsidRPr="000905F5">
        <w:t xml:space="preserve">. </w:t>
      </w:r>
    </w:p>
    <w:p w14:paraId="29A677E6" w14:textId="77777777" w:rsidR="00F363F2" w:rsidRPr="000905F5" w:rsidRDefault="00F363F2" w:rsidP="000905F5">
      <w:pPr>
        <w:jc w:val="left"/>
      </w:pPr>
    </w:p>
    <w:p w14:paraId="547F0C64" w14:textId="17CDFFD3" w:rsidR="00093F26" w:rsidRPr="002A67EE" w:rsidRDefault="00EB7B70" w:rsidP="000905F5">
      <w:pPr>
        <w:jc w:val="left"/>
      </w:pPr>
      <w:r>
        <w:t>A</w:t>
      </w:r>
      <w:r w:rsidR="00121A15">
        <w:t>ll seven years of available data (2011-2017)</w:t>
      </w:r>
      <w:r>
        <w:t xml:space="preserve"> were examined</w:t>
      </w:r>
      <w:r w:rsidR="00121A15">
        <w:t xml:space="preserve"> (Figure </w:t>
      </w:r>
      <w:r w:rsidR="006220CF">
        <w:t>5</w:t>
      </w:r>
      <w:r w:rsidR="00121A15">
        <w:t xml:space="preserve">). The rate </w:t>
      </w:r>
      <w:r w:rsidR="006F36F3">
        <w:t>for</w:t>
      </w:r>
      <w:r w:rsidR="00121A15">
        <w:t xml:space="preserve"> all workers, as well as </w:t>
      </w:r>
      <w:r w:rsidR="006F36F3">
        <w:t>the rates for both</w:t>
      </w:r>
      <w:r w:rsidR="00121A15">
        <w:t xml:space="preserve"> </w:t>
      </w:r>
      <w:r w:rsidR="005D15CD">
        <w:t>w</w:t>
      </w:r>
      <w:r w:rsidR="00121A15">
        <w:t>hite, non-Hispanic</w:t>
      </w:r>
      <w:r w:rsidR="006F36F3">
        <w:t>s</w:t>
      </w:r>
      <w:r w:rsidR="00121A15">
        <w:t xml:space="preserve"> and Hispanic</w:t>
      </w:r>
      <w:r w:rsidR="006F36F3">
        <w:t>s</w:t>
      </w:r>
      <w:r w:rsidR="00121A15">
        <w:t>, has increased between 2011 and 2016, with a slight decrease in 2017. However, the rate among Black, non-Hispanic</w:t>
      </w:r>
      <w:r w:rsidR="006F36F3">
        <w:t>s</w:t>
      </w:r>
      <w:r w:rsidR="00121A15">
        <w:t xml:space="preserve"> continued to increase in 2017. While none of these changes in 2017 are statistically significant, this data does mirror that of the overall statewide trend showing that the</w:t>
      </w:r>
      <w:r w:rsidR="00EA22AF">
        <w:t xml:space="preserve"> OROD</w:t>
      </w:r>
      <w:r w:rsidR="00392DDB">
        <w:t xml:space="preserve"> </w:t>
      </w:r>
      <w:r w:rsidR="00121A15">
        <w:t>rate among Black, non-Hispanics continue</w:t>
      </w:r>
      <w:r w:rsidR="00036F88">
        <w:t>d</w:t>
      </w:r>
      <w:r w:rsidR="00121A15">
        <w:t xml:space="preserve"> to rise in Massachusetts, despite rates in other racial and ethnic groups decreasing.</w:t>
      </w:r>
      <w:r w:rsidR="006522CB" w:rsidRPr="006522CB">
        <w:rPr>
          <w:vertAlign w:val="superscript"/>
        </w:rPr>
        <w:t>14</w:t>
      </w:r>
      <w:r w:rsidR="00121A15" w:rsidRPr="006522CB">
        <w:rPr>
          <w:vertAlign w:val="superscript"/>
        </w:rPr>
        <w:t xml:space="preserve"> </w:t>
      </w:r>
      <w:r w:rsidR="00017E36">
        <w:t>The rate for Hispanics in 2011 was about half the rate of white, non-Hispanics</w:t>
      </w:r>
      <w:r w:rsidR="006F5FEA">
        <w:t>;</w:t>
      </w:r>
      <w:r w:rsidR="00017E36">
        <w:t xml:space="preserve"> however</w:t>
      </w:r>
      <w:r w:rsidR="005D15CD">
        <w:t>,</w:t>
      </w:r>
      <w:r w:rsidR="006F5FEA">
        <w:t xml:space="preserve"> beginning in</w:t>
      </w:r>
      <w:r w:rsidR="00017E36">
        <w:t xml:space="preserve"> 2012</w:t>
      </w:r>
      <w:r w:rsidR="006F5FEA">
        <w:t xml:space="preserve"> Hispanics experienced</w:t>
      </w:r>
      <w:r w:rsidR="00C1330E">
        <w:t xml:space="preserve"> such</w:t>
      </w:r>
      <w:r w:rsidR="00017E36">
        <w:t xml:space="preserve"> a steep increase in the</w:t>
      </w:r>
      <w:r w:rsidR="006F5FEA">
        <w:t>ir</w:t>
      </w:r>
      <w:r w:rsidR="00017E36">
        <w:t xml:space="preserve"> rate of fatal opioid overdoses </w:t>
      </w:r>
      <w:r w:rsidR="006F5FEA">
        <w:t>that by 2016</w:t>
      </w:r>
      <w:r w:rsidR="00C1330E">
        <w:t>,</w:t>
      </w:r>
      <w:r w:rsidR="006F5FEA">
        <w:t xml:space="preserve"> it was</w:t>
      </w:r>
      <w:r w:rsidR="00017E36">
        <w:t xml:space="preserve"> similar to</w:t>
      </w:r>
      <w:r w:rsidR="00C1330E">
        <w:t xml:space="preserve"> the rate for</w:t>
      </w:r>
      <w:r w:rsidR="00017E36">
        <w:t xml:space="preserve"> white, non-Hispanics</w:t>
      </w:r>
      <w:r w:rsidR="00C1330E">
        <w:t>.</w:t>
      </w:r>
      <w:r w:rsidR="00121A15">
        <w:t xml:space="preserve"> </w:t>
      </w:r>
    </w:p>
    <w:p w14:paraId="290B3431" w14:textId="77777777" w:rsidR="006043D7" w:rsidRDefault="006043D7" w:rsidP="000905F5">
      <w:pPr>
        <w:jc w:val="left"/>
        <w:rPr>
          <w:highlight w:val="yellow"/>
        </w:rPr>
      </w:pPr>
    </w:p>
    <w:p w14:paraId="2DDE09CD" w14:textId="363A8944" w:rsidR="00A42236" w:rsidRDefault="00A42236" w:rsidP="00606112">
      <w:pPr>
        <w:jc w:val="left"/>
        <w:rPr>
          <w:b/>
          <w:noProof/>
          <w:lang w:val="en-GB" w:eastAsia="en-GB"/>
        </w:rPr>
      </w:pPr>
      <w:r w:rsidRPr="00975EAF">
        <w:rPr>
          <w:b/>
        </w:rPr>
        <w:t xml:space="preserve">Figure </w:t>
      </w:r>
      <w:r w:rsidR="006220CF">
        <w:rPr>
          <w:b/>
        </w:rPr>
        <w:t>5</w:t>
      </w:r>
      <w:r w:rsidRPr="00975EAF">
        <w:rPr>
          <w:b/>
        </w:rPr>
        <w:t>.</w:t>
      </w:r>
      <w:r w:rsidR="007373E1" w:rsidRPr="00975EAF">
        <w:rPr>
          <w:b/>
          <w:noProof/>
          <w:lang w:val="en-GB" w:eastAsia="en-GB"/>
        </w:rPr>
        <w:t xml:space="preserve"> </w:t>
      </w:r>
      <w:r w:rsidR="001A76FF" w:rsidRPr="00975EAF">
        <w:rPr>
          <w:b/>
          <w:noProof/>
          <w:lang w:val="en-GB" w:eastAsia="en-GB"/>
        </w:rPr>
        <w:t>Rate</w:t>
      </w:r>
      <w:r w:rsidR="00CA741A" w:rsidRPr="00975EAF">
        <w:rPr>
          <w:b/>
          <w:noProof/>
          <w:lang w:val="en-GB" w:eastAsia="en-GB"/>
        </w:rPr>
        <w:t xml:space="preserve"> of </w:t>
      </w:r>
      <w:r w:rsidR="0039692D">
        <w:rPr>
          <w:b/>
          <w:noProof/>
          <w:lang w:val="en-GB" w:eastAsia="en-GB"/>
        </w:rPr>
        <w:t xml:space="preserve">opioid-related overdose </w:t>
      </w:r>
      <w:r w:rsidR="001A26A5" w:rsidRPr="00975EAF">
        <w:rPr>
          <w:b/>
          <w:noProof/>
          <w:lang w:val="en-GB" w:eastAsia="en-GB"/>
        </w:rPr>
        <w:t>death</w:t>
      </w:r>
      <w:r w:rsidR="00D55D3E">
        <w:rPr>
          <w:b/>
          <w:noProof/>
          <w:lang w:val="en-GB" w:eastAsia="en-GB"/>
        </w:rPr>
        <w:t>s</w:t>
      </w:r>
      <w:r w:rsidR="00E1247F" w:rsidRPr="00975EAF">
        <w:rPr>
          <w:b/>
          <w:noProof/>
          <w:lang w:val="en-GB" w:eastAsia="en-GB"/>
        </w:rPr>
        <w:t xml:space="preserve"> by race/ethnicity</w:t>
      </w:r>
      <w:r w:rsidR="00CA741A" w:rsidRPr="00975EAF">
        <w:rPr>
          <w:b/>
          <w:noProof/>
          <w:lang w:val="en-GB" w:eastAsia="en-GB"/>
        </w:rPr>
        <w:t>, Massachusetts</w:t>
      </w:r>
      <w:r w:rsidR="00B763BF" w:rsidRPr="00975EAF">
        <w:rPr>
          <w:b/>
          <w:noProof/>
          <w:lang w:val="en-GB" w:eastAsia="en-GB"/>
        </w:rPr>
        <w:t xml:space="preserve"> workers</w:t>
      </w:r>
      <w:r w:rsidR="00CA741A" w:rsidRPr="00975EAF">
        <w:rPr>
          <w:b/>
          <w:noProof/>
          <w:lang w:val="en-GB" w:eastAsia="en-GB"/>
        </w:rPr>
        <w:t>, 2011-201</w:t>
      </w:r>
      <w:r w:rsidR="008878BD">
        <w:rPr>
          <w:b/>
          <w:noProof/>
          <w:lang w:val="en-GB" w:eastAsia="en-GB"/>
        </w:rPr>
        <w:t>7</w:t>
      </w:r>
      <w:r w:rsidR="00CA741A" w:rsidRPr="00975EAF">
        <w:rPr>
          <w:b/>
          <w:noProof/>
          <w:lang w:val="en-GB" w:eastAsia="en-GB"/>
        </w:rPr>
        <w:t xml:space="preserve">, </w:t>
      </w:r>
      <w:r w:rsidR="00335250">
        <w:rPr>
          <w:b/>
          <w:noProof/>
          <w:lang w:val="en-GB" w:eastAsia="en-GB"/>
        </w:rPr>
        <w:t>N</w:t>
      </w:r>
      <w:r w:rsidR="00CA741A" w:rsidRPr="00975EAF">
        <w:rPr>
          <w:b/>
          <w:noProof/>
          <w:lang w:val="en-GB" w:eastAsia="en-GB"/>
        </w:rPr>
        <w:t>=</w:t>
      </w:r>
      <w:r w:rsidR="00E76572">
        <w:rPr>
          <w:b/>
          <w:noProof/>
          <w:lang w:val="en-GB" w:eastAsia="en-GB"/>
        </w:rPr>
        <w:t>7,</w:t>
      </w:r>
      <w:r w:rsidR="006043D7">
        <w:rPr>
          <w:b/>
          <w:noProof/>
          <w:lang w:val="en-GB" w:eastAsia="en-GB"/>
        </w:rPr>
        <w:t>691</w:t>
      </w:r>
      <w:r w:rsidR="00F139BA">
        <w:rPr>
          <w:b/>
          <w:noProof/>
          <w:lang w:val="en-GB" w:eastAsia="en-GB"/>
        </w:rPr>
        <w:t xml:space="preserve"> </w:t>
      </w:r>
    </w:p>
    <w:p w14:paraId="3A2ADAAF" w14:textId="77777777" w:rsidR="00574EE1" w:rsidRDefault="00574EE1" w:rsidP="00606112">
      <w:pPr>
        <w:jc w:val="left"/>
        <w:rPr>
          <w:b/>
          <w:noProof/>
          <w:lang w:val="en-GB" w:eastAsia="en-GB"/>
        </w:rPr>
      </w:pPr>
      <w:r>
        <w:rPr>
          <w:noProof/>
        </w:rPr>
        <w:drawing>
          <wp:inline distT="0" distB="0" distL="0" distR="0" wp14:anchorId="541DCD54" wp14:editId="165B02D5">
            <wp:extent cx="6645910" cy="3140075"/>
            <wp:effectExtent l="0" t="0" r="2540" b="3175"/>
            <wp:docPr id="298" name="Chart 298">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91443EB" w14:textId="77777777" w:rsidR="00552572" w:rsidRPr="00975EAF" w:rsidRDefault="00EA27F8" w:rsidP="00606112">
      <w:pPr>
        <w:jc w:val="left"/>
        <w:rPr>
          <w:b/>
        </w:rPr>
      </w:pPr>
      <w:r>
        <w:rPr>
          <w:noProof/>
        </w:rPr>
        <mc:AlternateContent>
          <mc:Choice Requires="wps">
            <w:drawing>
              <wp:anchor distT="0" distB="0" distL="114300" distR="114300" simplePos="0" relativeHeight="251648000" behindDoc="0" locked="0" layoutInCell="1" allowOverlap="1" wp14:anchorId="3C886DC3" wp14:editId="58E79726">
                <wp:simplePos x="0" y="0"/>
                <wp:positionH relativeFrom="column">
                  <wp:posOffset>-76200</wp:posOffset>
                </wp:positionH>
                <wp:positionV relativeFrom="paragraph">
                  <wp:posOffset>184785</wp:posOffset>
                </wp:positionV>
                <wp:extent cx="6343650" cy="4381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438150"/>
                        </a:xfrm>
                        <a:prstGeom prst="rect">
                          <a:avLst/>
                        </a:prstGeom>
                        <a:solidFill>
                          <a:srgbClr val="FFFFFF"/>
                        </a:solidFill>
                        <a:ln w="9525">
                          <a:noFill/>
                          <a:miter lim="800000"/>
                          <a:headEnd/>
                          <a:tailEnd/>
                        </a:ln>
                      </wps:spPr>
                      <wps:txbx>
                        <w:txbxContent>
                          <w:p w14:paraId="31F89CF2" w14:textId="77777777" w:rsidR="00003BEF" w:rsidRPr="000068FD" w:rsidRDefault="00003BEF" w:rsidP="000068FD">
                            <w:pPr>
                              <w:jc w:val="left"/>
                              <w:rPr>
                                <w:sz w:val="16"/>
                                <w:szCs w:val="16"/>
                              </w:rPr>
                            </w:pPr>
                            <w:r w:rsidRPr="000068FD">
                              <w:rPr>
                                <w:sz w:val="16"/>
                                <w:szCs w:val="16"/>
                              </w:rPr>
                              <w:t>Numerator source: Occupational Health Surveillance Program, 2011-201</w:t>
                            </w:r>
                            <w:r>
                              <w:rPr>
                                <w:sz w:val="16"/>
                                <w:szCs w:val="16"/>
                              </w:rPr>
                              <w:t>7</w:t>
                            </w:r>
                          </w:p>
                          <w:p w14:paraId="29A9C7E2" w14:textId="77777777" w:rsidR="00003BEF" w:rsidRPr="000068FD" w:rsidRDefault="00003BEF" w:rsidP="000068FD">
                            <w:pPr>
                              <w:jc w:val="left"/>
                              <w:rPr>
                                <w:sz w:val="16"/>
                                <w:szCs w:val="16"/>
                              </w:rPr>
                            </w:pPr>
                            <w:r w:rsidRPr="000068FD">
                              <w:rPr>
                                <w:sz w:val="16"/>
                                <w:szCs w:val="16"/>
                              </w:rPr>
                              <w:t>Denominator source: American Community Survey, 2011-201</w:t>
                            </w:r>
                            <w:r>
                              <w:rPr>
                                <w:sz w:val="16"/>
                                <w:szCs w:val="16"/>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886DC3" id="Text Box 4" o:spid="_x0000_s1043" type="#_x0000_t202" style="position:absolute;margin-left:-6pt;margin-top:14.55pt;width:499.5pt;height:3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" stroked="f">
                <v:textbox>
                  <w:txbxContent>
                    <w:p w14:paraId="31F89CF2" w14:textId="77777777" w:rsidR="00003BEF" w:rsidRPr="000068FD" w:rsidRDefault="00003BEF" w:rsidP="000068FD">
                      <w:pPr>
                        <w:jc w:val="left"/>
                        <w:rPr>
                          <w:sz w:val="16"/>
                          <w:szCs w:val="16"/>
                        </w:rPr>
                      </w:pPr>
                      <w:r w:rsidRPr="000068FD">
                        <w:rPr>
                          <w:sz w:val="16"/>
                          <w:szCs w:val="16"/>
                        </w:rPr>
                        <w:t>Numerator source: Occupational Health Surveillance Program, 2011-201</w:t>
                      </w:r>
                      <w:r>
                        <w:rPr>
                          <w:sz w:val="16"/>
                          <w:szCs w:val="16"/>
                        </w:rPr>
                        <w:t>7</w:t>
                      </w:r>
                    </w:p>
                    <w:p w14:paraId="29A9C7E2" w14:textId="77777777" w:rsidR="00003BEF" w:rsidRPr="000068FD" w:rsidRDefault="00003BEF" w:rsidP="000068FD">
                      <w:pPr>
                        <w:jc w:val="left"/>
                        <w:rPr>
                          <w:sz w:val="16"/>
                          <w:szCs w:val="16"/>
                        </w:rPr>
                      </w:pPr>
                      <w:r w:rsidRPr="000068FD">
                        <w:rPr>
                          <w:sz w:val="16"/>
                          <w:szCs w:val="16"/>
                        </w:rPr>
                        <w:t>Denominator source: American Community Survey, 2011-201</w:t>
                      </w:r>
                      <w:r>
                        <w:rPr>
                          <w:sz w:val="16"/>
                          <w:szCs w:val="16"/>
                        </w:rPr>
                        <w:t>7</w:t>
                      </w:r>
                    </w:p>
                  </w:txbxContent>
                </v:textbox>
              </v:shape>
            </w:pict>
          </mc:Fallback>
        </mc:AlternateContent>
      </w:r>
    </w:p>
    <w:p w14:paraId="397E47C4" w14:textId="77777777" w:rsidR="00557B82" w:rsidRDefault="00557B82" w:rsidP="00606112">
      <w:pPr>
        <w:jc w:val="left"/>
      </w:pPr>
    </w:p>
    <w:p w14:paraId="3C94094A" w14:textId="77777777" w:rsidR="00BC3A27" w:rsidRDefault="00BC3A27" w:rsidP="0023721D">
      <w:pPr>
        <w:jc w:val="left"/>
        <w:rPr>
          <w:b/>
          <w:i/>
        </w:rPr>
      </w:pPr>
    </w:p>
    <w:p w14:paraId="0F7DCCDC" w14:textId="77777777" w:rsidR="00121A15" w:rsidRDefault="00121A15" w:rsidP="005E635A">
      <w:pPr>
        <w:jc w:val="left"/>
      </w:pPr>
    </w:p>
    <w:p w14:paraId="6828D602" w14:textId="6DA5F168" w:rsidR="006E5A73" w:rsidRDefault="005E635A" w:rsidP="005E635A">
      <w:pPr>
        <w:jc w:val="left"/>
      </w:pPr>
      <w:r w:rsidRPr="000905F5">
        <w:t xml:space="preserve">As shown in Table 5, </w:t>
      </w:r>
      <w:r w:rsidR="009C0CC4">
        <w:t>the occupation groups with the five highest opioid-related overdose deaths differed slightly by race/ethnicity</w:t>
      </w:r>
      <w:r w:rsidR="00EA09D4">
        <w:t>,</w:t>
      </w:r>
      <w:r w:rsidR="009C0CC4">
        <w:t xml:space="preserve"> although </w:t>
      </w:r>
      <w:r w:rsidR="00C1330E">
        <w:t>C</w:t>
      </w:r>
      <w:r w:rsidRPr="000905F5">
        <w:t xml:space="preserve">onstruction and </w:t>
      </w:r>
      <w:r w:rsidR="009816DB">
        <w:t>E</w:t>
      </w:r>
      <w:r w:rsidRPr="000905F5">
        <w:t xml:space="preserve">xtraction occupations </w:t>
      </w:r>
      <w:r w:rsidR="009C0CC4">
        <w:t xml:space="preserve">and </w:t>
      </w:r>
      <w:r w:rsidR="00C1330E">
        <w:t>T</w:t>
      </w:r>
      <w:r w:rsidR="009C0CC4">
        <w:t xml:space="preserve">ransportation and </w:t>
      </w:r>
      <w:r w:rsidR="009816DB">
        <w:t>M</w:t>
      </w:r>
      <w:r w:rsidR="009C0CC4">
        <w:t xml:space="preserve">aterial </w:t>
      </w:r>
      <w:r w:rsidR="009816DB">
        <w:t>M</w:t>
      </w:r>
      <w:r w:rsidR="009C0CC4">
        <w:t xml:space="preserve">oving occupations </w:t>
      </w:r>
      <w:r w:rsidRPr="000905F5">
        <w:t>were among the</w:t>
      </w:r>
      <w:r w:rsidR="009C0CC4">
        <w:t xml:space="preserve"> leading occupations for</w:t>
      </w:r>
      <w:r w:rsidRPr="000905F5">
        <w:t xml:space="preserve"> all racial/ethnic categories</w:t>
      </w:r>
      <w:r w:rsidR="009C0CC4">
        <w:t xml:space="preserve">. Within the </w:t>
      </w:r>
      <w:r w:rsidR="006674CC">
        <w:t>C</w:t>
      </w:r>
      <w:r w:rsidR="009C0CC4">
        <w:t xml:space="preserve">onstruction and </w:t>
      </w:r>
      <w:r w:rsidR="009816DB">
        <w:t>E</w:t>
      </w:r>
      <w:r w:rsidR="009C0CC4">
        <w:t xml:space="preserve">xtraction occupation group, </w:t>
      </w:r>
      <w:r w:rsidR="0022335E">
        <w:t>w</w:t>
      </w:r>
      <w:r w:rsidR="009C0CC4">
        <w:t>hite non-Hispanic workers had much higher death rates than both Hispanic and Black non-Hispanic workers.</w:t>
      </w:r>
      <w:r w:rsidRPr="000905F5">
        <w:t xml:space="preserve"> Additionally, among </w:t>
      </w:r>
      <w:r w:rsidR="00C1330E">
        <w:t>I</w:t>
      </w:r>
      <w:r w:rsidRPr="000905F5">
        <w:t xml:space="preserve">nstallation, </w:t>
      </w:r>
      <w:r w:rsidR="009816DB">
        <w:t>M</w:t>
      </w:r>
      <w:r w:rsidRPr="000905F5">
        <w:t xml:space="preserve">aintenance, and </w:t>
      </w:r>
      <w:r w:rsidR="009816DB">
        <w:t>R</w:t>
      </w:r>
      <w:r w:rsidRPr="000905F5">
        <w:t xml:space="preserve">epair occupations, Hispanic workers had a significantly higher </w:t>
      </w:r>
      <w:r w:rsidR="0022335E">
        <w:t>OROD</w:t>
      </w:r>
      <w:r w:rsidRPr="000905F5">
        <w:t xml:space="preserve"> rate compared to </w:t>
      </w:r>
      <w:r w:rsidR="0022335E">
        <w:t>w</w:t>
      </w:r>
      <w:r w:rsidRPr="000905F5">
        <w:t>hite, non-Hispanic workers (1</w:t>
      </w:r>
      <w:r w:rsidR="00B42DA7">
        <w:t>10.0</w:t>
      </w:r>
      <w:r w:rsidRPr="000905F5">
        <w:t xml:space="preserve"> </w:t>
      </w:r>
      <w:r w:rsidR="00C1330E">
        <w:t>versus</w:t>
      </w:r>
      <w:r w:rsidRPr="000905F5">
        <w:t xml:space="preserve"> 7</w:t>
      </w:r>
      <w:r w:rsidR="00B42DA7">
        <w:t>7.3</w:t>
      </w:r>
      <w:r w:rsidRPr="000905F5">
        <w:t xml:space="preserve">, respectively), which were both higher than the </w:t>
      </w:r>
      <w:r w:rsidR="0022335E">
        <w:t xml:space="preserve">overall </w:t>
      </w:r>
      <w:r w:rsidRPr="000905F5">
        <w:t>rate for all workers (</w:t>
      </w:r>
      <w:r w:rsidR="00B42DA7">
        <w:t>31.6</w:t>
      </w:r>
      <w:r w:rsidR="00C1330E">
        <w:t>)</w:t>
      </w:r>
      <w:r>
        <w:t>.</w:t>
      </w:r>
    </w:p>
    <w:p w14:paraId="01A6EC83" w14:textId="77777777" w:rsidR="006E5A73" w:rsidRDefault="006E5A73" w:rsidP="005E635A">
      <w:pPr>
        <w:jc w:val="left"/>
      </w:pPr>
    </w:p>
    <w:p w14:paraId="7BCC12A3" w14:textId="7B4E5DE9" w:rsidR="006E5A73" w:rsidRPr="000905F5" w:rsidRDefault="006E5A73" w:rsidP="005E635A">
      <w:pPr>
        <w:jc w:val="left"/>
      </w:pPr>
      <w:r>
        <w:t xml:space="preserve">While the numbers of </w:t>
      </w:r>
      <w:r w:rsidR="00EA09D4">
        <w:t xml:space="preserve">opioid-related overdose deaths </w:t>
      </w:r>
      <w:r>
        <w:t xml:space="preserve">among Black, non-Hispanic, and Hispanic workers are much </w:t>
      </w:r>
      <w:r w:rsidR="00CE1CFE">
        <w:t>less</w:t>
      </w:r>
      <w:r>
        <w:t xml:space="preserve"> than </w:t>
      </w:r>
      <w:r w:rsidR="00CE1CFE">
        <w:t xml:space="preserve">for </w:t>
      </w:r>
      <w:r w:rsidR="0022335E">
        <w:t>w</w:t>
      </w:r>
      <w:r>
        <w:t>hite, non-Hispanic</w:t>
      </w:r>
      <w:r w:rsidR="00EA09D4">
        <w:t xml:space="preserve"> workers</w:t>
      </w:r>
      <w:r>
        <w:t xml:space="preserve">, there are a few important differences in the </w:t>
      </w:r>
      <w:r w:rsidR="00CE1CFE">
        <w:t>distribution of deaths by leading occupation</w:t>
      </w:r>
      <w:r>
        <w:t xml:space="preserve"> that are important to point out for prevention reasons. For example, among Hispanics, approximately 1</w:t>
      </w:r>
      <w:r w:rsidR="00E61672">
        <w:t>2</w:t>
      </w:r>
      <w:r>
        <w:t xml:space="preserve">% of all overdose deaths occurred among production workers, whereas production was not a leading occupation among other racial/ethnic groups. </w:t>
      </w:r>
    </w:p>
    <w:p w14:paraId="5EF3E822" w14:textId="77777777" w:rsidR="00331A19" w:rsidRDefault="00331A19">
      <w:pPr>
        <w:rPr>
          <w:b/>
        </w:rPr>
      </w:pPr>
      <w:r>
        <w:rPr>
          <w:b/>
        </w:rPr>
        <w:br w:type="page"/>
      </w:r>
    </w:p>
    <w:p w14:paraId="4E1D3B8A" w14:textId="77777777" w:rsidR="00331A19" w:rsidRDefault="00331A19" w:rsidP="00331A19">
      <w:pPr>
        <w:jc w:val="left"/>
        <w:rPr>
          <w:b/>
        </w:rPr>
        <w:sectPr w:rsidR="00331A19" w:rsidSect="005841FB">
          <w:footnotePr>
            <w:numFmt w:val="lowerLetter"/>
          </w:footnotePr>
          <w:pgSz w:w="11906" w:h="16838"/>
          <w:pgMar w:top="720" w:right="720" w:bottom="720" w:left="720" w:header="720" w:footer="720" w:gutter="0"/>
          <w:cols w:space="720"/>
          <w:docGrid w:linePitch="360"/>
        </w:sectPr>
      </w:pPr>
    </w:p>
    <w:p w14:paraId="5281F925" w14:textId="77777777" w:rsidR="00331A19" w:rsidRPr="00924706" w:rsidRDefault="00331A19" w:rsidP="00331A19">
      <w:pPr>
        <w:jc w:val="left"/>
        <w:rPr>
          <w:b/>
        </w:rPr>
      </w:pPr>
      <w:r>
        <w:rPr>
          <w:b/>
        </w:rPr>
        <w:lastRenderedPageBreak/>
        <w:t>Table 5</w:t>
      </w:r>
      <w:r w:rsidRPr="00924706">
        <w:rPr>
          <w:b/>
        </w:rPr>
        <w:t xml:space="preserve">. Rate, number, and percent of opioid-related overdose deaths by occupation groups with five highest rates by </w:t>
      </w:r>
      <w:r>
        <w:rPr>
          <w:b/>
        </w:rPr>
        <w:t>race/ethnicity</w:t>
      </w:r>
      <w:r w:rsidRPr="00924706">
        <w:rPr>
          <w:b/>
        </w:rPr>
        <w:t>, Massachusetts workers, 2011-201</w:t>
      </w:r>
      <w:r>
        <w:rPr>
          <w:b/>
        </w:rPr>
        <w:t>7</w:t>
      </w:r>
      <w:r w:rsidRPr="00924706">
        <w:rPr>
          <w:b/>
        </w:rPr>
        <w:t xml:space="preserve">, </w:t>
      </w:r>
      <w:r w:rsidR="00B62862">
        <w:rPr>
          <w:b/>
        </w:rPr>
        <w:t>N</w:t>
      </w:r>
      <w:r w:rsidRPr="00924706">
        <w:rPr>
          <w:b/>
        </w:rPr>
        <w:t>=</w:t>
      </w:r>
      <w:r w:rsidR="00E76572">
        <w:rPr>
          <w:b/>
        </w:rPr>
        <w:t>7,</w:t>
      </w:r>
      <w:r w:rsidR="006B66A6">
        <w:rPr>
          <w:b/>
        </w:rPr>
        <w:t>691</w:t>
      </w:r>
    </w:p>
    <w:tbl>
      <w:tblPr>
        <w:tblStyle w:val="TableGrid"/>
        <w:tblW w:w="0" w:type="auto"/>
        <w:tblInd w:w="-72" w:type="dxa"/>
        <w:tblLayout w:type="fixed"/>
        <w:tblLook w:val="04A0" w:firstRow="1" w:lastRow="0" w:firstColumn="1" w:lastColumn="0" w:noHBand="0" w:noVBand="1"/>
      </w:tblPr>
      <w:tblGrid>
        <w:gridCol w:w="1327"/>
        <w:gridCol w:w="1513"/>
        <w:gridCol w:w="975"/>
        <w:gridCol w:w="1292"/>
        <w:gridCol w:w="1533"/>
        <w:gridCol w:w="1258"/>
        <w:gridCol w:w="1439"/>
        <w:gridCol w:w="1618"/>
        <w:gridCol w:w="1263"/>
      </w:tblGrid>
      <w:tr w:rsidR="00E64123" w:rsidRPr="00BB32CD" w14:paraId="2FF64A35" w14:textId="77777777" w:rsidTr="00E64123">
        <w:trPr>
          <w:trHeight w:val="300"/>
        </w:trPr>
        <w:tc>
          <w:tcPr>
            <w:tcW w:w="12218" w:type="dxa"/>
            <w:gridSpan w:val="9"/>
            <w:noWrap/>
          </w:tcPr>
          <w:p w14:paraId="5F3FDC60" w14:textId="77777777" w:rsidR="00E64123" w:rsidRPr="000905F5" w:rsidRDefault="00E64123" w:rsidP="00331A19">
            <w:pPr>
              <w:rPr>
                <w:b/>
                <w:sz w:val="18"/>
                <w:szCs w:val="18"/>
              </w:rPr>
            </w:pPr>
            <w:r>
              <w:rPr>
                <w:b/>
                <w:sz w:val="18"/>
                <w:szCs w:val="18"/>
              </w:rPr>
              <w:t>Opioid-related overdose deaths</w:t>
            </w:r>
          </w:p>
        </w:tc>
      </w:tr>
      <w:tr w:rsidR="00EA27F8" w:rsidRPr="00BB32CD" w14:paraId="7FE53B0A" w14:textId="77777777" w:rsidTr="00390319">
        <w:trPr>
          <w:trHeight w:val="300"/>
        </w:trPr>
        <w:tc>
          <w:tcPr>
            <w:tcW w:w="3815" w:type="dxa"/>
            <w:gridSpan w:val="3"/>
            <w:tcBorders>
              <w:right w:val="single" w:sz="12" w:space="0" w:color="auto"/>
            </w:tcBorders>
            <w:noWrap/>
            <w:hideMark/>
          </w:tcPr>
          <w:p w14:paraId="1689AC59" w14:textId="77777777" w:rsidR="00EA27F8" w:rsidRPr="000905F5" w:rsidRDefault="00EA27F8" w:rsidP="00331A19">
            <w:pPr>
              <w:rPr>
                <w:b/>
                <w:sz w:val="18"/>
                <w:szCs w:val="18"/>
              </w:rPr>
            </w:pPr>
            <w:r w:rsidRPr="000905F5">
              <w:rPr>
                <w:b/>
                <w:sz w:val="18"/>
                <w:szCs w:val="18"/>
              </w:rPr>
              <w:t>White, non-Hispanic</w:t>
            </w:r>
          </w:p>
        </w:tc>
        <w:tc>
          <w:tcPr>
            <w:tcW w:w="4083" w:type="dxa"/>
            <w:gridSpan w:val="3"/>
            <w:tcBorders>
              <w:left w:val="single" w:sz="12" w:space="0" w:color="auto"/>
              <w:right w:val="single" w:sz="12" w:space="0" w:color="auto"/>
            </w:tcBorders>
            <w:noWrap/>
            <w:hideMark/>
          </w:tcPr>
          <w:p w14:paraId="3AA584AF" w14:textId="77777777" w:rsidR="00EA27F8" w:rsidRPr="000905F5" w:rsidRDefault="00EA27F8" w:rsidP="00331A19">
            <w:pPr>
              <w:rPr>
                <w:b/>
                <w:sz w:val="18"/>
                <w:szCs w:val="18"/>
              </w:rPr>
            </w:pPr>
            <w:r w:rsidRPr="000905F5">
              <w:rPr>
                <w:b/>
                <w:sz w:val="18"/>
                <w:szCs w:val="18"/>
              </w:rPr>
              <w:t>Black, non-Hispanic</w:t>
            </w:r>
          </w:p>
        </w:tc>
        <w:tc>
          <w:tcPr>
            <w:tcW w:w="4320" w:type="dxa"/>
            <w:gridSpan w:val="3"/>
            <w:tcBorders>
              <w:left w:val="single" w:sz="12" w:space="0" w:color="auto"/>
            </w:tcBorders>
          </w:tcPr>
          <w:p w14:paraId="7AE009CF" w14:textId="77777777" w:rsidR="00EA27F8" w:rsidRPr="000905F5" w:rsidRDefault="00EA27F8" w:rsidP="00331A19">
            <w:pPr>
              <w:rPr>
                <w:b/>
                <w:sz w:val="18"/>
                <w:szCs w:val="18"/>
              </w:rPr>
            </w:pPr>
            <w:r w:rsidRPr="000905F5">
              <w:rPr>
                <w:b/>
                <w:sz w:val="18"/>
                <w:szCs w:val="18"/>
              </w:rPr>
              <w:t>Hispanic</w:t>
            </w:r>
          </w:p>
        </w:tc>
      </w:tr>
      <w:tr w:rsidR="00E64123" w:rsidRPr="00331A19" w14:paraId="44BEDC84" w14:textId="77777777" w:rsidTr="00390319">
        <w:trPr>
          <w:trHeight w:val="701"/>
        </w:trPr>
        <w:tc>
          <w:tcPr>
            <w:tcW w:w="1327" w:type="dxa"/>
            <w:noWrap/>
            <w:hideMark/>
          </w:tcPr>
          <w:p w14:paraId="1816DDC1" w14:textId="77777777" w:rsidR="00E64123" w:rsidRPr="000905F5" w:rsidRDefault="00E64123" w:rsidP="00E64123">
            <w:pPr>
              <w:rPr>
                <w:b/>
                <w:sz w:val="18"/>
                <w:szCs w:val="18"/>
              </w:rPr>
            </w:pPr>
            <w:r w:rsidRPr="000905F5">
              <w:rPr>
                <w:b/>
                <w:sz w:val="18"/>
                <w:szCs w:val="18"/>
              </w:rPr>
              <w:t>Occupation</w:t>
            </w:r>
          </w:p>
        </w:tc>
        <w:tc>
          <w:tcPr>
            <w:tcW w:w="1513" w:type="dxa"/>
            <w:noWrap/>
            <w:hideMark/>
          </w:tcPr>
          <w:p w14:paraId="4045F6FA" w14:textId="77777777" w:rsidR="00E64123" w:rsidRPr="000905F5" w:rsidRDefault="00E64123" w:rsidP="00E64123">
            <w:pPr>
              <w:rPr>
                <w:b/>
                <w:sz w:val="18"/>
                <w:szCs w:val="18"/>
              </w:rPr>
            </w:pPr>
            <w:r w:rsidRPr="000905F5">
              <w:rPr>
                <w:b/>
                <w:sz w:val="18"/>
                <w:szCs w:val="18"/>
              </w:rPr>
              <w:t xml:space="preserve">Rate </w:t>
            </w:r>
            <w:r>
              <w:rPr>
                <w:b/>
                <w:sz w:val="18"/>
                <w:szCs w:val="18"/>
              </w:rPr>
              <w:t>per</w:t>
            </w:r>
            <w:r w:rsidRPr="000905F5">
              <w:rPr>
                <w:b/>
                <w:sz w:val="18"/>
                <w:szCs w:val="18"/>
              </w:rPr>
              <w:t xml:space="preserve"> 100,000 worker</w:t>
            </w:r>
            <w:r>
              <w:rPr>
                <w:b/>
                <w:sz w:val="18"/>
                <w:szCs w:val="18"/>
              </w:rPr>
              <w:t>s</w:t>
            </w:r>
            <w:r>
              <w:rPr>
                <w:b/>
                <w:sz w:val="18"/>
                <w:szCs w:val="18"/>
              </w:rPr>
              <w:br/>
            </w:r>
            <w:r w:rsidRPr="000905F5">
              <w:rPr>
                <w:b/>
                <w:sz w:val="18"/>
                <w:szCs w:val="18"/>
              </w:rPr>
              <w:t xml:space="preserve">(95% CI) </w:t>
            </w:r>
          </w:p>
        </w:tc>
        <w:tc>
          <w:tcPr>
            <w:tcW w:w="975" w:type="dxa"/>
            <w:tcBorders>
              <w:right w:val="single" w:sz="12" w:space="0" w:color="auto"/>
            </w:tcBorders>
            <w:noWrap/>
            <w:hideMark/>
          </w:tcPr>
          <w:p w14:paraId="5720A1B2" w14:textId="77777777" w:rsidR="00E64123" w:rsidRPr="000905F5" w:rsidRDefault="00E64123" w:rsidP="00E64123">
            <w:pPr>
              <w:rPr>
                <w:b/>
                <w:sz w:val="18"/>
                <w:szCs w:val="18"/>
              </w:rPr>
            </w:pPr>
            <w:r w:rsidRPr="000905F5">
              <w:rPr>
                <w:b/>
                <w:sz w:val="18"/>
                <w:szCs w:val="18"/>
              </w:rPr>
              <w:t>N (%)</w:t>
            </w:r>
          </w:p>
        </w:tc>
        <w:tc>
          <w:tcPr>
            <w:tcW w:w="1292" w:type="dxa"/>
            <w:tcBorders>
              <w:left w:val="single" w:sz="12" w:space="0" w:color="auto"/>
            </w:tcBorders>
            <w:noWrap/>
            <w:hideMark/>
          </w:tcPr>
          <w:p w14:paraId="19E81171" w14:textId="77777777" w:rsidR="00E64123" w:rsidRPr="000905F5" w:rsidRDefault="00E64123" w:rsidP="00E64123">
            <w:pPr>
              <w:rPr>
                <w:b/>
                <w:sz w:val="18"/>
                <w:szCs w:val="18"/>
              </w:rPr>
            </w:pPr>
            <w:r w:rsidRPr="000905F5">
              <w:rPr>
                <w:b/>
                <w:sz w:val="18"/>
                <w:szCs w:val="18"/>
              </w:rPr>
              <w:t>Occupation</w:t>
            </w:r>
          </w:p>
        </w:tc>
        <w:tc>
          <w:tcPr>
            <w:tcW w:w="1533" w:type="dxa"/>
            <w:noWrap/>
            <w:hideMark/>
          </w:tcPr>
          <w:p w14:paraId="76F1E57A" w14:textId="77777777" w:rsidR="00E64123" w:rsidRPr="000905F5" w:rsidRDefault="00E64123" w:rsidP="00E64123">
            <w:pPr>
              <w:rPr>
                <w:b/>
                <w:sz w:val="18"/>
                <w:szCs w:val="18"/>
              </w:rPr>
            </w:pPr>
            <w:r w:rsidRPr="000905F5">
              <w:rPr>
                <w:b/>
                <w:sz w:val="18"/>
                <w:szCs w:val="18"/>
              </w:rPr>
              <w:t xml:space="preserve">Rate </w:t>
            </w:r>
            <w:r>
              <w:rPr>
                <w:b/>
                <w:sz w:val="18"/>
                <w:szCs w:val="18"/>
              </w:rPr>
              <w:t>per</w:t>
            </w:r>
            <w:r w:rsidRPr="000905F5">
              <w:rPr>
                <w:b/>
                <w:sz w:val="18"/>
                <w:szCs w:val="18"/>
              </w:rPr>
              <w:t xml:space="preserve"> 100,000 worker</w:t>
            </w:r>
            <w:r>
              <w:rPr>
                <w:b/>
                <w:sz w:val="18"/>
                <w:szCs w:val="18"/>
              </w:rPr>
              <w:t>s</w:t>
            </w:r>
            <w:r>
              <w:rPr>
                <w:b/>
                <w:sz w:val="18"/>
                <w:szCs w:val="18"/>
              </w:rPr>
              <w:br/>
            </w:r>
            <w:r w:rsidRPr="000905F5">
              <w:rPr>
                <w:b/>
                <w:sz w:val="18"/>
                <w:szCs w:val="18"/>
              </w:rPr>
              <w:t xml:space="preserve">(95% CI) </w:t>
            </w:r>
          </w:p>
        </w:tc>
        <w:tc>
          <w:tcPr>
            <w:tcW w:w="1258" w:type="dxa"/>
            <w:tcBorders>
              <w:right w:val="single" w:sz="12" w:space="0" w:color="auto"/>
            </w:tcBorders>
            <w:noWrap/>
            <w:hideMark/>
          </w:tcPr>
          <w:p w14:paraId="38FD79D3" w14:textId="77777777" w:rsidR="00E64123" w:rsidRPr="000905F5" w:rsidRDefault="00E64123" w:rsidP="00E64123">
            <w:pPr>
              <w:rPr>
                <w:b/>
                <w:sz w:val="18"/>
                <w:szCs w:val="18"/>
              </w:rPr>
            </w:pPr>
            <w:r w:rsidRPr="000905F5">
              <w:rPr>
                <w:b/>
                <w:sz w:val="18"/>
                <w:szCs w:val="18"/>
              </w:rPr>
              <w:t>N (%)</w:t>
            </w:r>
          </w:p>
        </w:tc>
        <w:tc>
          <w:tcPr>
            <w:tcW w:w="1439" w:type="dxa"/>
            <w:tcBorders>
              <w:left w:val="single" w:sz="12" w:space="0" w:color="auto"/>
            </w:tcBorders>
          </w:tcPr>
          <w:p w14:paraId="6F375AE8" w14:textId="77777777" w:rsidR="00E64123" w:rsidRPr="000905F5" w:rsidRDefault="00E64123" w:rsidP="00E64123">
            <w:pPr>
              <w:rPr>
                <w:b/>
                <w:sz w:val="18"/>
                <w:szCs w:val="18"/>
              </w:rPr>
            </w:pPr>
            <w:r w:rsidRPr="000905F5">
              <w:rPr>
                <w:b/>
                <w:sz w:val="18"/>
                <w:szCs w:val="18"/>
              </w:rPr>
              <w:t>Occupation</w:t>
            </w:r>
          </w:p>
        </w:tc>
        <w:tc>
          <w:tcPr>
            <w:tcW w:w="1618" w:type="dxa"/>
          </w:tcPr>
          <w:p w14:paraId="39A76C85" w14:textId="77777777" w:rsidR="00E64123" w:rsidRPr="000905F5" w:rsidRDefault="00E64123" w:rsidP="00E64123">
            <w:pPr>
              <w:rPr>
                <w:b/>
                <w:sz w:val="18"/>
                <w:szCs w:val="18"/>
              </w:rPr>
            </w:pPr>
            <w:r w:rsidRPr="000905F5">
              <w:rPr>
                <w:b/>
                <w:sz w:val="18"/>
                <w:szCs w:val="18"/>
              </w:rPr>
              <w:t xml:space="preserve">Rate </w:t>
            </w:r>
            <w:r>
              <w:rPr>
                <w:b/>
                <w:sz w:val="18"/>
                <w:szCs w:val="18"/>
              </w:rPr>
              <w:t>per</w:t>
            </w:r>
            <w:r w:rsidRPr="000905F5">
              <w:rPr>
                <w:b/>
                <w:sz w:val="18"/>
                <w:szCs w:val="18"/>
              </w:rPr>
              <w:t xml:space="preserve"> 100,000 worker</w:t>
            </w:r>
            <w:r>
              <w:rPr>
                <w:b/>
                <w:sz w:val="18"/>
                <w:szCs w:val="18"/>
              </w:rPr>
              <w:t>s</w:t>
            </w:r>
            <w:r>
              <w:rPr>
                <w:b/>
                <w:sz w:val="18"/>
                <w:szCs w:val="18"/>
              </w:rPr>
              <w:br/>
            </w:r>
            <w:r w:rsidRPr="000905F5">
              <w:rPr>
                <w:b/>
                <w:sz w:val="18"/>
                <w:szCs w:val="18"/>
              </w:rPr>
              <w:t xml:space="preserve">(95% CI) </w:t>
            </w:r>
          </w:p>
        </w:tc>
        <w:tc>
          <w:tcPr>
            <w:tcW w:w="1263" w:type="dxa"/>
          </w:tcPr>
          <w:p w14:paraId="66FAF611" w14:textId="77777777" w:rsidR="00E64123" w:rsidRPr="000905F5" w:rsidRDefault="00E64123" w:rsidP="00E64123">
            <w:pPr>
              <w:rPr>
                <w:b/>
                <w:sz w:val="18"/>
                <w:szCs w:val="18"/>
              </w:rPr>
            </w:pPr>
            <w:r w:rsidRPr="000905F5">
              <w:rPr>
                <w:b/>
                <w:sz w:val="18"/>
                <w:szCs w:val="18"/>
              </w:rPr>
              <w:t>N (%)</w:t>
            </w:r>
          </w:p>
        </w:tc>
      </w:tr>
      <w:tr w:rsidR="00EA27F8" w:rsidRPr="00331A19" w14:paraId="6960021F" w14:textId="77777777" w:rsidTr="00390319">
        <w:trPr>
          <w:trHeight w:val="300"/>
        </w:trPr>
        <w:tc>
          <w:tcPr>
            <w:tcW w:w="1327" w:type="dxa"/>
            <w:noWrap/>
            <w:vAlign w:val="center"/>
          </w:tcPr>
          <w:p w14:paraId="691E94D5" w14:textId="77777777" w:rsidR="00EA27F8" w:rsidRPr="000905F5" w:rsidRDefault="00EA27F8" w:rsidP="00EC7C5F">
            <w:pPr>
              <w:jc w:val="left"/>
              <w:rPr>
                <w:sz w:val="18"/>
                <w:szCs w:val="18"/>
              </w:rPr>
            </w:pPr>
            <w:r w:rsidRPr="000905F5">
              <w:rPr>
                <w:sz w:val="18"/>
                <w:szCs w:val="18"/>
              </w:rPr>
              <w:t xml:space="preserve">Farming, </w:t>
            </w:r>
            <w:proofErr w:type="gramStart"/>
            <w:r w:rsidRPr="000905F5">
              <w:rPr>
                <w:sz w:val="18"/>
                <w:szCs w:val="18"/>
              </w:rPr>
              <w:t>fishing</w:t>
            </w:r>
            <w:proofErr w:type="gramEnd"/>
            <w:r w:rsidRPr="000905F5">
              <w:rPr>
                <w:sz w:val="18"/>
                <w:szCs w:val="18"/>
              </w:rPr>
              <w:t xml:space="preserve"> and forestry</w:t>
            </w:r>
          </w:p>
        </w:tc>
        <w:tc>
          <w:tcPr>
            <w:tcW w:w="1513" w:type="dxa"/>
            <w:noWrap/>
          </w:tcPr>
          <w:p w14:paraId="5540AA43" w14:textId="77777777" w:rsidR="00EA27F8" w:rsidRPr="000905F5" w:rsidRDefault="00EA27F8" w:rsidP="00EC7C5F">
            <w:pPr>
              <w:jc w:val="left"/>
              <w:rPr>
                <w:sz w:val="18"/>
                <w:szCs w:val="18"/>
              </w:rPr>
            </w:pPr>
            <w:r>
              <w:rPr>
                <w:sz w:val="18"/>
                <w:szCs w:val="18"/>
              </w:rPr>
              <w:t>314.5</w:t>
            </w:r>
            <w:r w:rsidRPr="000905F5">
              <w:rPr>
                <w:sz w:val="18"/>
                <w:szCs w:val="18"/>
              </w:rPr>
              <w:t xml:space="preserve"> </w:t>
            </w:r>
          </w:p>
          <w:p w14:paraId="2CD0A1FC" w14:textId="77777777" w:rsidR="00EA27F8" w:rsidRPr="000905F5" w:rsidRDefault="00EA27F8" w:rsidP="00EC7C5F">
            <w:pPr>
              <w:jc w:val="left"/>
              <w:rPr>
                <w:sz w:val="18"/>
                <w:szCs w:val="18"/>
              </w:rPr>
            </w:pPr>
            <w:r w:rsidRPr="000905F5">
              <w:rPr>
                <w:sz w:val="18"/>
                <w:szCs w:val="18"/>
              </w:rPr>
              <w:t>(</w:t>
            </w:r>
            <w:r>
              <w:rPr>
                <w:sz w:val="18"/>
                <w:szCs w:val="18"/>
              </w:rPr>
              <w:t>161.7, 467.2</w:t>
            </w:r>
            <w:r w:rsidRPr="000905F5">
              <w:rPr>
                <w:sz w:val="18"/>
                <w:szCs w:val="18"/>
              </w:rPr>
              <w:t>)</w:t>
            </w:r>
            <w:r w:rsidRPr="000905F5">
              <w:rPr>
                <w:sz w:val="22"/>
                <w:szCs w:val="18"/>
                <w:vertAlign w:val="superscript"/>
              </w:rPr>
              <w:t>1</w:t>
            </w:r>
          </w:p>
        </w:tc>
        <w:tc>
          <w:tcPr>
            <w:tcW w:w="975" w:type="dxa"/>
            <w:tcBorders>
              <w:right w:val="single" w:sz="12" w:space="0" w:color="auto"/>
            </w:tcBorders>
            <w:noWrap/>
          </w:tcPr>
          <w:p w14:paraId="5AE30BA0" w14:textId="77777777" w:rsidR="00EA27F8" w:rsidRPr="000905F5" w:rsidRDefault="00EA27F8" w:rsidP="00EC7C5F">
            <w:pPr>
              <w:jc w:val="left"/>
              <w:rPr>
                <w:sz w:val="18"/>
                <w:szCs w:val="18"/>
              </w:rPr>
            </w:pPr>
            <w:r w:rsidRPr="000905F5">
              <w:rPr>
                <w:sz w:val="18"/>
                <w:szCs w:val="18"/>
              </w:rPr>
              <w:t>1</w:t>
            </w:r>
            <w:r>
              <w:rPr>
                <w:sz w:val="18"/>
                <w:szCs w:val="18"/>
              </w:rPr>
              <w:t>14</w:t>
            </w:r>
            <w:r w:rsidRPr="000905F5">
              <w:rPr>
                <w:sz w:val="18"/>
                <w:szCs w:val="18"/>
              </w:rPr>
              <w:t xml:space="preserve"> (</w:t>
            </w:r>
            <w:r>
              <w:rPr>
                <w:sz w:val="18"/>
                <w:szCs w:val="18"/>
              </w:rPr>
              <w:t>1.7</w:t>
            </w:r>
            <w:r w:rsidRPr="000905F5">
              <w:rPr>
                <w:sz w:val="18"/>
                <w:szCs w:val="18"/>
              </w:rPr>
              <w:t>)</w:t>
            </w:r>
          </w:p>
        </w:tc>
        <w:tc>
          <w:tcPr>
            <w:tcW w:w="1292" w:type="dxa"/>
            <w:tcBorders>
              <w:left w:val="single" w:sz="12" w:space="0" w:color="auto"/>
            </w:tcBorders>
            <w:noWrap/>
          </w:tcPr>
          <w:p w14:paraId="5341D31D" w14:textId="77777777" w:rsidR="00EA27F8" w:rsidRPr="000905F5" w:rsidRDefault="00EA27F8" w:rsidP="00331A19">
            <w:pPr>
              <w:jc w:val="left"/>
              <w:rPr>
                <w:sz w:val="18"/>
                <w:szCs w:val="18"/>
              </w:rPr>
            </w:pPr>
            <w:r w:rsidRPr="000905F5">
              <w:rPr>
                <w:sz w:val="18"/>
                <w:szCs w:val="18"/>
              </w:rPr>
              <w:t>Construction and extraction</w:t>
            </w:r>
          </w:p>
        </w:tc>
        <w:tc>
          <w:tcPr>
            <w:tcW w:w="1533" w:type="dxa"/>
            <w:noWrap/>
          </w:tcPr>
          <w:p w14:paraId="1F4CDF25" w14:textId="77777777" w:rsidR="00EA27F8" w:rsidRPr="000905F5" w:rsidRDefault="00EA27F8" w:rsidP="00331A19">
            <w:pPr>
              <w:jc w:val="left"/>
              <w:rPr>
                <w:sz w:val="18"/>
                <w:szCs w:val="18"/>
              </w:rPr>
            </w:pPr>
            <w:r>
              <w:rPr>
                <w:sz w:val="18"/>
                <w:szCs w:val="18"/>
              </w:rPr>
              <w:t>161.4</w:t>
            </w:r>
            <w:r w:rsidRPr="000905F5">
              <w:rPr>
                <w:sz w:val="18"/>
                <w:szCs w:val="18"/>
              </w:rPr>
              <w:t xml:space="preserve"> </w:t>
            </w:r>
          </w:p>
          <w:p w14:paraId="63195F96" w14:textId="77777777" w:rsidR="00EA27F8" w:rsidRPr="000905F5" w:rsidRDefault="00EA27F8" w:rsidP="00331A19">
            <w:pPr>
              <w:jc w:val="left"/>
              <w:rPr>
                <w:sz w:val="18"/>
                <w:szCs w:val="18"/>
              </w:rPr>
            </w:pPr>
            <w:r w:rsidRPr="000905F5">
              <w:rPr>
                <w:sz w:val="18"/>
                <w:szCs w:val="18"/>
              </w:rPr>
              <w:t>(</w:t>
            </w:r>
            <w:r>
              <w:rPr>
                <w:sz w:val="18"/>
                <w:szCs w:val="18"/>
              </w:rPr>
              <w:t>53.4, 269.5</w:t>
            </w:r>
            <w:r w:rsidRPr="000905F5">
              <w:rPr>
                <w:sz w:val="18"/>
                <w:szCs w:val="18"/>
              </w:rPr>
              <w:t>)</w:t>
            </w:r>
            <w:r w:rsidR="00B45924" w:rsidRPr="002A698A">
              <w:rPr>
                <w:sz w:val="22"/>
                <w:szCs w:val="22"/>
                <w:vertAlign w:val="superscript"/>
              </w:rPr>
              <w:t>1</w:t>
            </w:r>
          </w:p>
        </w:tc>
        <w:tc>
          <w:tcPr>
            <w:tcW w:w="1258" w:type="dxa"/>
            <w:tcBorders>
              <w:right w:val="single" w:sz="12" w:space="0" w:color="auto"/>
            </w:tcBorders>
            <w:noWrap/>
          </w:tcPr>
          <w:p w14:paraId="5F74F2D4" w14:textId="77777777" w:rsidR="00EA27F8" w:rsidRPr="000905F5" w:rsidRDefault="00EA27F8" w:rsidP="00331A19">
            <w:pPr>
              <w:jc w:val="left"/>
              <w:rPr>
                <w:sz w:val="18"/>
                <w:szCs w:val="18"/>
              </w:rPr>
            </w:pPr>
            <w:r w:rsidRPr="00C84DAA">
              <w:rPr>
                <w:sz w:val="18"/>
                <w:szCs w:val="18"/>
              </w:rPr>
              <w:t>60</w:t>
            </w:r>
            <w:r w:rsidRPr="000905F5">
              <w:rPr>
                <w:sz w:val="18"/>
                <w:szCs w:val="18"/>
              </w:rPr>
              <w:t xml:space="preserve"> </w:t>
            </w:r>
          </w:p>
          <w:p w14:paraId="24949A17" w14:textId="77777777" w:rsidR="00EA27F8" w:rsidRPr="000905F5" w:rsidRDefault="00EA27F8" w:rsidP="00331A19">
            <w:pPr>
              <w:jc w:val="left"/>
              <w:rPr>
                <w:sz w:val="18"/>
                <w:szCs w:val="18"/>
              </w:rPr>
            </w:pPr>
            <w:r w:rsidRPr="000905F5">
              <w:rPr>
                <w:sz w:val="18"/>
                <w:szCs w:val="18"/>
              </w:rPr>
              <w:t>(</w:t>
            </w:r>
            <w:r>
              <w:rPr>
                <w:sz w:val="18"/>
                <w:szCs w:val="18"/>
              </w:rPr>
              <w:t>19.7</w:t>
            </w:r>
            <w:r w:rsidRPr="000905F5">
              <w:rPr>
                <w:sz w:val="18"/>
                <w:szCs w:val="18"/>
              </w:rPr>
              <w:t>)</w:t>
            </w:r>
          </w:p>
        </w:tc>
        <w:tc>
          <w:tcPr>
            <w:tcW w:w="1439" w:type="dxa"/>
            <w:tcBorders>
              <w:left w:val="single" w:sz="12" w:space="0" w:color="auto"/>
            </w:tcBorders>
          </w:tcPr>
          <w:p w14:paraId="73E82D7C" w14:textId="77777777" w:rsidR="00EA27F8" w:rsidRPr="000905F5" w:rsidRDefault="00EA27F8" w:rsidP="00331A19">
            <w:pPr>
              <w:jc w:val="left"/>
              <w:rPr>
                <w:sz w:val="18"/>
                <w:szCs w:val="18"/>
              </w:rPr>
            </w:pPr>
            <w:r>
              <w:rPr>
                <w:sz w:val="18"/>
                <w:szCs w:val="18"/>
              </w:rPr>
              <w:t>Construction and extraction</w:t>
            </w:r>
          </w:p>
        </w:tc>
        <w:tc>
          <w:tcPr>
            <w:tcW w:w="1618" w:type="dxa"/>
          </w:tcPr>
          <w:p w14:paraId="2D25D2AD" w14:textId="77777777" w:rsidR="00EA27F8" w:rsidRPr="000905F5" w:rsidRDefault="00EA27F8" w:rsidP="00331A19">
            <w:pPr>
              <w:jc w:val="left"/>
              <w:rPr>
                <w:sz w:val="18"/>
                <w:szCs w:val="18"/>
              </w:rPr>
            </w:pPr>
            <w:r w:rsidRPr="000905F5">
              <w:rPr>
                <w:sz w:val="18"/>
                <w:szCs w:val="18"/>
              </w:rPr>
              <w:t>1</w:t>
            </w:r>
            <w:r>
              <w:rPr>
                <w:sz w:val="18"/>
                <w:szCs w:val="18"/>
              </w:rPr>
              <w:t>11.6</w:t>
            </w:r>
            <w:r w:rsidRPr="000905F5">
              <w:rPr>
                <w:sz w:val="18"/>
                <w:szCs w:val="18"/>
              </w:rPr>
              <w:t xml:space="preserve"> </w:t>
            </w:r>
            <w:r>
              <w:rPr>
                <w:sz w:val="18"/>
                <w:szCs w:val="18"/>
              </w:rPr>
              <w:br/>
            </w:r>
            <w:r w:rsidRPr="000905F5">
              <w:rPr>
                <w:sz w:val="18"/>
                <w:szCs w:val="18"/>
              </w:rPr>
              <w:t>(</w:t>
            </w:r>
            <w:r>
              <w:rPr>
                <w:sz w:val="18"/>
                <w:szCs w:val="18"/>
              </w:rPr>
              <w:t>60.3, 163.0</w:t>
            </w:r>
            <w:r w:rsidRPr="000905F5">
              <w:rPr>
                <w:sz w:val="18"/>
                <w:szCs w:val="18"/>
              </w:rPr>
              <w:t>)</w:t>
            </w:r>
            <w:r w:rsidRPr="002A698A">
              <w:rPr>
                <w:sz w:val="18"/>
                <w:szCs w:val="18"/>
                <w:vertAlign w:val="superscript"/>
              </w:rPr>
              <w:t xml:space="preserve"> </w:t>
            </w:r>
            <w:r w:rsidRPr="000905F5">
              <w:rPr>
                <w:sz w:val="22"/>
                <w:szCs w:val="18"/>
                <w:vertAlign w:val="superscript"/>
              </w:rPr>
              <w:t>1</w:t>
            </w:r>
          </w:p>
        </w:tc>
        <w:tc>
          <w:tcPr>
            <w:tcW w:w="1263" w:type="dxa"/>
          </w:tcPr>
          <w:p w14:paraId="1F100E97" w14:textId="77777777" w:rsidR="00EA27F8" w:rsidRDefault="00EA27F8" w:rsidP="00331A19">
            <w:pPr>
              <w:jc w:val="left"/>
              <w:rPr>
                <w:sz w:val="18"/>
                <w:szCs w:val="18"/>
              </w:rPr>
            </w:pPr>
            <w:r w:rsidRPr="00C84DAA">
              <w:rPr>
                <w:sz w:val="18"/>
                <w:szCs w:val="18"/>
              </w:rPr>
              <w:t>127</w:t>
            </w:r>
            <w:r w:rsidRPr="000905F5">
              <w:rPr>
                <w:sz w:val="18"/>
                <w:szCs w:val="18"/>
              </w:rPr>
              <w:t xml:space="preserve"> </w:t>
            </w:r>
          </w:p>
          <w:p w14:paraId="460C853B" w14:textId="77777777" w:rsidR="00EA27F8" w:rsidRPr="000905F5" w:rsidRDefault="00EA27F8" w:rsidP="00331A19">
            <w:pPr>
              <w:jc w:val="left"/>
              <w:rPr>
                <w:sz w:val="18"/>
                <w:szCs w:val="18"/>
              </w:rPr>
            </w:pPr>
            <w:r w:rsidRPr="000905F5">
              <w:rPr>
                <w:sz w:val="18"/>
                <w:szCs w:val="18"/>
              </w:rPr>
              <w:t>(1</w:t>
            </w:r>
            <w:r>
              <w:rPr>
                <w:sz w:val="18"/>
                <w:szCs w:val="18"/>
              </w:rPr>
              <w:t>9.3</w:t>
            </w:r>
            <w:r w:rsidRPr="000905F5">
              <w:rPr>
                <w:sz w:val="18"/>
                <w:szCs w:val="18"/>
              </w:rPr>
              <w:t>)</w:t>
            </w:r>
          </w:p>
        </w:tc>
      </w:tr>
      <w:tr w:rsidR="00EA27F8" w:rsidRPr="00331A19" w14:paraId="274A3EB2" w14:textId="77777777" w:rsidTr="00390319">
        <w:trPr>
          <w:trHeight w:val="300"/>
        </w:trPr>
        <w:tc>
          <w:tcPr>
            <w:tcW w:w="1327" w:type="dxa"/>
            <w:noWrap/>
          </w:tcPr>
          <w:p w14:paraId="233E495D" w14:textId="77777777" w:rsidR="00EA27F8" w:rsidRPr="000905F5" w:rsidRDefault="00EA27F8" w:rsidP="00331A19">
            <w:pPr>
              <w:jc w:val="left"/>
              <w:rPr>
                <w:sz w:val="18"/>
                <w:szCs w:val="18"/>
              </w:rPr>
            </w:pPr>
            <w:r w:rsidRPr="000905F5">
              <w:rPr>
                <w:sz w:val="18"/>
                <w:szCs w:val="18"/>
              </w:rPr>
              <w:t>Construction and extraction</w:t>
            </w:r>
          </w:p>
        </w:tc>
        <w:tc>
          <w:tcPr>
            <w:tcW w:w="1513" w:type="dxa"/>
            <w:noWrap/>
          </w:tcPr>
          <w:p w14:paraId="2791300E" w14:textId="77777777" w:rsidR="00EA27F8" w:rsidRPr="000905F5" w:rsidRDefault="00EA27F8" w:rsidP="00331A19">
            <w:pPr>
              <w:jc w:val="left"/>
              <w:rPr>
                <w:sz w:val="18"/>
                <w:szCs w:val="18"/>
              </w:rPr>
            </w:pPr>
            <w:r>
              <w:rPr>
                <w:sz w:val="18"/>
                <w:szCs w:val="18"/>
              </w:rPr>
              <w:t>211.6</w:t>
            </w:r>
            <w:r w:rsidRPr="000905F5">
              <w:rPr>
                <w:sz w:val="18"/>
                <w:szCs w:val="18"/>
              </w:rPr>
              <w:t xml:space="preserve"> </w:t>
            </w:r>
          </w:p>
          <w:p w14:paraId="07ED5691" w14:textId="77777777" w:rsidR="00EA27F8" w:rsidRPr="000905F5" w:rsidRDefault="00EA27F8" w:rsidP="00331A19">
            <w:pPr>
              <w:jc w:val="left"/>
              <w:rPr>
                <w:sz w:val="18"/>
                <w:szCs w:val="18"/>
              </w:rPr>
            </w:pPr>
            <w:r w:rsidRPr="000905F5">
              <w:rPr>
                <w:sz w:val="18"/>
                <w:szCs w:val="18"/>
              </w:rPr>
              <w:t>(</w:t>
            </w:r>
            <w:r>
              <w:rPr>
                <w:sz w:val="18"/>
                <w:szCs w:val="18"/>
              </w:rPr>
              <w:t>185.7, 237.5</w:t>
            </w:r>
            <w:r w:rsidRPr="000905F5">
              <w:rPr>
                <w:sz w:val="18"/>
                <w:szCs w:val="18"/>
              </w:rPr>
              <w:t>)</w:t>
            </w:r>
            <w:r w:rsidRPr="002A698A">
              <w:rPr>
                <w:sz w:val="18"/>
                <w:szCs w:val="18"/>
                <w:vertAlign w:val="superscript"/>
              </w:rPr>
              <w:t xml:space="preserve"> </w:t>
            </w:r>
            <w:r w:rsidRPr="000905F5">
              <w:rPr>
                <w:sz w:val="22"/>
                <w:szCs w:val="18"/>
                <w:vertAlign w:val="superscript"/>
              </w:rPr>
              <w:t>1</w:t>
            </w:r>
          </w:p>
        </w:tc>
        <w:tc>
          <w:tcPr>
            <w:tcW w:w="975" w:type="dxa"/>
            <w:tcBorders>
              <w:right w:val="single" w:sz="12" w:space="0" w:color="auto"/>
            </w:tcBorders>
            <w:noWrap/>
          </w:tcPr>
          <w:p w14:paraId="371EA51C" w14:textId="77777777" w:rsidR="00EA27F8" w:rsidRPr="00C84DAA" w:rsidRDefault="00EA27F8" w:rsidP="00331A19">
            <w:pPr>
              <w:jc w:val="left"/>
              <w:rPr>
                <w:sz w:val="18"/>
                <w:szCs w:val="18"/>
              </w:rPr>
            </w:pPr>
            <w:r w:rsidRPr="00C84DAA">
              <w:rPr>
                <w:sz w:val="18"/>
                <w:szCs w:val="18"/>
              </w:rPr>
              <w:t>1,794 (27.2)</w:t>
            </w:r>
          </w:p>
        </w:tc>
        <w:tc>
          <w:tcPr>
            <w:tcW w:w="1292" w:type="dxa"/>
            <w:tcBorders>
              <w:left w:val="single" w:sz="12" w:space="0" w:color="auto"/>
            </w:tcBorders>
            <w:noWrap/>
          </w:tcPr>
          <w:p w14:paraId="2DB0F1FF" w14:textId="77777777" w:rsidR="00EA27F8" w:rsidRPr="000905F5" w:rsidRDefault="00EA27F8" w:rsidP="00331A19">
            <w:pPr>
              <w:jc w:val="left"/>
              <w:rPr>
                <w:sz w:val="18"/>
                <w:szCs w:val="18"/>
              </w:rPr>
            </w:pPr>
            <w:r w:rsidRPr="000905F5">
              <w:rPr>
                <w:sz w:val="18"/>
                <w:szCs w:val="18"/>
              </w:rPr>
              <w:t>Farming, fishing, and forestry</w:t>
            </w:r>
          </w:p>
        </w:tc>
        <w:tc>
          <w:tcPr>
            <w:tcW w:w="1533" w:type="dxa"/>
            <w:noWrap/>
          </w:tcPr>
          <w:p w14:paraId="7840A0C5" w14:textId="77777777" w:rsidR="00EA27F8" w:rsidRPr="000905F5" w:rsidRDefault="00193806" w:rsidP="00331A19">
            <w:pPr>
              <w:jc w:val="left"/>
              <w:rPr>
                <w:sz w:val="18"/>
                <w:szCs w:val="18"/>
              </w:rPr>
            </w:pPr>
            <w:r w:rsidRPr="00FE521F">
              <w:rPr>
                <w:sz w:val="22"/>
                <w:szCs w:val="22"/>
              </w:rPr>
              <w:t>__</w:t>
            </w:r>
            <w:r>
              <w:rPr>
                <w:sz w:val="22"/>
                <w:szCs w:val="22"/>
                <w:vertAlign w:val="superscript"/>
              </w:rPr>
              <w:t>3</w:t>
            </w:r>
          </w:p>
        </w:tc>
        <w:tc>
          <w:tcPr>
            <w:tcW w:w="1258" w:type="dxa"/>
            <w:tcBorders>
              <w:right w:val="single" w:sz="12" w:space="0" w:color="auto"/>
            </w:tcBorders>
            <w:noWrap/>
          </w:tcPr>
          <w:p w14:paraId="62649D4D" w14:textId="77777777" w:rsidR="00EA27F8" w:rsidRPr="000905F5" w:rsidRDefault="00EA27F8" w:rsidP="00331A19">
            <w:pPr>
              <w:jc w:val="left"/>
              <w:rPr>
                <w:sz w:val="18"/>
                <w:szCs w:val="18"/>
              </w:rPr>
            </w:pPr>
            <w:r w:rsidRPr="000905F5">
              <w:rPr>
                <w:sz w:val="18"/>
                <w:szCs w:val="18"/>
              </w:rPr>
              <w:t>__</w:t>
            </w:r>
            <w:r w:rsidRPr="000905F5">
              <w:rPr>
                <w:sz w:val="18"/>
                <w:szCs w:val="18"/>
                <w:vertAlign w:val="superscript"/>
              </w:rPr>
              <w:t>2</w:t>
            </w:r>
          </w:p>
        </w:tc>
        <w:tc>
          <w:tcPr>
            <w:tcW w:w="1439" w:type="dxa"/>
            <w:tcBorders>
              <w:left w:val="single" w:sz="12" w:space="0" w:color="auto"/>
            </w:tcBorders>
          </w:tcPr>
          <w:p w14:paraId="48F37700" w14:textId="77777777" w:rsidR="00EA27F8" w:rsidRPr="000905F5" w:rsidRDefault="00EA27F8" w:rsidP="00331A19">
            <w:pPr>
              <w:jc w:val="left"/>
              <w:rPr>
                <w:sz w:val="18"/>
                <w:szCs w:val="18"/>
              </w:rPr>
            </w:pPr>
            <w:r w:rsidRPr="000905F5">
              <w:rPr>
                <w:sz w:val="18"/>
                <w:szCs w:val="18"/>
              </w:rPr>
              <w:t xml:space="preserve">Installation, maintenance, </w:t>
            </w:r>
            <w:r>
              <w:rPr>
                <w:sz w:val="18"/>
                <w:szCs w:val="18"/>
              </w:rPr>
              <w:t>&amp;</w:t>
            </w:r>
            <w:r w:rsidRPr="000905F5">
              <w:rPr>
                <w:sz w:val="18"/>
                <w:szCs w:val="18"/>
              </w:rPr>
              <w:t xml:space="preserve"> repair</w:t>
            </w:r>
          </w:p>
        </w:tc>
        <w:tc>
          <w:tcPr>
            <w:tcW w:w="1618" w:type="dxa"/>
          </w:tcPr>
          <w:p w14:paraId="3F2927A5" w14:textId="77777777" w:rsidR="00EA27F8" w:rsidRPr="000905F5" w:rsidRDefault="00EA27F8" w:rsidP="00331A19">
            <w:pPr>
              <w:jc w:val="left"/>
              <w:rPr>
                <w:sz w:val="18"/>
                <w:szCs w:val="18"/>
              </w:rPr>
            </w:pPr>
            <w:r>
              <w:rPr>
                <w:sz w:val="18"/>
                <w:szCs w:val="18"/>
              </w:rPr>
              <w:t>110.0</w:t>
            </w:r>
            <w:r w:rsidRPr="000905F5">
              <w:rPr>
                <w:sz w:val="18"/>
                <w:szCs w:val="18"/>
              </w:rPr>
              <w:t xml:space="preserve"> </w:t>
            </w:r>
            <w:r>
              <w:rPr>
                <w:sz w:val="18"/>
                <w:szCs w:val="18"/>
              </w:rPr>
              <w:br/>
            </w:r>
            <w:r w:rsidRPr="000905F5">
              <w:rPr>
                <w:sz w:val="18"/>
                <w:szCs w:val="18"/>
              </w:rPr>
              <w:t>(</w:t>
            </w:r>
            <w:r>
              <w:rPr>
                <w:sz w:val="18"/>
                <w:szCs w:val="18"/>
              </w:rPr>
              <w:t>28.5, 191.5</w:t>
            </w:r>
            <w:r w:rsidRPr="000905F5">
              <w:rPr>
                <w:sz w:val="18"/>
                <w:szCs w:val="18"/>
              </w:rPr>
              <w:t>)</w:t>
            </w:r>
            <w:r w:rsidR="00B45924" w:rsidRPr="002A698A">
              <w:rPr>
                <w:sz w:val="22"/>
                <w:szCs w:val="22"/>
                <w:vertAlign w:val="superscript"/>
              </w:rPr>
              <w:t>1</w:t>
            </w:r>
          </w:p>
        </w:tc>
        <w:tc>
          <w:tcPr>
            <w:tcW w:w="1263" w:type="dxa"/>
          </w:tcPr>
          <w:p w14:paraId="28E2CD51" w14:textId="77777777" w:rsidR="00EA27F8" w:rsidRDefault="00EA27F8" w:rsidP="00331A19">
            <w:pPr>
              <w:jc w:val="left"/>
              <w:rPr>
                <w:sz w:val="18"/>
                <w:szCs w:val="18"/>
              </w:rPr>
            </w:pPr>
            <w:r>
              <w:rPr>
                <w:sz w:val="18"/>
                <w:szCs w:val="18"/>
              </w:rPr>
              <w:t>49</w:t>
            </w:r>
            <w:r w:rsidRPr="000905F5">
              <w:rPr>
                <w:sz w:val="18"/>
                <w:szCs w:val="18"/>
              </w:rPr>
              <w:t xml:space="preserve"> </w:t>
            </w:r>
          </w:p>
          <w:p w14:paraId="1FEB773E" w14:textId="77777777" w:rsidR="00EA27F8" w:rsidRPr="000905F5" w:rsidRDefault="00EA27F8" w:rsidP="00331A19">
            <w:pPr>
              <w:jc w:val="left"/>
              <w:rPr>
                <w:sz w:val="18"/>
                <w:szCs w:val="18"/>
              </w:rPr>
            </w:pPr>
            <w:r w:rsidRPr="000905F5">
              <w:rPr>
                <w:sz w:val="18"/>
                <w:szCs w:val="18"/>
              </w:rPr>
              <w:t>(</w:t>
            </w:r>
            <w:r>
              <w:rPr>
                <w:sz w:val="18"/>
                <w:szCs w:val="18"/>
              </w:rPr>
              <w:t>7.4</w:t>
            </w:r>
            <w:r w:rsidRPr="000905F5">
              <w:rPr>
                <w:sz w:val="18"/>
                <w:szCs w:val="18"/>
              </w:rPr>
              <w:t>)</w:t>
            </w:r>
          </w:p>
        </w:tc>
      </w:tr>
      <w:tr w:rsidR="00F6776F" w:rsidRPr="00331A19" w14:paraId="7BBB0C46" w14:textId="77777777" w:rsidTr="00390319">
        <w:trPr>
          <w:trHeight w:val="300"/>
        </w:trPr>
        <w:tc>
          <w:tcPr>
            <w:tcW w:w="1327" w:type="dxa"/>
            <w:noWrap/>
          </w:tcPr>
          <w:p w14:paraId="6653FCD7" w14:textId="77777777" w:rsidR="00F6776F" w:rsidRPr="000905F5" w:rsidRDefault="00F6776F" w:rsidP="00F6776F">
            <w:pPr>
              <w:jc w:val="left"/>
              <w:rPr>
                <w:sz w:val="18"/>
                <w:szCs w:val="18"/>
              </w:rPr>
            </w:pPr>
            <w:r w:rsidRPr="000905F5">
              <w:rPr>
                <w:sz w:val="18"/>
                <w:szCs w:val="18"/>
              </w:rPr>
              <w:t>Installation, maintenance &amp; repair</w:t>
            </w:r>
          </w:p>
        </w:tc>
        <w:tc>
          <w:tcPr>
            <w:tcW w:w="1513" w:type="dxa"/>
            <w:noWrap/>
          </w:tcPr>
          <w:p w14:paraId="3F17BD91" w14:textId="77777777" w:rsidR="00F6776F" w:rsidRPr="000905F5" w:rsidRDefault="00F6776F" w:rsidP="00F6776F">
            <w:pPr>
              <w:jc w:val="left"/>
              <w:rPr>
                <w:sz w:val="18"/>
                <w:szCs w:val="18"/>
              </w:rPr>
            </w:pPr>
            <w:r w:rsidRPr="000905F5">
              <w:rPr>
                <w:sz w:val="18"/>
                <w:szCs w:val="18"/>
              </w:rPr>
              <w:t>7</w:t>
            </w:r>
            <w:r>
              <w:rPr>
                <w:sz w:val="18"/>
                <w:szCs w:val="18"/>
              </w:rPr>
              <w:t>7.3</w:t>
            </w:r>
          </w:p>
          <w:p w14:paraId="0CD02804" w14:textId="77777777" w:rsidR="00F6776F" w:rsidRPr="000905F5" w:rsidRDefault="00F6776F" w:rsidP="00F6776F">
            <w:pPr>
              <w:jc w:val="left"/>
              <w:rPr>
                <w:sz w:val="18"/>
                <w:szCs w:val="18"/>
              </w:rPr>
            </w:pPr>
            <w:r w:rsidRPr="000905F5">
              <w:rPr>
                <w:sz w:val="18"/>
                <w:szCs w:val="18"/>
              </w:rPr>
              <w:t>(</w:t>
            </w:r>
            <w:r>
              <w:rPr>
                <w:sz w:val="18"/>
                <w:szCs w:val="18"/>
              </w:rPr>
              <w:t>56.1, 98.5</w:t>
            </w:r>
            <w:r w:rsidRPr="000905F5">
              <w:rPr>
                <w:sz w:val="18"/>
                <w:szCs w:val="18"/>
              </w:rPr>
              <w:t>)</w:t>
            </w:r>
            <w:r w:rsidRPr="002A698A">
              <w:rPr>
                <w:sz w:val="18"/>
                <w:szCs w:val="18"/>
                <w:vertAlign w:val="superscript"/>
              </w:rPr>
              <w:t xml:space="preserve"> </w:t>
            </w:r>
            <w:r w:rsidRPr="000905F5">
              <w:rPr>
                <w:sz w:val="22"/>
                <w:szCs w:val="18"/>
                <w:vertAlign w:val="superscript"/>
              </w:rPr>
              <w:t>1</w:t>
            </w:r>
          </w:p>
        </w:tc>
        <w:tc>
          <w:tcPr>
            <w:tcW w:w="975" w:type="dxa"/>
            <w:tcBorders>
              <w:right w:val="single" w:sz="12" w:space="0" w:color="auto"/>
            </w:tcBorders>
            <w:noWrap/>
          </w:tcPr>
          <w:p w14:paraId="289BC7BE" w14:textId="77777777" w:rsidR="00F6776F" w:rsidRPr="000905F5" w:rsidRDefault="00F6776F" w:rsidP="00F6776F">
            <w:pPr>
              <w:jc w:val="left"/>
              <w:rPr>
                <w:sz w:val="18"/>
                <w:szCs w:val="18"/>
              </w:rPr>
            </w:pPr>
            <w:r w:rsidRPr="000905F5">
              <w:rPr>
                <w:sz w:val="18"/>
                <w:szCs w:val="18"/>
              </w:rPr>
              <w:t>3</w:t>
            </w:r>
            <w:r>
              <w:rPr>
                <w:sz w:val="18"/>
                <w:szCs w:val="18"/>
              </w:rPr>
              <w:t>57</w:t>
            </w:r>
            <w:r w:rsidRPr="000905F5">
              <w:rPr>
                <w:sz w:val="18"/>
                <w:szCs w:val="18"/>
              </w:rPr>
              <w:t xml:space="preserve"> (</w:t>
            </w:r>
            <w:r>
              <w:rPr>
                <w:sz w:val="18"/>
                <w:szCs w:val="18"/>
              </w:rPr>
              <w:t>5.4</w:t>
            </w:r>
            <w:r w:rsidRPr="000905F5">
              <w:rPr>
                <w:sz w:val="18"/>
                <w:szCs w:val="18"/>
              </w:rPr>
              <w:t>)</w:t>
            </w:r>
          </w:p>
        </w:tc>
        <w:tc>
          <w:tcPr>
            <w:tcW w:w="1292" w:type="dxa"/>
            <w:tcBorders>
              <w:left w:val="single" w:sz="12" w:space="0" w:color="auto"/>
            </w:tcBorders>
            <w:noWrap/>
          </w:tcPr>
          <w:p w14:paraId="7B4A96E4" w14:textId="77777777" w:rsidR="00F6776F" w:rsidRPr="000905F5" w:rsidRDefault="00F6776F" w:rsidP="00F6776F">
            <w:pPr>
              <w:jc w:val="left"/>
              <w:rPr>
                <w:sz w:val="18"/>
                <w:szCs w:val="18"/>
              </w:rPr>
            </w:pPr>
            <w:r>
              <w:rPr>
                <w:sz w:val="18"/>
                <w:szCs w:val="18"/>
              </w:rPr>
              <w:t xml:space="preserve">Arts, design, entertainment, </w:t>
            </w:r>
            <w:proofErr w:type="gramStart"/>
            <w:r>
              <w:rPr>
                <w:sz w:val="18"/>
                <w:szCs w:val="18"/>
              </w:rPr>
              <w:t>sports</w:t>
            </w:r>
            <w:proofErr w:type="gramEnd"/>
            <w:r>
              <w:rPr>
                <w:sz w:val="18"/>
                <w:szCs w:val="18"/>
              </w:rPr>
              <w:t xml:space="preserve"> and media</w:t>
            </w:r>
          </w:p>
        </w:tc>
        <w:tc>
          <w:tcPr>
            <w:tcW w:w="1533" w:type="dxa"/>
            <w:noWrap/>
          </w:tcPr>
          <w:p w14:paraId="778BA4FB" w14:textId="77777777" w:rsidR="00F6776F" w:rsidRPr="000905F5" w:rsidRDefault="00F6776F" w:rsidP="00F6776F">
            <w:pPr>
              <w:jc w:val="left"/>
              <w:rPr>
                <w:sz w:val="18"/>
                <w:szCs w:val="18"/>
              </w:rPr>
            </w:pPr>
            <w:r w:rsidRPr="00FE521F">
              <w:rPr>
                <w:sz w:val="22"/>
                <w:szCs w:val="22"/>
              </w:rPr>
              <w:t>__</w:t>
            </w:r>
            <w:r>
              <w:rPr>
                <w:sz w:val="22"/>
                <w:szCs w:val="22"/>
                <w:vertAlign w:val="superscript"/>
              </w:rPr>
              <w:t>4</w:t>
            </w:r>
          </w:p>
        </w:tc>
        <w:tc>
          <w:tcPr>
            <w:tcW w:w="1258" w:type="dxa"/>
            <w:tcBorders>
              <w:right w:val="single" w:sz="12" w:space="0" w:color="auto"/>
            </w:tcBorders>
            <w:noWrap/>
          </w:tcPr>
          <w:p w14:paraId="434530A3" w14:textId="77777777" w:rsidR="00F6776F" w:rsidRPr="000905F5" w:rsidRDefault="00F6776F" w:rsidP="00F6776F">
            <w:pPr>
              <w:jc w:val="left"/>
              <w:rPr>
                <w:sz w:val="18"/>
                <w:szCs w:val="18"/>
              </w:rPr>
            </w:pPr>
            <w:r>
              <w:rPr>
                <w:sz w:val="18"/>
                <w:szCs w:val="18"/>
              </w:rPr>
              <w:t>7</w:t>
            </w:r>
            <w:r w:rsidRPr="000905F5">
              <w:rPr>
                <w:sz w:val="18"/>
                <w:szCs w:val="18"/>
              </w:rPr>
              <w:t xml:space="preserve"> </w:t>
            </w:r>
          </w:p>
          <w:p w14:paraId="5067B601" w14:textId="77777777" w:rsidR="00F6776F" w:rsidRPr="000905F5" w:rsidRDefault="00F6776F" w:rsidP="00F6776F">
            <w:pPr>
              <w:jc w:val="left"/>
              <w:rPr>
                <w:sz w:val="18"/>
                <w:szCs w:val="18"/>
              </w:rPr>
            </w:pPr>
            <w:r w:rsidRPr="000905F5">
              <w:rPr>
                <w:sz w:val="18"/>
                <w:szCs w:val="18"/>
              </w:rPr>
              <w:t>(</w:t>
            </w:r>
            <w:r>
              <w:rPr>
                <w:sz w:val="18"/>
                <w:szCs w:val="18"/>
              </w:rPr>
              <w:t>2.3</w:t>
            </w:r>
            <w:r w:rsidRPr="000905F5">
              <w:rPr>
                <w:sz w:val="18"/>
                <w:szCs w:val="18"/>
              </w:rPr>
              <w:t>)</w:t>
            </w:r>
          </w:p>
        </w:tc>
        <w:tc>
          <w:tcPr>
            <w:tcW w:w="1439" w:type="dxa"/>
            <w:tcBorders>
              <w:left w:val="single" w:sz="12" w:space="0" w:color="auto"/>
            </w:tcBorders>
          </w:tcPr>
          <w:p w14:paraId="35BE2792" w14:textId="77777777" w:rsidR="00F6776F" w:rsidRPr="000905F5" w:rsidRDefault="00F6776F" w:rsidP="00F6776F">
            <w:pPr>
              <w:jc w:val="left"/>
              <w:rPr>
                <w:sz w:val="18"/>
                <w:szCs w:val="18"/>
              </w:rPr>
            </w:pPr>
            <w:r w:rsidRPr="000905F5">
              <w:rPr>
                <w:sz w:val="18"/>
                <w:szCs w:val="18"/>
              </w:rPr>
              <w:t>Farming, fishing, and forestry</w:t>
            </w:r>
          </w:p>
        </w:tc>
        <w:tc>
          <w:tcPr>
            <w:tcW w:w="1618" w:type="dxa"/>
          </w:tcPr>
          <w:p w14:paraId="5B00D265" w14:textId="77777777" w:rsidR="00F6776F" w:rsidRPr="000905F5" w:rsidRDefault="00F6776F" w:rsidP="00F6776F">
            <w:pPr>
              <w:jc w:val="left"/>
              <w:rPr>
                <w:sz w:val="18"/>
                <w:szCs w:val="18"/>
              </w:rPr>
            </w:pPr>
            <w:r w:rsidRPr="00FE521F">
              <w:rPr>
                <w:sz w:val="22"/>
                <w:szCs w:val="22"/>
              </w:rPr>
              <w:t>__</w:t>
            </w:r>
            <w:r>
              <w:rPr>
                <w:sz w:val="22"/>
                <w:szCs w:val="22"/>
                <w:vertAlign w:val="superscript"/>
              </w:rPr>
              <w:t>4</w:t>
            </w:r>
          </w:p>
        </w:tc>
        <w:tc>
          <w:tcPr>
            <w:tcW w:w="1263" w:type="dxa"/>
          </w:tcPr>
          <w:p w14:paraId="49945C09" w14:textId="77777777" w:rsidR="00F6776F" w:rsidRDefault="00F6776F" w:rsidP="00F6776F">
            <w:pPr>
              <w:jc w:val="left"/>
              <w:rPr>
                <w:sz w:val="18"/>
                <w:szCs w:val="18"/>
              </w:rPr>
            </w:pPr>
            <w:r w:rsidRPr="000905F5">
              <w:rPr>
                <w:sz w:val="18"/>
                <w:szCs w:val="18"/>
              </w:rPr>
              <w:t xml:space="preserve">7 </w:t>
            </w:r>
          </w:p>
          <w:p w14:paraId="5B9B9BF6" w14:textId="77777777" w:rsidR="00F6776F" w:rsidRPr="000905F5" w:rsidRDefault="00F6776F" w:rsidP="00F6776F">
            <w:pPr>
              <w:jc w:val="left"/>
              <w:rPr>
                <w:sz w:val="18"/>
                <w:szCs w:val="18"/>
              </w:rPr>
            </w:pPr>
            <w:r w:rsidRPr="000905F5">
              <w:rPr>
                <w:sz w:val="18"/>
                <w:szCs w:val="18"/>
              </w:rPr>
              <w:t>(</w:t>
            </w:r>
            <w:r>
              <w:rPr>
                <w:sz w:val="18"/>
                <w:szCs w:val="18"/>
              </w:rPr>
              <w:t>1.1</w:t>
            </w:r>
            <w:r w:rsidRPr="000905F5">
              <w:rPr>
                <w:sz w:val="18"/>
                <w:szCs w:val="18"/>
              </w:rPr>
              <w:t>)</w:t>
            </w:r>
          </w:p>
        </w:tc>
      </w:tr>
      <w:tr w:rsidR="00F6776F" w:rsidRPr="00331A19" w14:paraId="72F46A97" w14:textId="77777777" w:rsidTr="00390319">
        <w:trPr>
          <w:trHeight w:val="300"/>
        </w:trPr>
        <w:tc>
          <w:tcPr>
            <w:tcW w:w="1327" w:type="dxa"/>
            <w:noWrap/>
          </w:tcPr>
          <w:p w14:paraId="51D2C673" w14:textId="77777777" w:rsidR="00F6776F" w:rsidRPr="000905F5" w:rsidRDefault="00F6776F" w:rsidP="00F6776F">
            <w:pPr>
              <w:jc w:val="left"/>
              <w:rPr>
                <w:sz w:val="18"/>
                <w:szCs w:val="18"/>
              </w:rPr>
            </w:pPr>
            <w:r>
              <w:rPr>
                <w:sz w:val="18"/>
                <w:szCs w:val="18"/>
              </w:rPr>
              <w:t>Transportation and material moving</w:t>
            </w:r>
          </w:p>
        </w:tc>
        <w:tc>
          <w:tcPr>
            <w:tcW w:w="1513" w:type="dxa"/>
            <w:noWrap/>
          </w:tcPr>
          <w:p w14:paraId="1E140EB5" w14:textId="77777777" w:rsidR="00F6776F" w:rsidRPr="000905F5" w:rsidRDefault="00F6776F" w:rsidP="00F6776F">
            <w:pPr>
              <w:jc w:val="left"/>
              <w:rPr>
                <w:sz w:val="18"/>
                <w:szCs w:val="18"/>
              </w:rPr>
            </w:pPr>
            <w:r>
              <w:rPr>
                <w:sz w:val="18"/>
                <w:szCs w:val="18"/>
              </w:rPr>
              <w:t>70.6</w:t>
            </w:r>
          </w:p>
          <w:p w14:paraId="028502EF" w14:textId="77777777" w:rsidR="00F6776F" w:rsidRPr="000905F5" w:rsidRDefault="00F6776F" w:rsidP="00F6776F">
            <w:pPr>
              <w:jc w:val="left"/>
              <w:rPr>
                <w:sz w:val="18"/>
                <w:szCs w:val="18"/>
              </w:rPr>
            </w:pPr>
            <w:r w:rsidRPr="000905F5">
              <w:rPr>
                <w:sz w:val="18"/>
                <w:szCs w:val="18"/>
              </w:rPr>
              <w:t>(</w:t>
            </w:r>
            <w:r>
              <w:rPr>
                <w:sz w:val="18"/>
                <w:szCs w:val="18"/>
              </w:rPr>
              <w:t>54.6, 86.6</w:t>
            </w:r>
            <w:r w:rsidRPr="000905F5">
              <w:rPr>
                <w:sz w:val="18"/>
                <w:szCs w:val="18"/>
              </w:rPr>
              <w:t>)</w:t>
            </w:r>
            <w:r w:rsidRPr="002A698A">
              <w:rPr>
                <w:sz w:val="18"/>
                <w:szCs w:val="18"/>
                <w:vertAlign w:val="superscript"/>
              </w:rPr>
              <w:t xml:space="preserve"> </w:t>
            </w:r>
            <w:r w:rsidRPr="000905F5">
              <w:rPr>
                <w:sz w:val="22"/>
                <w:szCs w:val="18"/>
                <w:vertAlign w:val="superscript"/>
              </w:rPr>
              <w:t>1</w:t>
            </w:r>
          </w:p>
        </w:tc>
        <w:tc>
          <w:tcPr>
            <w:tcW w:w="975" w:type="dxa"/>
            <w:tcBorders>
              <w:right w:val="single" w:sz="12" w:space="0" w:color="auto"/>
            </w:tcBorders>
            <w:noWrap/>
          </w:tcPr>
          <w:p w14:paraId="43CE41BF" w14:textId="77777777" w:rsidR="00F6776F" w:rsidRPr="000905F5" w:rsidRDefault="00F6776F" w:rsidP="00F6776F">
            <w:pPr>
              <w:jc w:val="left"/>
              <w:rPr>
                <w:sz w:val="18"/>
                <w:szCs w:val="18"/>
              </w:rPr>
            </w:pPr>
            <w:r>
              <w:rPr>
                <w:sz w:val="18"/>
                <w:szCs w:val="18"/>
              </w:rPr>
              <w:t>525</w:t>
            </w:r>
            <w:r w:rsidRPr="000905F5">
              <w:rPr>
                <w:sz w:val="18"/>
                <w:szCs w:val="18"/>
              </w:rPr>
              <w:t xml:space="preserve"> </w:t>
            </w:r>
          </w:p>
          <w:p w14:paraId="5ABD1BB2" w14:textId="77777777" w:rsidR="00F6776F" w:rsidRPr="000905F5" w:rsidRDefault="00F6776F" w:rsidP="00F6776F">
            <w:pPr>
              <w:jc w:val="left"/>
              <w:rPr>
                <w:sz w:val="18"/>
                <w:szCs w:val="18"/>
              </w:rPr>
            </w:pPr>
            <w:r w:rsidRPr="000905F5">
              <w:rPr>
                <w:sz w:val="18"/>
                <w:szCs w:val="18"/>
              </w:rPr>
              <w:t>(8</w:t>
            </w:r>
            <w:r>
              <w:rPr>
                <w:sz w:val="18"/>
                <w:szCs w:val="18"/>
              </w:rPr>
              <w:t>.0</w:t>
            </w:r>
            <w:r w:rsidRPr="000905F5">
              <w:rPr>
                <w:sz w:val="18"/>
                <w:szCs w:val="18"/>
              </w:rPr>
              <w:t>)</w:t>
            </w:r>
          </w:p>
        </w:tc>
        <w:tc>
          <w:tcPr>
            <w:tcW w:w="1292" w:type="dxa"/>
            <w:tcBorders>
              <w:left w:val="single" w:sz="12" w:space="0" w:color="auto"/>
            </w:tcBorders>
            <w:noWrap/>
          </w:tcPr>
          <w:p w14:paraId="23DC6E4E" w14:textId="77777777" w:rsidR="00F6776F" w:rsidRPr="000905F5" w:rsidRDefault="00F6776F" w:rsidP="00F6776F">
            <w:pPr>
              <w:jc w:val="left"/>
              <w:rPr>
                <w:sz w:val="18"/>
                <w:szCs w:val="18"/>
              </w:rPr>
            </w:pPr>
            <w:r w:rsidRPr="000905F5">
              <w:rPr>
                <w:sz w:val="18"/>
                <w:szCs w:val="18"/>
              </w:rPr>
              <w:t>Transportation and material moving</w:t>
            </w:r>
          </w:p>
        </w:tc>
        <w:tc>
          <w:tcPr>
            <w:tcW w:w="1533" w:type="dxa"/>
            <w:noWrap/>
          </w:tcPr>
          <w:p w14:paraId="5A807CBA" w14:textId="77777777" w:rsidR="00F6776F" w:rsidRPr="000905F5" w:rsidRDefault="00F6776F" w:rsidP="00F6776F">
            <w:pPr>
              <w:jc w:val="left"/>
              <w:rPr>
                <w:sz w:val="18"/>
                <w:szCs w:val="18"/>
              </w:rPr>
            </w:pPr>
            <w:r>
              <w:rPr>
                <w:sz w:val="18"/>
                <w:szCs w:val="18"/>
              </w:rPr>
              <w:t>32.0</w:t>
            </w:r>
            <w:r w:rsidRPr="000905F5">
              <w:rPr>
                <w:sz w:val="18"/>
                <w:szCs w:val="18"/>
              </w:rPr>
              <w:t xml:space="preserve"> </w:t>
            </w:r>
          </w:p>
          <w:p w14:paraId="0E3DD5F9" w14:textId="77777777" w:rsidR="00F6776F" w:rsidRPr="000905F5" w:rsidRDefault="00F6776F" w:rsidP="00F6776F">
            <w:pPr>
              <w:jc w:val="left"/>
              <w:rPr>
                <w:sz w:val="18"/>
                <w:szCs w:val="18"/>
              </w:rPr>
            </w:pPr>
            <w:r w:rsidRPr="000905F5">
              <w:rPr>
                <w:sz w:val="18"/>
                <w:szCs w:val="18"/>
              </w:rPr>
              <w:t>(</w:t>
            </w:r>
            <w:r>
              <w:rPr>
                <w:sz w:val="18"/>
                <w:szCs w:val="18"/>
              </w:rPr>
              <w:t>5.4, 58.6</w:t>
            </w:r>
            <w:r w:rsidRPr="000905F5">
              <w:rPr>
                <w:sz w:val="18"/>
                <w:szCs w:val="18"/>
              </w:rPr>
              <w:t>)</w:t>
            </w:r>
          </w:p>
        </w:tc>
        <w:tc>
          <w:tcPr>
            <w:tcW w:w="1258" w:type="dxa"/>
            <w:tcBorders>
              <w:right w:val="single" w:sz="12" w:space="0" w:color="auto"/>
            </w:tcBorders>
            <w:noWrap/>
          </w:tcPr>
          <w:p w14:paraId="7546623C" w14:textId="77777777" w:rsidR="00F6776F" w:rsidRPr="000905F5" w:rsidRDefault="00F6776F" w:rsidP="00F6776F">
            <w:pPr>
              <w:jc w:val="left"/>
              <w:rPr>
                <w:sz w:val="18"/>
                <w:szCs w:val="18"/>
              </w:rPr>
            </w:pPr>
            <w:r>
              <w:rPr>
                <w:sz w:val="18"/>
                <w:szCs w:val="18"/>
              </w:rPr>
              <w:t>39</w:t>
            </w:r>
            <w:r w:rsidRPr="000905F5">
              <w:rPr>
                <w:sz w:val="18"/>
                <w:szCs w:val="18"/>
              </w:rPr>
              <w:t xml:space="preserve"> </w:t>
            </w:r>
          </w:p>
          <w:p w14:paraId="28337B27" w14:textId="77777777" w:rsidR="00F6776F" w:rsidRPr="000905F5" w:rsidRDefault="00F6776F" w:rsidP="00F6776F">
            <w:pPr>
              <w:jc w:val="left"/>
              <w:rPr>
                <w:sz w:val="18"/>
                <w:szCs w:val="18"/>
              </w:rPr>
            </w:pPr>
            <w:r w:rsidRPr="000905F5">
              <w:rPr>
                <w:sz w:val="18"/>
                <w:szCs w:val="18"/>
              </w:rPr>
              <w:t>(</w:t>
            </w:r>
            <w:r>
              <w:rPr>
                <w:sz w:val="18"/>
                <w:szCs w:val="18"/>
              </w:rPr>
              <w:t>12.8</w:t>
            </w:r>
            <w:r w:rsidRPr="000905F5">
              <w:rPr>
                <w:sz w:val="18"/>
                <w:szCs w:val="18"/>
              </w:rPr>
              <w:t>)</w:t>
            </w:r>
          </w:p>
        </w:tc>
        <w:tc>
          <w:tcPr>
            <w:tcW w:w="1439" w:type="dxa"/>
            <w:tcBorders>
              <w:left w:val="single" w:sz="12" w:space="0" w:color="auto"/>
            </w:tcBorders>
          </w:tcPr>
          <w:p w14:paraId="5A085B9C" w14:textId="77777777" w:rsidR="00F6776F" w:rsidRPr="000905F5" w:rsidRDefault="00F6776F" w:rsidP="00F6776F">
            <w:pPr>
              <w:jc w:val="left"/>
              <w:rPr>
                <w:sz w:val="18"/>
                <w:szCs w:val="18"/>
              </w:rPr>
            </w:pPr>
            <w:r w:rsidRPr="000905F5">
              <w:rPr>
                <w:sz w:val="18"/>
                <w:szCs w:val="18"/>
              </w:rPr>
              <w:t>Transportation and material moving</w:t>
            </w:r>
          </w:p>
        </w:tc>
        <w:tc>
          <w:tcPr>
            <w:tcW w:w="1618" w:type="dxa"/>
          </w:tcPr>
          <w:p w14:paraId="0DAF64B7" w14:textId="77777777" w:rsidR="00F6776F" w:rsidRDefault="00F6776F" w:rsidP="00F6776F">
            <w:pPr>
              <w:jc w:val="left"/>
              <w:rPr>
                <w:sz w:val="18"/>
                <w:szCs w:val="18"/>
              </w:rPr>
            </w:pPr>
            <w:r w:rsidRPr="000905F5">
              <w:rPr>
                <w:sz w:val="18"/>
                <w:szCs w:val="18"/>
              </w:rPr>
              <w:t>5</w:t>
            </w:r>
            <w:r>
              <w:rPr>
                <w:sz w:val="18"/>
                <w:szCs w:val="18"/>
              </w:rPr>
              <w:t>6.8</w:t>
            </w:r>
            <w:r w:rsidRPr="000905F5">
              <w:rPr>
                <w:sz w:val="18"/>
                <w:szCs w:val="18"/>
              </w:rPr>
              <w:t xml:space="preserve"> </w:t>
            </w:r>
          </w:p>
          <w:p w14:paraId="1CB76952" w14:textId="77777777" w:rsidR="00F6776F" w:rsidRPr="000905F5" w:rsidRDefault="00F6776F" w:rsidP="00F6776F">
            <w:pPr>
              <w:jc w:val="left"/>
              <w:rPr>
                <w:sz w:val="18"/>
                <w:szCs w:val="18"/>
              </w:rPr>
            </w:pPr>
            <w:r w:rsidRPr="000905F5">
              <w:rPr>
                <w:sz w:val="18"/>
                <w:szCs w:val="18"/>
              </w:rPr>
              <w:t>(2</w:t>
            </w:r>
            <w:r>
              <w:rPr>
                <w:sz w:val="18"/>
                <w:szCs w:val="18"/>
              </w:rPr>
              <w:t>6.3, 87.3</w:t>
            </w:r>
            <w:r w:rsidRPr="000905F5">
              <w:rPr>
                <w:sz w:val="18"/>
                <w:szCs w:val="18"/>
              </w:rPr>
              <w:t>)</w:t>
            </w:r>
            <w:r w:rsidRPr="002A698A">
              <w:rPr>
                <w:sz w:val="22"/>
                <w:szCs w:val="22"/>
                <w:vertAlign w:val="superscript"/>
              </w:rPr>
              <w:t>1</w:t>
            </w:r>
          </w:p>
        </w:tc>
        <w:tc>
          <w:tcPr>
            <w:tcW w:w="1263" w:type="dxa"/>
          </w:tcPr>
          <w:p w14:paraId="4350220A" w14:textId="77777777" w:rsidR="00F6776F" w:rsidRDefault="00F6776F" w:rsidP="00F6776F">
            <w:pPr>
              <w:jc w:val="left"/>
              <w:rPr>
                <w:sz w:val="18"/>
                <w:szCs w:val="18"/>
              </w:rPr>
            </w:pPr>
            <w:r>
              <w:rPr>
                <w:sz w:val="18"/>
                <w:szCs w:val="18"/>
              </w:rPr>
              <w:t>93</w:t>
            </w:r>
            <w:r w:rsidRPr="000905F5">
              <w:rPr>
                <w:sz w:val="18"/>
                <w:szCs w:val="18"/>
              </w:rPr>
              <w:t xml:space="preserve"> </w:t>
            </w:r>
          </w:p>
          <w:p w14:paraId="7436BCC3" w14:textId="77777777" w:rsidR="00F6776F" w:rsidRPr="000905F5" w:rsidRDefault="00F6776F" w:rsidP="00F6776F">
            <w:pPr>
              <w:jc w:val="left"/>
              <w:rPr>
                <w:sz w:val="18"/>
                <w:szCs w:val="18"/>
              </w:rPr>
            </w:pPr>
            <w:r w:rsidRPr="000905F5">
              <w:rPr>
                <w:sz w:val="18"/>
                <w:szCs w:val="18"/>
              </w:rPr>
              <w:t>(14.</w:t>
            </w:r>
            <w:r>
              <w:rPr>
                <w:sz w:val="18"/>
                <w:szCs w:val="18"/>
              </w:rPr>
              <w:t>1</w:t>
            </w:r>
            <w:r w:rsidRPr="000905F5">
              <w:rPr>
                <w:sz w:val="18"/>
                <w:szCs w:val="18"/>
              </w:rPr>
              <w:t>)</w:t>
            </w:r>
          </w:p>
        </w:tc>
      </w:tr>
      <w:tr w:rsidR="00F6776F" w:rsidRPr="00331A19" w14:paraId="57537E0E" w14:textId="77777777" w:rsidTr="00390319">
        <w:trPr>
          <w:trHeight w:val="300"/>
        </w:trPr>
        <w:tc>
          <w:tcPr>
            <w:tcW w:w="1327" w:type="dxa"/>
            <w:noWrap/>
          </w:tcPr>
          <w:p w14:paraId="25AA1679" w14:textId="77777777" w:rsidR="00F6776F" w:rsidRPr="00085F1E" w:rsidRDefault="00F6776F" w:rsidP="00F6776F">
            <w:pPr>
              <w:jc w:val="left"/>
              <w:rPr>
                <w:sz w:val="18"/>
                <w:szCs w:val="18"/>
              </w:rPr>
            </w:pPr>
            <w:r w:rsidRPr="000905F5">
              <w:rPr>
                <w:sz w:val="18"/>
                <w:szCs w:val="18"/>
              </w:rPr>
              <w:t>Building/</w:t>
            </w:r>
            <w:r>
              <w:rPr>
                <w:sz w:val="18"/>
                <w:szCs w:val="18"/>
              </w:rPr>
              <w:t xml:space="preserve"> </w:t>
            </w:r>
            <w:r w:rsidRPr="000905F5">
              <w:rPr>
                <w:sz w:val="18"/>
                <w:szCs w:val="18"/>
              </w:rPr>
              <w:t>grounds cleaning and maintenance</w:t>
            </w:r>
          </w:p>
        </w:tc>
        <w:tc>
          <w:tcPr>
            <w:tcW w:w="1513" w:type="dxa"/>
            <w:noWrap/>
          </w:tcPr>
          <w:p w14:paraId="092CDDED" w14:textId="77777777" w:rsidR="00F6776F" w:rsidRPr="000905F5" w:rsidRDefault="00F6776F" w:rsidP="00F6776F">
            <w:pPr>
              <w:jc w:val="left"/>
              <w:rPr>
                <w:sz w:val="18"/>
                <w:szCs w:val="18"/>
              </w:rPr>
            </w:pPr>
            <w:r>
              <w:rPr>
                <w:sz w:val="18"/>
                <w:szCs w:val="18"/>
              </w:rPr>
              <w:t>69.3</w:t>
            </w:r>
            <w:r w:rsidRPr="000905F5">
              <w:rPr>
                <w:sz w:val="18"/>
                <w:szCs w:val="18"/>
              </w:rPr>
              <w:t xml:space="preserve"> </w:t>
            </w:r>
          </w:p>
          <w:p w14:paraId="194A88E5" w14:textId="77777777" w:rsidR="00F6776F" w:rsidRPr="000905F5" w:rsidRDefault="00F6776F" w:rsidP="00F6776F">
            <w:pPr>
              <w:jc w:val="left"/>
              <w:rPr>
                <w:sz w:val="18"/>
                <w:szCs w:val="18"/>
              </w:rPr>
            </w:pPr>
            <w:r w:rsidRPr="000905F5">
              <w:rPr>
                <w:sz w:val="18"/>
                <w:szCs w:val="18"/>
              </w:rPr>
              <w:t>(</w:t>
            </w:r>
            <w:r>
              <w:rPr>
                <w:sz w:val="18"/>
                <w:szCs w:val="18"/>
              </w:rPr>
              <w:t>50.0, 88.5</w:t>
            </w:r>
            <w:r w:rsidRPr="000905F5">
              <w:rPr>
                <w:sz w:val="18"/>
                <w:szCs w:val="18"/>
              </w:rPr>
              <w:t>)</w:t>
            </w:r>
            <w:r w:rsidRPr="002A698A">
              <w:rPr>
                <w:sz w:val="18"/>
                <w:szCs w:val="18"/>
                <w:vertAlign w:val="superscript"/>
              </w:rPr>
              <w:t xml:space="preserve"> </w:t>
            </w:r>
            <w:r w:rsidRPr="000905F5">
              <w:rPr>
                <w:sz w:val="22"/>
                <w:szCs w:val="18"/>
                <w:vertAlign w:val="superscript"/>
              </w:rPr>
              <w:t>1</w:t>
            </w:r>
          </w:p>
        </w:tc>
        <w:tc>
          <w:tcPr>
            <w:tcW w:w="975" w:type="dxa"/>
            <w:tcBorders>
              <w:right w:val="single" w:sz="12" w:space="0" w:color="auto"/>
            </w:tcBorders>
            <w:noWrap/>
          </w:tcPr>
          <w:p w14:paraId="5B726AB8" w14:textId="77777777" w:rsidR="00F6776F" w:rsidRPr="000905F5" w:rsidRDefault="00F6776F" w:rsidP="00F6776F">
            <w:pPr>
              <w:jc w:val="left"/>
              <w:rPr>
                <w:sz w:val="18"/>
                <w:szCs w:val="18"/>
              </w:rPr>
            </w:pPr>
            <w:r>
              <w:rPr>
                <w:sz w:val="18"/>
                <w:szCs w:val="18"/>
              </w:rPr>
              <w:t>348</w:t>
            </w:r>
            <w:r w:rsidRPr="000905F5">
              <w:rPr>
                <w:sz w:val="18"/>
                <w:szCs w:val="18"/>
              </w:rPr>
              <w:t xml:space="preserve"> (</w:t>
            </w:r>
            <w:r>
              <w:rPr>
                <w:sz w:val="18"/>
                <w:szCs w:val="18"/>
              </w:rPr>
              <w:t>5.3</w:t>
            </w:r>
            <w:r w:rsidRPr="000905F5">
              <w:rPr>
                <w:sz w:val="18"/>
                <w:szCs w:val="18"/>
              </w:rPr>
              <w:t>)</w:t>
            </w:r>
          </w:p>
        </w:tc>
        <w:tc>
          <w:tcPr>
            <w:tcW w:w="1292" w:type="dxa"/>
            <w:tcBorders>
              <w:left w:val="single" w:sz="12" w:space="0" w:color="auto"/>
            </w:tcBorders>
            <w:noWrap/>
          </w:tcPr>
          <w:p w14:paraId="4F74F128" w14:textId="77777777" w:rsidR="00F6776F" w:rsidRPr="000905F5" w:rsidRDefault="00F6776F" w:rsidP="00F6776F">
            <w:pPr>
              <w:jc w:val="left"/>
              <w:rPr>
                <w:sz w:val="18"/>
                <w:szCs w:val="18"/>
              </w:rPr>
            </w:pPr>
            <w:r w:rsidRPr="000905F5">
              <w:rPr>
                <w:sz w:val="18"/>
                <w:szCs w:val="18"/>
              </w:rPr>
              <w:t>Food preparation and serving related</w:t>
            </w:r>
          </w:p>
        </w:tc>
        <w:tc>
          <w:tcPr>
            <w:tcW w:w="1533" w:type="dxa"/>
            <w:noWrap/>
          </w:tcPr>
          <w:p w14:paraId="54545CFA" w14:textId="77777777" w:rsidR="00F6776F" w:rsidRPr="000905F5" w:rsidRDefault="00F6776F" w:rsidP="00F6776F">
            <w:pPr>
              <w:jc w:val="left"/>
              <w:rPr>
                <w:sz w:val="18"/>
                <w:szCs w:val="18"/>
              </w:rPr>
            </w:pPr>
            <w:r w:rsidRPr="000905F5">
              <w:rPr>
                <w:sz w:val="18"/>
                <w:szCs w:val="18"/>
              </w:rPr>
              <w:t>2</w:t>
            </w:r>
            <w:r>
              <w:rPr>
                <w:sz w:val="18"/>
                <w:szCs w:val="18"/>
              </w:rPr>
              <w:t>8.7</w:t>
            </w:r>
            <w:r w:rsidRPr="000905F5">
              <w:rPr>
                <w:sz w:val="18"/>
                <w:szCs w:val="18"/>
              </w:rPr>
              <w:t xml:space="preserve"> </w:t>
            </w:r>
          </w:p>
          <w:p w14:paraId="437FCDAB" w14:textId="77777777" w:rsidR="00F6776F" w:rsidRPr="000905F5" w:rsidRDefault="00F6776F" w:rsidP="00F6776F">
            <w:pPr>
              <w:jc w:val="left"/>
              <w:rPr>
                <w:sz w:val="18"/>
                <w:szCs w:val="18"/>
              </w:rPr>
            </w:pPr>
            <w:r w:rsidRPr="000905F5">
              <w:rPr>
                <w:sz w:val="18"/>
                <w:szCs w:val="18"/>
              </w:rPr>
              <w:t>(</w:t>
            </w:r>
            <w:r>
              <w:rPr>
                <w:sz w:val="18"/>
                <w:szCs w:val="18"/>
              </w:rPr>
              <w:t>-1.1, 58.5</w:t>
            </w:r>
            <w:r w:rsidRPr="000905F5">
              <w:rPr>
                <w:sz w:val="18"/>
                <w:szCs w:val="18"/>
              </w:rPr>
              <w:t>)</w:t>
            </w:r>
          </w:p>
        </w:tc>
        <w:tc>
          <w:tcPr>
            <w:tcW w:w="1258" w:type="dxa"/>
            <w:tcBorders>
              <w:right w:val="single" w:sz="12" w:space="0" w:color="auto"/>
            </w:tcBorders>
            <w:noWrap/>
          </w:tcPr>
          <w:p w14:paraId="1901F3B6" w14:textId="77777777" w:rsidR="00F6776F" w:rsidRPr="000905F5" w:rsidRDefault="00F6776F" w:rsidP="00F6776F">
            <w:pPr>
              <w:jc w:val="left"/>
              <w:rPr>
                <w:sz w:val="18"/>
                <w:szCs w:val="18"/>
              </w:rPr>
            </w:pPr>
            <w:r>
              <w:rPr>
                <w:sz w:val="18"/>
                <w:szCs w:val="18"/>
              </w:rPr>
              <w:t>25</w:t>
            </w:r>
          </w:p>
          <w:p w14:paraId="7AEF57BE" w14:textId="77777777" w:rsidR="00F6776F" w:rsidRPr="000905F5" w:rsidRDefault="00F6776F" w:rsidP="00F6776F">
            <w:pPr>
              <w:jc w:val="left"/>
              <w:rPr>
                <w:sz w:val="18"/>
                <w:szCs w:val="18"/>
              </w:rPr>
            </w:pPr>
            <w:r w:rsidRPr="000905F5">
              <w:rPr>
                <w:sz w:val="18"/>
                <w:szCs w:val="18"/>
              </w:rPr>
              <w:t>(</w:t>
            </w:r>
            <w:r>
              <w:rPr>
                <w:sz w:val="18"/>
                <w:szCs w:val="18"/>
              </w:rPr>
              <w:t>8.2</w:t>
            </w:r>
            <w:r w:rsidRPr="000905F5">
              <w:rPr>
                <w:sz w:val="18"/>
                <w:szCs w:val="18"/>
              </w:rPr>
              <w:t>)</w:t>
            </w:r>
          </w:p>
        </w:tc>
        <w:tc>
          <w:tcPr>
            <w:tcW w:w="1439" w:type="dxa"/>
            <w:tcBorders>
              <w:left w:val="single" w:sz="12" w:space="0" w:color="auto"/>
            </w:tcBorders>
          </w:tcPr>
          <w:p w14:paraId="4B0610EE" w14:textId="77777777" w:rsidR="00F6776F" w:rsidRPr="000905F5" w:rsidRDefault="00F6776F" w:rsidP="00F6776F">
            <w:pPr>
              <w:jc w:val="left"/>
              <w:rPr>
                <w:sz w:val="18"/>
                <w:szCs w:val="18"/>
              </w:rPr>
            </w:pPr>
            <w:r w:rsidRPr="000905F5">
              <w:rPr>
                <w:sz w:val="18"/>
                <w:szCs w:val="18"/>
              </w:rPr>
              <w:t>Production</w:t>
            </w:r>
          </w:p>
        </w:tc>
        <w:tc>
          <w:tcPr>
            <w:tcW w:w="1618" w:type="dxa"/>
          </w:tcPr>
          <w:p w14:paraId="42C44C82" w14:textId="77777777" w:rsidR="00F6776F" w:rsidRDefault="00F6776F" w:rsidP="00F6776F">
            <w:pPr>
              <w:jc w:val="left"/>
              <w:rPr>
                <w:sz w:val="18"/>
                <w:szCs w:val="18"/>
              </w:rPr>
            </w:pPr>
            <w:r w:rsidRPr="000905F5">
              <w:rPr>
                <w:sz w:val="18"/>
                <w:szCs w:val="18"/>
              </w:rPr>
              <w:t>4</w:t>
            </w:r>
            <w:r>
              <w:rPr>
                <w:sz w:val="18"/>
                <w:szCs w:val="18"/>
              </w:rPr>
              <w:t>2.1</w:t>
            </w:r>
            <w:r w:rsidRPr="000905F5">
              <w:rPr>
                <w:sz w:val="18"/>
                <w:szCs w:val="18"/>
              </w:rPr>
              <w:t xml:space="preserve"> </w:t>
            </w:r>
          </w:p>
          <w:p w14:paraId="7FB7ED17" w14:textId="77777777" w:rsidR="00F6776F" w:rsidRPr="000905F5" w:rsidRDefault="00F6776F" w:rsidP="00F6776F">
            <w:pPr>
              <w:jc w:val="left"/>
              <w:rPr>
                <w:sz w:val="18"/>
                <w:szCs w:val="18"/>
              </w:rPr>
            </w:pPr>
            <w:r w:rsidRPr="000905F5">
              <w:rPr>
                <w:sz w:val="18"/>
                <w:szCs w:val="18"/>
              </w:rPr>
              <w:t>(1</w:t>
            </w:r>
            <w:r>
              <w:rPr>
                <w:sz w:val="18"/>
                <w:szCs w:val="18"/>
              </w:rPr>
              <w:t>7.2, 67.0</w:t>
            </w:r>
            <w:r w:rsidRPr="000905F5">
              <w:rPr>
                <w:sz w:val="18"/>
                <w:szCs w:val="18"/>
              </w:rPr>
              <w:t>)</w:t>
            </w:r>
          </w:p>
        </w:tc>
        <w:tc>
          <w:tcPr>
            <w:tcW w:w="1263" w:type="dxa"/>
          </w:tcPr>
          <w:p w14:paraId="4E0F91B4" w14:textId="77777777" w:rsidR="00F6776F" w:rsidRDefault="00F6776F" w:rsidP="00F6776F">
            <w:pPr>
              <w:jc w:val="left"/>
              <w:rPr>
                <w:sz w:val="18"/>
                <w:szCs w:val="18"/>
              </w:rPr>
            </w:pPr>
            <w:r w:rsidRPr="000905F5">
              <w:rPr>
                <w:sz w:val="18"/>
                <w:szCs w:val="18"/>
              </w:rPr>
              <w:t>7</w:t>
            </w:r>
            <w:r>
              <w:rPr>
                <w:sz w:val="18"/>
                <w:szCs w:val="18"/>
              </w:rPr>
              <w:t>7</w:t>
            </w:r>
            <w:r w:rsidRPr="000905F5">
              <w:rPr>
                <w:sz w:val="18"/>
                <w:szCs w:val="18"/>
              </w:rPr>
              <w:t xml:space="preserve"> </w:t>
            </w:r>
          </w:p>
          <w:p w14:paraId="46557417" w14:textId="77777777" w:rsidR="00F6776F" w:rsidRPr="000905F5" w:rsidRDefault="00F6776F" w:rsidP="00F6776F">
            <w:pPr>
              <w:jc w:val="left"/>
              <w:rPr>
                <w:sz w:val="18"/>
                <w:szCs w:val="18"/>
              </w:rPr>
            </w:pPr>
            <w:r w:rsidRPr="000905F5">
              <w:rPr>
                <w:sz w:val="18"/>
                <w:szCs w:val="18"/>
              </w:rPr>
              <w:t>(1</w:t>
            </w:r>
            <w:r>
              <w:rPr>
                <w:sz w:val="18"/>
                <w:szCs w:val="18"/>
              </w:rPr>
              <w:t>1.7</w:t>
            </w:r>
            <w:r w:rsidRPr="000905F5">
              <w:rPr>
                <w:sz w:val="18"/>
                <w:szCs w:val="18"/>
              </w:rPr>
              <w:t>)</w:t>
            </w:r>
          </w:p>
        </w:tc>
      </w:tr>
      <w:tr w:rsidR="00F6776F" w:rsidRPr="00331A19" w14:paraId="176501FF" w14:textId="77777777" w:rsidTr="00390319">
        <w:trPr>
          <w:trHeight w:val="300"/>
        </w:trPr>
        <w:tc>
          <w:tcPr>
            <w:tcW w:w="1327" w:type="dxa"/>
            <w:noWrap/>
            <w:hideMark/>
          </w:tcPr>
          <w:p w14:paraId="3917C7E9" w14:textId="77777777" w:rsidR="00F6776F" w:rsidRPr="000905F5" w:rsidRDefault="00F6776F" w:rsidP="00F6776F">
            <w:pPr>
              <w:jc w:val="left"/>
              <w:rPr>
                <w:b/>
                <w:sz w:val="18"/>
                <w:szCs w:val="18"/>
              </w:rPr>
            </w:pPr>
            <w:r w:rsidRPr="000905F5">
              <w:rPr>
                <w:b/>
                <w:sz w:val="18"/>
                <w:szCs w:val="18"/>
              </w:rPr>
              <w:t>All Occupations</w:t>
            </w:r>
          </w:p>
        </w:tc>
        <w:tc>
          <w:tcPr>
            <w:tcW w:w="1513" w:type="dxa"/>
            <w:noWrap/>
          </w:tcPr>
          <w:p w14:paraId="605D13E7" w14:textId="77777777" w:rsidR="00F6776F" w:rsidRPr="000905F5" w:rsidRDefault="00F6776F" w:rsidP="00F6776F">
            <w:pPr>
              <w:jc w:val="left"/>
              <w:rPr>
                <w:b/>
                <w:sz w:val="18"/>
                <w:szCs w:val="18"/>
              </w:rPr>
            </w:pPr>
            <w:r w:rsidRPr="000905F5">
              <w:rPr>
                <w:b/>
                <w:sz w:val="18"/>
                <w:szCs w:val="18"/>
              </w:rPr>
              <w:t>3</w:t>
            </w:r>
            <w:r>
              <w:rPr>
                <w:b/>
                <w:sz w:val="18"/>
                <w:szCs w:val="18"/>
              </w:rPr>
              <w:t>5.4</w:t>
            </w:r>
            <w:r w:rsidRPr="000905F5">
              <w:rPr>
                <w:b/>
                <w:sz w:val="18"/>
                <w:szCs w:val="18"/>
              </w:rPr>
              <w:t xml:space="preserve"> </w:t>
            </w:r>
          </w:p>
          <w:p w14:paraId="6DD17216" w14:textId="77777777" w:rsidR="00F6776F" w:rsidRPr="000905F5" w:rsidRDefault="00F6776F" w:rsidP="00F6776F">
            <w:pPr>
              <w:jc w:val="left"/>
              <w:rPr>
                <w:b/>
                <w:sz w:val="18"/>
                <w:szCs w:val="18"/>
              </w:rPr>
            </w:pPr>
            <w:r w:rsidRPr="000905F5">
              <w:rPr>
                <w:b/>
                <w:sz w:val="18"/>
                <w:szCs w:val="18"/>
              </w:rPr>
              <w:t>(3</w:t>
            </w:r>
            <w:r>
              <w:rPr>
                <w:b/>
                <w:sz w:val="18"/>
                <w:szCs w:val="18"/>
              </w:rPr>
              <w:t>3.1, 37.7)</w:t>
            </w:r>
            <w:r w:rsidRPr="002A698A">
              <w:rPr>
                <w:sz w:val="18"/>
                <w:szCs w:val="18"/>
                <w:vertAlign w:val="superscript"/>
              </w:rPr>
              <w:t xml:space="preserve"> </w:t>
            </w:r>
          </w:p>
        </w:tc>
        <w:tc>
          <w:tcPr>
            <w:tcW w:w="975" w:type="dxa"/>
            <w:tcBorders>
              <w:right w:val="single" w:sz="12" w:space="0" w:color="auto"/>
            </w:tcBorders>
            <w:noWrap/>
          </w:tcPr>
          <w:p w14:paraId="1712A8C9" w14:textId="77777777" w:rsidR="00F6776F" w:rsidRPr="000905F5" w:rsidRDefault="00F6776F" w:rsidP="00F6776F">
            <w:pPr>
              <w:jc w:val="left"/>
              <w:rPr>
                <w:b/>
                <w:sz w:val="18"/>
                <w:szCs w:val="18"/>
              </w:rPr>
            </w:pPr>
            <w:r w:rsidRPr="008714B2">
              <w:rPr>
                <w:b/>
                <w:sz w:val="18"/>
                <w:szCs w:val="18"/>
              </w:rPr>
              <w:t>6,601</w:t>
            </w:r>
            <w:r w:rsidRPr="000905F5">
              <w:rPr>
                <w:b/>
                <w:sz w:val="18"/>
                <w:szCs w:val="18"/>
              </w:rPr>
              <w:t xml:space="preserve"> (100)</w:t>
            </w:r>
          </w:p>
        </w:tc>
        <w:tc>
          <w:tcPr>
            <w:tcW w:w="1292" w:type="dxa"/>
            <w:tcBorders>
              <w:left w:val="single" w:sz="12" w:space="0" w:color="auto"/>
            </w:tcBorders>
            <w:noWrap/>
            <w:hideMark/>
          </w:tcPr>
          <w:p w14:paraId="41E1E4FC" w14:textId="77777777" w:rsidR="00F6776F" w:rsidRPr="000905F5" w:rsidRDefault="00F6776F" w:rsidP="00F6776F">
            <w:pPr>
              <w:jc w:val="left"/>
              <w:rPr>
                <w:b/>
                <w:sz w:val="18"/>
                <w:szCs w:val="18"/>
              </w:rPr>
            </w:pPr>
            <w:r w:rsidRPr="000905F5">
              <w:rPr>
                <w:b/>
                <w:sz w:val="18"/>
                <w:szCs w:val="18"/>
              </w:rPr>
              <w:t>All Occupations</w:t>
            </w:r>
          </w:p>
        </w:tc>
        <w:tc>
          <w:tcPr>
            <w:tcW w:w="1533" w:type="dxa"/>
            <w:noWrap/>
          </w:tcPr>
          <w:p w14:paraId="121A79B5" w14:textId="77777777" w:rsidR="00F6776F" w:rsidRPr="000905F5" w:rsidRDefault="00F6776F" w:rsidP="00F6776F">
            <w:pPr>
              <w:jc w:val="left"/>
              <w:rPr>
                <w:b/>
                <w:sz w:val="18"/>
                <w:szCs w:val="18"/>
              </w:rPr>
            </w:pPr>
            <w:r>
              <w:rPr>
                <w:b/>
                <w:sz w:val="18"/>
                <w:szCs w:val="18"/>
              </w:rPr>
              <w:t>20.4</w:t>
            </w:r>
            <w:r w:rsidRPr="000905F5">
              <w:rPr>
                <w:b/>
                <w:sz w:val="18"/>
                <w:szCs w:val="18"/>
              </w:rPr>
              <w:t xml:space="preserve"> </w:t>
            </w:r>
          </w:p>
          <w:p w14:paraId="1CBBC649" w14:textId="77777777" w:rsidR="00F6776F" w:rsidRPr="000905F5" w:rsidRDefault="00F6776F" w:rsidP="00F6776F">
            <w:pPr>
              <w:jc w:val="left"/>
              <w:rPr>
                <w:b/>
                <w:sz w:val="18"/>
                <w:szCs w:val="18"/>
              </w:rPr>
            </w:pPr>
            <w:r w:rsidRPr="000905F5">
              <w:rPr>
                <w:b/>
                <w:sz w:val="18"/>
                <w:szCs w:val="18"/>
              </w:rPr>
              <w:t>(</w:t>
            </w:r>
            <w:r>
              <w:rPr>
                <w:b/>
                <w:sz w:val="18"/>
                <w:szCs w:val="18"/>
              </w:rPr>
              <w:t>14.3, 26.5</w:t>
            </w:r>
            <w:r w:rsidRPr="000905F5">
              <w:rPr>
                <w:b/>
                <w:sz w:val="18"/>
                <w:szCs w:val="18"/>
              </w:rPr>
              <w:t>)</w:t>
            </w:r>
          </w:p>
        </w:tc>
        <w:tc>
          <w:tcPr>
            <w:tcW w:w="1258" w:type="dxa"/>
            <w:tcBorders>
              <w:right w:val="single" w:sz="12" w:space="0" w:color="auto"/>
            </w:tcBorders>
            <w:noWrap/>
          </w:tcPr>
          <w:p w14:paraId="6AB29477" w14:textId="77777777" w:rsidR="00F6776F" w:rsidRPr="000905F5" w:rsidRDefault="00F6776F" w:rsidP="00F6776F">
            <w:pPr>
              <w:jc w:val="left"/>
              <w:rPr>
                <w:b/>
                <w:sz w:val="18"/>
                <w:szCs w:val="18"/>
              </w:rPr>
            </w:pPr>
            <w:r>
              <w:rPr>
                <w:b/>
                <w:sz w:val="18"/>
                <w:szCs w:val="18"/>
              </w:rPr>
              <w:t>305</w:t>
            </w:r>
            <w:r w:rsidRPr="000905F5">
              <w:rPr>
                <w:b/>
                <w:sz w:val="18"/>
                <w:szCs w:val="18"/>
              </w:rPr>
              <w:t xml:space="preserve"> (100)</w:t>
            </w:r>
          </w:p>
        </w:tc>
        <w:tc>
          <w:tcPr>
            <w:tcW w:w="1439" w:type="dxa"/>
            <w:tcBorders>
              <w:left w:val="single" w:sz="12" w:space="0" w:color="auto"/>
            </w:tcBorders>
          </w:tcPr>
          <w:p w14:paraId="5FF6910A" w14:textId="77777777" w:rsidR="00F6776F" w:rsidRPr="000905F5" w:rsidRDefault="00F6776F" w:rsidP="00F6776F">
            <w:pPr>
              <w:jc w:val="left"/>
              <w:rPr>
                <w:b/>
                <w:sz w:val="18"/>
                <w:szCs w:val="18"/>
              </w:rPr>
            </w:pPr>
            <w:r w:rsidRPr="000905F5">
              <w:rPr>
                <w:b/>
                <w:sz w:val="18"/>
                <w:szCs w:val="18"/>
              </w:rPr>
              <w:t>All Occupations</w:t>
            </w:r>
          </w:p>
        </w:tc>
        <w:tc>
          <w:tcPr>
            <w:tcW w:w="1618" w:type="dxa"/>
          </w:tcPr>
          <w:p w14:paraId="1127177C" w14:textId="77777777" w:rsidR="00F6776F" w:rsidRDefault="00F6776F" w:rsidP="00F6776F">
            <w:pPr>
              <w:jc w:val="left"/>
              <w:rPr>
                <w:b/>
                <w:sz w:val="18"/>
                <w:szCs w:val="18"/>
              </w:rPr>
            </w:pPr>
            <w:r>
              <w:rPr>
                <w:b/>
                <w:sz w:val="18"/>
                <w:szCs w:val="18"/>
              </w:rPr>
              <w:t>30.0</w:t>
            </w:r>
            <w:r w:rsidRPr="000905F5">
              <w:rPr>
                <w:b/>
                <w:sz w:val="18"/>
                <w:szCs w:val="18"/>
              </w:rPr>
              <w:t xml:space="preserve"> </w:t>
            </w:r>
          </w:p>
          <w:p w14:paraId="23BCA446" w14:textId="77777777" w:rsidR="00F6776F" w:rsidRPr="000905F5" w:rsidRDefault="00F6776F" w:rsidP="00F6776F">
            <w:pPr>
              <w:jc w:val="left"/>
              <w:rPr>
                <w:b/>
                <w:sz w:val="18"/>
                <w:szCs w:val="18"/>
              </w:rPr>
            </w:pPr>
            <w:r w:rsidRPr="000905F5">
              <w:rPr>
                <w:b/>
                <w:sz w:val="18"/>
                <w:szCs w:val="18"/>
              </w:rPr>
              <w:t>(</w:t>
            </w:r>
            <w:r>
              <w:rPr>
                <w:b/>
                <w:sz w:val="18"/>
                <w:szCs w:val="18"/>
              </w:rPr>
              <w:t>23.9, 36.1</w:t>
            </w:r>
            <w:r w:rsidRPr="000905F5">
              <w:rPr>
                <w:b/>
                <w:sz w:val="18"/>
                <w:szCs w:val="18"/>
              </w:rPr>
              <w:t>)</w:t>
            </w:r>
          </w:p>
        </w:tc>
        <w:tc>
          <w:tcPr>
            <w:tcW w:w="1263" w:type="dxa"/>
          </w:tcPr>
          <w:p w14:paraId="16F6DC10" w14:textId="77777777" w:rsidR="00F6776F" w:rsidRPr="000905F5" w:rsidRDefault="00F6776F" w:rsidP="00F6776F">
            <w:pPr>
              <w:jc w:val="left"/>
              <w:rPr>
                <w:b/>
                <w:sz w:val="18"/>
                <w:szCs w:val="18"/>
              </w:rPr>
            </w:pPr>
            <w:r w:rsidRPr="000905F5">
              <w:rPr>
                <w:b/>
                <w:sz w:val="18"/>
                <w:szCs w:val="18"/>
              </w:rPr>
              <w:t>6</w:t>
            </w:r>
            <w:r>
              <w:rPr>
                <w:b/>
                <w:sz w:val="18"/>
                <w:szCs w:val="18"/>
              </w:rPr>
              <w:t>59</w:t>
            </w:r>
            <w:r w:rsidRPr="000905F5">
              <w:rPr>
                <w:b/>
                <w:sz w:val="18"/>
                <w:szCs w:val="18"/>
              </w:rPr>
              <w:t xml:space="preserve"> (100)</w:t>
            </w:r>
          </w:p>
        </w:tc>
      </w:tr>
    </w:tbl>
    <w:p w14:paraId="190A3F3F" w14:textId="77777777" w:rsidR="00331A19" w:rsidRPr="000905F5" w:rsidRDefault="00331A19" w:rsidP="00331A19">
      <w:pPr>
        <w:jc w:val="left"/>
        <w:rPr>
          <w:sz w:val="18"/>
          <w:szCs w:val="18"/>
        </w:rPr>
      </w:pPr>
      <w:r w:rsidRPr="000905F5">
        <w:rPr>
          <w:sz w:val="18"/>
          <w:szCs w:val="18"/>
          <w:vertAlign w:val="superscript"/>
        </w:rPr>
        <w:t>1</w:t>
      </w:r>
      <w:r w:rsidR="00BE0869">
        <w:rPr>
          <w:sz w:val="18"/>
          <w:szCs w:val="18"/>
          <w:vertAlign w:val="superscript"/>
        </w:rPr>
        <w:t xml:space="preserve"> </w:t>
      </w:r>
      <w:r w:rsidRPr="000905F5">
        <w:rPr>
          <w:sz w:val="18"/>
          <w:szCs w:val="18"/>
        </w:rPr>
        <w:t xml:space="preserve">Rate significantly higher than rate for all </w:t>
      </w:r>
      <w:r w:rsidR="00AD5001" w:rsidRPr="000905F5">
        <w:rPr>
          <w:sz w:val="18"/>
          <w:szCs w:val="18"/>
        </w:rPr>
        <w:t>occupation</w:t>
      </w:r>
      <w:r w:rsidRPr="000905F5">
        <w:rPr>
          <w:sz w:val="18"/>
          <w:szCs w:val="18"/>
        </w:rPr>
        <w:t xml:space="preserve"> categories</w:t>
      </w:r>
      <w:r w:rsidR="00CE1CFE">
        <w:rPr>
          <w:sz w:val="18"/>
          <w:szCs w:val="18"/>
        </w:rPr>
        <w:t xml:space="preserve"> within each </w:t>
      </w:r>
      <w:r w:rsidR="00BE0869">
        <w:rPr>
          <w:sz w:val="18"/>
          <w:szCs w:val="18"/>
        </w:rPr>
        <w:t>r</w:t>
      </w:r>
      <w:r w:rsidR="00CE1CFE">
        <w:rPr>
          <w:sz w:val="18"/>
          <w:szCs w:val="18"/>
        </w:rPr>
        <w:t>ace/</w:t>
      </w:r>
      <w:r w:rsidR="00BE0869">
        <w:rPr>
          <w:sz w:val="18"/>
          <w:szCs w:val="18"/>
        </w:rPr>
        <w:t>e</w:t>
      </w:r>
      <w:r w:rsidR="00CE1CFE">
        <w:rPr>
          <w:sz w:val="18"/>
          <w:szCs w:val="18"/>
        </w:rPr>
        <w:t>thnicity group</w:t>
      </w:r>
    </w:p>
    <w:p w14:paraId="392922C9" w14:textId="77777777" w:rsidR="00AD5001" w:rsidRDefault="00AD5001" w:rsidP="00331A19">
      <w:pPr>
        <w:jc w:val="left"/>
        <w:rPr>
          <w:sz w:val="18"/>
          <w:szCs w:val="18"/>
        </w:rPr>
      </w:pPr>
      <w:r w:rsidRPr="000905F5">
        <w:rPr>
          <w:sz w:val="18"/>
          <w:szCs w:val="18"/>
          <w:vertAlign w:val="superscript"/>
        </w:rPr>
        <w:t>2</w:t>
      </w:r>
      <w:r w:rsidRPr="00AD5001">
        <w:rPr>
          <w:sz w:val="18"/>
          <w:szCs w:val="18"/>
        </w:rPr>
        <w:t xml:space="preserve"> Suppressed due to cell size restriction</w:t>
      </w:r>
    </w:p>
    <w:p w14:paraId="7A285D1F" w14:textId="77777777" w:rsidR="00193806" w:rsidRDefault="00193806" w:rsidP="00331A19">
      <w:pPr>
        <w:jc w:val="left"/>
        <w:rPr>
          <w:sz w:val="18"/>
          <w:szCs w:val="18"/>
        </w:rPr>
      </w:pPr>
      <w:r w:rsidRPr="00FE521F">
        <w:rPr>
          <w:sz w:val="18"/>
          <w:szCs w:val="18"/>
          <w:vertAlign w:val="superscript"/>
        </w:rPr>
        <w:t>3</w:t>
      </w:r>
      <w:r w:rsidR="00BE0869">
        <w:rPr>
          <w:sz w:val="18"/>
          <w:szCs w:val="18"/>
          <w:vertAlign w:val="superscript"/>
        </w:rPr>
        <w:t xml:space="preserve"> </w:t>
      </w:r>
      <w:r>
        <w:rPr>
          <w:sz w:val="18"/>
          <w:szCs w:val="18"/>
        </w:rPr>
        <w:t>Results not shown due to unstable data</w:t>
      </w:r>
    </w:p>
    <w:p w14:paraId="798961DF" w14:textId="77777777" w:rsidR="00F6776F" w:rsidRPr="00193806" w:rsidRDefault="00F6776F" w:rsidP="00331A19">
      <w:pPr>
        <w:jc w:val="left"/>
        <w:rPr>
          <w:sz w:val="18"/>
          <w:szCs w:val="18"/>
        </w:rPr>
      </w:pPr>
      <w:r>
        <w:rPr>
          <w:sz w:val="18"/>
          <w:szCs w:val="18"/>
          <w:vertAlign w:val="superscript"/>
        </w:rPr>
        <w:t>4</w:t>
      </w:r>
      <w:r w:rsidRPr="00F6776F">
        <w:rPr>
          <w:sz w:val="16"/>
          <w:szCs w:val="16"/>
        </w:rPr>
        <w:t xml:space="preserve"> </w:t>
      </w:r>
      <w:r w:rsidRPr="0022335E">
        <w:rPr>
          <w:sz w:val="18"/>
          <w:szCs w:val="18"/>
        </w:rPr>
        <w:t>Rates not calculated due to N’s &lt; 10</w:t>
      </w:r>
    </w:p>
    <w:p w14:paraId="267CB2B5" w14:textId="77777777" w:rsidR="00193806" w:rsidRPr="000905F5" w:rsidRDefault="00F6776F" w:rsidP="00331A19">
      <w:pPr>
        <w:jc w:val="left"/>
        <w:rPr>
          <w:szCs w:val="18"/>
        </w:rPr>
      </w:pPr>
      <w:r>
        <w:rPr>
          <w:sz w:val="18"/>
          <w:szCs w:val="18"/>
          <w:vertAlign w:val="superscript"/>
        </w:rPr>
        <w:t>5</w:t>
      </w:r>
      <w:r w:rsidR="00BE0869">
        <w:rPr>
          <w:sz w:val="18"/>
          <w:szCs w:val="18"/>
          <w:vertAlign w:val="superscript"/>
        </w:rPr>
        <w:t xml:space="preserve"> </w:t>
      </w:r>
      <w:r w:rsidR="00193806">
        <w:rPr>
          <w:sz w:val="18"/>
          <w:szCs w:val="18"/>
        </w:rPr>
        <w:t>The overall rate for opioid-related overdose deaths for workers from 2011-2017 was 31.6 per 100,000 workers (29.7, 33.5)</w:t>
      </w:r>
    </w:p>
    <w:p w14:paraId="18E085A0" w14:textId="77777777" w:rsidR="00331A19" w:rsidRPr="005A6D0D" w:rsidRDefault="00331A19" w:rsidP="00331A19">
      <w:pPr>
        <w:jc w:val="left"/>
        <w:rPr>
          <w:sz w:val="18"/>
          <w:szCs w:val="18"/>
        </w:rPr>
      </w:pPr>
      <w:r w:rsidRPr="005A6D0D">
        <w:rPr>
          <w:sz w:val="18"/>
          <w:szCs w:val="18"/>
        </w:rPr>
        <w:t>Numerator source: Occupational Health Surveillance Program, 2011-201</w:t>
      </w:r>
      <w:r>
        <w:rPr>
          <w:sz w:val="18"/>
          <w:szCs w:val="18"/>
        </w:rPr>
        <w:t>7</w:t>
      </w:r>
    </w:p>
    <w:p w14:paraId="7873039E" w14:textId="77777777" w:rsidR="000068FD" w:rsidRDefault="00331A19" w:rsidP="00331A19">
      <w:pPr>
        <w:jc w:val="left"/>
        <w:rPr>
          <w:b/>
          <w:i/>
          <w:color w:val="1F497D" w:themeColor="text2"/>
        </w:rPr>
      </w:pPr>
      <w:r w:rsidRPr="005A6D0D">
        <w:rPr>
          <w:sz w:val="18"/>
          <w:szCs w:val="18"/>
        </w:rPr>
        <w:t>Denominator source: American Community Survey, 2011-201</w:t>
      </w:r>
      <w:r>
        <w:rPr>
          <w:sz w:val="18"/>
          <w:szCs w:val="18"/>
        </w:rPr>
        <w:t>7</w:t>
      </w:r>
    </w:p>
    <w:p w14:paraId="6F5EC2F3" w14:textId="77777777" w:rsidR="000068FD" w:rsidRDefault="000068FD" w:rsidP="0023721D">
      <w:pPr>
        <w:jc w:val="left"/>
        <w:rPr>
          <w:b/>
          <w:i/>
          <w:color w:val="1F497D" w:themeColor="text2"/>
        </w:rPr>
      </w:pPr>
    </w:p>
    <w:p w14:paraId="2169DC8A" w14:textId="77777777" w:rsidR="000068FD" w:rsidRDefault="000068FD" w:rsidP="0023721D">
      <w:pPr>
        <w:jc w:val="left"/>
        <w:rPr>
          <w:b/>
          <w:i/>
          <w:color w:val="1F497D" w:themeColor="text2"/>
        </w:rPr>
      </w:pPr>
    </w:p>
    <w:p w14:paraId="753E6223" w14:textId="77777777" w:rsidR="000068FD" w:rsidRDefault="000068FD" w:rsidP="0023721D">
      <w:pPr>
        <w:jc w:val="left"/>
        <w:rPr>
          <w:b/>
          <w:i/>
          <w:color w:val="1F497D" w:themeColor="text2"/>
        </w:rPr>
      </w:pPr>
    </w:p>
    <w:p w14:paraId="7547C7E8" w14:textId="77777777" w:rsidR="00331A19" w:rsidRDefault="00AD5001">
      <w:pPr>
        <w:rPr>
          <w:b/>
          <w:i/>
          <w:color w:val="1F497D" w:themeColor="text2"/>
        </w:rPr>
        <w:sectPr w:rsidR="00331A19" w:rsidSect="000905F5">
          <w:footnotePr>
            <w:numFmt w:val="lowerLetter"/>
          </w:footnotePr>
          <w:pgSz w:w="16838" w:h="11906" w:orient="landscape"/>
          <w:pgMar w:top="720" w:right="720" w:bottom="720" w:left="720" w:header="720" w:footer="720" w:gutter="0"/>
          <w:cols w:space="720"/>
          <w:docGrid w:linePitch="360"/>
        </w:sectPr>
      </w:pPr>
      <w:r>
        <w:rPr>
          <w:b/>
          <w:i/>
          <w:color w:val="1F497D" w:themeColor="text2"/>
        </w:rPr>
        <w:t xml:space="preserve"> </w:t>
      </w:r>
    </w:p>
    <w:p w14:paraId="5DCCFE66" w14:textId="77777777" w:rsidR="0023721D" w:rsidRPr="00AC18D7" w:rsidRDefault="006566C5" w:rsidP="0023721D">
      <w:pPr>
        <w:jc w:val="left"/>
        <w:rPr>
          <w:b/>
          <w:i/>
          <w:color w:val="1F497D" w:themeColor="text2"/>
        </w:rPr>
      </w:pPr>
      <w:r w:rsidRPr="00AC18D7">
        <w:rPr>
          <w:b/>
          <w:i/>
          <w:color w:val="1F497D" w:themeColor="text2"/>
        </w:rPr>
        <w:lastRenderedPageBreak/>
        <w:t>Occupational Health</w:t>
      </w:r>
      <w:r w:rsidR="005432B0">
        <w:rPr>
          <w:b/>
          <w:i/>
          <w:color w:val="1F497D" w:themeColor="text2"/>
        </w:rPr>
        <w:t>/Safety</w:t>
      </w:r>
      <w:r w:rsidRPr="00AC18D7">
        <w:rPr>
          <w:b/>
          <w:i/>
          <w:color w:val="1F497D" w:themeColor="text2"/>
        </w:rPr>
        <w:t xml:space="preserve"> and </w:t>
      </w:r>
      <w:r w:rsidR="002401B4" w:rsidRPr="00AC18D7">
        <w:rPr>
          <w:b/>
          <w:i/>
          <w:color w:val="1F497D" w:themeColor="text2"/>
        </w:rPr>
        <w:t xml:space="preserve">Socioeconomic </w:t>
      </w:r>
      <w:r w:rsidR="0023721D" w:rsidRPr="00AC18D7">
        <w:rPr>
          <w:b/>
          <w:i/>
          <w:color w:val="1F497D" w:themeColor="text2"/>
        </w:rPr>
        <w:t>Factors</w:t>
      </w:r>
    </w:p>
    <w:p w14:paraId="1C487748" w14:textId="77777777" w:rsidR="003B5280" w:rsidRDefault="003B5280" w:rsidP="00606112">
      <w:pPr>
        <w:jc w:val="left"/>
      </w:pPr>
    </w:p>
    <w:p w14:paraId="2314D209" w14:textId="032CC828" w:rsidR="00634D45" w:rsidRDefault="00B446AB" w:rsidP="00B70AD1">
      <w:pPr>
        <w:jc w:val="left"/>
      </w:pPr>
      <w:r>
        <w:t xml:space="preserve">An association between fatal opioid-related overdose and workplace injury was </w:t>
      </w:r>
      <w:r w:rsidR="00810586">
        <w:t xml:space="preserve">found </w:t>
      </w:r>
      <w:r>
        <w:t xml:space="preserve">in the </w:t>
      </w:r>
      <w:r w:rsidR="0022335E">
        <w:t>2011-2015 data</w:t>
      </w:r>
      <w:r>
        <w:t xml:space="preserve">. </w:t>
      </w:r>
      <w:bookmarkStart w:id="0" w:name="_Hlk62897203"/>
      <w:r w:rsidR="00154C38">
        <w:t>The new data f</w:t>
      </w:r>
      <w:r w:rsidR="000505C5">
        <w:t>rom 2016-17 was incorporated to see if higher OROD rates continue to occur in occupation groups that also have</w:t>
      </w:r>
      <w:r w:rsidR="00A714A5">
        <w:t xml:space="preserve"> the</w:t>
      </w:r>
      <w:r w:rsidR="000505C5">
        <w:t xml:space="preserve"> high</w:t>
      </w:r>
      <w:r w:rsidR="00A714A5">
        <w:t>est</w:t>
      </w:r>
      <w:r w:rsidR="000505C5">
        <w:t xml:space="preserve"> rates for work-related injury and illness from the </w:t>
      </w:r>
      <w:r w:rsidR="00810586" w:rsidRPr="00810586">
        <w:t xml:space="preserve">Massachusetts Survey of Occupational Injuries and Illnesses </w:t>
      </w:r>
      <w:r w:rsidR="00810586">
        <w:t xml:space="preserve">(MA </w:t>
      </w:r>
      <w:r w:rsidR="000505C5">
        <w:t>SOII</w:t>
      </w:r>
      <w:r w:rsidR="00810586">
        <w:t>)</w:t>
      </w:r>
      <w:r w:rsidR="000505C5">
        <w:t xml:space="preserve"> (as described above in the Methods). </w:t>
      </w:r>
      <w:bookmarkEnd w:id="0"/>
      <w:r w:rsidR="006522CB" w:rsidRPr="006522CB">
        <w:rPr>
          <w:vertAlign w:val="superscript"/>
        </w:rPr>
        <w:t>15</w:t>
      </w:r>
      <w:r w:rsidR="00A02748">
        <w:t xml:space="preserve"> </w:t>
      </w:r>
      <w:r w:rsidR="00F7126A">
        <w:t>As</w:t>
      </w:r>
      <w:r w:rsidR="00E46898">
        <w:t xml:space="preserve"> in the</w:t>
      </w:r>
      <w:r w:rsidR="00F7126A">
        <w:t xml:space="preserve"> previous report, a </w:t>
      </w:r>
      <w:r w:rsidR="00E46898">
        <w:t>similar but more pronounced</w:t>
      </w:r>
      <w:r w:rsidR="00F7126A">
        <w:t xml:space="preserve"> association was demonstrated when</w:t>
      </w:r>
      <w:r w:rsidR="00E46898">
        <w:t xml:space="preserve"> deceased workers were categorized according to the </w:t>
      </w:r>
      <w:r w:rsidR="008536F3">
        <w:t>MA SOII</w:t>
      </w:r>
      <w:r w:rsidR="00E46898">
        <w:t xml:space="preserve"> injury and illness rate of their respective</w:t>
      </w:r>
      <w:r w:rsidR="00F7126A">
        <w:t xml:space="preserve"> occupation group</w:t>
      </w:r>
      <w:r w:rsidR="00B16C9F">
        <w:t xml:space="preserve"> (Figure 6)</w:t>
      </w:r>
      <w:r w:rsidR="00F7126A">
        <w:t xml:space="preserve">. </w:t>
      </w:r>
      <w:r w:rsidR="00E86E21">
        <w:t xml:space="preserve">Workers </w:t>
      </w:r>
      <w:r w:rsidR="00B16C9F">
        <w:t xml:space="preserve">within occupation groups with fewer than 50 work-related injuries/illnesses per 10,000 full-time workers had an OROD rate of 11.5 per 100,000 workers, while workers within occupation groups with 200 or more injuries/illnesses per 10,000 full-time workers had an OROD rate of </w:t>
      </w:r>
      <w:r w:rsidR="00FC21C4">
        <w:t>90.5 per 100,000 workers.</w:t>
      </w:r>
      <w:r w:rsidR="00B16C9F">
        <w:t xml:space="preserve"> </w:t>
      </w:r>
      <w:r w:rsidR="00F7126A">
        <w:t>Th</w:t>
      </w:r>
      <w:r w:rsidR="008E16CC">
        <w:t>e</w:t>
      </w:r>
      <w:r w:rsidR="00FC21C4">
        <w:t xml:space="preserve"> trend observed in Figure 6</w:t>
      </w:r>
      <w:r w:rsidR="00E277DE">
        <w:t xml:space="preserve"> cannot be explained solely by </w:t>
      </w:r>
      <w:r w:rsidR="00F43627">
        <w:t>C</w:t>
      </w:r>
      <w:r w:rsidR="00E277DE">
        <w:t xml:space="preserve">onstruction and </w:t>
      </w:r>
      <w:r w:rsidR="00F43627">
        <w:t>E</w:t>
      </w:r>
      <w:r w:rsidR="00E277DE">
        <w:t>xtraction workers’ inclusion in the highest injury/illness category (200+)</w:t>
      </w:r>
      <w:r w:rsidR="00810586">
        <w:t>,</w:t>
      </w:r>
      <w:r w:rsidR="00E277DE">
        <w:t xml:space="preserve"> because </w:t>
      </w:r>
      <w:r w:rsidR="008E16CC">
        <w:t>a similar</w:t>
      </w:r>
      <w:r w:rsidR="00E277DE">
        <w:t xml:space="preserve"> trend </w:t>
      </w:r>
      <w:r w:rsidR="00FC21C4">
        <w:t xml:space="preserve">persisted even </w:t>
      </w:r>
      <w:r w:rsidR="00E277DE">
        <w:t>after</w:t>
      </w:r>
      <w:r w:rsidR="00FC21C4">
        <w:t xml:space="preserve"> </w:t>
      </w:r>
      <w:r w:rsidR="00F43627">
        <w:t>C</w:t>
      </w:r>
      <w:r w:rsidR="00FC21C4">
        <w:t xml:space="preserve">onstruction and </w:t>
      </w:r>
      <w:r w:rsidR="00F43627">
        <w:t>E</w:t>
      </w:r>
      <w:r w:rsidR="00FC21C4">
        <w:t>xtraction workers</w:t>
      </w:r>
      <w:r w:rsidR="00E277DE">
        <w:t xml:space="preserve"> were removed from this analysis</w:t>
      </w:r>
      <w:r w:rsidR="00FC21C4">
        <w:t xml:space="preserve"> </w:t>
      </w:r>
      <w:r w:rsidR="00317367" w:rsidRPr="007F2A2A">
        <w:t>(data not shown).</w:t>
      </w:r>
      <w:r w:rsidR="00634D45">
        <w:t xml:space="preserve"> </w:t>
      </w:r>
    </w:p>
    <w:p w14:paraId="70CA64AE" w14:textId="77777777" w:rsidR="000914C0" w:rsidRDefault="000914C0" w:rsidP="00B70AD1">
      <w:pPr>
        <w:jc w:val="left"/>
      </w:pPr>
    </w:p>
    <w:p w14:paraId="1F855702" w14:textId="77777777" w:rsidR="000914C0" w:rsidRPr="00BB0562" w:rsidRDefault="00523505" w:rsidP="00B70AD1">
      <w:pPr>
        <w:jc w:val="left"/>
        <w:rPr>
          <w:b/>
        </w:rPr>
      </w:pPr>
      <w:r w:rsidRPr="00BB0562">
        <w:rPr>
          <w:b/>
        </w:rPr>
        <w:t xml:space="preserve">Figure </w:t>
      </w:r>
      <w:r w:rsidR="00C4012C">
        <w:rPr>
          <w:b/>
        </w:rPr>
        <w:t>6</w:t>
      </w:r>
      <w:r w:rsidRPr="00BB0562">
        <w:rPr>
          <w:b/>
        </w:rPr>
        <w:t xml:space="preserve">. Rate of opioid-related overdose deaths among Massachusetts workers by occupation-specific injury and illness rate category, 2011- 2017, </w:t>
      </w:r>
      <w:r w:rsidR="008E16CC">
        <w:rPr>
          <w:b/>
        </w:rPr>
        <w:t>N= 7,508*</w:t>
      </w:r>
    </w:p>
    <w:p w14:paraId="59679B80" w14:textId="77777777" w:rsidR="00A714A5" w:rsidRDefault="00A714A5" w:rsidP="00B70AD1">
      <w:pPr>
        <w:jc w:val="left"/>
      </w:pPr>
      <w:r>
        <w:rPr>
          <w:noProof/>
        </w:rPr>
        <w:drawing>
          <wp:inline distT="0" distB="0" distL="0" distR="0" wp14:anchorId="479E6751" wp14:editId="22EE7874">
            <wp:extent cx="6645910" cy="2519045"/>
            <wp:effectExtent l="0" t="0" r="2540" b="0"/>
            <wp:docPr id="7" name="Chart 7">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6C56B0B" w14:textId="67673052" w:rsidR="008E16CC" w:rsidRPr="008E16CC" w:rsidRDefault="008E16CC" w:rsidP="008E16CC">
      <w:pPr>
        <w:jc w:val="left"/>
        <w:rPr>
          <w:sz w:val="18"/>
          <w:szCs w:val="18"/>
        </w:rPr>
      </w:pPr>
      <w:r>
        <w:rPr>
          <w:sz w:val="18"/>
          <w:szCs w:val="18"/>
        </w:rPr>
        <w:t xml:space="preserve">* </w:t>
      </w:r>
      <w:r w:rsidR="00185AC8">
        <w:rPr>
          <w:sz w:val="18"/>
          <w:szCs w:val="18"/>
        </w:rPr>
        <w:t xml:space="preserve">Excluded from the </w:t>
      </w:r>
      <w:r w:rsidR="00E2700B">
        <w:rPr>
          <w:sz w:val="18"/>
          <w:szCs w:val="18"/>
        </w:rPr>
        <w:t xml:space="preserve">OROD rate calculation </w:t>
      </w:r>
      <w:r w:rsidR="00185AC8">
        <w:rPr>
          <w:sz w:val="18"/>
          <w:szCs w:val="18"/>
        </w:rPr>
        <w:t>are</w:t>
      </w:r>
      <w:r w:rsidR="00E2700B">
        <w:rPr>
          <w:sz w:val="18"/>
          <w:szCs w:val="18"/>
        </w:rPr>
        <w:t xml:space="preserve"> the following: </w:t>
      </w:r>
      <w:r w:rsidR="001E0CA6">
        <w:rPr>
          <w:sz w:val="18"/>
          <w:szCs w:val="18"/>
        </w:rPr>
        <w:t xml:space="preserve">deaths (and </w:t>
      </w:r>
      <w:r w:rsidR="004B4328">
        <w:rPr>
          <w:sz w:val="18"/>
          <w:szCs w:val="18"/>
        </w:rPr>
        <w:t>the</w:t>
      </w:r>
      <w:r w:rsidR="001E0CA6">
        <w:rPr>
          <w:sz w:val="18"/>
          <w:szCs w:val="18"/>
        </w:rPr>
        <w:t xml:space="preserve"> corresponding workforce denominator estimates) among those working in the military or military-specific occupations (27), </w:t>
      </w:r>
      <w:r w:rsidR="00E70EF0">
        <w:rPr>
          <w:sz w:val="18"/>
          <w:szCs w:val="18"/>
        </w:rPr>
        <w:t>with unknown occupation information (25), or in occupations for which a SOII rate was not available or publishable (</w:t>
      </w:r>
      <w:r w:rsidR="00F54DBF">
        <w:rPr>
          <w:sz w:val="18"/>
          <w:szCs w:val="18"/>
        </w:rPr>
        <w:t xml:space="preserve">131 </w:t>
      </w:r>
      <w:r w:rsidR="007F2A2A" w:rsidRPr="00154F04">
        <w:rPr>
          <w:sz w:val="18"/>
          <w:szCs w:val="18"/>
        </w:rPr>
        <w:t>including</w:t>
      </w:r>
      <w:r w:rsidR="00F54DBF" w:rsidRPr="00154F04">
        <w:rPr>
          <w:sz w:val="18"/>
          <w:szCs w:val="18"/>
        </w:rPr>
        <w:t xml:space="preserve"> the</w:t>
      </w:r>
      <w:r w:rsidR="00E70EF0" w:rsidRPr="00154F04">
        <w:rPr>
          <w:sz w:val="18"/>
          <w:szCs w:val="18"/>
        </w:rPr>
        <w:t xml:space="preserve"> 125 deaths in the Farming, </w:t>
      </w:r>
      <w:r w:rsidR="004F4695">
        <w:rPr>
          <w:sz w:val="18"/>
          <w:szCs w:val="18"/>
        </w:rPr>
        <w:t>F</w:t>
      </w:r>
      <w:r w:rsidR="00E70EF0" w:rsidRPr="00154F04">
        <w:rPr>
          <w:sz w:val="18"/>
          <w:szCs w:val="18"/>
        </w:rPr>
        <w:t xml:space="preserve">ishing, &amp; </w:t>
      </w:r>
      <w:r w:rsidR="004F4695">
        <w:rPr>
          <w:sz w:val="18"/>
          <w:szCs w:val="18"/>
        </w:rPr>
        <w:t>F</w:t>
      </w:r>
      <w:r w:rsidR="00E70EF0" w:rsidRPr="00154F04">
        <w:rPr>
          <w:sz w:val="18"/>
          <w:szCs w:val="18"/>
        </w:rPr>
        <w:t>orestry occupation group).</w:t>
      </w:r>
    </w:p>
    <w:p w14:paraId="0EA87445" w14:textId="77777777" w:rsidR="008E16CC" w:rsidRPr="005A6D0D" w:rsidRDefault="008E16CC" w:rsidP="008E16CC">
      <w:pPr>
        <w:jc w:val="left"/>
        <w:rPr>
          <w:sz w:val="18"/>
          <w:szCs w:val="18"/>
        </w:rPr>
      </w:pPr>
      <w:r w:rsidRPr="005A6D0D">
        <w:rPr>
          <w:sz w:val="18"/>
          <w:szCs w:val="18"/>
        </w:rPr>
        <w:t>Numerator source: Occupational Health Surveillance Program, 2011-201</w:t>
      </w:r>
      <w:r>
        <w:rPr>
          <w:sz w:val="18"/>
          <w:szCs w:val="18"/>
        </w:rPr>
        <w:t>7</w:t>
      </w:r>
    </w:p>
    <w:p w14:paraId="6F812480" w14:textId="77777777" w:rsidR="008E16CC" w:rsidRDefault="008E16CC" w:rsidP="008E16CC">
      <w:pPr>
        <w:jc w:val="left"/>
        <w:rPr>
          <w:sz w:val="18"/>
          <w:szCs w:val="18"/>
        </w:rPr>
      </w:pPr>
      <w:r w:rsidRPr="005A6D0D">
        <w:rPr>
          <w:sz w:val="18"/>
          <w:szCs w:val="18"/>
        </w:rPr>
        <w:t>Denominator source: American Community Survey, 2011-201</w:t>
      </w:r>
      <w:r>
        <w:rPr>
          <w:sz w:val="18"/>
          <w:szCs w:val="18"/>
        </w:rPr>
        <w:t>7</w:t>
      </w:r>
    </w:p>
    <w:p w14:paraId="48622D7F" w14:textId="77777777" w:rsidR="008E16CC" w:rsidRDefault="004B4328" w:rsidP="008E16CC">
      <w:pPr>
        <w:jc w:val="left"/>
        <w:rPr>
          <w:b/>
          <w:i/>
          <w:color w:val="1F497D" w:themeColor="text2"/>
        </w:rPr>
      </w:pPr>
      <w:r>
        <w:rPr>
          <w:sz w:val="18"/>
          <w:szCs w:val="18"/>
        </w:rPr>
        <w:t>Occupation groups with injury/illness rates that fall in the X-axis categories are</w:t>
      </w:r>
      <w:r w:rsidR="008E16CC">
        <w:rPr>
          <w:sz w:val="18"/>
          <w:szCs w:val="18"/>
        </w:rPr>
        <w:t xml:space="preserve"> from the 2014 Massachusetts Survey of Occupational Injuries and Illnesses (SOII), Bureau of Labor Statistics.</w:t>
      </w:r>
    </w:p>
    <w:p w14:paraId="797849A9" w14:textId="77777777" w:rsidR="00F922F8" w:rsidRDefault="00F922F8" w:rsidP="00B70AD1">
      <w:pPr>
        <w:jc w:val="left"/>
        <w:rPr>
          <w:highlight w:val="yellow"/>
        </w:rPr>
      </w:pPr>
    </w:p>
    <w:p w14:paraId="16AEC126" w14:textId="054BA70F" w:rsidR="00416EF6" w:rsidRDefault="00F922F8">
      <w:pPr>
        <w:jc w:val="left"/>
      </w:pPr>
      <w:r>
        <w:rPr>
          <w:rStyle w:val="CommentReference"/>
          <w:sz w:val="24"/>
          <w:szCs w:val="24"/>
        </w:rPr>
        <w:t>OROD</w:t>
      </w:r>
      <w:r w:rsidR="00B6761F">
        <w:t xml:space="preserve"> rates were also examined in relation to another factor</w:t>
      </w:r>
      <w:r w:rsidR="0057498C">
        <w:t>:</w:t>
      </w:r>
      <w:r w:rsidR="00B6761F">
        <w:t xml:space="preserve"> access to paid sick leave. If paid sick leave is unavailable, a worker may decide to work while in pain</w:t>
      </w:r>
      <w:r w:rsidR="00EA6727">
        <w:t>,</w:t>
      </w:r>
      <w:r w:rsidR="00B6761F">
        <w:t xml:space="preserve"> which may increase reliance on pain medication</w:t>
      </w:r>
      <w:r w:rsidR="00EA6727">
        <w:t>,</w:t>
      </w:r>
      <w:r w:rsidR="00B6761F">
        <w:t xml:space="preserve"> including opioids. </w:t>
      </w:r>
      <w:r w:rsidR="00304F1F" w:rsidRPr="000905F5">
        <w:t>As shown in F</w:t>
      </w:r>
      <w:r w:rsidR="00F25DA2" w:rsidRPr="00F25DA2">
        <w:t xml:space="preserve">igure </w:t>
      </w:r>
      <w:r w:rsidR="0031283A">
        <w:t>7</w:t>
      </w:r>
      <w:r w:rsidR="00304F1F" w:rsidRPr="000905F5">
        <w:t xml:space="preserve">, occupation groups were categorized </w:t>
      </w:r>
      <w:r w:rsidR="00B6761F">
        <w:t>as</w:t>
      </w:r>
      <w:r w:rsidR="00304F1F" w:rsidRPr="000905F5">
        <w:t xml:space="preserve"> having either a high or low percentage </w:t>
      </w:r>
      <w:r w:rsidR="00C26765" w:rsidRPr="000905F5">
        <w:t>of workers with paid sick leave</w:t>
      </w:r>
      <w:r w:rsidR="00EA6727">
        <w:t>,</w:t>
      </w:r>
      <w:r w:rsidR="00C26765" w:rsidRPr="000905F5">
        <w:t xml:space="preserve"> </w:t>
      </w:r>
      <w:r w:rsidR="00B6761F">
        <w:t>based on</w:t>
      </w:r>
      <w:r w:rsidR="00672461">
        <w:t xml:space="preserve"> national</w:t>
      </w:r>
      <w:r w:rsidR="00B6761F">
        <w:t xml:space="preserve"> data from </w:t>
      </w:r>
      <w:r w:rsidR="00C26765" w:rsidRPr="000905F5">
        <w:t xml:space="preserve">the </w:t>
      </w:r>
      <w:r w:rsidR="00EA6727">
        <w:t>Bureau of Labor Statistics</w:t>
      </w:r>
      <w:r w:rsidR="00EA6727" w:rsidRPr="000905F5">
        <w:t xml:space="preserve"> </w:t>
      </w:r>
      <w:r w:rsidR="00C26765" w:rsidRPr="000905F5">
        <w:t>Employee Benefits Survey.</w:t>
      </w:r>
      <w:r w:rsidR="006522CB" w:rsidRPr="006522CB">
        <w:rPr>
          <w:vertAlign w:val="superscript"/>
        </w:rPr>
        <w:t>16</w:t>
      </w:r>
      <w:r w:rsidR="00C26765" w:rsidRPr="000905F5">
        <w:t xml:space="preserve"> </w:t>
      </w:r>
      <w:r w:rsidR="005A5D23">
        <w:t>In each year</w:t>
      </w:r>
      <w:r w:rsidR="00EA6727">
        <w:t xml:space="preserve"> (from 2011-2017)</w:t>
      </w:r>
      <w:r w:rsidR="005A5D23">
        <w:t xml:space="preserve">, </w:t>
      </w:r>
      <w:r>
        <w:t>OROD</w:t>
      </w:r>
      <w:r w:rsidR="00C26765" w:rsidRPr="000905F5">
        <w:t xml:space="preserve"> rates were significantly higher among workers in occupation groups with lower percentages of workers covered by </w:t>
      </w:r>
      <w:r w:rsidR="00FE22F4">
        <w:t>paid sick</w:t>
      </w:r>
      <w:r w:rsidR="00C26765" w:rsidRPr="000905F5">
        <w:t xml:space="preserve"> leave</w:t>
      </w:r>
      <w:r w:rsidR="00B6761F">
        <w:t xml:space="preserve"> than among </w:t>
      </w:r>
      <w:r w:rsidR="00C26765" w:rsidRPr="000905F5">
        <w:t xml:space="preserve">workers in occupation groups with higher percentages </w:t>
      </w:r>
      <w:r w:rsidR="00B6761F">
        <w:t xml:space="preserve">of workers </w:t>
      </w:r>
      <w:r w:rsidR="00C26765" w:rsidRPr="000905F5">
        <w:t>covered by paid sick leave.</w:t>
      </w:r>
      <w:r w:rsidR="005A151D" w:rsidRPr="000905F5">
        <w:t xml:space="preserve"> </w:t>
      </w:r>
      <w:r w:rsidR="00F91550">
        <w:t>It is notable</w:t>
      </w:r>
      <w:r w:rsidR="002831F9">
        <w:t xml:space="preserve"> </w:t>
      </w:r>
      <w:r w:rsidR="00416EF6">
        <w:t>that while opioid-overdose rates have increased steadily in both groups of workers</w:t>
      </w:r>
      <w:r w:rsidR="00F91550">
        <w:t xml:space="preserve"> over time</w:t>
      </w:r>
      <w:r w:rsidR="00416EF6">
        <w:t>, the highest rate of opioid-overdose among the “high</w:t>
      </w:r>
      <w:r w:rsidR="00CD6027">
        <w:t xml:space="preserve"> % with</w:t>
      </w:r>
      <w:r w:rsidR="00416EF6">
        <w:t xml:space="preserve"> sick leave” group of workers (24.7 in 2017) is still lower than the lowest rate of opioid-overdose among the “low</w:t>
      </w:r>
      <w:r w:rsidR="005A5D23">
        <w:t xml:space="preserve"> </w:t>
      </w:r>
      <w:r w:rsidR="00CD6027">
        <w:t>% with</w:t>
      </w:r>
      <w:r w:rsidR="00416EF6">
        <w:t xml:space="preserve"> sick leave” group of workers (26.2</w:t>
      </w:r>
      <w:r w:rsidR="005A5D23">
        <w:t xml:space="preserve"> in 2012</w:t>
      </w:r>
      <w:r w:rsidR="00416EF6">
        <w:t xml:space="preserve">). </w:t>
      </w:r>
    </w:p>
    <w:p w14:paraId="49347FE2" w14:textId="77777777" w:rsidR="00416EF6" w:rsidRDefault="00416EF6" w:rsidP="00FA5798">
      <w:pPr>
        <w:jc w:val="left"/>
      </w:pPr>
    </w:p>
    <w:p w14:paraId="7E1AD9F7" w14:textId="2E7EFBE4" w:rsidR="003E4C99" w:rsidRDefault="001C0D60" w:rsidP="00FA5798">
      <w:pPr>
        <w:jc w:val="left"/>
      </w:pPr>
      <w:r>
        <w:t>T</w:t>
      </w:r>
      <w:r w:rsidR="0082608E">
        <w:t>he paid sick leave data</w:t>
      </w:r>
      <w:r>
        <w:t xml:space="preserve"> in Figure 7</w:t>
      </w:r>
      <w:r w:rsidR="0082608E">
        <w:t xml:space="preserve"> </w:t>
      </w:r>
      <w:r w:rsidR="00EA6727">
        <w:t>represents</w:t>
      </w:r>
      <w:r>
        <w:t xml:space="preserve"> the </w:t>
      </w:r>
      <w:r w:rsidR="00EA6727">
        <w:t xml:space="preserve">United States </w:t>
      </w:r>
      <w:r>
        <w:t>as a whole</w:t>
      </w:r>
      <w:r w:rsidR="00EA6727">
        <w:t xml:space="preserve"> and is not specific to Massachusetts</w:t>
      </w:r>
      <w:r w:rsidR="0032249A">
        <w:t>. It should be noted that</w:t>
      </w:r>
      <w:r w:rsidR="0082608E">
        <w:t xml:space="preserve"> </w:t>
      </w:r>
      <w:r w:rsidR="0032249A">
        <w:t>the Massachusetts</w:t>
      </w:r>
      <w:r w:rsidR="00416EF6">
        <w:t xml:space="preserve"> Earned Sick Time Law went into effect in</w:t>
      </w:r>
      <w:r w:rsidR="0032249A">
        <w:t xml:space="preserve"> July 2015 and was implemented in 2016</w:t>
      </w:r>
      <w:r w:rsidR="00EA6727">
        <w:t>,</w:t>
      </w:r>
      <w:r w:rsidR="0032249A">
        <w:t xml:space="preserve"> so this law did not have a measurable impact on estimates of national sick leave for the period covering this report.</w:t>
      </w:r>
      <w:r w:rsidR="009200F1">
        <w:t xml:space="preserve"> </w:t>
      </w:r>
    </w:p>
    <w:p w14:paraId="6728C2E7" w14:textId="77777777" w:rsidR="00B45924" w:rsidRDefault="00B45924" w:rsidP="00FA5798">
      <w:pPr>
        <w:jc w:val="left"/>
      </w:pPr>
    </w:p>
    <w:p w14:paraId="21CA0098" w14:textId="77777777" w:rsidR="007A56D1" w:rsidRDefault="007A56D1" w:rsidP="00FA5798">
      <w:pPr>
        <w:jc w:val="left"/>
      </w:pPr>
    </w:p>
    <w:p w14:paraId="5D85978A" w14:textId="7EB0C7F9" w:rsidR="00EC0A97" w:rsidRDefault="000D124E" w:rsidP="00FA5798">
      <w:pPr>
        <w:jc w:val="left"/>
        <w:rPr>
          <w:b/>
        </w:rPr>
      </w:pPr>
      <w:r w:rsidRPr="004B7FA6">
        <w:rPr>
          <w:b/>
        </w:rPr>
        <w:t xml:space="preserve">Figure </w:t>
      </w:r>
      <w:r w:rsidR="00C4012C">
        <w:rPr>
          <w:b/>
        </w:rPr>
        <w:t>7</w:t>
      </w:r>
      <w:r w:rsidR="00B6761F">
        <w:rPr>
          <w:b/>
        </w:rPr>
        <w:t>.</w:t>
      </w:r>
      <w:r w:rsidR="003E4C99" w:rsidRPr="004B7FA6">
        <w:rPr>
          <w:b/>
        </w:rPr>
        <w:t xml:space="preserve"> Rate of </w:t>
      </w:r>
      <w:r w:rsidR="0039692D">
        <w:rPr>
          <w:b/>
        </w:rPr>
        <w:t xml:space="preserve">opioid-related overdose </w:t>
      </w:r>
      <w:r w:rsidR="001A26A5" w:rsidRPr="004B7FA6">
        <w:rPr>
          <w:b/>
        </w:rPr>
        <w:t>death</w:t>
      </w:r>
      <w:r w:rsidR="00CA2E44">
        <w:rPr>
          <w:b/>
        </w:rPr>
        <w:t>s</w:t>
      </w:r>
      <w:r w:rsidR="007B64A9">
        <w:rPr>
          <w:b/>
        </w:rPr>
        <w:t xml:space="preserve"> among </w:t>
      </w:r>
      <w:r w:rsidR="00C65F3E">
        <w:rPr>
          <w:b/>
        </w:rPr>
        <w:t>Massachusetts</w:t>
      </w:r>
      <w:r w:rsidR="007B64A9">
        <w:rPr>
          <w:b/>
        </w:rPr>
        <w:t xml:space="preserve"> workers</w:t>
      </w:r>
      <w:r w:rsidR="002306F4">
        <w:rPr>
          <w:b/>
        </w:rPr>
        <w:t xml:space="preserve"> </w:t>
      </w:r>
      <w:r w:rsidR="00DC34F6">
        <w:rPr>
          <w:b/>
        </w:rPr>
        <w:t xml:space="preserve">by availability of </w:t>
      </w:r>
      <w:r w:rsidR="003E4C99" w:rsidRPr="004B7FA6">
        <w:rPr>
          <w:b/>
        </w:rPr>
        <w:t>paid sick leave</w:t>
      </w:r>
      <w:r w:rsidR="002306F4">
        <w:rPr>
          <w:b/>
        </w:rPr>
        <w:t>,</w:t>
      </w:r>
      <w:r w:rsidR="00F139BA">
        <w:rPr>
          <w:b/>
        </w:rPr>
        <w:t xml:space="preserve"> </w:t>
      </w:r>
      <w:r w:rsidR="00E67363">
        <w:rPr>
          <w:b/>
        </w:rPr>
        <w:t>N</w:t>
      </w:r>
      <w:r w:rsidR="002306F4">
        <w:rPr>
          <w:b/>
        </w:rPr>
        <w:t>=</w:t>
      </w:r>
      <w:r w:rsidR="00EC0A97">
        <w:rPr>
          <w:b/>
        </w:rPr>
        <w:t>7,</w:t>
      </w:r>
      <w:r w:rsidR="0001606B">
        <w:rPr>
          <w:b/>
        </w:rPr>
        <w:t>691</w:t>
      </w:r>
      <w:r w:rsidR="002306F4">
        <w:rPr>
          <w:b/>
        </w:rPr>
        <w:t>*</w:t>
      </w:r>
    </w:p>
    <w:p w14:paraId="69137E8B" w14:textId="77777777" w:rsidR="0001606B" w:rsidRDefault="0001606B" w:rsidP="00FA5798">
      <w:pPr>
        <w:jc w:val="left"/>
        <w:rPr>
          <w:b/>
        </w:rPr>
      </w:pPr>
      <w:r>
        <w:rPr>
          <w:noProof/>
        </w:rPr>
        <w:drawing>
          <wp:inline distT="0" distB="0" distL="0" distR="0" wp14:anchorId="318FAE71" wp14:editId="7023F6A5">
            <wp:extent cx="6608618" cy="2990850"/>
            <wp:effectExtent l="0" t="0" r="1905" b="0"/>
            <wp:docPr id="303" name="Chart 303">
              <a:extLst xmlns:a="http://schemas.openxmlformats.org/drawingml/2006/main">
                <a:ext uri="{FF2B5EF4-FFF2-40B4-BE49-F238E27FC236}">
                  <a16:creationId xmlns:a16="http://schemas.microsoft.com/office/drawing/2014/main" id="{00000000-0008-0000-0F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BEA8C8A" w14:textId="77777777" w:rsidR="006179C3" w:rsidRDefault="0001606B" w:rsidP="00FA5798">
      <w:pPr>
        <w:jc w:val="left"/>
        <w:rPr>
          <w:b/>
        </w:rPr>
      </w:pPr>
      <w:r>
        <w:rPr>
          <w:noProof/>
        </w:rPr>
        <mc:AlternateContent>
          <mc:Choice Requires="wps">
            <w:drawing>
              <wp:anchor distT="0" distB="0" distL="114300" distR="114300" simplePos="0" relativeHeight="251643904" behindDoc="0" locked="0" layoutInCell="1" allowOverlap="1" wp14:anchorId="2EBA10BA" wp14:editId="332081EB">
                <wp:simplePos x="0" y="0"/>
                <wp:positionH relativeFrom="column">
                  <wp:posOffset>428625</wp:posOffset>
                </wp:positionH>
                <wp:positionV relativeFrom="paragraph">
                  <wp:posOffset>119986</wp:posOffset>
                </wp:positionV>
                <wp:extent cx="5791200" cy="91821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918210"/>
                        </a:xfrm>
                        <a:prstGeom prst="rect">
                          <a:avLst/>
                        </a:prstGeom>
                        <a:noFill/>
                        <a:ln w="9525">
                          <a:noFill/>
                          <a:miter lim="800000"/>
                          <a:headEnd/>
                          <a:tailEnd/>
                        </a:ln>
                      </wps:spPr>
                      <wps:txbx>
                        <w:txbxContent>
                          <w:p w14:paraId="6D361B24" w14:textId="4D658602" w:rsidR="00003BEF" w:rsidRDefault="00003BEF" w:rsidP="003E4C99">
                            <w:pPr>
                              <w:jc w:val="left"/>
                              <w:rPr>
                                <w:sz w:val="18"/>
                                <w:szCs w:val="18"/>
                              </w:rPr>
                            </w:pPr>
                            <w:r w:rsidRPr="009200F1">
                              <w:rPr>
                                <w:sz w:val="18"/>
                                <w:szCs w:val="18"/>
                              </w:rPr>
                              <w:t xml:space="preserve">* </w:t>
                            </w:r>
                            <w:r>
                              <w:rPr>
                                <w:sz w:val="18"/>
                                <w:szCs w:val="18"/>
                              </w:rPr>
                              <w:t xml:space="preserve">Excluded from the OROD rate calculation were </w:t>
                            </w:r>
                            <w:r w:rsidRPr="009200F1">
                              <w:rPr>
                                <w:sz w:val="18"/>
                                <w:szCs w:val="18"/>
                              </w:rPr>
                              <w:t>28 deaths among those working in the military or military</w:t>
                            </w:r>
                            <w:r>
                              <w:rPr>
                                <w:sz w:val="18"/>
                                <w:szCs w:val="18"/>
                              </w:rPr>
                              <w:t>-</w:t>
                            </w:r>
                            <w:r w:rsidRPr="009200F1">
                              <w:rPr>
                                <w:sz w:val="18"/>
                                <w:szCs w:val="18"/>
                              </w:rPr>
                              <w:t xml:space="preserve">specific occupations which lacked information about paid sick leave. </w:t>
                            </w:r>
                          </w:p>
                          <w:p w14:paraId="4FBC1F4D" w14:textId="77777777" w:rsidR="00003BEF" w:rsidRPr="009200F1" w:rsidRDefault="00003BEF" w:rsidP="003E4C99">
                            <w:pPr>
                              <w:jc w:val="left"/>
                              <w:rPr>
                                <w:sz w:val="18"/>
                                <w:szCs w:val="18"/>
                              </w:rPr>
                            </w:pPr>
                            <w:r w:rsidRPr="009200F1">
                              <w:rPr>
                                <w:sz w:val="18"/>
                                <w:szCs w:val="18"/>
                              </w:rPr>
                              <w:t>Paid sick leave categories</w:t>
                            </w:r>
                            <w:r>
                              <w:rPr>
                                <w:sz w:val="18"/>
                                <w:szCs w:val="18"/>
                              </w:rPr>
                              <w:t xml:space="preserve"> (High, Low) were derived</w:t>
                            </w:r>
                            <w:r w:rsidRPr="009200F1">
                              <w:rPr>
                                <w:sz w:val="18"/>
                                <w:szCs w:val="18"/>
                              </w:rPr>
                              <w:t xml:space="preserve"> from</w:t>
                            </w:r>
                            <w:r>
                              <w:rPr>
                                <w:sz w:val="18"/>
                                <w:szCs w:val="18"/>
                              </w:rPr>
                              <w:t xml:space="preserve"> national data from</w:t>
                            </w:r>
                            <w:r w:rsidRPr="009200F1">
                              <w:rPr>
                                <w:sz w:val="18"/>
                                <w:szCs w:val="18"/>
                              </w:rPr>
                              <w:t xml:space="preserve"> the Bureau of Labor Statistics’</w:t>
                            </w:r>
                            <w:r>
                              <w:rPr>
                                <w:sz w:val="18"/>
                                <w:szCs w:val="18"/>
                              </w:rPr>
                              <w:t xml:space="preserve"> Employee Benefits Survey. </w:t>
                            </w:r>
                            <w:r w:rsidRPr="009200F1">
                              <w:rPr>
                                <w:sz w:val="18"/>
                                <w:szCs w:val="18"/>
                              </w:rPr>
                              <w:t xml:space="preserve"> An occupation group was considered to have high availability of paid sick leave if 70% or more of Survey respondents within that occupation reported having access to paid sick leave. All other occupation groups were categorized as having low availability of paid sick leave.</w:t>
                            </w:r>
                          </w:p>
                          <w:p w14:paraId="7F09A41C" w14:textId="77777777" w:rsidR="00003BEF" w:rsidRPr="009200F1" w:rsidRDefault="00003BEF" w:rsidP="002306F4">
                            <w:pPr>
                              <w:jc w:val="left"/>
                              <w:rPr>
                                <w:sz w:val="18"/>
                                <w:szCs w:val="18"/>
                              </w:rPr>
                            </w:pPr>
                            <w:r w:rsidRPr="009200F1">
                              <w:rPr>
                                <w:sz w:val="18"/>
                                <w:szCs w:val="18"/>
                              </w:rPr>
                              <w:t>Numerator source: Occupational Health Surveillance Program, 2011-2017</w:t>
                            </w:r>
                          </w:p>
                          <w:p w14:paraId="2FE9CFE4" w14:textId="77777777" w:rsidR="00003BEF" w:rsidRPr="009200F1" w:rsidRDefault="00003BEF" w:rsidP="002306F4">
                            <w:pPr>
                              <w:jc w:val="left"/>
                              <w:rPr>
                                <w:sz w:val="18"/>
                                <w:szCs w:val="18"/>
                              </w:rPr>
                            </w:pPr>
                            <w:r w:rsidRPr="009200F1">
                              <w:rPr>
                                <w:sz w:val="18"/>
                                <w:szCs w:val="18"/>
                              </w:rPr>
                              <w:t>Denominator source:  American Community Survey, 2011-2017</w:t>
                            </w:r>
                          </w:p>
                          <w:p w14:paraId="37D93246" w14:textId="77777777" w:rsidR="00003BEF" w:rsidRPr="009200F1" w:rsidRDefault="00003BEF" w:rsidP="003E4C99">
                            <w:pPr>
                              <w:jc w:val="left"/>
                              <w:rPr>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BA10BA" id="Text Box 19" o:spid="_x0000_s1044" type="#_x0000_t202" style="position:absolute;margin-left:33.75pt;margin-top:9.45pt;width:456pt;height:72.3pt;z-index:2516439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" filled="f" stroked="f">
                <v:textbox style="mso-fit-shape-to-text:t">
                  <w:txbxContent>
                    <w:p w14:paraId="6D361B24" w14:textId="4D658602" w:rsidR="00003BEF" w:rsidRDefault="00003BEF" w:rsidP="003E4C99">
                      <w:pPr>
                        <w:jc w:val="left"/>
                        <w:rPr>
                          <w:sz w:val="18"/>
                          <w:szCs w:val="18"/>
                        </w:rPr>
                      </w:pPr>
                      <w:r w:rsidRPr="009200F1">
                        <w:rPr>
                          <w:sz w:val="18"/>
                          <w:szCs w:val="18"/>
                        </w:rPr>
                        <w:t xml:space="preserve">* </w:t>
                      </w:r>
                      <w:r>
                        <w:rPr>
                          <w:sz w:val="18"/>
                          <w:szCs w:val="18"/>
                        </w:rPr>
                        <w:t xml:space="preserve">Excluded from the OROD rate calculation were </w:t>
                      </w:r>
                      <w:r w:rsidRPr="009200F1">
                        <w:rPr>
                          <w:sz w:val="18"/>
                          <w:szCs w:val="18"/>
                        </w:rPr>
                        <w:t>28 deaths among those working in the military or military</w:t>
                      </w:r>
                      <w:r>
                        <w:rPr>
                          <w:sz w:val="18"/>
                          <w:szCs w:val="18"/>
                        </w:rPr>
                        <w:t>-</w:t>
                      </w:r>
                      <w:r w:rsidRPr="009200F1">
                        <w:rPr>
                          <w:sz w:val="18"/>
                          <w:szCs w:val="18"/>
                        </w:rPr>
                        <w:t xml:space="preserve">specific occupations which lacked information about paid sick leave. </w:t>
                      </w:r>
                    </w:p>
                    <w:p w14:paraId="4FBC1F4D" w14:textId="77777777" w:rsidR="00003BEF" w:rsidRPr="009200F1" w:rsidRDefault="00003BEF" w:rsidP="003E4C99">
                      <w:pPr>
                        <w:jc w:val="left"/>
                        <w:rPr>
                          <w:sz w:val="18"/>
                          <w:szCs w:val="18"/>
                        </w:rPr>
                      </w:pPr>
                      <w:r w:rsidRPr="009200F1">
                        <w:rPr>
                          <w:sz w:val="18"/>
                          <w:szCs w:val="18"/>
                        </w:rPr>
                        <w:t>Paid sick leave categories</w:t>
                      </w:r>
                      <w:r>
                        <w:rPr>
                          <w:sz w:val="18"/>
                          <w:szCs w:val="18"/>
                        </w:rPr>
                        <w:t xml:space="preserve"> (High, Low) were derived</w:t>
                      </w:r>
                      <w:r w:rsidRPr="009200F1">
                        <w:rPr>
                          <w:sz w:val="18"/>
                          <w:szCs w:val="18"/>
                        </w:rPr>
                        <w:t xml:space="preserve"> from</w:t>
                      </w:r>
                      <w:r>
                        <w:rPr>
                          <w:sz w:val="18"/>
                          <w:szCs w:val="18"/>
                        </w:rPr>
                        <w:t xml:space="preserve"> national data from</w:t>
                      </w:r>
                      <w:r w:rsidRPr="009200F1">
                        <w:rPr>
                          <w:sz w:val="18"/>
                          <w:szCs w:val="18"/>
                        </w:rPr>
                        <w:t xml:space="preserve"> the Bureau of Labor Statistics’</w:t>
                      </w:r>
                      <w:r>
                        <w:rPr>
                          <w:sz w:val="18"/>
                          <w:szCs w:val="18"/>
                        </w:rPr>
                        <w:t xml:space="preserve"> Employee Benefits Survey. </w:t>
                      </w:r>
                      <w:r w:rsidRPr="009200F1">
                        <w:rPr>
                          <w:sz w:val="18"/>
                          <w:szCs w:val="18"/>
                        </w:rPr>
                        <w:t xml:space="preserve"> An occupation group was considered to have high availability of paid sick leave if 70% or more of Survey respondents within that occupation reported having access to paid sick leave. All other occupation groups were categorized as having low availability of paid sick leave.</w:t>
                      </w:r>
                    </w:p>
                    <w:p w14:paraId="7F09A41C" w14:textId="77777777" w:rsidR="00003BEF" w:rsidRPr="009200F1" w:rsidRDefault="00003BEF" w:rsidP="002306F4">
                      <w:pPr>
                        <w:jc w:val="left"/>
                        <w:rPr>
                          <w:sz w:val="18"/>
                          <w:szCs w:val="18"/>
                        </w:rPr>
                      </w:pPr>
                      <w:r w:rsidRPr="009200F1">
                        <w:rPr>
                          <w:sz w:val="18"/>
                          <w:szCs w:val="18"/>
                        </w:rPr>
                        <w:t>Numerator source: Occupational Health Surveillance Program, 2011-2017</w:t>
                      </w:r>
                    </w:p>
                    <w:p w14:paraId="2FE9CFE4" w14:textId="77777777" w:rsidR="00003BEF" w:rsidRPr="009200F1" w:rsidRDefault="00003BEF" w:rsidP="002306F4">
                      <w:pPr>
                        <w:jc w:val="left"/>
                        <w:rPr>
                          <w:sz w:val="18"/>
                          <w:szCs w:val="18"/>
                        </w:rPr>
                      </w:pPr>
                      <w:r w:rsidRPr="009200F1">
                        <w:rPr>
                          <w:sz w:val="18"/>
                          <w:szCs w:val="18"/>
                        </w:rPr>
                        <w:t>Denominator source:  American Community Survey, 2011-2017</w:t>
                      </w:r>
                    </w:p>
                    <w:p w14:paraId="37D93246" w14:textId="77777777" w:rsidR="00003BEF" w:rsidRPr="009200F1" w:rsidRDefault="00003BEF" w:rsidP="003E4C99">
                      <w:pPr>
                        <w:jc w:val="left"/>
                        <w:rPr>
                          <w:sz w:val="18"/>
                          <w:szCs w:val="18"/>
                        </w:rPr>
                      </w:pPr>
                    </w:p>
                  </w:txbxContent>
                </v:textbox>
              </v:shape>
            </w:pict>
          </mc:Fallback>
        </mc:AlternateContent>
      </w:r>
    </w:p>
    <w:p w14:paraId="601E4F24" w14:textId="77777777" w:rsidR="00EC0A97" w:rsidRPr="004B7FA6" w:rsidRDefault="00EC0A97" w:rsidP="00FA5798">
      <w:pPr>
        <w:jc w:val="left"/>
        <w:rPr>
          <w:b/>
        </w:rPr>
      </w:pPr>
    </w:p>
    <w:p w14:paraId="05CEFD16" w14:textId="77777777" w:rsidR="000D124E" w:rsidRDefault="000D124E" w:rsidP="00FA5798">
      <w:pPr>
        <w:jc w:val="left"/>
      </w:pPr>
    </w:p>
    <w:p w14:paraId="70CFE2C5" w14:textId="77777777" w:rsidR="00975EAF" w:rsidRDefault="00975EAF" w:rsidP="00826BDC">
      <w:pPr>
        <w:jc w:val="left"/>
      </w:pPr>
    </w:p>
    <w:p w14:paraId="723B9F17" w14:textId="77777777" w:rsidR="002306F4" w:rsidRDefault="002306F4" w:rsidP="00826BDC">
      <w:pPr>
        <w:jc w:val="left"/>
        <w:rPr>
          <w:b/>
          <w:i/>
          <w:color w:val="1F497D" w:themeColor="text2"/>
        </w:rPr>
      </w:pPr>
    </w:p>
    <w:p w14:paraId="74533B8D" w14:textId="77777777" w:rsidR="002306F4" w:rsidRDefault="002306F4" w:rsidP="00826BDC">
      <w:pPr>
        <w:jc w:val="left"/>
        <w:rPr>
          <w:b/>
          <w:i/>
          <w:color w:val="1F497D" w:themeColor="text2"/>
        </w:rPr>
      </w:pPr>
    </w:p>
    <w:p w14:paraId="3820765A" w14:textId="77777777" w:rsidR="002B7256" w:rsidRDefault="002B7256">
      <w:pPr>
        <w:rPr>
          <w:b/>
          <w:i/>
          <w:color w:val="1F497D" w:themeColor="text2"/>
        </w:rPr>
      </w:pPr>
    </w:p>
    <w:p w14:paraId="50692459" w14:textId="77777777" w:rsidR="002B7256" w:rsidRDefault="002B7256">
      <w:pPr>
        <w:rPr>
          <w:b/>
          <w:i/>
          <w:color w:val="1F497D" w:themeColor="text2"/>
        </w:rPr>
      </w:pPr>
    </w:p>
    <w:p w14:paraId="7805990E" w14:textId="599D16CC" w:rsidR="00E873E1" w:rsidRDefault="00E873E1" w:rsidP="000905F5">
      <w:pPr>
        <w:jc w:val="both"/>
      </w:pPr>
    </w:p>
    <w:p w14:paraId="45498C65" w14:textId="77777777" w:rsidR="009D2C96" w:rsidRPr="00735DAF" w:rsidRDefault="009D2C96" w:rsidP="009D2C96">
      <w:pPr>
        <w:jc w:val="left"/>
      </w:pPr>
      <w:bookmarkStart w:id="1" w:name="_Hlk82460543"/>
      <w:r w:rsidRPr="00735DAF">
        <w:rPr>
          <w:b/>
          <w:i/>
          <w:color w:val="1F497D" w:themeColor="text2"/>
        </w:rPr>
        <w:t>Contributing Factor to Cause of Death</w:t>
      </w:r>
      <w:r w:rsidRPr="00735DAF">
        <w:rPr>
          <w:b/>
          <w:i/>
          <w:color w:val="1F497D" w:themeColor="text2"/>
        </w:rPr>
        <w:br/>
      </w:r>
    </w:p>
    <w:p w14:paraId="319BCECA" w14:textId="77777777" w:rsidR="009D2C96" w:rsidRPr="00735DAF" w:rsidRDefault="009D2C96" w:rsidP="009D2C96">
      <w:pPr>
        <w:jc w:val="left"/>
      </w:pPr>
      <w:r w:rsidRPr="00735DAF">
        <w:t>Toxicology reports were analyzed among select occupational groups for various reasons:</w:t>
      </w:r>
    </w:p>
    <w:p w14:paraId="4158FBE4" w14:textId="4136B6C8" w:rsidR="009D2C96" w:rsidRPr="00655C28" w:rsidRDefault="009D2C96" w:rsidP="009D2C96">
      <w:pPr>
        <w:pStyle w:val="ListParagraph"/>
        <w:numPr>
          <w:ilvl w:val="0"/>
          <w:numId w:val="30"/>
        </w:numPr>
        <w:jc w:val="left"/>
        <w:rPr>
          <w:b/>
          <w:i/>
        </w:rPr>
      </w:pPr>
      <w:r w:rsidRPr="00655C28">
        <w:t>Construction and Extraction occupations along with Farming, Fishing, and Forestry occupations were selected due to the overall high opioid-related overdose death rate as noted in Figure 4 (Toxicology data shown in Figures 8-9)</w:t>
      </w:r>
      <w:r w:rsidR="00072E29" w:rsidRPr="00655C28">
        <w:t>.</w:t>
      </w:r>
    </w:p>
    <w:p w14:paraId="0DC431DF" w14:textId="6B0EDCF0" w:rsidR="009D2C96" w:rsidRPr="00655C28" w:rsidRDefault="009D2C96" w:rsidP="009D2C96">
      <w:pPr>
        <w:pStyle w:val="ListParagraph"/>
        <w:numPr>
          <w:ilvl w:val="0"/>
          <w:numId w:val="30"/>
        </w:numPr>
        <w:jc w:val="left"/>
        <w:rPr>
          <w:b/>
          <w:i/>
        </w:rPr>
      </w:pPr>
      <w:r w:rsidRPr="00655C28">
        <w:t>Food Preparation and Serving</w:t>
      </w:r>
      <w:r w:rsidR="004F4695" w:rsidRPr="00655C28">
        <w:t xml:space="preserve"> R</w:t>
      </w:r>
      <w:r w:rsidRPr="00655C28">
        <w:t xml:space="preserve">elated occupations were selected because unlike most other occupational groups, the </w:t>
      </w:r>
      <w:r w:rsidR="00641C01" w:rsidRPr="00655C28">
        <w:t xml:space="preserve">average annual percent change in the </w:t>
      </w:r>
      <w:r w:rsidRPr="00655C28">
        <w:t>rate of opioid-related overdose deaths increased from 201</w:t>
      </w:r>
      <w:r w:rsidR="00641C01" w:rsidRPr="00655C28">
        <w:t>1</w:t>
      </w:r>
      <w:r w:rsidRPr="00655C28">
        <w:t xml:space="preserve"> to 2017 (see Figure 4, most other groups showed a decrease or plateauing in death rate between these </w:t>
      </w:r>
      <w:r w:rsidR="00641C01" w:rsidRPr="00655C28">
        <w:t>years</w:t>
      </w:r>
      <w:r w:rsidRPr="00655C28">
        <w:t>) (Toxicology data shown in Figure 10)</w:t>
      </w:r>
      <w:r w:rsidR="00072E29" w:rsidRPr="00655C28">
        <w:t>.</w:t>
      </w:r>
    </w:p>
    <w:p w14:paraId="3AB9FBE6" w14:textId="577DB4D4" w:rsidR="009D2C96" w:rsidRPr="00655C28" w:rsidRDefault="009D2C96" w:rsidP="009D2C96">
      <w:pPr>
        <w:pStyle w:val="ListParagraph"/>
        <w:numPr>
          <w:ilvl w:val="0"/>
          <w:numId w:val="30"/>
        </w:numPr>
        <w:jc w:val="left"/>
        <w:rPr>
          <w:b/>
          <w:i/>
        </w:rPr>
      </w:pPr>
      <w:r w:rsidRPr="00655C28">
        <w:t xml:space="preserve">We had </w:t>
      </w:r>
      <w:r w:rsidRPr="00655C28">
        <w:rPr>
          <w:i/>
          <w:iCs/>
        </w:rPr>
        <w:t>a priori</w:t>
      </w:r>
      <w:r w:rsidRPr="00655C28">
        <w:t xml:space="preserve"> hypotheses about the trends in toxicology being different in certain groups.  For example, among healthcare workers, based on literature and </w:t>
      </w:r>
      <w:proofErr w:type="gramStart"/>
      <w:r w:rsidRPr="00655C28">
        <w:t>past experience</w:t>
      </w:r>
      <w:proofErr w:type="gramEnd"/>
      <w:r w:rsidRPr="00655C28">
        <w:t>, it was hypothesized that there would be a greater overall pro</w:t>
      </w:r>
      <w:r w:rsidR="00A73EBF" w:rsidRPr="00655C28">
        <w:t>por</w:t>
      </w:r>
      <w:r w:rsidRPr="00655C28">
        <w:t xml:space="preserve">tion of prescribed opioids compared to other occupational groups. Thus, we included </w:t>
      </w:r>
      <w:r w:rsidR="00396E57" w:rsidRPr="00655C28">
        <w:t xml:space="preserve">1) </w:t>
      </w:r>
      <w:r w:rsidRPr="00655C28">
        <w:t xml:space="preserve">Healthcare Support occupations and </w:t>
      </w:r>
      <w:r w:rsidR="00396E57" w:rsidRPr="00655C28">
        <w:t xml:space="preserve">2) </w:t>
      </w:r>
      <w:r w:rsidRPr="00655C28">
        <w:t>Healthcare Practitioners and Technical occupations in this analysis (Toxicology data shown in Figures 11-12)</w:t>
      </w:r>
      <w:r w:rsidR="00072E29" w:rsidRPr="00655C28">
        <w:t>.</w:t>
      </w:r>
    </w:p>
    <w:p w14:paraId="0C016FC3" w14:textId="77777777" w:rsidR="009D2C96" w:rsidRPr="00655C28" w:rsidRDefault="009D2C96" w:rsidP="009D2C96">
      <w:pPr>
        <w:pStyle w:val="ListParagraph"/>
        <w:numPr>
          <w:ilvl w:val="0"/>
          <w:numId w:val="30"/>
        </w:numPr>
        <w:jc w:val="left"/>
        <w:rPr>
          <w:b/>
          <w:i/>
        </w:rPr>
      </w:pPr>
      <w:r w:rsidRPr="00655C28">
        <w:t>Production occupations were selected because, while not significant, there was an observed increase in the rate of opioid-related overdose deaths from 2016-2017 as noted in Figure 4. (Toxicology data shown in Figure 13).</w:t>
      </w:r>
    </w:p>
    <w:p w14:paraId="2E295113" w14:textId="77777777" w:rsidR="009D2C96" w:rsidRPr="00655C28" w:rsidRDefault="009D2C96" w:rsidP="009D2C96">
      <w:pPr>
        <w:ind w:left="360"/>
        <w:jc w:val="left"/>
      </w:pPr>
    </w:p>
    <w:p w14:paraId="02181974" w14:textId="77777777" w:rsidR="009D2C96" w:rsidRPr="00735DAF" w:rsidRDefault="009D2C96" w:rsidP="009D2C96">
      <w:pPr>
        <w:jc w:val="left"/>
      </w:pPr>
      <w:r w:rsidRPr="00735DAF">
        <w:t>Overall, in examining patterns of toxicology over a three-year period among six occupational groups, the following trends were noted:</w:t>
      </w:r>
    </w:p>
    <w:p w14:paraId="7195188E" w14:textId="77777777" w:rsidR="009D2C96" w:rsidRPr="00735DAF" w:rsidRDefault="009D2C96" w:rsidP="009D2C96">
      <w:pPr>
        <w:pStyle w:val="ListParagraph"/>
        <w:numPr>
          <w:ilvl w:val="0"/>
          <w:numId w:val="31"/>
        </w:numPr>
        <w:jc w:val="left"/>
      </w:pPr>
      <w:r w:rsidRPr="00735DAF">
        <w:lastRenderedPageBreak/>
        <w:t xml:space="preserve">The presence of fentanyl in postmortem toxicology screens among those who suffered a fatal opioid-related overdose has </w:t>
      </w:r>
      <w:r w:rsidRPr="00735DAF">
        <w:rPr>
          <w:i/>
          <w:iCs/>
        </w:rPr>
        <w:t>increased</w:t>
      </w:r>
      <w:r w:rsidRPr="00735DAF">
        <w:t xml:space="preserve"> between 2015 and 2017 in each of the six occupational groups examined (Figures 8-13).  </w:t>
      </w:r>
    </w:p>
    <w:p w14:paraId="7FDC003D" w14:textId="77777777" w:rsidR="009D2C96" w:rsidRPr="00735DAF" w:rsidRDefault="009D2C96" w:rsidP="009D2C96">
      <w:pPr>
        <w:pStyle w:val="ListParagraph"/>
        <w:numPr>
          <w:ilvl w:val="0"/>
          <w:numId w:val="31"/>
        </w:numPr>
        <w:jc w:val="left"/>
      </w:pPr>
      <w:r w:rsidRPr="00735DAF">
        <w:t xml:space="preserve">The presence of heroin or likely heroin has </w:t>
      </w:r>
      <w:r w:rsidRPr="00735DAF">
        <w:rPr>
          <w:i/>
          <w:iCs/>
        </w:rPr>
        <w:t>decreased</w:t>
      </w:r>
      <w:r w:rsidRPr="00735DAF">
        <w:t xml:space="preserve"> between 2015 and 2017 among the following occupational groups:</w:t>
      </w:r>
    </w:p>
    <w:p w14:paraId="36021048" w14:textId="77777777" w:rsidR="009D2C96" w:rsidRPr="00735DAF" w:rsidRDefault="009D2C96" w:rsidP="009D2C96">
      <w:pPr>
        <w:pStyle w:val="ListParagraph"/>
        <w:numPr>
          <w:ilvl w:val="1"/>
          <w:numId w:val="31"/>
        </w:numPr>
        <w:jc w:val="left"/>
      </w:pPr>
      <w:r w:rsidRPr="00735DAF">
        <w:t xml:space="preserve">Construction and Extraction occupations </w:t>
      </w:r>
    </w:p>
    <w:p w14:paraId="08377832" w14:textId="77777777" w:rsidR="009D2C96" w:rsidRPr="00735DAF" w:rsidRDefault="009D2C96" w:rsidP="009D2C96">
      <w:pPr>
        <w:pStyle w:val="ListParagraph"/>
        <w:numPr>
          <w:ilvl w:val="1"/>
          <w:numId w:val="31"/>
        </w:numPr>
        <w:jc w:val="left"/>
      </w:pPr>
      <w:r w:rsidRPr="00735DAF">
        <w:t>Food Preparation and Serving Related Occupations</w:t>
      </w:r>
    </w:p>
    <w:p w14:paraId="530AC811" w14:textId="77777777" w:rsidR="009D2C96" w:rsidRPr="00735DAF" w:rsidRDefault="009D2C96" w:rsidP="009D2C96">
      <w:pPr>
        <w:pStyle w:val="ListParagraph"/>
        <w:numPr>
          <w:ilvl w:val="1"/>
          <w:numId w:val="31"/>
        </w:numPr>
        <w:jc w:val="left"/>
      </w:pPr>
      <w:r w:rsidRPr="00735DAF">
        <w:t>Healthcare Support occupations</w:t>
      </w:r>
    </w:p>
    <w:p w14:paraId="5FAA0CF7" w14:textId="77777777" w:rsidR="009D2C96" w:rsidRPr="00735DAF" w:rsidRDefault="009D2C96" w:rsidP="009D2C96">
      <w:pPr>
        <w:pStyle w:val="ListParagraph"/>
        <w:numPr>
          <w:ilvl w:val="1"/>
          <w:numId w:val="31"/>
        </w:numPr>
        <w:jc w:val="left"/>
      </w:pPr>
      <w:r w:rsidRPr="00735DAF">
        <w:t>Production occupations.</w:t>
      </w:r>
    </w:p>
    <w:p w14:paraId="4D702A9C" w14:textId="5EAD7B46" w:rsidR="00A24865" w:rsidRPr="00735DAF" w:rsidRDefault="00A24865" w:rsidP="00DF20D8">
      <w:pPr>
        <w:pStyle w:val="ListParagraph"/>
        <w:numPr>
          <w:ilvl w:val="0"/>
          <w:numId w:val="31"/>
        </w:numPr>
        <w:jc w:val="left"/>
      </w:pPr>
      <w:r>
        <w:t>For all occupations, except Production occupations, the percentage of ORODs with cocaine and/or benzodiazepines present increased from 2015-2017.</w:t>
      </w:r>
    </w:p>
    <w:p w14:paraId="7FD4B78B" w14:textId="2A7F83A8" w:rsidR="009D2C96" w:rsidRPr="00735DAF" w:rsidRDefault="009D2C96" w:rsidP="009D2C96">
      <w:pPr>
        <w:pStyle w:val="ListParagraph"/>
        <w:numPr>
          <w:ilvl w:val="0"/>
          <w:numId w:val="31"/>
        </w:numPr>
        <w:jc w:val="left"/>
      </w:pPr>
      <w:r w:rsidRPr="00735DAF">
        <w:t>The overall proportion of</w:t>
      </w:r>
      <w:r w:rsidR="00A24865">
        <w:t xml:space="preserve"> the percentage of ORODs with</w:t>
      </w:r>
      <w:r w:rsidRPr="00735DAF">
        <w:t xml:space="preserve"> prescribed opioids is </w:t>
      </w:r>
      <w:r w:rsidR="00A24865">
        <w:t>higher</w:t>
      </w:r>
      <w:r w:rsidRPr="00735DAF">
        <w:t xml:space="preserve"> in Healthcare Support occupations and Healthcare Practitioners and Technical occupations compared to the other groups examined.  The proportion of </w:t>
      </w:r>
      <w:r w:rsidR="00A24865">
        <w:t xml:space="preserve">ORODs with </w:t>
      </w:r>
      <w:r w:rsidRPr="00735DAF">
        <w:t xml:space="preserve">prescribed opioids is decreasing or plateauing between 2015 and 2017 in all groups examined.  </w:t>
      </w:r>
    </w:p>
    <w:bookmarkEnd w:id="1"/>
    <w:p w14:paraId="7A806453" w14:textId="77777777" w:rsidR="009D2C96" w:rsidRDefault="009D2C96" w:rsidP="000905F5">
      <w:pPr>
        <w:jc w:val="both"/>
      </w:pPr>
    </w:p>
    <w:p w14:paraId="09CD9E8F" w14:textId="7E43A12D" w:rsidR="00E873E1" w:rsidRDefault="00E873E1" w:rsidP="000905F5">
      <w:pPr>
        <w:jc w:val="both"/>
      </w:pPr>
    </w:p>
    <w:p w14:paraId="038B4A64" w14:textId="11B1885E" w:rsidR="009832EC" w:rsidRDefault="009832EC" w:rsidP="000905F5">
      <w:pPr>
        <w:jc w:val="both"/>
      </w:pPr>
    </w:p>
    <w:p w14:paraId="62C92DCD" w14:textId="5AEEFF64" w:rsidR="009832EC" w:rsidRDefault="009832EC" w:rsidP="000905F5">
      <w:pPr>
        <w:jc w:val="both"/>
      </w:pPr>
    </w:p>
    <w:p w14:paraId="1DC88B14" w14:textId="77777777" w:rsidR="009832EC" w:rsidRDefault="009832EC" w:rsidP="000905F5">
      <w:pPr>
        <w:jc w:val="both"/>
      </w:pPr>
    </w:p>
    <w:p w14:paraId="304879CA" w14:textId="77777777" w:rsidR="00DE0ACE" w:rsidRDefault="0044768B" w:rsidP="003A3F67">
      <w:pPr>
        <w:jc w:val="left"/>
        <w:rPr>
          <w:b/>
        </w:rPr>
      </w:pPr>
      <w:r w:rsidRPr="004B7FA6">
        <w:rPr>
          <w:b/>
        </w:rPr>
        <w:t xml:space="preserve">Figure </w:t>
      </w:r>
      <w:r w:rsidR="00E67363">
        <w:rPr>
          <w:b/>
        </w:rPr>
        <w:t>8</w:t>
      </w:r>
      <w:r w:rsidRPr="004B7FA6">
        <w:rPr>
          <w:b/>
        </w:rPr>
        <w:t>.</w:t>
      </w:r>
      <w:r w:rsidR="00A714A5">
        <w:rPr>
          <w:b/>
        </w:rPr>
        <w:t xml:space="preserve"> Percent of</w:t>
      </w:r>
      <w:r w:rsidR="000817D0">
        <w:rPr>
          <w:b/>
        </w:rPr>
        <w:t xml:space="preserve"> Opioid-related Overdose Deaths</w:t>
      </w:r>
      <w:r w:rsidR="00DE0ACE">
        <w:rPr>
          <w:b/>
        </w:rPr>
        <w:t xml:space="preserve"> with Specific Drugs Present</w:t>
      </w:r>
      <w:r w:rsidR="00D83D32">
        <w:rPr>
          <w:b/>
        </w:rPr>
        <w:t xml:space="preserve"> </w:t>
      </w:r>
      <w:r w:rsidR="00DE0ACE">
        <w:rPr>
          <w:b/>
          <w:vertAlign w:val="superscript"/>
        </w:rPr>
        <w:t>§</w:t>
      </w:r>
      <w:r>
        <w:rPr>
          <w:b/>
        </w:rPr>
        <w:t xml:space="preserve"> among Construction and Extraction Occupations,</w:t>
      </w:r>
      <w:r w:rsidR="003A3F67">
        <w:rPr>
          <w:b/>
        </w:rPr>
        <w:t xml:space="preserve"> </w:t>
      </w:r>
      <w:r w:rsidR="00E67363">
        <w:rPr>
          <w:b/>
        </w:rPr>
        <w:t>N</w:t>
      </w:r>
      <w:r w:rsidR="009C5761">
        <w:rPr>
          <w:b/>
        </w:rPr>
        <w:t>=1,299</w:t>
      </w:r>
      <w:r w:rsidR="003A3F67">
        <w:rPr>
          <w:b/>
        </w:rPr>
        <w:br/>
      </w:r>
    </w:p>
    <w:p w14:paraId="677509CE" w14:textId="77777777" w:rsidR="00E873E1" w:rsidRDefault="003A3F67" w:rsidP="003A3F67">
      <w:pPr>
        <w:jc w:val="left"/>
      </w:pPr>
      <w:r>
        <w:rPr>
          <w:noProof/>
        </w:rPr>
        <w:drawing>
          <wp:inline distT="0" distB="0" distL="0" distR="0" wp14:anchorId="0124DFC1" wp14:editId="7EA8983F">
            <wp:extent cx="6645910" cy="3124200"/>
            <wp:effectExtent l="0" t="0" r="2540" b="0"/>
            <wp:docPr id="302" name="Chart 302">
              <a:extLst xmlns:a="http://schemas.openxmlformats.org/drawingml/2006/main">
                <a:ext uri="{FF2B5EF4-FFF2-40B4-BE49-F238E27FC236}">
                  <a16:creationId xmlns:a16="http://schemas.microsoft.com/office/drawing/2014/main" id="{AA880743-C356-4EBC-A2CA-129D1415D6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006125C" w14:textId="4FCA3A64" w:rsidR="00DE0ACE" w:rsidRPr="00DE0ACE" w:rsidRDefault="00DE0ACE" w:rsidP="00C52E69">
      <w:pPr>
        <w:jc w:val="left"/>
        <w:rPr>
          <w:sz w:val="20"/>
          <w:szCs w:val="20"/>
        </w:rPr>
      </w:pPr>
      <w:r w:rsidRPr="00DE0ACE">
        <w:rPr>
          <w:vertAlign w:val="superscript"/>
        </w:rPr>
        <w:t xml:space="preserve">§ </w:t>
      </w:r>
      <w:r w:rsidR="00873698">
        <w:rPr>
          <w:sz w:val="20"/>
          <w:szCs w:val="20"/>
        </w:rPr>
        <w:t>S</w:t>
      </w:r>
      <w:r w:rsidRPr="00DE0ACE">
        <w:rPr>
          <w:sz w:val="20"/>
          <w:szCs w:val="20"/>
        </w:rPr>
        <w:t>ubstances listed as a contributing factor to cause of death</w:t>
      </w:r>
      <w:r w:rsidR="00873698">
        <w:rPr>
          <w:sz w:val="20"/>
          <w:szCs w:val="20"/>
        </w:rPr>
        <w:t>.</w:t>
      </w:r>
    </w:p>
    <w:p w14:paraId="53FB03D3" w14:textId="77777777" w:rsidR="005D18A4" w:rsidRPr="007A56D1" w:rsidRDefault="00C35206" w:rsidP="007A56D1">
      <w:pPr>
        <w:jc w:val="left"/>
      </w:pPr>
      <w:r>
        <w:rPr>
          <w:sz w:val="20"/>
          <w:szCs w:val="20"/>
        </w:rPr>
        <w:t>*</w:t>
      </w:r>
      <w:r w:rsidR="00DE3E51" w:rsidRPr="00DE3E51">
        <w:rPr>
          <w:sz w:val="20"/>
          <w:szCs w:val="20"/>
        </w:rPr>
        <w:t>Fentanyl</w:t>
      </w:r>
      <w:r w:rsidR="005162CB" w:rsidRPr="00DE3E51">
        <w:rPr>
          <w:sz w:val="20"/>
          <w:szCs w:val="20"/>
        </w:rPr>
        <w:t xml:space="preserve"> is most likely illicitly produced and sold, not prescription fentanyl</w:t>
      </w:r>
      <w:r w:rsidR="00DE3E51" w:rsidRPr="00DE3E51">
        <w:rPr>
          <w:sz w:val="20"/>
          <w:szCs w:val="20"/>
        </w:rPr>
        <w:t xml:space="preserve">. </w:t>
      </w:r>
      <w:r>
        <w:rPr>
          <w:sz w:val="20"/>
          <w:szCs w:val="20"/>
        </w:rPr>
        <w:br/>
        <w:t>**</w:t>
      </w:r>
      <w:r w:rsidR="005162CB" w:rsidRPr="00DE3E51">
        <w:rPr>
          <w:sz w:val="20"/>
          <w:szCs w:val="20"/>
        </w:rPr>
        <w:t xml:space="preserve">Prescription opioids </w:t>
      </w:r>
      <w:proofErr w:type="gramStart"/>
      <w:r w:rsidR="005162CB" w:rsidRPr="00DE3E51">
        <w:rPr>
          <w:sz w:val="20"/>
          <w:szCs w:val="20"/>
        </w:rPr>
        <w:t>include:</w:t>
      </w:r>
      <w:proofErr w:type="gramEnd"/>
      <w:r w:rsidR="005162CB" w:rsidRPr="00DE3E51">
        <w:rPr>
          <w:sz w:val="20"/>
          <w:szCs w:val="20"/>
        </w:rPr>
        <w:t xml:space="preserve"> hydrocodone, hydromorphone, oxycodone, oxymorphone, and tramadol</w:t>
      </w:r>
      <w:r>
        <w:rPr>
          <w:sz w:val="20"/>
          <w:szCs w:val="20"/>
        </w:rPr>
        <w:t>.</w:t>
      </w:r>
      <w:r>
        <w:rPr>
          <w:sz w:val="20"/>
          <w:szCs w:val="20"/>
        </w:rPr>
        <w:br/>
      </w:r>
    </w:p>
    <w:p w14:paraId="5FCE9C87" w14:textId="77777777" w:rsidR="005D18A4" w:rsidRDefault="005D18A4" w:rsidP="005D18A4">
      <w:pPr>
        <w:jc w:val="both"/>
        <w:rPr>
          <w:b/>
        </w:rPr>
      </w:pPr>
    </w:p>
    <w:p w14:paraId="1457CFF2" w14:textId="2C214522" w:rsidR="005D18A4" w:rsidRDefault="005D18A4" w:rsidP="005D18A4">
      <w:pPr>
        <w:jc w:val="both"/>
        <w:rPr>
          <w:b/>
        </w:rPr>
      </w:pPr>
    </w:p>
    <w:p w14:paraId="1365EE37" w14:textId="487064AF" w:rsidR="00D476E6" w:rsidRDefault="00D476E6" w:rsidP="005D18A4">
      <w:pPr>
        <w:jc w:val="both"/>
        <w:rPr>
          <w:b/>
        </w:rPr>
      </w:pPr>
    </w:p>
    <w:p w14:paraId="1AD369F7" w14:textId="3B94DAC8" w:rsidR="00D476E6" w:rsidRDefault="00D476E6" w:rsidP="005D18A4">
      <w:pPr>
        <w:jc w:val="both"/>
        <w:rPr>
          <w:b/>
        </w:rPr>
      </w:pPr>
    </w:p>
    <w:p w14:paraId="589A1162" w14:textId="2999B791" w:rsidR="00D476E6" w:rsidRDefault="00D476E6" w:rsidP="005D18A4">
      <w:pPr>
        <w:jc w:val="both"/>
        <w:rPr>
          <w:b/>
        </w:rPr>
      </w:pPr>
    </w:p>
    <w:p w14:paraId="0923FCC9" w14:textId="77777777" w:rsidR="00D476E6" w:rsidRDefault="00D476E6" w:rsidP="005D18A4">
      <w:pPr>
        <w:jc w:val="both"/>
        <w:rPr>
          <w:b/>
        </w:rPr>
      </w:pPr>
    </w:p>
    <w:p w14:paraId="07D135C8" w14:textId="77777777" w:rsidR="005D18A4" w:rsidRDefault="005D18A4" w:rsidP="005D18A4">
      <w:pPr>
        <w:jc w:val="both"/>
        <w:rPr>
          <w:b/>
        </w:rPr>
      </w:pPr>
    </w:p>
    <w:p w14:paraId="0008FC59" w14:textId="77777777" w:rsidR="005D18A4" w:rsidRDefault="005D18A4" w:rsidP="005D18A4">
      <w:pPr>
        <w:jc w:val="both"/>
        <w:rPr>
          <w:b/>
        </w:rPr>
      </w:pPr>
      <w:r w:rsidRPr="004B7FA6">
        <w:rPr>
          <w:b/>
        </w:rPr>
        <w:lastRenderedPageBreak/>
        <w:t xml:space="preserve">Figure </w:t>
      </w:r>
      <w:r w:rsidR="00E67363">
        <w:rPr>
          <w:b/>
        </w:rPr>
        <w:t>9</w:t>
      </w:r>
      <w:r w:rsidRPr="004B7FA6">
        <w:rPr>
          <w:b/>
        </w:rPr>
        <w:t xml:space="preserve">. </w:t>
      </w:r>
      <w:r w:rsidR="00DE0ACE">
        <w:rPr>
          <w:b/>
        </w:rPr>
        <w:t>Percent of Opioid-related Overdose Deaths with Specific Drugs Present</w:t>
      </w:r>
      <w:r w:rsidR="00D861D2">
        <w:rPr>
          <w:b/>
          <w:vertAlign w:val="superscript"/>
        </w:rPr>
        <w:t xml:space="preserve">§ </w:t>
      </w:r>
      <w:r>
        <w:rPr>
          <w:b/>
        </w:rPr>
        <w:t xml:space="preserve">among Farming, Fishing and Forestry Occupations, </w:t>
      </w:r>
      <w:r w:rsidR="00E67363">
        <w:rPr>
          <w:b/>
        </w:rPr>
        <w:t>N</w:t>
      </w:r>
      <w:r w:rsidR="009C5761">
        <w:rPr>
          <w:b/>
        </w:rPr>
        <w:t>=82</w:t>
      </w:r>
    </w:p>
    <w:p w14:paraId="73C588C4" w14:textId="77777777" w:rsidR="005D18A4" w:rsidRDefault="00EB0593" w:rsidP="005D18A4">
      <w:pPr>
        <w:jc w:val="both"/>
      </w:pPr>
      <w:r>
        <w:rPr>
          <w:noProof/>
        </w:rPr>
        <w:drawing>
          <wp:inline distT="0" distB="0" distL="0" distR="0" wp14:anchorId="24E59E61" wp14:editId="17F9A710">
            <wp:extent cx="6645910" cy="3190875"/>
            <wp:effectExtent l="0" t="0" r="2540" b="0"/>
            <wp:docPr id="304" name="Chart 304">
              <a:extLst xmlns:a="http://schemas.openxmlformats.org/drawingml/2006/main">
                <a:ext uri="{FF2B5EF4-FFF2-40B4-BE49-F238E27FC236}">
                  <a16:creationId xmlns:a16="http://schemas.microsoft.com/office/drawing/2014/main" id="{01C29B8A-46F8-41C6-8F88-4B718006B3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C1CCE5F" w14:textId="7906C8C8" w:rsidR="00D861D2" w:rsidRDefault="00D861D2" w:rsidP="00C35206">
      <w:pPr>
        <w:jc w:val="left"/>
        <w:rPr>
          <w:sz w:val="20"/>
          <w:szCs w:val="20"/>
        </w:rPr>
      </w:pPr>
      <w:r w:rsidRPr="00DE0ACE">
        <w:rPr>
          <w:vertAlign w:val="superscript"/>
        </w:rPr>
        <w:t xml:space="preserve">§ </w:t>
      </w:r>
      <w:r w:rsidR="00873698">
        <w:rPr>
          <w:sz w:val="20"/>
          <w:szCs w:val="20"/>
        </w:rPr>
        <w:t>S</w:t>
      </w:r>
      <w:r w:rsidRPr="00DE0ACE">
        <w:rPr>
          <w:sz w:val="20"/>
          <w:szCs w:val="20"/>
        </w:rPr>
        <w:t>ubstances listed as a contributing factor to cause of death</w:t>
      </w:r>
      <w:r w:rsidR="00873698">
        <w:rPr>
          <w:sz w:val="20"/>
          <w:szCs w:val="20"/>
        </w:rPr>
        <w:t>.</w:t>
      </w:r>
    </w:p>
    <w:p w14:paraId="78261436" w14:textId="6AC92B1A" w:rsidR="00DE3E51" w:rsidRDefault="00C35206" w:rsidP="00C35206">
      <w:pPr>
        <w:jc w:val="left"/>
        <w:rPr>
          <w:sz w:val="20"/>
          <w:szCs w:val="20"/>
        </w:rPr>
      </w:pPr>
      <w:r>
        <w:rPr>
          <w:sz w:val="20"/>
          <w:szCs w:val="20"/>
        </w:rPr>
        <w:t>*</w:t>
      </w:r>
      <w:r w:rsidR="00DE3E51" w:rsidRPr="00DE3E51">
        <w:rPr>
          <w:sz w:val="20"/>
          <w:szCs w:val="20"/>
        </w:rPr>
        <w:t xml:space="preserve">Fentanyl is most likely illicitly produced and sold, not prescription fentanyl. </w:t>
      </w:r>
      <w:r>
        <w:rPr>
          <w:sz w:val="20"/>
          <w:szCs w:val="20"/>
        </w:rPr>
        <w:br/>
        <w:t>**</w:t>
      </w:r>
      <w:r w:rsidR="00DE3E51" w:rsidRPr="00DE3E51">
        <w:rPr>
          <w:sz w:val="20"/>
          <w:szCs w:val="20"/>
        </w:rPr>
        <w:t xml:space="preserve">Prescription opioids </w:t>
      </w:r>
      <w:proofErr w:type="gramStart"/>
      <w:r w:rsidR="00DE3E51" w:rsidRPr="00DE3E51">
        <w:rPr>
          <w:sz w:val="20"/>
          <w:szCs w:val="20"/>
        </w:rPr>
        <w:t>include:</w:t>
      </w:r>
      <w:proofErr w:type="gramEnd"/>
      <w:r w:rsidR="00DE3E51" w:rsidRPr="00DE3E51">
        <w:rPr>
          <w:sz w:val="20"/>
          <w:szCs w:val="20"/>
        </w:rPr>
        <w:t xml:space="preserve"> hydrocodone, hydromorphone, oxycodone, oxymorphone, and tramadol</w:t>
      </w:r>
      <w:r>
        <w:rPr>
          <w:sz w:val="20"/>
          <w:szCs w:val="20"/>
        </w:rPr>
        <w:t>.</w:t>
      </w:r>
    </w:p>
    <w:p w14:paraId="42877CC8" w14:textId="77777777" w:rsidR="00F43627" w:rsidRDefault="00F43627" w:rsidP="00C35206">
      <w:pPr>
        <w:jc w:val="left"/>
        <w:rPr>
          <w:sz w:val="20"/>
          <w:szCs w:val="20"/>
        </w:rPr>
      </w:pPr>
    </w:p>
    <w:p w14:paraId="67E245A3" w14:textId="77777777" w:rsidR="00C52E69" w:rsidRDefault="00C52E69" w:rsidP="00C52E69">
      <w:pPr>
        <w:jc w:val="left"/>
      </w:pPr>
      <w:r>
        <w:rPr>
          <w:sz w:val="20"/>
          <w:szCs w:val="20"/>
        </w:rPr>
        <w:t xml:space="preserve">. </w:t>
      </w:r>
    </w:p>
    <w:p w14:paraId="6B824A80" w14:textId="77777777" w:rsidR="009832EC" w:rsidRDefault="009832EC" w:rsidP="005D18A4">
      <w:pPr>
        <w:jc w:val="both"/>
        <w:rPr>
          <w:b/>
        </w:rPr>
      </w:pPr>
    </w:p>
    <w:p w14:paraId="6E967F50" w14:textId="318C3963" w:rsidR="005D18A4" w:rsidRDefault="005D18A4" w:rsidP="005D18A4">
      <w:pPr>
        <w:jc w:val="both"/>
        <w:rPr>
          <w:b/>
        </w:rPr>
      </w:pPr>
      <w:r>
        <w:rPr>
          <w:b/>
        </w:rPr>
        <w:t>F</w:t>
      </w:r>
      <w:r w:rsidRPr="004B7FA6">
        <w:rPr>
          <w:b/>
        </w:rPr>
        <w:t xml:space="preserve">igure </w:t>
      </w:r>
      <w:r w:rsidR="00E67363">
        <w:rPr>
          <w:b/>
        </w:rPr>
        <w:t>10</w:t>
      </w:r>
      <w:r w:rsidRPr="004B7FA6">
        <w:rPr>
          <w:b/>
        </w:rPr>
        <w:t xml:space="preserve">. </w:t>
      </w:r>
      <w:r w:rsidR="00D861D2">
        <w:rPr>
          <w:b/>
        </w:rPr>
        <w:t>Percent of Opioid-related Overdose Deaths with Specific Drugs Present</w:t>
      </w:r>
      <w:r w:rsidR="00D861D2">
        <w:rPr>
          <w:b/>
          <w:vertAlign w:val="superscript"/>
        </w:rPr>
        <w:t>§</w:t>
      </w:r>
      <w:r w:rsidR="00D861D2">
        <w:rPr>
          <w:b/>
        </w:rPr>
        <w:t xml:space="preserve"> </w:t>
      </w:r>
      <w:r>
        <w:rPr>
          <w:b/>
        </w:rPr>
        <w:t xml:space="preserve">among </w:t>
      </w:r>
      <w:r w:rsidR="00314D72">
        <w:rPr>
          <w:b/>
        </w:rPr>
        <w:t>Food Preparation and Serving Related</w:t>
      </w:r>
      <w:r>
        <w:rPr>
          <w:b/>
        </w:rPr>
        <w:t xml:space="preserve"> Occupations, </w:t>
      </w:r>
      <w:r w:rsidR="00E67363">
        <w:rPr>
          <w:b/>
        </w:rPr>
        <w:t>N</w:t>
      </w:r>
      <w:r w:rsidR="009C5761">
        <w:rPr>
          <w:b/>
        </w:rPr>
        <w:t>=437</w:t>
      </w:r>
    </w:p>
    <w:p w14:paraId="1E9F1EFE" w14:textId="77777777" w:rsidR="005D18A4" w:rsidRDefault="00EB0593" w:rsidP="00C35206">
      <w:pPr>
        <w:jc w:val="left"/>
        <w:rPr>
          <w:b/>
        </w:rPr>
      </w:pPr>
      <w:r>
        <w:rPr>
          <w:noProof/>
        </w:rPr>
        <w:drawing>
          <wp:inline distT="0" distB="0" distL="0" distR="0" wp14:anchorId="5F8AD0A6" wp14:editId="6B736737">
            <wp:extent cx="6645910" cy="3143250"/>
            <wp:effectExtent l="0" t="0" r="2540" b="0"/>
            <wp:docPr id="305" name="Chart 305">
              <a:extLst xmlns:a="http://schemas.openxmlformats.org/drawingml/2006/main">
                <a:ext uri="{FF2B5EF4-FFF2-40B4-BE49-F238E27FC236}">
                  <a16:creationId xmlns:a16="http://schemas.microsoft.com/office/drawing/2014/main" id="{B3877B61-8855-4170-AEAE-9913610349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974C4B9" w14:textId="6F50FA02" w:rsidR="00D861D2" w:rsidRDefault="00D861D2" w:rsidP="00C35206">
      <w:pPr>
        <w:jc w:val="left"/>
        <w:rPr>
          <w:sz w:val="20"/>
          <w:szCs w:val="20"/>
        </w:rPr>
      </w:pPr>
      <w:r w:rsidRPr="00DE0ACE">
        <w:rPr>
          <w:vertAlign w:val="superscript"/>
        </w:rPr>
        <w:t xml:space="preserve">§ </w:t>
      </w:r>
      <w:r w:rsidR="00873698">
        <w:rPr>
          <w:sz w:val="20"/>
          <w:szCs w:val="20"/>
        </w:rPr>
        <w:t>S</w:t>
      </w:r>
      <w:r w:rsidRPr="00DE0ACE">
        <w:rPr>
          <w:sz w:val="20"/>
          <w:szCs w:val="20"/>
        </w:rPr>
        <w:t>ubstances listed as a contributing factor to cause of death</w:t>
      </w:r>
      <w:r w:rsidR="00873698">
        <w:rPr>
          <w:sz w:val="20"/>
          <w:szCs w:val="20"/>
        </w:rPr>
        <w:t>.</w:t>
      </w:r>
    </w:p>
    <w:p w14:paraId="6FABCDDD" w14:textId="77777777" w:rsidR="00DE3E51" w:rsidRDefault="00C35206" w:rsidP="00C35206">
      <w:pPr>
        <w:jc w:val="left"/>
        <w:rPr>
          <w:sz w:val="20"/>
          <w:szCs w:val="20"/>
        </w:rPr>
      </w:pPr>
      <w:r>
        <w:rPr>
          <w:sz w:val="20"/>
          <w:szCs w:val="20"/>
        </w:rPr>
        <w:t>*</w:t>
      </w:r>
      <w:r w:rsidR="00DE3E51" w:rsidRPr="00DE3E51">
        <w:rPr>
          <w:sz w:val="20"/>
          <w:szCs w:val="20"/>
        </w:rPr>
        <w:t xml:space="preserve">Fentanyl is most likely illicitly produced and sold, not prescription fentanyl. </w:t>
      </w:r>
      <w:r>
        <w:rPr>
          <w:sz w:val="20"/>
          <w:szCs w:val="20"/>
        </w:rPr>
        <w:br/>
        <w:t>**</w:t>
      </w:r>
      <w:r w:rsidR="00DE3E51" w:rsidRPr="00DE3E51">
        <w:rPr>
          <w:sz w:val="20"/>
          <w:szCs w:val="20"/>
        </w:rPr>
        <w:t xml:space="preserve">Prescription opioids </w:t>
      </w:r>
      <w:proofErr w:type="gramStart"/>
      <w:r w:rsidR="00DE3E51" w:rsidRPr="00DE3E51">
        <w:rPr>
          <w:sz w:val="20"/>
          <w:szCs w:val="20"/>
        </w:rPr>
        <w:t>include:</w:t>
      </w:r>
      <w:proofErr w:type="gramEnd"/>
      <w:r w:rsidR="00DE3E51" w:rsidRPr="00DE3E51">
        <w:rPr>
          <w:sz w:val="20"/>
          <w:szCs w:val="20"/>
        </w:rPr>
        <w:t xml:space="preserve"> hydrocodone, hydromorphone, oxycodone, oxymorphone, and tramadol</w:t>
      </w:r>
      <w:r>
        <w:rPr>
          <w:sz w:val="20"/>
          <w:szCs w:val="20"/>
        </w:rPr>
        <w:t>.</w:t>
      </w:r>
    </w:p>
    <w:p w14:paraId="2D057D44" w14:textId="77777777" w:rsidR="003109B9" w:rsidRDefault="003109B9" w:rsidP="000905F5">
      <w:pPr>
        <w:jc w:val="both"/>
        <w:rPr>
          <w:sz w:val="20"/>
          <w:szCs w:val="20"/>
        </w:rPr>
      </w:pPr>
    </w:p>
    <w:p w14:paraId="46A3556C" w14:textId="77777777" w:rsidR="003531C3" w:rsidRDefault="003531C3" w:rsidP="000905F5">
      <w:pPr>
        <w:jc w:val="both"/>
        <w:rPr>
          <w:sz w:val="20"/>
          <w:szCs w:val="20"/>
        </w:rPr>
      </w:pPr>
    </w:p>
    <w:p w14:paraId="0310E129" w14:textId="77777777" w:rsidR="003531C3" w:rsidRDefault="003531C3" w:rsidP="000905F5">
      <w:pPr>
        <w:jc w:val="both"/>
        <w:rPr>
          <w:color w:val="1F497D" w:themeColor="text2"/>
        </w:rPr>
      </w:pPr>
    </w:p>
    <w:p w14:paraId="399A9BF7" w14:textId="77777777" w:rsidR="004C782B" w:rsidRDefault="004C782B" w:rsidP="004C782B">
      <w:pPr>
        <w:jc w:val="both"/>
        <w:rPr>
          <w:b/>
        </w:rPr>
      </w:pPr>
      <w:r>
        <w:rPr>
          <w:b/>
        </w:rPr>
        <w:lastRenderedPageBreak/>
        <w:t>F</w:t>
      </w:r>
      <w:r w:rsidRPr="004B7FA6">
        <w:rPr>
          <w:b/>
        </w:rPr>
        <w:t xml:space="preserve">igure </w:t>
      </w:r>
      <w:r>
        <w:rPr>
          <w:b/>
        </w:rPr>
        <w:t>1</w:t>
      </w:r>
      <w:r w:rsidR="00E67363">
        <w:rPr>
          <w:b/>
        </w:rPr>
        <w:t>1</w:t>
      </w:r>
      <w:r w:rsidRPr="004B7FA6">
        <w:rPr>
          <w:b/>
        </w:rPr>
        <w:t xml:space="preserve">. </w:t>
      </w:r>
      <w:r w:rsidR="00D861D2">
        <w:rPr>
          <w:b/>
        </w:rPr>
        <w:t>Percent of Opioid-related Overdose Deaths with Specific Drugs Present</w:t>
      </w:r>
      <w:r w:rsidR="00D861D2">
        <w:rPr>
          <w:b/>
          <w:vertAlign w:val="superscript"/>
        </w:rPr>
        <w:t>§</w:t>
      </w:r>
      <w:r w:rsidR="00D861D2">
        <w:rPr>
          <w:b/>
        </w:rPr>
        <w:t xml:space="preserve"> </w:t>
      </w:r>
      <w:r>
        <w:rPr>
          <w:b/>
        </w:rPr>
        <w:t xml:space="preserve">among Healthcare Support Occupations, </w:t>
      </w:r>
      <w:r w:rsidR="00E67363">
        <w:rPr>
          <w:b/>
        </w:rPr>
        <w:t>N</w:t>
      </w:r>
      <w:r w:rsidR="009C5761">
        <w:rPr>
          <w:b/>
        </w:rPr>
        <w:t>=158</w:t>
      </w:r>
    </w:p>
    <w:p w14:paraId="7B5E23CD" w14:textId="77777777" w:rsidR="00F70B57" w:rsidRDefault="00EB0593" w:rsidP="004C782B">
      <w:pPr>
        <w:jc w:val="both"/>
        <w:rPr>
          <w:b/>
        </w:rPr>
      </w:pPr>
      <w:r>
        <w:rPr>
          <w:noProof/>
        </w:rPr>
        <w:drawing>
          <wp:inline distT="0" distB="0" distL="0" distR="0" wp14:anchorId="454B8CEF" wp14:editId="7E6A92A6">
            <wp:extent cx="6645910" cy="3124200"/>
            <wp:effectExtent l="0" t="0" r="2540" b="0"/>
            <wp:docPr id="307" name="Chart 307">
              <a:extLst xmlns:a="http://schemas.openxmlformats.org/drawingml/2006/main">
                <a:ext uri="{FF2B5EF4-FFF2-40B4-BE49-F238E27FC236}">
                  <a16:creationId xmlns:a16="http://schemas.microsoft.com/office/drawing/2014/main" id="{B76D3056-05C9-48C2-8DA7-DFE68CB211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59074D8" w14:textId="77777777" w:rsidR="00D861D2" w:rsidRDefault="00D861D2" w:rsidP="00C35206">
      <w:pPr>
        <w:jc w:val="left"/>
        <w:rPr>
          <w:sz w:val="20"/>
          <w:szCs w:val="20"/>
        </w:rPr>
      </w:pPr>
    </w:p>
    <w:p w14:paraId="71DF6898" w14:textId="27DF1AB0" w:rsidR="00D861D2" w:rsidRDefault="00D861D2" w:rsidP="00C35206">
      <w:pPr>
        <w:jc w:val="left"/>
        <w:rPr>
          <w:sz w:val="20"/>
          <w:szCs w:val="20"/>
        </w:rPr>
      </w:pPr>
      <w:r w:rsidRPr="00DE0ACE">
        <w:rPr>
          <w:vertAlign w:val="superscript"/>
        </w:rPr>
        <w:t xml:space="preserve">§ </w:t>
      </w:r>
      <w:r w:rsidR="00873698">
        <w:rPr>
          <w:sz w:val="20"/>
          <w:szCs w:val="20"/>
        </w:rPr>
        <w:t>S</w:t>
      </w:r>
      <w:r w:rsidRPr="00DE0ACE">
        <w:rPr>
          <w:sz w:val="20"/>
          <w:szCs w:val="20"/>
        </w:rPr>
        <w:t>ubstances listed as a contributing factor to cause of death</w:t>
      </w:r>
      <w:r w:rsidR="00873698">
        <w:rPr>
          <w:sz w:val="20"/>
          <w:szCs w:val="20"/>
        </w:rPr>
        <w:t>.</w:t>
      </w:r>
    </w:p>
    <w:p w14:paraId="22BC7F2A" w14:textId="77777777" w:rsidR="00DE3E51" w:rsidRDefault="00C35206" w:rsidP="00C35206">
      <w:pPr>
        <w:jc w:val="left"/>
        <w:rPr>
          <w:sz w:val="20"/>
          <w:szCs w:val="20"/>
        </w:rPr>
      </w:pPr>
      <w:r>
        <w:rPr>
          <w:sz w:val="20"/>
          <w:szCs w:val="20"/>
        </w:rPr>
        <w:t>*</w:t>
      </w:r>
      <w:r w:rsidR="00DE3E51" w:rsidRPr="00DE3E51">
        <w:rPr>
          <w:sz w:val="20"/>
          <w:szCs w:val="20"/>
        </w:rPr>
        <w:t xml:space="preserve">Fentanyl is most likely illicitly produced and sold, not prescription fentanyl. </w:t>
      </w:r>
      <w:r>
        <w:rPr>
          <w:sz w:val="20"/>
          <w:szCs w:val="20"/>
        </w:rPr>
        <w:br/>
        <w:t>**</w:t>
      </w:r>
      <w:r w:rsidR="00DE3E51" w:rsidRPr="00DE3E51">
        <w:rPr>
          <w:sz w:val="20"/>
          <w:szCs w:val="20"/>
        </w:rPr>
        <w:t xml:space="preserve">Prescription opioids </w:t>
      </w:r>
      <w:proofErr w:type="gramStart"/>
      <w:r w:rsidR="00DE3E51" w:rsidRPr="00DE3E51">
        <w:rPr>
          <w:sz w:val="20"/>
          <w:szCs w:val="20"/>
        </w:rPr>
        <w:t>include:</w:t>
      </w:r>
      <w:proofErr w:type="gramEnd"/>
      <w:r w:rsidR="00DE3E51" w:rsidRPr="00DE3E51">
        <w:rPr>
          <w:sz w:val="20"/>
          <w:szCs w:val="20"/>
        </w:rPr>
        <w:t xml:space="preserve"> hydrocodone, hydromorphone, oxycodone, oxymorphone, and tramadol</w:t>
      </w:r>
      <w:r>
        <w:rPr>
          <w:sz w:val="20"/>
          <w:szCs w:val="20"/>
        </w:rPr>
        <w:t>.</w:t>
      </w:r>
    </w:p>
    <w:p w14:paraId="3467301F" w14:textId="77777777" w:rsidR="001D3812" w:rsidRDefault="001D3812" w:rsidP="006F6173">
      <w:pPr>
        <w:jc w:val="left"/>
        <w:rPr>
          <w:sz w:val="20"/>
          <w:szCs w:val="20"/>
        </w:rPr>
      </w:pPr>
    </w:p>
    <w:p w14:paraId="75ADE223" w14:textId="77777777" w:rsidR="001D3812" w:rsidRDefault="001D3812" w:rsidP="006F6173">
      <w:pPr>
        <w:jc w:val="left"/>
      </w:pPr>
    </w:p>
    <w:p w14:paraId="2AC9407E" w14:textId="77777777" w:rsidR="00F70B57" w:rsidRDefault="00F70B57" w:rsidP="00F70B57">
      <w:pPr>
        <w:jc w:val="both"/>
        <w:rPr>
          <w:b/>
        </w:rPr>
      </w:pPr>
      <w:r>
        <w:rPr>
          <w:b/>
        </w:rPr>
        <w:t>F</w:t>
      </w:r>
      <w:r w:rsidRPr="004B7FA6">
        <w:rPr>
          <w:b/>
        </w:rPr>
        <w:t xml:space="preserve">igure </w:t>
      </w:r>
      <w:r>
        <w:rPr>
          <w:b/>
        </w:rPr>
        <w:t>1</w:t>
      </w:r>
      <w:r w:rsidR="00E67363">
        <w:rPr>
          <w:b/>
        </w:rPr>
        <w:t>2</w:t>
      </w:r>
      <w:r w:rsidRPr="004B7FA6">
        <w:rPr>
          <w:b/>
        </w:rPr>
        <w:t xml:space="preserve">. </w:t>
      </w:r>
      <w:r w:rsidR="001D3812">
        <w:rPr>
          <w:b/>
        </w:rPr>
        <w:t>Percent of Opioid-related Overdose Deaths with Specific Drugs Present</w:t>
      </w:r>
      <w:r w:rsidR="001D3812">
        <w:rPr>
          <w:b/>
          <w:vertAlign w:val="superscript"/>
        </w:rPr>
        <w:t>§</w:t>
      </w:r>
      <w:r w:rsidR="001D3812">
        <w:rPr>
          <w:b/>
        </w:rPr>
        <w:t xml:space="preserve"> </w:t>
      </w:r>
      <w:r>
        <w:rPr>
          <w:b/>
        </w:rPr>
        <w:t xml:space="preserve">among Healthcare Practitioners and Technical Occupations, </w:t>
      </w:r>
      <w:r w:rsidR="00E67363">
        <w:rPr>
          <w:b/>
        </w:rPr>
        <w:t>N</w:t>
      </w:r>
      <w:r w:rsidR="009C5761">
        <w:rPr>
          <w:b/>
        </w:rPr>
        <w:t>=117</w:t>
      </w:r>
    </w:p>
    <w:p w14:paraId="05BBEB48" w14:textId="77777777" w:rsidR="00F70B57" w:rsidRDefault="00A525D4" w:rsidP="00F70B57">
      <w:pPr>
        <w:jc w:val="both"/>
        <w:rPr>
          <w:b/>
        </w:rPr>
      </w:pPr>
      <w:r>
        <w:rPr>
          <w:noProof/>
        </w:rPr>
        <w:drawing>
          <wp:inline distT="0" distB="0" distL="0" distR="0" wp14:anchorId="5988E4BC" wp14:editId="73BBF901">
            <wp:extent cx="6645910" cy="3171825"/>
            <wp:effectExtent l="0" t="0" r="2540" b="0"/>
            <wp:docPr id="308" name="Chart 308">
              <a:extLst xmlns:a="http://schemas.openxmlformats.org/drawingml/2006/main">
                <a:ext uri="{FF2B5EF4-FFF2-40B4-BE49-F238E27FC236}">
                  <a16:creationId xmlns:a16="http://schemas.microsoft.com/office/drawing/2014/main" id="{693E3D11-2D32-49CA-807F-464E1019A7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53DE3E7" w14:textId="46D1A2BE" w:rsidR="001D3812" w:rsidRDefault="001D3812" w:rsidP="00C35206">
      <w:pPr>
        <w:jc w:val="left"/>
        <w:rPr>
          <w:sz w:val="20"/>
          <w:szCs w:val="20"/>
        </w:rPr>
      </w:pPr>
      <w:r w:rsidRPr="00DE0ACE">
        <w:rPr>
          <w:vertAlign w:val="superscript"/>
        </w:rPr>
        <w:t xml:space="preserve">§ </w:t>
      </w:r>
      <w:r w:rsidR="00873698">
        <w:rPr>
          <w:sz w:val="20"/>
          <w:szCs w:val="20"/>
        </w:rPr>
        <w:t>S</w:t>
      </w:r>
      <w:r w:rsidRPr="00DE0ACE">
        <w:rPr>
          <w:sz w:val="20"/>
          <w:szCs w:val="20"/>
        </w:rPr>
        <w:t>ubstances listed as a contributing factor to cause of death</w:t>
      </w:r>
      <w:r w:rsidR="00873698">
        <w:rPr>
          <w:sz w:val="20"/>
          <w:szCs w:val="20"/>
        </w:rPr>
        <w:t>.</w:t>
      </w:r>
    </w:p>
    <w:p w14:paraId="025CD7FC" w14:textId="77777777" w:rsidR="00DE3E51" w:rsidRDefault="00C35206" w:rsidP="00C35206">
      <w:pPr>
        <w:jc w:val="left"/>
        <w:rPr>
          <w:sz w:val="20"/>
          <w:szCs w:val="20"/>
        </w:rPr>
      </w:pPr>
      <w:r>
        <w:rPr>
          <w:sz w:val="20"/>
          <w:szCs w:val="20"/>
        </w:rPr>
        <w:t>*</w:t>
      </w:r>
      <w:r w:rsidR="00DE3E51" w:rsidRPr="00DE3E51">
        <w:rPr>
          <w:sz w:val="20"/>
          <w:szCs w:val="20"/>
        </w:rPr>
        <w:t xml:space="preserve">Fentanyl is most likely illicitly produced and sold, not prescription fentanyl. </w:t>
      </w:r>
      <w:r>
        <w:rPr>
          <w:sz w:val="20"/>
          <w:szCs w:val="20"/>
        </w:rPr>
        <w:br/>
        <w:t>**</w:t>
      </w:r>
      <w:r w:rsidR="00DE3E51" w:rsidRPr="00DE3E51">
        <w:rPr>
          <w:sz w:val="20"/>
          <w:szCs w:val="20"/>
        </w:rPr>
        <w:t xml:space="preserve">Prescription opioids </w:t>
      </w:r>
      <w:proofErr w:type="gramStart"/>
      <w:r w:rsidR="00DE3E51" w:rsidRPr="00DE3E51">
        <w:rPr>
          <w:sz w:val="20"/>
          <w:szCs w:val="20"/>
        </w:rPr>
        <w:t>include:</w:t>
      </w:r>
      <w:proofErr w:type="gramEnd"/>
      <w:r w:rsidR="00DE3E51" w:rsidRPr="00DE3E51">
        <w:rPr>
          <w:sz w:val="20"/>
          <w:szCs w:val="20"/>
        </w:rPr>
        <w:t xml:space="preserve"> hydrocodone, hydromorphone, oxycodone, oxymorphone, and tramadol</w:t>
      </w:r>
      <w:r w:rsidR="00175312">
        <w:rPr>
          <w:sz w:val="20"/>
          <w:szCs w:val="20"/>
        </w:rPr>
        <w:t>.</w:t>
      </w:r>
    </w:p>
    <w:p w14:paraId="3ED68177" w14:textId="77777777" w:rsidR="00175312" w:rsidRDefault="00175312" w:rsidP="00175312">
      <w:pPr>
        <w:jc w:val="left"/>
        <w:rPr>
          <w:sz w:val="20"/>
          <w:szCs w:val="20"/>
        </w:rPr>
      </w:pPr>
    </w:p>
    <w:p w14:paraId="46317E6F" w14:textId="77777777" w:rsidR="003531C3" w:rsidRPr="00DE3E51" w:rsidRDefault="003531C3" w:rsidP="00175312">
      <w:pPr>
        <w:jc w:val="left"/>
        <w:rPr>
          <w:sz w:val="20"/>
          <w:szCs w:val="20"/>
        </w:rPr>
      </w:pPr>
    </w:p>
    <w:p w14:paraId="73CC4EC0" w14:textId="77777777" w:rsidR="003109B9" w:rsidRDefault="003109B9" w:rsidP="00F70B57">
      <w:pPr>
        <w:jc w:val="both"/>
        <w:rPr>
          <w:b/>
        </w:rPr>
      </w:pPr>
    </w:p>
    <w:p w14:paraId="0CC89912" w14:textId="77777777" w:rsidR="009832EC" w:rsidRDefault="009832EC" w:rsidP="00F70B57">
      <w:pPr>
        <w:jc w:val="both"/>
        <w:rPr>
          <w:b/>
        </w:rPr>
      </w:pPr>
    </w:p>
    <w:p w14:paraId="7FF60133" w14:textId="007111E8" w:rsidR="00F70B57" w:rsidRDefault="00F70B57" w:rsidP="00F70B57">
      <w:pPr>
        <w:jc w:val="both"/>
        <w:rPr>
          <w:b/>
        </w:rPr>
      </w:pPr>
      <w:r>
        <w:rPr>
          <w:b/>
        </w:rPr>
        <w:lastRenderedPageBreak/>
        <w:t>F</w:t>
      </w:r>
      <w:r w:rsidRPr="004B7FA6">
        <w:rPr>
          <w:b/>
        </w:rPr>
        <w:t xml:space="preserve">igure </w:t>
      </w:r>
      <w:r>
        <w:rPr>
          <w:b/>
        </w:rPr>
        <w:t>1</w:t>
      </w:r>
      <w:r w:rsidR="00E67363">
        <w:rPr>
          <w:b/>
        </w:rPr>
        <w:t>3</w:t>
      </w:r>
      <w:r w:rsidRPr="004B7FA6">
        <w:rPr>
          <w:b/>
        </w:rPr>
        <w:t>.</w:t>
      </w:r>
      <w:r w:rsidR="001D3812">
        <w:rPr>
          <w:b/>
        </w:rPr>
        <w:t xml:space="preserve"> Percent of Opioid-related Overdose Deaths with Specific Drugs Present</w:t>
      </w:r>
      <w:r w:rsidR="001D3812">
        <w:rPr>
          <w:b/>
          <w:vertAlign w:val="superscript"/>
        </w:rPr>
        <w:t>§</w:t>
      </w:r>
      <w:r w:rsidR="001D3812">
        <w:rPr>
          <w:b/>
        </w:rPr>
        <w:t xml:space="preserve"> </w:t>
      </w:r>
      <w:r>
        <w:rPr>
          <w:b/>
        </w:rPr>
        <w:t xml:space="preserve">among Production Occupations, </w:t>
      </w:r>
      <w:r w:rsidR="00E67363">
        <w:rPr>
          <w:b/>
        </w:rPr>
        <w:t>N</w:t>
      </w:r>
      <w:r w:rsidR="009C5761">
        <w:rPr>
          <w:b/>
        </w:rPr>
        <w:t>=305</w:t>
      </w:r>
    </w:p>
    <w:p w14:paraId="1B98FFA2" w14:textId="77777777" w:rsidR="00F70B57" w:rsidRDefault="00A525D4" w:rsidP="00F70B57">
      <w:pPr>
        <w:jc w:val="both"/>
        <w:rPr>
          <w:b/>
        </w:rPr>
      </w:pPr>
      <w:r>
        <w:rPr>
          <w:noProof/>
        </w:rPr>
        <w:drawing>
          <wp:inline distT="0" distB="0" distL="0" distR="0" wp14:anchorId="0D4C8D1C" wp14:editId="4CCE1475">
            <wp:extent cx="6645910" cy="3181350"/>
            <wp:effectExtent l="0" t="0" r="2540" b="0"/>
            <wp:docPr id="309" name="Chart 309">
              <a:extLst xmlns:a="http://schemas.openxmlformats.org/drawingml/2006/main">
                <a:ext uri="{FF2B5EF4-FFF2-40B4-BE49-F238E27FC236}">
                  <a16:creationId xmlns:a16="http://schemas.microsoft.com/office/drawing/2014/main" id="{23297656-A933-4B60-BA5D-DA08E10AAB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793B84D" w14:textId="52D115E3" w:rsidR="001D3812" w:rsidRDefault="001D3812" w:rsidP="00C35206">
      <w:pPr>
        <w:jc w:val="left"/>
        <w:rPr>
          <w:sz w:val="20"/>
          <w:szCs w:val="20"/>
        </w:rPr>
      </w:pPr>
      <w:r w:rsidRPr="00DE0ACE">
        <w:rPr>
          <w:vertAlign w:val="superscript"/>
        </w:rPr>
        <w:t xml:space="preserve">§ </w:t>
      </w:r>
      <w:r w:rsidR="00873698">
        <w:rPr>
          <w:sz w:val="20"/>
          <w:szCs w:val="20"/>
        </w:rPr>
        <w:t>S</w:t>
      </w:r>
      <w:r w:rsidRPr="00DE0ACE">
        <w:rPr>
          <w:sz w:val="20"/>
          <w:szCs w:val="20"/>
        </w:rPr>
        <w:t>ubstances listed as a contributing factor to cause of death</w:t>
      </w:r>
      <w:r w:rsidR="00873698">
        <w:rPr>
          <w:sz w:val="20"/>
          <w:szCs w:val="20"/>
        </w:rPr>
        <w:t>.</w:t>
      </w:r>
    </w:p>
    <w:p w14:paraId="591242A1" w14:textId="77777777" w:rsidR="002B39C1" w:rsidRDefault="00C35206" w:rsidP="006F6173">
      <w:pPr>
        <w:jc w:val="left"/>
        <w:rPr>
          <w:sz w:val="20"/>
          <w:szCs w:val="20"/>
        </w:rPr>
      </w:pPr>
      <w:r>
        <w:rPr>
          <w:sz w:val="20"/>
          <w:szCs w:val="20"/>
        </w:rPr>
        <w:t>*</w:t>
      </w:r>
      <w:r w:rsidR="00DE3E51" w:rsidRPr="00DE3E51">
        <w:rPr>
          <w:sz w:val="20"/>
          <w:szCs w:val="20"/>
        </w:rPr>
        <w:t xml:space="preserve">Fentanyl is most likely illicitly produced and sold, not prescription fentanyl. </w:t>
      </w:r>
      <w:r>
        <w:rPr>
          <w:sz w:val="20"/>
          <w:szCs w:val="20"/>
        </w:rPr>
        <w:br/>
        <w:t>**</w:t>
      </w:r>
      <w:r w:rsidR="00DE3E51" w:rsidRPr="00DE3E51">
        <w:rPr>
          <w:sz w:val="20"/>
          <w:szCs w:val="20"/>
        </w:rPr>
        <w:t xml:space="preserve">Prescription opioids </w:t>
      </w:r>
      <w:proofErr w:type="gramStart"/>
      <w:r w:rsidR="00DE3E51" w:rsidRPr="00DE3E51">
        <w:rPr>
          <w:sz w:val="20"/>
          <w:szCs w:val="20"/>
        </w:rPr>
        <w:t>include:</w:t>
      </w:r>
      <w:proofErr w:type="gramEnd"/>
      <w:r w:rsidR="00DE3E51" w:rsidRPr="00DE3E51">
        <w:rPr>
          <w:sz w:val="20"/>
          <w:szCs w:val="20"/>
        </w:rPr>
        <w:t xml:space="preserve"> hydrocodone, hydromorphone, oxycodone, oxymorphone, and tramadol</w:t>
      </w:r>
    </w:p>
    <w:p w14:paraId="2C930078" w14:textId="77777777" w:rsidR="002B39C1" w:rsidRDefault="002B39C1" w:rsidP="00826BDC">
      <w:pPr>
        <w:jc w:val="left"/>
        <w:rPr>
          <w:b/>
          <w:i/>
          <w:color w:val="1F497D" w:themeColor="text2"/>
        </w:rPr>
      </w:pPr>
    </w:p>
    <w:p w14:paraId="1E85B73D" w14:textId="77777777" w:rsidR="007A56D1" w:rsidRDefault="007A56D1" w:rsidP="00826BDC">
      <w:pPr>
        <w:jc w:val="left"/>
        <w:rPr>
          <w:b/>
          <w:i/>
          <w:color w:val="1F497D" w:themeColor="text2"/>
        </w:rPr>
      </w:pPr>
    </w:p>
    <w:p w14:paraId="0AD3691E" w14:textId="77777777" w:rsidR="007A56D1" w:rsidRDefault="007A56D1" w:rsidP="00826BDC">
      <w:pPr>
        <w:jc w:val="left"/>
        <w:rPr>
          <w:b/>
          <w:i/>
          <w:color w:val="1F497D" w:themeColor="text2"/>
        </w:rPr>
      </w:pPr>
    </w:p>
    <w:p w14:paraId="6B746216" w14:textId="77777777" w:rsidR="00610217" w:rsidRPr="00F43627" w:rsidRDefault="00DC34F6" w:rsidP="00826BDC">
      <w:pPr>
        <w:jc w:val="left"/>
        <w:rPr>
          <w:b/>
          <w:iCs/>
          <w:color w:val="1F497D" w:themeColor="text2"/>
        </w:rPr>
      </w:pPr>
      <w:r w:rsidRPr="00F43627">
        <w:rPr>
          <w:b/>
          <w:iCs/>
          <w:color w:val="1F497D" w:themeColor="text2"/>
        </w:rPr>
        <w:t>Discussion</w:t>
      </w:r>
    </w:p>
    <w:p w14:paraId="6AE3DD0D" w14:textId="77777777" w:rsidR="00610217" w:rsidRDefault="00610217" w:rsidP="00826BDC">
      <w:pPr>
        <w:jc w:val="left"/>
        <w:rPr>
          <w:b/>
          <w:i/>
          <w:color w:val="1F497D" w:themeColor="text2"/>
        </w:rPr>
      </w:pPr>
    </w:p>
    <w:p w14:paraId="42A42DB0" w14:textId="135168AC" w:rsidR="000C7CE0" w:rsidRDefault="007516E4" w:rsidP="000C7CE0">
      <w:pPr>
        <w:spacing w:after="120" w:line="276" w:lineRule="auto"/>
        <w:jc w:val="left"/>
      </w:pPr>
      <w:r>
        <w:t xml:space="preserve">As noted above throughout this report, </w:t>
      </w:r>
      <w:r>
        <w:t>t</w:t>
      </w:r>
      <w:r w:rsidR="000C7CE0">
        <w:t>he opioid epidemic continues to have a negative impact on Massachusetts residents who work in physically demanding industries and occupations. To further explore this association, we analyzed state death certificate data among decedents for whom valid industry and/or occupation information was collected. This report updates findings from a previous period (2011-2015</w:t>
      </w:r>
      <w:r w:rsidR="006D691F">
        <w:t xml:space="preserve"> data</w:t>
      </w:r>
      <w:r w:rsidR="000C7CE0">
        <w:t>) with two additional years of data (2016-2017).</w:t>
      </w:r>
      <w:r w:rsidR="006522CB" w:rsidRPr="006522CB">
        <w:rPr>
          <w:vertAlign w:val="superscript"/>
        </w:rPr>
        <w:t>3</w:t>
      </w:r>
      <w:r w:rsidR="000C7CE0">
        <w:t xml:space="preserve"> The goal of this report was to contribute updated and additional findings about deaths among the working population in Massachusetts, especially those employed in high-risk occupations; these groups must be considered in strategic efforts to reverse the harmful effects of this epidemic</w:t>
      </w:r>
      <w:r w:rsidR="004606CC">
        <w:t xml:space="preserve"> in Massachusetts</w:t>
      </w:r>
      <w:r w:rsidR="000C7CE0">
        <w:t xml:space="preserve">. </w:t>
      </w:r>
      <w:r w:rsidR="004606CC">
        <w:t xml:space="preserve">Information about prevention initiatives taking place statewide and locally can be found </w:t>
      </w:r>
      <w:r w:rsidR="008A2901">
        <w:t xml:space="preserve">in the </w:t>
      </w:r>
      <w:r w:rsidR="008A2901" w:rsidRPr="008A2901">
        <w:rPr>
          <w:i/>
          <w:iCs/>
        </w:rPr>
        <w:t>Prevention</w:t>
      </w:r>
      <w:r w:rsidR="004606CC">
        <w:t xml:space="preserve"> section</w:t>
      </w:r>
      <w:r w:rsidR="008A2901">
        <w:t xml:space="preserve"> below</w:t>
      </w:r>
      <w:r w:rsidR="004606CC">
        <w:t xml:space="preserve">. </w:t>
      </w:r>
    </w:p>
    <w:p w14:paraId="2F799D6B" w14:textId="1F1F6281" w:rsidR="000C7CE0" w:rsidRDefault="000C7CE0" w:rsidP="000C7CE0">
      <w:pPr>
        <w:spacing w:after="120" w:line="276" w:lineRule="auto"/>
        <w:jc w:val="left"/>
      </w:pPr>
      <w:r>
        <w:t>This report found that the average annual rate of opioid-related overdose deaths (OROD) for all workers almost doubled from 25.1 deaths per 100,000 in 2011-2015 to 46.1 deaths per 100,000 in 2016-2017. This increase in rate is consistent with what has been observed among all Massachusetts residents statewide</w:t>
      </w:r>
      <w:r w:rsidR="004606CC">
        <w:t>.</w:t>
      </w:r>
      <w:r w:rsidR="006522CB" w:rsidRPr="006522CB">
        <w:rPr>
          <w:vertAlign w:val="superscript"/>
        </w:rPr>
        <w:t>12</w:t>
      </w:r>
      <w:r>
        <w:t xml:space="preserve"> </w:t>
      </w:r>
    </w:p>
    <w:p w14:paraId="6798DB99" w14:textId="27899A25" w:rsidR="000C7CE0" w:rsidRDefault="000C7CE0" w:rsidP="000C7CE0">
      <w:pPr>
        <w:spacing w:after="120" w:line="276" w:lineRule="auto"/>
        <w:jc w:val="left"/>
      </w:pPr>
      <w:r>
        <w:t>Similar to the previous period (2011-2015</w:t>
      </w:r>
      <w:r w:rsidR="006D691F">
        <w:t xml:space="preserve"> data</w:t>
      </w:r>
      <w:r>
        <w:t>), OROD rates varied by industry and occupation of the decedents in this new period (2016-2017)</w:t>
      </w:r>
      <w:r w:rsidR="003C3075">
        <w:t>,</w:t>
      </w:r>
      <w:r>
        <w:t xml:space="preserve"> although these more recent rates were higher</w:t>
      </w:r>
      <w:r w:rsidR="003C3075">
        <w:t>,</w:t>
      </w:r>
      <w:r>
        <w:t xml:space="preserve"> suggesting </w:t>
      </w:r>
      <w:r w:rsidR="003C3075">
        <w:t xml:space="preserve">an increased </w:t>
      </w:r>
      <w:r>
        <w:t>risk in some industry and occupation groups</w:t>
      </w:r>
      <w:r w:rsidR="003C3075">
        <w:t xml:space="preserve"> during 2016-2017</w:t>
      </w:r>
      <w:r>
        <w:t>.</w:t>
      </w:r>
      <w:r w:rsidR="006522CB" w:rsidRPr="006522CB">
        <w:rPr>
          <w:vertAlign w:val="superscript"/>
        </w:rPr>
        <w:t>3</w:t>
      </w:r>
      <w:r>
        <w:t xml:space="preserve"> The rates for certain industries have more than doubled: </w:t>
      </w:r>
      <w:r w:rsidR="003E765E">
        <w:t xml:space="preserve">1) </w:t>
      </w:r>
      <w:r>
        <w:t xml:space="preserve">Agriculture, </w:t>
      </w:r>
      <w:r w:rsidR="003E765E">
        <w:t>F</w:t>
      </w:r>
      <w:r>
        <w:t xml:space="preserve">orestry, </w:t>
      </w:r>
      <w:r w:rsidR="003E765E">
        <w:t>F</w:t>
      </w:r>
      <w:r>
        <w:t xml:space="preserve">ishing, and </w:t>
      </w:r>
      <w:r w:rsidR="003E765E">
        <w:t>H</w:t>
      </w:r>
      <w:r>
        <w:t xml:space="preserve">unting; </w:t>
      </w:r>
      <w:r w:rsidR="003E765E">
        <w:t xml:space="preserve">2) </w:t>
      </w:r>
      <w:r>
        <w:t xml:space="preserve">Accommodation </w:t>
      </w:r>
      <w:r w:rsidR="00D74044">
        <w:t>and</w:t>
      </w:r>
      <w:r>
        <w:t xml:space="preserve"> </w:t>
      </w:r>
      <w:r w:rsidR="003E765E">
        <w:t>F</w:t>
      </w:r>
      <w:r>
        <w:t xml:space="preserve">ood </w:t>
      </w:r>
      <w:r w:rsidR="003E765E">
        <w:t>S</w:t>
      </w:r>
      <w:r>
        <w:t xml:space="preserve">ervices; </w:t>
      </w:r>
      <w:r w:rsidR="003E765E">
        <w:t xml:space="preserve">3) </w:t>
      </w:r>
      <w:r>
        <w:t xml:space="preserve">Other </w:t>
      </w:r>
      <w:r w:rsidR="003E765E">
        <w:t>S</w:t>
      </w:r>
      <w:r>
        <w:t xml:space="preserve">ervices, except </w:t>
      </w:r>
      <w:r w:rsidR="003E765E">
        <w:t>P</w:t>
      </w:r>
      <w:r>
        <w:t xml:space="preserve">ublic </w:t>
      </w:r>
      <w:r w:rsidR="003E765E">
        <w:t>A</w:t>
      </w:r>
      <w:r>
        <w:t>dmin</w:t>
      </w:r>
      <w:r w:rsidR="007B4624">
        <w:t>istration</w:t>
      </w:r>
      <w:r w:rsidR="00233D13">
        <w:rPr>
          <w:rStyle w:val="FootnoteReference"/>
        </w:rPr>
        <w:footnoteReference w:id="11"/>
      </w:r>
      <w:r>
        <w:t xml:space="preserve">; </w:t>
      </w:r>
      <w:r w:rsidR="003E765E">
        <w:t xml:space="preserve">4) </w:t>
      </w:r>
      <w:r>
        <w:t xml:space="preserve">Arts, </w:t>
      </w:r>
      <w:r w:rsidR="003E765E">
        <w:t>E</w:t>
      </w:r>
      <w:r>
        <w:t xml:space="preserve">ntertainment, and </w:t>
      </w:r>
      <w:r w:rsidR="003E765E">
        <w:t>R</w:t>
      </w:r>
      <w:r>
        <w:t xml:space="preserve">ecreation; and </w:t>
      </w:r>
      <w:r w:rsidR="003E765E">
        <w:t xml:space="preserve">5) </w:t>
      </w:r>
      <w:r>
        <w:t xml:space="preserve">Utilities. The following occupation groups </w:t>
      </w:r>
      <w:r w:rsidR="00CC2103">
        <w:t xml:space="preserve">also </w:t>
      </w:r>
      <w:r>
        <w:t xml:space="preserve">experienced </w:t>
      </w:r>
      <w:r w:rsidR="00655C28">
        <w:t>OROD rates that doubled or more</w:t>
      </w:r>
      <w:r>
        <w:t xml:space="preserve">: </w:t>
      </w:r>
      <w:r w:rsidR="003E765E">
        <w:t xml:space="preserve">1) </w:t>
      </w:r>
      <w:r>
        <w:t xml:space="preserve">Farming, </w:t>
      </w:r>
      <w:r w:rsidR="003E765E">
        <w:lastRenderedPageBreak/>
        <w:t>F</w:t>
      </w:r>
      <w:r>
        <w:t xml:space="preserve">ishing </w:t>
      </w:r>
      <w:r w:rsidR="00D74044">
        <w:t xml:space="preserve">and </w:t>
      </w:r>
      <w:r w:rsidR="003E765E">
        <w:t>F</w:t>
      </w:r>
      <w:r>
        <w:t>orestry;</w:t>
      </w:r>
      <w:r w:rsidR="003E765E">
        <w:t xml:space="preserve"> 2)</w:t>
      </w:r>
      <w:r>
        <w:t xml:space="preserve"> Installation, </w:t>
      </w:r>
      <w:r w:rsidR="003E765E">
        <w:t>M</w:t>
      </w:r>
      <w:r>
        <w:t xml:space="preserve">aintenance, </w:t>
      </w:r>
      <w:r w:rsidR="00D74044">
        <w:t>and</w:t>
      </w:r>
      <w:r>
        <w:t xml:space="preserve"> </w:t>
      </w:r>
      <w:r w:rsidR="003E765E">
        <w:t>R</w:t>
      </w:r>
      <w:r>
        <w:t>epair;</w:t>
      </w:r>
      <w:r w:rsidR="003E765E">
        <w:t xml:space="preserve"> 3)</w:t>
      </w:r>
      <w:r>
        <w:t xml:space="preserve"> Food </w:t>
      </w:r>
      <w:r w:rsidR="003E765E">
        <w:t>P</w:t>
      </w:r>
      <w:r>
        <w:t xml:space="preserve">reparation </w:t>
      </w:r>
      <w:r w:rsidR="00D74044">
        <w:t>and</w:t>
      </w:r>
      <w:r>
        <w:t xml:space="preserve"> </w:t>
      </w:r>
      <w:r w:rsidR="003E765E">
        <w:t>S</w:t>
      </w:r>
      <w:r>
        <w:t xml:space="preserve">erving </w:t>
      </w:r>
      <w:r w:rsidR="00375259">
        <w:t>R</w:t>
      </w:r>
      <w:r>
        <w:t xml:space="preserve">elated; and </w:t>
      </w:r>
      <w:r w:rsidR="003E765E">
        <w:t xml:space="preserve">4) </w:t>
      </w:r>
      <w:r>
        <w:t>Building</w:t>
      </w:r>
      <w:r w:rsidR="00375259">
        <w:t xml:space="preserve"> and </w:t>
      </w:r>
      <w:r w:rsidR="003E765E">
        <w:t>G</w:t>
      </w:r>
      <w:r>
        <w:t>rounds</w:t>
      </w:r>
      <w:r w:rsidR="003E765E">
        <w:t>,</w:t>
      </w:r>
      <w:r>
        <w:t xml:space="preserve"> </w:t>
      </w:r>
      <w:r w:rsidR="003E765E">
        <w:t>C</w:t>
      </w:r>
      <w:r>
        <w:t xml:space="preserve">leaning </w:t>
      </w:r>
      <w:r w:rsidR="00D74044">
        <w:t>and</w:t>
      </w:r>
      <w:r>
        <w:t xml:space="preserve"> </w:t>
      </w:r>
      <w:r w:rsidR="003E765E">
        <w:t>M</w:t>
      </w:r>
      <w:r>
        <w:t xml:space="preserve">aintenance. Stratifying by industry and occupation allowed us to consider what specific hazards these ‘high rate’ groups may be exposed to in the workplace. Notably, workers in many of these ‘high rate’ industries and occupations are involved in demanding physical work, which may include repetitive tasks, heavy lifting, activities that require </w:t>
      </w:r>
      <w:r w:rsidR="006E3CA4">
        <w:t>“</w:t>
      </w:r>
      <w:r>
        <w:t>awkward</w:t>
      </w:r>
      <w:r w:rsidR="006E3CA4">
        <w:t>”</w:t>
      </w:r>
      <w:r>
        <w:t xml:space="preserve"> body postures for prolonged periods of time, etc., that are known to contribute to debilitating injury and musculoskeletal strain in the workplace</w:t>
      </w:r>
      <w:r w:rsidR="00AB11A5">
        <w:t>.</w:t>
      </w:r>
      <w:r w:rsidR="006522CB" w:rsidRPr="006522CB">
        <w:rPr>
          <w:vertAlign w:val="superscript"/>
        </w:rPr>
        <w:t>17-19</w:t>
      </w:r>
      <w:r>
        <w:t xml:space="preserve"> </w:t>
      </w:r>
    </w:p>
    <w:p w14:paraId="6E2D7297" w14:textId="2168D47A" w:rsidR="000C7CE0" w:rsidRDefault="000C7CE0" w:rsidP="000C7CE0">
      <w:pPr>
        <w:spacing w:after="120" w:line="276" w:lineRule="auto"/>
        <w:jc w:val="left"/>
      </w:pPr>
      <w:r>
        <w:t xml:space="preserve">This link between workplace injury and opioid overdose in MA was </w:t>
      </w:r>
      <w:r w:rsidR="003C3075">
        <w:t xml:space="preserve">found </w:t>
      </w:r>
      <w:r>
        <w:t>in the previous period (2011-2015</w:t>
      </w:r>
      <w:r w:rsidR="00AB11A5">
        <w:t xml:space="preserve"> data</w:t>
      </w:r>
      <w:r>
        <w:t xml:space="preserve">) and is supported more recently by studies using </w:t>
      </w:r>
      <w:r w:rsidR="003C3075">
        <w:t xml:space="preserve">statewide </w:t>
      </w:r>
      <w:r>
        <w:t>data from workers’ compensation systems and other data sources</w:t>
      </w:r>
      <w:r w:rsidR="00AB11A5">
        <w:t>.</w:t>
      </w:r>
      <w:r w:rsidR="008402B7" w:rsidRPr="008402B7">
        <w:rPr>
          <w:vertAlign w:val="superscript"/>
        </w:rPr>
        <w:t>3</w:t>
      </w:r>
      <w:r w:rsidR="008402B7">
        <w:rPr>
          <w:vertAlign w:val="superscript"/>
        </w:rPr>
        <w:t>, 20-22</w:t>
      </w:r>
      <w:r>
        <w:t xml:space="preserve"> There is also evidence from a concurrent study of ORODs in the MDPH Public Health Data warehouse (PHD)</w:t>
      </w:r>
      <w:r w:rsidR="005E0256">
        <w:t xml:space="preserve"> – </w:t>
      </w:r>
      <w:r>
        <w:t>which linked data from multiple state administrative datasets</w:t>
      </w:r>
      <w:r w:rsidR="005E0256">
        <w:t xml:space="preserve"> – </w:t>
      </w:r>
      <w:r>
        <w:t xml:space="preserve">that a large percentage of the individuals who died of an opioid overdose between 2011 and 2015 had a prior diagnosis of pain (unpublished). Despite the declining utilization of prescription opioids in MA, </w:t>
      </w:r>
      <w:r w:rsidR="003562FB">
        <w:t xml:space="preserve">there is evidence that </w:t>
      </w:r>
      <w:r>
        <w:t xml:space="preserve">injured workers continue to be prescribed opioids at higher doses and for longer durations </w:t>
      </w:r>
      <w:r w:rsidR="0022041F">
        <w:t>which may enable</w:t>
      </w:r>
      <w:r>
        <w:t xml:space="preserve"> them to continue working </w:t>
      </w:r>
      <w:r w:rsidR="0022041F">
        <w:t>or</w:t>
      </w:r>
      <w:r>
        <w:t xml:space="preserve"> to return to work</w:t>
      </w:r>
      <w:r w:rsidR="0022041F">
        <w:t xml:space="preserve"> prematurely</w:t>
      </w:r>
      <w:r>
        <w:t xml:space="preserve"> following a work injury</w:t>
      </w:r>
      <w:r w:rsidR="0022041F">
        <w:t>.</w:t>
      </w:r>
      <w:r w:rsidR="0022041F" w:rsidRPr="0022041F">
        <w:rPr>
          <w:vertAlign w:val="superscript"/>
        </w:rPr>
        <w:t>23</w:t>
      </w:r>
      <w:r w:rsidR="000A0536">
        <w:rPr>
          <w:vertAlign w:val="superscript"/>
        </w:rPr>
        <w:t>,24</w:t>
      </w:r>
      <w:r>
        <w:t xml:space="preserve"> </w:t>
      </w:r>
    </w:p>
    <w:p w14:paraId="60920E47" w14:textId="650DA780" w:rsidR="000C7CE0" w:rsidRDefault="000C7CE0" w:rsidP="000C7CE0">
      <w:pPr>
        <w:spacing w:after="120" w:line="276" w:lineRule="auto"/>
        <w:jc w:val="left"/>
      </w:pPr>
      <w:r>
        <w:t xml:space="preserve">The </w:t>
      </w:r>
      <w:r w:rsidR="00AB11A5">
        <w:t>C</w:t>
      </w:r>
      <w:r>
        <w:t xml:space="preserve">onstruction </w:t>
      </w:r>
      <w:r w:rsidR="00D74044">
        <w:t>and</w:t>
      </w:r>
      <w:r>
        <w:t xml:space="preserve"> </w:t>
      </w:r>
      <w:r w:rsidR="00D74044">
        <w:t>E</w:t>
      </w:r>
      <w:r>
        <w:t>xtraction occupation group continued to stand out as having a very high OROD rate – over 6 times that for all workers – and the highest number of OROD</w:t>
      </w:r>
      <w:r w:rsidR="003C3075">
        <w:t>,</w:t>
      </w:r>
      <w:r>
        <w:t xml:space="preserve"> accounting for 27% of all ORODs in the two-year period 2016-</w:t>
      </w:r>
      <w:r w:rsidR="007B4624">
        <w:t>20</w:t>
      </w:r>
      <w:r>
        <w:t xml:space="preserve">17. In addition to the rates, the number of individuals with an OROD employed as construction workers also increased; notably, in the </w:t>
      </w:r>
      <w:r w:rsidR="007B4624">
        <w:t>two</w:t>
      </w:r>
      <w:r>
        <w:t>-year period 2016</w:t>
      </w:r>
      <w:r w:rsidR="007B4624">
        <w:t>-</w:t>
      </w:r>
      <w:r>
        <w:t xml:space="preserve">2017 there were almost as many deaths in the </w:t>
      </w:r>
      <w:r w:rsidR="00D74044">
        <w:t>C</w:t>
      </w:r>
      <w:r>
        <w:t>onstruction</w:t>
      </w:r>
      <w:r w:rsidR="007B4624">
        <w:t xml:space="preserve"> and </w:t>
      </w:r>
      <w:r w:rsidR="00D74044">
        <w:t>E</w:t>
      </w:r>
      <w:r w:rsidR="007B4624">
        <w:t>xtraction</w:t>
      </w:r>
      <w:r>
        <w:t xml:space="preserve"> occupation</w:t>
      </w:r>
      <w:r w:rsidR="007B4624">
        <w:t>s</w:t>
      </w:r>
      <w:r>
        <w:t xml:space="preserve"> (N=904) as in the previous </w:t>
      </w:r>
      <w:r w:rsidR="007B4624">
        <w:t>five</w:t>
      </w:r>
      <w:r>
        <w:t>-year period of 2011-2015 (N=1,096). Construction workers</w:t>
      </w:r>
      <w:r w:rsidR="00AB11A5">
        <w:t>,</w:t>
      </w:r>
      <w:r>
        <w:t xml:space="preserve"> like workers in the other ‘high OROD rate’ occupations discussed above</w:t>
      </w:r>
      <w:r w:rsidR="00AB11A5">
        <w:t>,</w:t>
      </w:r>
      <w:r>
        <w:t xml:space="preserve"> often experience high rates of occupational injuries and a high prevalence of debilitating musculoskeletal pain and emotional distress</w:t>
      </w:r>
      <w:r w:rsidR="003C3075">
        <w:t>,</w:t>
      </w:r>
      <w:r>
        <w:t xml:space="preserve"> given the physically demanding and dangerous nature of their jobs.</w:t>
      </w:r>
      <w:r w:rsidR="0022041F">
        <w:rPr>
          <w:vertAlign w:val="superscript"/>
        </w:rPr>
        <w:t>25</w:t>
      </w:r>
      <w:r w:rsidR="000A0536">
        <w:rPr>
          <w:vertAlign w:val="superscript"/>
        </w:rPr>
        <w:t>,26</w:t>
      </w:r>
      <w:r>
        <w:t xml:space="preserve"> Nationally, construction workers were also more likely to receive opioids when receiving a prescription for pain medication, compared with workers in other industries</w:t>
      </w:r>
      <w:r w:rsidR="003C3075">
        <w:t xml:space="preserve">, </w:t>
      </w:r>
      <w:r>
        <w:t>according to a study of opioid dispensing using workers’ compensation insurance claim data from 27 states (including MA).</w:t>
      </w:r>
      <w:r w:rsidR="0022041F">
        <w:rPr>
          <w:vertAlign w:val="superscript"/>
        </w:rPr>
        <w:t>2</w:t>
      </w:r>
      <w:r w:rsidR="000A0536">
        <w:rPr>
          <w:vertAlign w:val="superscript"/>
        </w:rPr>
        <w:t>7</w:t>
      </w:r>
      <w:r>
        <w:t xml:space="preserve"> Not surprisingly, within the construction industry itself, construction workers suffering work-related injuries were more likely</w:t>
      </w:r>
      <w:r w:rsidR="00152B20">
        <w:t>,</w:t>
      </w:r>
      <w:r>
        <w:t xml:space="preserve"> on average</w:t>
      </w:r>
      <w:r w:rsidR="00152B20">
        <w:t>,</w:t>
      </w:r>
      <w:r>
        <w:t xml:space="preserve"> to report using prescribed opioids compared with their non-injured counterparts</w:t>
      </w:r>
      <w:r w:rsidR="00600302">
        <w:t xml:space="preserve"> </w:t>
      </w:r>
      <w:r>
        <w:t>(25.3% vs. 8.9%) over the same time period as this report</w:t>
      </w:r>
      <w:r w:rsidR="00152B20">
        <w:t xml:space="preserve"> (</w:t>
      </w:r>
      <w:r>
        <w:t>2011-2017</w:t>
      </w:r>
      <w:r w:rsidR="00152B20">
        <w:t>)</w:t>
      </w:r>
      <w:r>
        <w:t>.</w:t>
      </w:r>
      <w:r w:rsidR="0022041F">
        <w:rPr>
          <w:vertAlign w:val="superscript"/>
        </w:rPr>
        <w:t>2</w:t>
      </w:r>
      <w:r w:rsidR="000A0536">
        <w:rPr>
          <w:vertAlign w:val="superscript"/>
        </w:rPr>
        <w:t>8</w:t>
      </w:r>
      <w:r>
        <w:t xml:space="preserve"> Notably in this study, the experience of sustaining a work-related injury was the strongest predictor of prescription opioid use compared with all the other covariates examined.</w:t>
      </w:r>
      <w:r w:rsidR="008B27CE" w:rsidRPr="008B27CE">
        <w:rPr>
          <w:vertAlign w:val="superscript"/>
        </w:rPr>
        <w:t>28</w:t>
      </w:r>
      <w:r>
        <w:t xml:space="preserve"> </w:t>
      </w:r>
    </w:p>
    <w:p w14:paraId="5E3AAAB5" w14:textId="58753EC0" w:rsidR="000C7CE0" w:rsidRDefault="000C7CE0" w:rsidP="000C7CE0">
      <w:pPr>
        <w:spacing w:after="120" w:line="276" w:lineRule="auto"/>
        <w:jc w:val="left"/>
        <w:rPr>
          <w:color w:val="141414"/>
        </w:rPr>
      </w:pPr>
      <w:r>
        <w:rPr>
          <w:color w:val="141414"/>
        </w:rPr>
        <w:t>Although white</w:t>
      </w:r>
      <w:r w:rsidR="007B4624">
        <w:rPr>
          <w:color w:val="141414"/>
        </w:rPr>
        <w:t>,</w:t>
      </w:r>
      <w:r>
        <w:rPr>
          <w:color w:val="141414"/>
        </w:rPr>
        <w:t xml:space="preserve"> non-Hispanic workers continued to have the highest OROD rates compared with both Black</w:t>
      </w:r>
      <w:r w:rsidR="007B4624">
        <w:rPr>
          <w:color w:val="141414"/>
        </w:rPr>
        <w:t>,</w:t>
      </w:r>
      <w:r>
        <w:rPr>
          <w:color w:val="141414"/>
        </w:rPr>
        <w:t xml:space="preserve"> non-Hispanic and Hispanic workers in 2016</w:t>
      </w:r>
      <w:r w:rsidR="007B4624">
        <w:rPr>
          <w:color w:val="141414"/>
        </w:rPr>
        <w:t>-</w:t>
      </w:r>
      <w:r>
        <w:rPr>
          <w:color w:val="141414"/>
        </w:rPr>
        <w:t xml:space="preserve">2017, </w:t>
      </w:r>
      <w:r w:rsidR="00152B20">
        <w:rPr>
          <w:color w:val="141414"/>
        </w:rPr>
        <w:t xml:space="preserve">there was a </w:t>
      </w:r>
      <w:r>
        <w:rPr>
          <w:color w:val="141414"/>
        </w:rPr>
        <w:t>rapid rise in OROD rates among Hispanic workers from 2011</w:t>
      </w:r>
      <w:r w:rsidR="007B4624">
        <w:rPr>
          <w:color w:val="141414"/>
        </w:rPr>
        <w:t xml:space="preserve"> to </w:t>
      </w:r>
      <w:r>
        <w:rPr>
          <w:color w:val="141414"/>
        </w:rPr>
        <w:t>2017</w:t>
      </w:r>
      <w:r w:rsidR="00E92DFC">
        <w:rPr>
          <w:color w:val="141414"/>
        </w:rPr>
        <w:t>.</w:t>
      </w:r>
      <w:r>
        <w:rPr>
          <w:color w:val="141414"/>
        </w:rPr>
        <w:t xml:space="preserve"> In 2011, the rate among Hispanics was about half that of white</w:t>
      </w:r>
      <w:r w:rsidR="007B4624">
        <w:rPr>
          <w:color w:val="141414"/>
        </w:rPr>
        <w:t>,</w:t>
      </w:r>
      <w:r>
        <w:rPr>
          <w:color w:val="141414"/>
        </w:rPr>
        <w:t xml:space="preserve"> non-Hispanics but by 2017, the rates were about the same. </w:t>
      </w:r>
      <w:r w:rsidR="00152B20">
        <w:rPr>
          <w:color w:val="141414"/>
        </w:rPr>
        <w:t>In</w:t>
      </w:r>
      <w:r>
        <w:rPr>
          <w:color w:val="141414"/>
        </w:rPr>
        <w:t xml:space="preserve"> 2018, Massachusetts had the highest age-adjusted OROD rate for Hispanic residents compared with all other U.S. states</w:t>
      </w:r>
      <w:r w:rsidR="00152B20">
        <w:rPr>
          <w:color w:val="141414"/>
        </w:rPr>
        <w:t>,</w:t>
      </w:r>
      <w:r>
        <w:rPr>
          <w:color w:val="141414"/>
        </w:rPr>
        <w:t xml:space="preserve"> at 30.4 deaths per 100,000.</w:t>
      </w:r>
      <w:r w:rsidR="008B27CE">
        <w:rPr>
          <w:color w:val="141414"/>
          <w:vertAlign w:val="superscript"/>
        </w:rPr>
        <w:t>29</w:t>
      </w:r>
      <w:r>
        <w:rPr>
          <w:color w:val="141414"/>
        </w:rPr>
        <w:t xml:space="preserve"> Looking beyond the top industries and occupations of </w:t>
      </w:r>
      <w:r w:rsidRPr="004D4BC3">
        <w:rPr>
          <w:i/>
          <w:iCs/>
          <w:color w:val="141414"/>
        </w:rPr>
        <w:t>all</w:t>
      </w:r>
      <w:r>
        <w:rPr>
          <w:b/>
          <w:bCs/>
          <w:i/>
          <w:iCs/>
          <w:color w:val="141414"/>
        </w:rPr>
        <w:t xml:space="preserve"> </w:t>
      </w:r>
      <w:r>
        <w:rPr>
          <w:color w:val="141414"/>
        </w:rPr>
        <w:t>workers affected by fatal overdoses</w:t>
      </w:r>
      <w:r w:rsidR="000C5C8A">
        <w:rPr>
          <w:color w:val="141414"/>
        </w:rPr>
        <w:t>,</w:t>
      </w:r>
      <w:r>
        <w:rPr>
          <w:color w:val="141414"/>
        </w:rPr>
        <w:t xml:space="preserve"> to understand the types of jobs that Hispanic and Latinx individuals are employed in</w:t>
      </w:r>
      <w:r w:rsidR="000C5C8A">
        <w:rPr>
          <w:color w:val="141414"/>
        </w:rPr>
        <w:t>,</w:t>
      </w:r>
      <w:r>
        <w:rPr>
          <w:color w:val="141414"/>
        </w:rPr>
        <w:t xml:space="preserve"> may shed some light on why the burden of fatal overdoses due to opioids may be on the rise in this population of workers and not among other racial/ethnic groups. In this report, the inclusion of additional years of death data (seven years in total) made it possible to generate OROD percent distributions as well as rates by occupation among three race/ethnicity strata (Table 5). For example, 12% of all ORODs among Hispanics occurred among Production workers</w:t>
      </w:r>
      <w:r w:rsidR="000C5C8A">
        <w:rPr>
          <w:color w:val="141414"/>
        </w:rPr>
        <w:t>,</w:t>
      </w:r>
      <w:r>
        <w:rPr>
          <w:color w:val="141414"/>
        </w:rPr>
        <w:t xml:space="preserve"> but this occupation group was not among the top five </w:t>
      </w:r>
      <w:r w:rsidR="000C5C8A">
        <w:rPr>
          <w:color w:val="141414"/>
        </w:rPr>
        <w:t xml:space="preserve">groups </w:t>
      </w:r>
      <w:r>
        <w:rPr>
          <w:color w:val="141414"/>
        </w:rPr>
        <w:t>in terms of rate for either white, non-Hispanics or Black, non-Hispanics. Also, for Install</w:t>
      </w:r>
      <w:r w:rsidR="007B4624">
        <w:rPr>
          <w:color w:val="141414"/>
        </w:rPr>
        <w:t>ation</w:t>
      </w:r>
      <w:r>
        <w:rPr>
          <w:color w:val="141414"/>
        </w:rPr>
        <w:t xml:space="preserve">, </w:t>
      </w:r>
      <w:r w:rsidR="00DF20D8">
        <w:rPr>
          <w:color w:val="141414"/>
        </w:rPr>
        <w:t>M</w:t>
      </w:r>
      <w:r>
        <w:rPr>
          <w:color w:val="141414"/>
        </w:rPr>
        <w:t>aintenance</w:t>
      </w:r>
      <w:r w:rsidR="007B4624">
        <w:rPr>
          <w:color w:val="141414"/>
        </w:rPr>
        <w:t xml:space="preserve"> and </w:t>
      </w:r>
      <w:r w:rsidR="00DF20D8">
        <w:rPr>
          <w:color w:val="141414"/>
        </w:rPr>
        <w:t>R</w:t>
      </w:r>
      <w:r w:rsidR="007B4624">
        <w:rPr>
          <w:color w:val="141414"/>
        </w:rPr>
        <w:t>epair</w:t>
      </w:r>
      <w:r>
        <w:rPr>
          <w:color w:val="141414"/>
        </w:rPr>
        <w:t xml:space="preserve"> workers, one of ‘high rate’ occupation </w:t>
      </w:r>
      <w:r>
        <w:rPr>
          <w:color w:val="141414"/>
        </w:rPr>
        <w:lastRenderedPageBreak/>
        <w:t>groups identified in Table 5, Hispanics experienced a higher rate of OROD</w:t>
      </w:r>
      <w:r w:rsidR="00DF20D8">
        <w:rPr>
          <w:color w:val="141414"/>
        </w:rPr>
        <w:t>s</w:t>
      </w:r>
      <w:r>
        <w:rPr>
          <w:color w:val="141414"/>
        </w:rPr>
        <w:t xml:space="preserve"> than white</w:t>
      </w:r>
      <w:r w:rsidR="00582A5C">
        <w:rPr>
          <w:color w:val="141414"/>
        </w:rPr>
        <w:t>,</w:t>
      </w:r>
      <w:r>
        <w:rPr>
          <w:color w:val="141414"/>
        </w:rPr>
        <w:t xml:space="preserve"> non-Hispanic workers</w:t>
      </w:r>
      <w:r w:rsidR="000C5C8A">
        <w:rPr>
          <w:color w:val="141414"/>
        </w:rPr>
        <w:t>,</w:t>
      </w:r>
      <w:r>
        <w:rPr>
          <w:color w:val="141414"/>
        </w:rPr>
        <w:t xml:space="preserve"> suggesting that Hispanic workers in this job may not have equitable access to 1) a safe workplace free of hazards, 2) benefits to which they are entitled (e.g., workers’ compensation), 3) appropriate pain management, and 4) culturally responsive substance use disorder treatment and recovery supports, to name just a few.</w:t>
      </w:r>
    </w:p>
    <w:p w14:paraId="331DF4F3" w14:textId="74E77BDE" w:rsidR="00B111A8" w:rsidRDefault="004C555B" w:rsidP="00F66D06">
      <w:pPr>
        <w:spacing w:after="120" w:line="276" w:lineRule="auto"/>
        <w:jc w:val="left"/>
      </w:pPr>
      <w:r w:rsidRPr="00616715">
        <w:t xml:space="preserve">In this report, we </w:t>
      </w:r>
      <w:r>
        <w:t xml:space="preserve">examined the toxicology information from </w:t>
      </w:r>
      <w:r w:rsidRPr="00457174">
        <w:t>the workers’ death certificates</w:t>
      </w:r>
      <w:r>
        <w:t xml:space="preserve"> in Massachusetts</w:t>
      </w:r>
      <w:r w:rsidRPr="00457174">
        <w:t xml:space="preserve"> and reported annual </w:t>
      </w:r>
      <w:r>
        <w:t>percentages</w:t>
      </w:r>
      <w:r w:rsidRPr="00457174">
        <w:t xml:space="preserve"> of the drugs present at death</w:t>
      </w:r>
      <w:r>
        <w:t>,</w:t>
      </w:r>
      <w:r w:rsidRPr="00457174">
        <w:t xml:space="preserve"> by select </w:t>
      </w:r>
      <w:r w:rsidRPr="00313AB9">
        <w:t>occupation groups</w:t>
      </w:r>
      <w:r w:rsidR="00655C28" w:rsidRPr="00655C28">
        <w:t xml:space="preserve"> </w:t>
      </w:r>
      <w:r w:rsidR="00655C28">
        <w:t xml:space="preserve">(this information is presented </w:t>
      </w:r>
      <w:r w:rsidR="00655C28" w:rsidRPr="00616715">
        <w:t>for the first time</w:t>
      </w:r>
      <w:r w:rsidR="00655C28">
        <w:t xml:space="preserve"> here, as it was not examined or reported on in the previous report on data from deaths occurring from 2011-2015)</w:t>
      </w:r>
      <w:r w:rsidRPr="00313AB9">
        <w:t xml:space="preserve">. </w:t>
      </w:r>
      <w:r>
        <w:t xml:space="preserve">While the proportions of the specific drugs </w:t>
      </w:r>
      <w:r w:rsidR="00DF20D8">
        <w:t xml:space="preserve">present </w:t>
      </w:r>
      <w:r>
        <w:t>in overdose deaths from opioids varied by occupation group and by year, f</w:t>
      </w:r>
      <w:r w:rsidRPr="00313AB9">
        <w:t>or decedents in</w:t>
      </w:r>
      <w:r>
        <w:t xml:space="preserve"> </w:t>
      </w:r>
      <w:proofErr w:type="gramStart"/>
      <w:r>
        <w:t>all of</w:t>
      </w:r>
      <w:proofErr w:type="gramEnd"/>
      <w:r w:rsidRPr="00313AB9">
        <w:t xml:space="preserve"> these occupations</w:t>
      </w:r>
      <w:r w:rsidR="0065221B">
        <w:t>,</w:t>
      </w:r>
      <w:r w:rsidRPr="00313AB9">
        <w:t xml:space="preserve"> we see a precipitous rise in the</w:t>
      </w:r>
      <w:r w:rsidR="00BB41DB">
        <w:t xml:space="preserve"> proportion of overdose deaths</w:t>
      </w:r>
      <w:r w:rsidR="00D8158F">
        <w:t xml:space="preserve"> with</w:t>
      </w:r>
      <w:r w:rsidRPr="00313AB9">
        <w:t xml:space="preserve"> fentanyl present over time</w:t>
      </w:r>
      <w:r>
        <w:t xml:space="preserve">. Among most of the occupation groups examined, fentanyl, </w:t>
      </w:r>
      <w:r w:rsidRPr="00313AB9">
        <w:t xml:space="preserve">a synthetic, mostly </w:t>
      </w:r>
      <w:proofErr w:type="gramStart"/>
      <w:r w:rsidRPr="00313AB9">
        <w:t>illicitly-produced</w:t>
      </w:r>
      <w:proofErr w:type="gramEnd"/>
      <w:r w:rsidRPr="00313AB9">
        <w:t>, very potent opioid</w:t>
      </w:r>
      <w:r>
        <w:t xml:space="preserve">, was present most often, followed by heroin, an illegal, highly addictive opioid processed from morphine. </w:t>
      </w:r>
      <w:r w:rsidRPr="00313AB9">
        <w:t xml:space="preserve">In </w:t>
      </w:r>
      <w:r>
        <w:t>C</w:t>
      </w:r>
      <w:r w:rsidRPr="00313AB9">
        <w:t>onstruction</w:t>
      </w:r>
      <w:r>
        <w:t xml:space="preserve"> and </w:t>
      </w:r>
      <w:r w:rsidR="00D8158F">
        <w:t>E</w:t>
      </w:r>
      <w:r>
        <w:t>xtraction occupations</w:t>
      </w:r>
      <w:r w:rsidRPr="00313AB9">
        <w:t xml:space="preserve">, the percent of deaths involving fentanyl increased from </w:t>
      </w:r>
      <w:r w:rsidR="004C17E5">
        <w:t>65.3</w:t>
      </w:r>
      <w:r w:rsidRPr="00313AB9">
        <w:t>% in 201</w:t>
      </w:r>
      <w:r w:rsidR="007755FD">
        <w:t>5</w:t>
      </w:r>
      <w:r w:rsidRPr="00313AB9">
        <w:t xml:space="preserve"> to 87.6% in 2017</w:t>
      </w:r>
      <w:r w:rsidR="0065221B">
        <w:t>,</w:t>
      </w:r>
      <w:r>
        <w:t xml:space="preserve"> </w:t>
      </w:r>
      <w:r w:rsidR="004C17E5">
        <w:t>while</w:t>
      </w:r>
      <w:r>
        <w:t xml:space="preserve"> the percent of deaths involving heroin </w:t>
      </w:r>
      <w:r w:rsidR="004C17E5">
        <w:t>decreased</w:t>
      </w:r>
      <w:r>
        <w:t xml:space="preserve"> from </w:t>
      </w:r>
      <w:r w:rsidR="004C17E5">
        <w:t>48.1</w:t>
      </w:r>
      <w:r>
        <w:t>% in 201</w:t>
      </w:r>
      <w:r w:rsidR="007755FD">
        <w:t>5</w:t>
      </w:r>
      <w:r>
        <w:t xml:space="preserve"> to 24.6% in 2017</w:t>
      </w:r>
      <w:r w:rsidRPr="00313AB9">
        <w:t xml:space="preserve">. </w:t>
      </w:r>
      <w:r>
        <w:t>These findings add to the</w:t>
      </w:r>
      <w:r w:rsidRPr="00313AB9">
        <w:t xml:space="preserve"> </w:t>
      </w:r>
      <w:r>
        <w:t xml:space="preserve">growing </w:t>
      </w:r>
      <w:r w:rsidRPr="00313AB9">
        <w:t xml:space="preserve">evidence </w:t>
      </w:r>
      <w:r w:rsidR="0065221B">
        <w:t>that</w:t>
      </w:r>
      <w:r w:rsidR="0065221B" w:rsidRPr="00313AB9">
        <w:t xml:space="preserve"> </w:t>
      </w:r>
      <w:r w:rsidRPr="00313AB9">
        <w:t>fentanyl is driving the current epidemic</w:t>
      </w:r>
      <w:r>
        <w:t xml:space="preserve"> of opioid overdoses</w:t>
      </w:r>
      <w:r w:rsidRPr="00313AB9">
        <w:t xml:space="preserve"> in MA</w:t>
      </w:r>
      <w:r>
        <w:t>.</w:t>
      </w:r>
      <w:r w:rsidR="00BC1E64" w:rsidRPr="00BC1E64">
        <w:rPr>
          <w:vertAlign w:val="superscript"/>
        </w:rPr>
        <w:t>12</w:t>
      </w:r>
      <w:r>
        <w:t xml:space="preserve"> Among MA residents in general,</w:t>
      </w:r>
      <w:r w:rsidRPr="00313AB9">
        <w:t xml:space="preserve"> the age-adjusted rate of fatal overdose with synthetic opioids other than methadone</w:t>
      </w:r>
      <w:r>
        <w:t xml:space="preserve"> (i.e., fentanyl, fentanyl analogs, and tramadol)</w:t>
      </w:r>
      <w:r w:rsidRPr="00313AB9">
        <w:t xml:space="preserve"> was close to three times </w:t>
      </w:r>
      <w:r w:rsidR="00653A27">
        <w:t>the rate</w:t>
      </w:r>
      <w:r w:rsidRPr="00313AB9">
        <w:t xml:space="preserve"> of the</w:t>
      </w:r>
      <w:r>
        <w:t xml:space="preserve"> total</w:t>
      </w:r>
      <w:r w:rsidRPr="00313AB9">
        <w:t xml:space="preserve"> U.S</w:t>
      </w:r>
      <w:r>
        <w:t>. resident population</w:t>
      </w:r>
      <w:r w:rsidRPr="00313AB9">
        <w:t xml:space="preserve"> in 2017</w:t>
      </w:r>
      <w:r>
        <w:t>.</w:t>
      </w:r>
      <w:r w:rsidR="00182F60" w:rsidRPr="00182F60">
        <w:rPr>
          <w:vertAlign w:val="superscript"/>
        </w:rPr>
        <w:t>2</w:t>
      </w:r>
      <w:r>
        <w:t xml:space="preserve"> </w:t>
      </w:r>
      <w:r w:rsidRPr="00313AB9">
        <w:t xml:space="preserve"> </w:t>
      </w:r>
    </w:p>
    <w:p w14:paraId="22A215E8" w14:textId="3D68DC62" w:rsidR="00CA7C00" w:rsidRPr="00CA7C00" w:rsidRDefault="004C555B" w:rsidP="00CA7C00">
      <w:pPr>
        <w:spacing w:after="120" w:line="276" w:lineRule="auto"/>
        <w:jc w:val="left"/>
      </w:pPr>
      <w:r w:rsidRPr="00313AB9">
        <w:t>Another interesting finding is that among the</w:t>
      </w:r>
      <w:r>
        <w:t xml:space="preserve"> two occupation groups</w:t>
      </w:r>
      <w:r w:rsidR="0065221B">
        <w:t xml:space="preserve"> of</w:t>
      </w:r>
      <w:r w:rsidRPr="00313AB9">
        <w:t xml:space="preserve"> </w:t>
      </w:r>
      <w:r w:rsidR="0065221B">
        <w:t xml:space="preserve">(1) </w:t>
      </w:r>
      <w:r w:rsidRPr="00313AB9">
        <w:t xml:space="preserve">Healthcare </w:t>
      </w:r>
      <w:r w:rsidR="00B111A8">
        <w:t>S</w:t>
      </w:r>
      <w:r w:rsidRPr="00313AB9">
        <w:t>upport and</w:t>
      </w:r>
      <w:r w:rsidR="0065221B">
        <w:t xml:space="preserve"> (2)</w:t>
      </w:r>
      <w:r w:rsidRPr="00313AB9">
        <w:t xml:space="preserve"> Healthcare </w:t>
      </w:r>
      <w:r w:rsidR="00B111A8">
        <w:t>P</w:t>
      </w:r>
      <w:r w:rsidRPr="00402CD2">
        <w:t>ractitioners</w:t>
      </w:r>
      <w:r>
        <w:t xml:space="preserve"> </w:t>
      </w:r>
      <w:r w:rsidR="00D74044">
        <w:t>and</w:t>
      </w:r>
      <w:r>
        <w:t xml:space="preserve"> </w:t>
      </w:r>
      <w:r w:rsidR="00242202">
        <w:t>T</w:t>
      </w:r>
      <w:r>
        <w:t>echnical</w:t>
      </w:r>
      <w:r w:rsidRPr="00313AB9">
        <w:t xml:space="preserve"> occupation</w:t>
      </w:r>
      <w:r>
        <w:t>s</w:t>
      </w:r>
      <w:r w:rsidRPr="00313AB9">
        <w:t>,</w:t>
      </w:r>
      <w:r>
        <w:t xml:space="preserve"> prescribed opioid ‘pain relievers’ such as hydrocodone and oxycodone were present in a larger percentage of deaths than in other industries examined</w:t>
      </w:r>
      <w:r w:rsidRPr="00313AB9">
        <w:t xml:space="preserve">, which is in line with </w:t>
      </w:r>
      <w:r>
        <w:t>findings</w:t>
      </w:r>
      <w:r w:rsidRPr="00313AB9">
        <w:t xml:space="preserve"> ob</w:t>
      </w:r>
      <w:r>
        <w:t>served</w:t>
      </w:r>
      <w:r w:rsidRPr="00FF6A92">
        <w:t xml:space="preserve"> nationally</w:t>
      </w:r>
      <w:r w:rsidR="002143FB">
        <w:t>.</w:t>
      </w:r>
      <w:r w:rsidR="00BB41DB">
        <w:rPr>
          <w:vertAlign w:val="superscript"/>
        </w:rPr>
        <w:t>30</w:t>
      </w:r>
      <w:r w:rsidRPr="00FF6A92">
        <w:t xml:space="preserve"> </w:t>
      </w:r>
      <w:r w:rsidR="00CA7C00" w:rsidRPr="00B111A8">
        <w:t xml:space="preserve">With funding from CDC, </w:t>
      </w:r>
      <w:r w:rsidR="00B001E3">
        <w:t>M</w:t>
      </w:r>
      <w:r w:rsidR="00CA7C00" w:rsidRPr="00B111A8">
        <w:t xml:space="preserve">DPH provided support to develop industry-specific opioid overdose prevention trainings.  One of the groups highlighted in this previous prevention work was nurses, as described in the </w:t>
      </w:r>
      <w:r w:rsidR="00CA7C00" w:rsidRPr="00B111A8">
        <w:rPr>
          <w:i/>
          <w:iCs/>
        </w:rPr>
        <w:t>Prevention</w:t>
      </w:r>
      <w:r w:rsidR="00CA7C00" w:rsidRPr="00B111A8">
        <w:t xml:space="preserve"> section below.</w:t>
      </w:r>
    </w:p>
    <w:p w14:paraId="3F2F280B" w14:textId="77777777" w:rsidR="00CA7C00" w:rsidRPr="00CA7C00" w:rsidRDefault="00CA7C00" w:rsidP="00CA7C00">
      <w:pPr>
        <w:spacing w:after="120" w:line="276" w:lineRule="auto"/>
        <w:jc w:val="left"/>
      </w:pPr>
      <w:r w:rsidRPr="00CA7C00">
        <w:t xml:space="preserve">More work on examining the trends in toxicology patterns over time is needed.  With additional years of data to be available soon for further analysis, we will be able to examine larger sample sizes within these occupational groups, as well as examine additional occupational groups.  </w:t>
      </w:r>
    </w:p>
    <w:p w14:paraId="3E660BA8" w14:textId="77777777" w:rsidR="00CA7C00" w:rsidRPr="00FF6A92" w:rsidRDefault="00CA7C00" w:rsidP="00F66D06">
      <w:pPr>
        <w:spacing w:after="120" w:line="276" w:lineRule="auto"/>
        <w:jc w:val="left"/>
      </w:pPr>
    </w:p>
    <w:p w14:paraId="0D667766" w14:textId="77777777" w:rsidR="004C555B" w:rsidRPr="007621FB" w:rsidRDefault="004C555B" w:rsidP="004C555B">
      <w:pPr>
        <w:spacing w:after="120" w:line="276" w:lineRule="auto"/>
        <w:jc w:val="left"/>
        <w:rPr>
          <w:b/>
          <w:bCs/>
          <w:i/>
          <w:color w:val="1F497D"/>
        </w:rPr>
      </w:pPr>
      <w:r w:rsidRPr="007621FB">
        <w:rPr>
          <w:b/>
          <w:bCs/>
          <w:i/>
          <w:color w:val="1F497D"/>
        </w:rPr>
        <w:t>Limitations</w:t>
      </w:r>
    </w:p>
    <w:p w14:paraId="2EFF2C38" w14:textId="6F87DF51" w:rsidR="004C555B" w:rsidRPr="00BD5724" w:rsidRDefault="009A4064" w:rsidP="000C7CE0">
      <w:pPr>
        <w:spacing w:after="120" w:line="276" w:lineRule="auto"/>
        <w:jc w:val="left"/>
        <w:rPr>
          <w:rFonts w:eastAsia="Times New Roman"/>
          <w:i/>
          <w:color w:val="000000"/>
        </w:rPr>
      </w:pPr>
      <w:r w:rsidRPr="00FF6A92">
        <w:t xml:space="preserve">While this report highlights many important findings </w:t>
      </w:r>
      <w:r>
        <w:t>about the extent and magnitude of</w:t>
      </w:r>
      <w:r w:rsidRPr="00FF6A92">
        <w:t xml:space="preserve"> OROD</w:t>
      </w:r>
      <w:r w:rsidR="00B31DCD">
        <w:t>s</w:t>
      </w:r>
      <w:r w:rsidRPr="00FF6A92">
        <w:t xml:space="preserve"> among worker</w:t>
      </w:r>
      <w:r>
        <w:t>s</w:t>
      </w:r>
      <w:r w:rsidRPr="00FF6A92">
        <w:t xml:space="preserve"> in </w:t>
      </w:r>
      <w:r w:rsidRPr="00402CD2">
        <w:t>Massachusetts</w:t>
      </w:r>
      <w:r w:rsidRPr="00FF6A92">
        <w:t xml:space="preserve">, there are some limitations that must be </w:t>
      </w:r>
      <w:r w:rsidRPr="00402CD2">
        <w:t>acknowledged</w:t>
      </w:r>
      <w:r w:rsidRPr="00FF6A92">
        <w:t>. We assumed that decedents who had an industry and/or occupation reported on their death certificate were employed in that industry or occupation at the time of death or just preceding death. If decedents were retired, not employed, or working in another type of business or job at the time of death, the OROD rates may be over- or under-estimated. As noted earlier, under the Methods section, we tested our assumptions about the data and determined that any misclassification of deaths w</w:t>
      </w:r>
      <w:r>
        <w:t>ould</w:t>
      </w:r>
      <w:r w:rsidRPr="00FF6A92">
        <w:t xml:space="preserve"> likely have a minimal effect on the magnitude of the rates and other measures presented in this report. Also, </w:t>
      </w:r>
      <w:r w:rsidR="00B001E3">
        <w:t xml:space="preserve">while </w:t>
      </w:r>
      <w:r w:rsidRPr="00FF6A92">
        <w:t>all opioid-related overdose deaths</w:t>
      </w:r>
      <w:r>
        <w:t>,</w:t>
      </w:r>
      <w:r w:rsidRPr="00FF6A92">
        <w:t xml:space="preserve"> whether intentional, unintentional, or of undetermined intent</w:t>
      </w:r>
      <w:r>
        <w:t>,</w:t>
      </w:r>
      <w:r w:rsidRPr="00FF6A92">
        <w:t xml:space="preserve"> were included in this study</w:t>
      </w:r>
      <w:r w:rsidR="001648DC">
        <w:t xml:space="preserve">, </w:t>
      </w:r>
      <w:r w:rsidR="00B31DCD">
        <w:t>it has been determined that</w:t>
      </w:r>
      <w:r w:rsidR="001648DC">
        <w:t xml:space="preserve"> b</w:t>
      </w:r>
      <w:r w:rsidRPr="00FF6A92">
        <w:t>etween ~ 97 and 99% of all opioid-related overdose deaths are unintentional in any given year</w:t>
      </w:r>
      <w:r w:rsidR="001648DC">
        <w:t>.</w:t>
      </w:r>
      <w:r w:rsidR="001648DC">
        <w:rPr>
          <w:rStyle w:val="FootnoteReference"/>
        </w:rPr>
        <w:footnoteReference w:id="12"/>
      </w:r>
      <w:r w:rsidRPr="00FF6A92">
        <w:t xml:space="preserve"> In addition, similar to the previous study</w:t>
      </w:r>
      <w:r w:rsidR="001648DC">
        <w:t xml:space="preserve"> published in 2018</w:t>
      </w:r>
      <w:r w:rsidRPr="00FF6A92">
        <w:t>, this study lacked individual data on work-related factor</w:t>
      </w:r>
      <w:r>
        <w:t>s</w:t>
      </w:r>
      <w:r w:rsidR="00BA142D">
        <w:t>, such</w:t>
      </w:r>
      <w:r>
        <w:t xml:space="preserve"> as the</w:t>
      </w:r>
      <w:r w:rsidR="00C019C5">
        <w:t xml:space="preserve"> incidence of work injury and</w:t>
      </w:r>
      <w:r>
        <w:t xml:space="preserve"> </w:t>
      </w:r>
      <w:r w:rsidRPr="00FF6A92">
        <w:t>availability of paid sick leave,</w:t>
      </w:r>
      <w:r w:rsidR="00C019C5">
        <w:t xml:space="preserve"> both</w:t>
      </w:r>
      <w:r w:rsidRPr="00FF6A92">
        <w:t xml:space="preserve"> found to be associated with </w:t>
      </w:r>
      <w:r w:rsidRPr="00FF6A92">
        <w:lastRenderedPageBreak/>
        <w:t>rates of fatal opioid overdose</w:t>
      </w:r>
      <w:r w:rsidR="00BA142D">
        <w:t>. Therefore</w:t>
      </w:r>
      <w:r w:rsidR="001D3D93">
        <w:t>,</w:t>
      </w:r>
      <w:r w:rsidRPr="00FF6A92">
        <w:t xml:space="preserve"> we cannot draw conclusions about causal links between th</w:t>
      </w:r>
      <w:r>
        <w:t>ese</w:t>
      </w:r>
      <w:r w:rsidRPr="00FF6A92">
        <w:t xml:space="preserve"> factor</w:t>
      </w:r>
      <w:r>
        <w:t>s</w:t>
      </w:r>
      <w:r w:rsidRPr="00FF6A92">
        <w:t xml:space="preserve"> and OROD</w:t>
      </w:r>
      <w:r w:rsidR="00EB0618">
        <w:t>s</w:t>
      </w:r>
      <w:r w:rsidRPr="00FF6A92">
        <w:t>. Finally, decedents in this study may have had a baseline</w:t>
      </w:r>
      <w:r>
        <w:t>/background</w:t>
      </w:r>
      <w:r w:rsidRPr="00FF6A92">
        <w:t xml:space="preserve"> rate or prevalence of drug use that independently contributed to their risk of OROD. </w:t>
      </w:r>
    </w:p>
    <w:p w14:paraId="04D6A7C2" w14:textId="77777777" w:rsidR="009832EC" w:rsidRDefault="009832EC" w:rsidP="00BD5724">
      <w:pPr>
        <w:shd w:val="clear" w:color="auto" w:fill="FFFFFF"/>
        <w:spacing w:after="120" w:line="276" w:lineRule="auto"/>
        <w:jc w:val="left"/>
        <w:rPr>
          <w:rFonts w:eastAsia="Times New Roman"/>
          <w:b/>
          <w:bCs/>
          <w:i/>
          <w:color w:val="1F497D"/>
        </w:rPr>
      </w:pPr>
    </w:p>
    <w:p w14:paraId="0E50219C" w14:textId="06A50C54" w:rsidR="005C3BE0" w:rsidRPr="005A751E" w:rsidRDefault="005C3BE0" w:rsidP="00BD5724">
      <w:pPr>
        <w:shd w:val="clear" w:color="auto" w:fill="FFFFFF"/>
        <w:spacing w:after="120" w:line="276" w:lineRule="auto"/>
        <w:jc w:val="left"/>
        <w:rPr>
          <w:b/>
          <w:bCs/>
          <w:color w:val="1F497D"/>
        </w:rPr>
      </w:pPr>
      <w:r w:rsidRPr="005A751E">
        <w:rPr>
          <w:rFonts w:eastAsia="Times New Roman"/>
          <w:b/>
          <w:bCs/>
          <w:i/>
          <w:color w:val="1F497D"/>
        </w:rPr>
        <w:t>Ongoing Prevention Efforts to Support Workers</w:t>
      </w:r>
    </w:p>
    <w:p w14:paraId="3326192B" w14:textId="4D74C3C6" w:rsidR="00BD5724" w:rsidRDefault="00BD5724" w:rsidP="00BD5724">
      <w:pPr>
        <w:shd w:val="clear" w:color="auto" w:fill="FFFFFF"/>
        <w:spacing w:after="120" w:line="276" w:lineRule="auto"/>
        <w:jc w:val="left"/>
        <w:rPr>
          <w:color w:val="141414"/>
        </w:rPr>
      </w:pPr>
      <w:r>
        <w:rPr>
          <w:color w:val="141414"/>
        </w:rPr>
        <w:t>Across the state, there are prevention initiatives and activities that are designed for workers and address the complex associations between work and opioid use. As this report has underscored how workplace injuries and their related health sequela, the demands of work, etc., can lead to problematic use of opioids, having safe work in a steady job can also be a protective factor for workers in Massachusetts, vital to both the prevention of opioid use initiation and the recovery from opioid dependence</w:t>
      </w:r>
      <w:r w:rsidR="00182F60">
        <w:rPr>
          <w:color w:val="141414"/>
        </w:rPr>
        <w:t>.</w:t>
      </w:r>
      <w:r w:rsidR="0032062F">
        <w:rPr>
          <w:color w:val="141414"/>
          <w:vertAlign w:val="superscript"/>
        </w:rPr>
        <w:t>31</w:t>
      </w:r>
      <w:r>
        <w:rPr>
          <w:color w:val="141414"/>
        </w:rPr>
        <w:t xml:space="preserve"> </w:t>
      </w:r>
    </w:p>
    <w:p w14:paraId="57A042A3" w14:textId="607B4BCD" w:rsidR="005A1F00" w:rsidRDefault="00BD5724" w:rsidP="00BD5724">
      <w:pPr>
        <w:shd w:val="clear" w:color="auto" w:fill="FFFFFF"/>
        <w:spacing w:after="120" w:line="276" w:lineRule="auto"/>
        <w:jc w:val="left"/>
      </w:pPr>
      <w:r>
        <w:rPr>
          <w:color w:val="141414"/>
        </w:rPr>
        <w:t xml:space="preserve">Training efforts in local communities and unions have advanced awareness </w:t>
      </w:r>
      <w:r w:rsidR="00C101D2">
        <w:rPr>
          <w:color w:val="141414"/>
        </w:rPr>
        <w:t>of the connections between opioid use and work</w:t>
      </w:r>
      <w:r>
        <w:rPr>
          <w:color w:val="141414"/>
        </w:rPr>
        <w:t xml:space="preserve">. </w:t>
      </w:r>
      <w:r w:rsidR="007372E8">
        <w:rPr>
          <w:color w:val="141414"/>
        </w:rPr>
        <w:t>For example, b</w:t>
      </w:r>
      <w:r>
        <w:rPr>
          <w:color w:val="141414"/>
        </w:rPr>
        <w:t xml:space="preserve">oth the Mystic Valley Public Health Coalition and the Barnstable County Substance Abuse Prevention Council have sponsored educational trainings and other activities such </w:t>
      </w:r>
      <w:r w:rsidR="007372E8">
        <w:rPr>
          <w:color w:val="141414"/>
        </w:rPr>
        <w:t xml:space="preserve">as </w:t>
      </w:r>
      <w:r>
        <w:rPr>
          <w:color w:val="141414"/>
        </w:rPr>
        <w:t xml:space="preserve">public service announcement campaigns and focus groups for worker groups most affected in their communities – those employed in the building trades and other manual labor jobs and young people entering the job market </w:t>
      </w:r>
      <w:r w:rsidR="00BA142D">
        <w:rPr>
          <w:color w:val="141414"/>
        </w:rPr>
        <w:t xml:space="preserve">directly </w:t>
      </w:r>
      <w:r>
        <w:rPr>
          <w:color w:val="141414"/>
        </w:rPr>
        <w:t xml:space="preserve">from high school. </w:t>
      </w:r>
      <w:r w:rsidRPr="00FF6A92">
        <w:t xml:space="preserve">MDPH has also been involved in </w:t>
      </w:r>
      <w:r>
        <w:t>similar</w:t>
      </w:r>
      <w:r w:rsidRPr="00FF6A92">
        <w:t xml:space="preserve"> efforts, providing funding to the Center for the Promotion of Health in the New England Workplace</w:t>
      </w:r>
      <w:r>
        <w:t xml:space="preserve"> (CPH-NEW)</w:t>
      </w:r>
      <w:r w:rsidRPr="00FF6A92">
        <w:t xml:space="preserve"> at UMass Lowell and to the Massachusetts </w:t>
      </w:r>
      <w:r w:rsidRPr="00402CD2">
        <w:t>Coalition</w:t>
      </w:r>
      <w:r w:rsidRPr="00FF6A92">
        <w:t xml:space="preserve"> for Occupational Safety and Health (</w:t>
      </w:r>
      <w:proofErr w:type="spellStart"/>
      <w:r w:rsidRPr="00FF6A92">
        <w:t>MassCOSH</w:t>
      </w:r>
      <w:proofErr w:type="spellEnd"/>
      <w:r w:rsidRPr="00FF6A92">
        <w:t>) to</w:t>
      </w:r>
      <w:r w:rsidR="00E9100F">
        <w:t xml:space="preserve"> work with union peer leaders to</w:t>
      </w:r>
      <w:r w:rsidRPr="00FF6A92">
        <w:t xml:space="preserve"> develop</w:t>
      </w:r>
      <w:r>
        <w:t xml:space="preserve"> and pilot</w:t>
      </w:r>
      <w:r w:rsidR="00E9100F">
        <w:t xml:space="preserve"> job-specific</w:t>
      </w:r>
      <w:r w:rsidRPr="00FF6A92">
        <w:t xml:space="preserve"> opioid awareness</w:t>
      </w:r>
      <w:r>
        <w:t xml:space="preserve"> trainings</w:t>
      </w:r>
      <w:r w:rsidR="00E9100F">
        <w:t>.</w:t>
      </w:r>
      <w:r w:rsidRPr="00FF6A92">
        <w:t xml:space="preserve"> </w:t>
      </w:r>
      <w:r w:rsidR="00E9100F">
        <w:t xml:space="preserve">The </w:t>
      </w:r>
      <w:r>
        <w:t>three union groups</w:t>
      </w:r>
      <w:r w:rsidR="00E9100F">
        <w:t xml:space="preserve"> involved were</w:t>
      </w:r>
      <w:r w:rsidR="00D57972">
        <w:t>:</w:t>
      </w:r>
      <w:r w:rsidR="00600302">
        <w:t xml:space="preserve"> </w:t>
      </w:r>
      <w:r>
        <w:t>Teamsters Local 25, Ironworkers Local 7, and the Massachusetts Nurses Association</w:t>
      </w:r>
      <w:r w:rsidR="00BA142D">
        <w:t>.</w:t>
      </w:r>
      <w:r w:rsidR="0032062F">
        <w:rPr>
          <w:vertAlign w:val="superscript"/>
        </w:rPr>
        <w:t>32</w:t>
      </w:r>
      <w:r>
        <w:t xml:space="preserve"> </w:t>
      </w:r>
    </w:p>
    <w:p w14:paraId="3085AF3F" w14:textId="7EDE228B" w:rsidR="009666D3" w:rsidRDefault="00BD5724" w:rsidP="009666D3">
      <w:pPr>
        <w:shd w:val="clear" w:color="auto" w:fill="FFFFFF"/>
        <w:spacing w:after="120" w:line="276" w:lineRule="auto"/>
        <w:jc w:val="left"/>
      </w:pPr>
      <w:r>
        <w:t>In addition to learning about the effects of opioids and alternative treatments for pain, union members were reminded of their workplace rights and benefits under the law</w:t>
      </w:r>
      <w:r w:rsidR="004D4BC3">
        <w:t xml:space="preserve"> </w:t>
      </w:r>
      <w:r>
        <w:t xml:space="preserve">and were given strategies to advocate for themselves before an injury occurs and </w:t>
      </w:r>
      <w:r w:rsidR="004A5800">
        <w:t xml:space="preserve">in </w:t>
      </w:r>
      <w:r>
        <w:t xml:space="preserve">navigating a safe return to work. They also learned how to navigate the stigma associated with accessing addiction treatment services. These educational trainings all laid the groundwork for </w:t>
      </w:r>
      <w:r w:rsidR="009666D3">
        <w:t xml:space="preserve">current </w:t>
      </w:r>
      <w:r>
        <w:t xml:space="preserve">MDPH-funded </w:t>
      </w:r>
      <w:r w:rsidR="009666D3">
        <w:t xml:space="preserve">work that involves the </w:t>
      </w:r>
      <w:r>
        <w:t xml:space="preserve">development and implementation of new trainings that focus on both union and non-unionized workers in ‘high-risk’ industries. </w:t>
      </w:r>
      <w:r w:rsidR="009666D3">
        <w:t>This work, conducted with Health Resources in Action (</w:t>
      </w:r>
      <w:proofErr w:type="spellStart"/>
      <w:r w:rsidR="009666D3">
        <w:t>HRiA</w:t>
      </w:r>
      <w:proofErr w:type="spellEnd"/>
      <w:r w:rsidR="009666D3">
        <w:t xml:space="preserve">), </w:t>
      </w:r>
      <w:r w:rsidR="0003056E">
        <w:t>will produce</w:t>
      </w:r>
      <w:r w:rsidR="009666D3">
        <w:t xml:space="preserve"> general opioid awareness trainings for employers and employees.  </w:t>
      </w:r>
      <w:r w:rsidR="009666D3">
        <w:rPr>
          <w:rFonts w:eastAsia="Times New Roman"/>
          <w:color w:val="000000"/>
        </w:rPr>
        <w:t>Although Massachusetts workers are the focus of these efforts to prevent or reduce opioid use, the engagement of employers is vital to make the workplace serve as a supportive environment that promotes early intervention and recovery.</w:t>
      </w:r>
      <w:r w:rsidR="009666D3" w:rsidRPr="003C0969">
        <w:rPr>
          <w:rFonts w:eastAsia="Times New Roman"/>
          <w:color w:val="000000"/>
          <w:vertAlign w:val="superscript"/>
        </w:rPr>
        <w:t>19</w:t>
      </w:r>
      <w:r w:rsidR="009666D3">
        <w:rPr>
          <w:rFonts w:eastAsia="Times New Roman"/>
          <w:color w:val="000000"/>
        </w:rPr>
        <w:t xml:space="preserve"> Thus, the work with </w:t>
      </w:r>
      <w:proofErr w:type="spellStart"/>
      <w:r w:rsidR="009666D3">
        <w:rPr>
          <w:rFonts w:eastAsia="Times New Roman"/>
          <w:color w:val="000000"/>
        </w:rPr>
        <w:t>HRiA</w:t>
      </w:r>
      <w:proofErr w:type="spellEnd"/>
      <w:r w:rsidR="009666D3">
        <w:rPr>
          <w:rFonts w:eastAsia="Times New Roman"/>
          <w:color w:val="000000"/>
        </w:rPr>
        <w:t xml:space="preserve"> to develop and pilot employer-focused online training modules will empower Massachusetts employers to implement policies and practices that build capacity for ‘upstream’ prevention among their employees with initiatives such as: 1) stronger health and safety measures that can prevent injury at the worksite; 2) compassionate drug free workplace policies; 3) stay at work/return to work accommodations; 4) improved employee benefits (e.g., access to health insurance options that cover alternative pain treatments; and, 5) organizational supports for their employees’ treatment for and recovery from substance use/opioid dependency. These trainings and</w:t>
      </w:r>
      <w:r w:rsidR="009666D3">
        <w:t xml:space="preserve"> an accompanying website with related resources (currently in progress)</w:t>
      </w:r>
      <w:r w:rsidR="00B80E64">
        <w:t xml:space="preserve"> </w:t>
      </w:r>
      <w:r w:rsidR="00233682">
        <w:t>have a</w:t>
      </w:r>
      <w:r w:rsidR="009666D3">
        <w:t xml:space="preserve"> planned launch date in early 2022. There will also be a series of related outreach and dissemination activities associated with the website launch. </w:t>
      </w:r>
    </w:p>
    <w:p w14:paraId="5E88C709" w14:textId="2D8C4DA1" w:rsidR="00BD5724" w:rsidRDefault="00BD5724" w:rsidP="00BD5724">
      <w:pPr>
        <w:shd w:val="clear" w:color="auto" w:fill="FFFFFF"/>
        <w:spacing w:after="120" w:line="276" w:lineRule="auto"/>
        <w:jc w:val="left"/>
      </w:pPr>
      <w:r w:rsidRPr="00FF6A92">
        <w:t xml:space="preserve">While the </w:t>
      </w:r>
      <w:r>
        <w:t>C</w:t>
      </w:r>
      <w:r w:rsidRPr="00FF6A92">
        <w:t xml:space="preserve">onstruction </w:t>
      </w:r>
      <w:r>
        <w:t>and</w:t>
      </w:r>
      <w:r w:rsidRPr="00FF6A92">
        <w:t xml:space="preserve"> </w:t>
      </w:r>
      <w:r w:rsidR="003236AE">
        <w:t>E</w:t>
      </w:r>
      <w:r w:rsidRPr="00FF6A92">
        <w:t>xtraction occupation</w:t>
      </w:r>
      <w:r>
        <w:t>s</w:t>
      </w:r>
      <w:r w:rsidRPr="00FF6A92">
        <w:t xml:space="preserve"> group experienced OROD risks higher than most other occupation groups each year over the period 2011-2017, the rate</w:t>
      </w:r>
      <w:r>
        <w:t xml:space="preserve"> for this occupation group</w:t>
      </w:r>
      <w:r w:rsidRPr="00FF6A92">
        <w:t xml:space="preserve"> increased only 5% from 2015 to 2016 and appears to </w:t>
      </w:r>
      <w:r w:rsidR="007372E8">
        <w:t>have</w:t>
      </w:r>
      <w:r w:rsidRPr="00FF6A92">
        <w:t xml:space="preserve"> level</w:t>
      </w:r>
      <w:r w:rsidR="007372E8">
        <w:t>ed</w:t>
      </w:r>
      <w:r w:rsidR="004D4BC3">
        <w:t xml:space="preserve"> </w:t>
      </w:r>
      <w:r w:rsidRPr="00FF6A92">
        <w:t xml:space="preserve">off in 2017. Statewide and locally in </w:t>
      </w:r>
      <w:r>
        <w:t>Massachusetts</w:t>
      </w:r>
      <w:r w:rsidRPr="00FF6A92">
        <w:t xml:space="preserve">, </w:t>
      </w:r>
      <w:r>
        <w:t xml:space="preserve">union </w:t>
      </w:r>
      <w:r w:rsidRPr="00FF6A92">
        <w:t xml:space="preserve">stakeholder groups such as the </w:t>
      </w:r>
      <w:r w:rsidRPr="00402CD2">
        <w:t>Massachusetts</w:t>
      </w:r>
      <w:r w:rsidRPr="00FF6A92">
        <w:t xml:space="preserve"> Building Trades Council have focused on construction </w:t>
      </w:r>
      <w:r>
        <w:lastRenderedPageBreak/>
        <w:t xml:space="preserve">workers </w:t>
      </w:r>
      <w:r w:rsidRPr="00FF6A92">
        <w:t>for</w:t>
      </w:r>
      <w:r>
        <w:t xml:space="preserve"> </w:t>
      </w:r>
      <w:r w:rsidRPr="00FF6A92">
        <w:t xml:space="preserve">outreach and prevention efforts with the goal of educating </w:t>
      </w:r>
      <w:r w:rsidR="004A5800">
        <w:t>workers</w:t>
      </w:r>
      <w:r w:rsidR="004A5800" w:rsidRPr="00FF6A92">
        <w:t xml:space="preserve"> </w:t>
      </w:r>
      <w:r w:rsidRPr="00FF6A92">
        <w:t xml:space="preserve">about the risks of opioids as painkillers, non-stigmatizing accommodations for a safe return to work after injury, and available prevention, treatment, and recovery supports. Fishing workers in </w:t>
      </w:r>
      <w:r w:rsidRPr="00402CD2">
        <w:t>Massachusetts</w:t>
      </w:r>
      <w:r w:rsidRPr="00FF6A92">
        <w:t xml:space="preserve"> are another group </w:t>
      </w:r>
      <w:r>
        <w:t>that has</w:t>
      </w:r>
      <w:r w:rsidRPr="00FF6A92">
        <w:t xml:space="preserve"> experienced increasing rates of OROD in recent years, and are subject to many of the same workplace factors as construction workers – physically exhausting, repetitive, intermittent work</w:t>
      </w:r>
      <w:r w:rsidR="004A5800">
        <w:t>,</w:t>
      </w:r>
      <w:r w:rsidRPr="00FF6A92">
        <w:t xml:space="preserve"> with the added unpredictable time at sea</w:t>
      </w:r>
      <w:r w:rsidR="009666D3">
        <w:t xml:space="preserve"> (e.g. irregular days/hours at sea, for durations of time that can be unpredictable)</w:t>
      </w:r>
      <w:r w:rsidR="00182F60">
        <w:t>.</w:t>
      </w:r>
      <w:r w:rsidR="006E595B">
        <w:rPr>
          <w:vertAlign w:val="superscript"/>
        </w:rPr>
        <w:t>33</w:t>
      </w:r>
      <w:r w:rsidRPr="00FF6A92">
        <w:t xml:space="preserve"> This has led to a New Bedford initiative </w:t>
      </w:r>
      <w:r>
        <w:t>that</w:t>
      </w:r>
      <w:r w:rsidRPr="00FF6A92">
        <w:t xml:space="preserve"> tailor</w:t>
      </w:r>
      <w:r>
        <w:t>s</w:t>
      </w:r>
      <w:r w:rsidRPr="00FF6A92">
        <w:t xml:space="preserve"> substance use training to the needs and schedules of </w:t>
      </w:r>
      <w:r w:rsidR="004A5800">
        <w:t>fishers</w:t>
      </w:r>
      <w:r w:rsidR="004A5800" w:rsidRPr="00FF6A92">
        <w:t xml:space="preserve"> </w:t>
      </w:r>
      <w:r w:rsidRPr="00FF6A92">
        <w:t>and to the Fishing Partnership</w:t>
      </w:r>
      <w:r w:rsidR="009666D3">
        <w:t>’s</w:t>
      </w:r>
      <w:r w:rsidRPr="00FF6A92">
        <w:t xml:space="preserve"> </w:t>
      </w:r>
      <w:r w:rsidR="009666D3">
        <w:t>s</w:t>
      </w:r>
      <w:r w:rsidRPr="00FF6A92">
        <w:t xml:space="preserve">upport </w:t>
      </w:r>
      <w:r w:rsidR="009666D3">
        <w:t>s</w:t>
      </w:r>
      <w:r w:rsidRPr="00FF6A92">
        <w:t>ervices</w:t>
      </w:r>
      <w:r>
        <w:t>’</w:t>
      </w:r>
      <w:r w:rsidRPr="00FF6A92">
        <w:t xml:space="preserve"> </w:t>
      </w:r>
      <w:r>
        <w:t>inclusion of</w:t>
      </w:r>
      <w:r w:rsidRPr="00FF6A92">
        <w:t xml:space="preserve"> opioid awareness and naloxone administration in all safety trainings offered to </w:t>
      </w:r>
      <w:r w:rsidR="004A5800">
        <w:t>fishers</w:t>
      </w:r>
      <w:r w:rsidRPr="00182F60">
        <w:t>.</w:t>
      </w:r>
      <w:r w:rsidR="006E595B">
        <w:rPr>
          <w:vertAlign w:val="superscript"/>
        </w:rPr>
        <w:t>34</w:t>
      </w:r>
      <w:r w:rsidRPr="00FF6A92">
        <w:t xml:space="preserve"> </w:t>
      </w:r>
    </w:p>
    <w:p w14:paraId="40489D34" w14:textId="07199FE5" w:rsidR="00BD5724" w:rsidRDefault="00BD5724" w:rsidP="00BD5724">
      <w:pPr>
        <w:shd w:val="clear" w:color="auto" w:fill="FFFFFF"/>
        <w:spacing w:after="120" w:line="276" w:lineRule="auto"/>
        <w:jc w:val="left"/>
      </w:pPr>
      <w:r>
        <w:t>The Commonwealth is also intervening to prevent opioid overdose among workers in other novel ways. The agency that oversees the state’s workers’ compensation system, the Massachusetts Department of Industrial Accidents (DIA), has instituted a relatively new program called the Opioid Alternative Treatment Pathway (OATP). Injured workers who have been prescribed opioids for pain and are facing a lengthy litigation process with insurers can voluntarily enter the OATP</w:t>
      </w:r>
      <w:r w:rsidR="00182F60">
        <w:t>.</w:t>
      </w:r>
      <w:r w:rsidR="006E595B">
        <w:rPr>
          <w:vertAlign w:val="superscript"/>
        </w:rPr>
        <w:t>35</w:t>
      </w:r>
      <w:r>
        <w:t xml:space="preserve"> Through the OATP, these workers gain immediate access to care coordinators who work with them</w:t>
      </w:r>
      <w:r w:rsidR="003F2A73">
        <w:t xml:space="preserve"> and their medical providers</w:t>
      </w:r>
      <w:r>
        <w:t xml:space="preserve"> to safely taper</w:t>
      </w:r>
      <w:r w:rsidR="006479EB">
        <w:t>/</w:t>
      </w:r>
      <w:r w:rsidR="004A5E66">
        <w:t>reduce</w:t>
      </w:r>
      <w:r>
        <w:t xml:space="preserve"> their use of opioids and to use alternative pain management strategies</w:t>
      </w:r>
      <w:r w:rsidR="004A5800">
        <w:t>,</w:t>
      </w:r>
      <w:r>
        <w:t xml:space="preserve"> with a goal of helping them regain functionality</w:t>
      </w:r>
      <w:r w:rsidR="004A5E66">
        <w:t xml:space="preserve"> for an improved quality of life</w:t>
      </w:r>
      <w:r w:rsidR="004A5800">
        <w:t>,</w:t>
      </w:r>
      <w:r>
        <w:t xml:space="preserve"> </w:t>
      </w:r>
      <w:r w:rsidR="004A5E66">
        <w:t xml:space="preserve">or </w:t>
      </w:r>
      <w:r w:rsidR="00B05956">
        <w:t>a</w:t>
      </w:r>
      <w:r>
        <w:t xml:space="preserve"> return to work. </w:t>
      </w:r>
      <w:r w:rsidR="004A5800">
        <w:t>Additionally</w:t>
      </w:r>
      <w:r>
        <w:t xml:space="preserve">, the Fatality Assessment and Control Evaluation (FACE) Project at </w:t>
      </w:r>
      <w:r w:rsidR="00B001E3">
        <w:t>M</w:t>
      </w:r>
      <w:r>
        <w:t>DPH</w:t>
      </w:r>
      <w:r w:rsidR="00E9100F">
        <w:t xml:space="preserve"> has </w:t>
      </w:r>
      <w:r>
        <w:t>draft</w:t>
      </w:r>
      <w:r w:rsidR="00E9100F">
        <w:t>ed</w:t>
      </w:r>
      <w:r>
        <w:t xml:space="preserve"> a protocol for onsite investigation of worksites where a fatal overdose has occurred. Th</w:t>
      </w:r>
      <w:r w:rsidR="00E9100F">
        <w:t>is</w:t>
      </w:r>
      <w:r>
        <w:t xml:space="preserve"> FACE</w:t>
      </w:r>
      <w:r w:rsidR="00E9100F">
        <w:t xml:space="preserve"> protocol</w:t>
      </w:r>
      <w:r w:rsidR="009666D3">
        <w:t xml:space="preserve"> </w:t>
      </w:r>
      <w:r w:rsidR="00E9100F">
        <w:t>will</w:t>
      </w:r>
      <w:r>
        <w:t xml:space="preserve"> allow for the identification of factors that precede or happen during the emergency response at the worksite</w:t>
      </w:r>
      <w:r w:rsidR="00A26A1F">
        <w:t>;</w:t>
      </w:r>
      <w:r w:rsidR="00242202">
        <w:t xml:space="preserve"> </w:t>
      </w:r>
      <w:r>
        <w:t>information</w:t>
      </w:r>
      <w:r w:rsidRPr="00FF6A92">
        <w:t xml:space="preserve"> obtained will help guide</w:t>
      </w:r>
      <w:r>
        <w:t xml:space="preserve"> the</w:t>
      </w:r>
      <w:r w:rsidRPr="00FF6A92">
        <w:t xml:space="preserve"> development of</w:t>
      </w:r>
      <w:r>
        <w:t xml:space="preserve"> comprehensive</w:t>
      </w:r>
      <w:r w:rsidRPr="00FF6A92">
        <w:t xml:space="preserve"> recommendations </w:t>
      </w:r>
      <w:r>
        <w:t>for employers to prevent similar deaths and provide organizational supports for their employees.</w:t>
      </w:r>
      <w:r w:rsidR="009666D3">
        <w:t xml:space="preserve"> Plans are underway to begin to pilot the protocol in 2022. </w:t>
      </w:r>
    </w:p>
    <w:p w14:paraId="3CC3B42D" w14:textId="7AC8CE75" w:rsidR="00BD5724" w:rsidRPr="00FF6A92" w:rsidRDefault="00EE0433" w:rsidP="00BD5724">
      <w:pPr>
        <w:shd w:val="clear" w:color="auto" w:fill="FFFFFF"/>
        <w:spacing w:after="120" w:line="276" w:lineRule="auto"/>
        <w:jc w:val="left"/>
        <w:rPr>
          <w:rFonts w:eastAsia="Times New Roman"/>
          <w:color w:val="212121"/>
        </w:rPr>
      </w:pPr>
      <w:r>
        <w:rPr>
          <w:rFonts w:eastAsia="Times New Roman"/>
          <w:color w:val="000000"/>
        </w:rPr>
        <w:t>At a</w:t>
      </w:r>
      <w:r w:rsidR="00912D77">
        <w:rPr>
          <w:rFonts w:eastAsia="Times New Roman"/>
          <w:color w:val="000000"/>
        </w:rPr>
        <w:t xml:space="preserve"> community</w:t>
      </w:r>
      <w:r>
        <w:rPr>
          <w:rFonts w:eastAsia="Times New Roman"/>
          <w:color w:val="000000"/>
        </w:rPr>
        <w:t xml:space="preserve"> level,</w:t>
      </w:r>
      <w:r w:rsidR="00912D77">
        <w:rPr>
          <w:rFonts w:eastAsia="Times New Roman"/>
          <w:color w:val="000000"/>
        </w:rPr>
        <w:t xml:space="preserve"> </w:t>
      </w:r>
      <w:r w:rsidR="00B001E3">
        <w:rPr>
          <w:rFonts w:eastAsia="Times New Roman"/>
          <w:color w:val="000000"/>
        </w:rPr>
        <w:t>M</w:t>
      </w:r>
      <w:r w:rsidR="000373E0">
        <w:rPr>
          <w:rFonts w:eastAsia="Times New Roman"/>
          <w:color w:val="000000"/>
        </w:rPr>
        <w:t xml:space="preserve">DPH-funded </w:t>
      </w:r>
      <w:r w:rsidR="007372E8">
        <w:rPr>
          <w:rFonts w:eastAsia="Times New Roman"/>
          <w:color w:val="000000"/>
        </w:rPr>
        <w:t>prevention initiatives</w:t>
      </w:r>
      <w:r w:rsidR="003E6758">
        <w:rPr>
          <w:rFonts w:eastAsia="Times New Roman"/>
          <w:color w:val="000000"/>
        </w:rPr>
        <w:t xml:space="preserve">, such as Hampshire HOPE, has been </w:t>
      </w:r>
      <w:r w:rsidR="00BF68C3">
        <w:rPr>
          <w:rFonts w:eastAsia="Times New Roman"/>
          <w:color w:val="000000"/>
        </w:rPr>
        <w:t xml:space="preserve">working </w:t>
      </w:r>
      <w:r w:rsidR="00316CE9">
        <w:rPr>
          <w:rFonts w:eastAsia="Times New Roman"/>
          <w:color w:val="000000"/>
        </w:rPr>
        <w:t>to educate local employers about opioids and the workplace</w:t>
      </w:r>
      <w:r w:rsidR="003E6758">
        <w:rPr>
          <w:rFonts w:eastAsia="Times New Roman"/>
          <w:color w:val="000000"/>
        </w:rPr>
        <w:t xml:space="preserve">.  This work involves </w:t>
      </w:r>
      <w:r w:rsidR="00316CE9">
        <w:rPr>
          <w:rFonts w:eastAsia="Times New Roman"/>
          <w:color w:val="000000"/>
        </w:rPr>
        <w:t>developing a toolkit for employers to support a recovery-friendly workplace.</w:t>
      </w:r>
      <w:r w:rsidR="00BD5724">
        <w:rPr>
          <w:rFonts w:eastAsia="Times New Roman"/>
          <w:color w:val="000000"/>
        </w:rPr>
        <w:t xml:space="preserve"> </w:t>
      </w:r>
    </w:p>
    <w:p w14:paraId="17225C77" w14:textId="77777777" w:rsidR="00140770" w:rsidRDefault="00140770" w:rsidP="00BD5724">
      <w:pPr>
        <w:spacing w:after="120" w:line="276" w:lineRule="auto"/>
        <w:jc w:val="left"/>
        <w:rPr>
          <w:b/>
          <w:bCs/>
          <w:i/>
          <w:color w:val="1F497D"/>
        </w:rPr>
      </w:pPr>
    </w:p>
    <w:p w14:paraId="3AE3E57C" w14:textId="7D17DA65" w:rsidR="00BD5724" w:rsidRPr="00140770" w:rsidRDefault="00BD5724" w:rsidP="00BD5724">
      <w:pPr>
        <w:spacing w:after="120" w:line="276" w:lineRule="auto"/>
        <w:jc w:val="left"/>
        <w:rPr>
          <w:b/>
          <w:bCs/>
          <w:iCs/>
          <w:color w:val="1F497D"/>
        </w:rPr>
      </w:pPr>
      <w:r w:rsidRPr="00140770">
        <w:rPr>
          <w:b/>
          <w:bCs/>
          <w:iCs/>
          <w:color w:val="1F497D"/>
        </w:rPr>
        <w:t>Conclusion</w:t>
      </w:r>
    </w:p>
    <w:p w14:paraId="767DA9B0" w14:textId="569FF642" w:rsidR="005A1F00" w:rsidRDefault="00BD5724" w:rsidP="003C0969">
      <w:pPr>
        <w:spacing w:after="120" w:line="276" w:lineRule="auto"/>
        <w:jc w:val="left"/>
      </w:pPr>
      <w:r>
        <w:t xml:space="preserve">The findings in this report provide evidence of a heightened </w:t>
      </w:r>
      <w:r w:rsidR="00A26A1F">
        <w:t>‘</w:t>
      </w:r>
      <w:r>
        <w:t>risk’ of ORODs among Massachusetts working residents in recent years</w:t>
      </w:r>
      <w:r w:rsidR="00A26A1F">
        <w:t xml:space="preserve">; this </w:t>
      </w:r>
      <w:r>
        <w:t>burden is felt more acutely among workers in physically demanding and strenuous jobs. These findings also underscore the need for educational and policy interventions that engage not only the workers employed in ‘high risk’ industries and occupations</w:t>
      </w:r>
      <w:r w:rsidR="00A26A1F">
        <w:t>,</w:t>
      </w:r>
      <w:r>
        <w:t xml:space="preserve"> but the companies that employ them. Opioid-related overdose deaths are just the tip of the iceberg; more information is needed to understand the burden of other opioid-related morbidities among workers in Massachusetts, including non-fatal overdose</w:t>
      </w:r>
      <w:r w:rsidR="003C0969">
        <w:t xml:space="preserve"> and opioid use disorder</w:t>
      </w:r>
      <w:r>
        <w:t xml:space="preserve">. </w:t>
      </w:r>
    </w:p>
    <w:p w14:paraId="2A190CA2" w14:textId="39EE5FE8" w:rsidR="00140770" w:rsidRDefault="00140770" w:rsidP="005A1F00">
      <w:pPr>
        <w:spacing w:after="120" w:line="276" w:lineRule="auto"/>
        <w:jc w:val="left"/>
        <w:rPr>
          <w:b/>
          <w:iCs/>
          <w:color w:val="1F497D" w:themeColor="text2"/>
        </w:rPr>
      </w:pPr>
    </w:p>
    <w:p w14:paraId="08E21FBD" w14:textId="65E8465D" w:rsidR="009832EC" w:rsidRDefault="009832EC" w:rsidP="005A1F00">
      <w:pPr>
        <w:spacing w:after="120" w:line="276" w:lineRule="auto"/>
        <w:jc w:val="left"/>
        <w:rPr>
          <w:b/>
          <w:iCs/>
          <w:color w:val="1F497D" w:themeColor="text2"/>
        </w:rPr>
      </w:pPr>
    </w:p>
    <w:p w14:paraId="1AE03A2D" w14:textId="27248267" w:rsidR="009832EC" w:rsidRDefault="009832EC" w:rsidP="005A1F00">
      <w:pPr>
        <w:spacing w:after="120" w:line="276" w:lineRule="auto"/>
        <w:jc w:val="left"/>
        <w:rPr>
          <w:b/>
          <w:iCs/>
          <w:color w:val="1F497D" w:themeColor="text2"/>
        </w:rPr>
      </w:pPr>
    </w:p>
    <w:p w14:paraId="3EAB69C8" w14:textId="5105F89E" w:rsidR="009832EC" w:rsidRDefault="009832EC" w:rsidP="005A1F00">
      <w:pPr>
        <w:spacing w:after="120" w:line="276" w:lineRule="auto"/>
        <w:jc w:val="left"/>
        <w:rPr>
          <w:b/>
          <w:iCs/>
          <w:color w:val="1F497D" w:themeColor="text2"/>
        </w:rPr>
      </w:pPr>
    </w:p>
    <w:p w14:paraId="6D1FB2DE" w14:textId="741DD6F2" w:rsidR="009832EC" w:rsidRDefault="009832EC" w:rsidP="005A1F00">
      <w:pPr>
        <w:spacing w:after="120" w:line="276" w:lineRule="auto"/>
        <w:jc w:val="left"/>
        <w:rPr>
          <w:b/>
          <w:iCs/>
          <w:color w:val="1F497D" w:themeColor="text2"/>
        </w:rPr>
      </w:pPr>
    </w:p>
    <w:p w14:paraId="37CBFC1F" w14:textId="279414FE" w:rsidR="009832EC" w:rsidRDefault="009832EC" w:rsidP="005A1F00">
      <w:pPr>
        <w:spacing w:after="120" w:line="276" w:lineRule="auto"/>
        <w:jc w:val="left"/>
        <w:rPr>
          <w:b/>
          <w:iCs/>
          <w:color w:val="1F497D" w:themeColor="text2"/>
        </w:rPr>
      </w:pPr>
    </w:p>
    <w:p w14:paraId="76F6250B" w14:textId="77777777" w:rsidR="009832EC" w:rsidRDefault="009832EC" w:rsidP="005A1F00">
      <w:pPr>
        <w:spacing w:after="120" w:line="276" w:lineRule="auto"/>
        <w:jc w:val="left"/>
        <w:rPr>
          <w:b/>
          <w:iCs/>
          <w:color w:val="1F497D" w:themeColor="text2"/>
        </w:rPr>
      </w:pPr>
    </w:p>
    <w:p w14:paraId="4DE3BB19" w14:textId="1C41F9CE" w:rsidR="005A1F00" w:rsidRDefault="005A1F00" w:rsidP="005A1F00">
      <w:pPr>
        <w:spacing w:after="120" w:line="276" w:lineRule="auto"/>
        <w:jc w:val="left"/>
        <w:rPr>
          <w:b/>
          <w:iCs/>
          <w:color w:val="1F497D" w:themeColor="text2"/>
        </w:rPr>
      </w:pPr>
      <w:r w:rsidRPr="005A1F00">
        <w:rPr>
          <w:b/>
          <w:iCs/>
          <w:color w:val="1F497D" w:themeColor="text2"/>
        </w:rPr>
        <w:lastRenderedPageBreak/>
        <w:t>References</w:t>
      </w:r>
    </w:p>
    <w:p w14:paraId="348D9928" w14:textId="77777777" w:rsidR="005A1F00" w:rsidRPr="00D57B5F" w:rsidRDefault="005A1F00" w:rsidP="005A1F00">
      <w:pPr>
        <w:pStyle w:val="ListParagraph"/>
        <w:numPr>
          <w:ilvl w:val="0"/>
          <w:numId w:val="28"/>
        </w:numPr>
        <w:spacing w:after="160" w:line="259" w:lineRule="auto"/>
        <w:jc w:val="left"/>
        <w:rPr>
          <w:rStyle w:val="Hyperlink"/>
          <w:color w:val="auto"/>
          <w:u w:val="none"/>
        </w:rPr>
      </w:pPr>
      <w:r w:rsidRPr="00D57B5F">
        <w:t xml:space="preserve">Massachusetts Department of Public Health (2019). Data Brief: Opioid-Related Overdose Deaths among Massachusetts Residents. </w:t>
      </w:r>
      <w:hyperlink r:id="rId25" w:history="1">
        <w:r w:rsidRPr="00D57B5F">
          <w:rPr>
            <w:rStyle w:val="Hyperlink"/>
          </w:rPr>
          <w:t>https://www.mass.gov/doc/dph-opioid-related-overdose-deaths-among-ma-residents-may-2019/download</w:t>
        </w:r>
      </w:hyperlink>
    </w:p>
    <w:p w14:paraId="37395CAA" w14:textId="77777777" w:rsidR="005A1F00" w:rsidRPr="00D57B5F" w:rsidRDefault="005A1F00" w:rsidP="005A1F00">
      <w:pPr>
        <w:pStyle w:val="ListParagraph"/>
        <w:numPr>
          <w:ilvl w:val="0"/>
          <w:numId w:val="28"/>
        </w:numPr>
        <w:spacing w:after="160" w:line="259" w:lineRule="auto"/>
        <w:jc w:val="left"/>
      </w:pPr>
      <w:r w:rsidRPr="00D57B5F">
        <w:rPr>
          <w:shd w:val="clear" w:color="auto" w:fill="FFFFFF"/>
        </w:rPr>
        <w:t xml:space="preserve">Scholl L, Seth P, </w:t>
      </w:r>
      <w:proofErr w:type="spellStart"/>
      <w:r w:rsidRPr="00D57B5F">
        <w:rPr>
          <w:shd w:val="clear" w:color="auto" w:fill="FFFFFF"/>
        </w:rPr>
        <w:t>Kariisa</w:t>
      </w:r>
      <w:proofErr w:type="spellEnd"/>
      <w:r w:rsidRPr="00D57B5F">
        <w:rPr>
          <w:shd w:val="clear" w:color="auto" w:fill="FFFFFF"/>
        </w:rPr>
        <w:t xml:space="preserve"> M, Wilson N, Baldwin G. (2019) Drug and opioid-involved overdose deaths – United States, 2013-2017. MMWR </w:t>
      </w:r>
      <w:proofErr w:type="spellStart"/>
      <w:r w:rsidRPr="00D57B5F">
        <w:rPr>
          <w:shd w:val="clear" w:color="auto" w:fill="FFFFFF"/>
        </w:rPr>
        <w:t>Morb</w:t>
      </w:r>
      <w:proofErr w:type="spellEnd"/>
      <w:r w:rsidRPr="00D57B5F">
        <w:rPr>
          <w:shd w:val="clear" w:color="auto" w:fill="FFFFFF"/>
        </w:rPr>
        <w:t xml:space="preserve"> Mortal </w:t>
      </w:r>
      <w:proofErr w:type="spellStart"/>
      <w:r w:rsidRPr="00D57B5F">
        <w:rPr>
          <w:shd w:val="clear" w:color="auto" w:fill="FFFFFF"/>
        </w:rPr>
        <w:t>Wkly</w:t>
      </w:r>
      <w:proofErr w:type="spellEnd"/>
      <w:r w:rsidRPr="00D57B5F">
        <w:rPr>
          <w:shd w:val="clear" w:color="auto" w:fill="FFFFFF"/>
        </w:rPr>
        <w:t xml:space="preserve"> Rep </w:t>
      </w:r>
      <w:proofErr w:type="gramStart"/>
      <w:r w:rsidRPr="00D57B5F">
        <w:rPr>
          <w:shd w:val="clear" w:color="auto" w:fill="FFFFFF"/>
        </w:rPr>
        <w:t>2019;67:1419</w:t>
      </w:r>
      <w:proofErr w:type="gramEnd"/>
      <w:r w:rsidRPr="00D57B5F">
        <w:rPr>
          <w:shd w:val="clear" w:color="auto" w:fill="FFFFFF"/>
        </w:rPr>
        <w:t>-1427.</w:t>
      </w:r>
    </w:p>
    <w:p w14:paraId="2EA4A406" w14:textId="77777777" w:rsidR="005A1F00" w:rsidRDefault="005A1F00" w:rsidP="005A1F00">
      <w:pPr>
        <w:pStyle w:val="ListParagraph"/>
        <w:numPr>
          <w:ilvl w:val="0"/>
          <w:numId w:val="28"/>
        </w:numPr>
        <w:spacing w:after="160" w:line="259" w:lineRule="auto"/>
        <w:jc w:val="left"/>
      </w:pPr>
      <w:r w:rsidRPr="00D57B5F">
        <w:t xml:space="preserve">Massachusetts Department of Public Health (2018). Opioid-related Overdose Deaths in Massachusetts by Industry and Occupation, 2011-2015. </w:t>
      </w:r>
      <w:hyperlink r:id="rId26" w:history="1">
        <w:r w:rsidRPr="007D7AFD">
          <w:rPr>
            <w:rStyle w:val="Hyperlink"/>
          </w:rPr>
          <w:t>https://www.mass.gov/files/documents/2020/03/19/opioid-industry-occupation.pdf</w:t>
        </w:r>
      </w:hyperlink>
    </w:p>
    <w:p w14:paraId="7D3551D8" w14:textId="77777777" w:rsidR="005A1F00" w:rsidRPr="00D57B5F" w:rsidRDefault="005A1F00" w:rsidP="005A1F00">
      <w:pPr>
        <w:pStyle w:val="ListParagraph"/>
        <w:numPr>
          <w:ilvl w:val="0"/>
          <w:numId w:val="28"/>
        </w:numPr>
        <w:spacing w:after="160" w:line="259" w:lineRule="auto"/>
        <w:jc w:val="left"/>
      </w:pPr>
      <w:r w:rsidRPr="00D57B5F">
        <w:t>Franklin, G. M., Stover, B. D., Turner, J. A., Fulton-Kehoe, D., &amp; Wickizer, T. M. (2008). Early opioid prescription and subsequent disability among workers with back injuries: the Disability Risk Identification Study Cohort. Spine, 33(2), 199-204.</w:t>
      </w:r>
    </w:p>
    <w:p w14:paraId="0191B93E" w14:textId="77777777" w:rsidR="005A1F00" w:rsidRDefault="005A1F00" w:rsidP="005A1F00">
      <w:pPr>
        <w:pStyle w:val="ListParagraph"/>
        <w:numPr>
          <w:ilvl w:val="0"/>
          <w:numId w:val="28"/>
        </w:numPr>
        <w:spacing w:after="160" w:line="259" w:lineRule="auto"/>
        <w:jc w:val="left"/>
      </w:pPr>
      <w:r w:rsidRPr="00D57B5F">
        <w:t xml:space="preserve">Dembe, A., Wickizer, T., Sieck, C., Partridge, J., &amp; </w:t>
      </w:r>
      <w:proofErr w:type="spellStart"/>
      <w:r w:rsidRPr="00D57B5F">
        <w:t>Balchick</w:t>
      </w:r>
      <w:proofErr w:type="spellEnd"/>
      <w:r w:rsidRPr="00D57B5F">
        <w:t>, R. (2012). Opioid use and dosing in the workers' compensation setting. A comparative review and new data from Ohio. American Journal of Industrial Medicine, 55(4), 313-324.</w:t>
      </w:r>
    </w:p>
    <w:p w14:paraId="4E7C370B" w14:textId="77777777" w:rsidR="005A1F00" w:rsidRPr="00D57B5F" w:rsidRDefault="005A1F00" w:rsidP="005A1F00">
      <w:pPr>
        <w:pStyle w:val="ListParagraph"/>
        <w:numPr>
          <w:ilvl w:val="0"/>
          <w:numId w:val="28"/>
        </w:numPr>
        <w:spacing w:after="160" w:line="259" w:lineRule="auto"/>
        <w:jc w:val="left"/>
      </w:pPr>
      <w:proofErr w:type="spellStart"/>
      <w:r w:rsidRPr="00D57B5F">
        <w:t>Savych</w:t>
      </w:r>
      <w:proofErr w:type="spellEnd"/>
      <w:r w:rsidRPr="00D57B5F">
        <w:t xml:space="preserve"> B, </w:t>
      </w:r>
      <w:proofErr w:type="spellStart"/>
      <w:r w:rsidRPr="00D57B5F">
        <w:t>Neumark</w:t>
      </w:r>
      <w:proofErr w:type="spellEnd"/>
      <w:r w:rsidRPr="00D57B5F">
        <w:t xml:space="preserve"> D, Lea R. Do opioids help injured workers recover and get back to work? The impact of opioid </w:t>
      </w:r>
      <w:r w:rsidRPr="00B05956">
        <w:t>presc</w:t>
      </w:r>
      <w:r w:rsidR="00A10EC6" w:rsidRPr="00B05956">
        <w:t>r</w:t>
      </w:r>
      <w:r w:rsidRPr="00B05956">
        <w:t>iptions</w:t>
      </w:r>
      <w:r w:rsidRPr="00D57B5F">
        <w:t xml:space="preserve"> on duration of temporary disability. Ind </w:t>
      </w:r>
      <w:proofErr w:type="spellStart"/>
      <w:r w:rsidRPr="00D57B5F">
        <w:t>Relat</w:t>
      </w:r>
      <w:proofErr w:type="spellEnd"/>
      <w:r w:rsidRPr="00D57B5F">
        <w:t xml:space="preserve"> </w:t>
      </w:r>
      <w:proofErr w:type="gramStart"/>
      <w:r w:rsidRPr="00D57B5F">
        <w:t>2019;58:549</w:t>
      </w:r>
      <w:proofErr w:type="gramEnd"/>
      <w:r w:rsidRPr="00D57B5F">
        <w:t>-90.</w:t>
      </w:r>
    </w:p>
    <w:p w14:paraId="0E5891B1" w14:textId="77777777" w:rsidR="005A1F00" w:rsidRDefault="005A1F00" w:rsidP="005A1F00">
      <w:pPr>
        <w:pStyle w:val="ListParagraph"/>
        <w:numPr>
          <w:ilvl w:val="0"/>
          <w:numId w:val="28"/>
        </w:numPr>
        <w:spacing w:after="160" w:line="259" w:lineRule="auto"/>
        <w:jc w:val="left"/>
      </w:pPr>
      <w:r w:rsidRPr="00D57B5F">
        <w:t>World Health Organization. (1992). The ICD-10 classification of mental and behavioral disorders: Clinical descriptions and diagnostic guidelines. Geneva: World Health Organization.</w:t>
      </w:r>
    </w:p>
    <w:p w14:paraId="76D9F96E" w14:textId="77777777" w:rsidR="005A1F00" w:rsidRPr="00D57B5F" w:rsidRDefault="005A1F00" w:rsidP="005A1F00">
      <w:pPr>
        <w:pStyle w:val="ListParagraph"/>
        <w:numPr>
          <w:ilvl w:val="0"/>
          <w:numId w:val="28"/>
        </w:numPr>
        <w:spacing w:after="160" w:line="259" w:lineRule="auto"/>
        <w:jc w:val="left"/>
      </w:pPr>
      <w:r w:rsidRPr="00D57B5F">
        <w:t>U.S. Census Bureau, American Fact Finder, American Community Survey, 2011-2017.</w:t>
      </w:r>
    </w:p>
    <w:p w14:paraId="2342F1C4" w14:textId="77777777" w:rsidR="005A1F00" w:rsidRPr="00D57B5F" w:rsidRDefault="005A1F00" w:rsidP="005A1F00">
      <w:pPr>
        <w:pStyle w:val="ListParagraph"/>
        <w:numPr>
          <w:ilvl w:val="0"/>
          <w:numId w:val="28"/>
        </w:numPr>
        <w:spacing w:after="160" w:line="259" w:lineRule="auto"/>
        <w:jc w:val="left"/>
      </w:pPr>
      <w:r w:rsidRPr="00D57B5F">
        <w:t>Luckhaupt, S. E., Cohen, M. A., &amp; Calvert, G. M. (2013). Concordance between current job and usual job in occupational and industry groupings: assessment of the 2010 national health interview survey. Journal of Occupational and Environmental Medicine/American College of Occupational and Environmental Medicine, 55(9), 1074-1090.</w:t>
      </w:r>
    </w:p>
    <w:p w14:paraId="5A41A8F8" w14:textId="77777777" w:rsidR="005A1F00" w:rsidRPr="00D57B5F" w:rsidRDefault="005A1F00" w:rsidP="005A1F00">
      <w:pPr>
        <w:pStyle w:val="ListParagraph"/>
        <w:numPr>
          <w:ilvl w:val="0"/>
          <w:numId w:val="28"/>
        </w:numPr>
        <w:spacing w:after="160" w:line="259" w:lineRule="auto"/>
        <w:jc w:val="left"/>
      </w:pPr>
      <w:r w:rsidRPr="00D57B5F">
        <w:t>Schade, W. J., &amp; Swanson, G. M. (1988). Comparison of death certificate industry and occupation data with lifetime occupational histories obtained by interview: variations in the accuracy of death certificate entries. American Journal of Industrial Medicine, 14(2), 121-136.</w:t>
      </w:r>
    </w:p>
    <w:p w14:paraId="23FC17D9" w14:textId="4D5D0515" w:rsidR="005A1F00" w:rsidRPr="00D57B5F" w:rsidRDefault="005A1F00" w:rsidP="005A1F00">
      <w:pPr>
        <w:pStyle w:val="ListParagraph"/>
        <w:numPr>
          <w:ilvl w:val="0"/>
          <w:numId w:val="28"/>
        </w:numPr>
        <w:spacing w:after="160" w:line="259" w:lineRule="auto"/>
        <w:jc w:val="left"/>
      </w:pPr>
      <w:proofErr w:type="spellStart"/>
      <w:r w:rsidRPr="00D57B5F">
        <w:t>Joinpoint</w:t>
      </w:r>
      <w:proofErr w:type="spellEnd"/>
      <w:r w:rsidRPr="00D57B5F">
        <w:t xml:space="preserve"> Regression Program, Version 4.8.0.1 - April 2020; Statistical Methodology and Applications Branch, Surveillance Research Program, National Cancer Institute.</w:t>
      </w:r>
    </w:p>
    <w:p w14:paraId="192BACF0" w14:textId="2B8E7509" w:rsidR="005A1F00" w:rsidRPr="00D57B5F" w:rsidRDefault="005A1F00" w:rsidP="005A1F00">
      <w:pPr>
        <w:pStyle w:val="ListParagraph"/>
        <w:numPr>
          <w:ilvl w:val="0"/>
          <w:numId w:val="28"/>
        </w:numPr>
        <w:spacing w:after="160" w:line="259" w:lineRule="auto"/>
        <w:jc w:val="left"/>
      </w:pPr>
      <w:r w:rsidRPr="00D57B5F">
        <w:t xml:space="preserve">Massachusetts Department of Public Health. (2020). Data Brief: Opioid-Related Overdose Deaths among Massachusetts Residents </w:t>
      </w:r>
      <w:r w:rsidRPr="00E145B8">
        <w:rPr>
          <w:rStyle w:val="Hyperlink"/>
        </w:rPr>
        <w:t>https://www.mass.gov/doc/opioid-related-overdose-deaths-among-ma-residents-june-2020/download</w:t>
      </w:r>
    </w:p>
    <w:p w14:paraId="3B962324" w14:textId="77777777" w:rsidR="005A1F00" w:rsidRPr="00D57B5F" w:rsidRDefault="005A1F00" w:rsidP="005A1F00">
      <w:pPr>
        <w:pStyle w:val="ListParagraph"/>
        <w:numPr>
          <w:ilvl w:val="0"/>
          <w:numId w:val="28"/>
        </w:numPr>
        <w:spacing w:after="160" w:line="259" w:lineRule="auto"/>
        <w:jc w:val="left"/>
      </w:pPr>
      <w:r w:rsidRPr="00D57B5F">
        <w:t xml:space="preserve">Massachusetts Department of Public Health. (2019). Opioid-Related Overdose Deaths, All Intents, MA Residents – Demographic Data Highlights. </w:t>
      </w:r>
      <w:hyperlink r:id="rId27" w:history="1">
        <w:r w:rsidRPr="00D57B5F">
          <w:rPr>
            <w:rStyle w:val="Hyperlink"/>
          </w:rPr>
          <w:t>https://www.mass.gov/files/documents/2019/08/21/Opioid-related-Overdose-Deaths-Demographics-August-2019.pdf</w:t>
        </w:r>
      </w:hyperlink>
    </w:p>
    <w:p w14:paraId="09CEFF83" w14:textId="77777777" w:rsidR="005A1F00" w:rsidRPr="00D57B5F" w:rsidRDefault="005A1F00" w:rsidP="005A1F00">
      <w:pPr>
        <w:pStyle w:val="ListParagraph"/>
        <w:numPr>
          <w:ilvl w:val="0"/>
          <w:numId w:val="28"/>
        </w:numPr>
        <w:spacing w:after="160" w:line="259" w:lineRule="auto"/>
        <w:jc w:val="left"/>
      </w:pPr>
      <w:r w:rsidRPr="00D57B5F">
        <w:t xml:space="preserve">Massachusetts Department of Public Health. (2018). Opioid-Related Overdose Deaths, All Intents, MA Residents – Demographic Data Highlights. </w:t>
      </w:r>
      <w:hyperlink r:id="rId28" w:history="1">
        <w:r w:rsidRPr="00D57B5F">
          <w:rPr>
            <w:rStyle w:val="Hyperlink"/>
          </w:rPr>
          <w:t>https://www.mass.gov/doc/opioid-related-overdose-deaths-demographics-november-2018/download</w:t>
        </w:r>
      </w:hyperlink>
    </w:p>
    <w:p w14:paraId="652CF97D" w14:textId="77777777" w:rsidR="005A1F00" w:rsidRPr="00D57B5F" w:rsidRDefault="005A1F00" w:rsidP="005A1F00">
      <w:pPr>
        <w:pStyle w:val="ListParagraph"/>
        <w:numPr>
          <w:ilvl w:val="0"/>
          <w:numId w:val="28"/>
        </w:numPr>
        <w:spacing w:after="160" w:line="259" w:lineRule="auto"/>
        <w:jc w:val="left"/>
      </w:pPr>
      <w:r w:rsidRPr="00D57B5F">
        <w:t>Bureau of Labor Statistics Survey of Occupational Injuries and Illnesses, 2017, Massachusetts.</w:t>
      </w:r>
    </w:p>
    <w:p w14:paraId="096C1365" w14:textId="77777777" w:rsidR="005A1F00" w:rsidRPr="00D57B5F" w:rsidRDefault="005A1F00" w:rsidP="005A1F00">
      <w:pPr>
        <w:pStyle w:val="ListParagraph"/>
        <w:numPr>
          <w:ilvl w:val="0"/>
          <w:numId w:val="28"/>
        </w:numPr>
        <w:spacing w:after="160" w:line="259" w:lineRule="auto"/>
        <w:jc w:val="left"/>
        <w:rPr>
          <w:rStyle w:val="Hyperlink"/>
          <w:color w:val="auto"/>
          <w:u w:val="none"/>
        </w:rPr>
      </w:pPr>
      <w:r w:rsidRPr="00D57B5F">
        <w:t xml:space="preserve">Bureau of Labor Statistics Employee Benefits in the United States, March 2019. </w:t>
      </w:r>
      <w:hyperlink r:id="rId29" w:history="1">
        <w:r w:rsidRPr="00D57B5F">
          <w:rPr>
            <w:rStyle w:val="Hyperlink"/>
          </w:rPr>
          <w:t>https://www.bls.gov/news.release/pdf/ebs2.pdf</w:t>
        </w:r>
      </w:hyperlink>
    </w:p>
    <w:p w14:paraId="1230BB26" w14:textId="77777777" w:rsidR="005A1F00" w:rsidRPr="00D57B5F" w:rsidRDefault="005A1F00" w:rsidP="005A1F00">
      <w:pPr>
        <w:pStyle w:val="ListParagraph"/>
        <w:numPr>
          <w:ilvl w:val="0"/>
          <w:numId w:val="28"/>
        </w:numPr>
        <w:spacing w:after="160" w:line="259" w:lineRule="auto"/>
        <w:jc w:val="left"/>
      </w:pPr>
      <w:r w:rsidRPr="00D57B5F">
        <w:t xml:space="preserve">Costa BRD, Vieira ER. Risk factors for work-related musculoskeletal disorders: a systematic review of recent longitudinal studies. Am I Ind Med. </w:t>
      </w:r>
      <w:proofErr w:type="gramStart"/>
      <w:r w:rsidRPr="00D57B5F">
        <w:t>2009;53:285</w:t>
      </w:r>
      <w:proofErr w:type="gramEnd"/>
      <w:r w:rsidRPr="00D57B5F">
        <w:t>-323</w:t>
      </w:r>
    </w:p>
    <w:p w14:paraId="72884FC8" w14:textId="77777777" w:rsidR="005A1F00" w:rsidRPr="00D57B5F" w:rsidRDefault="005A1F00" w:rsidP="005A1F00">
      <w:pPr>
        <w:pStyle w:val="ListParagraph"/>
        <w:numPr>
          <w:ilvl w:val="0"/>
          <w:numId w:val="28"/>
        </w:numPr>
        <w:spacing w:after="160" w:line="259" w:lineRule="auto"/>
        <w:jc w:val="left"/>
      </w:pPr>
      <w:r w:rsidRPr="00D57B5F">
        <w:rPr>
          <w:iCs/>
        </w:rPr>
        <w:t>National Research Council, Institute of Medicine. Musculoskeletal Disorders in the Workplace: Low Back and Upper Extremities. Panel on Musculoskeletal Disorders and the Workplace. Commission on Behavioral and Social Sciences and Education.</w:t>
      </w:r>
      <w:r w:rsidRPr="00D57B5F">
        <w:t xml:space="preserve"> Washington, DC: National Academy Press: 2001</w:t>
      </w:r>
      <w:r>
        <w:t>.</w:t>
      </w:r>
    </w:p>
    <w:p w14:paraId="7269A796" w14:textId="77777777" w:rsidR="005A1F00" w:rsidRPr="00D57B5F" w:rsidRDefault="005A1F00" w:rsidP="005A1F00">
      <w:pPr>
        <w:pStyle w:val="ListParagraph"/>
        <w:numPr>
          <w:ilvl w:val="0"/>
          <w:numId w:val="28"/>
        </w:numPr>
        <w:spacing w:after="160" w:line="259" w:lineRule="auto"/>
        <w:jc w:val="left"/>
      </w:pPr>
      <w:r w:rsidRPr="00D57B5F">
        <w:lastRenderedPageBreak/>
        <w:t>Shaw W, Roelofs C, Punnett L, Work environment factors and prevention of opioid-related deaths, AJPH. 2020 110 (8) 1235-41</w:t>
      </w:r>
      <w:r>
        <w:t>.</w:t>
      </w:r>
    </w:p>
    <w:p w14:paraId="5A4F101D" w14:textId="77777777" w:rsidR="005A1F00" w:rsidRPr="00D57B5F" w:rsidRDefault="005A1F00" w:rsidP="005A1F00">
      <w:pPr>
        <w:pStyle w:val="ListParagraph"/>
        <w:numPr>
          <w:ilvl w:val="0"/>
          <w:numId w:val="28"/>
        </w:numPr>
        <w:spacing w:after="160" w:line="259" w:lineRule="auto"/>
        <w:jc w:val="left"/>
      </w:pPr>
      <w:r w:rsidRPr="00D57B5F">
        <w:t xml:space="preserve">Asfaw A, Boden LI, (2020) Impact of workplace injury on opioid dependence, abuse, illicit </w:t>
      </w:r>
      <w:proofErr w:type="gramStart"/>
      <w:r w:rsidRPr="00D57B5F">
        <w:t>use</w:t>
      </w:r>
      <w:proofErr w:type="gramEnd"/>
      <w:r w:rsidRPr="00D57B5F">
        <w:t xml:space="preserve"> and overdose: a 36-month retrospective study of insurance claims. </w:t>
      </w:r>
      <w:proofErr w:type="spellStart"/>
      <w:r w:rsidRPr="00D57B5F">
        <w:t>Occup</w:t>
      </w:r>
      <w:proofErr w:type="spellEnd"/>
      <w:r w:rsidRPr="00D57B5F">
        <w:t xml:space="preserve"> Environ Med </w:t>
      </w:r>
      <w:proofErr w:type="spellStart"/>
      <w:r w:rsidRPr="00D57B5F">
        <w:t>Epub</w:t>
      </w:r>
      <w:proofErr w:type="spellEnd"/>
      <w:r w:rsidRPr="00D57B5F">
        <w:t xml:space="preserve"> 2020; 0:1-6</w:t>
      </w:r>
      <w:r>
        <w:t>.</w:t>
      </w:r>
    </w:p>
    <w:p w14:paraId="262A14A9" w14:textId="77777777" w:rsidR="005A1F00" w:rsidRPr="00D57B5F" w:rsidRDefault="005A1F00" w:rsidP="005A1F00">
      <w:pPr>
        <w:pStyle w:val="ListParagraph"/>
        <w:numPr>
          <w:ilvl w:val="0"/>
          <w:numId w:val="28"/>
        </w:numPr>
        <w:spacing w:after="160" w:line="259" w:lineRule="auto"/>
        <w:jc w:val="left"/>
      </w:pPr>
      <w:r w:rsidRPr="00D57B5F">
        <w:t xml:space="preserve">Applebaum KM, Asfaw A, O’Leary PK, </w:t>
      </w:r>
      <w:proofErr w:type="spellStart"/>
      <w:r w:rsidRPr="00D57B5F">
        <w:t>Busey</w:t>
      </w:r>
      <w:proofErr w:type="spellEnd"/>
      <w:r w:rsidRPr="00D57B5F">
        <w:t xml:space="preserve"> A, </w:t>
      </w:r>
      <w:proofErr w:type="spellStart"/>
      <w:r w:rsidRPr="00D57B5F">
        <w:t>Tripodis</w:t>
      </w:r>
      <w:proofErr w:type="spellEnd"/>
      <w:r w:rsidRPr="00D57B5F">
        <w:t xml:space="preserve"> Y, Boden LI, (2019) Suicide and drug-related mortality following occupational injury. Am J Ind Med. 2019;62(9):733-741</w:t>
      </w:r>
      <w:r>
        <w:t>.</w:t>
      </w:r>
    </w:p>
    <w:p w14:paraId="37674EFE" w14:textId="77777777" w:rsidR="005A1F00" w:rsidRPr="00D57B5F" w:rsidRDefault="005A1F00" w:rsidP="005A1F00">
      <w:pPr>
        <w:pStyle w:val="ListParagraph"/>
        <w:numPr>
          <w:ilvl w:val="0"/>
          <w:numId w:val="28"/>
        </w:numPr>
        <w:spacing w:after="160" w:line="259" w:lineRule="auto"/>
        <w:jc w:val="left"/>
      </w:pPr>
      <w:r w:rsidRPr="00D57B5F">
        <w:t xml:space="preserve">Martin CJ, </w:t>
      </w:r>
      <w:proofErr w:type="spellStart"/>
      <w:r w:rsidRPr="00D57B5F">
        <w:t>Jin</w:t>
      </w:r>
      <w:proofErr w:type="spellEnd"/>
      <w:r w:rsidRPr="00D57B5F">
        <w:t xml:space="preserve"> C, </w:t>
      </w:r>
      <w:proofErr w:type="spellStart"/>
      <w:r w:rsidRPr="00D57B5F">
        <w:t>Bertke</w:t>
      </w:r>
      <w:proofErr w:type="spellEnd"/>
      <w:r w:rsidRPr="00D57B5F">
        <w:t xml:space="preserve"> SJ, et al. Increased overall and cause-specific mortality associated with disability among workers’ compensation claimants with low back injuries Am J Ind Med 2020; 63:209-17.</w:t>
      </w:r>
    </w:p>
    <w:p w14:paraId="20234A20" w14:textId="50A82CDC" w:rsidR="005A264B" w:rsidRDefault="005A264B" w:rsidP="005A1F00">
      <w:pPr>
        <w:pStyle w:val="ListParagraph"/>
        <w:numPr>
          <w:ilvl w:val="0"/>
          <w:numId w:val="28"/>
        </w:numPr>
        <w:spacing w:after="160" w:line="259" w:lineRule="auto"/>
        <w:jc w:val="left"/>
      </w:pPr>
      <w:proofErr w:type="spellStart"/>
      <w:r>
        <w:t>Thumela</w:t>
      </w:r>
      <w:proofErr w:type="spellEnd"/>
      <w:r>
        <w:t xml:space="preserve"> V, Wang D, Liu </w:t>
      </w:r>
      <w:proofErr w:type="spellStart"/>
      <w:r>
        <w:t>Te</w:t>
      </w:r>
      <w:proofErr w:type="spellEnd"/>
      <w:r>
        <w:t>-Chun. 2019. Interstate variations in dispensing of opioids. WC-19-26. Cambridge</w:t>
      </w:r>
      <w:r w:rsidR="0022041F">
        <w:t>, MA: Workers Compensation Research Institute.</w:t>
      </w:r>
    </w:p>
    <w:p w14:paraId="6231BC83" w14:textId="18776CC5" w:rsidR="000A0536" w:rsidRDefault="00D62E58" w:rsidP="005A1F00">
      <w:pPr>
        <w:pStyle w:val="ListParagraph"/>
        <w:numPr>
          <w:ilvl w:val="0"/>
          <w:numId w:val="28"/>
        </w:numPr>
        <w:spacing w:after="160" w:line="259" w:lineRule="auto"/>
        <w:jc w:val="left"/>
      </w:pPr>
      <w:r>
        <w:t>unpublished MA Prescription Monitoring Program analyses completed by the Occupational Health Surveillance Program.</w:t>
      </w:r>
    </w:p>
    <w:p w14:paraId="114E3793" w14:textId="7912D2E6" w:rsidR="005A1F00" w:rsidRPr="00D57B5F" w:rsidRDefault="005A1F00" w:rsidP="005A1F00">
      <w:pPr>
        <w:pStyle w:val="ListParagraph"/>
        <w:numPr>
          <w:ilvl w:val="0"/>
          <w:numId w:val="28"/>
        </w:numPr>
        <w:spacing w:after="160" w:line="259" w:lineRule="auto"/>
        <w:jc w:val="left"/>
        <w:rPr>
          <w:rStyle w:val="Hyperlink"/>
          <w:color w:val="auto"/>
          <w:u w:val="none"/>
        </w:rPr>
      </w:pPr>
      <w:r w:rsidRPr="00D57B5F">
        <w:t xml:space="preserve">The Center for Construction Research and Training Construction Chart Book: Fatal and Nonfatal Injuries, Back Injuries in Construction and Other Industries. 2017. </w:t>
      </w:r>
      <w:hyperlink r:id="rId30" w:history="1">
        <w:r w:rsidRPr="00D57B5F">
          <w:rPr>
            <w:rStyle w:val="Hyperlink"/>
          </w:rPr>
          <w:t>https://www.cpwr.com/sites/default/files/publications/CB%20page%2048.pdf</w:t>
        </w:r>
      </w:hyperlink>
    </w:p>
    <w:p w14:paraId="00B6B8F4" w14:textId="77777777" w:rsidR="005A1F00" w:rsidRPr="00D57B5F" w:rsidRDefault="005A1F00" w:rsidP="005A1F00">
      <w:pPr>
        <w:pStyle w:val="ListParagraph"/>
        <w:numPr>
          <w:ilvl w:val="0"/>
          <w:numId w:val="28"/>
        </w:numPr>
        <w:spacing w:after="160" w:line="259" w:lineRule="auto"/>
        <w:jc w:val="left"/>
      </w:pPr>
      <w:r w:rsidRPr="00D57B5F">
        <w:t xml:space="preserve">Jacobsen HB, </w:t>
      </w:r>
      <w:proofErr w:type="spellStart"/>
      <w:r w:rsidRPr="00D57B5F">
        <w:t>Caban</w:t>
      </w:r>
      <w:proofErr w:type="spellEnd"/>
      <w:r w:rsidRPr="00D57B5F">
        <w:t xml:space="preserve">-Martinez A, </w:t>
      </w:r>
      <w:proofErr w:type="spellStart"/>
      <w:r w:rsidRPr="00D57B5F">
        <w:t>Onyebeke</w:t>
      </w:r>
      <w:proofErr w:type="spellEnd"/>
      <w:r w:rsidRPr="00D57B5F">
        <w:t xml:space="preserve"> LC, Sorensen G, Dennerlein JT, </w:t>
      </w:r>
      <w:proofErr w:type="spellStart"/>
      <w:r w:rsidRPr="00D57B5F">
        <w:t>Reme</w:t>
      </w:r>
      <w:proofErr w:type="spellEnd"/>
      <w:r w:rsidRPr="00D57B5F">
        <w:t xml:space="preserve"> SE. Construction workers struggle with a high prevalence of mental distress, and this is associated with their pain and injuries. J </w:t>
      </w:r>
      <w:proofErr w:type="spellStart"/>
      <w:r w:rsidRPr="00D57B5F">
        <w:t>Occup</w:t>
      </w:r>
      <w:proofErr w:type="spellEnd"/>
      <w:r w:rsidRPr="00D57B5F">
        <w:t xml:space="preserve"> Environ Med. 2013;55(10):1197-1204.</w:t>
      </w:r>
    </w:p>
    <w:p w14:paraId="7CE2251B" w14:textId="77777777" w:rsidR="005A1F00" w:rsidRPr="00D57B5F" w:rsidRDefault="005A1F00" w:rsidP="005A1F00">
      <w:pPr>
        <w:pStyle w:val="ListParagraph"/>
        <w:numPr>
          <w:ilvl w:val="0"/>
          <w:numId w:val="28"/>
        </w:numPr>
        <w:spacing w:after="160" w:line="259" w:lineRule="auto"/>
        <w:jc w:val="left"/>
      </w:pPr>
      <w:proofErr w:type="spellStart"/>
      <w:r w:rsidRPr="00D57B5F">
        <w:t>Thumela</w:t>
      </w:r>
      <w:proofErr w:type="spellEnd"/>
      <w:r w:rsidRPr="00D57B5F">
        <w:t xml:space="preserve"> V, Liu </w:t>
      </w:r>
      <w:proofErr w:type="spellStart"/>
      <w:r w:rsidRPr="00D57B5F">
        <w:t>Te</w:t>
      </w:r>
      <w:proofErr w:type="spellEnd"/>
      <w:r w:rsidRPr="00D57B5F">
        <w:t>-Chun. 2018. Correlates of Opioid Dispensing. Cambridge, MA: Workers Compensation Research Institute</w:t>
      </w:r>
      <w:r>
        <w:t>.</w:t>
      </w:r>
    </w:p>
    <w:p w14:paraId="0AB66D0E" w14:textId="77777777" w:rsidR="005A1F00" w:rsidRPr="00D57B5F" w:rsidRDefault="005A1F00" w:rsidP="005A1F00">
      <w:pPr>
        <w:pStyle w:val="ListParagraph"/>
        <w:numPr>
          <w:ilvl w:val="0"/>
          <w:numId w:val="28"/>
        </w:numPr>
        <w:spacing w:after="160" w:line="259" w:lineRule="auto"/>
        <w:jc w:val="left"/>
        <w:rPr>
          <w:rStyle w:val="Hyperlink"/>
          <w:color w:val="auto"/>
          <w:u w:val="none"/>
        </w:rPr>
      </w:pPr>
      <w:r w:rsidRPr="00D57B5F">
        <w:t xml:space="preserve">Dong XS, Brooks RD, Cain CT. Prescription opioid use and associated factors among US construction workers. Am J Ind Med. 2020:1-10. </w:t>
      </w:r>
      <w:hyperlink r:id="rId31" w:history="1">
        <w:r w:rsidRPr="00D57B5F">
          <w:rPr>
            <w:rStyle w:val="Hyperlink"/>
          </w:rPr>
          <w:t>https://doi.org/10.1002/ajim.23158</w:t>
        </w:r>
      </w:hyperlink>
    </w:p>
    <w:p w14:paraId="138274DA" w14:textId="77777777" w:rsidR="005A1F00" w:rsidRPr="00D57B5F" w:rsidRDefault="005A1F00" w:rsidP="005A1F00">
      <w:pPr>
        <w:pStyle w:val="ListParagraph"/>
        <w:numPr>
          <w:ilvl w:val="0"/>
          <w:numId w:val="28"/>
        </w:numPr>
        <w:spacing w:after="160" w:line="259" w:lineRule="auto"/>
        <w:jc w:val="left"/>
      </w:pPr>
      <w:r w:rsidRPr="00D57B5F">
        <w:t>Substance Abuse and Mental Health Services Administration: The Opioid Crisis and the Hispanic/Latino Population: An Urgent Issue. Publication No. PEP20-05-02-002. Office of Behavioral Health Equity. Substance Abuse and Mental Health Services Administration, 2020.</w:t>
      </w:r>
    </w:p>
    <w:p w14:paraId="0EC97C9B" w14:textId="77777777" w:rsidR="005A1F00" w:rsidRPr="00D57B5F" w:rsidRDefault="005A1F00" w:rsidP="005A1F00">
      <w:pPr>
        <w:pStyle w:val="ListParagraph"/>
        <w:numPr>
          <w:ilvl w:val="0"/>
          <w:numId w:val="28"/>
        </w:numPr>
        <w:spacing w:after="160" w:line="259" w:lineRule="auto"/>
        <w:jc w:val="left"/>
      </w:pPr>
      <w:proofErr w:type="spellStart"/>
      <w:r w:rsidRPr="00D57B5F">
        <w:t>Harduar</w:t>
      </w:r>
      <w:proofErr w:type="spellEnd"/>
      <w:r w:rsidRPr="00D57B5F">
        <w:t xml:space="preserve"> </w:t>
      </w:r>
      <w:proofErr w:type="spellStart"/>
      <w:r w:rsidRPr="00D57B5F">
        <w:t>Morano</w:t>
      </w:r>
      <w:proofErr w:type="spellEnd"/>
      <w:r w:rsidRPr="00D57B5F">
        <w:t xml:space="preserve"> L, </w:t>
      </w:r>
      <w:proofErr w:type="spellStart"/>
      <w:r w:rsidRPr="00D57B5F">
        <w:t>Steege</w:t>
      </w:r>
      <w:proofErr w:type="spellEnd"/>
      <w:r w:rsidRPr="00D57B5F">
        <w:t xml:space="preserve"> AL, Luckhaupt SE, Occupational patterns in unintentional and undetermined drug-involved and opioid-invo</w:t>
      </w:r>
      <w:r w:rsidR="007E6442">
        <w:t>lved</w:t>
      </w:r>
      <w:r w:rsidRPr="00D57B5F">
        <w:t xml:space="preserve"> overdose deaths – United States, 2007 – 2012</w:t>
      </w:r>
      <w:r>
        <w:t>.</w:t>
      </w:r>
    </w:p>
    <w:p w14:paraId="62BDFCA1" w14:textId="77777777" w:rsidR="005A1F00" w:rsidRPr="00D57B5F" w:rsidRDefault="005A1F00" w:rsidP="005A1F00">
      <w:pPr>
        <w:pStyle w:val="ListParagraph"/>
        <w:numPr>
          <w:ilvl w:val="0"/>
          <w:numId w:val="28"/>
        </w:numPr>
        <w:spacing w:after="160" w:line="259" w:lineRule="auto"/>
        <w:jc w:val="left"/>
      </w:pPr>
      <w:r w:rsidRPr="00D57B5F">
        <w:t xml:space="preserve">Roelofs C, Opioids and </w:t>
      </w:r>
      <w:r w:rsidR="007E6442">
        <w:t>W</w:t>
      </w:r>
      <w:r w:rsidRPr="00D57B5F">
        <w:t>ork: a formative research assessment to inform educational outreach, Center for the Promotion of Health in the New England Workplace, University of Massachusetts, Lowell, November 2018.</w:t>
      </w:r>
    </w:p>
    <w:p w14:paraId="2D91A0C7" w14:textId="77777777" w:rsidR="005A1F00" w:rsidRPr="00D57B5F" w:rsidRDefault="007E6442" w:rsidP="005A1F00">
      <w:pPr>
        <w:pStyle w:val="ListParagraph"/>
        <w:numPr>
          <w:ilvl w:val="0"/>
          <w:numId w:val="28"/>
        </w:numPr>
        <w:spacing w:after="160" w:line="259" w:lineRule="auto"/>
        <w:jc w:val="left"/>
      </w:pPr>
      <w:r>
        <w:t xml:space="preserve">Roelofs C, </w:t>
      </w:r>
      <w:r w:rsidR="005A1F00" w:rsidRPr="00D57B5F">
        <w:t>Sugarman-</w:t>
      </w:r>
      <w:proofErr w:type="spellStart"/>
      <w:r w:rsidR="005A1F00" w:rsidRPr="00D57B5F">
        <w:t>Brozan</w:t>
      </w:r>
      <w:proofErr w:type="spellEnd"/>
      <w:r w:rsidR="005A1F00" w:rsidRPr="00D57B5F">
        <w:t xml:space="preserve"> J,</w:t>
      </w:r>
      <w:r>
        <w:t xml:space="preserve"> Kurowski A, Russell L, Punnett L. Promoting Opioid Awareness Through a Union-based Peer Training Model</w:t>
      </w:r>
      <w:r w:rsidR="005A1F00" w:rsidRPr="00D57B5F">
        <w:t>.</w:t>
      </w:r>
      <w:r>
        <w:t xml:space="preserve"> New Solutions. Jan 10</w:t>
      </w:r>
      <w:proofErr w:type="gramStart"/>
      <w:r>
        <w:t xml:space="preserve"> 2021</w:t>
      </w:r>
      <w:proofErr w:type="gramEnd"/>
      <w:r>
        <w:t>.</w:t>
      </w:r>
    </w:p>
    <w:p w14:paraId="46D1C889" w14:textId="77777777" w:rsidR="005A1F00" w:rsidRPr="00D57B5F" w:rsidRDefault="005A1F00" w:rsidP="005A1F00">
      <w:pPr>
        <w:pStyle w:val="ListParagraph"/>
        <w:numPr>
          <w:ilvl w:val="0"/>
          <w:numId w:val="28"/>
        </w:numPr>
        <w:spacing w:after="160" w:line="259" w:lineRule="auto"/>
        <w:jc w:val="left"/>
      </w:pPr>
      <w:r w:rsidRPr="00D57B5F">
        <w:t xml:space="preserve">Hawkins D, Roelofs C, Laing J, Davis L. Opioid-related overdose deaths by industry and occupation – Massachusetts, 2011-2015. Am J Ind Med </w:t>
      </w:r>
      <w:proofErr w:type="gramStart"/>
      <w:r w:rsidRPr="00D57B5F">
        <w:t>2019;62:815</w:t>
      </w:r>
      <w:proofErr w:type="gramEnd"/>
      <w:r w:rsidRPr="00D57B5F">
        <w:t>-825</w:t>
      </w:r>
    </w:p>
    <w:p w14:paraId="79070C3A" w14:textId="77777777" w:rsidR="005A1F00" w:rsidRPr="00D57B5F" w:rsidRDefault="005A1F00" w:rsidP="005A1F00">
      <w:pPr>
        <w:pStyle w:val="ListParagraph"/>
        <w:numPr>
          <w:ilvl w:val="0"/>
          <w:numId w:val="28"/>
        </w:numPr>
        <w:spacing w:after="160" w:line="259" w:lineRule="auto"/>
        <w:jc w:val="left"/>
      </w:pPr>
      <w:r w:rsidRPr="00D57B5F">
        <w:t>Road to Recovery: Finding help for addicted fishermen, Boston Globe, October 8, 2018</w:t>
      </w:r>
    </w:p>
    <w:p w14:paraId="1E6D12D2" w14:textId="77777777" w:rsidR="005A1F00" w:rsidRPr="00D57B5F" w:rsidRDefault="005A1F00" w:rsidP="005A1F00">
      <w:pPr>
        <w:pStyle w:val="ListParagraph"/>
        <w:numPr>
          <w:ilvl w:val="0"/>
          <w:numId w:val="28"/>
        </w:numPr>
        <w:spacing w:after="160" w:line="259" w:lineRule="auto"/>
        <w:jc w:val="left"/>
      </w:pPr>
      <w:r w:rsidRPr="00D57B5F">
        <w:t xml:space="preserve">The Department of Industrial Accident (2017). Opioid Alternative Treatment Pathway Announcement. </w:t>
      </w:r>
      <w:hyperlink r:id="rId32" w:history="1">
        <w:r w:rsidRPr="00D57B5F">
          <w:rPr>
            <w:rStyle w:val="Hyperlink"/>
          </w:rPr>
          <w:t>https://www.mass.gov/news/opioid-alternative-treatment-pathway-announcement</w:t>
        </w:r>
      </w:hyperlink>
    </w:p>
    <w:p w14:paraId="5977BE9B" w14:textId="05696CB0" w:rsidR="005A1F00" w:rsidRDefault="005A1F00" w:rsidP="005A1F00">
      <w:pPr>
        <w:spacing w:after="120" w:line="276" w:lineRule="auto"/>
        <w:jc w:val="left"/>
        <w:rPr>
          <w:iCs/>
        </w:rPr>
      </w:pPr>
    </w:p>
    <w:p w14:paraId="387B4DC4" w14:textId="6D632A06" w:rsidR="001E448F" w:rsidRDefault="001E448F" w:rsidP="005A1F00">
      <w:pPr>
        <w:spacing w:after="120" w:line="276" w:lineRule="auto"/>
        <w:jc w:val="left"/>
        <w:rPr>
          <w:iCs/>
        </w:rPr>
      </w:pPr>
    </w:p>
    <w:p w14:paraId="10500F82" w14:textId="6A6FB448" w:rsidR="001E448F" w:rsidRDefault="001E448F">
      <w:pPr>
        <w:rPr>
          <w:iCs/>
        </w:rPr>
      </w:pPr>
      <w:r>
        <w:rPr>
          <w:iCs/>
        </w:rPr>
        <w:br w:type="page"/>
      </w:r>
    </w:p>
    <w:p w14:paraId="2CEC874A" w14:textId="77777777" w:rsidR="002A67EE" w:rsidRDefault="002A67EE" w:rsidP="002A67EE">
      <w:pPr>
        <w:spacing w:after="120" w:line="276" w:lineRule="auto"/>
        <w:jc w:val="left"/>
        <w:rPr>
          <w:b/>
          <w:iCs/>
          <w:color w:val="1F497D" w:themeColor="text2"/>
        </w:rPr>
        <w:sectPr w:rsidR="002A67EE" w:rsidSect="005841FB">
          <w:footnotePr>
            <w:numFmt w:val="lowerLetter"/>
          </w:footnotePr>
          <w:pgSz w:w="11906" w:h="16838"/>
          <w:pgMar w:top="720" w:right="720" w:bottom="720" w:left="720" w:header="720" w:footer="720" w:gutter="0"/>
          <w:cols w:space="720"/>
          <w:docGrid w:linePitch="360"/>
        </w:sectPr>
      </w:pPr>
    </w:p>
    <w:p w14:paraId="53AB3AE3" w14:textId="637CBDA0" w:rsidR="002A67EE" w:rsidRDefault="002A67EE" w:rsidP="002A67EE">
      <w:pPr>
        <w:spacing w:after="120" w:line="276" w:lineRule="auto"/>
        <w:ind w:firstLine="360"/>
        <w:jc w:val="left"/>
        <w:rPr>
          <w:b/>
          <w:iCs/>
          <w:color w:val="1F497D" w:themeColor="text2"/>
        </w:rPr>
      </w:pPr>
      <w:r>
        <w:rPr>
          <w:b/>
          <w:iCs/>
          <w:color w:val="1F497D" w:themeColor="text2"/>
        </w:rPr>
        <w:lastRenderedPageBreak/>
        <w:t xml:space="preserve">Appendix: </w:t>
      </w:r>
      <w:r w:rsidRPr="002A67EE">
        <w:rPr>
          <w:b/>
          <w:iCs/>
          <w:color w:val="1F497D" w:themeColor="text2"/>
        </w:rPr>
        <w:t>Examples of Industry and Occupation Groups</w:t>
      </w:r>
    </w:p>
    <w:p w14:paraId="66009D96" w14:textId="77777777" w:rsidR="002A67EE" w:rsidRDefault="002A67EE" w:rsidP="002A67EE">
      <w:pPr>
        <w:spacing w:after="120" w:line="276" w:lineRule="auto"/>
        <w:jc w:val="left"/>
        <w:rPr>
          <w:b/>
          <w:iCs/>
          <w:color w:val="1F497D" w:themeColor="text2"/>
        </w:rPr>
      </w:pPr>
    </w:p>
    <w:tbl>
      <w:tblPr>
        <w:tblW w:w="13045"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8"/>
        <w:gridCol w:w="6857"/>
        <w:gridCol w:w="1600"/>
      </w:tblGrid>
      <w:tr w:rsidR="002A67EE" w:rsidRPr="005D241A" w14:paraId="0773B24B" w14:textId="77777777" w:rsidTr="002A67EE">
        <w:trPr>
          <w:trHeight w:val="440"/>
        </w:trPr>
        <w:tc>
          <w:tcPr>
            <w:tcW w:w="13045" w:type="dxa"/>
            <w:gridSpan w:val="3"/>
            <w:tcBorders>
              <w:top w:val="single" w:sz="4" w:space="0" w:color="auto"/>
              <w:left w:val="single" w:sz="4" w:space="0" w:color="auto"/>
              <w:bottom w:val="single" w:sz="4" w:space="0" w:color="auto"/>
              <w:right w:val="single" w:sz="4" w:space="0" w:color="auto"/>
            </w:tcBorders>
            <w:vAlign w:val="center"/>
            <w:hideMark/>
          </w:tcPr>
          <w:p w14:paraId="1DFCD492" w14:textId="0A973C3E" w:rsidR="002A67EE" w:rsidRPr="005D241A" w:rsidRDefault="002A67EE" w:rsidP="00744211">
            <w:pPr>
              <w:spacing w:line="276" w:lineRule="auto"/>
              <w:ind w:left="702"/>
              <w:rPr>
                <w:rFonts w:eastAsia="Times New Roman"/>
                <w:b/>
                <w:sz w:val="22"/>
                <w:szCs w:val="22"/>
              </w:rPr>
            </w:pPr>
            <w:bookmarkStart w:id="2" w:name="_Hlk71013371"/>
            <w:r>
              <w:rPr>
                <w:rFonts w:eastAsia="Times New Roman"/>
                <w:b/>
                <w:sz w:val="22"/>
                <w:szCs w:val="22"/>
              </w:rPr>
              <w:t xml:space="preserve">Appendix </w:t>
            </w:r>
            <w:r w:rsidRPr="005D241A">
              <w:rPr>
                <w:rFonts w:eastAsia="Times New Roman"/>
                <w:b/>
                <w:sz w:val="22"/>
                <w:szCs w:val="22"/>
              </w:rPr>
              <w:t>Table 1: Examples of Jobs within the Standard Occupational Classification (SOC) Coding System</w:t>
            </w:r>
          </w:p>
        </w:tc>
      </w:tr>
      <w:tr w:rsidR="002A67EE" w:rsidRPr="005D241A" w14:paraId="0CC968EB" w14:textId="77777777" w:rsidTr="002A67EE">
        <w:trPr>
          <w:trHeight w:val="628"/>
        </w:trPr>
        <w:tc>
          <w:tcPr>
            <w:tcW w:w="4588" w:type="dxa"/>
            <w:tcBorders>
              <w:top w:val="single" w:sz="4" w:space="0" w:color="auto"/>
              <w:left w:val="single" w:sz="4" w:space="0" w:color="auto"/>
              <w:bottom w:val="single" w:sz="4" w:space="0" w:color="auto"/>
              <w:right w:val="single" w:sz="4" w:space="0" w:color="auto"/>
            </w:tcBorders>
            <w:vAlign w:val="center"/>
            <w:hideMark/>
          </w:tcPr>
          <w:p w14:paraId="7C8BA522" w14:textId="77777777" w:rsidR="002A67EE" w:rsidRPr="005D241A" w:rsidRDefault="002A67EE" w:rsidP="00744211">
            <w:pPr>
              <w:spacing w:line="276" w:lineRule="auto"/>
              <w:ind w:left="702"/>
              <w:rPr>
                <w:rFonts w:eastAsia="Times New Roman"/>
                <w:b/>
                <w:sz w:val="22"/>
                <w:szCs w:val="22"/>
              </w:rPr>
            </w:pPr>
            <w:r w:rsidRPr="005D241A">
              <w:rPr>
                <w:rFonts w:eastAsia="Times New Roman"/>
                <w:b/>
                <w:sz w:val="22"/>
                <w:szCs w:val="22"/>
              </w:rPr>
              <w:t>SOC Occupation Group</w:t>
            </w:r>
            <w:r w:rsidRPr="005D241A">
              <w:rPr>
                <w:rFonts w:eastAsia="Times New Roman"/>
                <w:b/>
                <w:sz w:val="22"/>
                <w:szCs w:val="22"/>
                <w:vertAlign w:val="superscript"/>
              </w:rPr>
              <w:t>1</w:t>
            </w:r>
          </w:p>
        </w:tc>
        <w:tc>
          <w:tcPr>
            <w:tcW w:w="6857" w:type="dxa"/>
            <w:tcBorders>
              <w:top w:val="single" w:sz="4" w:space="0" w:color="auto"/>
              <w:left w:val="single" w:sz="4" w:space="0" w:color="auto"/>
              <w:bottom w:val="single" w:sz="4" w:space="0" w:color="auto"/>
              <w:right w:val="single" w:sz="4" w:space="0" w:color="auto"/>
            </w:tcBorders>
            <w:vAlign w:val="center"/>
            <w:hideMark/>
          </w:tcPr>
          <w:p w14:paraId="144B0AE8" w14:textId="77777777" w:rsidR="002A67EE" w:rsidRPr="005D241A" w:rsidRDefault="002A67EE" w:rsidP="00744211">
            <w:pPr>
              <w:spacing w:line="276" w:lineRule="auto"/>
              <w:ind w:left="702"/>
              <w:rPr>
                <w:rFonts w:eastAsia="Times New Roman"/>
                <w:b/>
                <w:sz w:val="22"/>
                <w:szCs w:val="22"/>
              </w:rPr>
            </w:pPr>
            <w:r w:rsidRPr="005D241A">
              <w:rPr>
                <w:rFonts w:eastAsia="Times New Roman"/>
                <w:b/>
                <w:sz w:val="22"/>
                <w:szCs w:val="22"/>
              </w:rPr>
              <w:t>Example occupations</w:t>
            </w:r>
            <w:r w:rsidRPr="005D241A">
              <w:rPr>
                <w:rFonts w:eastAsia="Times New Roman"/>
                <w:b/>
                <w:sz w:val="22"/>
                <w:szCs w:val="22"/>
                <w:vertAlign w:val="superscript"/>
              </w:rPr>
              <w:t>2</w:t>
            </w:r>
          </w:p>
        </w:tc>
        <w:tc>
          <w:tcPr>
            <w:tcW w:w="1600" w:type="dxa"/>
            <w:tcBorders>
              <w:top w:val="single" w:sz="4" w:space="0" w:color="auto"/>
              <w:left w:val="single" w:sz="4" w:space="0" w:color="auto"/>
              <w:right w:val="single" w:sz="4" w:space="0" w:color="auto"/>
            </w:tcBorders>
          </w:tcPr>
          <w:p w14:paraId="1DEE1C02" w14:textId="77777777" w:rsidR="002A67EE" w:rsidRPr="005D241A" w:rsidRDefault="002A67EE" w:rsidP="00744211">
            <w:pPr>
              <w:spacing w:line="276" w:lineRule="auto"/>
              <w:ind w:left="-108"/>
              <w:rPr>
                <w:rFonts w:eastAsia="Times New Roman"/>
                <w:b/>
                <w:sz w:val="22"/>
                <w:szCs w:val="22"/>
              </w:rPr>
            </w:pPr>
            <w:r w:rsidRPr="005D241A">
              <w:rPr>
                <w:rFonts w:eastAsia="Times New Roman"/>
                <w:b/>
                <w:sz w:val="22"/>
                <w:szCs w:val="22"/>
              </w:rPr>
              <w:t xml:space="preserve">SOC </w:t>
            </w:r>
          </w:p>
          <w:p w14:paraId="52B53545" w14:textId="77777777" w:rsidR="002A67EE" w:rsidRPr="005D241A" w:rsidRDefault="002A67EE" w:rsidP="00744211">
            <w:pPr>
              <w:spacing w:line="276" w:lineRule="auto"/>
              <w:ind w:left="-108"/>
              <w:rPr>
                <w:rFonts w:eastAsia="Times New Roman"/>
                <w:b/>
                <w:sz w:val="22"/>
                <w:szCs w:val="22"/>
                <w:highlight w:val="yellow"/>
              </w:rPr>
            </w:pPr>
            <w:r w:rsidRPr="005D241A">
              <w:rPr>
                <w:rFonts w:eastAsia="Times New Roman"/>
                <w:b/>
                <w:sz w:val="22"/>
                <w:szCs w:val="22"/>
              </w:rPr>
              <w:t>Occupation Code Series</w:t>
            </w:r>
          </w:p>
        </w:tc>
      </w:tr>
      <w:tr w:rsidR="002A67EE" w:rsidRPr="005D241A" w14:paraId="7339B0D2" w14:textId="77777777" w:rsidTr="002A67EE">
        <w:trPr>
          <w:trHeight w:val="270"/>
        </w:trPr>
        <w:tc>
          <w:tcPr>
            <w:tcW w:w="4588" w:type="dxa"/>
            <w:tcBorders>
              <w:top w:val="single" w:sz="4" w:space="0" w:color="auto"/>
              <w:left w:val="single" w:sz="4" w:space="0" w:color="auto"/>
              <w:bottom w:val="single" w:sz="4" w:space="0" w:color="auto"/>
              <w:right w:val="single" w:sz="4" w:space="0" w:color="auto"/>
            </w:tcBorders>
            <w:vAlign w:val="center"/>
            <w:hideMark/>
          </w:tcPr>
          <w:p w14:paraId="25CAB279" w14:textId="77777777" w:rsidR="002A67EE" w:rsidRPr="005D241A" w:rsidRDefault="002A67EE" w:rsidP="00744211">
            <w:pPr>
              <w:spacing w:line="276" w:lineRule="auto"/>
              <w:ind w:left="-108"/>
              <w:rPr>
                <w:rFonts w:eastAsia="Times New Roman"/>
                <w:sz w:val="22"/>
                <w:szCs w:val="22"/>
                <w:shd w:val="clear" w:color="auto" w:fill="FFFFFF"/>
              </w:rPr>
            </w:pPr>
            <w:r w:rsidRPr="005D241A">
              <w:rPr>
                <w:rFonts w:eastAsia="Times New Roman"/>
                <w:sz w:val="22"/>
                <w:szCs w:val="22"/>
                <w:shd w:val="clear" w:color="auto" w:fill="FFFFFF"/>
              </w:rPr>
              <w:t xml:space="preserve">Management </w:t>
            </w:r>
          </w:p>
        </w:tc>
        <w:tc>
          <w:tcPr>
            <w:tcW w:w="6857" w:type="dxa"/>
            <w:tcBorders>
              <w:top w:val="single" w:sz="4" w:space="0" w:color="auto"/>
              <w:left w:val="single" w:sz="4" w:space="0" w:color="auto"/>
              <w:bottom w:val="single" w:sz="4" w:space="0" w:color="auto"/>
              <w:right w:val="single" w:sz="4" w:space="0" w:color="auto"/>
            </w:tcBorders>
            <w:hideMark/>
          </w:tcPr>
          <w:p w14:paraId="6C2DA126" w14:textId="77777777" w:rsidR="002A67EE" w:rsidRPr="005D241A" w:rsidRDefault="002A67EE" w:rsidP="00744211">
            <w:pPr>
              <w:spacing w:line="276" w:lineRule="auto"/>
              <w:rPr>
                <w:rFonts w:eastAsia="Times New Roman"/>
                <w:sz w:val="22"/>
                <w:szCs w:val="22"/>
              </w:rPr>
            </w:pPr>
            <w:r w:rsidRPr="005D241A">
              <w:rPr>
                <w:rFonts w:eastAsia="Times New Roman"/>
                <w:sz w:val="22"/>
                <w:szCs w:val="22"/>
              </w:rPr>
              <w:t>governor, legislator, sales manager, chief technology officer, comptroller, warehouse manager, fish hatchery manager, general contractor, postmaster, school principal, family service center director</w:t>
            </w:r>
          </w:p>
        </w:tc>
        <w:tc>
          <w:tcPr>
            <w:tcW w:w="1600" w:type="dxa"/>
            <w:tcBorders>
              <w:top w:val="single" w:sz="4" w:space="0" w:color="auto"/>
              <w:left w:val="single" w:sz="4" w:space="0" w:color="auto"/>
              <w:bottom w:val="single" w:sz="4" w:space="0" w:color="auto"/>
              <w:right w:val="single" w:sz="4" w:space="0" w:color="auto"/>
            </w:tcBorders>
            <w:vAlign w:val="center"/>
          </w:tcPr>
          <w:p w14:paraId="2D8C1CCD" w14:textId="77777777" w:rsidR="002A67EE" w:rsidRPr="005D241A" w:rsidRDefault="002A67EE" w:rsidP="00744211">
            <w:pPr>
              <w:spacing w:line="276" w:lineRule="auto"/>
              <w:jc w:val="right"/>
              <w:rPr>
                <w:sz w:val="22"/>
                <w:szCs w:val="22"/>
              </w:rPr>
            </w:pPr>
            <w:r w:rsidRPr="005D241A">
              <w:rPr>
                <w:sz w:val="22"/>
                <w:szCs w:val="22"/>
              </w:rPr>
              <w:t>11-0000</w:t>
            </w:r>
          </w:p>
        </w:tc>
      </w:tr>
      <w:tr w:rsidR="002A67EE" w:rsidRPr="005D241A" w14:paraId="13804386" w14:textId="77777777" w:rsidTr="002A67EE">
        <w:trPr>
          <w:trHeight w:val="270"/>
        </w:trPr>
        <w:tc>
          <w:tcPr>
            <w:tcW w:w="4588" w:type="dxa"/>
            <w:tcBorders>
              <w:top w:val="single" w:sz="4" w:space="0" w:color="auto"/>
              <w:left w:val="single" w:sz="4" w:space="0" w:color="auto"/>
              <w:bottom w:val="single" w:sz="4" w:space="0" w:color="auto"/>
              <w:right w:val="single" w:sz="4" w:space="0" w:color="auto"/>
            </w:tcBorders>
            <w:vAlign w:val="center"/>
          </w:tcPr>
          <w:p w14:paraId="07416C04" w14:textId="77777777" w:rsidR="002A67EE" w:rsidRPr="005D241A" w:rsidRDefault="002A67EE" w:rsidP="00744211">
            <w:pPr>
              <w:spacing w:line="276" w:lineRule="auto"/>
              <w:ind w:left="-108"/>
              <w:rPr>
                <w:rFonts w:eastAsia="Times New Roman"/>
                <w:sz w:val="22"/>
                <w:szCs w:val="22"/>
                <w:shd w:val="clear" w:color="auto" w:fill="FFFFFF"/>
              </w:rPr>
            </w:pPr>
            <w:r w:rsidRPr="005D241A">
              <w:rPr>
                <w:rFonts w:eastAsia="Times New Roman"/>
                <w:sz w:val="22"/>
                <w:szCs w:val="22"/>
                <w:shd w:val="clear" w:color="auto" w:fill="FFFFFF"/>
              </w:rPr>
              <w:t>Business &amp; Financial Operations</w:t>
            </w:r>
          </w:p>
        </w:tc>
        <w:tc>
          <w:tcPr>
            <w:tcW w:w="6857" w:type="dxa"/>
            <w:tcBorders>
              <w:top w:val="single" w:sz="4" w:space="0" w:color="auto"/>
              <w:left w:val="single" w:sz="4" w:space="0" w:color="auto"/>
              <w:bottom w:val="single" w:sz="4" w:space="0" w:color="auto"/>
              <w:right w:val="single" w:sz="4" w:space="0" w:color="auto"/>
            </w:tcBorders>
          </w:tcPr>
          <w:p w14:paraId="73D99584" w14:textId="77777777" w:rsidR="002A67EE" w:rsidRPr="005D241A" w:rsidRDefault="002A67EE" w:rsidP="00744211">
            <w:pPr>
              <w:spacing w:line="276" w:lineRule="auto"/>
              <w:rPr>
                <w:rFonts w:eastAsia="Times New Roman"/>
                <w:sz w:val="22"/>
                <w:szCs w:val="22"/>
              </w:rPr>
            </w:pPr>
            <w:r w:rsidRPr="005D241A">
              <w:rPr>
                <w:rFonts w:eastAsia="Times New Roman"/>
                <w:sz w:val="22"/>
                <w:szCs w:val="22"/>
              </w:rPr>
              <w:t>merchandise buyer, insurance adjuster, HR specialist, finance officer, bank examiner, accountant, loan officer, IRS agent, financial analyst</w:t>
            </w:r>
          </w:p>
        </w:tc>
        <w:tc>
          <w:tcPr>
            <w:tcW w:w="1600" w:type="dxa"/>
            <w:tcBorders>
              <w:top w:val="single" w:sz="4" w:space="0" w:color="auto"/>
              <w:left w:val="single" w:sz="4" w:space="0" w:color="auto"/>
              <w:bottom w:val="single" w:sz="4" w:space="0" w:color="auto"/>
              <w:right w:val="single" w:sz="4" w:space="0" w:color="auto"/>
            </w:tcBorders>
            <w:vAlign w:val="center"/>
          </w:tcPr>
          <w:p w14:paraId="7D49CE67" w14:textId="77777777" w:rsidR="002A67EE" w:rsidRPr="005D241A" w:rsidRDefault="002A67EE" w:rsidP="00744211">
            <w:pPr>
              <w:spacing w:line="276" w:lineRule="auto"/>
              <w:jc w:val="right"/>
              <w:rPr>
                <w:sz w:val="22"/>
                <w:szCs w:val="22"/>
              </w:rPr>
            </w:pPr>
            <w:r w:rsidRPr="005D241A">
              <w:rPr>
                <w:sz w:val="22"/>
                <w:szCs w:val="22"/>
              </w:rPr>
              <w:t>13-0000</w:t>
            </w:r>
          </w:p>
        </w:tc>
      </w:tr>
      <w:tr w:rsidR="002A67EE" w:rsidRPr="005D241A" w14:paraId="5D24E060" w14:textId="77777777" w:rsidTr="002A67EE">
        <w:trPr>
          <w:trHeight w:val="270"/>
        </w:trPr>
        <w:tc>
          <w:tcPr>
            <w:tcW w:w="4588" w:type="dxa"/>
            <w:tcBorders>
              <w:top w:val="single" w:sz="4" w:space="0" w:color="auto"/>
              <w:left w:val="single" w:sz="4" w:space="0" w:color="auto"/>
              <w:bottom w:val="single" w:sz="4" w:space="0" w:color="auto"/>
              <w:right w:val="single" w:sz="4" w:space="0" w:color="auto"/>
            </w:tcBorders>
            <w:vAlign w:val="center"/>
          </w:tcPr>
          <w:p w14:paraId="3AAB3A21" w14:textId="77777777" w:rsidR="002A67EE" w:rsidRPr="005D241A" w:rsidRDefault="002A67EE" w:rsidP="00744211">
            <w:pPr>
              <w:spacing w:line="276" w:lineRule="auto"/>
              <w:ind w:left="-108"/>
              <w:rPr>
                <w:rFonts w:eastAsia="Times New Roman"/>
                <w:sz w:val="22"/>
                <w:szCs w:val="22"/>
                <w:shd w:val="clear" w:color="auto" w:fill="FFFFFF"/>
              </w:rPr>
            </w:pPr>
            <w:r w:rsidRPr="005D241A">
              <w:rPr>
                <w:rFonts w:eastAsia="Times New Roman"/>
                <w:sz w:val="22"/>
                <w:szCs w:val="22"/>
                <w:shd w:val="clear" w:color="auto" w:fill="FFFFFF"/>
              </w:rPr>
              <w:t>Computer and mathematical</w:t>
            </w:r>
          </w:p>
        </w:tc>
        <w:tc>
          <w:tcPr>
            <w:tcW w:w="6857" w:type="dxa"/>
            <w:tcBorders>
              <w:top w:val="single" w:sz="4" w:space="0" w:color="auto"/>
              <w:left w:val="single" w:sz="4" w:space="0" w:color="auto"/>
              <w:bottom w:val="single" w:sz="4" w:space="0" w:color="auto"/>
              <w:right w:val="single" w:sz="4" w:space="0" w:color="auto"/>
            </w:tcBorders>
          </w:tcPr>
          <w:p w14:paraId="55E1E4A5" w14:textId="77777777" w:rsidR="002A67EE" w:rsidRPr="005D241A" w:rsidRDefault="002A67EE" w:rsidP="00744211">
            <w:pPr>
              <w:spacing w:line="276" w:lineRule="auto"/>
              <w:rPr>
                <w:rFonts w:eastAsia="Times New Roman"/>
                <w:sz w:val="22"/>
                <w:szCs w:val="22"/>
              </w:rPr>
            </w:pPr>
            <w:r w:rsidRPr="005D241A">
              <w:rPr>
                <w:rFonts w:eastAsia="Times New Roman"/>
                <w:sz w:val="22"/>
                <w:szCs w:val="22"/>
              </w:rPr>
              <w:t>computer systems architect, software developer, applications programmer, web designer, database security administrator, help desk technician, insurance actuary, biostatistician</w:t>
            </w:r>
          </w:p>
        </w:tc>
        <w:tc>
          <w:tcPr>
            <w:tcW w:w="1600" w:type="dxa"/>
            <w:tcBorders>
              <w:top w:val="single" w:sz="4" w:space="0" w:color="auto"/>
              <w:left w:val="single" w:sz="4" w:space="0" w:color="auto"/>
              <w:bottom w:val="single" w:sz="4" w:space="0" w:color="auto"/>
              <w:right w:val="single" w:sz="4" w:space="0" w:color="auto"/>
            </w:tcBorders>
            <w:vAlign w:val="center"/>
          </w:tcPr>
          <w:p w14:paraId="560D73EB" w14:textId="77777777" w:rsidR="002A67EE" w:rsidRPr="005D241A" w:rsidRDefault="002A67EE" w:rsidP="00744211">
            <w:pPr>
              <w:spacing w:line="276" w:lineRule="auto"/>
              <w:jc w:val="right"/>
              <w:rPr>
                <w:sz w:val="22"/>
                <w:szCs w:val="22"/>
              </w:rPr>
            </w:pPr>
            <w:r w:rsidRPr="005D241A">
              <w:rPr>
                <w:bCs/>
                <w:sz w:val="22"/>
                <w:szCs w:val="22"/>
              </w:rPr>
              <w:t>15-0000</w:t>
            </w:r>
          </w:p>
        </w:tc>
      </w:tr>
      <w:tr w:rsidR="002A67EE" w:rsidRPr="005D241A" w14:paraId="02A24015" w14:textId="77777777" w:rsidTr="002A67EE">
        <w:trPr>
          <w:trHeight w:val="270"/>
        </w:trPr>
        <w:tc>
          <w:tcPr>
            <w:tcW w:w="4588" w:type="dxa"/>
            <w:tcBorders>
              <w:top w:val="single" w:sz="4" w:space="0" w:color="auto"/>
              <w:left w:val="single" w:sz="4" w:space="0" w:color="auto"/>
              <w:bottom w:val="single" w:sz="4" w:space="0" w:color="auto"/>
              <w:right w:val="single" w:sz="4" w:space="0" w:color="auto"/>
            </w:tcBorders>
            <w:vAlign w:val="center"/>
          </w:tcPr>
          <w:p w14:paraId="6AC0B331" w14:textId="77777777" w:rsidR="002A67EE" w:rsidRPr="005D241A" w:rsidRDefault="002A67EE" w:rsidP="00744211">
            <w:pPr>
              <w:spacing w:line="276" w:lineRule="auto"/>
              <w:ind w:left="-108"/>
              <w:rPr>
                <w:rFonts w:eastAsia="Times New Roman"/>
                <w:sz w:val="22"/>
                <w:szCs w:val="22"/>
                <w:shd w:val="clear" w:color="auto" w:fill="FFFFFF"/>
              </w:rPr>
            </w:pPr>
            <w:r w:rsidRPr="005D241A">
              <w:rPr>
                <w:rFonts w:eastAsia="Times New Roman"/>
                <w:sz w:val="22"/>
                <w:szCs w:val="22"/>
                <w:shd w:val="clear" w:color="auto" w:fill="FFFFFF"/>
              </w:rPr>
              <w:t>Architecture and Engineering</w:t>
            </w:r>
          </w:p>
        </w:tc>
        <w:tc>
          <w:tcPr>
            <w:tcW w:w="6857" w:type="dxa"/>
            <w:tcBorders>
              <w:top w:val="single" w:sz="4" w:space="0" w:color="auto"/>
              <w:left w:val="single" w:sz="4" w:space="0" w:color="auto"/>
              <w:bottom w:val="single" w:sz="4" w:space="0" w:color="auto"/>
              <w:right w:val="single" w:sz="4" w:space="0" w:color="auto"/>
            </w:tcBorders>
          </w:tcPr>
          <w:p w14:paraId="7DA7435A" w14:textId="77777777" w:rsidR="002A67EE" w:rsidRPr="005D241A" w:rsidRDefault="002A67EE" w:rsidP="00744211">
            <w:pPr>
              <w:spacing w:line="276" w:lineRule="auto"/>
              <w:rPr>
                <w:rFonts w:eastAsia="Times New Roman"/>
                <w:sz w:val="22"/>
                <w:szCs w:val="22"/>
              </w:rPr>
            </w:pPr>
            <w:r w:rsidRPr="005D241A">
              <w:rPr>
                <w:rFonts w:eastAsia="Times New Roman"/>
                <w:sz w:val="22"/>
                <w:szCs w:val="22"/>
              </w:rPr>
              <w:t>building architect, landscape designer, land surveyor, plastics engineer, civil engineer, computer hardware designer, water treatment plant engineer, industrial hygienist, mechanical Engineer, electrical systems drafter</w:t>
            </w:r>
          </w:p>
        </w:tc>
        <w:tc>
          <w:tcPr>
            <w:tcW w:w="1600" w:type="dxa"/>
            <w:tcBorders>
              <w:top w:val="single" w:sz="4" w:space="0" w:color="auto"/>
              <w:left w:val="single" w:sz="4" w:space="0" w:color="auto"/>
              <w:bottom w:val="single" w:sz="4" w:space="0" w:color="auto"/>
              <w:right w:val="single" w:sz="4" w:space="0" w:color="auto"/>
            </w:tcBorders>
            <w:vAlign w:val="center"/>
          </w:tcPr>
          <w:p w14:paraId="14CFCAC2" w14:textId="77777777" w:rsidR="002A67EE" w:rsidRPr="005D241A" w:rsidRDefault="002A67EE" w:rsidP="00744211">
            <w:pPr>
              <w:spacing w:line="276" w:lineRule="auto"/>
              <w:jc w:val="right"/>
              <w:rPr>
                <w:sz w:val="22"/>
                <w:szCs w:val="22"/>
              </w:rPr>
            </w:pPr>
            <w:r w:rsidRPr="005D241A">
              <w:rPr>
                <w:bCs/>
                <w:sz w:val="22"/>
                <w:szCs w:val="22"/>
              </w:rPr>
              <w:t>17-0000</w:t>
            </w:r>
          </w:p>
        </w:tc>
      </w:tr>
      <w:tr w:rsidR="002A67EE" w:rsidRPr="005D241A" w14:paraId="370B7604" w14:textId="77777777" w:rsidTr="002A67EE">
        <w:trPr>
          <w:trHeight w:val="270"/>
        </w:trPr>
        <w:tc>
          <w:tcPr>
            <w:tcW w:w="4588" w:type="dxa"/>
            <w:tcBorders>
              <w:top w:val="single" w:sz="4" w:space="0" w:color="auto"/>
              <w:left w:val="single" w:sz="4" w:space="0" w:color="auto"/>
              <w:bottom w:val="single" w:sz="4" w:space="0" w:color="auto"/>
              <w:right w:val="single" w:sz="4" w:space="0" w:color="auto"/>
            </w:tcBorders>
            <w:vAlign w:val="center"/>
          </w:tcPr>
          <w:p w14:paraId="258123AC" w14:textId="77777777" w:rsidR="002A67EE" w:rsidRPr="005D241A" w:rsidRDefault="002A67EE" w:rsidP="00744211">
            <w:pPr>
              <w:spacing w:line="276" w:lineRule="auto"/>
              <w:ind w:left="-108"/>
              <w:rPr>
                <w:rFonts w:eastAsia="Times New Roman"/>
                <w:sz w:val="22"/>
                <w:szCs w:val="22"/>
                <w:shd w:val="clear" w:color="auto" w:fill="FFFFFF"/>
              </w:rPr>
            </w:pPr>
            <w:r w:rsidRPr="005D241A">
              <w:rPr>
                <w:rFonts w:eastAsia="Times New Roman"/>
                <w:sz w:val="22"/>
                <w:szCs w:val="22"/>
                <w:shd w:val="clear" w:color="auto" w:fill="FFFFFF"/>
              </w:rPr>
              <w:t>Life, physical, and social science</w:t>
            </w:r>
          </w:p>
        </w:tc>
        <w:tc>
          <w:tcPr>
            <w:tcW w:w="6857" w:type="dxa"/>
            <w:tcBorders>
              <w:top w:val="single" w:sz="4" w:space="0" w:color="auto"/>
              <w:left w:val="single" w:sz="4" w:space="0" w:color="auto"/>
              <w:bottom w:val="single" w:sz="4" w:space="0" w:color="auto"/>
              <w:right w:val="single" w:sz="4" w:space="0" w:color="auto"/>
            </w:tcBorders>
          </w:tcPr>
          <w:p w14:paraId="6642403F" w14:textId="77777777" w:rsidR="002A67EE" w:rsidRPr="005D241A" w:rsidRDefault="002A67EE" w:rsidP="00744211">
            <w:pPr>
              <w:spacing w:line="276" w:lineRule="auto"/>
              <w:rPr>
                <w:rFonts w:eastAsia="Times New Roman"/>
                <w:sz w:val="22"/>
                <w:szCs w:val="22"/>
              </w:rPr>
            </w:pPr>
            <w:r w:rsidRPr="005D241A">
              <w:rPr>
                <w:rFonts w:eastAsia="Times New Roman"/>
                <w:sz w:val="22"/>
                <w:szCs w:val="22"/>
              </w:rPr>
              <w:t>horticulturalist, biochemist, cancer researcher, economist, school psychologist, city planner, GIS geographer, political consultant, crime scene technician, laboratory research assistant</w:t>
            </w:r>
          </w:p>
        </w:tc>
        <w:tc>
          <w:tcPr>
            <w:tcW w:w="1600" w:type="dxa"/>
            <w:tcBorders>
              <w:top w:val="single" w:sz="4" w:space="0" w:color="auto"/>
              <w:left w:val="single" w:sz="4" w:space="0" w:color="auto"/>
              <w:bottom w:val="single" w:sz="4" w:space="0" w:color="auto"/>
              <w:right w:val="single" w:sz="4" w:space="0" w:color="auto"/>
            </w:tcBorders>
            <w:vAlign w:val="center"/>
          </w:tcPr>
          <w:p w14:paraId="16A79BAA" w14:textId="77777777" w:rsidR="002A67EE" w:rsidRPr="005D241A" w:rsidRDefault="002A67EE" w:rsidP="00744211">
            <w:pPr>
              <w:spacing w:line="276" w:lineRule="auto"/>
              <w:jc w:val="right"/>
              <w:rPr>
                <w:sz w:val="22"/>
                <w:szCs w:val="22"/>
              </w:rPr>
            </w:pPr>
            <w:r w:rsidRPr="005D241A">
              <w:rPr>
                <w:bCs/>
                <w:sz w:val="22"/>
                <w:szCs w:val="22"/>
              </w:rPr>
              <w:t>19-0000</w:t>
            </w:r>
          </w:p>
        </w:tc>
      </w:tr>
      <w:tr w:rsidR="002A67EE" w:rsidRPr="005D241A" w14:paraId="4F0B0C0E" w14:textId="77777777" w:rsidTr="002A67EE">
        <w:trPr>
          <w:trHeight w:val="270"/>
        </w:trPr>
        <w:tc>
          <w:tcPr>
            <w:tcW w:w="4588" w:type="dxa"/>
            <w:tcBorders>
              <w:top w:val="single" w:sz="4" w:space="0" w:color="auto"/>
              <w:left w:val="single" w:sz="4" w:space="0" w:color="auto"/>
              <w:bottom w:val="single" w:sz="4" w:space="0" w:color="auto"/>
              <w:right w:val="single" w:sz="4" w:space="0" w:color="auto"/>
            </w:tcBorders>
            <w:vAlign w:val="center"/>
          </w:tcPr>
          <w:p w14:paraId="4DBB4634" w14:textId="77777777" w:rsidR="002A67EE" w:rsidRPr="005D241A" w:rsidRDefault="002A67EE" w:rsidP="00744211">
            <w:pPr>
              <w:spacing w:line="276" w:lineRule="auto"/>
              <w:ind w:left="-108"/>
              <w:rPr>
                <w:rFonts w:eastAsia="Times New Roman"/>
                <w:sz w:val="22"/>
                <w:szCs w:val="22"/>
                <w:shd w:val="clear" w:color="auto" w:fill="FFFFFF"/>
              </w:rPr>
            </w:pPr>
            <w:r w:rsidRPr="005D241A">
              <w:rPr>
                <w:rFonts w:eastAsia="Times New Roman"/>
                <w:sz w:val="22"/>
                <w:szCs w:val="22"/>
                <w:shd w:val="clear" w:color="auto" w:fill="FFFFFF"/>
              </w:rPr>
              <w:t>Community and social services</w:t>
            </w:r>
          </w:p>
        </w:tc>
        <w:tc>
          <w:tcPr>
            <w:tcW w:w="6857" w:type="dxa"/>
            <w:tcBorders>
              <w:top w:val="single" w:sz="4" w:space="0" w:color="auto"/>
              <w:left w:val="single" w:sz="4" w:space="0" w:color="auto"/>
              <w:bottom w:val="single" w:sz="4" w:space="0" w:color="auto"/>
              <w:right w:val="single" w:sz="4" w:space="0" w:color="auto"/>
            </w:tcBorders>
          </w:tcPr>
          <w:p w14:paraId="24810F0F" w14:textId="77777777" w:rsidR="002A67EE" w:rsidRPr="005D241A" w:rsidRDefault="002A67EE" w:rsidP="00744211">
            <w:pPr>
              <w:spacing w:line="276" w:lineRule="auto"/>
              <w:rPr>
                <w:rFonts w:eastAsia="Times New Roman"/>
                <w:sz w:val="22"/>
                <w:szCs w:val="22"/>
              </w:rPr>
            </w:pPr>
            <w:r w:rsidRPr="005D241A">
              <w:rPr>
                <w:rFonts w:eastAsia="Times New Roman"/>
                <w:sz w:val="22"/>
                <w:szCs w:val="22"/>
              </w:rPr>
              <w:t>alcohol and drug counselor, vocational rehabilitation counselor, social worker, health educator, probation officer, community health worker, clergy</w:t>
            </w:r>
          </w:p>
        </w:tc>
        <w:tc>
          <w:tcPr>
            <w:tcW w:w="1600" w:type="dxa"/>
            <w:tcBorders>
              <w:top w:val="single" w:sz="4" w:space="0" w:color="auto"/>
              <w:left w:val="single" w:sz="4" w:space="0" w:color="auto"/>
              <w:bottom w:val="single" w:sz="4" w:space="0" w:color="auto"/>
              <w:right w:val="single" w:sz="4" w:space="0" w:color="auto"/>
            </w:tcBorders>
            <w:vAlign w:val="center"/>
          </w:tcPr>
          <w:p w14:paraId="062B87F2" w14:textId="77777777" w:rsidR="002A67EE" w:rsidRPr="005D241A" w:rsidRDefault="002A67EE" w:rsidP="00744211">
            <w:pPr>
              <w:spacing w:line="276" w:lineRule="auto"/>
              <w:jc w:val="right"/>
              <w:rPr>
                <w:sz w:val="22"/>
                <w:szCs w:val="22"/>
              </w:rPr>
            </w:pPr>
            <w:r w:rsidRPr="005D241A">
              <w:rPr>
                <w:bCs/>
                <w:sz w:val="22"/>
                <w:szCs w:val="22"/>
              </w:rPr>
              <w:t>21-0000</w:t>
            </w:r>
          </w:p>
        </w:tc>
      </w:tr>
      <w:tr w:rsidR="002A67EE" w:rsidRPr="005D241A" w14:paraId="4BD9C4AE" w14:textId="77777777" w:rsidTr="002A67EE">
        <w:trPr>
          <w:trHeight w:val="270"/>
        </w:trPr>
        <w:tc>
          <w:tcPr>
            <w:tcW w:w="4588" w:type="dxa"/>
            <w:tcBorders>
              <w:top w:val="single" w:sz="4" w:space="0" w:color="auto"/>
              <w:left w:val="single" w:sz="4" w:space="0" w:color="auto"/>
              <w:bottom w:val="single" w:sz="4" w:space="0" w:color="auto"/>
              <w:right w:val="single" w:sz="4" w:space="0" w:color="auto"/>
            </w:tcBorders>
            <w:vAlign w:val="center"/>
          </w:tcPr>
          <w:p w14:paraId="75DA5750" w14:textId="77777777" w:rsidR="002A67EE" w:rsidRPr="005D241A" w:rsidRDefault="002A67EE" w:rsidP="00744211">
            <w:pPr>
              <w:spacing w:line="276" w:lineRule="auto"/>
              <w:ind w:left="-108"/>
              <w:rPr>
                <w:rFonts w:eastAsia="Times New Roman"/>
                <w:sz w:val="22"/>
                <w:szCs w:val="22"/>
                <w:shd w:val="clear" w:color="auto" w:fill="FFFFFF"/>
              </w:rPr>
            </w:pPr>
            <w:r w:rsidRPr="005D241A">
              <w:rPr>
                <w:rFonts w:eastAsia="Times New Roman"/>
                <w:sz w:val="22"/>
                <w:szCs w:val="22"/>
                <w:shd w:val="clear" w:color="auto" w:fill="FFFFFF"/>
              </w:rPr>
              <w:t>Legal</w:t>
            </w:r>
          </w:p>
        </w:tc>
        <w:tc>
          <w:tcPr>
            <w:tcW w:w="6857" w:type="dxa"/>
            <w:tcBorders>
              <w:top w:val="single" w:sz="4" w:space="0" w:color="auto"/>
              <w:left w:val="single" w:sz="4" w:space="0" w:color="auto"/>
              <w:bottom w:val="single" w:sz="4" w:space="0" w:color="auto"/>
              <w:right w:val="single" w:sz="4" w:space="0" w:color="auto"/>
            </w:tcBorders>
          </w:tcPr>
          <w:p w14:paraId="54549D49" w14:textId="77777777" w:rsidR="002A67EE" w:rsidRPr="005D241A" w:rsidRDefault="002A67EE" w:rsidP="00744211">
            <w:pPr>
              <w:spacing w:line="276" w:lineRule="auto"/>
              <w:rPr>
                <w:rFonts w:eastAsia="Times New Roman"/>
                <w:sz w:val="22"/>
                <w:szCs w:val="22"/>
              </w:rPr>
            </w:pPr>
            <w:r w:rsidRPr="005D241A">
              <w:rPr>
                <w:rFonts w:eastAsia="Times New Roman"/>
                <w:sz w:val="22"/>
                <w:szCs w:val="22"/>
              </w:rPr>
              <w:t>public defender, judge, paralegal, court stenographer, title officer</w:t>
            </w:r>
          </w:p>
        </w:tc>
        <w:tc>
          <w:tcPr>
            <w:tcW w:w="1600" w:type="dxa"/>
            <w:tcBorders>
              <w:top w:val="single" w:sz="4" w:space="0" w:color="auto"/>
              <w:left w:val="single" w:sz="4" w:space="0" w:color="auto"/>
              <w:bottom w:val="single" w:sz="4" w:space="0" w:color="auto"/>
              <w:right w:val="single" w:sz="4" w:space="0" w:color="auto"/>
            </w:tcBorders>
            <w:vAlign w:val="center"/>
          </w:tcPr>
          <w:p w14:paraId="4D22D1DC" w14:textId="77777777" w:rsidR="002A67EE" w:rsidRPr="005D241A" w:rsidRDefault="002A67EE" w:rsidP="00744211">
            <w:pPr>
              <w:spacing w:line="276" w:lineRule="auto"/>
              <w:jc w:val="right"/>
              <w:rPr>
                <w:sz w:val="22"/>
                <w:szCs w:val="22"/>
              </w:rPr>
            </w:pPr>
            <w:r w:rsidRPr="005D241A">
              <w:rPr>
                <w:bCs/>
                <w:sz w:val="22"/>
                <w:szCs w:val="22"/>
              </w:rPr>
              <w:t>23-0000</w:t>
            </w:r>
          </w:p>
        </w:tc>
      </w:tr>
      <w:tr w:rsidR="002A67EE" w:rsidRPr="005D241A" w14:paraId="365BF70C" w14:textId="77777777" w:rsidTr="002A67EE">
        <w:trPr>
          <w:trHeight w:val="270"/>
        </w:trPr>
        <w:tc>
          <w:tcPr>
            <w:tcW w:w="4588" w:type="dxa"/>
            <w:tcBorders>
              <w:top w:val="single" w:sz="4" w:space="0" w:color="auto"/>
              <w:left w:val="single" w:sz="4" w:space="0" w:color="auto"/>
              <w:bottom w:val="single" w:sz="4" w:space="0" w:color="auto"/>
              <w:right w:val="single" w:sz="4" w:space="0" w:color="auto"/>
            </w:tcBorders>
            <w:vAlign w:val="center"/>
            <w:hideMark/>
          </w:tcPr>
          <w:p w14:paraId="7C5B264B" w14:textId="77777777" w:rsidR="002A67EE" w:rsidRPr="005D241A" w:rsidRDefault="002A67EE" w:rsidP="00744211">
            <w:pPr>
              <w:spacing w:line="276" w:lineRule="auto"/>
              <w:ind w:left="-108"/>
              <w:rPr>
                <w:rFonts w:eastAsia="Times New Roman"/>
                <w:sz w:val="22"/>
                <w:szCs w:val="22"/>
              </w:rPr>
            </w:pPr>
            <w:r w:rsidRPr="005D241A">
              <w:rPr>
                <w:rFonts w:eastAsia="Times New Roman"/>
                <w:sz w:val="22"/>
                <w:szCs w:val="22"/>
                <w:shd w:val="clear" w:color="auto" w:fill="FFFFFF"/>
              </w:rPr>
              <w:t xml:space="preserve">Education, Training, &amp; Library </w:t>
            </w:r>
          </w:p>
        </w:tc>
        <w:tc>
          <w:tcPr>
            <w:tcW w:w="6857" w:type="dxa"/>
            <w:tcBorders>
              <w:top w:val="single" w:sz="4" w:space="0" w:color="auto"/>
              <w:left w:val="single" w:sz="4" w:space="0" w:color="auto"/>
              <w:bottom w:val="single" w:sz="4" w:space="0" w:color="auto"/>
              <w:right w:val="single" w:sz="4" w:space="0" w:color="auto"/>
            </w:tcBorders>
            <w:hideMark/>
          </w:tcPr>
          <w:p w14:paraId="4FD8F857" w14:textId="77777777" w:rsidR="002A67EE" w:rsidRPr="005D241A" w:rsidRDefault="002A67EE" w:rsidP="00744211">
            <w:pPr>
              <w:spacing w:line="276" w:lineRule="auto"/>
              <w:rPr>
                <w:rFonts w:eastAsia="Times New Roman"/>
                <w:sz w:val="22"/>
                <w:szCs w:val="22"/>
              </w:rPr>
            </w:pPr>
            <w:r w:rsidRPr="005D241A">
              <w:rPr>
                <w:rFonts w:eastAsia="Times New Roman"/>
                <w:sz w:val="22"/>
                <w:szCs w:val="22"/>
              </w:rPr>
              <w:t>preschool teacher, high school teacher, tutor, librarian, professor, athletic coach, art conservator, law librarian</w:t>
            </w:r>
          </w:p>
        </w:tc>
        <w:tc>
          <w:tcPr>
            <w:tcW w:w="1600" w:type="dxa"/>
            <w:tcBorders>
              <w:top w:val="single" w:sz="4" w:space="0" w:color="auto"/>
              <w:left w:val="single" w:sz="4" w:space="0" w:color="auto"/>
              <w:bottom w:val="single" w:sz="4" w:space="0" w:color="auto"/>
              <w:right w:val="single" w:sz="4" w:space="0" w:color="auto"/>
            </w:tcBorders>
            <w:vAlign w:val="center"/>
          </w:tcPr>
          <w:p w14:paraId="51BC0D6D" w14:textId="77777777" w:rsidR="002A67EE" w:rsidRPr="005D241A" w:rsidRDefault="002A67EE" w:rsidP="00744211">
            <w:pPr>
              <w:spacing w:line="276" w:lineRule="auto"/>
              <w:jc w:val="right"/>
              <w:rPr>
                <w:sz w:val="22"/>
                <w:szCs w:val="22"/>
              </w:rPr>
            </w:pPr>
            <w:r w:rsidRPr="005D241A">
              <w:rPr>
                <w:sz w:val="22"/>
                <w:szCs w:val="22"/>
              </w:rPr>
              <w:t>25-0000</w:t>
            </w:r>
          </w:p>
        </w:tc>
      </w:tr>
      <w:tr w:rsidR="002A67EE" w:rsidRPr="005D241A" w14:paraId="4E663AB4" w14:textId="77777777" w:rsidTr="002A67EE">
        <w:trPr>
          <w:trHeight w:val="270"/>
        </w:trPr>
        <w:tc>
          <w:tcPr>
            <w:tcW w:w="4588" w:type="dxa"/>
            <w:tcBorders>
              <w:top w:val="single" w:sz="4" w:space="0" w:color="auto"/>
              <w:left w:val="single" w:sz="4" w:space="0" w:color="auto"/>
              <w:bottom w:val="single" w:sz="4" w:space="0" w:color="auto"/>
              <w:right w:val="single" w:sz="4" w:space="0" w:color="auto"/>
            </w:tcBorders>
            <w:vAlign w:val="center"/>
          </w:tcPr>
          <w:p w14:paraId="01216925" w14:textId="77777777" w:rsidR="002A67EE" w:rsidRPr="005D241A" w:rsidRDefault="002A67EE" w:rsidP="00744211">
            <w:pPr>
              <w:spacing w:line="276" w:lineRule="auto"/>
              <w:ind w:left="-108"/>
              <w:rPr>
                <w:rFonts w:eastAsia="Times New Roman"/>
                <w:sz w:val="22"/>
                <w:szCs w:val="22"/>
                <w:shd w:val="clear" w:color="auto" w:fill="FFFFFF"/>
              </w:rPr>
            </w:pPr>
            <w:r w:rsidRPr="005D241A">
              <w:rPr>
                <w:rFonts w:eastAsia="Times New Roman"/>
                <w:sz w:val="22"/>
                <w:szCs w:val="22"/>
                <w:shd w:val="clear" w:color="auto" w:fill="FFFFFF"/>
              </w:rPr>
              <w:t>Arts, design, entertainment, sports, &amp; media</w:t>
            </w:r>
          </w:p>
        </w:tc>
        <w:tc>
          <w:tcPr>
            <w:tcW w:w="6857" w:type="dxa"/>
            <w:tcBorders>
              <w:top w:val="single" w:sz="4" w:space="0" w:color="auto"/>
              <w:left w:val="single" w:sz="4" w:space="0" w:color="auto"/>
              <w:bottom w:val="single" w:sz="4" w:space="0" w:color="auto"/>
              <w:right w:val="single" w:sz="4" w:space="0" w:color="auto"/>
            </w:tcBorders>
          </w:tcPr>
          <w:p w14:paraId="79CB657D" w14:textId="77777777" w:rsidR="002A67EE" w:rsidRPr="005D241A" w:rsidRDefault="002A67EE" w:rsidP="00744211">
            <w:pPr>
              <w:spacing w:line="276" w:lineRule="auto"/>
              <w:rPr>
                <w:rFonts w:eastAsia="Times New Roman"/>
                <w:sz w:val="22"/>
                <w:szCs w:val="22"/>
              </w:rPr>
            </w:pPr>
            <w:r w:rsidRPr="005D241A">
              <w:rPr>
                <w:rFonts w:eastAsia="Times New Roman"/>
                <w:sz w:val="22"/>
                <w:szCs w:val="22"/>
              </w:rPr>
              <w:t xml:space="preserve">tattoo artist, florist, graphic designer, actor, baseball player, swim coach, choreographer, songwriter, newscaster, </w:t>
            </w:r>
            <w:proofErr w:type="gramStart"/>
            <w:r w:rsidRPr="005D241A">
              <w:rPr>
                <w:rFonts w:eastAsia="Times New Roman"/>
                <w:sz w:val="22"/>
                <w:szCs w:val="22"/>
              </w:rPr>
              <w:t>sports writer</w:t>
            </w:r>
            <w:proofErr w:type="gramEnd"/>
            <w:r w:rsidRPr="005D241A">
              <w:rPr>
                <w:rFonts w:eastAsia="Times New Roman"/>
                <w:sz w:val="22"/>
                <w:szCs w:val="22"/>
              </w:rPr>
              <w:t>, translator, video production assistant, camera operator</w:t>
            </w:r>
          </w:p>
        </w:tc>
        <w:tc>
          <w:tcPr>
            <w:tcW w:w="1600" w:type="dxa"/>
            <w:tcBorders>
              <w:top w:val="single" w:sz="4" w:space="0" w:color="auto"/>
              <w:left w:val="single" w:sz="4" w:space="0" w:color="auto"/>
              <w:bottom w:val="single" w:sz="4" w:space="0" w:color="auto"/>
              <w:right w:val="single" w:sz="4" w:space="0" w:color="auto"/>
            </w:tcBorders>
            <w:vAlign w:val="center"/>
          </w:tcPr>
          <w:p w14:paraId="0B015D55" w14:textId="77777777" w:rsidR="002A67EE" w:rsidRPr="005D241A" w:rsidRDefault="002A67EE" w:rsidP="00744211">
            <w:pPr>
              <w:spacing w:line="276" w:lineRule="auto"/>
              <w:jc w:val="right"/>
              <w:rPr>
                <w:sz w:val="22"/>
                <w:szCs w:val="22"/>
              </w:rPr>
            </w:pPr>
            <w:r w:rsidRPr="005D241A">
              <w:rPr>
                <w:bCs/>
                <w:sz w:val="22"/>
                <w:szCs w:val="22"/>
              </w:rPr>
              <w:t>27-0000</w:t>
            </w:r>
          </w:p>
        </w:tc>
      </w:tr>
      <w:tr w:rsidR="002A67EE" w:rsidRPr="005D241A" w14:paraId="1B0BE3A3" w14:textId="77777777" w:rsidTr="002A67EE">
        <w:trPr>
          <w:trHeight w:val="270"/>
        </w:trPr>
        <w:tc>
          <w:tcPr>
            <w:tcW w:w="4588" w:type="dxa"/>
            <w:tcBorders>
              <w:top w:val="single" w:sz="4" w:space="0" w:color="auto"/>
              <w:left w:val="single" w:sz="4" w:space="0" w:color="auto"/>
              <w:bottom w:val="single" w:sz="4" w:space="0" w:color="auto"/>
              <w:right w:val="single" w:sz="4" w:space="0" w:color="auto"/>
            </w:tcBorders>
            <w:vAlign w:val="center"/>
            <w:hideMark/>
          </w:tcPr>
          <w:p w14:paraId="42E6E767" w14:textId="77777777" w:rsidR="002A67EE" w:rsidRPr="005D241A" w:rsidRDefault="002A67EE" w:rsidP="00744211">
            <w:pPr>
              <w:spacing w:line="276" w:lineRule="auto"/>
              <w:ind w:left="-108"/>
              <w:rPr>
                <w:rFonts w:eastAsia="Times New Roman"/>
                <w:sz w:val="22"/>
                <w:szCs w:val="22"/>
              </w:rPr>
            </w:pPr>
            <w:r w:rsidRPr="005D241A">
              <w:rPr>
                <w:rFonts w:eastAsia="Times New Roman"/>
                <w:sz w:val="22"/>
                <w:szCs w:val="22"/>
                <w:shd w:val="clear" w:color="auto" w:fill="FFFFFF"/>
              </w:rPr>
              <w:lastRenderedPageBreak/>
              <w:t xml:space="preserve">Healthcare Practitioner &amp; Technical </w:t>
            </w:r>
          </w:p>
        </w:tc>
        <w:tc>
          <w:tcPr>
            <w:tcW w:w="6857" w:type="dxa"/>
            <w:tcBorders>
              <w:top w:val="single" w:sz="4" w:space="0" w:color="auto"/>
              <w:left w:val="single" w:sz="4" w:space="0" w:color="auto"/>
              <w:bottom w:val="single" w:sz="4" w:space="0" w:color="auto"/>
              <w:right w:val="single" w:sz="4" w:space="0" w:color="auto"/>
            </w:tcBorders>
            <w:hideMark/>
          </w:tcPr>
          <w:p w14:paraId="2F48365B" w14:textId="77777777" w:rsidR="002A67EE" w:rsidRPr="005D241A" w:rsidRDefault="002A67EE" w:rsidP="00744211">
            <w:pPr>
              <w:spacing w:line="276" w:lineRule="auto"/>
              <w:rPr>
                <w:rFonts w:eastAsia="Times New Roman"/>
                <w:sz w:val="22"/>
                <w:szCs w:val="22"/>
              </w:rPr>
            </w:pPr>
            <w:r w:rsidRPr="005D241A">
              <w:rPr>
                <w:rFonts w:eastAsia="Times New Roman"/>
                <w:sz w:val="22"/>
                <w:szCs w:val="22"/>
              </w:rPr>
              <w:t>pharmacist, physician, nutritionist, speech pathologist, EMT, veterinary tech, x-ray tech, registered nurse, licensed practical nurse, physical therapist, dental hygienist, optician, medical records specialist, athletic trainer</w:t>
            </w:r>
          </w:p>
        </w:tc>
        <w:tc>
          <w:tcPr>
            <w:tcW w:w="1600" w:type="dxa"/>
            <w:tcBorders>
              <w:top w:val="single" w:sz="4" w:space="0" w:color="auto"/>
              <w:left w:val="single" w:sz="4" w:space="0" w:color="auto"/>
              <w:bottom w:val="single" w:sz="4" w:space="0" w:color="auto"/>
              <w:right w:val="single" w:sz="4" w:space="0" w:color="auto"/>
            </w:tcBorders>
            <w:vAlign w:val="center"/>
          </w:tcPr>
          <w:p w14:paraId="005A1608" w14:textId="77777777" w:rsidR="002A67EE" w:rsidRPr="005D241A" w:rsidRDefault="002A67EE" w:rsidP="00744211">
            <w:pPr>
              <w:spacing w:line="276" w:lineRule="auto"/>
              <w:jc w:val="right"/>
              <w:rPr>
                <w:sz w:val="22"/>
                <w:szCs w:val="22"/>
              </w:rPr>
            </w:pPr>
            <w:r w:rsidRPr="005D241A">
              <w:rPr>
                <w:sz w:val="22"/>
                <w:szCs w:val="22"/>
              </w:rPr>
              <w:t xml:space="preserve">29-0000 </w:t>
            </w:r>
          </w:p>
        </w:tc>
      </w:tr>
      <w:tr w:rsidR="002A67EE" w:rsidRPr="005D241A" w14:paraId="5DB43206" w14:textId="77777777" w:rsidTr="002A67EE">
        <w:trPr>
          <w:trHeight w:val="270"/>
        </w:trPr>
        <w:tc>
          <w:tcPr>
            <w:tcW w:w="4588" w:type="dxa"/>
            <w:tcBorders>
              <w:top w:val="single" w:sz="4" w:space="0" w:color="auto"/>
              <w:left w:val="single" w:sz="4" w:space="0" w:color="auto"/>
              <w:bottom w:val="single" w:sz="4" w:space="0" w:color="auto"/>
              <w:right w:val="single" w:sz="4" w:space="0" w:color="auto"/>
            </w:tcBorders>
            <w:vAlign w:val="center"/>
            <w:hideMark/>
          </w:tcPr>
          <w:p w14:paraId="32289692" w14:textId="77777777" w:rsidR="002A67EE" w:rsidRPr="005D241A" w:rsidRDefault="002A67EE" w:rsidP="00744211">
            <w:pPr>
              <w:spacing w:line="276" w:lineRule="auto"/>
              <w:ind w:left="-108"/>
              <w:rPr>
                <w:rFonts w:eastAsia="Times New Roman"/>
                <w:sz w:val="22"/>
                <w:szCs w:val="22"/>
              </w:rPr>
            </w:pPr>
            <w:r w:rsidRPr="005D241A">
              <w:rPr>
                <w:rFonts w:eastAsia="Times New Roman"/>
                <w:sz w:val="22"/>
                <w:szCs w:val="22"/>
                <w:shd w:val="clear" w:color="auto" w:fill="FFFFFF"/>
              </w:rPr>
              <w:t xml:space="preserve">Healthcare Support </w:t>
            </w:r>
          </w:p>
        </w:tc>
        <w:tc>
          <w:tcPr>
            <w:tcW w:w="6857" w:type="dxa"/>
            <w:tcBorders>
              <w:top w:val="single" w:sz="4" w:space="0" w:color="auto"/>
              <w:left w:val="single" w:sz="4" w:space="0" w:color="auto"/>
              <w:bottom w:val="single" w:sz="4" w:space="0" w:color="auto"/>
              <w:right w:val="single" w:sz="4" w:space="0" w:color="auto"/>
            </w:tcBorders>
            <w:hideMark/>
          </w:tcPr>
          <w:p w14:paraId="5A25234C" w14:textId="77777777" w:rsidR="002A67EE" w:rsidRPr="005D241A" w:rsidRDefault="002A67EE" w:rsidP="00744211">
            <w:pPr>
              <w:spacing w:line="276" w:lineRule="auto"/>
              <w:rPr>
                <w:rFonts w:eastAsia="Times New Roman"/>
                <w:sz w:val="22"/>
                <w:szCs w:val="22"/>
              </w:rPr>
            </w:pPr>
            <w:r w:rsidRPr="005D241A">
              <w:rPr>
                <w:rFonts w:eastAsia="Times New Roman"/>
                <w:sz w:val="22"/>
                <w:szCs w:val="22"/>
              </w:rPr>
              <w:t xml:space="preserve">home health aide, nurse’s aide, medical/dental assistant, pharmacy assistant, massage therapist, hospital orderly, phlebotomist </w:t>
            </w:r>
          </w:p>
        </w:tc>
        <w:tc>
          <w:tcPr>
            <w:tcW w:w="1600" w:type="dxa"/>
            <w:tcBorders>
              <w:top w:val="single" w:sz="4" w:space="0" w:color="auto"/>
              <w:left w:val="single" w:sz="4" w:space="0" w:color="auto"/>
              <w:bottom w:val="single" w:sz="4" w:space="0" w:color="auto"/>
              <w:right w:val="single" w:sz="4" w:space="0" w:color="auto"/>
            </w:tcBorders>
            <w:vAlign w:val="center"/>
          </w:tcPr>
          <w:p w14:paraId="5DC806A8" w14:textId="77777777" w:rsidR="002A67EE" w:rsidRPr="005D241A" w:rsidRDefault="002A67EE" w:rsidP="00744211">
            <w:pPr>
              <w:spacing w:line="276" w:lineRule="auto"/>
              <w:jc w:val="right"/>
              <w:rPr>
                <w:sz w:val="22"/>
                <w:szCs w:val="22"/>
              </w:rPr>
            </w:pPr>
            <w:r w:rsidRPr="005D241A">
              <w:rPr>
                <w:sz w:val="22"/>
                <w:szCs w:val="22"/>
              </w:rPr>
              <w:t>31-0000</w:t>
            </w:r>
          </w:p>
        </w:tc>
      </w:tr>
      <w:tr w:rsidR="002A67EE" w:rsidRPr="005D241A" w14:paraId="193939BD" w14:textId="77777777" w:rsidTr="002A67EE">
        <w:trPr>
          <w:trHeight w:val="270"/>
        </w:trPr>
        <w:tc>
          <w:tcPr>
            <w:tcW w:w="4588" w:type="dxa"/>
            <w:tcBorders>
              <w:top w:val="single" w:sz="4" w:space="0" w:color="auto"/>
              <w:left w:val="single" w:sz="4" w:space="0" w:color="auto"/>
              <w:bottom w:val="single" w:sz="4" w:space="0" w:color="auto"/>
              <w:right w:val="single" w:sz="4" w:space="0" w:color="auto"/>
            </w:tcBorders>
            <w:vAlign w:val="center"/>
            <w:hideMark/>
          </w:tcPr>
          <w:p w14:paraId="64EFE599" w14:textId="77777777" w:rsidR="002A67EE" w:rsidRPr="005D241A" w:rsidRDefault="002A67EE" w:rsidP="00744211">
            <w:pPr>
              <w:spacing w:line="276" w:lineRule="auto"/>
              <w:ind w:left="-108"/>
              <w:rPr>
                <w:rFonts w:eastAsia="Times New Roman"/>
                <w:sz w:val="22"/>
                <w:szCs w:val="22"/>
                <w:shd w:val="clear" w:color="auto" w:fill="FFFFFF"/>
              </w:rPr>
            </w:pPr>
            <w:r w:rsidRPr="005D241A">
              <w:rPr>
                <w:rFonts w:eastAsia="Times New Roman"/>
                <w:sz w:val="22"/>
                <w:szCs w:val="22"/>
                <w:shd w:val="clear" w:color="auto" w:fill="FFFFFF"/>
              </w:rPr>
              <w:t xml:space="preserve">Protective Service </w:t>
            </w:r>
          </w:p>
        </w:tc>
        <w:tc>
          <w:tcPr>
            <w:tcW w:w="6857" w:type="dxa"/>
            <w:tcBorders>
              <w:top w:val="single" w:sz="4" w:space="0" w:color="auto"/>
              <w:left w:val="single" w:sz="4" w:space="0" w:color="auto"/>
              <w:bottom w:val="single" w:sz="4" w:space="0" w:color="auto"/>
              <w:right w:val="single" w:sz="4" w:space="0" w:color="auto"/>
            </w:tcBorders>
            <w:hideMark/>
          </w:tcPr>
          <w:p w14:paraId="6247FB1E" w14:textId="77777777" w:rsidR="002A67EE" w:rsidRPr="005D241A" w:rsidRDefault="002A67EE" w:rsidP="00744211">
            <w:pPr>
              <w:spacing w:line="276" w:lineRule="auto"/>
              <w:rPr>
                <w:rFonts w:eastAsia="Times New Roman"/>
                <w:sz w:val="22"/>
                <w:szCs w:val="22"/>
              </w:rPr>
            </w:pPr>
            <w:r w:rsidRPr="005D241A">
              <w:rPr>
                <w:rFonts w:eastAsia="Times New Roman"/>
                <w:sz w:val="22"/>
                <w:szCs w:val="22"/>
              </w:rPr>
              <w:t>corrections officer, police officer, fire fighter, bailiff, animal control worker, security guard, lifeguard, parking enforcement worker, school crossing guard</w:t>
            </w:r>
          </w:p>
        </w:tc>
        <w:tc>
          <w:tcPr>
            <w:tcW w:w="1600" w:type="dxa"/>
            <w:tcBorders>
              <w:top w:val="single" w:sz="4" w:space="0" w:color="auto"/>
              <w:left w:val="single" w:sz="4" w:space="0" w:color="auto"/>
              <w:bottom w:val="single" w:sz="4" w:space="0" w:color="auto"/>
              <w:right w:val="single" w:sz="4" w:space="0" w:color="auto"/>
            </w:tcBorders>
            <w:vAlign w:val="center"/>
          </w:tcPr>
          <w:p w14:paraId="7E79943F" w14:textId="77777777" w:rsidR="002A67EE" w:rsidRPr="005D241A" w:rsidRDefault="002A67EE" w:rsidP="00744211">
            <w:pPr>
              <w:spacing w:line="276" w:lineRule="auto"/>
              <w:jc w:val="right"/>
              <w:rPr>
                <w:sz w:val="22"/>
                <w:szCs w:val="22"/>
              </w:rPr>
            </w:pPr>
            <w:r w:rsidRPr="005D241A">
              <w:rPr>
                <w:sz w:val="22"/>
                <w:szCs w:val="22"/>
              </w:rPr>
              <w:t>33-0000</w:t>
            </w:r>
          </w:p>
        </w:tc>
      </w:tr>
      <w:tr w:rsidR="002A67EE" w:rsidRPr="005D241A" w14:paraId="3105608F" w14:textId="77777777" w:rsidTr="002A67EE">
        <w:trPr>
          <w:trHeight w:val="270"/>
        </w:trPr>
        <w:tc>
          <w:tcPr>
            <w:tcW w:w="4588" w:type="dxa"/>
            <w:tcBorders>
              <w:top w:val="single" w:sz="4" w:space="0" w:color="auto"/>
              <w:left w:val="single" w:sz="4" w:space="0" w:color="auto"/>
              <w:bottom w:val="single" w:sz="4" w:space="0" w:color="auto"/>
              <w:right w:val="single" w:sz="4" w:space="0" w:color="auto"/>
            </w:tcBorders>
            <w:vAlign w:val="center"/>
            <w:hideMark/>
          </w:tcPr>
          <w:p w14:paraId="4368BD16" w14:textId="77777777" w:rsidR="002A67EE" w:rsidRPr="005D241A" w:rsidRDefault="002A67EE" w:rsidP="00744211">
            <w:pPr>
              <w:spacing w:line="276" w:lineRule="auto"/>
              <w:ind w:left="-108"/>
              <w:rPr>
                <w:rFonts w:eastAsia="Times New Roman"/>
                <w:sz w:val="22"/>
                <w:szCs w:val="22"/>
              </w:rPr>
            </w:pPr>
            <w:r w:rsidRPr="005D241A">
              <w:rPr>
                <w:rFonts w:eastAsia="Times New Roman"/>
                <w:sz w:val="22"/>
                <w:szCs w:val="22"/>
                <w:shd w:val="clear" w:color="auto" w:fill="FFFFFF"/>
              </w:rPr>
              <w:t xml:space="preserve">Food Preparation &amp; Serving Related </w:t>
            </w:r>
          </w:p>
        </w:tc>
        <w:tc>
          <w:tcPr>
            <w:tcW w:w="6857" w:type="dxa"/>
            <w:tcBorders>
              <w:top w:val="single" w:sz="4" w:space="0" w:color="auto"/>
              <w:left w:val="single" w:sz="4" w:space="0" w:color="auto"/>
              <w:bottom w:val="single" w:sz="4" w:space="0" w:color="auto"/>
              <w:right w:val="single" w:sz="4" w:space="0" w:color="auto"/>
            </w:tcBorders>
            <w:hideMark/>
          </w:tcPr>
          <w:p w14:paraId="242ABC07" w14:textId="77777777" w:rsidR="002A67EE" w:rsidRPr="005D241A" w:rsidRDefault="002A67EE" w:rsidP="00744211">
            <w:pPr>
              <w:spacing w:line="276" w:lineRule="auto"/>
              <w:rPr>
                <w:rFonts w:eastAsia="Times New Roman"/>
                <w:sz w:val="22"/>
                <w:szCs w:val="22"/>
              </w:rPr>
            </w:pPr>
            <w:r w:rsidRPr="005D241A">
              <w:rPr>
                <w:rFonts w:eastAsia="Times New Roman"/>
                <w:sz w:val="22"/>
                <w:szCs w:val="22"/>
              </w:rPr>
              <w:t>cook, waiter, bar tender, dishwasher, host/hostess</w:t>
            </w:r>
          </w:p>
        </w:tc>
        <w:tc>
          <w:tcPr>
            <w:tcW w:w="1600" w:type="dxa"/>
            <w:tcBorders>
              <w:top w:val="single" w:sz="4" w:space="0" w:color="auto"/>
              <w:left w:val="single" w:sz="4" w:space="0" w:color="auto"/>
              <w:bottom w:val="single" w:sz="4" w:space="0" w:color="auto"/>
              <w:right w:val="single" w:sz="4" w:space="0" w:color="auto"/>
            </w:tcBorders>
            <w:vAlign w:val="center"/>
          </w:tcPr>
          <w:p w14:paraId="167C1384" w14:textId="77777777" w:rsidR="002A67EE" w:rsidRPr="005D241A" w:rsidRDefault="002A67EE" w:rsidP="00744211">
            <w:pPr>
              <w:spacing w:line="276" w:lineRule="auto"/>
              <w:jc w:val="right"/>
              <w:rPr>
                <w:sz w:val="22"/>
                <w:szCs w:val="22"/>
              </w:rPr>
            </w:pPr>
            <w:r w:rsidRPr="005D241A">
              <w:rPr>
                <w:sz w:val="22"/>
                <w:szCs w:val="22"/>
              </w:rPr>
              <w:t>35-0000</w:t>
            </w:r>
          </w:p>
        </w:tc>
      </w:tr>
      <w:tr w:rsidR="002A67EE" w:rsidRPr="005D241A" w14:paraId="76685454" w14:textId="77777777" w:rsidTr="002A67EE">
        <w:trPr>
          <w:trHeight w:val="270"/>
        </w:trPr>
        <w:tc>
          <w:tcPr>
            <w:tcW w:w="4588" w:type="dxa"/>
            <w:tcBorders>
              <w:top w:val="single" w:sz="4" w:space="0" w:color="auto"/>
              <w:left w:val="single" w:sz="4" w:space="0" w:color="auto"/>
              <w:bottom w:val="single" w:sz="4" w:space="0" w:color="auto"/>
              <w:right w:val="single" w:sz="4" w:space="0" w:color="auto"/>
            </w:tcBorders>
            <w:vAlign w:val="center"/>
            <w:hideMark/>
          </w:tcPr>
          <w:p w14:paraId="36560ADE" w14:textId="77777777" w:rsidR="002A67EE" w:rsidRPr="005D241A" w:rsidRDefault="002A67EE" w:rsidP="00744211">
            <w:pPr>
              <w:spacing w:line="276" w:lineRule="auto"/>
              <w:ind w:left="-108"/>
              <w:rPr>
                <w:rFonts w:eastAsia="Times New Roman"/>
                <w:sz w:val="22"/>
                <w:szCs w:val="22"/>
              </w:rPr>
            </w:pPr>
            <w:r w:rsidRPr="005D241A">
              <w:rPr>
                <w:rFonts w:eastAsia="Times New Roman"/>
                <w:sz w:val="22"/>
                <w:szCs w:val="22"/>
                <w:shd w:val="clear" w:color="auto" w:fill="FFFFFF"/>
              </w:rPr>
              <w:t xml:space="preserve">Building and Grounds Cleaning &amp; Maintenance </w:t>
            </w:r>
          </w:p>
        </w:tc>
        <w:tc>
          <w:tcPr>
            <w:tcW w:w="6857" w:type="dxa"/>
            <w:tcBorders>
              <w:top w:val="single" w:sz="4" w:space="0" w:color="auto"/>
              <w:left w:val="single" w:sz="4" w:space="0" w:color="auto"/>
              <w:bottom w:val="single" w:sz="4" w:space="0" w:color="auto"/>
              <w:right w:val="single" w:sz="4" w:space="0" w:color="auto"/>
            </w:tcBorders>
            <w:hideMark/>
          </w:tcPr>
          <w:p w14:paraId="1DEBB3FA" w14:textId="77777777" w:rsidR="002A67EE" w:rsidRPr="005D241A" w:rsidRDefault="002A67EE" w:rsidP="00744211">
            <w:pPr>
              <w:spacing w:line="276" w:lineRule="auto"/>
              <w:rPr>
                <w:rFonts w:eastAsia="Times New Roman"/>
                <w:sz w:val="22"/>
                <w:szCs w:val="22"/>
              </w:rPr>
            </w:pPr>
            <w:r w:rsidRPr="005D241A">
              <w:rPr>
                <w:rFonts w:eastAsia="Times New Roman"/>
                <w:sz w:val="22"/>
                <w:szCs w:val="22"/>
              </w:rPr>
              <w:t>janitor, housekeeper, landscaper, tree trimmer, window washer,</w:t>
            </w:r>
          </w:p>
          <w:p w14:paraId="766442AD" w14:textId="77777777" w:rsidR="002A67EE" w:rsidRPr="005D241A" w:rsidRDefault="002A67EE" w:rsidP="00744211">
            <w:pPr>
              <w:spacing w:line="276" w:lineRule="auto"/>
              <w:rPr>
                <w:rFonts w:eastAsia="Times New Roman"/>
                <w:sz w:val="22"/>
                <w:szCs w:val="22"/>
              </w:rPr>
            </w:pPr>
            <w:r w:rsidRPr="005D241A">
              <w:rPr>
                <w:rFonts w:eastAsia="Times New Roman"/>
                <w:sz w:val="22"/>
                <w:szCs w:val="22"/>
              </w:rPr>
              <w:t xml:space="preserve">pest control worker, pesticide applicator </w:t>
            </w:r>
          </w:p>
        </w:tc>
        <w:tc>
          <w:tcPr>
            <w:tcW w:w="1600" w:type="dxa"/>
            <w:tcBorders>
              <w:top w:val="single" w:sz="4" w:space="0" w:color="auto"/>
              <w:left w:val="single" w:sz="4" w:space="0" w:color="auto"/>
              <w:bottom w:val="single" w:sz="4" w:space="0" w:color="auto"/>
              <w:right w:val="single" w:sz="4" w:space="0" w:color="auto"/>
            </w:tcBorders>
            <w:vAlign w:val="center"/>
          </w:tcPr>
          <w:p w14:paraId="7F5EE446" w14:textId="77777777" w:rsidR="002A67EE" w:rsidRPr="005D241A" w:rsidRDefault="002A67EE" w:rsidP="00744211">
            <w:pPr>
              <w:spacing w:line="276" w:lineRule="auto"/>
              <w:jc w:val="right"/>
              <w:rPr>
                <w:sz w:val="22"/>
                <w:szCs w:val="22"/>
              </w:rPr>
            </w:pPr>
            <w:r w:rsidRPr="005D241A">
              <w:rPr>
                <w:sz w:val="22"/>
                <w:szCs w:val="22"/>
              </w:rPr>
              <w:t>37-0000</w:t>
            </w:r>
          </w:p>
        </w:tc>
      </w:tr>
      <w:tr w:rsidR="002A67EE" w:rsidRPr="005D241A" w14:paraId="59C82555" w14:textId="77777777" w:rsidTr="002A67EE">
        <w:trPr>
          <w:trHeight w:val="270"/>
        </w:trPr>
        <w:tc>
          <w:tcPr>
            <w:tcW w:w="4588" w:type="dxa"/>
            <w:tcBorders>
              <w:top w:val="single" w:sz="4" w:space="0" w:color="auto"/>
              <w:left w:val="single" w:sz="4" w:space="0" w:color="auto"/>
              <w:bottom w:val="single" w:sz="4" w:space="0" w:color="auto"/>
              <w:right w:val="single" w:sz="4" w:space="0" w:color="auto"/>
            </w:tcBorders>
            <w:vAlign w:val="center"/>
            <w:hideMark/>
          </w:tcPr>
          <w:p w14:paraId="1B7800F2" w14:textId="77777777" w:rsidR="002A67EE" w:rsidRPr="005D241A" w:rsidRDefault="002A67EE" w:rsidP="00744211">
            <w:pPr>
              <w:spacing w:line="276" w:lineRule="auto"/>
              <w:ind w:left="-108"/>
              <w:rPr>
                <w:rFonts w:eastAsia="Times New Roman"/>
                <w:sz w:val="22"/>
                <w:szCs w:val="22"/>
                <w:shd w:val="clear" w:color="auto" w:fill="FFFFFF"/>
              </w:rPr>
            </w:pPr>
            <w:r w:rsidRPr="005D241A">
              <w:rPr>
                <w:rFonts w:eastAsia="Times New Roman"/>
                <w:sz w:val="22"/>
                <w:szCs w:val="22"/>
                <w:shd w:val="clear" w:color="auto" w:fill="FFFFFF"/>
              </w:rPr>
              <w:t xml:space="preserve">Personal Care &amp; Service </w:t>
            </w:r>
          </w:p>
        </w:tc>
        <w:tc>
          <w:tcPr>
            <w:tcW w:w="6857" w:type="dxa"/>
            <w:tcBorders>
              <w:top w:val="single" w:sz="4" w:space="0" w:color="auto"/>
              <w:left w:val="single" w:sz="4" w:space="0" w:color="auto"/>
              <w:bottom w:val="single" w:sz="4" w:space="0" w:color="auto"/>
              <w:right w:val="single" w:sz="4" w:space="0" w:color="auto"/>
            </w:tcBorders>
            <w:hideMark/>
          </w:tcPr>
          <w:p w14:paraId="65C90314" w14:textId="77777777" w:rsidR="002A67EE" w:rsidRPr="005D241A" w:rsidRDefault="002A67EE" w:rsidP="00744211">
            <w:pPr>
              <w:spacing w:line="276" w:lineRule="auto"/>
              <w:rPr>
                <w:rFonts w:eastAsia="Times New Roman"/>
                <w:sz w:val="22"/>
                <w:szCs w:val="22"/>
              </w:rPr>
            </w:pPr>
            <w:r w:rsidRPr="005D241A">
              <w:rPr>
                <w:rFonts w:eastAsia="Times New Roman"/>
                <w:sz w:val="22"/>
                <w:szCs w:val="22"/>
              </w:rPr>
              <w:t>barber, hairdresser, manicurist, cosmetologist, daycare worker, personal care attendant, flight attendant, animal trainer, recreation assistant, theatre usher, ski lift operator, funeral home attendant, hotel concierge, tour guide, camp counselor, valet</w:t>
            </w:r>
          </w:p>
        </w:tc>
        <w:tc>
          <w:tcPr>
            <w:tcW w:w="1600" w:type="dxa"/>
            <w:tcBorders>
              <w:top w:val="single" w:sz="4" w:space="0" w:color="auto"/>
              <w:left w:val="single" w:sz="4" w:space="0" w:color="auto"/>
              <w:bottom w:val="single" w:sz="4" w:space="0" w:color="auto"/>
              <w:right w:val="single" w:sz="4" w:space="0" w:color="auto"/>
            </w:tcBorders>
            <w:vAlign w:val="center"/>
          </w:tcPr>
          <w:p w14:paraId="6B87F4D3" w14:textId="77777777" w:rsidR="002A67EE" w:rsidRPr="005D241A" w:rsidRDefault="002A67EE" w:rsidP="00744211">
            <w:pPr>
              <w:spacing w:line="276" w:lineRule="auto"/>
              <w:jc w:val="right"/>
              <w:rPr>
                <w:sz w:val="22"/>
                <w:szCs w:val="22"/>
              </w:rPr>
            </w:pPr>
            <w:r w:rsidRPr="005D241A">
              <w:rPr>
                <w:sz w:val="22"/>
                <w:szCs w:val="22"/>
              </w:rPr>
              <w:t>39-0000</w:t>
            </w:r>
          </w:p>
        </w:tc>
      </w:tr>
      <w:tr w:rsidR="002A67EE" w:rsidRPr="005D241A" w14:paraId="2059D950" w14:textId="77777777" w:rsidTr="002A67EE">
        <w:trPr>
          <w:trHeight w:val="270"/>
        </w:trPr>
        <w:tc>
          <w:tcPr>
            <w:tcW w:w="4588" w:type="dxa"/>
            <w:tcBorders>
              <w:top w:val="single" w:sz="4" w:space="0" w:color="auto"/>
              <w:left w:val="single" w:sz="4" w:space="0" w:color="auto"/>
              <w:bottom w:val="single" w:sz="4" w:space="0" w:color="auto"/>
              <w:right w:val="single" w:sz="4" w:space="0" w:color="auto"/>
            </w:tcBorders>
            <w:vAlign w:val="center"/>
            <w:hideMark/>
          </w:tcPr>
          <w:p w14:paraId="6E4D1042" w14:textId="77777777" w:rsidR="002A67EE" w:rsidRPr="005D241A" w:rsidRDefault="002A67EE" w:rsidP="00744211">
            <w:pPr>
              <w:spacing w:line="276" w:lineRule="auto"/>
              <w:ind w:left="-108"/>
              <w:rPr>
                <w:rFonts w:eastAsia="Times New Roman"/>
                <w:sz w:val="22"/>
                <w:szCs w:val="22"/>
              </w:rPr>
            </w:pPr>
            <w:r w:rsidRPr="005D241A">
              <w:rPr>
                <w:rFonts w:eastAsia="Times New Roman"/>
                <w:sz w:val="22"/>
                <w:szCs w:val="22"/>
                <w:shd w:val="clear" w:color="auto" w:fill="FFFFFF"/>
              </w:rPr>
              <w:t xml:space="preserve">Sales &amp; Related </w:t>
            </w:r>
          </w:p>
        </w:tc>
        <w:tc>
          <w:tcPr>
            <w:tcW w:w="6857" w:type="dxa"/>
            <w:tcBorders>
              <w:top w:val="single" w:sz="4" w:space="0" w:color="auto"/>
              <w:left w:val="single" w:sz="4" w:space="0" w:color="auto"/>
              <w:bottom w:val="single" w:sz="4" w:space="0" w:color="auto"/>
              <w:right w:val="single" w:sz="4" w:space="0" w:color="auto"/>
            </w:tcBorders>
            <w:hideMark/>
          </w:tcPr>
          <w:p w14:paraId="1D75A0C6" w14:textId="77777777" w:rsidR="002A67EE" w:rsidRPr="005D241A" w:rsidRDefault="002A67EE" w:rsidP="00744211">
            <w:pPr>
              <w:spacing w:line="276" w:lineRule="auto"/>
              <w:rPr>
                <w:rFonts w:eastAsia="Times New Roman"/>
                <w:sz w:val="22"/>
                <w:szCs w:val="22"/>
              </w:rPr>
            </w:pPr>
            <w:r w:rsidRPr="005D241A">
              <w:rPr>
                <w:rFonts w:eastAsia="Times New Roman"/>
                <w:sz w:val="22"/>
                <w:szCs w:val="22"/>
              </w:rPr>
              <w:t xml:space="preserve"> cashier, store clerk, car salesman, art dealer, travel agent, insurance agent, realtor, telemarketer </w:t>
            </w:r>
          </w:p>
        </w:tc>
        <w:tc>
          <w:tcPr>
            <w:tcW w:w="1600" w:type="dxa"/>
            <w:tcBorders>
              <w:top w:val="single" w:sz="4" w:space="0" w:color="auto"/>
              <w:left w:val="single" w:sz="4" w:space="0" w:color="auto"/>
              <w:bottom w:val="single" w:sz="4" w:space="0" w:color="auto"/>
              <w:right w:val="single" w:sz="4" w:space="0" w:color="auto"/>
            </w:tcBorders>
            <w:vAlign w:val="center"/>
          </w:tcPr>
          <w:p w14:paraId="44A59BE1" w14:textId="77777777" w:rsidR="002A67EE" w:rsidRPr="005D241A" w:rsidRDefault="002A67EE" w:rsidP="00744211">
            <w:pPr>
              <w:spacing w:line="276" w:lineRule="auto"/>
              <w:jc w:val="right"/>
              <w:rPr>
                <w:bCs/>
                <w:sz w:val="22"/>
                <w:szCs w:val="22"/>
              </w:rPr>
            </w:pPr>
            <w:r w:rsidRPr="005D241A">
              <w:rPr>
                <w:bCs/>
                <w:sz w:val="22"/>
                <w:szCs w:val="22"/>
              </w:rPr>
              <w:t>41-0000</w:t>
            </w:r>
          </w:p>
        </w:tc>
      </w:tr>
      <w:tr w:rsidR="002A67EE" w:rsidRPr="005D241A" w14:paraId="6C9E98BB" w14:textId="77777777" w:rsidTr="002A67EE">
        <w:trPr>
          <w:trHeight w:val="270"/>
        </w:trPr>
        <w:tc>
          <w:tcPr>
            <w:tcW w:w="4588" w:type="dxa"/>
            <w:tcBorders>
              <w:top w:val="single" w:sz="4" w:space="0" w:color="auto"/>
              <w:left w:val="single" w:sz="4" w:space="0" w:color="auto"/>
              <w:bottom w:val="single" w:sz="4" w:space="0" w:color="auto"/>
              <w:right w:val="single" w:sz="4" w:space="0" w:color="auto"/>
            </w:tcBorders>
            <w:vAlign w:val="center"/>
            <w:hideMark/>
          </w:tcPr>
          <w:p w14:paraId="31F28BFC" w14:textId="77777777" w:rsidR="002A67EE" w:rsidRPr="005D241A" w:rsidRDefault="002A67EE" w:rsidP="00744211">
            <w:pPr>
              <w:spacing w:line="276" w:lineRule="auto"/>
              <w:ind w:left="-108"/>
              <w:rPr>
                <w:rFonts w:eastAsia="Times New Roman"/>
                <w:sz w:val="22"/>
                <w:szCs w:val="22"/>
              </w:rPr>
            </w:pPr>
            <w:r w:rsidRPr="005D241A">
              <w:rPr>
                <w:rFonts w:eastAsia="Times New Roman"/>
                <w:sz w:val="22"/>
                <w:szCs w:val="22"/>
                <w:shd w:val="clear" w:color="auto" w:fill="FFFFFF"/>
              </w:rPr>
              <w:t xml:space="preserve">Office &amp; Administrative Support </w:t>
            </w:r>
          </w:p>
        </w:tc>
        <w:tc>
          <w:tcPr>
            <w:tcW w:w="6857" w:type="dxa"/>
            <w:tcBorders>
              <w:top w:val="single" w:sz="4" w:space="0" w:color="auto"/>
              <w:left w:val="single" w:sz="4" w:space="0" w:color="auto"/>
              <w:bottom w:val="single" w:sz="4" w:space="0" w:color="auto"/>
              <w:right w:val="single" w:sz="4" w:space="0" w:color="auto"/>
            </w:tcBorders>
            <w:hideMark/>
          </w:tcPr>
          <w:p w14:paraId="40F105AF" w14:textId="77777777" w:rsidR="002A67EE" w:rsidRPr="005D241A" w:rsidRDefault="002A67EE" w:rsidP="00744211">
            <w:pPr>
              <w:spacing w:line="276" w:lineRule="auto"/>
              <w:rPr>
                <w:rFonts w:eastAsia="Times New Roman"/>
                <w:sz w:val="22"/>
                <w:szCs w:val="22"/>
              </w:rPr>
            </w:pPr>
            <w:r w:rsidRPr="005D241A">
              <w:rPr>
                <w:rFonts w:eastAsia="Times New Roman"/>
                <w:sz w:val="22"/>
                <w:szCs w:val="22"/>
              </w:rPr>
              <w:t>bookkeeper, payroll supervisor, receptionist, customer service agent, library clerk, hotel clerk, mail carrier, courier, messenger, debt collector, municipal clerk, loan processor, freight shipping agent, 911 operator, warehouse clerk, legal secretary</w:t>
            </w:r>
          </w:p>
        </w:tc>
        <w:tc>
          <w:tcPr>
            <w:tcW w:w="1600" w:type="dxa"/>
            <w:tcBorders>
              <w:top w:val="single" w:sz="4" w:space="0" w:color="auto"/>
              <w:left w:val="single" w:sz="4" w:space="0" w:color="auto"/>
              <w:bottom w:val="single" w:sz="4" w:space="0" w:color="auto"/>
              <w:right w:val="single" w:sz="4" w:space="0" w:color="auto"/>
            </w:tcBorders>
            <w:vAlign w:val="center"/>
          </w:tcPr>
          <w:p w14:paraId="7973DAD2" w14:textId="77777777" w:rsidR="002A67EE" w:rsidRPr="005D241A" w:rsidRDefault="002A67EE" w:rsidP="00744211">
            <w:pPr>
              <w:spacing w:line="276" w:lineRule="auto"/>
              <w:jc w:val="right"/>
              <w:rPr>
                <w:bCs/>
                <w:sz w:val="22"/>
                <w:szCs w:val="22"/>
              </w:rPr>
            </w:pPr>
            <w:r w:rsidRPr="005D241A">
              <w:rPr>
                <w:bCs/>
                <w:sz w:val="22"/>
                <w:szCs w:val="22"/>
              </w:rPr>
              <w:t>43-0000</w:t>
            </w:r>
          </w:p>
        </w:tc>
      </w:tr>
      <w:tr w:rsidR="002A67EE" w:rsidRPr="005D241A" w14:paraId="552DD969" w14:textId="77777777" w:rsidTr="002A67EE">
        <w:trPr>
          <w:trHeight w:val="285"/>
        </w:trPr>
        <w:tc>
          <w:tcPr>
            <w:tcW w:w="4588" w:type="dxa"/>
            <w:tcBorders>
              <w:top w:val="single" w:sz="4" w:space="0" w:color="auto"/>
              <w:left w:val="single" w:sz="4" w:space="0" w:color="auto"/>
              <w:bottom w:val="single" w:sz="4" w:space="0" w:color="auto"/>
              <w:right w:val="single" w:sz="4" w:space="0" w:color="auto"/>
            </w:tcBorders>
            <w:vAlign w:val="center"/>
            <w:hideMark/>
          </w:tcPr>
          <w:p w14:paraId="1B56343F" w14:textId="77777777" w:rsidR="002A67EE" w:rsidRPr="005D241A" w:rsidRDefault="002A67EE" w:rsidP="00744211">
            <w:pPr>
              <w:spacing w:line="276" w:lineRule="auto"/>
              <w:ind w:left="-108"/>
              <w:rPr>
                <w:rFonts w:eastAsia="Times New Roman"/>
                <w:sz w:val="22"/>
                <w:szCs w:val="22"/>
                <w:shd w:val="clear" w:color="auto" w:fill="FFFFFF"/>
              </w:rPr>
            </w:pPr>
            <w:r w:rsidRPr="005D241A">
              <w:rPr>
                <w:rFonts w:eastAsia="Times New Roman"/>
                <w:sz w:val="22"/>
                <w:szCs w:val="22"/>
                <w:shd w:val="clear" w:color="auto" w:fill="FFFFFF"/>
              </w:rPr>
              <w:t>Farming, Fishing &amp; Forestry</w:t>
            </w:r>
          </w:p>
        </w:tc>
        <w:tc>
          <w:tcPr>
            <w:tcW w:w="6857" w:type="dxa"/>
            <w:tcBorders>
              <w:top w:val="single" w:sz="4" w:space="0" w:color="auto"/>
              <w:left w:val="single" w:sz="4" w:space="0" w:color="auto"/>
              <w:bottom w:val="single" w:sz="4" w:space="0" w:color="auto"/>
              <w:right w:val="single" w:sz="4" w:space="0" w:color="auto"/>
            </w:tcBorders>
            <w:hideMark/>
          </w:tcPr>
          <w:p w14:paraId="551F2788" w14:textId="77777777" w:rsidR="002A67EE" w:rsidRPr="005D241A" w:rsidRDefault="002A67EE" w:rsidP="00744211">
            <w:pPr>
              <w:spacing w:line="276" w:lineRule="auto"/>
              <w:rPr>
                <w:rFonts w:eastAsia="Times New Roman"/>
                <w:sz w:val="22"/>
                <w:szCs w:val="22"/>
              </w:rPr>
            </w:pPr>
            <w:r w:rsidRPr="005D241A">
              <w:rPr>
                <w:rFonts w:eastAsia="Times New Roman"/>
                <w:sz w:val="22"/>
                <w:szCs w:val="22"/>
              </w:rPr>
              <w:t>cranberry bog supervisor, egg grader, berry picker, orchard hand, log cutter, timber faller/cutter, aquaculture worker, lobsterman, fishing boat captain, tractor operator, forestry laborer</w:t>
            </w:r>
          </w:p>
        </w:tc>
        <w:tc>
          <w:tcPr>
            <w:tcW w:w="1600" w:type="dxa"/>
            <w:tcBorders>
              <w:top w:val="single" w:sz="4" w:space="0" w:color="auto"/>
              <w:left w:val="single" w:sz="4" w:space="0" w:color="auto"/>
              <w:bottom w:val="single" w:sz="4" w:space="0" w:color="auto"/>
              <w:right w:val="single" w:sz="4" w:space="0" w:color="auto"/>
            </w:tcBorders>
            <w:vAlign w:val="center"/>
          </w:tcPr>
          <w:p w14:paraId="273C73A9" w14:textId="77777777" w:rsidR="002A67EE" w:rsidRPr="005D241A" w:rsidRDefault="002A67EE" w:rsidP="00744211">
            <w:pPr>
              <w:spacing w:line="276" w:lineRule="auto"/>
              <w:jc w:val="right"/>
              <w:rPr>
                <w:bCs/>
                <w:sz w:val="22"/>
                <w:szCs w:val="22"/>
              </w:rPr>
            </w:pPr>
            <w:r w:rsidRPr="005D241A">
              <w:rPr>
                <w:bCs/>
                <w:sz w:val="22"/>
                <w:szCs w:val="22"/>
              </w:rPr>
              <w:t>45-0000</w:t>
            </w:r>
          </w:p>
        </w:tc>
      </w:tr>
      <w:tr w:rsidR="002A67EE" w:rsidRPr="005D241A" w14:paraId="28AFA995" w14:textId="77777777" w:rsidTr="002A67EE">
        <w:trPr>
          <w:trHeight w:val="285"/>
        </w:trPr>
        <w:tc>
          <w:tcPr>
            <w:tcW w:w="4588" w:type="dxa"/>
            <w:tcBorders>
              <w:top w:val="single" w:sz="4" w:space="0" w:color="auto"/>
              <w:left w:val="single" w:sz="4" w:space="0" w:color="auto"/>
              <w:bottom w:val="single" w:sz="4" w:space="0" w:color="auto"/>
              <w:right w:val="single" w:sz="4" w:space="0" w:color="auto"/>
            </w:tcBorders>
            <w:vAlign w:val="center"/>
            <w:hideMark/>
          </w:tcPr>
          <w:p w14:paraId="5AFA61C4" w14:textId="77777777" w:rsidR="002A67EE" w:rsidRPr="005D241A" w:rsidRDefault="002A67EE" w:rsidP="00744211">
            <w:pPr>
              <w:spacing w:line="276" w:lineRule="auto"/>
              <w:ind w:left="-108"/>
              <w:rPr>
                <w:rFonts w:eastAsia="Times New Roman"/>
                <w:sz w:val="22"/>
                <w:szCs w:val="22"/>
              </w:rPr>
            </w:pPr>
            <w:r w:rsidRPr="005D241A">
              <w:rPr>
                <w:rFonts w:eastAsia="Times New Roman"/>
                <w:sz w:val="22"/>
                <w:szCs w:val="22"/>
                <w:shd w:val="clear" w:color="auto" w:fill="FFFFFF"/>
              </w:rPr>
              <w:t xml:space="preserve">Construction &amp; Extraction </w:t>
            </w:r>
          </w:p>
        </w:tc>
        <w:tc>
          <w:tcPr>
            <w:tcW w:w="6857" w:type="dxa"/>
            <w:tcBorders>
              <w:top w:val="single" w:sz="4" w:space="0" w:color="auto"/>
              <w:left w:val="single" w:sz="4" w:space="0" w:color="auto"/>
              <w:bottom w:val="single" w:sz="4" w:space="0" w:color="auto"/>
              <w:right w:val="single" w:sz="4" w:space="0" w:color="auto"/>
            </w:tcBorders>
            <w:hideMark/>
          </w:tcPr>
          <w:p w14:paraId="52858720" w14:textId="77777777" w:rsidR="002A67EE" w:rsidRPr="005D241A" w:rsidRDefault="002A67EE" w:rsidP="00744211">
            <w:pPr>
              <w:spacing w:line="276" w:lineRule="auto"/>
              <w:rPr>
                <w:rFonts w:eastAsia="Times New Roman"/>
                <w:sz w:val="22"/>
                <w:szCs w:val="22"/>
              </w:rPr>
            </w:pPr>
            <w:r w:rsidRPr="005D241A">
              <w:rPr>
                <w:rFonts w:eastAsia="Times New Roman"/>
                <w:sz w:val="22"/>
                <w:szCs w:val="22"/>
              </w:rPr>
              <w:t>carpenter, stonemason, roofer, electrician, insulation worker, asphalt worker, construction laborer, floor finisher, mason, bulldozer operator, drywall installer, house painter, plumber, iron worker, elevator mechanic, hazardous materials removal worker, highway maintenance worker, oil/gas driller, quarry worker</w:t>
            </w:r>
          </w:p>
        </w:tc>
        <w:tc>
          <w:tcPr>
            <w:tcW w:w="1600" w:type="dxa"/>
            <w:tcBorders>
              <w:top w:val="single" w:sz="4" w:space="0" w:color="auto"/>
              <w:left w:val="single" w:sz="4" w:space="0" w:color="auto"/>
              <w:bottom w:val="single" w:sz="4" w:space="0" w:color="auto"/>
              <w:right w:val="single" w:sz="4" w:space="0" w:color="auto"/>
            </w:tcBorders>
            <w:vAlign w:val="center"/>
          </w:tcPr>
          <w:p w14:paraId="679DB82E" w14:textId="77777777" w:rsidR="002A67EE" w:rsidRPr="005D241A" w:rsidRDefault="002A67EE" w:rsidP="00744211">
            <w:pPr>
              <w:spacing w:line="276" w:lineRule="auto"/>
              <w:jc w:val="right"/>
              <w:rPr>
                <w:bCs/>
                <w:sz w:val="22"/>
                <w:szCs w:val="22"/>
              </w:rPr>
            </w:pPr>
            <w:r w:rsidRPr="005D241A">
              <w:rPr>
                <w:bCs/>
                <w:sz w:val="22"/>
                <w:szCs w:val="22"/>
              </w:rPr>
              <w:t>47-0000</w:t>
            </w:r>
          </w:p>
        </w:tc>
      </w:tr>
      <w:tr w:rsidR="002A67EE" w:rsidRPr="005D241A" w14:paraId="60F98268" w14:textId="77777777" w:rsidTr="002A67EE">
        <w:trPr>
          <w:trHeight w:val="285"/>
        </w:trPr>
        <w:tc>
          <w:tcPr>
            <w:tcW w:w="4588" w:type="dxa"/>
            <w:tcBorders>
              <w:top w:val="single" w:sz="4" w:space="0" w:color="auto"/>
              <w:left w:val="single" w:sz="4" w:space="0" w:color="auto"/>
              <w:bottom w:val="single" w:sz="4" w:space="0" w:color="auto"/>
              <w:right w:val="single" w:sz="4" w:space="0" w:color="auto"/>
            </w:tcBorders>
            <w:vAlign w:val="center"/>
            <w:hideMark/>
          </w:tcPr>
          <w:p w14:paraId="7609900B" w14:textId="77777777" w:rsidR="002A67EE" w:rsidRPr="005D241A" w:rsidRDefault="002A67EE" w:rsidP="00744211">
            <w:pPr>
              <w:spacing w:line="276" w:lineRule="auto"/>
              <w:ind w:left="-108"/>
              <w:rPr>
                <w:rFonts w:eastAsia="Times New Roman"/>
                <w:sz w:val="22"/>
                <w:szCs w:val="22"/>
              </w:rPr>
            </w:pPr>
            <w:r w:rsidRPr="005D241A">
              <w:rPr>
                <w:rFonts w:eastAsia="Times New Roman"/>
                <w:sz w:val="22"/>
                <w:szCs w:val="22"/>
                <w:shd w:val="clear" w:color="auto" w:fill="FFFFFF"/>
              </w:rPr>
              <w:t>Installation, Maintenance, &amp; Repair</w:t>
            </w:r>
          </w:p>
        </w:tc>
        <w:tc>
          <w:tcPr>
            <w:tcW w:w="6857" w:type="dxa"/>
            <w:tcBorders>
              <w:top w:val="single" w:sz="4" w:space="0" w:color="auto"/>
              <w:left w:val="single" w:sz="4" w:space="0" w:color="auto"/>
              <w:bottom w:val="single" w:sz="4" w:space="0" w:color="auto"/>
              <w:right w:val="single" w:sz="4" w:space="0" w:color="auto"/>
            </w:tcBorders>
            <w:hideMark/>
          </w:tcPr>
          <w:p w14:paraId="67E7EACF" w14:textId="77777777" w:rsidR="002A67EE" w:rsidRPr="005D241A" w:rsidRDefault="002A67EE" w:rsidP="00744211">
            <w:pPr>
              <w:spacing w:line="276" w:lineRule="auto"/>
              <w:rPr>
                <w:rFonts w:eastAsia="Times New Roman"/>
                <w:sz w:val="22"/>
                <w:szCs w:val="22"/>
              </w:rPr>
            </w:pPr>
            <w:r w:rsidRPr="005D241A">
              <w:rPr>
                <w:rFonts w:eastAsia="Times New Roman"/>
                <w:sz w:val="22"/>
                <w:szCs w:val="22"/>
              </w:rPr>
              <w:t xml:space="preserve">locksmith, auto body/automotive worker, HVAC mechanic, cable TV/internet installer, vending machine servicer, ATM servicer, telecom </w:t>
            </w:r>
            <w:r w:rsidRPr="005D241A">
              <w:rPr>
                <w:rFonts w:eastAsia="Times New Roman"/>
                <w:sz w:val="22"/>
                <w:szCs w:val="22"/>
              </w:rPr>
              <w:lastRenderedPageBreak/>
              <w:t xml:space="preserve">equipment installer, marine mechanic, farm equipment repair, subway car repair, lawn </w:t>
            </w:r>
            <w:proofErr w:type="spellStart"/>
            <w:r w:rsidRPr="005D241A">
              <w:rPr>
                <w:rFonts w:eastAsia="Times New Roman"/>
                <w:sz w:val="22"/>
                <w:szCs w:val="22"/>
              </w:rPr>
              <w:t>mover</w:t>
            </w:r>
            <w:proofErr w:type="spellEnd"/>
            <w:r w:rsidRPr="005D241A">
              <w:rPr>
                <w:rFonts w:eastAsia="Times New Roman"/>
                <w:sz w:val="22"/>
                <w:szCs w:val="22"/>
              </w:rPr>
              <w:t xml:space="preserve"> repairer, bike mechanic, industrial machinery mechanic, electric utility line worker, piano tuner, commercial diver</w:t>
            </w:r>
          </w:p>
        </w:tc>
        <w:tc>
          <w:tcPr>
            <w:tcW w:w="1600" w:type="dxa"/>
            <w:tcBorders>
              <w:top w:val="single" w:sz="4" w:space="0" w:color="auto"/>
              <w:left w:val="single" w:sz="4" w:space="0" w:color="auto"/>
              <w:bottom w:val="single" w:sz="4" w:space="0" w:color="auto"/>
              <w:right w:val="single" w:sz="4" w:space="0" w:color="auto"/>
            </w:tcBorders>
            <w:vAlign w:val="center"/>
          </w:tcPr>
          <w:p w14:paraId="4727E7EE" w14:textId="77777777" w:rsidR="002A67EE" w:rsidRPr="005D241A" w:rsidRDefault="002A67EE" w:rsidP="00744211">
            <w:pPr>
              <w:spacing w:line="276" w:lineRule="auto"/>
              <w:jc w:val="right"/>
              <w:rPr>
                <w:bCs/>
                <w:sz w:val="22"/>
                <w:szCs w:val="22"/>
              </w:rPr>
            </w:pPr>
            <w:r w:rsidRPr="005D241A">
              <w:rPr>
                <w:bCs/>
                <w:sz w:val="22"/>
                <w:szCs w:val="22"/>
              </w:rPr>
              <w:lastRenderedPageBreak/>
              <w:t>49-0000</w:t>
            </w:r>
          </w:p>
        </w:tc>
      </w:tr>
      <w:tr w:rsidR="002A67EE" w:rsidRPr="005D241A" w14:paraId="0A16AEA9" w14:textId="77777777" w:rsidTr="002A67EE">
        <w:trPr>
          <w:trHeight w:val="285"/>
        </w:trPr>
        <w:tc>
          <w:tcPr>
            <w:tcW w:w="4588" w:type="dxa"/>
            <w:tcBorders>
              <w:top w:val="single" w:sz="4" w:space="0" w:color="auto"/>
              <w:left w:val="single" w:sz="4" w:space="0" w:color="auto"/>
              <w:bottom w:val="single" w:sz="4" w:space="0" w:color="auto"/>
              <w:right w:val="single" w:sz="4" w:space="0" w:color="auto"/>
            </w:tcBorders>
            <w:vAlign w:val="center"/>
            <w:hideMark/>
          </w:tcPr>
          <w:p w14:paraId="5F0CADAA" w14:textId="77777777" w:rsidR="002A67EE" w:rsidRPr="005D241A" w:rsidRDefault="002A67EE" w:rsidP="00744211">
            <w:pPr>
              <w:spacing w:line="276" w:lineRule="auto"/>
              <w:ind w:left="-108"/>
              <w:rPr>
                <w:rFonts w:eastAsia="Times New Roman"/>
                <w:sz w:val="22"/>
                <w:szCs w:val="22"/>
              </w:rPr>
            </w:pPr>
            <w:r w:rsidRPr="005D241A">
              <w:rPr>
                <w:rFonts w:eastAsia="Times New Roman"/>
                <w:sz w:val="22"/>
                <w:szCs w:val="22"/>
                <w:shd w:val="clear" w:color="auto" w:fill="FFFFFF"/>
              </w:rPr>
              <w:t xml:space="preserve">Production </w:t>
            </w:r>
          </w:p>
        </w:tc>
        <w:tc>
          <w:tcPr>
            <w:tcW w:w="6857" w:type="dxa"/>
            <w:tcBorders>
              <w:top w:val="single" w:sz="4" w:space="0" w:color="auto"/>
              <w:left w:val="single" w:sz="4" w:space="0" w:color="auto"/>
              <w:bottom w:val="single" w:sz="4" w:space="0" w:color="auto"/>
              <w:right w:val="single" w:sz="4" w:space="0" w:color="auto"/>
            </w:tcBorders>
            <w:hideMark/>
          </w:tcPr>
          <w:p w14:paraId="046F4374" w14:textId="77777777" w:rsidR="002A67EE" w:rsidRPr="005D241A" w:rsidRDefault="002A67EE" w:rsidP="00744211">
            <w:pPr>
              <w:spacing w:line="276" w:lineRule="auto"/>
              <w:rPr>
                <w:rFonts w:eastAsia="Times New Roman"/>
                <w:sz w:val="22"/>
                <w:szCs w:val="22"/>
              </w:rPr>
            </w:pPr>
            <w:r w:rsidRPr="005D241A">
              <w:rPr>
                <w:rFonts w:eastAsia="Times New Roman"/>
                <w:sz w:val="22"/>
                <w:szCs w:val="22"/>
              </w:rPr>
              <w:t xml:space="preserve">electronics assembler, coat maker, furniture refinisher, printing press operator, butcher, distiller, assembly line supervisor, vending machine assembler, engine turbine assembler, boat builder, baker, fish processing worker, machine </w:t>
            </w:r>
            <w:proofErr w:type="spellStart"/>
            <w:r w:rsidRPr="005D241A">
              <w:rPr>
                <w:rFonts w:eastAsia="Times New Roman"/>
                <w:sz w:val="22"/>
                <w:szCs w:val="22"/>
              </w:rPr>
              <w:t>automator</w:t>
            </w:r>
            <w:proofErr w:type="spellEnd"/>
            <w:r w:rsidRPr="005D241A">
              <w:rPr>
                <w:rFonts w:eastAsia="Times New Roman"/>
                <w:sz w:val="22"/>
                <w:szCs w:val="22"/>
              </w:rPr>
              <w:t>, injection molding operator, automotive machinist, pipe welder, dry-cleaning worker, tailor, wastewater plant operator, machine quality inspector, eyeglass maker, aircraft painter, semiconductor assembler</w:t>
            </w:r>
          </w:p>
        </w:tc>
        <w:tc>
          <w:tcPr>
            <w:tcW w:w="1600" w:type="dxa"/>
            <w:tcBorders>
              <w:top w:val="single" w:sz="4" w:space="0" w:color="auto"/>
              <w:left w:val="single" w:sz="4" w:space="0" w:color="auto"/>
              <w:bottom w:val="single" w:sz="4" w:space="0" w:color="auto"/>
              <w:right w:val="single" w:sz="4" w:space="0" w:color="auto"/>
            </w:tcBorders>
            <w:vAlign w:val="center"/>
          </w:tcPr>
          <w:p w14:paraId="3B7B73CF" w14:textId="77777777" w:rsidR="002A67EE" w:rsidRPr="005D241A" w:rsidRDefault="002A67EE" w:rsidP="00744211">
            <w:pPr>
              <w:spacing w:line="276" w:lineRule="auto"/>
              <w:jc w:val="right"/>
              <w:rPr>
                <w:bCs/>
                <w:sz w:val="22"/>
                <w:szCs w:val="22"/>
              </w:rPr>
            </w:pPr>
            <w:r w:rsidRPr="005D241A">
              <w:rPr>
                <w:bCs/>
                <w:sz w:val="22"/>
                <w:szCs w:val="22"/>
              </w:rPr>
              <w:t>51-0000</w:t>
            </w:r>
          </w:p>
        </w:tc>
      </w:tr>
      <w:tr w:rsidR="002A67EE" w:rsidRPr="005D241A" w14:paraId="2A20A24C" w14:textId="77777777" w:rsidTr="002A67EE">
        <w:trPr>
          <w:trHeight w:val="285"/>
        </w:trPr>
        <w:tc>
          <w:tcPr>
            <w:tcW w:w="4588" w:type="dxa"/>
            <w:tcBorders>
              <w:top w:val="single" w:sz="4" w:space="0" w:color="auto"/>
              <w:left w:val="single" w:sz="4" w:space="0" w:color="auto"/>
              <w:bottom w:val="single" w:sz="4" w:space="0" w:color="auto"/>
              <w:right w:val="single" w:sz="4" w:space="0" w:color="auto"/>
            </w:tcBorders>
            <w:vAlign w:val="center"/>
            <w:hideMark/>
          </w:tcPr>
          <w:p w14:paraId="2337306F" w14:textId="77777777" w:rsidR="002A67EE" w:rsidRPr="005D241A" w:rsidRDefault="002A67EE" w:rsidP="00744211">
            <w:pPr>
              <w:spacing w:line="276" w:lineRule="auto"/>
              <w:ind w:left="-108"/>
              <w:rPr>
                <w:rFonts w:eastAsia="Times New Roman"/>
                <w:sz w:val="22"/>
                <w:szCs w:val="22"/>
              </w:rPr>
            </w:pPr>
            <w:r w:rsidRPr="005D241A">
              <w:rPr>
                <w:rFonts w:eastAsia="Times New Roman"/>
                <w:sz w:val="22"/>
                <w:szCs w:val="22"/>
                <w:shd w:val="clear" w:color="auto" w:fill="FFFFFF"/>
              </w:rPr>
              <w:t xml:space="preserve">Transportation &amp; Material Moving </w:t>
            </w:r>
          </w:p>
        </w:tc>
        <w:tc>
          <w:tcPr>
            <w:tcW w:w="6857" w:type="dxa"/>
            <w:tcBorders>
              <w:top w:val="single" w:sz="4" w:space="0" w:color="auto"/>
              <w:left w:val="single" w:sz="4" w:space="0" w:color="auto"/>
              <w:bottom w:val="single" w:sz="4" w:space="0" w:color="auto"/>
              <w:right w:val="single" w:sz="4" w:space="0" w:color="auto"/>
            </w:tcBorders>
            <w:hideMark/>
          </w:tcPr>
          <w:p w14:paraId="1749DE28" w14:textId="77777777" w:rsidR="002A67EE" w:rsidRPr="005D241A" w:rsidRDefault="002A67EE" w:rsidP="00744211">
            <w:pPr>
              <w:spacing w:line="276" w:lineRule="auto"/>
              <w:rPr>
                <w:rFonts w:eastAsia="Times New Roman"/>
                <w:sz w:val="22"/>
                <w:szCs w:val="22"/>
              </w:rPr>
            </w:pPr>
            <w:r w:rsidRPr="005D241A">
              <w:rPr>
                <w:rFonts w:eastAsia="Times New Roman"/>
                <w:sz w:val="22"/>
                <w:szCs w:val="22"/>
              </w:rPr>
              <w:t>bus driver, taxi driver, air traffic controller, flight attendant, railway switch operator, parking attendant, warehouse supervisor, cargo handler, boom crane operator, forklift operator, aircraft cleaner, trash/waste collector, pumping station operator</w:t>
            </w:r>
          </w:p>
        </w:tc>
        <w:tc>
          <w:tcPr>
            <w:tcW w:w="1600" w:type="dxa"/>
            <w:tcBorders>
              <w:top w:val="single" w:sz="4" w:space="0" w:color="auto"/>
              <w:left w:val="single" w:sz="4" w:space="0" w:color="auto"/>
              <w:bottom w:val="single" w:sz="4" w:space="0" w:color="auto"/>
              <w:right w:val="single" w:sz="4" w:space="0" w:color="auto"/>
            </w:tcBorders>
            <w:vAlign w:val="center"/>
          </w:tcPr>
          <w:p w14:paraId="07DC511E" w14:textId="77777777" w:rsidR="002A67EE" w:rsidRPr="005D241A" w:rsidRDefault="002A67EE" w:rsidP="00744211">
            <w:pPr>
              <w:spacing w:line="276" w:lineRule="auto"/>
              <w:jc w:val="right"/>
              <w:rPr>
                <w:bCs/>
                <w:sz w:val="22"/>
                <w:szCs w:val="22"/>
              </w:rPr>
            </w:pPr>
            <w:r w:rsidRPr="005D241A">
              <w:rPr>
                <w:bCs/>
                <w:sz w:val="22"/>
                <w:szCs w:val="22"/>
              </w:rPr>
              <w:t>53-0000</w:t>
            </w:r>
          </w:p>
        </w:tc>
      </w:tr>
      <w:tr w:rsidR="002A67EE" w:rsidRPr="005D241A" w14:paraId="4396DB77" w14:textId="77777777" w:rsidTr="002A67EE">
        <w:trPr>
          <w:trHeight w:val="285"/>
        </w:trPr>
        <w:tc>
          <w:tcPr>
            <w:tcW w:w="4588" w:type="dxa"/>
            <w:tcBorders>
              <w:top w:val="single" w:sz="4" w:space="0" w:color="auto"/>
              <w:left w:val="single" w:sz="4" w:space="0" w:color="auto"/>
              <w:bottom w:val="single" w:sz="4" w:space="0" w:color="auto"/>
              <w:right w:val="single" w:sz="4" w:space="0" w:color="auto"/>
            </w:tcBorders>
            <w:vAlign w:val="center"/>
          </w:tcPr>
          <w:p w14:paraId="40FF1281" w14:textId="77777777" w:rsidR="002A67EE" w:rsidRPr="005D241A" w:rsidRDefault="002A67EE" w:rsidP="00744211">
            <w:pPr>
              <w:spacing w:line="276" w:lineRule="auto"/>
              <w:ind w:left="-108"/>
              <w:rPr>
                <w:rFonts w:eastAsia="Times New Roman"/>
                <w:sz w:val="22"/>
                <w:szCs w:val="22"/>
                <w:shd w:val="clear" w:color="auto" w:fill="FFFFFF"/>
              </w:rPr>
            </w:pPr>
            <w:r w:rsidRPr="005D241A">
              <w:rPr>
                <w:rFonts w:eastAsia="Times New Roman"/>
                <w:sz w:val="22"/>
                <w:szCs w:val="22"/>
                <w:shd w:val="clear" w:color="auto" w:fill="FFFFFF"/>
              </w:rPr>
              <w:t>Military Specific</w:t>
            </w:r>
          </w:p>
        </w:tc>
        <w:tc>
          <w:tcPr>
            <w:tcW w:w="6857" w:type="dxa"/>
            <w:tcBorders>
              <w:top w:val="single" w:sz="4" w:space="0" w:color="auto"/>
              <w:left w:val="single" w:sz="4" w:space="0" w:color="auto"/>
              <w:bottom w:val="single" w:sz="4" w:space="0" w:color="auto"/>
              <w:right w:val="single" w:sz="4" w:space="0" w:color="auto"/>
            </w:tcBorders>
          </w:tcPr>
          <w:p w14:paraId="1475B0FD" w14:textId="77777777" w:rsidR="002A67EE" w:rsidRPr="005D241A" w:rsidRDefault="002A67EE" w:rsidP="00744211">
            <w:pPr>
              <w:spacing w:line="276" w:lineRule="auto"/>
              <w:rPr>
                <w:rFonts w:eastAsia="Times New Roman"/>
                <w:sz w:val="22"/>
                <w:szCs w:val="22"/>
              </w:rPr>
            </w:pPr>
            <w:r w:rsidRPr="005D241A">
              <w:rPr>
                <w:rFonts w:eastAsia="Times New Roman"/>
                <w:sz w:val="22"/>
                <w:szCs w:val="22"/>
              </w:rPr>
              <w:t xml:space="preserve">National Guardsperson, military police officer, </w:t>
            </w:r>
            <w:proofErr w:type="gramStart"/>
            <w:r w:rsidRPr="005D241A">
              <w:rPr>
                <w:rFonts w:eastAsia="Times New Roman"/>
                <w:sz w:val="22"/>
                <w:szCs w:val="22"/>
              </w:rPr>
              <w:t>active duty</w:t>
            </w:r>
            <w:proofErr w:type="gramEnd"/>
            <w:r w:rsidRPr="005D241A">
              <w:rPr>
                <w:rFonts w:eastAsia="Times New Roman"/>
                <w:sz w:val="22"/>
                <w:szCs w:val="22"/>
              </w:rPr>
              <w:t xml:space="preserve"> service member of the Air Force, Navy, Army, Marine Corps </w:t>
            </w:r>
          </w:p>
        </w:tc>
        <w:tc>
          <w:tcPr>
            <w:tcW w:w="1600" w:type="dxa"/>
            <w:tcBorders>
              <w:top w:val="single" w:sz="4" w:space="0" w:color="auto"/>
              <w:left w:val="single" w:sz="4" w:space="0" w:color="auto"/>
              <w:bottom w:val="single" w:sz="4" w:space="0" w:color="auto"/>
              <w:right w:val="single" w:sz="4" w:space="0" w:color="auto"/>
            </w:tcBorders>
            <w:vAlign w:val="center"/>
          </w:tcPr>
          <w:p w14:paraId="02139063" w14:textId="77777777" w:rsidR="002A67EE" w:rsidRPr="005D241A" w:rsidRDefault="002A67EE" w:rsidP="00744211">
            <w:pPr>
              <w:spacing w:line="276" w:lineRule="auto"/>
              <w:jc w:val="right"/>
              <w:rPr>
                <w:bCs/>
                <w:sz w:val="22"/>
                <w:szCs w:val="22"/>
              </w:rPr>
            </w:pPr>
            <w:r w:rsidRPr="005D241A">
              <w:rPr>
                <w:bCs/>
                <w:sz w:val="22"/>
                <w:szCs w:val="22"/>
              </w:rPr>
              <w:t>55-0000</w:t>
            </w:r>
          </w:p>
        </w:tc>
      </w:tr>
    </w:tbl>
    <w:p w14:paraId="0D6E323D" w14:textId="77777777" w:rsidR="002A67EE" w:rsidRPr="005D241A" w:rsidRDefault="002A67EE" w:rsidP="002A67EE">
      <w:pPr>
        <w:ind w:left="360"/>
        <w:rPr>
          <w:rFonts w:eastAsia="Times New Roman"/>
          <w:sz w:val="22"/>
          <w:szCs w:val="22"/>
        </w:rPr>
      </w:pPr>
    </w:p>
    <w:p w14:paraId="5789F5A5" w14:textId="77777777" w:rsidR="002A67EE" w:rsidRPr="005D241A" w:rsidRDefault="002A67EE" w:rsidP="002A67EE">
      <w:pPr>
        <w:rPr>
          <w:rFonts w:eastAsia="Times New Roman"/>
          <w:sz w:val="22"/>
          <w:szCs w:val="22"/>
        </w:rPr>
      </w:pPr>
      <w:r w:rsidRPr="005D241A">
        <w:rPr>
          <w:rFonts w:eastAsia="Times New Roman"/>
          <w:sz w:val="22"/>
          <w:szCs w:val="22"/>
        </w:rPr>
        <w:t xml:space="preserve">1. Occupation groups based on the Standard Occupational Classification (SOC) </w:t>
      </w:r>
      <w:proofErr w:type="gramStart"/>
      <w:r w:rsidRPr="005D241A">
        <w:rPr>
          <w:rFonts w:eastAsia="Times New Roman"/>
          <w:sz w:val="22"/>
          <w:szCs w:val="22"/>
        </w:rPr>
        <w:t>System :</w:t>
      </w:r>
      <w:proofErr w:type="gramEnd"/>
      <w:r w:rsidRPr="005D241A">
        <w:rPr>
          <w:rFonts w:eastAsia="Times New Roman"/>
          <w:sz w:val="22"/>
          <w:szCs w:val="22"/>
        </w:rPr>
        <w:t xml:space="preserve"> </w:t>
      </w:r>
      <w:hyperlink r:id="rId33" w:history="1">
        <w:r w:rsidRPr="005D241A">
          <w:rPr>
            <w:rStyle w:val="Hyperlink"/>
            <w:rFonts w:eastAsia="Times New Roman"/>
            <w:sz w:val="22"/>
            <w:szCs w:val="22"/>
          </w:rPr>
          <w:t>https://www.bls.gov/soc/2010/home.htm</w:t>
        </w:r>
      </w:hyperlink>
      <w:r w:rsidRPr="005D241A">
        <w:rPr>
          <w:rFonts w:eastAsia="Times New Roman"/>
          <w:sz w:val="22"/>
          <w:szCs w:val="22"/>
        </w:rPr>
        <w:t xml:space="preserve">. See </w:t>
      </w:r>
      <w:hyperlink r:id="rId34" w:history="1">
        <w:r w:rsidRPr="005D241A">
          <w:rPr>
            <w:rStyle w:val="Hyperlink"/>
            <w:rFonts w:eastAsia="Times New Roman"/>
            <w:sz w:val="22"/>
            <w:szCs w:val="22"/>
          </w:rPr>
          <w:t>https://www.bls.gov/soc/soc_2010_definitions.pdf</w:t>
        </w:r>
      </w:hyperlink>
      <w:r w:rsidRPr="005D241A">
        <w:rPr>
          <w:rFonts w:eastAsia="Times New Roman"/>
          <w:sz w:val="22"/>
          <w:szCs w:val="22"/>
        </w:rPr>
        <w:t xml:space="preserve"> for detailed descriptions of each SOC code as well as additional example jobs.                                             </w:t>
      </w:r>
    </w:p>
    <w:p w14:paraId="62A1B094" w14:textId="77777777" w:rsidR="002A67EE" w:rsidRDefault="002A67EE" w:rsidP="002A67EE">
      <w:pPr>
        <w:ind w:left="360"/>
        <w:rPr>
          <w:rFonts w:eastAsia="Times New Roman"/>
        </w:rPr>
      </w:pPr>
    </w:p>
    <w:p w14:paraId="6FFFFE58" w14:textId="44A56CF5" w:rsidR="002A67EE" w:rsidRDefault="002A67EE" w:rsidP="002A67EE">
      <w:pPr>
        <w:ind w:left="360"/>
        <w:rPr>
          <w:rFonts w:eastAsia="Times New Roman"/>
          <w:sz w:val="22"/>
          <w:szCs w:val="22"/>
        </w:rPr>
      </w:pPr>
    </w:p>
    <w:p w14:paraId="1951C6DA" w14:textId="7146567C" w:rsidR="00D476E6" w:rsidRDefault="00D476E6" w:rsidP="002A67EE">
      <w:pPr>
        <w:ind w:left="360"/>
        <w:rPr>
          <w:rFonts w:eastAsia="Times New Roman"/>
          <w:sz w:val="22"/>
          <w:szCs w:val="22"/>
        </w:rPr>
      </w:pPr>
    </w:p>
    <w:p w14:paraId="3270C337" w14:textId="2AFDEBAD" w:rsidR="00D476E6" w:rsidRDefault="00D476E6" w:rsidP="002A67EE">
      <w:pPr>
        <w:ind w:left="360"/>
        <w:rPr>
          <w:rFonts w:eastAsia="Times New Roman"/>
          <w:sz w:val="22"/>
          <w:szCs w:val="22"/>
        </w:rPr>
      </w:pPr>
    </w:p>
    <w:p w14:paraId="6A470564" w14:textId="41A6BA59" w:rsidR="00D476E6" w:rsidRDefault="00D476E6" w:rsidP="002A67EE">
      <w:pPr>
        <w:ind w:left="360"/>
        <w:rPr>
          <w:rFonts w:eastAsia="Times New Roman"/>
          <w:sz w:val="22"/>
          <w:szCs w:val="22"/>
        </w:rPr>
      </w:pPr>
    </w:p>
    <w:p w14:paraId="3447CD30" w14:textId="419770A5" w:rsidR="00D476E6" w:rsidRDefault="00D476E6" w:rsidP="002A67EE">
      <w:pPr>
        <w:ind w:left="360"/>
        <w:rPr>
          <w:rFonts w:eastAsia="Times New Roman"/>
          <w:sz w:val="22"/>
          <w:szCs w:val="22"/>
        </w:rPr>
      </w:pPr>
    </w:p>
    <w:p w14:paraId="69C94B59" w14:textId="6A5C7444" w:rsidR="00D476E6" w:rsidRDefault="00D476E6" w:rsidP="002A67EE">
      <w:pPr>
        <w:ind w:left="360"/>
        <w:rPr>
          <w:rFonts w:eastAsia="Times New Roman"/>
          <w:sz w:val="22"/>
          <w:szCs w:val="22"/>
        </w:rPr>
      </w:pPr>
    </w:p>
    <w:p w14:paraId="77E533DC" w14:textId="2F0372FD" w:rsidR="00D476E6" w:rsidRDefault="00D476E6" w:rsidP="002A67EE">
      <w:pPr>
        <w:ind w:left="360"/>
        <w:rPr>
          <w:rFonts w:eastAsia="Times New Roman"/>
          <w:sz w:val="22"/>
          <w:szCs w:val="22"/>
        </w:rPr>
      </w:pPr>
    </w:p>
    <w:p w14:paraId="325F1553" w14:textId="5BF80FDB" w:rsidR="00D476E6" w:rsidRDefault="00D476E6" w:rsidP="002A67EE">
      <w:pPr>
        <w:ind w:left="360"/>
        <w:rPr>
          <w:rFonts w:eastAsia="Times New Roman"/>
          <w:sz w:val="22"/>
          <w:szCs w:val="22"/>
        </w:rPr>
      </w:pPr>
    </w:p>
    <w:p w14:paraId="56851DF2" w14:textId="4BDAC181" w:rsidR="009832EC" w:rsidRDefault="009832EC" w:rsidP="002A67EE">
      <w:pPr>
        <w:ind w:left="360"/>
        <w:rPr>
          <w:rFonts w:eastAsia="Times New Roman"/>
          <w:sz w:val="22"/>
          <w:szCs w:val="22"/>
        </w:rPr>
      </w:pPr>
    </w:p>
    <w:p w14:paraId="223E3D9E" w14:textId="48CEA260" w:rsidR="009832EC" w:rsidRDefault="009832EC" w:rsidP="002A67EE">
      <w:pPr>
        <w:ind w:left="360"/>
        <w:rPr>
          <w:rFonts w:eastAsia="Times New Roman"/>
          <w:sz w:val="22"/>
          <w:szCs w:val="22"/>
        </w:rPr>
      </w:pPr>
    </w:p>
    <w:p w14:paraId="3A381DC2" w14:textId="77777777" w:rsidR="009832EC" w:rsidRDefault="009832EC" w:rsidP="002A67EE">
      <w:pPr>
        <w:ind w:left="360"/>
        <w:rPr>
          <w:rFonts w:eastAsia="Times New Roman"/>
          <w:sz w:val="22"/>
          <w:szCs w:val="22"/>
        </w:rPr>
      </w:pPr>
    </w:p>
    <w:p w14:paraId="1BEB6045" w14:textId="2FD8FE40" w:rsidR="00D476E6" w:rsidRDefault="00D476E6" w:rsidP="002A67EE">
      <w:pPr>
        <w:ind w:left="360"/>
        <w:rPr>
          <w:rFonts w:eastAsia="Times New Roman"/>
          <w:sz w:val="22"/>
          <w:szCs w:val="22"/>
        </w:rPr>
      </w:pPr>
    </w:p>
    <w:p w14:paraId="329EA628" w14:textId="77777777" w:rsidR="00D476E6" w:rsidRPr="005D241A" w:rsidRDefault="00D476E6" w:rsidP="002A67EE">
      <w:pPr>
        <w:ind w:left="360"/>
        <w:rPr>
          <w:rFonts w:eastAsia="Times New Roman"/>
          <w:sz w:val="22"/>
          <w:szCs w:val="22"/>
        </w:rPr>
      </w:pPr>
    </w:p>
    <w:p w14:paraId="4ACD7B57" w14:textId="77777777" w:rsidR="002A67EE" w:rsidRPr="005D241A" w:rsidRDefault="002A67EE" w:rsidP="002A67EE">
      <w:pPr>
        <w:rPr>
          <w:sz w:val="22"/>
          <w:szCs w:val="22"/>
        </w:rPr>
      </w:pPr>
    </w:p>
    <w:tbl>
      <w:tblPr>
        <w:tblW w:w="12775"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3"/>
        <w:gridCol w:w="7499"/>
        <w:gridCol w:w="1283"/>
      </w:tblGrid>
      <w:tr w:rsidR="002A67EE" w:rsidRPr="005D241A" w14:paraId="01335BE1" w14:textId="77777777" w:rsidTr="002A67EE">
        <w:trPr>
          <w:trHeight w:val="435"/>
        </w:trPr>
        <w:tc>
          <w:tcPr>
            <w:tcW w:w="12775" w:type="dxa"/>
            <w:gridSpan w:val="3"/>
            <w:tcBorders>
              <w:top w:val="single" w:sz="4" w:space="0" w:color="auto"/>
              <w:left w:val="single" w:sz="4" w:space="0" w:color="auto"/>
              <w:bottom w:val="single" w:sz="4" w:space="0" w:color="auto"/>
              <w:right w:val="single" w:sz="4" w:space="0" w:color="auto"/>
            </w:tcBorders>
            <w:vAlign w:val="center"/>
            <w:hideMark/>
          </w:tcPr>
          <w:p w14:paraId="48019EBC" w14:textId="612370B9" w:rsidR="002A67EE" w:rsidRPr="005D241A" w:rsidRDefault="002A67EE" w:rsidP="00744211">
            <w:pPr>
              <w:spacing w:line="276" w:lineRule="auto"/>
              <w:ind w:left="702"/>
              <w:rPr>
                <w:rFonts w:eastAsia="Times New Roman"/>
                <w:b/>
                <w:sz w:val="22"/>
                <w:szCs w:val="22"/>
              </w:rPr>
            </w:pPr>
            <w:r>
              <w:rPr>
                <w:rFonts w:eastAsia="Times New Roman"/>
                <w:b/>
                <w:sz w:val="22"/>
                <w:szCs w:val="22"/>
              </w:rPr>
              <w:lastRenderedPageBreak/>
              <w:t xml:space="preserve">Appendix </w:t>
            </w:r>
            <w:r w:rsidRPr="005D241A">
              <w:rPr>
                <w:rFonts w:eastAsia="Times New Roman"/>
                <w:b/>
                <w:sz w:val="22"/>
                <w:szCs w:val="22"/>
              </w:rPr>
              <w:t>Table 2:  Examples of Industries within the North American Industry Classification System (NAICS)</w:t>
            </w:r>
          </w:p>
        </w:tc>
      </w:tr>
      <w:tr w:rsidR="002A67EE" w:rsidRPr="005D241A" w14:paraId="60B48CED" w14:textId="77777777" w:rsidTr="002A67EE">
        <w:trPr>
          <w:trHeight w:val="649"/>
        </w:trPr>
        <w:tc>
          <w:tcPr>
            <w:tcW w:w="3993" w:type="dxa"/>
            <w:tcBorders>
              <w:top w:val="single" w:sz="4" w:space="0" w:color="auto"/>
              <w:left w:val="single" w:sz="4" w:space="0" w:color="auto"/>
              <w:bottom w:val="single" w:sz="4" w:space="0" w:color="auto"/>
              <w:right w:val="single" w:sz="4" w:space="0" w:color="auto"/>
            </w:tcBorders>
            <w:vAlign w:val="center"/>
          </w:tcPr>
          <w:p w14:paraId="2A588874" w14:textId="77777777" w:rsidR="002A67EE" w:rsidRPr="005D241A" w:rsidRDefault="002A67EE" w:rsidP="00744211">
            <w:pPr>
              <w:spacing w:line="276" w:lineRule="auto"/>
              <w:ind w:left="-90"/>
              <w:rPr>
                <w:rFonts w:eastAsia="Times New Roman"/>
                <w:b/>
                <w:sz w:val="22"/>
                <w:szCs w:val="22"/>
              </w:rPr>
            </w:pPr>
            <w:r w:rsidRPr="005D241A">
              <w:rPr>
                <w:rFonts w:eastAsia="Times New Roman"/>
                <w:b/>
                <w:sz w:val="22"/>
                <w:szCs w:val="22"/>
              </w:rPr>
              <w:t>NAICS Industry Group</w:t>
            </w:r>
            <w:r w:rsidRPr="005D241A">
              <w:rPr>
                <w:rFonts w:eastAsia="Times New Roman"/>
                <w:b/>
                <w:sz w:val="22"/>
                <w:szCs w:val="22"/>
                <w:vertAlign w:val="superscript"/>
              </w:rPr>
              <w:t>1</w:t>
            </w:r>
          </w:p>
          <w:p w14:paraId="21778915" w14:textId="77777777" w:rsidR="002A67EE" w:rsidRPr="005D241A" w:rsidRDefault="002A67EE" w:rsidP="00744211">
            <w:pPr>
              <w:spacing w:line="276" w:lineRule="auto"/>
              <w:rPr>
                <w:rFonts w:eastAsia="Times New Roman"/>
                <w:sz w:val="22"/>
                <w:szCs w:val="22"/>
              </w:rPr>
            </w:pPr>
          </w:p>
        </w:tc>
        <w:tc>
          <w:tcPr>
            <w:tcW w:w="7499" w:type="dxa"/>
            <w:tcBorders>
              <w:top w:val="single" w:sz="4" w:space="0" w:color="auto"/>
              <w:left w:val="single" w:sz="4" w:space="0" w:color="auto"/>
              <w:bottom w:val="single" w:sz="4" w:space="0" w:color="auto"/>
              <w:right w:val="single" w:sz="4" w:space="0" w:color="auto"/>
            </w:tcBorders>
            <w:vAlign w:val="center"/>
            <w:hideMark/>
          </w:tcPr>
          <w:p w14:paraId="01D2BFCA" w14:textId="77777777" w:rsidR="002A67EE" w:rsidRPr="005D241A" w:rsidRDefault="002A67EE" w:rsidP="00744211">
            <w:pPr>
              <w:spacing w:line="276" w:lineRule="auto"/>
              <w:ind w:left="-90"/>
              <w:rPr>
                <w:rFonts w:eastAsia="Times New Roman"/>
                <w:b/>
                <w:sz w:val="22"/>
                <w:szCs w:val="22"/>
              </w:rPr>
            </w:pPr>
            <w:r w:rsidRPr="005D241A">
              <w:rPr>
                <w:rFonts w:eastAsia="Times New Roman"/>
                <w:b/>
                <w:sz w:val="22"/>
                <w:szCs w:val="22"/>
              </w:rPr>
              <w:t>Examples of Industries</w:t>
            </w:r>
          </w:p>
        </w:tc>
        <w:tc>
          <w:tcPr>
            <w:tcW w:w="1283" w:type="dxa"/>
            <w:tcBorders>
              <w:top w:val="single" w:sz="4" w:space="0" w:color="auto"/>
              <w:left w:val="single" w:sz="4" w:space="0" w:color="auto"/>
              <w:right w:val="single" w:sz="4" w:space="0" w:color="auto"/>
            </w:tcBorders>
            <w:hideMark/>
          </w:tcPr>
          <w:p w14:paraId="0D14595A" w14:textId="77777777" w:rsidR="002A67EE" w:rsidRPr="005D241A" w:rsidRDefault="002A67EE" w:rsidP="00744211">
            <w:pPr>
              <w:spacing w:line="276" w:lineRule="auto"/>
              <w:ind w:left="-108"/>
              <w:rPr>
                <w:rFonts w:eastAsia="Times New Roman"/>
                <w:b/>
                <w:sz w:val="22"/>
                <w:szCs w:val="22"/>
              </w:rPr>
            </w:pPr>
            <w:r w:rsidRPr="005D241A">
              <w:rPr>
                <w:rFonts w:eastAsia="Times New Roman"/>
                <w:b/>
                <w:sz w:val="22"/>
                <w:szCs w:val="22"/>
              </w:rPr>
              <w:t>NAICS Industry Code Series</w:t>
            </w:r>
          </w:p>
        </w:tc>
      </w:tr>
      <w:tr w:rsidR="002A67EE" w:rsidRPr="005D241A" w14:paraId="70B43FC5" w14:textId="77777777" w:rsidTr="002A67EE">
        <w:trPr>
          <w:trHeight w:val="267"/>
        </w:trPr>
        <w:tc>
          <w:tcPr>
            <w:tcW w:w="3993" w:type="dxa"/>
            <w:tcBorders>
              <w:top w:val="single" w:sz="4" w:space="0" w:color="auto"/>
              <w:left w:val="single" w:sz="4" w:space="0" w:color="auto"/>
              <w:bottom w:val="single" w:sz="4" w:space="0" w:color="auto"/>
              <w:right w:val="single" w:sz="4" w:space="0" w:color="auto"/>
            </w:tcBorders>
            <w:vAlign w:val="center"/>
            <w:hideMark/>
          </w:tcPr>
          <w:p w14:paraId="098F5445" w14:textId="77777777" w:rsidR="002A67EE" w:rsidRPr="005D241A" w:rsidRDefault="002A67EE" w:rsidP="00744211">
            <w:pPr>
              <w:spacing w:line="276" w:lineRule="auto"/>
              <w:ind w:left="-108"/>
              <w:rPr>
                <w:rFonts w:eastAsia="Times New Roman"/>
                <w:sz w:val="22"/>
                <w:szCs w:val="22"/>
                <w:shd w:val="clear" w:color="auto" w:fill="FFFFFF"/>
              </w:rPr>
            </w:pPr>
            <w:r w:rsidRPr="005D241A">
              <w:rPr>
                <w:rFonts w:eastAsia="Times New Roman"/>
                <w:sz w:val="22"/>
                <w:szCs w:val="22"/>
                <w:shd w:val="clear" w:color="auto" w:fill="FFFFFF"/>
              </w:rPr>
              <w:t>Agriculture, Forestry, Fishing &amp; Hunting</w:t>
            </w:r>
          </w:p>
        </w:tc>
        <w:tc>
          <w:tcPr>
            <w:tcW w:w="7499" w:type="dxa"/>
            <w:tcBorders>
              <w:top w:val="single" w:sz="4" w:space="0" w:color="auto"/>
              <w:left w:val="single" w:sz="4" w:space="0" w:color="auto"/>
              <w:bottom w:val="single" w:sz="4" w:space="0" w:color="auto"/>
              <w:right w:val="single" w:sz="4" w:space="0" w:color="auto"/>
            </w:tcBorders>
            <w:hideMark/>
          </w:tcPr>
          <w:p w14:paraId="5AA0846D" w14:textId="77777777" w:rsidR="002A67EE" w:rsidRPr="005D241A" w:rsidRDefault="002A67EE" w:rsidP="00744211">
            <w:pPr>
              <w:spacing w:line="276" w:lineRule="auto"/>
              <w:rPr>
                <w:rFonts w:eastAsia="Times New Roman"/>
                <w:sz w:val="22"/>
                <w:szCs w:val="22"/>
              </w:rPr>
            </w:pPr>
            <w:r w:rsidRPr="005D241A">
              <w:rPr>
                <w:rFonts w:eastAsia="Times New Roman"/>
                <w:sz w:val="22"/>
                <w:szCs w:val="22"/>
              </w:rPr>
              <w:t>apple orchard, tree nursery, dairy farm, vineyard, aerial spraying, vegetable packing, animal breeding, oyster farm, lobstering, fishery</w:t>
            </w:r>
          </w:p>
        </w:tc>
        <w:tc>
          <w:tcPr>
            <w:tcW w:w="1283" w:type="dxa"/>
            <w:tcBorders>
              <w:top w:val="single" w:sz="4" w:space="0" w:color="auto"/>
              <w:left w:val="single" w:sz="4" w:space="0" w:color="auto"/>
              <w:bottom w:val="single" w:sz="4" w:space="0" w:color="auto"/>
              <w:right w:val="single" w:sz="4" w:space="0" w:color="auto"/>
            </w:tcBorders>
            <w:vAlign w:val="bottom"/>
          </w:tcPr>
          <w:p w14:paraId="5B052DA0" w14:textId="77777777" w:rsidR="002A67EE" w:rsidRPr="005D241A" w:rsidRDefault="002A67EE" w:rsidP="00744211">
            <w:pPr>
              <w:spacing w:line="276" w:lineRule="auto"/>
              <w:ind w:left="-108"/>
              <w:jc w:val="right"/>
              <w:rPr>
                <w:rFonts w:eastAsia="Times New Roman"/>
                <w:sz w:val="22"/>
                <w:szCs w:val="22"/>
              </w:rPr>
            </w:pPr>
            <w:r w:rsidRPr="005D241A">
              <w:rPr>
                <w:rFonts w:eastAsia="Times New Roman"/>
                <w:sz w:val="22"/>
                <w:szCs w:val="22"/>
              </w:rPr>
              <w:t>11</w:t>
            </w:r>
          </w:p>
        </w:tc>
      </w:tr>
      <w:tr w:rsidR="002A67EE" w:rsidRPr="005D241A" w14:paraId="51DDF8DC" w14:textId="77777777" w:rsidTr="002A67EE">
        <w:trPr>
          <w:trHeight w:val="267"/>
        </w:trPr>
        <w:tc>
          <w:tcPr>
            <w:tcW w:w="3993" w:type="dxa"/>
            <w:tcBorders>
              <w:top w:val="single" w:sz="4" w:space="0" w:color="auto"/>
              <w:left w:val="single" w:sz="4" w:space="0" w:color="auto"/>
              <w:bottom w:val="single" w:sz="4" w:space="0" w:color="auto"/>
              <w:right w:val="single" w:sz="4" w:space="0" w:color="auto"/>
            </w:tcBorders>
            <w:vAlign w:val="center"/>
            <w:hideMark/>
          </w:tcPr>
          <w:p w14:paraId="4DFF50F1" w14:textId="77777777" w:rsidR="002A67EE" w:rsidRPr="005D241A" w:rsidRDefault="002A67EE" w:rsidP="00744211">
            <w:pPr>
              <w:spacing w:line="276" w:lineRule="auto"/>
              <w:ind w:left="-108"/>
              <w:rPr>
                <w:rFonts w:eastAsia="Times New Roman"/>
                <w:sz w:val="22"/>
                <w:szCs w:val="22"/>
              </w:rPr>
            </w:pPr>
            <w:r w:rsidRPr="005D241A">
              <w:rPr>
                <w:rFonts w:eastAsia="Times New Roman"/>
                <w:sz w:val="22"/>
                <w:szCs w:val="22"/>
              </w:rPr>
              <w:t>Mining, Quarrying, &amp; Oil &amp; Gas Extraction</w:t>
            </w:r>
          </w:p>
        </w:tc>
        <w:tc>
          <w:tcPr>
            <w:tcW w:w="7499" w:type="dxa"/>
            <w:tcBorders>
              <w:top w:val="single" w:sz="4" w:space="0" w:color="auto"/>
              <w:left w:val="single" w:sz="4" w:space="0" w:color="auto"/>
              <w:bottom w:val="single" w:sz="4" w:space="0" w:color="auto"/>
              <w:right w:val="single" w:sz="4" w:space="0" w:color="auto"/>
            </w:tcBorders>
            <w:hideMark/>
          </w:tcPr>
          <w:p w14:paraId="56D10870" w14:textId="77777777" w:rsidR="002A67EE" w:rsidRPr="005D241A" w:rsidRDefault="002A67EE" w:rsidP="00744211">
            <w:pPr>
              <w:spacing w:line="276" w:lineRule="auto"/>
              <w:rPr>
                <w:rFonts w:eastAsia="Times New Roman"/>
                <w:sz w:val="22"/>
                <w:szCs w:val="22"/>
              </w:rPr>
            </w:pPr>
            <w:r w:rsidRPr="005D241A">
              <w:rPr>
                <w:rFonts w:eastAsia="Times New Roman"/>
                <w:sz w:val="22"/>
                <w:szCs w:val="22"/>
              </w:rPr>
              <w:t>blasting services for mining, limestone quarry, copper milling, gravel crushing, oil well drilling, petroleum production, natural gas compressing</w:t>
            </w:r>
          </w:p>
        </w:tc>
        <w:tc>
          <w:tcPr>
            <w:tcW w:w="1283" w:type="dxa"/>
            <w:tcBorders>
              <w:top w:val="single" w:sz="4" w:space="0" w:color="auto"/>
              <w:left w:val="single" w:sz="4" w:space="0" w:color="auto"/>
              <w:bottom w:val="single" w:sz="4" w:space="0" w:color="auto"/>
              <w:right w:val="single" w:sz="4" w:space="0" w:color="auto"/>
            </w:tcBorders>
            <w:vAlign w:val="bottom"/>
          </w:tcPr>
          <w:p w14:paraId="2C3D9731" w14:textId="77777777" w:rsidR="002A67EE" w:rsidRPr="005D241A" w:rsidRDefault="002A67EE" w:rsidP="00744211">
            <w:pPr>
              <w:spacing w:line="276" w:lineRule="auto"/>
              <w:ind w:left="-108"/>
              <w:jc w:val="right"/>
              <w:rPr>
                <w:rFonts w:eastAsia="Times New Roman"/>
                <w:sz w:val="22"/>
                <w:szCs w:val="22"/>
              </w:rPr>
            </w:pPr>
            <w:r w:rsidRPr="005D241A">
              <w:rPr>
                <w:rFonts w:eastAsia="Times New Roman"/>
                <w:sz w:val="22"/>
                <w:szCs w:val="22"/>
              </w:rPr>
              <w:t>21</w:t>
            </w:r>
          </w:p>
        </w:tc>
      </w:tr>
      <w:tr w:rsidR="002A67EE" w:rsidRPr="005D241A" w14:paraId="3E54832D" w14:textId="77777777" w:rsidTr="002A67EE">
        <w:trPr>
          <w:trHeight w:val="267"/>
        </w:trPr>
        <w:tc>
          <w:tcPr>
            <w:tcW w:w="3993" w:type="dxa"/>
            <w:tcBorders>
              <w:top w:val="single" w:sz="4" w:space="0" w:color="auto"/>
              <w:left w:val="single" w:sz="4" w:space="0" w:color="auto"/>
              <w:bottom w:val="single" w:sz="4" w:space="0" w:color="auto"/>
              <w:right w:val="single" w:sz="4" w:space="0" w:color="auto"/>
            </w:tcBorders>
            <w:vAlign w:val="center"/>
            <w:hideMark/>
          </w:tcPr>
          <w:p w14:paraId="4BA0E364" w14:textId="77777777" w:rsidR="002A67EE" w:rsidRPr="005D241A" w:rsidRDefault="002A67EE" w:rsidP="00744211">
            <w:pPr>
              <w:spacing w:line="276" w:lineRule="auto"/>
              <w:ind w:left="-108"/>
              <w:rPr>
                <w:rFonts w:eastAsia="Times New Roman"/>
                <w:sz w:val="22"/>
                <w:szCs w:val="22"/>
              </w:rPr>
            </w:pPr>
            <w:r w:rsidRPr="005D241A">
              <w:rPr>
                <w:rFonts w:eastAsia="Times New Roman"/>
                <w:sz w:val="22"/>
                <w:szCs w:val="22"/>
              </w:rPr>
              <w:t>Utilities</w:t>
            </w:r>
          </w:p>
        </w:tc>
        <w:tc>
          <w:tcPr>
            <w:tcW w:w="7499" w:type="dxa"/>
            <w:tcBorders>
              <w:top w:val="single" w:sz="4" w:space="0" w:color="auto"/>
              <w:left w:val="single" w:sz="4" w:space="0" w:color="auto"/>
              <w:bottom w:val="single" w:sz="4" w:space="0" w:color="auto"/>
              <w:right w:val="single" w:sz="4" w:space="0" w:color="auto"/>
            </w:tcBorders>
            <w:hideMark/>
          </w:tcPr>
          <w:p w14:paraId="76405A80" w14:textId="77777777" w:rsidR="002A67EE" w:rsidRPr="005D241A" w:rsidRDefault="002A67EE" w:rsidP="00744211">
            <w:pPr>
              <w:spacing w:line="276" w:lineRule="auto"/>
              <w:rPr>
                <w:rFonts w:eastAsia="Times New Roman"/>
                <w:sz w:val="22"/>
                <w:szCs w:val="22"/>
              </w:rPr>
            </w:pPr>
            <w:r w:rsidRPr="005D241A">
              <w:rPr>
                <w:rFonts w:eastAsia="Times New Roman"/>
                <w:sz w:val="22"/>
                <w:szCs w:val="22"/>
              </w:rPr>
              <w:t>electric utility, wind farm, gas works, city water works, wastewater treatment plant</w:t>
            </w:r>
          </w:p>
        </w:tc>
        <w:tc>
          <w:tcPr>
            <w:tcW w:w="1283" w:type="dxa"/>
            <w:tcBorders>
              <w:top w:val="single" w:sz="4" w:space="0" w:color="auto"/>
              <w:left w:val="single" w:sz="4" w:space="0" w:color="auto"/>
              <w:bottom w:val="single" w:sz="4" w:space="0" w:color="auto"/>
              <w:right w:val="single" w:sz="4" w:space="0" w:color="auto"/>
            </w:tcBorders>
            <w:vAlign w:val="bottom"/>
          </w:tcPr>
          <w:p w14:paraId="1DDCE546" w14:textId="77777777" w:rsidR="002A67EE" w:rsidRPr="005D241A" w:rsidRDefault="002A67EE" w:rsidP="00744211">
            <w:pPr>
              <w:spacing w:line="276" w:lineRule="auto"/>
              <w:ind w:left="-108"/>
              <w:jc w:val="right"/>
              <w:rPr>
                <w:rFonts w:eastAsia="Times New Roman"/>
                <w:sz w:val="22"/>
                <w:szCs w:val="22"/>
              </w:rPr>
            </w:pPr>
            <w:r w:rsidRPr="005D241A">
              <w:rPr>
                <w:rFonts w:eastAsia="Times New Roman"/>
                <w:sz w:val="22"/>
                <w:szCs w:val="22"/>
              </w:rPr>
              <w:t>22</w:t>
            </w:r>
          </w:p>
        </w:tc>
      </w:tr>
      <w:tr w:rsidR="002A67EE" w:rsidRPr="005D241A" w14:paraId="66921CF0" w14:textId="77777777" w:rsidTr="002A67EE">
        <w:trPr>
          <w:trHeight w:val="267"/>
        </w:trPr>
        <w:tc>
          <w:tcPr>
            <w:tcW w:w="3993" w:type="dxa"/>
            <w:tcBorders>
              <w:top w:val="single" w:sz="4" w:space="0" w:color="auto"/>
              <w:left w:val="single" w:sz="4" w:space="0" w:color="auto"/>
              <w:bottom w:val="single" w:sz="4" w:space="0" w:color="auto"/>
              <w:right w:val="single" w:sz="4" w:space="0" w:color="auto"/>
            </w:tcBorders>
            <w:vAlign w:val="center"/>
            <w:hideMark/>
          </w:tcPr>
          <w:p w14:paraId="4B391988" w14:textId="77777777" w:rsidR="002A67EE" w:rsidRPr="005D241A" w:rsidRDefault="002A67EE" w:rsidP="00744211">
            <w:pPr>
              <w:spacing w:line="276" w:lineRule="auto"/>
              <w:ind w:left="-108"/>
              <w:rPr>
                <w:rFonts w:eastAsia="Times New Roman"/>
                <w:sz w:val="22"/>
                <w:szCs w:val="22"/>
              </w:rPr>
            </w:pPr>
            <w:r w:rsidRPr="005D241A">
              <w:rPr>
                <w:rFonts w:eastAsia="Times New Roman"/>
                <w:sz w:val="22"/>
                <w:szCs w:val="22"/>
              </w:rPr>
              <w:t>Construction</w:t>
            </w:r>
          </w:p>
        </w:tc>
        <w:tc>
          <w:tcPr>
            <w:tcW w:w="7499" w:type="dxa"/>
            <w:tcBorders>
              <w:top w:val="single" w:sz="4" w:space="0" w:color="auto"/>
              <w:left w:val="single" w:sz="4" w:space="0" w:color="auto"/>
              <w:bottom w:val="single" w:sz="4" w:space="0" w:color="auto"/>
              <w:right w:val="single" w:sz="4" w:space="0" w:color="auto"/>
            </w:tcBorders>
            <w:hideMark/>
          </w:tcPr>
          <w:p w14:paraId="68955B7B" w14:textId="77777777" w:rsidR="002A67EE" w:rsidRPr="005D241A" w:rsidRDefault="002A67EE" w:rsidP="00744211">
            <w:pPr>
              <w:spacing w:line="276" w:lineRule="auto"/>
              <w:rPr>
                <w:rFonts w:eastAsia="Times New Roman"/>
                <w:sz w:val="22"/>
                <w:szCs w:val="22"/>
              </w:rPr>
            </w:pPr>
            <w:r w:rsidRPr="005D241A">
              <w:rPr>
                <w:rFonts w:eastAsia="Times New Roman"/>
                <w:sz w:val="22"/>
                <w:szCs w:val="22"/>
              </w:rPr>
              <w:t>general contractor, highway construction, asphalt paving, drywalling, excavating contractor, floor laying, underground cable laying, building demolition</w:t>
            </w:r>
          </w:p>
        </w:tc>
        <w:tc>
          <w:tcPr>
            <w:tcW w:w="1283" w:type="dxa"/>
            <w:tcBorders>
              <w:top w:val="single" w:sz="4" w:space="0" w:color="auto"/>
              <w:left w:val="single" w:sz="4" w:space="0" w:color="auto"/>
              <w:bottom w:val="single" w:sz="4" w:space="0" w:color="auto"/>
              <w:right w:val="single" w:sz="4" w:space="0" w:color="auto"/>
            </w:tcBorders>
            <w:vAlign w:val="bottom"/>
          </w:tcPr>
          <w:p w14:paraId="44E37F29" w14:textId="77777777" w:rsidR="002A67EE" w:rsidRPr="005D241A" w:rsidRDefault="002A67EE" w:rsidP="00744211">
            <w:pPr>
              <w:spacing w:line="276" w:lineRule="auto"/>
              <w:ind w:left="-108"/>
              <w:jc w:val="right"/>
              <w:rPr>
                <w:rFonts w:eastAsia="Times New Roman"/>
                <w:sz w:val="22"/>
                <w:szCs w:val="22"/>
              </w:rPr>
            </w:pPr>
            <w:r w:rsidRPr="005D241A">
              <w:rPr>
                <w:rFonts w:eastAsia="Times New Roman"/>
                <w:sz w:val="22"/>
                <w:szCs w:val="22"/>
              </w:rPr>
              <w:t>23</w:t>
            </w:r>
          </w:p>
        </w:tc>
      </w:tr>
      <w:tr w:rsidR="002A67EE" w:rsidRPr="005D241A" w14:paraId="367EA591" w14:textId="77777777" w:rsidTr="002A67EE">
        <w:trPr>
          <w:trHeight w:val="267"/>
        </w:trPr>
        <w:tc>
          <w:tcPr>
            <w:tcW w:w="3993" w:type="dxa"/>
            <w:tcBorders>
              <w:top w:val="single" w:sz="4" w:space="0" w:color="auto"/>
              <w:left w:val="single" w:sz="4" w:space="0" w:color="auto"/>
              <w:bottom w:val="single" w:sz="4" w:space="0" w:color="auto"/>
              <w:right w:val="single" w:sz="4" w:space="0" w:color="auto"/>
            </w:tcBorders>
            <w:vAlign w:val="center"/>
            <w:hideMark/>
          </w:tcPr>
          <w:p w14:paraId="0E6D0340" w14:textId="77777777" w:rsidR="002A67EE" w:rsidRPr="005D241A" w:rsidRDefault="002A67EE" w:rsidP="00744211">
            <w:pPr>
              <w:spacing w:line="276" w:lineRule="auto"/>
              <w:ind w:left="-108"/>
              <w:rPr>
                <w:rFonts w:eastAsia="Times New Roman"/>
                <w:sz w:val="22"/>
                <w:szCs w:val="22"/>
              </w:rPr>
            </w:pPr>
            <w:r w:rsidRPr="005D241A">
              <w:rPr>
                <w:rFonts w:eastAsia="Times New Roman"/>
                <w:sz w:val="22"/>
                <w:szCs w:val="22"/>
              </w:rPr>
              <w:t>Manufacturing</w:t>
            </w:r>
          </w:p>
        </w:tc>
        <w:tc>
          <w:tcPr>
            <w:tcW w:w="7499" w:type="dxa"/>
            <w:tcBorders>
              <w:top w:val="single" w:sz="4" w:space="0" w:color="auto"/>
              <w:left w:val="single" w:sz="4" w:space="0" w:color="auto"/>
              <w:bottom w:val="single" w:sz="4" w:space="0" w:color="auto"/>
              <w:right w:val="single" w:sz="4" w:space="0" w:color="auto"/>
            </w:tcBorders>
            <w:hideMark/>
          </w:tcPr>
          <w:p w14:paraId="07225C7C" w14:textId="77777777" w:rsidR="002A67EE" w:rsidRPr="005D241A" w:rsidRDefault="002A67EE" w:rsidP="00744211">
            <w:pPr>
              <w:spacing w:line="276" w:lineRule="auto"/>
              <w:rPr>
                <w:rFonts w:eastAsia="Times New Roman"/>
                <w:sz w:val="22"/>
                <w:szCs w:val="22"/>
              </w:rPr>
            </w:pPr>
            <w:r w:rsidRPr="005D241A">
              <w:rPr>
                <w:rFonts w:eastAsia="Times New Roman"/>
                <w:sz w:val="22"/>
                <w:szCs w:val="22"/>
              </w:rPr>
              <w:t>fruit canning, seafood processing, commercial bakery, sawmill, book printing, cement manufacturing, plastic bottle manufacturing</w:t>
            </w:r>
          </w:p>
        </w:tc>
        <w:tc>
          <w:tcPr>
            <w:tcW w:w="1283" w:type="dxa"/>
            <w:tcBorders>
              <w:top w:val="single" w:sz="4" w:space="0" w:color="auto"/>
              <w:left w:val="single" w:sz="4" w:space="0" w:color="auto"/>
              <w:bottom w:val="single" w:sz="4" w:space="0" w:color="auto"/>
              <w:right w:val="single" w:sz="4" w:space="0" w:color="auto"/>
            </w:tcBorders>
            <w:vAlign w:val="bottom"/>
          </w:tcPr>
          <w:p w14:paraId="4C42B74B" w14:textId="77777777" w:rsidR="002A67EE" w:rsidRPr="005D241A" w:rsidRDefault="002A67EE" w:rsidP="00744211">
            <w:pPr>
              <w:spacing w:line="276" w:lineRule="auto"/>
              <w:ind w:left="-108"/>
              <w:jc w:val="right"/>
              <w:rPr>
                <w:rFonts w:eastAsia="Times New Roman"/>
                <w:sz w:val="22"/>
                <w:szCs w:val="22"/>
              </w:rPr>
            </w:pPr>
            <w:r w:rsidRPr="005D241A">
              <w:rPr>
                <w:rFonts w:eastAsia="Times New Roman"/>
                <w:sz w:val="22"/>
                <w:szCs w:val="22"/>
              </w:rPr>
              <w:t>31-33</w:t>
            </w:r>
          </w:p>
        </w:tc>
      </w:tr>
      <w:tr w:rsidR="002A67EE" w:rsidRPr="005D241A" w14:paraId="238B289A" w14:textId="77777777" w:rsidTr="002A67EE">
        <w:trPr>
          <w:trHeight w:val="267"/>
        </w:trPr>
        <w:tc>
          <w:tcPr>
            <w:tcW w:w="3993" w:type="dxa"/>
            <w:tcBorders>
              <w:top w:val="single" w:sz="4" w:space="0" w:color="auto"/>
              <w:left w:val="single" w:sz="4" w:space="0" w:color="auto"/>
              <w:bottom w:val="single" w:sz="4" w:space="0" w:color="auto"/>
              <w:right w:val="single" w:sz="4" w:space="0" w:color="auto"/>
            </w:tcBorders>
            <w:vAlign w:val="center"/>
            <w:hideMark/>
          </w:tcPr>
          <w:p w14:paraId="33A2860A" w14:textId="77777777" w:rsidR="002A67EE" w:rsidRPr="005D241A" w:rsidRDefault="002A67EE" w:rsidP="00744211">
            <w:pPr>
              <w:spacing w:line="276" w:lineRule="auto"/>
              <w:ind w:left="-108"/>
              <w:rPr>
                <w:rFonts w:eastAsia="Times New Roman"/>
                <w:sz w:val="22"/>
                <w:szCs w:val="22"/>
                <w:shd w:val="clear" w:color="auto" w:fill="FFFFFF"/>
              </w:rPr>
            </w:pPr>
            <w:r w:rsidRPr="005D241A">
              <w:rPr>
                <w:rFonts w:eastAsia="Times New Roman"/>
                <w:sz w:val="22"/>
                <w:szCs w:val="22"/>
                <w:shd w:val="clear" w:color="auto" w:fill="FFFFFF"/>
              </w:rPr>
              <w:t>Wholesale Trade</w:t>
            </w:r>
          </w:p>
        </w:tc>
        <w:tc>
          <w:tcPr>
            <w:tcW w:w="7499" w:type="dxa"/>
            <w:tcBorders>
              <w:top w:val="single" w:sz="4" w:space="0" w:color="auto"/>
              <w:left w:val="single" w:sz="4" w:space="0" w:color="auto"/>
              <w:bottom w:val="single" w:sz="4" w:space="0" w:color="auto"/>
              <w:right w:val="single" w:sz="4" w:space="0" w:color="auto"/>
            </w:tcBorders>
            <w:hideMark/>
          </w:tcPr>
          <w:p w14:paraId="7CFD09B7" w14:textId="317DD9DB" w:rsidR="002A67EE" w:rsidRPr="005D241A" w:rsidRDefault="004C6AF6" w:rsidP="00744211">
            <w:pPr>
              <w:spacing w:line="276" w:lineRule="auto"/>
              <w:rPr>
                <w:rFonts w:eastAsia="Times New Roman"/>
                <w:sz w:val="22"/>
                <w:szCs w:val="22"/>
              </w:rPr>
            </w:pPr>
            <w:r>
              <w:rPr>
                <w:color w:val="333333"/>
                <w:sz w:val="22"/>
                <w:szCs w:val="22"/>
                <w:shd w:val="clear" w:color="auto" w:fill="FFFFFF"/>
              </w:rPr>
              <w:t>l</w:t>
            </w:r>
            <w:r w:rsidR="002A67EE" w:rsidRPr="005D241A">
              <w:rPr>
                <w:color w:val="333333"/>
                <w:sz w:val="22"/>
                <w:szCs w:val="22"/>
                <w:shd w:val="clear" w:color="auto" w:fill="FFFFFF"/>
              </w:rPr>
              <w:t>umber wholesaler,</w:t>
            </w:r>
            <w:r w:rsidR="002A67EE" w:rsidRPr="005D241A">
              <w:rPr>
                <w:rFonts w:eastAsia="Times New Roman"/>
                <w:sz w:val="22"/>
                <w:szCs w:val="22"/>
              </w:rPr>
              <w:t xml:space="preserve"> furniture &amp; home furnishing merchant wholesaler, paper and paper product wholesaler, chemical wholesaler, business-to-business electronic market company</w:t>
            </w:r>
          </w:p>
        </w:tc>
        <w:tc>
          <w:tcPr>
            <w:tcW w:w="1283" w:type="dxa"/>
            <w:tcBorders>
              <w:top w:val="single" w:sz="4" w:space="0" w:color="auto"/>
              <w:left w:val="single" w:sz="4" w:space="0" w:color="auto"/>
              <w:bottom w:val="single" w:sz="4" w:space="0" w:color="auto"/>
              <w:right w:val="single" w:sz="4" w:space="0" w:color="auto"/>
            </w:tcBorders>
            <w:vAlign w:val="bottom"/>
          </w:tcPr>
          <w:p w14:paraId="126ABAC1" w14:textId="77777777" w:rsidR="002A67EE" w:rsidRPr="005D241A" w:rsidRDefault="002A67EE" w:rsidP="00744211">
            <w:pPr>
              <w:spacing w:line="276" w:lineRule="auto"/>
              <w:ind w:left="-108"/>
              <w:jc w:val="right"/>
              <w:rPr>
                <w:rFonts w:eastAsia="Times New Roman"/>
                <w:sz w:val="22"/>
                <w:szCs w:val="22"/>
              </w:rPr>
            </w:pPr>
            <w:r w:rsidRPr="005D241A">
              <w:rPr>
                <w:rFonts w:eastAsia="Times New Roman"/>
                <w:sz w:val="22"/>
                <w:szCs w:val="22"/>
              </w:rPr>
              <w:t>42</w:t>
            </w:r>
          </w:p>
        </w:tc>
      </w:tr>
      <w:tr w:rsidR="002A67EE" w:rsidRPr="005D241A" w14:paraId="30E697B2" w14:textId="77777777" w:rsidTr="002A67EE">
        <w:trPr>
          <w:trHeight w:val="267"/>
        </w:trPr>
        <w:tc>
          <w:tcPr>
            <w:tcW w:w="3993" w:type="dxa"/>
            <w:tcBorders>
              <w:top w:val="single" w:sz="4" w:space="0" w:color="auto"/>
              <w:left w:val="single" w:sz="4" w:space="0" w:color="auto"/>
              <w:bottom w:val="single" w:sz="4" w:space="0" w:color="auto"/>
              <w:right w:val="single" w:sz="4" w:space="0" w:color="auto"/>
            </w:tcBorders>
            <w:vAlign w:val="center"/>
            <w:hideMark/>
          </w:tcPr>
          <w:p w14:paraId="2CA14F0C" w14:textId="77777777" w:rsidR="002A67EE" w:rsidRPr="005D241A" w:rsidRDefault="002A67EE" w:rsidP="00744211">
            <w:pPr>
              <w:spacing w:line="276" w:lineRule="auto"/>
              <w:ind w:left="-108"/>
              <w:rPr>
                <w:rFonts w:eastAsia="Times New Roman"/>
                <w:sz w:val="22"/>
                <w:szCs w:val="22"/>
              </w:rPr>
            </w:pPr>
            <w:r w:rsidRPr="005D241A">
              <w:rPr>
                <w:rFonts w:eastAsia="Times New Roman"/>
                <w:sz w:val="22"/>
                <w:szCs w:val="22"/>
              </w:rPr>
              <w:t>Retail Trade</w:t>
            </w:r>
          </w:p>
        </w:tc>
        <w:tc>
          <w:tcPr>
            <w:tcW w:w="7499" w:type="dxa"/>
            <w:tcBorders>
              <w:top w:val="single" w:sz="4" w:space="0" w:color="auto"/>
              <w:left w:val="single" w:sz="4" w:space="0" w:color="auto"/>
              <w:bottom w:val="single" w:sz="4" w:space="0" w:color="auto"/>
              <w:right w:val="single" w:sz="4" w:space="0" w:color="auto"/>
            </w:tcBorders>
            <w:hideMark/>
          </w:tcPr>
          <w:p w14:paraId="4362548E" w14:textId="6A34279A" w:rsidR="002A67EE" w:rsidRPr="005D241A" w:rsidRDefault="004C6AF6" w:rsidP="00744211">
            <w:pPr>
              <w:spacing w:line="276" w:lineRule="auto"/>
              <w:rPr>
                <w:rFonts w:eastAsia="Times New Roman"/>
                <w:sz w:val="22"/>
                <w:szCs w:val="22"/>
              </w:rPr>
            </w:pPr>
            <w:r>
              <w:rPr>
                <w:rFonts w:eastAsia="Times New Roman"/>
                <w:sz w:val="22"/>
                <w:szCs w:val="22"/>
              </w:rPr>
              <w:t>s</w:t>
            </w:r>
            <w:r w:rsidR="002A67EE" w:rsidRPr="005D241A">
              <w:rPr>
                <w:rFonts w:eastAsia="Times New Roman"/>
                <w:sz w:val="22"/>
                <w:szCs w:val="22"/>
              </w:rPr>
              <w:t>upermarket/grocery store, bookstore, gasoline station, electronic shopping network, used car dealer, hardware store, nursery/garden center</w:t>
            </w:r>
          </w:p>
        </w:tc>
        <w:tc>
          <w:tcPr>
            <w:tcW w:w="1283" w:type="dxa"/>
            <w:tcBorders>
              <w:top w:val="single" w:sz="4" w:space="0" w:color="auto"/>
              <w:left w:val="single" w:sz="4" w:space="0" w:color="auto"/>
              <w:bottom w:val="single" w:sz="4" w:space="0" w:color="auto"/>
              <w:right w:val="single" w:sz="4" w:space="0" w:color="auto"/>
            </w:tcBorders>
            <w:vAlign w:val="bottom"/>
          </w:tcPr>
          <w:p w14:paraId="2E529338" w14:textId="77777777" w:rsidR="002A67EE" w:rsidRPr="005D241A" w:rsidRDefault="002A67EE" w:rsidP="00744211">
            <w:pPr>
              <w:spacing w:line="276" w:lineRule="auto"/>
              <w:ind w:left="-108"/>
              <w:jc w:val="right"/>
              <w:rPr>
                <w:rFonts w:eastAsia="Times New Roman"/>
                <w:sz w:val="22"/>
                <w:szCs w:val="22"/>
              </w:rPr>
            </w:pPr>
            <w:r w:rsidRPr="005D241A">
              <w:rPr>
                <w:rFonts w:eastAsia="Times New Roman"/>
                <w:sz w:val="22"/>
                <w:szCs w:val="22"/>
              </w:rPr>
              <w:t>44-45</w:t>
            </w:r>
          </w:p>
        </w:tc>
      </w:tr>
      <w:tr w:rsidR="002A67EE" w:rsidRPr="005D241A" w14:paraId="555FA4A6" w14:textId="77777777" w:rsidTr="002A67EE">
        <w:trPr>
          <w:trHeight w:val="267"/>
        </w:trPr>
        <w:tc>
          <w:tcPr>
            <w:tcW w:w="3993" w:type="dxa"/>
            <w:tcBorders>
              <w:top w:val="single" w:sz="4" w:space="0" w:color="auto"/>
              <w:left w:val="single" w:sz="4" w:space="0" w:color="auto"/>
              <w:bottom w:val="single" w:sz="4" w:space="0" w:color="auto"/>
              <w:right w:val="single" w:sz="4" w:space="0" w:color="auto"/>
            </w:tcBorders>
            <w:vAlign w:val="center"/>
            <w:hideMark/>
          </w:tcPr>
          <w:p w14:paraId="19566507" w14:textId="77777777" w:rsidR="002A67EE" w:rsidRPr="005D241A" w:rsidRDefault="002A67EE" w:rsidP="00744211">
            <w:pPr>
              <w:spacing w:line="276" w:lineRule="auto"/>
              <w:ind w:left="-108"/>
              <w:rPr>
                <w:rFonts w:eastAsia="Times New Roman"/>
                <w:sz w:val="22"/>
                <w:szCs w:val="22"/>
              </w:rPr>
            </w:pPr>
            <w:r w:rsidRPr="005D241A">
              <w:rPr>
                <w:rFonts w:eastAsia="Times New Roman"/>
                <w:sz w:val="22"/>
                <w:szCs w:val="22"/>
              </w:rPr>
              <w:t>Transportation &amp; Warehousing</w:t>
            </w:r>
          </w:p>
        </w:tc>
        <w:tc>
          <w:tcPr>
            <w:tcW w:w="7499" w:type="dxa"/>
            <w:tcBorders>
              <w:top w:val="single" w:sz="4" w:space="0" w:color="auto"/>
              <w:left w:val="single" w:sz="4" w:space="0" w:color="auto"/>
              <w:bottom w:val="single" w:sz="4" w:space="0" w:color="auto"/>
              <w:right w:val="single" w:sz="4" w:space="0" w:color="auto"/>
            </w:tcBorders>
            <w:hideMark/>
          </w:tcPr>
          <w:p w14:paraId="226E7D75" w14:textId="77777777" w:rsidR="002A67EE" w:rsidRPr="005D241A" w:rsidRDefault="002A67EE" w:rsidP="00744211">
            <w:pPr>
              <w:spacing w:line="276" w:lineRule="auto"/>
              <w:rPr>
                <w:rFonts w:eastAsia="Times New Roman"/>
                <w:sz w:val="22"/>
                <w:szCs w:val="22"/>
              </w:rPr>
            </w:pPr>
            <w:r w:rsidRPr="005D241A">
              <w:rPr>
                <w:rFonts w:eastAsia="Times New Roman"/>
                <w:sz w:val="22"/>
                <w:szCs w:val="22"/>
              </w:rPr>
              <w:t>airline, commuter rail system, taxi service, courier service, postal service, city port, commercial trucking, furniture moving, general storage, cold storage plant</w:t>
            </w:r>
          </w:p>
        </w:tc>
        <w:tc>
          <w:tcPr>
            <w:tcW w:w="1283" w:type="dxa"/>
            <w:tcBorders>
              <w:top w:val="single" w:sz="4" w:space="0" w:color="auto"/>
              <w:left w:val="single" w:sz="4" w:space="0" w:color="auto"/>
              <w:bottom w:val="single" w:sz="4" w:space="0" w:color="auto"/>
              <w:right w:val="single" w:sz="4" w:space="0" w:color="auto"/>
            </w:tcBorders>
            <w:vAlign w:val="bottom"/>
          </w:tcPr>
          <w:p w14:paraId="03CFC906" w14:textId="77777777" w:rsidR="002A67EE" w:rsidRPr="005D241A" w:rsidRDefault="002A67EE" w:rsidP="00744211">
            <w:pPr>
              <w:spacing w:line="276" w:lineRule="auto"/>
              <w:ind w:left="-108"/>
              <w:jc w:val="right"/>
              <w:rPr>
                <w:rFonts w:eastAsia="Times New Roman"/>
                <w:sz w:val="22"/>
                <w:szCs w:val="22"/>
              </w:rPr>
            </w:pPr>
            <w:r w:rsidRPr="005D241A">
              <w:rPr>
                <w:rFonts w:eastAsia="Times New Roman"/>
                <w:sz w:val="22"/>
                <w:szCs w:val="22"/>
              </w:rPr>
              <w:t>48-49</w:t>
            </w:r>
          </w:p>
        </w:tc>
      </w:tr>
      <w:tr w:rsidR="002A67EE" w:rsidRPr="005D241A" w14:paraId="477DBB60" w14:textId="77777777" w:rsidTr="002A67EE">
        <w:trPr>
          <w:trHeight w:val="267"/>
        </w:trPr>
        <w:tc>
          <w:tcPr>
            <w:tcW w:w="3993" w:type="dxa"/>
            <w:tcBorders>
              <w:top w:val="single" w:sz="4" w:space="0" w:color="auto"/>
              <w:left w:val="single" w:sz="4" w:space="0" w:color="auto"/>
              <w:bottom w:val="single" w:sz="4" w:space="0" w:color="auto"/>
              <w:right w:val="single" w:sz="4" w:space="0" w:color="auto"/>
            </w:tcBorders>
            <w:vAlign w:val="center"/>
            <w:hideMark/>
          </w:tcPr>
          <w:p w14:paraId="513C5A5B" w14:textId="77777777" w:rsidR="002A67EE" w:rsidRPr="005D241A" w:rsidRDefault="002A67EE" w:rsidP="00744211">
            <w:pPr>
              <w:spacing w:line="276" w:lineRule="auto"/>
              <w:ind w:left="-108"/>
              <w:rPr>
                <w:rFonts w:eastAsia="Times New Roman"/>
                <w:sz w:val="22"/>
                <w:szCs w:val="22"/>
                <w:shd w:val="clear" w:color="auto" w:fill="FFFFFF"/>
              </w:rPr>
            </w:pPr>
            <w:r w:rsidRPr="005D241A">
              <w:rPr>
                <w:rFonts w:eastAsia="Times New Roman"/>
                <w:sz w:val="22"/>
                <w:szCs w:val="22"/>
                <w:shd w:val="clear" w:color="auto" w:fill="FFFFFF"/>
              </w:rPr>
              <w:t>Information</w:t>
            </w:r>
          </w:p>
        </w:tc>
        <w:tc>
          <w:tcPr>
            <w:tcW w:w="7499" w:type="dxa"/>
            <w:tcBorders>
              <w:top w:val="single" w:sz="4" w:space="0" w:color="auto"/>
              <w:left w:val="single" w:sz="4" w:space="0" w:color="auto"/>
              <w:bottom w:val="single" w:sz="4" w:space="0" w:color="auto"/>
              <w:right w:val="single" w:sz="4" w:space="0" w:color="auto"/>
            </w:tcBorders>
            <w:hideMark/>
          </w:tcPr>
          <w:p w14:paraId="13633E09" w14:textId="77777777" w:rsidR="002A67EE" w:rsidRPr="005D241A" w:rsidRDefault="002A67EE" w:rsidP="00744211">
            <w:pPr>
              <w:spacing w:line="276" w:lineRule="auto"/>
              <w:rPr>
                <w:rFonts w:eastAsia="Times New Roman"/>
                <w:sz w:val="22"/>
                <w:szCs w:val="22"/>
              </w:rPr>
            </w:pPr>
            <w:r w:rsidRPr="005D241A">
              <w:rPr>
                <w:rFonts w:eastAsia="Times New Roman"/>
                <w:sz w:val="22"/>
                <w:szCs w:val="22"/>
              </w:rPr>
              <w:t>associated press, newspaper office, internet sports site, radio program producer, cinema, film studio, internet provider, software publishing, book publishing</w:t>
            </w:r>
          </w:p>
        </w:tc>
        <w:tc>
          <w:tcPr>
            <w:tcW w:w="1283" w:type="dxa"/>
            <w:tcBorders>
              <w:top w:val="single" w:sz="4" w:space="0" w:color="auto"/>
              <w:left w:val="single" w:sz="4" w:space="0" w:color="auto"/>
              <w:bottom w:val="single" w:sz="4" w:space="0" w:color="auto"/>
              <w:right w:val="single" w:sz="4" w:space="0" w:color="auto"/>
            </w:tcBorders>
            <w:vAlign w:val="bottom"/>
          </w:tcPr>
          <w:p w14:paraId="614FA51A" w14:textId="77777777" w:rsidR="002A67EE" w:rsidRPr="005D241A" w:rsidRDefault="002A67EE" w:rsidP="00744211">
            <w:pPr>
              <w:spacing w:line="276" w:lineRule="auto"/>
              <w:ind w:left="-108"/>
              <w:jc w:val="right"/>
              <w:rPr>
                <w:rFonts w:eastAsia="Times New Roman"/>
                <w:sz w:val="22"/>
                <w:szCs w:val="22"/>
              </w:rPr>
            </w:pPr>
            <w:r w:rsidRPr="005D241A">
              <w:rPr>
                <w:rFonts w:eastAsia="Times New Roman"/>
                <w:sz w:val="22"/>
                <w:szCs w:val="22"/>
              </w:rPr>
              <w:t>51</w:t>
            </w:r>
          </w:p>
        </w:tc>
      </w:tr>
      <w:tr w:rsidR="002A67EE" w:rsidRPr="005D241A" w14:paraId="6A7B1BE8" w14:textId="77777777" w:rsidTr="002A67EE">
        <w:trPr>
          <w:trHeight w:val="267"/>
        </w:trPr>
        <w:tc>
          <w:tcPr>
            <w:tcW w:w="3993" w:type="dxa"/>
            <w:tcBorders>
              <w:top w:val="single" w:sz="4" w:space="0" w:color="auto"/>
              <w:left w:val="single" w:sz="4" w:space="0" w:color="auto"/>
              <w:bottom w:val="single" w:sz="4" w:space="0" w:color="auto"/>
              <w:right w:val="single" w:sz="4" w:space="0" w:color="auto"/>
            </w:tcBorders>
            <w:vAlign w:val="center"/>
            <w:hideMark/>
          </w:tcPr>
          <w:p w14:paraId="3D8A1F0D" w14:textId="77777777" w:rsidR="002A67EE" w:rsidRPr="005D241A" w:rsidRDefault="002A67EE" w:rsidP="00744211">
            <w:pPr>
              <w:spacing w:line="276" w:lineRule="auto"/>
              <w:ind w:left="-108"/>
              <w:rPr>
                <w:rFonts w:eastAsia="Times New Roman"/>
                <w:sz w:val="22"/>
                <w:szCs w:val="22"/>
              </w:rPr>
            </w:pPr>
            <w:r w:rsidRPr="005D241A">
              <w:rPr>
                <w:rFonts w:eastAsia="Times New Roman"/>
                <w:sz w:val="22"/>
                <w:szCs w:val="22"/>
              </w:rPr>
              <w:t>Finance &amp; Insurance</w:t>
            </w:r>
          </w:p>
        </w:tc>
        <w:tc>
          <w:tcPr>
            <w:tcW w:w="7499" w:type="dxa"/>
            <w:tcBorders>
              <w:top w:val="single" w:sz="4" w:space="0" w:color="auto"/>
              <w:left w:val="single" w:sz="4" w:space="0" w:color="auto"/>
              <w:bottom w:val="single" w:sz="4" w:space="0" w:color="auto"/>
              <w:right w:val="single" w:sz="4" w:space="0" w:color="auto"/>
            </w:tcBorders>
            <w:hideMark/>
          </w:tcPr>
          <w:p w14:paraId="76D61301" w14:textId="77777777" w:rsidR="002A67EE" w:rsidRPr="005D241A" w:rsidRDefault="002A67EE" w:rsidP="00744211">
            <w:pPr>
              <w:spacing w:line="276" w:lineRule="auto"/>
              <w:rPr>
                <w:rFonts w:eastAsia="Times New Roman"/>
                <w:sz w:val="22"/>
                <w:szCs w:val="22"/>
              </w:rPr>
            </w:pPr>
            <w:r w:rsidRPr="005D241A">
              <w:rPr>
                <w:rFonts w:eastAsia="Times New Roman"/>
                <w:sz w:val="22"/>
                <w:szCs w:val="22"/>
              </w:rPr>
              <w:t>credit union, loan broker, savings bank, auto insurance agency, health insurer</w:t>
            </w:r>
          </w:p>
        </w:tc>
        <w:tc>
          <w:tcPr>
            <w:tcW w:w="1283" w:type="dxa"/>
            <w:tcBorders>
              <w:top w:val="single" w:sz="4" w:space="0" w:color="auto"/>
              <w:left w:val="single" w:sz="4" w:space="0" w:color="auto"/>
              <w:bottom w:val="single" w:sz="4" w:space="0" w:color="auto"/>
              <w:right w:val="single" w:sz="4" w:space="0" w:color="auto"/>
            </w:tcBorders>
            <w:vAlign w:val="bottom"/>
          </w:tcPr>
          <w:p w14:paraId="0DA4130A" w14:textId="77777777" w:rsidR="002A67EE" w:rsidRPr="005D241A" w:rsidRDefault="002A67EE" w:rsidP="00744211">
            <w:pPr>
              <w:spacing w:line="276" w:lineRule="auto"/>
              <w:ind w:left="-108"/>
              <w:jc w:val="right"/>
              <w:rPr>
                <w:rFonts w:eastAsia="Times New Roman"/>
                <w:bCs/>
                <w:sz w:val="22"/>
                <w:szCs w:val="22"/>
              </w:rPr>
            </w:pPr>
            <w:r w:rsidRPr="005D241A">
              <w:rPr>
                <w:rFonts w:eastAsia="Times New Roman"/>
                <w:bCs/>
                <w:sz w:val="22"/>
                <w:szCs w:val="22"/>
              </w:rPr>
              <w:t>52</w:t>
            </w:r>
          </w:p>
        </w:tc>
      </w:tr>
      <w:tr w:rsidR="002A67EE" w:rsidRPr="005D241A" w14:paraId="26EA146A" w14:textId="77777777" w:rsidTr="002A67EE">
        <w:trPr>
          <w:trHeight w:val="267"/>
        </w:trPr>
        <w:tc>
          <w:tcPr>
            <w:tcW w:w="3993" w:type="dxa"/>
            <w:tcBorders>
              <w:top w:val="single" w:sz="4" w:space="0" w:color="auto"/>
              <w:left w:val="single" w:sz="4" w:space="0" w:color="auto"/>
              <w:bottom w:val="single" w:sz="4" w:space="0" w:color="auto"/>
              <w:right w:val="single" w:sz="4" w:space="0" w:color="auto"/>
            </w:tcBorders>
            <w:vAlign w:val="center"/>
            <w:hideMark/>
          </w:tcPr>
          <w:p w14:paraId="0FEA72BE" w14:textId="77777777" w:rsidR="002A67EE" w:rsidRPr="005D241A" w:rsidRDefault="002A67EE" w:rsidP="00744211">
            <w:pPr>
              <w:spacing w:line="276" w:lineRule="auto"/>
              <w:ind w:left="-108"/>
              <w:rPr>
                <w:rFonts w:eastAsia="Times New Roman"/>
                <w:sz w:val="22"/>
                <w:szCs w:val="22"/>
              </w:rPr>
            </w:pPr>
            <w:r w:rsidRPr="005D241A">
              <w:rPr>
                <w:rFonts w:eastAsia="Times New Roman"/>
                <w:sz w:val="22"/>
                <w:szCs w:val="22"/>
              </w:rPr>
              <w:t>Real Estate &amp; Rental &amp; Leasing</w:t>
            </w:r>
          </w:p>
        </w:tc>
        <w:tc>
          <w:tcPr>
            <w:tcW w:w="7499" w:type="dxa"/>
            <w:tcBorders>
              <w:top w:val="single" w:sz="4" w:space="0" w:color="auto"/>
              <w:left w:val="single" w:sz="4" w:space="0" w:color="auto"/>
              <w:bottom w:val="single" w:sz="4" w:space="0" w:color="auto"/>
              <w:right w:val="single" w:sz="4" w:space="0" w:color="auto"/>
            </w:tcBorders>
            <w:hideMark/>
          </w:tcPr>
          <w:p w14:paraId="3040A63C" w14:textId="77777777" w:rsidR="002A67EE" w:rsidRPr="005D241A" w:rsidRDefault="002A67EE" w:rsidP="00744211">
            <w:pPr>
              <w:spacing w:line="276" w:lineRule="auto"/>
              <w:rPr>
                <w:rFonts w:eastAsia="Times New Roman"/>
                <w:sz w:val="22"/>
                <w:szCs w:val="22"/>
              </w:rPr>
            </w:pPr>
            <w:r w:rsidRPr="005D241A">
              <w:rPr>
                <w:rFonts w:eastAsia="Times New Roman"/>
                <w:sz w:val="22"/>
                <w:szCs w:val="22"/>
              </w:rPr>
              <w:t>real estate firm, building management, car rental agency, clothing rental company</w:t>
            </w:r>
          </w:p>
        </w:tc>
        <w:tc>
          <w:tcPr>
            <w:tcW w:w="1283" w:type="dxa"/>
            <w:tcBorders>
              <w:top w:val="single" w:sz="4" w:space="0" w:color="auto"/>
              <w:left w:val="single" w:sz="4" w:space="0" w:color="auto"/>
              <w:bottom w:val="single" w:sz="4" w:space="0" w:color="auto"/>
              <w:right w:val="single" w:sz="4" w:space="0" w:color="auto"/>
            </w:tcBorders>
            <w:vAlign w:val="bottom"/>
          </w:tcPr>
          <w:p w14:paraId="3B362304" w14:textId="77777777" w:rsidR="002A67EE" w:rsidRPr="005D241A" w:rsidRDefault="002A67EE" w:rsidP="00744211">
            <w:pPr>
              <w:spacing w:line="276" w:lineRule="auto"/>
              <w:ind w:left="-108"/>
              <w:jc w:val="right"/>
              <w:rPr>
                <w:rFonts w:eastAsia="Times New Roman"/>
                <w:bCs/>
                <w:sz w:val="22"/>
                <w:szCs w:val="22"/>
              </w:rPr>
            </w:pPr>
            <w:r w:rsidRPr="005D241A">
              <w:rPr>
                <w:rFonts w:eastAsia="Times New Roman"/>
                <w:bCs/>
                <w:sz w:val="22"/>
                <w:szCs w:val="22"/>
              </w:rPr>
              <w:t>53</w:t>
            </w:r>
          </w:p>
        </w:tc>
      </w:tr>
      <w:tr w:rsidR="002A67EE" w:rsidRPr="005D241A" w14:paraId="03F23B0F" w14:textId="77777777" w:rsidTr="002A67EE">
        <w:trPr>
          <w:trHeight w:val="282"/>
        </w:trPr>
        <w:tc>
          <w:tcPr>
            <w:tcW w:w="3993" w:type="dxa"/>
            <w:tcBorders>
              <w:top w:val="single" w:sz="4" w:space="0" w:color="auto"/>
              <w:left w:val="single" w:sz="4" w:space="0" w:color="auto"/>
              <w:bottom w:val="single" w:sz="4" w:space="0" w:color="auto"/>
              <w:right w:val="single" w:sz="4" w:space="0" w:color="auto"/>
            </w:tcBorders>
            <w:vAlign w:val="center"/>
            <w:hideMark/>
          </w:tcPr>
          <w:p w14:paraId="7D1DF6AD" w14:textId="77777777" w:rsidR="002A67EE" w:rsidRPr="005D241A" w:rsidRDefault="002A67EE" w:rsidP="00744211">
            <w:pPr>
              <w:spacing w:line="276" w:lineRule="auto"/>
              <w:ind w:left="-108"/>
              <w:rPr>
                <w:rFonts w:eastAsia="Times New Roman"/>
                <w:sz w:val="22"/>
                <w:szCs w:val="22"/>
                <w:shd w:val="clear" w:color="auto" w:fill="FFFFFF"/>
              </w:rPr>
            </w:pPr>
            <w:r w:rsidRPr="005D241A">
              <w:rPr>
                <w:rFonts w:eastAsia="Times New Roman"/>
                <w:sz w:val="22"/>
                <w:szCs w:val="22"/>
                <w:shd w:val="clear" w:color="auto" w:fill="FFFFFF"/>
              </w:rPr>
              <w:t>Professional, Scientific, &amp; Technical Services</w:t>
            </w:r>
          </w:p>
        </w:tc>
        <w:tc>
          <w:tcPr>
            <w:tcW w:w="7499" w:type="dxa"/>
            <w:tcBorders>
              <w:top w:val="single" w:sz="4" w:space="0" w:color="auto"/>
              <w:left w:val="single" w:sz="4" w:space="0" w:color="auto"/>
              <w:bottom w:val="single" w:sz="4" w:space="0" w:color="auto"/>
              <w:right w:val="single" w:sz="4" w:space="0" w:color="auto"/>
            </w:tcBorders>
            <w:hideMark/>
          </w:tcPr>
          <w:p w14:paraId="018D58B1" w14:textId="77777777" w:rsidR="002A67EE" w:rsidRPr="005D241A" w:rsidRDefault="002A67EE" w:rsidP="00744211">
            <w:pPr>
              <w:spacing w:line="276" w:lineRule="auto"/>
              <w:rPr>
                <w:rFonts w:eastAsia="Times New Roman"/>
                <w:sz w:val="22"/>
                <w:szCs w:val="22"/>
              </w:rPr>
            </w:pPr>
            <w:r w:rsidRPr="005D241A">
              <w:rPr>
                <w:rFonts w:eastAsia="Times New Roman"/>
                <w:sz w:val="22"/>
                <w:szCs w:val="22"/>
              </w:rPr>
              <w:t>law office, payroll service, accounting firm, surveying service, graphic design firm, website development, advertising agency, animal clinic, photo studio</w:t>
            </w:r>
          </w:p>
        </w:tc>
        <w:tc>
          <w:tcPr>
            <w:tcW w:w="1283" w:type="dxa"/>
            <w:tcBorders>
              <w:top w:val="single" w:sz="4" w:space="0" w:color="auto"/>
              <w:left w:val="single" w:sz="4" w:space="0" w:color="auto"/>
              <w:bottom w:val="single" w:sz="4" w:space="0" w:color="auto"/>
              <w:right w:val="single" w:sz="4" w:space="0" w:color="auto"/>
            </w:tcBorders>
            <w:vAlign w:val="bottom"/>
          </w:tcPr>
          <w:p w14:paraId="26902BEF" w14:textId="77777777" w:rsidR="002A67EE" w:rsidRPr="005D241A" w:rsidRDefault="002A67EE" w:rsidP="00744211">
            <w:pPr>
              <w:spacing w:line="276" w:lineRule="auto"/>
              <w:ind w:left="-108"/>
              <w:jc w:val="right"/>
              <w:rPr>
                <w:rFonts w:eastAsia="Times New Roman"/>
                <w:bCs/>
                <w:sz w:val="22"/>
                <w:szCs w:val="22"/>
              </w:rPr>
            </w:pPr>
            <w:r w:rsidRPr="005D241A">
              <w:rPr>
                <w:rFonts w:eastAsia="Times New Roman"/>
                <w:bCs/>
                <w:sz w:val="22"/>
                <w:szCs w:val="22"/>
              </w:rPr>
              <w:t>54</w:t>
            </w:r>
          </w:p>
        </w:tc>
      </w:tr>
      <w:tr w:rsidR="002A67EE" w:rsidRPr="005D241A" w14:paraId="7CC55297" w14:textId="77777777" w:rsidTr="002A67EE">
        <w:trPr>
          <w:trHeight w:val="282"/>
        </w:trPr>
        <w:tc>
          <w:tcPr>
            <w:tcW w:w="3993" w:type="dxa"/>
            <w:tcBorders>
              <w:top w:val="single" w:sz="4" w:space="0" w:color="auto"/>
              <w:left w:val="single" w:sz="4" w:space="0" w:color="auto"/>
              <w:bottom w:val="single" w:sz="4" w:space="0" w:color="auto"/>
              <w:right w:val="single" w:sz="4" w:space="0" w:color="auto"/>
            </w:tcBorders>
            <w:vAlign w:val="center"/>
            <w:hideMark/>
          </w:tcPr>
          <w:p w14:paraId="7ED05525" w14:textId="77777777" w:rsidR="002A67EE" w:rsidRPr="005D241A" w:rsidRDefault="002A67EE" w:rsidP="00744211">
            <w:pPr>
              <w:spacing w:line="276" w:lineRule="auto"/>
              <w:ind w:left="-108"/>
              <w:rPr>
                <w:rFonts w:eastAsia="Times New Roman"/>
                <w:sz w:val="22"/>
                <w:szCs w:val="22"/>
                <w:shd w:val="clear" w:color="auto" w:fill="FFFFFF"/>
              </w:rPr>
            </w:pPr>
            <w:r w:rsidRPr="005D241A">
              <w:rPr>
                <w:rFonts w:eastAsia="Times New Roman"/>
                <w:sz w:val="22"/>
                <w:szCs w:val="22"/>
                <w:shd w:val="clear" w:color="auto" w:fill="FFFFFF"/>
              </w:rPr>
              <w:t>Management of Companies &amp; Enterprises</w:t>
            </w:r>
          </w:p>
        </w:tc>
        <w:tc>
          <w:tcPr>
            <w:tcW w:w="7499" w:type="dxa"/>
            <w:tcBorders>
              <w:top w:val="single" w:sz="4" w:space="0" w:color="auto"/>
              <w:left w:val="single" w:sz="4" w:space="0" w:color="auto"/>
              <w:bottom w:val="single" w:sz="4" w:space="0" w:color="auto"/>
              <w:right w:val="single" w:sz="4" w:space="0" w:color="auto"/>
            </w:tcBorders>
            <w:hideMark/>
          </w:tcPr>
          <w:p w14:paraId="195F78D2" w14:textId="77777777" w:rsidR="002A67EE" w:rsidRPr="005D241A" w:rsidRDefault="002A67EE" w:rsidP="00744211">
            <w:pPr>
              <w:spacing w:line="276" w:lineRule="auto"/>
              <w:rPr>
                <w:rFonts w:eastAsia="Times New Roman"/>
                <w:sz w:val="22"/>
                <w:szCs w:val="22"/>
              </w:rPr>
            </w:pPr>
            <w:r w:rsidRPr="005D241A">
              <w:rPr>
                <w:rFonts w:eastAsia="Times New Roman"/>
                <w:sz w:val="22"/>
                <w:szCs w:val="22"/>
              </w:rPr>
              <w:t>corporate headquarters, district and regional offices, bank holding company</w:t>
            </w:r>
          </w:p>
        </w:tc>
        <w:tc>
          <w:tcPr>
            <w:tcW w:w="1283" w:type="dxa"/>
            <w:tcBorders>
              <w:top w:val="single" w:sz="4" w:space="0" w:color="auto"/>
              <w:left w:val="single" w:sz="4" w:space="0" w:color="auto"/>
              <w:bottom w:val="single" w:sz="4" w:space="0" w:color="auto"/>
              <w:right w:val="single" w:sz="4" w:space="0" w:color="auto"/>
            </w:tcBorders>
            <w:vAlign w:val="bottom"/>
          </w:tcPr>
          <w:p w14:paraId="7EAAE2A2" w14:textId="77777777" w:rsidR="002A67EE" w:rsidRPr="005D241A" w:rsidRDefault="002A67EE" w:rsidP="00744211">
            <w:pPr>
              <w:spacing w:line="276" w:lineRule="auto"/>
              <w:ind w:left="-108"/>
              <w:jc w:val="right"/>
              <w:rPr>
                <w:rFonts w:eastAsia="Times New Roman"/>
                <w:bCs/>
                <w:sz w:val="22"/>
                <w:szCs w:val="22"/>
              </w:rPr>
            </w:pPr>
            <w:r w:rsidRPr="005D241A">
              <w:rPr>
                <w:rFonts w:eastAsia="Times New Roman"/>
                <w:bCs/>
                <w:sz w:val="22"/>
                <w:szCs w:val="22"/>
              </w:rPr>
              <w:t>55</w:t>
            </w:r>
          </w:p>
        </w:tc>
      </w:tr>
      <w:tr w:rsidR="002A67EE" w:rsidRPr="005D241A" w14:paraId="55E1D935" w14:textId="77777777" w:rsidTr="002A67EE">
        <w:trPr>
          <w:trHeight w:val="282"/>
        </w:trPr>
        <w:tc>
          <w:tcPr>
            <w:tcW w:w="3993" w:type="dxa"/>
            <w:tcBorders>
              <w:top w:val="single" w:sz="4" w:space="0" w:color="auto"/>
              <w:left w:val="single" w:sz="4" w:space="0" w:color="auto"/>
              <w:bottom w:val="single" w:sz="4" w:space="0" w:color="auto"/>
              <w:right w:val="single" w:sz="4" w:space="0" w:color="auto"/>
            </w:tcBorders>
            <w:vAlign w:val="center"/>
            <w:hideMark/>
          </w:tcPr>
          <w:p w14:paraId="38FE60DE" w14:textId="77777777" w:rsidR="002A67EE" w:rsidRPr="005D241A" w:rsidRDefault="002A67EE" w:rsidP="00744211">
            <w:pPr>
              <w:spacing w:line="276" w:lineRule="auto"/>
              <w:ind w:left="-108"/>
              <w:rPr>
                <w:rFonts w:eastAsia="Times New Roman"/>
                <w:sz w:val="22"/>
                <w:szCs w:val="22"/>
                <w:shd w:val="clear" w:color="auto" w:fill="FFFFFF"/>
              </w:rPr>
            </w:pPr>
            <w:r w:rsidRPr="005D241A">
              <w:rPr>
                <w:rFonts w:eastAsia="Times New Roman"/>
                <w:sz w:val="22"/>
                <w:szCs w:val="22"/>
                <w:shd w:val="clear" w:color="auto" w:fill="FFFFFF"/>
              </w:rPr>
              <w:t>Administrative, Support, &amp; Waste Mgmt. Services</w:t>
            </w:r>
          </w:p>
        </w:tc>
        <w:tc>
          <w:tcPr>
            <w:tcW w:w="7499" w:type="dxa"/>
            <w:tcBorders>
              <w:top w:val="single" w:sz="4" w:space="0" w:color="auto"/>
              <w:left w:val="single" w:sz="4" w:space="0" w:color="auto"/>
              <w:bottom w:val="single" w:sz="4" w:space="0" w:color="auto"/>
              <w:right w:val="single" w:sz="4" w:space="0" w:color="auto"/>
            </w:tcBorders>
            <w:hideMark/>
          </w:tcPr>
          <w:p w14:paraId="11D701CA" w14:textId="77777777" w:rsidR="002A67EE" w:rsidRPr="005D241A" w:rsidRDefault="002A67EE" w:rsidP="00744211">
            <w:pPr>
              <w:spacing w:line="276" w:lineRule="auto"/>
              <w:rPr>
                <w:rFonts w:eastAsia="Times New Roman"/>
                <w:sz w:val="22"/>
                <w:szCs w:val="22"/>
              </w:rPr>
            </w:pPr>
            <w:r w:rsidRPr="005D241A">
              <w:rPr>
                <w:rFonts w:eastAsia="Times New Roman"/>
                <w:sz w:val="22"/>
                <w:szCs w:val="22"/>
              </w:rPr>
              <w:t>employment services (including temporary employment agency), credit bureau, travel agency, security service, packaging service, landscaping business, trash collection, recycling center, septic cleaning service</w:t>
            </w:r>
          </w:p>
        </w:tc>
        <w:tc>
          <w:tcPr>
            <w:tcW w:w="1283" w:type="dxa"/>
            <w:tcBorders>
              <w:top w:val="single" w:sz="4" w:space="0" w:color="auto"/>
              <w:left w:val="single" w:sz="4" w:space="0" w:color="auto"/>
              <w:bottom w:val="single" w:sz="4" w:space="0" w:color="auto"/>
              <w:right w:val="single" w:sz="4" w:space="0" w:color="auto"/>
            </w:tcBorders>
            <w:vAlign w:val="bottom"/>
          </w:tcPr>
          <w:p w14:paraId="006C4D65" w14:textId="77777777" w:rsidR="002A67EE" w:rsidRPr="005D241A" w:rsidRDefault="002A67EE" w:rsidP="00744211">
            <w:pPr>
              <w:spacing w:line="276" w:lineRule="auto"/>
              <w:ind w:left="-108"/>
              <w:jc w:val="right"/>
              <w:rPr>
                <w:rFonts w:eastAsia="Times New Roman"/>
                <w:bCs/>
                <w:sz w:val="22"/>
                <w:szCs w:val="22"/>
              </w:rPr>
            </w:pPr>
            <w:r w:rsidRPr="005D241A">
              <w:rPr>
                <w:rFonts w:eastAsia="Times New Roman"/>
                <w:bCs/>
                <w:sz w:val="22"/>
                <w:szCs w:val="22"/>
              </w:rPr>
              <w:t>56</w:t>
            </w:r>
          </w:p>
        </w:tc>
      </w:tr>
      <w:tr w:rsidR="002A67EE" w:rsidRPr="005D241A" w14:paraId="7B2EC284" w14:textId="77777777" w:rsidTr="002A67EE">
        <w:trPr>
          <w:trHeight w:val="282"/>
        </w:trPr>
        <w:tc>
          <w:tcPr>
            <w:tcW w:w="3993" w:type="dxa"/>
            <w:tcBorders>
              <w:top w:val="single" w:sz="4" w:space="0" w:color="auto"/>
              <w:left w:val="single" w:sz="4" w:space="0" w:color="auto"/>
              <w:bottom w:val="single" w:sz="4" w:space="0" w:color="auto"/>
              <w:right w:val="single" w:sz="4" w:space="0" w:color="auto"/>
            </w:tcBorders>
            <w:vAlign w:val="center"/>
            <w:hideMark/>
          </w:tcPr>
          <w:p w14:paraId="5456A4F7" w14:textId="77777777" w:rsidR="002A67EE" w:rsidRPr="005D241A" w:rsidRDefault="002A67EE" w:rsidP="00744211">
            <w:pPr>
              <w:spacing w:line="276" w:lineRule="auto"/>
              <w:ind w:left="-108"/>
              <w:rPr>
                <w:rFonts w:eastAsia="Times New Roman"/>
                <w:sz w:val="22"/>
                <w:szCs w:val="22"/>
                <w:shd w:val="clear" w:color="auto" w:fill="FFFFFF"/>
              </w:rPr>
            </w:pPr>
            <w:r w:rsidRPr="005D241A">
              <w:rPr>
                <w:rFonts w:eastAsia="Times New Roman"/>
                <w:sz w:val="22"/>
                <w:szCs w:val="22"/>
                <w:shd w:val="clear" w:color="auto" w:fill="FFFFFF"/>
              </w:rPr>
              <w:lastRenderedPageBreak/>
              <w:t>Educational Services</w:t>
            </w:r>
          </w:p>
        </w:tc>
        <w:tc>
          <w:tcPr>
            <w:tcW w:w="7499" w:type="dxa"/>
            <w:tcBorders>
              <w:top w:val="single" w:sz="4" w:space="0" w:color="auto"/>
              <w:left w:val="single" w:sz="4" w:space="0" w:color="auto"/>
              <w:bottom w:val="single" w:sz="4" w:space="0" w:color="auto"/>
              <w:right w:val="single" w:sz="4" w:space="0" w:color="auto"/>
            </w:tcBorders>
            <w:hideMark/>
          </w:tcPr>
          <w:p w14:paraId="1B036D73" w14:textId="77777777" w:rsidR="002A67EE" w:rsidRPr="005D241A" w:rsidRDefault="002A67EE" w:rsidP="00744211">
            <w:pPr>
              <w:spacing w:line="276" w:lineRule="auto"/>
              <w:rPr>
                <w:rFonts w:eastAsia="Times New Roman"/>
                <w:sz w:val="22"/>
                <w:szCs w:val="22"/>
              </w:rPr>
            </w:pPr>
            <w:r w:rsidRPr="005D241A">
              <w:rPr>
                <w:rFonts w:eastAsia="Times New Roman"/>
                <w:sz w:val="22"/>
                <w:szCs w:val="22"/>
              </w:rPr>
              <w:t>elementary school, vocational high school, state university, veterinary school, cosmetology school, soccer camp, dance academy, educational testing service</w:t>
            </w:r>
          </w:p>
        </w:tc>
        <w:tc>
          <w:tcPr>
            <w:tcW w:w="1283" w:type="dxa"/>
            <w:tcBorders>
              <w:top w:val="single" w:sz="4" w:space="0" w:color="auto"/>
              <w:left w:val="single" w:sz="4" w:space="0" w:color="auto"/>
              <w:bottom w:val="single" w:sz="4" w:space="0" w:color="auto"/>
              <w:right w:val="single" w:sz="4" w:space="0" w:color="auto"/>
            </w:tcBorders>
            <w:vAlign w:val="bottom"/>
          </w:tcPr>
          <w:p w14:paraId="6D8AA6D2" w14:textId="77777777" w:rsidR="002A67EE" w:rsidRPr="005D241A" w:rsidRDefault="002A67EE" w:rsidP="00744211">
            <w:pPr>
              <w:spacing w:line="276" w:lineRule="auto"/>
              <w:ind w:left="-108"/>
              <w:jc w:val="right"/>
              <w:rPr>
                <w:rFonts w:eastAsia="Times New Roman"/>
                <w:bCs/>
                <w:sz w:val="22"/>
                <w:szCs w:val="22"/>
              </w:rPr>
            </w:pPr>
            <w:r w:rsidRPr="005D241A">
              <w:rPr>
                <w:rFonts w:eastAsia="Times New Roman"/>
                <w:bCs/>
                <w:sz w:val="22"/>
                <w:szCs w:val="22"/>
              </w:rPr>
              <w:t>61</w:t>
            </w:r>
          </w:p>
        </w:tc>
      </w:tr>
      <w:tr w:rsidR="002A67EE" w:rsidRPr="005D241A" w14:paraId="77B3814D" w14:textId="77777777" w:rsidTr="002A67EE">
        <w:trPr>
          <w:trHeight w:val="461"/>
        </w:trPr>
        <w:tc>
          <w:tcPr>
            <w:tcW w:w="3993" w:type="dxa"/>
            <w:tcBorders>
              <w:top w:val="single" w:sz="4" w:space="0" w:color="auto"/>
              <w:left w:val="single" w:sz="4" w:space="0" w:color="auto"/>
              <w:bottom w:val="single" w:sz="4" w:space="0" w:color="auto"/>
              <w:right w:val="single" w:sz="4" w:space="0" w:color="auto"/>
            </w:tcBorders>
            <w:vAlign w:val="center"/>
            <w:hideMark/>
          </w:tcPr>
          <w:p w14:paraId="4BE94873" w14:textId="77777777" w:rsidR="002A67EE" w:rsidRPr="005D241A" w:rsidRDefault="002A67EE" w:rsidP="00744211">
            <w:pPr>
              <w:spacing w:line="276" w:lineRule="auto"/>
              <w:ind w:left="-108"/>
              <w:rPr>
                <w:rFonts w:eastAsia="Times New Roman"/>
                <w:sz w:val="22"/>
                <w:szCs w:val="22"/>
                <w:shd w:val="clear" w:color="auto" w:fill="FFFFFF"/>
              </w:rPr>
            </w:pPr>
            <w:r w:rsidRPr="005D241A">
              <w:rPr>
                <w:rFonts w:eastAsia="Times New Roman"/>
                <w:sz w:val="22"/>
                <w:szCs w:val="22"/>
                <w:shd w:val="clear" w:color="auto" w:fill="FFFFFF"/>
              </w:rPr>
              <w:t>Health Care &amp; Social Assistance</w:t>
            </w:r>
          </w:p>
        </w:tc>
        <w:tc>
          <w:tcPr>
            <w:tcW w:w="7499" w:type="dxa"/>
            <w:tcBorders>
              <w:top w:val="single" w:sz="4" w:space="0" w:color="auto"/>
              <w:left w:val="single" w:sz="4" w:space="0" w:color="auto"/>
              <w:bottom w:val="single" w:sz="4" w:space="0" w:color="auto"/>
              <w:right w:val="single" w:sz="4" w:space="0" w:color="auto"/>
            </w:tcBorders>
            <w:hideMark/>
          </w:tcPr>
          <w:p w14:paraId="4F8D3F6A" w14:textId="77777777" w:rsidR="002A67EE" w:rsidRPr="005D241A" w:rsidRDefault="002A67EE" w:rsidP="00744211">
            <w:pPr>
              <w:spacing w:line="276" w:lineRule="auto"/>
              <w:rPr>
                <w:rFonts w:eastAsia="Times New Roman"/>
                <w:sz w:val="22"/>
                <w:szCs w:val="22"/>
              </w:rPr>
            </w:pPr>
            <w:r w:rsidRPr="005D241A">
              <w:rPr>
                <w:rFonts w:eastAsia="Times New Roman"/>
                <w:sz w:val="22"/>
                <w:szCs w:val="22"/>
              </w:rPr>
              <w:t xml:space="preserve">medical clinic, dental office, drug treatment center, visiting nurse/home health association, city hospital, nursing home, adoption agency, homeless shelter, </w:t>
            </w:r>
            <w:proofErr w:type="gramStart"/>
            <w:r w:rsidRPr="005D241A">
              <w:rPr>
                <w:rFonts w:eastAsia="Times New Roman"/>
                <w:sz w:val="22"/>
                <w:szCs w:val="22"/>
              </w:rPr>
              <w:t>child care</w:t>
            </w:r>
            <w:proofErr w:type="gramEnd"/>
            <w:r w:rsidRPr="005D241A">
              <w:rPr>
                <w:rFonts w:eastAsia="Times New Roman"/>
                <w:sz w:val="22"/>
                <w:szCs w:val="22"/>
              </w:rPr>
              <w:t xml:space="preserve"> center, crisis intervention/counseling center, food bank</w:t>
            </w:r>
          </w:p>
        </w:tc>
        <w:tc>
          <w:tcPr>
            <w:tcW w:w="1283" w:type="dxa"/>
            <w:tcBorders>
              <w:top w:val="single" w:sz="4" w:space="0" w:color="auto"/>
              <w:left w:val="single" w:sz="4" w:space="0" w:color="auto"/>
              <w:bottom w:val="single" w:sz="4" w:space="0" w:color="auto"/>
              <w:right w:val="single" w:sz="4" w:space="0" w:color="auto"/>
            </w:tcBorders>
            <w:vAlign w:val="bottom"/>
          </w:tcPr>
          <w:p w14:paraId="78C6A4F7" w14:textId="77777777" w:rsidR="002A67EE" w:rsidRPr="005D241A" w:rsidRDefault="002A67EE" w:rsidP="00744211">
            <w:pPr>
              <w:spacing w:line="276" w:lineRule="auto"/>
              <w:ind w:left="-108"/>
              <w:jc w:val="right"/>
              <w:rPr>
                <w:rFonts w:eastAsia="Times New Roman"/>
                <w:bCs/>
                <w:sz w:val="22"/>
                <w:szCs w:val="22"/>
              </w:rPr>
            </w:pPr>
            <w:r w:rsidRPr="005D241A">
              <w:rPr>
                <w:rFonts w:eastAsia="Times New Roman"/>
                <w:bCs/>
                <w:sz w:val="22"/>
                <w:szCs w:val="22"/>
              </w:rPr>
              <w:t>62</w:t>
            </w:r>
          </w:p>
        </w:tc>
      </w:tr>
      <w:tr w:rsidR="002A67EE" w:rsidRPr="005D241A" w14:paraId="19492A7A" w14:textId="77777777" w:rsidTr="002A67EE">
        <w:trPr>
          <w:trHeight w:val="282"/>
        </w:trPr>
        <w:tc>
          <w:tcPr>
            <w:tcW w:w="3993" w:type="dxa"/>
            <w:tcBorders>
              <w:top w:val="single" w:sz="4" w:space="0" w:color="auto"/>
              <w:left w:val="single" w:sz="4" w:space="0" w:color="auto"/>
              <w:bottom w:val="single" w:sz="4" w:space="0" w:color="auto"/>
              <w:right w:val="single" w:sz="4" w:space="0" w:color="auto"/>
            </w:tcBorders>
            <w:vAlign w:val="center"/>
            <w:hideMark/>
          </w:tcPr>
          <w:p w14:paraId="3C7464A1" w14:textId="77777777" w:rsidR="002A67EE" w:rsidRPr="005D241A" w:rsidRDefault="002A67EE" w:rsidP="00744211">
            <w:pPr>
              <w:spacing w:line="276" w:lineRule="auto"/>
              <w:ind w:left="-108"/>
              <w:rPr>
                <w:rFonts w:eastAsia="Times New Roman"/>
                <w:sz w:val="22"/>
                <w:szCs w:val="22"/>
              </w:rPr>
            </w:pPr>
            <w:r w:rsidRPr="005D241A">
              <w:rPr>
                <w:rFonts w:eastAsia="Times New Roman"/>
                <w:sz w:val="22"/>
                <w:szCs w:val="22"/>
              </w:rPr>
              <w:t>Arts, Entertainment, &amp; Recreation</w:t>
            </w:r>
          </w:p>
        </w:tc>
        <w:tc>
          <w:tcPr>
            <w:tcW w:w="7499" w:type="dxa"/>
            <w:tcBorders>
              <w:top w:val="single" w:sz="4" w:space="0" w:color="auto"/>
              <w:left w:val="single" w:sz="4" w:space="0" w:color="auto"/>
              <w:bottom w:val="single" w:sz="4" w:space="0" w:color="auto"/>
              <w:right w:val="single" w:sz="4" w:space="0" w:color="auto"/>
            </w:tcBorders>
            <w:hideMark/>
          </w:tcPr>
          <w:p w14:paraId="58453F7E" w14:textId="77777777" w:rsidR="002A67EE" w:rsidRPr="005D241A" w:rsidRDefault="002A67EE" w:rsidP="00744211">
            <w:pPr>
              <w:spacing w:line="276" w:lineRule="auto"/>
              <w:rPr>
                <w:rFonts w:eastAsia="Times New Roman"/>
                <w:sz w:val="22"/>
                <w:szCs w:val="22"/>
              </w:rPr>
            </w:pPr>
            <w:r w:rsidRPr="005D241A">
              <w:rPr>
                <w:rFonts w:eastAsia="Times New Roman"/>
                <w:sz w:val="22"/>
                <w:szCs w:val="22"/>
              </w:rPr>
              <w:t>modeling agency, baseball stadium, casino, orchestra, music club, city museum, state park, zoo, amusement park, bowling alley, marina/pier, golf course, health club, ski resort</w:t>
            </w:r>
          </w:p>
        </w:tc>
        <w:tc>
          <w:tcPr>
            <w:tcW w:w="1283" w:type="dxa"/>
            <w:tcBorders>
              <w:top w:val="single" w:sz="4" w:space="0" w:color="auto"/>
              <w:left w:val="single" w:sz="4" w:space="0" w:color="auto"/>
              <w:bottom w:val="single" w:sz="4" w:space="0" w:color="auto"/>
              <w:right w:val="single" w:sz="4" w:space="0" w:color="auto"/>
            </w:tcBorders>
            <w:vAlign w:val="bottom"/>
          </w:tcPr>
          <w:p w14:paraId="73A197CB" w14:textId="77777777" w:rsidR="002A67EE" w:rsidRPr="005D241A" w:rsidRDefault="002A67EE" w:rsidP="00744211">
            <w:pPr>
              <w:spacing w:line="276" w:lineRule="auto"/>
              <w:ind w:left="-108"/>
              <w:jc w:val="right"/>
              <w:rPr>
                <w:rFonts w:eastAsia="Times New Roman"/>
                <w:bCs/>
                <w:sz w:val="22"/>
                <w:szCs w:val="22"/>
              </w:rPr>
            </w:pPr>
            <w:r w:rsidRPr="005D241A">
              <w:rPr>
                <w:rFonts w:eastAsia="Times New Roman"/>
                <w:bCs/>
                <w:sz w:val="22"/>
                <w:szCs w:val="22"/>
              </w:rPr>
              <w:t>71</w:t>
            </w:r>
          </w:p>
        </w:tc>
      </w:tr>
      <w:tr w:rsidR="002A67EE" w:rsidRPr="005D241A" w14:paraId="0D1FA013" w14:textId="77777777" w:rsidTr="002A67EE">
        <w:trPr>
          <w:trHeight w:val="282"/>
        </w:trPr>
        <w:tc>
          <w:tcPr>
            <w:tcW w:w="3993" w:type="dxa"/>
            <w:tcBorders>
              <w:top w:val="single" w:sz="4" w:space="0" w:color="auto"/>
              <w:left w:val="single" w:sz="4" w:space="0" w:color="auto"/>
              <w:bottom w:val="single" w:sz="4" w:space="0" w:color="auto"/>
              <w:right w:val="single" w:sz="4" w:space="0" w:color="auto"/>
            </w:tcBorders>
            <w:vAlign w:val="center"/>
            <w:hideMark/>
          </w:tcPr>
          <w:p w14:paraId="26EF5B2B" w14:textId="77777777" w:rsidR="002A67EE" w:rsidRPr="005D241A" w:rsidRDefault="002A67EE" w:rsidP="00744211">
            <w:pPr>
              <w:spacing w:line="276" w:lineRule="auto"/>
              <w:ind w:left="-108"/>
              <w:rPr>
                <w:rFonts w:eastAsia="Times New Roman"/>
                <w:sz w:val="22"/>
                <w:szCs w:val="22"/>
              </w:rPr>
            </w:pPr>
            <w:r w:rsidRPr="005D241A">
              <w:rPr>
                <w:rFonts w:eastAsia="Times New Roman"/>
                <w:sz w:val="22"/>
                <w:szCs w:val="22"/>
              </w:rPr>
              <w:t>Accommodation &amp; Food Services</w:t>
            </w:r>
          </w:p>
        </w:tc>
        <w:tc>
          <w:tcPr>
            <w:tcW w:w="7499" w:type="dxa"/>
            <w:tcBorders>
              <w:top w:val="single" w:sz="4" w:space="0" w:color="auto"/>
              <w:left w:val="single" w:sz="4" w:space="0" w:color="auto"/>
              <w:bottom w:val="single" w:sz="4" w:space="0" w:color="auto"/>
              <w:right w:val="single" w:sz="4" w:space="0" w:color="auto"/>
            </w:tcBorders>
            <w:hideMark/>
          </w:tcPr>
          <w:p w14:paraId="47895A16" w14:textId="77777777" w:rsidR="002A67EE" w:rsidRPr="005D241A" w:rsidRDefault="002A67EE" w:rsidP="00744211">
            <w:pPr>
              <w:spacing w:line="276" w:lineRule="auto"/>
              <w:rPr>
                <w:rFonts w:eastAsia="Times New Roman"/>
                <w:sz w:val="22"/>
                <w:szCs w:val="22"/>
              </w:rPr>
            </w:pPr>
            <w:r w:rsidRPr="005D241A">
              <w:rPr>
                <w:rFonts w:eastAsia="Times New Roman"/>
                <w:sz w:val="22"/>
                <w:szCs w:val="22"/>
              </w:rPr>
              <w:t>hotel, motel, bed and breakfast, recreational camp, bagel shop, fast food restaurant, concession stand, ice cream truck vendor, school cafeteria, cocktail lounge</w:t>
            </w:r>
          </w:p>
        </w:tc>
        <w:tc>
          <w:tcPr>
            <w:tcW w:w="1283" w:type="dxa"/>
            <w:tcBorders>
              <w:top w:val="single" w:sz="4" w:space="0" w:color="auto"/>
              <w:left w:val="single" w:sz="4" w:space="0" w:color="auto"/>
              <w:bottom w:val="single" w:sz="4" w:space="0" w:color="auto"/>
              <w:right w:val="single" w:sz="4" w:space="0" w:color="auto"/>
            </w:tcBorders>
            <w:vAlign w:val="bottom"/>
          </w:tcPr>
          <w:p w14:paraId="7B51D32F" w14:textId="77777777" w:rsidR="002A67EE" w:rsidRPr="005D241A" w:rsidRDefault="002A67EE" w:rsidP="00744211">
            <w:pPr>
              <w:spacing w:line="276" w:lineRule="auto"/>
              <w:ind w:left="-108"/>
              <w:jc w:val="right"/>
              <w:rPr>
                <w:rFonts w:eastAsia="Times New Roman"/>
                <w:bCs/>
                <w:sz w:val="22"/>
                <w:szCs w:val="22"/>
              </w:rPr>
            </w:pPr>
            <w:r w:rsidRPr="005D241A">
              <w:rPr>
                <w:rFonts w:eastAsia="Times New Roman"/>
                <w:bCs/>
                <w:sz w:val="22"/>
                <w:szCs w:val="22"/>
              </w:rPr>
              <w:t>72</w:t>
            </w:r>
          </w:p>
        </w:tc>
      </w:tr>
      <w:tr w:rsidR="002A67EE" w:rsidRPr="005D241A" w14:paraId="61A2FCFF" w14:textId="77777777" w:rsidTr="002A67EE">
        <w:trPr>
          <w:trHeight w:val="230"/>
        </w:trPr>
        <w:tc>
          <w:tcPr>
            <w:tcW w:w="3993" w:type="dxa"/>
            <w:tcBorders>
              <w:top w:val="single" w:sz="4" w:space="0" w:color="auto"/>
              <w:left w:val="single" w:sz="4" w:space="0" w:color="auto"/>
              <w:bottom w:val="single" w:sz="4" w:space="0" w:color="auto"/>
              <w:right w:val="single" w:sz="4" w:space="0" w:color="auto"/>
            </w:tcBorders>
            <w:vAlign w:val="center"/>
            <w:hideMark/>
          </w:tcPr>
          <w:p w14:paraId="114C9EE5" w14:textId="77777777" w:rsidR="002A67EE" w:rsidRPr="005D241A" w:rsidRDefault="002A67EE" w:rsidP="00744211">
            <w:pPr>
              <w:spacing w:line="276" w:lineRule="auto"/>
              <w:ind w:left="-108"/>
              <w:rPr>
                <w:rFonts w:eastAsia="Times New Roman"/>
                <w:sz w:val="22"/>
                <w:szCs w:val="22"/>
              </w:rPr>
            </w:pPr>
            <w:r w:rsidRPr="005D241A">
              <w:rPr>
                <w:rFonts w:eastAsia="Times New Roman"/>
                <w:sz w:val="22"/>
                <w:szCs w:val="22"/>
              </w:rPr>
              <w:t>Other Services (except Public Administration)</w:t>
            </w:r>
          </w:p>
        </w:tc>
        <w:tc>
          <w:tcPr>
            <w:tcW w:w="7499" w:type="dxa"/>
            <w:tcBorders>
              <w:top w:val="single" w:sz="4" w:space="0" w:color="auto"/>
              <w:left w:val="single" w:sz="4" w:space="0" w:color="auto"/>
              <w:bottom w:val="single" w:sz="4" w:space="0" w:color="auto"/>
              <w:right w:val="single" w:sz="4" w:space="0" w:color="auto"/>
            </w:tcBorders>
            <w:hideMark/>
          </w:tcPr>
          <w:p w14:paraId="43786E30" w14:textId="77777777" w:rsidR="002A67EE" w:rsidRPr="005D241A" w:rsidRDefault="002A67EE" w:rsidP="00744211">
            <w:pPr>
              <w:spacing w:line="276" w:lineRule="auto"/>
              <w:rPr>
                <w:rFonts w:eastAsia="Times New Roman"/>
                <w:sz w:val="22"/>
                <w:szCs w:val="22"/>
              </w:rPr>
            </w:pPr>
            <w:r w:rsidRPr="005D241A">
              <w:rPr>
                <w:rFonts w:eastAsia="Times New Roman"/>
                <w:sz w:val="22"/>
                <w:szCs w:val="22"/>
              </w:rPr>
              <w:t>auto body shop, computer repair service, shoe repair shop, barbershop, nail salon, car wash, laundromat, parking lot, funeral home, city animal shelter, civic organization, labor union, place of religious worship, charitable organization, private household employing gardeners, cooks, chauffeurs etc., medical association</w:t>
            </w:r>
          </w:p>
        </w:tc>
        <w:tc>
          <w:tcPr>
            <w:tcW w:w="1283" w:type="dxa"/>
            <w:tcBorders>
              <w:top w:val="single" w:sz="4" w:space="0" w:color="auto"/>
              <w:left w:val="single" w:sz="4" w:space="0" w:color="auto"/>
              <w:bottom w:val="single" w:sz="4" w:space="0" w:color="auto"/>
              <w:right w:val="single" w:sz="4" w:space="0" w:color="auto"/>
            </w:tcBorders>
            <w:vAlign w:val="bottom"/>
          </w:tcPr>
          <w:p w14:paraId="7E280DB6" w14:textId="77777777" w:rsidR="002A67EE" w:rsidRPr="005D241A" w:rsidRDefault="002A67EE" w:rsidP="00744211">
            <w:pPr>
              <w:spacing w:line="276" w:lineRule="auto"/>
              <w:ind w:left="-108"/>
              <w:jc w:val="right"/>
              <w:rPr>
                <w:rFonts w:eastAsia="Times New Roman"/>
                <w:bCs/>
                <w:sz w:val="22"/>
                <w:szCs w:val="22"/>
              </w:rPr>
            </w:pPr>
            <w:r w:rsidRPr="005D241A">
              <w:rPr>
                <w:rFonts w:eastAsia="Times New Roman"/>
                <w:bCs/>
                <w:sz w:val="22"/>
                <w:szCs w:val="22"/>
              </w:rPr>
              <w:t>81</w:t>
            </w:r>
          </w:p>
        </w:tc>
      </w:tr>
      <w:tr w:rsidR="002A67EE" w:rsidRPr="005D241A" w14:paraId="60E6AA34" w14:textId="77777777" w:rsidTr="002A67EE">
        <w:trPr>
          <w:trHeight w:val="282"/>
        </w:trPr>
        <w:tc>
          <w:tcPr>
            <w:tcW w:w="3993" w:type="dxa"/>
            <w:tcBorders>
              <w:top w:val="single" w:sz="4" w:space="0" w:color="auto"/>
              <w:left w:val="single" w:sz="4" w:space="0" w:color="auto"/>
              <w:bottom w:val="single" w:sz="4" w:space="0" w:color="auto"/>
              <w:right w:val="single" w:sz="4" w:space="0" w:color="auto"/>
            </w:tcBorders>
            <w:vAlign w:val="center"/>
            <w:hideMark/>
          </w:tcPr>
          <w:p w14:paraId="44D0A278" w14:textId="77777777" w:rsidR="002A67EE" w:rsidRPr="005D241A" w:rsidRDefault="002A67EE" w:rsidP="00744211">
            <w:pPr>
              <w:spacing w:line="276" w:lineRule="auto"/>
              <w:ind w:left="-108"/>
              <w:rPr>
                <w:rFonts w:eastAsia="Times New Roman"/>
                <w:sz w:val="22"/>
                <w:szCs w:val="22"/>
              </w:rPr>
            </w:pPr>
            <w:r w:rsidRPr="005D241A">
              <w:rPr>
                <w:rFonts w:eastAsia="Times New Roman"/>
                <w:sz w:val="22"/>
                <w:szCs w:val="22"/>
                <w:shd w:val="clear" w:color="auto" w:fill="FFFFFF"/>
              </w:rPr>
              <w:t xml:space="preserve"> Public Administration</w:t>
            </w:r>
          </w:p>
        </w:tc>
        <w:tc>
          <w:tcPr>
            <w:tcW w:w="7499" w:type="dxa"/>
            <w:tcBorders>
              <w:top w:val="single" w:sz="4" w:space="0" w:color="auto"/>
              <w:left w:val="single" w:sz="4" w:space="0" w:color="auto"/>
              <w:bottom w:val="single" w:sz="4" w:space="0" w:color="auto"/>
              <w:right w:val="single" w:sz="4" w:space="0" w:color="auto"/>
            </w:tcBorders>
            <w:hideMark/>
          </w:tcPr>
          <w:p w14:paraId="12F5BBA6" w14:textId="77777777" w:rsidR="002A67EE" w:rsidRPr="005D241A" w:rsidRDefault="002A67EE" w:rsidP="00744211">
            <w:pPr>
              <w:spacing w:line="276" w:lineRule="auto"/>
              <w:rPr>
                <w:rFonts w:eastAsia="Times New Roman"/>
                <w:sz w:val="22"/>
                <w:szCs w:val="22"/>
              </w:rPr>
            </w:pPr>
            <w:r w:rsidRPr="005D241A">
              <w:rPr>
                <w:rFonts w:eastAsia="Times New Roman"/>
                <w:sz w:val="22"/>
                <w:szCs w:val="22"/>
              </w:rPr>
              <w:t>statehouse, city tax office, city inspectional service, state court, federal prison, city police and fire departments, state department of environmental protection, city board of health, state motor vehicle registry, US Army post</w:t>
            </w:r>
          </w:p>
        </w:tc>
        <w:tc>
          <w:tcPr>
            <w:tcW w:w="1283" w:type="dxa"/>
            <w:tcBorders>
              <w:top w:val="single" w:sz="4" w:space="0" w:color="auto"/>
              <w:left w:val="single" w:sz="4" w:space="0" w:color="auto"/>
              <w:bottom w:val="single" w:sz="4" w:space="0" w:color="auto"/>
              <w:right w:val="single" w:sz="4" w:space="0" w:color="auto"/>
            </w:tcBorders>
            <w:vAlign w:val="bottom"/>
          </w:tcPr>
          <w:p w14:paraId="782C91EA" w14:textId="77777777" w:rsidR="002A67EE" w:rsidRPr="005D241A" w:rsidRDefault="002A67EE" w:rsidP="00744211">
            <w:pPr>
              <w:spacing w:line="276" w:lineRule="auto"/>
              <w:ind w:left="-108"/>
              <w:jc w:val="right"/>
              <w:rPr>
                <w:rFonts w:eastAsia="Times New Roman"/>
                <w:bCs/>
                <w:sz w:val="22"/>
                <w:szCs w:val="22"/>
              </w:rPr>
            </w:pPr>
            <w:r w:rsidRPr="005D241A">
              <w:rPr>
                <w:rFonts w:eastAsia="Times New Roman"/>
                <w:bCs/>
                <w:sz w:val="22"/>
                <w:szCs w:val="22"/>
              </w:rPr>
              <w:t>92</w:t>
            </w:r>
          </w:p>
        </w:tc>
      </w:tr>
      <w:tr w:rsidR="002A67EE" w:rsidRPr="005D241A" w14:paraId="1B3CB344" w14:textId="77777777" w:rsidTr="002A67EE">
        <w:trPr>
          <w:trHeight w:val="282"/>
        </w:trPr>
        <w:tc>
          <w:tcPr>
            <w:tcW w:w="3993" w:type="dxa"/>
            <w:tcBorders>
              <w:top w:val="single" w:sz="4" w:space="0" w:color="auto"/>
              <w:left w:val="single" w:sz="4" w:space="0" w:color="auto"/>
              <w:bottom w:val="single" w:sz="4" w:space="0" w:color="auto"/>
              <w:right w:val="single" w:sz="4" w:space="0" w:color="auto"/>
            </w:tcBorders>
            <w:vAlign w:val="center"/>
          </w:tcPr>
          <w:p w14:paraId="0C1C71D3" w14:textId="77777777" w:rsidR="002A67EE" w:rsidRPr="005D241A" w:rsidRDefault="002A67EE" w:rsidP="00744211">
            <w:pPr>
              <w:spacing w:line="276" w:lineRule="auto"/>
              <w:ind w:left="-108"/>
              <w:rPr>
                <w:rFonts w:eastAsia="Times New Roman"/>
                <w:sz w:val="22"/>
                <w:szCs w:val="22"/>
                <w:shd w:val="clear" w:color="auto" w:fill="FFFFFF"/>
              </w:rPr>
            </w:pPr>
            <w:r w:rsidRPr="005D241A">
              <w:rPr>
                <w:rFonts w:eastAsia="Times New Roman"/>
                <w:sz w:val="22"/>
                <w:szCs w:val="22"/>
                <w:shd w:val="clear" w:color="auto" w:fill="FFFFFF"/>
              </w:rPr>
              <w:t>Military</w:t>
            </w:r>
          </w:p>
        </w:tc>
        <w:tc>
          <w:tcPr>
            <w:tcW w:w="7499" w:type="dxa"/>
            <w:tcBorders>
              <w:top w:val="single" w:sz="4" w:space="0" w:color="auto"/>
              <w:left w:val="single" w:sz="4" w:space="0" w:color="auto"/>
              <w:bottom w:val="single" w:sz="4" w:space="0" w:color="auto"/>
              <w:right w:val="single" w:sz="4" w:space="0" w:color="auto"/>
            </w:tcBorders>
          </w:tcPr>
          <w:p w14:paraId="3A475277" w14:textId="77777777" w:rsidR="002A67EE" w:rsidRPr="005D241A" w:rsidRDefault="002A67EE" w:rsidP="00744211">
            <w:pPr>
              <w:spacing w:line="276" w:lineRule="auto"/>
              <w:rPr>
                <w:rFonts w:eastAsia="Times New Roman"/>
                <w:sz w:val="22"/>
                <w:szCs w:val="22"/>
              </w:rPr>
            </w:pPr>
            <w:r w:rsidRPr="005D241A">
              <w:rPr>
                <w:rFonts w:eastAsia="Times New Roman"/>
                <w:sz w:val="22"/>
                <w:szCs w:val="22"/>
              </w:rPr>
              <w:t>Air Force, Navy, Army, Marine Corps, military police, National Guard</w:t>
            </w:r>
          </w:p>
        </w:tc>
        <w:tc>
          <w:tcPr>
            <w:tcW w:w="1283" w:type="dxa"/>
            <w:tcBorders>
              <w:top w:val="single" w:sz="4" w:space="0" w:color="auto"/>
              <w:left w:val="single" w:sz="4" w:space="0" w:color="auto"/>
              <w:bottom w:val="single" w:sz="4" w:space="0" w:color="auto"/>
              <w:right w:val="single" w:sz="4" w:space="0" w:color="auto"/>
            </w:tcBorders>
            <w:vAlign w:val="bottom"/>
          </w:tcPr>
          <w:p w14:paraId="5D337C84" w14:textId="77777777" w:rsidR="002A67EE" w:rsidRPr="005D241A" w:rsidRDefault="002A67EE" w:rsidP="00744211">
            <w:pPr>
              <w:spacing w:line="276" w:lineRule="auto"/>
              <w:ind w:left="-108"/>
              <w:jc w:val="right"/>
              <w:rPr>
                <w:rFonts w:eastAsia="Times New Roman"/>
                <w:bCs/>
                <w:sz w:val="22"/>
                <w:szCs w:val="22"/>
              </w:rPr>
            </w:pPr>
            <w:r w:rsidRPr="005D241A">
              <w:rPr>
                <w:rFonts w:eastAsia="Times New Roman"/>
                <w:bCs/>
                <w:sz w:val="22"/>
                <w:szCs w:val="22"/>
              </w:rPr>
              <w:t>928110</w:t>
            </w:r>
          </w:p>
        </w:tc>
      </w:tr>
      <w:tr w:rsidR="002A67EE" w:rsidRPr="005D241A" w14:paraId="7937175E" w14:textId="77777777" w:rsidTr="002A67EE">
        <w:trPr>
          <w:trHeight w:val="282"/>
        </w:trPr>
        <w:tc>
          <w:tcPr>
            <w:tcW w:w="12775" w:type="dxa"/>
            <w:gridSpan w:val="3"/>
            <w:tcBorders>
              <w:top w:val="nil"/>
              <w:left w:val="nil"/>
              <w:bottom w:val="nil"/>
              <w:right w:val="nil"/>
            </w:tcBorders>
            <w:vAlign w:val="center"/>
          </w:tcPr>
          <w:p w14:paraId="02B5ECFB" w14:textId="77777777" w:rsidR="002A67EE" w:rsidRPr="005D241A" w:rsidRDefault="002A67EE" w:rsidP="00744211">
            <w:pPr>
              <w:rPr>
                <w:rFonts w:eastAsia="Times New Roman"/>
                <w:sz w:val="22"/>
                <w:szCs w:val="22"/>
              </w:rPr>
            </w:pPr>
          </w:p>
          <w:p w14:paraId="18511248" w14:textId="77777777" w:rsidR="002A67EE" w:rsidRPr="005D241A" w:rsidRDefault="002A67EE" w:rsidP="002A67EE">
            <w:pPr>
              <w:pStyle w:val="ListParagraph"/>
              <w:numPr>
                <w:ilvl w:val="0"/>
                <w:numId w:val="29"/>
              </w:numPr>
              <w:jc w:val="left"/>
              <w:rPr>
                <w:rFonts w:eastAsia="Times New Roman"/>
                <w:sz w:val="22"/>
                <w:szCs w:val="22"/>
              </w:rPr>
            </w:pPr>
            <w:r w:rsidRPr="005D241A">
              <w:rPr>
                <w:rFonts w:eastAsia="Times New Roman"/>
                <w:sz w:val="22"/>
                <w:szCs w:val="22"/>
              </w:rPr>
              <w:t xml:space="preserve">Industry groups based on the 2012 North American Industry Classification System (NAICS) codes: </w:t>
            </w:r>
            <w:hyperlink r:id="rId35" w:history="1">
              <w:r w:rsidRPr="005D241A">
                <w:rPr>
                  <w:rStyle w:val="Hyperlink"/>
                  <w:rFonts w:eastAsia="Times New Roman"/>
                  <w:sz w:val="22"/>
                  <w:szCs w:val="22"/>
                </w:rPr>
                <w:t>https://www.census.gov/naics/</w:t>
              </w:r>
            </w:hyperlink>
            <w:r w:rsidRPr="005D241A">
              <w:rPr>
                <w:rFonts w:eastAsia="Times New Roman"/>
                <w:sz w:val="22"/>
                <w:szCs w:val="22"/>
              </w:rPr>
              <w:t xml:space="preserve">   See </w:t>
            </w:r>
            <w:hyperlink r:id="rId36" w:anchor="q7?58967?yearbck=2012" w:history="1">
              <w:r w:rsidRPr="005D241A">
                <w:rPr>
                  <w:rStyle w:val="Hyperlink"/>
                  <w:rFonts w:eastAsia="Times New Roman"/>
                  <w:sz w:val="22"/>
                  <w:szCs w:val="22"/>
                </w:rPr>
                <w:t>https://www.census.gov/naics/#q7?58967?yearbck=2012</w:t>
              </w:r>
            </w:hyperlink>
            <w:r w:rsidRPr="005D241A">
              <w:rPr>
                <w:rFonts w:eastAsia="Times New Roman"/>
                <w:sz w:val="22"/>
                <w:szCs w:val="22"/>
              </w:rPr>
              <w:t xml:space="preserve"> for detailed descriptions of each NAICS industry code as well as additional example industries.</w:t>
            </w:r>
          </w:p>
        </w:tc>
      </w:tr>
      <w:bookmarkEnd w:id="2"/>
    </w:tbl>
    <w:p w14:paraId="51885F5E" w14:textId="77777777" w:rsidR="002A67EE" w:rsidRPr="005D241A" w:rsidRDefault="002A67EE" w:rsidP="002A67EE">
      <w:pPr>
        <w:rPr>
          <w:sz w:val="22"/>
          <w:szCs w:val="22"/>
        </w:rPr>
      </w:pPr>
    </w:p>
    <w:p w14:paraId="1DAB0797" w14:textId="77777777" w:rsidR="002A67EE" w:rsidRDefault="002A67EE" w:rsidP="002A67EE">
      <w:pPr>
        <w:spacing w:after="120" w:line="276" w:lineRule="auto"/>
        <w:jc w:val="left"/>
        <w:rPr>
          <w:b/>
          <w:iCs/>
          <w:color w:val="1F497D" w:themeColor="text2"/>
        </w:rPr>
      </w:pPr>
    </w:p>
    <w:p w14:paraId="5A6427FD" w14:textId="4F779EEE" w:rsidR="001E448F" w:rsidRDefault="001E448F" w:rsidP="005A1F00">
      <w:pPr>
        <w:spacing w:after="120" w:line="276" w:lineRule="auto"/>
        <w:jc w:val="left"/>
        <w:rPr>
          <w:iCs/>
        </w:rPr>
      </w:pPr>
    </w:p>
    <w:p w14:paraId="3B18E475" w14:textId="77777777" w:rsidR="002A67EE" w:rsidRDefault="002A67EE" w:rsidP="005A1F00">
      <w:pPr>
        <w:spacing w:after="120" w:line="276" w:lineRule="auto"/>
        <w:jc w:val="left"/>
        <w:rPr>
          <w:iCs/>
        </w:rPr>
      </w:pPr>
    </w:p>
    <w:p w14:paraId="1CEBEF0A" w14:textId="223E1BFD" w:rsidR="001E448F" w:rsidRDefault="001E448F" w:rsidP="005A1F00">
      <w:pPr>
        <w:spacing w:after="120" w:line="276" w:lineRule="auto"/>
        <w:jc w:val="left"/>
        <w:rPr>
          <w:iCs/>
        </w:rPr>
      </w:pPr>
    </w:p>
    <w:p w14:paraId="43C48C15" w14:textId="77777777" w:rsidR="001E448F" w:rsidRPr="005A1F00" w:rsidRDefault="001E448F" w:rsidP="005A1F00">
      <w:pPr>
        <w:spacing w:after="120" w:line="276" w:lineRule="auto"/>
        <w:jc w:val="left"/>
        <w:rPr>
          <w:iCs/>
        </w:rPr>
      </w:pPr>
    </w:p>
    <w:sectPr w:rsidR="001E448F" w:rsidRPr="005A1F00" w:rsidSect="002A67EE">
      <w:footnotePr>
        <w:numFmt w:val="lowerLetter"/>
      </w:footnotePr>
      <w:pgSz w:w="16838" w:h="11906"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81C9F" w14:textId="77777777" w:rsidR="00EA1D00" w:rsidRDefault="00EA1D00" w:rsidP="001773CC">
      <w:r>
        <w:separator/>
      </w:r>
    </w:p>
  </w:endnote>
  <w:endnote w:type="continuationSeparator" w:id="0">
    <w:p w14:paraId="49F930CA" w14:textId="77777777" w:rsidR="00EA1D00" w:rsidRDefault="00EA1D00" w:rsidP="00177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829052"/>
      <w:docPartObj>
        <w:docPartGallery w:val="Page Numbers (Bottom of Page)"/>
        <w:docPartUnique/>
      </w:docPartObj>
    </w:sdtPr>
    <w:sdtEndPr>
      <w:rPr>
        <w:noProof/>
      </w:rPr>
    </w:sdtEndPr>
    <w:sdtContent>
      <w:p w14:paraId="19A682A1" w14:textId="77777777" w:rsidR="00003BEF" w:rsidRDefault="00003BEF">
        <w:pPr>
          <w:pStyle w:val="Footer"/>
          <w:jc w:val="right"/>
        </w:pPr>
        <w:r>
          <w:fldChar w:fldCharType="begin"/>
        </w:r>
        <w:r>
          <w:instrText xml:space="preserve"> PAGE   \* MERGEFORMAT </w:instrText>
        </w:r>
        <w:r>
          <w:fldChar w:fldCharType="separate"/>
        </w:r>
        <w:r>
          <w:rPr>
            <w:noProof/>
          </w:rPr>
          <w:t>26</w:t>
        </w:r>
        <w:r>
          <w:rPr>
            <w:noProof/>
          </w:rPr>
          <w:fldChar w:fldCharType="end"/>
        </w:r>
      </w:p>
    </w:sdtContent>
  </w:sdt>
  <w:p w14:paraId="23EE105D" w14:textId="77777777" w:rsidR="00003BEF" w:rsidRPr="00590DD4" w:rsidRDefault="00003BEF" w:rsidP="00B43EDB">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6B999" w14:textId="77777777" w:rsidR="00EA1D00" w:rsidRDefault="00EA1D00" w:rsidP="001773CC">
      <w:r>
        <w:separator/>
      </w:r>
    </w:p>
  </w:footnote>
  <w:footnote w:type="continuationSeparator" w:id="0">
    <w:p w14:paraId="250DAAF8" w14:textId="77777777" w:rsidR="00EA1D00" w:rsidRDefault="00EA1D00" w:rsidP="001773CC">
      <w:r>
        <w:continuationSeparator/>
      </w:r>
    </w:p>
  </w:footnote>
  <w:footnote w:id="1">
    <w:p w14:paraId="73C9E207" w14:textId="77777777" w:rsidR="00003BEF" w:rsidRDefault="00003BEF" w:rsidP="000905F5">
      <w:pPr>
        <w:pStyle w:val="FootnoteText"/>
        <w:jc w:val="left"/>
      </w:pPr>
      <w:r>
        <w:rPr>
          <w:rStyle w:val="FootnoteReference"/>
        </w:rPr>
        <w:footnoteRef/>
      </w:r>
      <w:r>
        <w:t xml:space="preserve"> National Institute for Occupational Safety and Health, NIOSH Industry and Occupation Computerized Coding System. </w:t>
      </w:r>
      <w:r w:rsidRPr="007C28FC">
        <w:t>https://wwwn.cdc.gov/nioccs3/</w:t>
      </w:r>
    </w:p>
  </w:footnote>
  <w:footnote w:id="2">
    <w:p w14:paraId="22F10D92" w14:textId="77777777" w:rsidR="00003BEF" w:rsidRDefault="00003BEF" w:rsidP="000905F5">
      <w:pPr>
        <w:pStyle w:val="FootnoteText"/>
        <w:jc w:val="left"/>
      </w:pPr>
      <w:r>
        <w:rPr>
          <w:rStyle w:val="FootnoteReference"/>
        </w:rPr>
        <w:footnoteRef/>
      </w:r>
      <w:r>
        <w:t xml:space="preserve"> The 2010 Standard Occupational Classification Manuals are available from </w:t>
      </w:r>
      <w:r w:rsidRPr="007C28FC">
        <w:t xml:space="preserve">http://www.bls.gov/soc/.  </w:t>
      </w:r>
    </w:p>
  </w:footnote>
  <w:footnote w:id="3">
    <w:p w14:paraId="32542B89" w14:textId="2338E424" w:rsidR="00003BEF" w:rsidRDefault="00003BEF" w:rsidP="005628E4">
      <w:pPr>
        <w:pStyle w:val="FootnoteText"/>
        <w:jc w:val="left"/>
      </w:pPr>
      <w:r>
        <w:rPr>
          <w:rStyle w:val="FootnoteReference"/>
        </w:rPr>
        <w:footnoteRef/>
      </w:r>
      <w:r>
        <w:t xml:space="preserve"> </w:t>
      </w:r>
      <w:r w:rsidRPr="005628E4">
        <w:rPr>
          <w:rFonts w:eastAsia="Times New Roman"/>
          <w:color w:val="000000"/>
        </w:rPr>
        <w:t xml:space="preserve">Joinpoint is a statistical software program that is used for the analysis of trends by using </w:t>
      </w:r>
      <w:r>
        <w:rPr>
          <w:rFonts w:eastAsia="Times New Roman"/>
          <w:color w:val="000000"/>
        </w:rPr>
        <w:t>regression</w:t>
      </w:r>
      <w:r w:rsidRPr="005628E4">
        <w:rPr>
          <w:rFonts w:eastAsia="Times New Roman"/>
          <w:color w:val="000000"/>
        </w:rPr>
        <w:t xml:space="preserve"> models</w:t>
      </w:r>
      <w:r>
        <w:rPr>
          <w:rFonts w:eastAsia="Times New Roman"/>
          <w:color w:val="000000"/>
        </w:rPr>
        <w:t>.</w:t>
      </w:r>
    </w:p>
  </w:footnote>
  <w:footnote w:id="4">
    <w:p w14:paraId="14A26A97" w14:textId="373A4743" w:rsidR="00003BEF" w:rsidRDefault="00003BEF" w:rsidP="008773C6">
      <w:pPr>
        <w:pStyle w:val="FootnoteText"/>
        <w:jc w:val="left"/>
      </w:pPr>
      <w:r>
        <w:rPr>
          <w:rStyle w:val="FootnoteReference"/>
        </w:rPr>
        <w:footnoteRef/>
      </w:r>
      <w:r>
        <w:t xml:space="preserve"> </w:t>
      </w:r>
      <w:r w:rsidRPr="009B3F84">
        <w:t>Death files were prepared on the following dates: 2011 and 2012: January 13, 2017, 2013: May 4, 2017, 2014: June 1, 2017, 2015: June 1</w:t>
      </w:r>
      <w:r>
        <w:t>,</w:t>
      </w:r>
      <w:r w:rsidRPr="009B3F84">
        <w:t xml:space="preserve"> 2017 with an update on August 22, 2017, 2016 and 2017: June 12, 2019.</w:t>
      </w:r>
      <w:r>
        <w:t xml:space="preserve"> </w:t>
      </w:r>
    </w:p>
  </w:footnote>
  <w:footnote w:id="5">
    <w:p w14:paraId="35DFE073" w14:textId="77777777" w:rsidR="00003BEF" w:rsidRDefault="00003BEF" w:rsidP="000905F5">
      <w:pPr>
        <w:pStyle w:val="FootnoteText"/>
        <w:jc w:val="left"/>
      </w:pPr>
      <w:r>
        <w:rPr>
          <w:rStyle w:val="FootnoteReference"/>
        </w:rPr>
        <w:footnoteRef/>
      </w:r>
      <w:r>
        <w:t xml:space="preserve"> 75.0% of the deaths in this sector occurred among workers employed in fishing occupations.</w:t>
      </w:r>
    </w:p>
  </w:footnote>
  <w:footnote w:id="6">
    <w:p w14:paraId="68B25B17" w14:textId="77777777" w:rsidR="00003BEF" w:rsidRDefault="00003BEF" w:rsidP="000E43C9">
      <w:pPr>
        <w:pStyle w:val="FootnoteText"/>
        <w:jc w:val="left"/>
      </w:pPr>
      <w:r>
        <w:rPr>
          <w:rStyle w:val="FootnoteReference"/>
        </w:rPr>
        <w:footnoteRef/>
      </w:r>
      <w:r>
        <w:t xml:space="preserve"> This industry sector includes landscaping services; services to buildings and dwellings (except cleaning during construction and immediately after construction); business support services; investigation and security services; waste management and remediation services; employment services, which include temporary staffing agencies; and travel arrangements and reservation services.</w:t>
      </w:r>
    </w:p>
  </w:footnote>
  <w:footnote w:id="7">
    <w:p w14:paraId="1D5D6DDB" w14:textId="77777777" w:rsidR="00003BEF" w:rsidRDefault="00003BEF" w:rsidP="000905F5">
      <w:pPr>
        <w:pStyle w:val="FootnoteText"/>
        <w:jc w:val="left"/>
      </w:pPr>
      <w:r>
        <w:rPr>
          <w:rStyle w:val="FootnoteReference"/>
        </w:rPr>
        <w:footnoteRef/>
      </w:r>
      <w:r>
        <w:t xml:space="preserve"> This industry sector includes automotive repair and maintenance; beauty salons, nail salons, barber shops and other personal care services; civic, social, and advocacy organizations, and grant making and giving services; car washes; religious organizations; personal and household goods repair and maintenance; funeral homes, and cemeteries and crematories; commercial and industrial machinery and equipment repair and maintenance; business, professional, political, and similar organizations; dry cleaning and laundry services; electronic and precision equipment repair and maintenance; labor unions; and private households employing individuals.</w:t>
      </w:r>
    </w:p>
  </w:footnote>
  <w:footnote w:id="8">
    <w:p w14:paraId="244C1EA3" w14:textId="31EFD6DD" w:rsidR="00003BEF" w:rsidRDefault="00003BEF" w:rsidP="006C3ACD">
      <w:pPr>
        <w:pStyle w:val="FootnoteText"/>
        <w:jc w:val="left"/>
      </w:pPr>
      <w:r w:rsidRPr="002A698A">
        <w:rPr>
          <w:rStyle w:val="FootnoteReference"/>
        </w:rPr>
        <w:footnoteRef/>
      </w:r>
      <w:r w:rsidRPr="002A698A">
        <w:t xml:space="preserve"> 7</w:t>
      </w:r>
      <w:r>
        <w:t>5.4</w:t>
      </w:r>
      <w:r w:rsidRPr="002A698A">
        <w:t xml:space="preserve">% of these deaths occurred among workers employed in </w:t>
      </w:r>
      <w:r>
        <w:t>F</w:t>
      </w:r>
      <w:r w:rsidRPr="002A698A">
        <w:t>ishing occupations.</w:t>
      </w:r>
    </w:p>
  </w:footnote>
  <w:footnote w:id="9">
    <w:p w14:paraId="17400FE9" w14:textId="1BE57BFA" w:rsidR="00003BEF" w:rsidRPr="000905F5" w:rsidRDefault="00003BEF" w:rsidP="00A07A1C">
      <w:pPr>
        <w:pStyle w:val="FootnoteText"/>
        <w:jc w:val="left"/>
        <w:rPr>
          <w:highlight w:val="yellow"/>
        </w:rPr>
      </w:pPr>
      <w:r w:rsidRPr="0046436B">
        <w:rPr>
          <w:rStyle w:val="FootnoteReference"/>
        </w:rPr>
        <w:footnoteRef/>
      </w:r>
      <w:r w:rsidRPr="0046436B">
        <w:t xml:space="preserve"> At least 89.4% of these deaths occurred among workers employed in </w:t>
      </w:r>
      <w:r>
        <w:t>C</w:t>
      </w:r>
      <w:r w:rsidRPr="0046436B">
        <w:t xml:space="preserve">onstruction occupations.   </w:t>
      </w:r>
    </w:p>
  </w:footnote>
  <w:footnote w:id="10">
    <w:p w14:paraId="0FAF1612" w14:textId="4CA25BE6" w:rsidR="00003BEF" w:rsidRDefault="00003BEF" w:rsidP="00D74262">
      <w:pPr>
        <w:pStyle w:val="FootnoteText"/>
        <w:jc w:val="left"/>
      </w:pPr>
      <w:r>
        <w:rPr>
          <w:rStyle w:val="FootnoteReference"/>
        </w:rPr>
        <w:footnoteRef/>
      </w:r>
      <w:r>
        <w:t xml:space="preserve"> In the 2011-2015 data, this occupation was broken out into two groups.</w:t>
      </w:r>
    </w:p>
  </w:footnote>
  <w:footnote w:id="11">
    <w:p w14:paraId="30B4FA94" w14:textId="4A3FD15F" w:rsidR="00003BEF" w:rsidRDefault="00003BEF" w:rsidP="00233D13">
      <w:pPr>
        <w:pStyle w:val="FootnoteText"/>
        <w:jc w:val="left"/>
      </w:pPr>
      <w:r>
        <w:rPr>
          <w:rStyle w:val="FootnoteReference"/>
        </w:rPr>
        <w:footnoteRef/>
      </w:r>
      <w:r>
        <w:t xml:space="preserve"> Other services (except public administration) include autobody shops, computer repair services, funeral homes, labor unions, charitable organizations, laundromats, to name a few. For a more complete list, see Appendix Table 2.</w:t>
      </w:r>
    </w:p>
  </w:footnote>
  <w:footnote w:id="12">
    <w:p w14:paraId="0EA51483" w14:textId="6807B766" w:rsidR="00003BEF" w:rsidRDefault="00003BEF" w:rsidP="000A78FC">
      <w:pPr>
        <w:pStyle w:val="FootnoteText"/>
        <w:jc w:val="left"/>
      </w:pPr>
      <w:r>
        <w:rPr>
          <w:rStyle w:val="FootnoteReference"/>
        </w:rPr>
        <w:footnoteRef/>
      </w:r>
      <w:r>
        <w:t xml:space="preserve"> Confirmed by the Injury Surveillance Program, MDPH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27D1F" w14:textId="77777777" w:rsidR="00003BEF" w:rsidRDefault="00003B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71600"/>
    <w:multiLevelType w:val="hybridMultilevel"/>
    <w:tmpl w:val="65468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817BC"/>
    <w:multiLevelType w:val="hybridMultilevel"/>
    <w:tmpl w:val="700CD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372DF"/>
    <w:multiLevelType w:val="hybridMultilevel"/>
    <w:tmpl w:val="4D227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F420F"/>
    <w:multiLevelType w:val="hybridMultilevel"/>
    <w:tmpl w:val="08FC0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2120C"/>
    <w:multiLevelType w:val="hybridMultilevel"/>
    <w:tmpl w:val="29C26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13AB2"/>
    <w:multiLevelType w:val="hybridMultilevel"/>
    <w:tmpl w:val="9AAE6C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EEF6B11"/>
    <w:multiLevelType w:val="hybridMultilevel"/>
    <w:tmpl w:val="4EE05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E79FD"/>
    <w:multiLevelType w:val="hybridMultilevel"/>
    <w:tmpl w:val="47FC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501AC2"/>
    <w:multiLevelType w:val="hybridMultilevel"/>
    <w:tmpl w:val="77FEB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D3571A"/>
    <w:multiLevelType w:val="hybridMultilevel"/>
    <w:tmpl w:val="D46A8890"/>
    <w:lvl w:ilvl="0" w:tplc="20A265B8">
      <w:start w:val="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7C0BEE"/>
    <w:multiLevelType w:val="hybridMultilevel"/>
    <w:tmpl w:val="A5227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2ED7E0C"/>
    <w:multiLevelType w:val="hybridMultilevel"/>
    <w:tmpl w:val="BA6E8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7D6276"/>
    <w:multiLevelType w:val="hybridMultilevel"/>
    <w:tmpl w:val="DD965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530F20"/>
    <w:multiLevelType w:val="hybridMultilevel"/>
    <w:tmpl w:val="F20A2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9135D0"/>
    <w:multiLevelType w:val="hybridMultilevel"/>
    <w:tmpl w:val="64488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FE1F95"/>
    <w:multiLevelType w:val="hybridMultilevel"/>
    <w:tmpl w:val="AB3A7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AA5E03"/>
    <w:multiLevelType w:val="hybridMultilevel"/>
    <w:tmpl w:val="4F827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D262A4"/>
    <w:multiLevelType w:val="hybridMultilevel"/>
    <w:tmpl w:val="DAD6F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654834"/>
    <w:multiLevelType w:val="hybridMultilevel"/>
    <w:tmpl w:val="86A29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AA67CA"/>
    <w:multiLevelType w:val="hybridMultilevel"/>
    <w:tmpl w:val="DAC44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C84341"/>
    <w:multiLevelType w:val="hybridMultilevel"/>
    <w:tmpl w:val="B54CD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780D66"/>
    <w:multiLevelType w:val="hybridMultilevel"/>
    <w:tmpl w:val="6632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B10294"/>
    <w:multiLevelType w:val="hybridMultilevel"/>
    <w:tmpl w:val="43E65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A547A5"/>
    <w:multiLevelType w:val="hybridMultilevel"/>
    <w:tmpl w:val="85B29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8322EE"/>
    <w:multiLevelType w:val="hybridMultilevel"/>
    <w:tmpl w:val="FD58A5C2"/>
    <w:lvl w:ilvl="0" w:tplc="3E1AF8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F45647"/>
    <w:multiLevelType w:val="hybridMultilevel"/>
    <w:tmpl w:val="59EC1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6329F1"/>
    <w:multiLevelType w:val="hybridMultilevel"/>
    <w:tmpl w:val="120CA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7D085A"/>
    <w:multiLevelType w:val="hybridMultilevel"/>
    <w:tmpl w:val="32B6E4FC"/>
    <w:lvl w:ilvl="0" w:tplc="68C6E984">
      <w:start w:val="1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A9216F8"/>
    <w:multiLevelType w:val="hybridMultilevel"/>
    <w:tmpl w:val="D16CA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B96AE9"/>
    <w:multiLevelType w:val="hybridMultilevel"/>
    <w:tmpl w:val="7EA4F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FE1B99"/>
    <w:multiLevelType w:val="hybridMultilevel"/>
    <w:tmpl w:val="EEA0F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1F15FA"/>
    <w:multiLevelType w:val="hybridMultilevel"/>
    <w:tmpl w:val="475A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3"/>
  </w:num>
  <w:num w:numId="4">
    <w:abstractNumId w:val="13"/>
  </w:num>
  <w:num w:numId="5">
    <w:abstractNumId w:val="1"/>
  </w:num>
  <w:num w:numId="6">
    <w:abstractNumId w:val="22"/>
  </w:num>
  <w:num w:numId="7">
    <w:abstractNumId w:val="21"/>
  </w:num>
  <w:num w:numId="8">
    <w:abstractNumId w:val="15"/>
  </w:num>
  <w:num w:numId="9">
    <w:abstractNumId w:val="14"/>
  </w:num>
  <w:num w:numId="10">
    <w:abstractNumId w:val="24"/>
  </w:num>
  <w:num w:numId="11">
    <w:abstractNumId w:val="30"/>
  </w:num>
  <w:num w:numId="12">
    <w:abstractNumId w:val="10"/>
  </w:num>
  <w:num w:numId="13">
    <w:abstractNumId w:val="7"/>
  </w:num>
  <w:num w:numId="14">
    <w:abstractNumId w:val="25"/>
  </w:num>
  <w:num w:numId="15">
    <w:abstractNumId w:val="23"/>
  </w:num>
  <w:num w:numId="16">
    <w:abstractNumId w:val="11"/>
  </w:num>
  <w:num w:numId="17">
    <w:abstractNumId w:val="0"/>
  </w:num>
  <w:num w:numId="18">
    <w:abstractNumId w:val="31"/>
  </w:num>
  <w:num w:numId="19">
    <w:abstractNumId w:val="19"/>
  </w:num>
  <w:num w:numId="20">
    <w:abstractNumId w:val="28"/>
  </w:num>
  <w:num w:numId="21">
    <w:abstractNumId w:val="8"/>
  </w:num>
  <w:num w:numId="22">
    <w:abstractNumId w:val="6"/>
  </w:num>
  <w:num w:numId="23">
    <w:abstractNumId w:val="18"/>
  </w:num>
  <w:num w:numId="24">
    <w:abstractNumId w:val="9"/>
  </w:num>
  <w:num w:numId="25">
    <w:abstractNumId w:val="27"/>
  </w:num>
  <w:num w:numId="26">
    <w:abstractNumId w:val="12"/>
  </w:num>
  <w:num w:numId="27">
    <w:abstractNumId w:val="2"/>
  </w:num>
  <w:num w:numId="28">
    <w:abstractNumId w:val="16"/>
  </w:num>
  <w:num w:numId="29">
    <w:abstractNumId w:val="26"/>
  </w:num>
  <w:num w:numId="30">
    <w:abstractNumId w:val="29"/>
  </w:num>
  <w:num w:numId="31">
    <w:abstractNumId w:val="4"/>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BDC"/>
    <w:rsid w:val="000003F0"/>
    <w:rsid w:val="00001BFE"/>
    <w:rsid w:val="000024E0"/>
    <w:rsid w:val="000025B0"/>
    <w:rsid w:val="00002FC5"/>
    <w:rsid w:val="000031CF"/>
    <w:rsid w:val="00003811"/>
    <w:rsid w:val="00003BEF"/>
    <w:rsid w:val="00003C6E"/>
    <w:rsid w:val="00004D22"/>
    <w:rsid w:val="000056C8"/>
    <w:rsid w:val="000068FD"/>
    <w:rsid w:val="00006B13"/>
    <w:rsid w:val="000148A7"/>
    <w:rsid w:val="0001606B"/>
    <w:rsid w:val="00016E4D"/>
    <w:rsid w:val="00017494"/>
    <w:rsid w:val="00017E36"/>
    <w:rsid w:val="00020C66"/>
    <w:rsid w:val="000229CD"/>
    <w:rsid w:val="00023BC9"/>
    <w:rsid w:val="000250C4"/>
    <w:rsid w:val="00025AD8"/>
    <w:rsid w:val="00026F6A"/>
    <w:rsid w:val="0003017E"/>
    <w:rsid w:val="0003056E"/>
    <w:rsid w:val="0003151F"/>
    <w:rsid w:val="000328AE"/>
    <w:rsid w:val="0003302D"/>
    <w:rsid w:val="000330BF"/>
    <w:rsid w:val="00034379"/>
    <w:rsid w:val="00035214"/>
    <w:rsid w:val="00036B72"/>
    <w:rsid w:val="00036F88"/>
    <w:rsid w:val="000373E0"/>
    <w:rsid w:val="00040248"/>
    <w:rsid w:val="00040843"/>
    <w:rsid w:val="00041A01"/>
    <w:rsid w:val="00042075"/>
    <w:rsid w:val="000425BC"/>
    <w:rsid w:val="00042B80"/>
    <w:rsid w:val="0004500F"/>
    <w:rsid w:val="000459F7"/>
    <w:rsid w:val="00045E20"/>
    <w:rsid w:val="00046728"/>
    <w:rsid w:val="00046F75"/>
    <w:rsid w:val="00047CC7"/>
    <w:rsid w:val="000505C5"/>
    <w:rsid w:val="0005117E"/>
    <w:rsid w:val="00052716"/>
    <w:rsid w:val="00053373"/>
    <w:rsid w:val="00053880"/>
    <w:rsid w:val="00054E93"/>
    <w:rsid w:val="00055A9F"/>
    <w:rsid w:val="00055AAD"/>
    <w:rsid w:val="00056A3A"/>
    <w:rsid w:val="00060D4B"/>
    <w:rsid w:val="000620FD"/>
    <w:rsid w:val="000624ED"/>
    <w:rsid w:val="000638CD"/>
    <w:rsid w:val="00064584"/>
    <w:rsid w:val="00065E62"/>
    <w:rsid w:val="00066F5D"/>
    <w:rsid w:val="0006704A"/>
    <w:rsid w:val="0006734B"/>
    <w:rsid w:val="00067CBD"/>
    <w:rsid w:val="00067DB8"/>
    <w:rsid w:val="0007088F"/>
    <w:rsid w:val="000708F5"/>
    <w:rsid w:val="000717BE"/>
    <w:rsid w:val="00071C5A"/>
    <w:rsid w:val="00071EF9"/>
    <w:rsid w:val="00071FBC"/>
    <w:rsid w:val="00072D8A"/>
    <w:rsid w:val="00072E29"/>
    <w:rsid w:val="00080E65"/>
    <w:rsid w:val="000817D0"/>
    <w:rsid w:val="00081D17"/>
    <w:rsid w:val="00084F8F"/>
    <w:rsid w:val="00085AAE"/>
    <w:rsid w:val="00085F1E"/>
    <w:rsid w:val="00087F34"/>
    <w:rsid w:val="000905F5"/>
    <w:rsid w:val="00090EE2"/>
    <w:rsid w:val="000914C0"/>
    <w:rsid w:val="0009156F"/>
    <w:rsid w:val="00091830"/>
    <w:rsid w:val="00093F26"/>
    <w:rsid w:val="00095BEC"/>
    <w:rsid w:val="00095E02"/>
    <w:rsid w:val="0009608F"/>
    <w:rsid w:val="0009612C"/>
    <w:rsid w:val="00096551"/>
    <w:rsid w:val="00096B98"/>
    <w:rsid w:val="00097266"/>
    <w:rsid w:val="000976AF"/>
    <w:rsid w:val="000A0536"/>
    <w:rsid w:val="000A0C4D"/>
    <w:rsid w:val="000A12F3"/>
    <w:rsid w:val="000A2E45"/>
    <w:rsid w:val="000A3599"/>
    <w:rsid w:val="000A4C3F"/>
    <w:rsid w:val="000A5374"/>
    <w:rsid w:val="000A56C3"/>
    <w:rsid w:val="000A5788"/>
    <w:rsid w:val="000A6F06"/>
    <w:rsid w:val="000A78FC"/>
    <w:rsid w:val="000B0B4B"/>
    <w:rsid w:val="000B0E62"/>
    <w:rsid w:val="000B0F26"/>
    <w:rsid w:val="000B154E"/>
    <w:rsid w:val="000B1954"/>
    <w:rsid w:val="000B1AA1"/>
    <w:rsid w:val="000B220A"/>
    <w:rsid w:val="000B2798"/>
    <w:rsid w:val="000B288C"/>
    <w:rsid w:val="000B3902"/>
    <w:rsid w:val="000B3CAD"/>
    <w:rsid w:val="000B47AF"/>
    <w:rsid w:val="000B56B2"/>
    <w:rsid w:val="000B5979"/>
    <w:rsid w:val="000C115E"/>
    <w:rsid w:val="000C1528"/>
    <w:rsid w:val="000C27AF"/>
    <w:rsid w:val="000C3ECB"/>
    <w:rsid w:val="000C4932"/>
    <w:rsid w:val="000C4B00"/>
    <w:rsid w:val="000C564C"/>
    <w:rsid w:val="000C598D"/>
    <w:rsid w:val="000C5C8A"/>
    <w:rsid w:val="000C5D19"/>
    <w:rsid w:val="000C6F6A"/>
    <w:rsid w:val="000C7CE0"/>
    <w:rsid w:val="000C7DEF"/>
    <w:rsid w:val="000D124E"/>
    <w:rsid w:val="000D1A82"/>
    <w:rsid w:val="000D2729"/>
    <w:rsid w:val="000D6B85"/>
    <w:rsid w:val="000D6FBF"/>
    <w:rsid w:val="000D7158"/>
    <w:rsid w:val="000D7F48"/>
    <w:rsid w:val="000E0403"/>
    <w:rsid w:val="000E0E1A"/>
    <w:rsid w:val="000E25D2"/>
    <w:rsid w:val="000E3FF3"/>
    <w:rsid w:val="000E428C"/>
    <w:rsid w:val="000E43C9"/>
    <w:rsid w:val="000E45EE"/>
    <w:rsid w:val="000E4689"/>
    <w:rsid w:val="000E4789"/>
    <w:rsid w:val="000E53AF"/>
    <w:rsid w:val="000E637F"/>
    <w:rsid w:val="000E7793"/>
    <w:rsid w:val="000F1B04"/>
    <w:rsid w:val="000F291B"/>
    <w:rsid w:val="000F3C7A"/>
    <w:rsid w:val="000F44E8"/>
    <w:rsid w:val="000F6232"/>
    <w:rsid w:val="000F6F39"/>
    <w:rsid w:val="00100F69"/>
    <w:rsid w:val="00100F87"/>
    <w:rsid w:val="0010110B"/>
    <w:rsid w:val="00101428"/>
    <w:rsid w:val="001029CC"/>
    <w:rsid w:val="00102B03"/>
    <w:rsid w:val="00103414"/>
    <w:rsid w:val="00103908"/>
    <w:rsid w:val="00104472"/>
    <w:rsid w:val="0010520D"/>
    <w:rsid w:val="001053CC"/>
    <w:rsid w:val="00106597"/>
    <w:rsid w:val="0010686D"/>
    <w:rsid w:val="00110323"/>
    <w:rsid w:val="0011070C"/>
    <w:rsid w:val="00111529"/>
    <w:rsid w:val="00112FA6"/>
    <w:rsid w:val="00113966"/>
    <w:rsid w:val="00114FEC"/>
    <w:rsid w:val="00115649"/>
    <w:rsid w:val="001178DE"/>
    <w:rsid w:val="00120A47"/>
    <w:rsid w:val="0012114D"/>
    <w:rsid w:val="00121233"/>
    <w:rsid w:val="00121A15"/>
    <w:rsid w:val="00121C3B"/>
    <w:rsid w:val="001225E3"/>
    <w:rsid w:val="00126426"/>
    <w:rsid w:val="00131600"/>
    <w:rsid w:val="00132A58"/>
    <w:rsid w:val="00132F9D"/>
    <w:rsid w:val="00133DE5"/>
    <w:rsid w:val="00134E7B"/>
    <w:rsid w:val="00137031"/>
    <w:rsid w:val="001370D9"/>
    <w:rsid w:val="001401D6"/>
    <w:rsid w:val="00140770"/>
    <w:rsid w:val="001413B0"/>
    <w:rsid w:val="0014184B"/>
    <w:rsid w:val="00141F4E"/>
    <w:rsid w:val="00142B3B"/>
    <w:rsid w:val="00142E35"/>
    <w:rsid w:val="0014538A"/>
    <w:rsid w:val="001454AC"/>
    <w:rsid w:val="001473D9"/>
    <w:rsid w:val="00150B73"/>
    <w:rsid w:val="0015221B"/>
    <w:rsid w:val="00152B20"/>
    <w:rsid w:val="00152D8A"/>
    <w:rsid w:val="00154383"/>
    <w:rsid w:val="00154799"/>
    <w:rsid w:val="00154C38"/>
    <w:rsid w:val="00154DBE"/>
    <w:rsid w:val="00154F04"/>
    <w:rsid w:val="00156B76"/>
    <w:rsid w:val="00160390"/>
    <w:rsid w:val="00160BF7"/>
    <w:rsid w:val="001627EF"/>
    <w:rsid w:val="001648DC"/>
    <w:rsid w:val="00164C4A"/>
    <w:rsid w:val="00164C69"/>
    <w:rsid w:val="00166021"/>
    <w:rsid w:val="001664C1"/>
    <w:rsid w:val="00166796"/>
    <w:rsid w:val="001707A8"/>
    <w:rsid w:val="00170A4A"/>
    <w:rsid w:val="00171178"/>
    <w:rsid w:val="0017142F"/>
    <w:rsid w:val="00171822"/>
    <w:rsid w:val="0017234C"/>
    <w:rsid w:val="00174E4B"/>
    <w:rsid w:val="00175312"/>
    <w:rsid w:val="001759ED"/>
    <w:rsid w:val="0017710B"/>
    <w:rsid w:val="001773C3"/>
    <w:rsid w:val="001773CC"/>
    <w:rsid w:val="00177B60"/>
    <w:rsid w:val="001818A8"/>
    <w:rsid w:val="00182F60"/>
    <w:rsid w:val="00183CBF"/>
    <w:rsid w:val="00184866"/>
    <w:rsid w:val="0018552B"/>
    <w:rsid w:val="00185AC8"/>
    <w:rsid w:val="00186344"/>
    <w:rsid w:val="00187CA0"/>
    <w:rsid w:val="00192A8D"/>
    <w:rsid w:val="00192D74"/>
    <w:rsid w:val="00193806"/>
    <w:rsid w:val="00193B19"/>
    <w:rsid w:val="00194017"/>
    <w:rsid w:val="001941CA"/>
    <w:rsid w:val="00194AD2"/>
    <w:rsid w:val="00194C3C"/>
    <w:rsid w:val="00196AC6"/>
    <w:rsid w:val="0019735F"/>
    <w:rsid w:val="00197D0B"/>
    <w:rsid w:val="001A0625"/>
    <w:rsid w:val="001A26A5"/>
    <w:rsid w:val="001A74F3"/>
    <w:rsid w:val="001A76FF"/>
    <w:rsid w:val="001B05F3"/>
    <w:rsid w:val="001B20D6"/>
    <w:rsid w:val="001B2676"/>
    <w:rsid w:val="001B4513"/>
    <w:rsid w:val="001B599C"/>
    <w:rsid w:val="001B6EFB"/>
    <w:rsid w:val="001C0D60"/>
    <w:rsid w:val="001C1A08"/>
    <w:rsid w:val="001C391C"/>
    <w:rsid w:val="001C3C1A"/>
    <w:rsid w:val="001C4C03"/>
    <w:rsid w:val="001C4FFC"/>
    <w:rsid w:val="001C5A6B"/>
    <w:rsid w:val="001C686A"/>
    <w:rsid w:val="001D0336"/>
    <w:rsid w:val="001D30F4"/>
    <w:rsid w:val="001D3812"/>
    <w:rsid w:val="001D3D93"/>
    <w:rsid w:val="001D3FE7"/>
    <w:rsid w:val="001D4224"/>
    <w:rsid w:val="001D50D2"/>
    <w:rsid w:val="001D55D7"/>
    <w:rsid w:val="001D6E82"/>
    <w:rsid w:val="001D735B"/>
    <w:rsid w:val="001E0B1D"/>
    <w:rsid w:val="001E0CA6"/>
    <w:rsid w:val="001E146D"/>
    <w:rsid w:val="001E2781"/>
    <w:rsid w:val="001E28FE"/>
    <w:rsid w:val="001E3966"/>
    <w:rsid w:val="001E3D6A"/>
    <w:rsid w:val="001E3ED9"/>
    <w:rsid w:val="001E448F"/>
    <w:rsid w:val="001E66DA"/>
    <w:rsid w:val="001F00B5"/>
    <w:rsid w:val="001F0784"/>
    <w:rsid w:val="001F0B2A"/>
    <w:rsid w:val="001F3294"/>
    <w:rsid w:val="001F3360"/>
    <w:rsid w:val="001F4639"/>
    <w:rsid w:val="001F5A33"/>
    <w:rsid w:val="001F6282"/>
    <w:rsid w:val="001F6D5A"/>
    <w:rsid w:val="002010E8"/>
    <w:rsid w:val="00201907"/>
    <w:rsid w:val="00201C72"/>
    <w:rsid w:val="00203943"/>
    <w:rsid w:val="0020561C"/>
    <w:rsid w:val="002057DF"/>
    <w:rsid w:val="00207D9B"/>
    <w:rsid w:val="00210291"/>
    <w:rsid w:val="00212674"/>
    <w:rsid w:val="002133DA"/>
    <w:rsid w:val="002143FB"/>
    <w:rsid w:val="00214A81"/>
    <w:rsid w:val="00215460"/>
    <w:rsid w:val="0021594D"/>
    <w:rsid w:val="00216BF9"/>
    <w:rsid w:val="00217520"/>
    <w:rsid w:val="0022036C"/>
    <w:rsid w:val="0022041F"/>
    <w:rsid w:val="00220463"/>
    <w:rsid w:val="00220C53"/>
    <w:rsid w:val="002211C5"/>
    <w:rsid w:val="00222D40"/>
    <w:rsid w:val="00222E93"/>
    <w:rsid w:val="0022335E"/>
    <w:rsid w:val="002239EB"/>
    <w:rsid w:val="00223F7D"/>
    <w:rsid w:val="00224155"/>
    <w:rsid w:val="00224A1E"/>
    <w:rsid w:val="0022512C"/>
    <w:rsid w:val="002259A0"/>
    <w:rsid w:val="002259A1"/>
    <w:rsid w:val="00226EA3"/>
    <w:rsid w:val="00227C34"/>
    <w:rsid w:val="00227D2D"/>
    <w:rsid w:val="002306F4"/>
    <w:rsid w:val="00232C03"/>
    <w:rsid w:val="00233682"/>
    <w:rsid w:val="00233D13"/>
    <w:rsid w:val="00234C62"/>
    <w:rsid w:val="002353FE"/>
    <w:rsid w:val="0023576C"/>
    <w:rsid w:val="002366EF"/>
    <w:rsid w:val="00236E7A"/>
    <w:rsid w:val="0023721D"/>
    <w:rsid w:val="002401B4"/>
    <w:rsid w:val="00240391"/>
    <w:rsid w:val="002409CC"/>
    <w:rsid w:val="00240B6F"/>
    <w:rsid w:val="00240F25"/>
    <w:rsid w:val="00241009"/>
    <w:rsid w:val="00241CD9"/>
    <w:rsid w:val="00242202"/>
    <w:rsid w:val="002425E0"/>
    <w:rsid w:val="00243A6F"/>
    <w:rsid w:val="0024527A"/>
    <w:rsid w:val="002473F1"/>
    <w:rsid w:val="002516BD"/>
    <w:rsid w:val="00252138"/>
    <w:rsid w:val="002522B3"/>
    <w:rsid w:val="0025297F"/>
    <w:rsid w:val="00255892"/>
    <w:rsid w:val="002564A0"/>
    <w:rsid w:val="00256EE9"/>
    <w:rsid w:val="00261402"/>
    <w:rsid w:val="00261E29"/>
    <w:rsid w:val="002621E9"/>
    <w:rsid w:val="0026270E"/>
    <w:rsid w:val="00264322"/>
    <w:rsid w:val="0026444C"/>
    <w:rsid w:val="002649A7"/>
    <w:rsid w:val="00264A97"/>
    <w:rsid w:val="00265A66"/>
    <w:rsid w:val="0026669C"/>
    <w:rsid w:val="00266ACC"/>
    <w:rsid w:val="00266CB9"/>
    <w:rsid w:val="00267199"/>
    <w:rsid w:val="002679B8"/>
    <w:rsid w:val="00271BC1"/>
    <w:rsid w:val="002731D2"/>
    <w:rsid w:val="002742D7"/>
    <w:rsid w:val="002743E6"/>
    <w:rsid w:val="00275F4A"/>
    <w:rsid w:val="002771F9"/>
    <w:rsid w:val="002779E0"/>
    <w:rsid w:val="00277BE5"/>
    <w:rsid w:val="002807D6"/>
    <w:rsid w:val="002813E2"/>
    <w:rsid w:val="00281644"/>
    <w:rsid w:val="002817B5"/>
    <w:rsid w:val="00281E1B"/>
    <w:rsid w:val="00282948"/>
    <w:rsid w:val="002831F9"/>
    <w:rsid w:val="0028338A"/>
    <w:rsid w:val="00283475"/>
    <w:rsid w:val="00284311"/>
    <w:rsid w:val="002845CC"/>
    <w:rsid w:val="00284EC7"/>
    <w:rsid w:val="00285AD8"/>
    <w:rsid w:val="00286F6C"/>
    <w:rsid w:val="002872CF"/>
    <w:rsid w:val="00290815"/>
    <w:rsid w:val="00290E08"/>
    <w:rsid w:val="00291E5C"/>
    <w:rsid w:val="00292E74"/>
    <w:rsid w:val="002932B3"/>
    <w:rsid w:val="002944E0"/>
    <w:rsid w:val="002953E4"/>
    <w:rsid w:val="00295793"/>
    <w:rsid w:val="00296C0E"/>
    <w:rsid w:val="00296C97"/>
    <w:rsid w:val="00296EBC"/>
    <w:rsid w:val="002970AE"/>
    <w:rsid w:val="00297A4C"/>
    <w:rsid w:val="002A21EB"/>
    <w:rsid w:val="002A30A1"/>
    <w:rsid w:val="002A31BD"/>
    <w:rsid w:val="002A3318"/>
    <w:rsid w:val="002A46A7"/>
    <w:rsid w:val="002A4AD8"/>
    <w:rsid w:val="002A5542"/>
    <w:rsid w:val="002A672E"/>
    <w:rsid w:val="002A67EE"/>
    <w:rsid w:val="002A6FB2"/>
    <w:rsid w:val="002A730E"/>
    <w:rsid w:val="002A789C"/>
    <w:rsid w:val="002A7BC7"/>
    <w:rsid w:val="002B0395"/>
    <w:rsid w:val="002B263A"/>
    <w:rsid w:val="002B28C9"/>
    <w:rsid w:val="002B3547"/>
    <w:rsid w:val="002B39C1"/>
    <w:rsid w:val="002B541D"/>
    <w:rsid w:val="002B6D22"/>
    <w:rsid w:val="002B7256"/>
    <w:rsid w:val="002C0238"/>
    <w:rsid w:val="002C1B16"/>
    <w:rsid w:val="002C2BB8"/>
    <w:rsid w:val="002C3222"/>
    <w:rsid w:val="002C4C20"/>
    <w:rsid w:val="002C5151"/>
    <w:rsid w:val="002C5215"/>
    <w:rsid w:val="002C55B2"/>
    <w:rsid w:val="002C62A8"/>
    <w:rsid w:val="002C6FC6"/>
    <w:rsid w:val="002C75EB"/>
    <w:rsid w:val="002C7D9A"/>
    <w:rsid w:val="002C7DFA"/>
    <w:rsid w:val="002D3503"/>
    <w:rsid w:val="002D3A4F"/>
    <w:rsid w:val="002D5C9B"/>
    <w:rsid w:val="002D7933"/>
    <w:rsid w:val="002D7B9A"/>
    <w:rsid w:val="002D7DC9"/>
    <w:rsid w:val="002E0014"/>
    <w:rsid w:val="002E0604"/>
    <w:rsid w:val="002E1085"/>
    <w:rsid w:val="002E1AEC"/>
    <w:rsid w:val="002E1B35"/>
    <w:rsid w:val="002E2263"/>
    <w:rsid w:val="002E22A4"/>
    <w:rsid w:val="002E248A"/>
    <w:rsid w:val="002E2CC8"/>
    <w:rsid w:val="002E2F96"/>
    <w:rsid w:val="002E6EBD"/>
    <w:rsid w:val="002F043D"/>
    <w:rsid w:val="002F0EBB"/>
    <w:rsid w:val="002F1CAD"/>
    <w:rsid w:val="002F2BCD"/>
    <w:rsid w:val="002F2DF9"/>
    <w:rsid w:val="002F44E0"/>
    <w:rsid w:val="002F524C"/>
    <w:rsid w:val="002F5567"/>
    <w:rsid w:val="002F6000"/>
    <w:rsid w:val="002F66A0"/>
    <w:rsid w:val="002F7B06"/>
    <w:rsid w:val="003002CB"/>
    <w:rsid w:val="00300769"/>
    <w:rsid w:val="00300CA9"/>
    <w:rsid w:val="00301293"/>
    <w:rsid w:val="003012F2"/>
    <w:rsid w:val="0030286C"/>
    <w:rsid w:val="003034D6"/>
    <w:rsid w:val="0030352C"/>
    <w:rsid w:val="003038AA"/>
    <w:rsid w:val="0030413D"/>
    <w:rsid w:val="00304706"/>
    <w:rsid w:val="00304AA6"/>
    <w:rsid w:val="00304BA7"/>
    <w:rsid w:val="00304F1F"/>
    <w:rsid w:val="003075D9"/>
    <w:rsid w:val="00310357"/>
    <w:rsid w:val="00310864"/>
    <w:rsid w:val="003109B9"/>
    <w:rsid w:val="003115FB"/>
    <w:rsid w:val="0031283A"/>
    <w:rsid w:val="00312B95"/>
    <w:rsid w:val="00313550"/>
    <w:rsid w:val="00313654"/>
    <w:rsid w:val="00314515"/>
    <w:rsid w:val="003147D0"/>
    <w:rsid w:val="00314D72"/>
    <w:rsid w:val="00315CB0"/>
    <w:rsid w:val="00315E67"/>
    <w:rsid w:val="003168E2"/>
    <w:rsid w:val="00316CE9"/>
    <w:rsid w:val="00317367"/>
    <w:rsid w:val="00320221"/>
    <w:rsid w:val="0032062F"/>
    <w:rsid w:val="0032192F"/>
    <w:rsid w:val="0032249A"/>
    <w:rsid w:val="00322533"/>
    <w:rsid w:val="003236AE"/>
    <w:rsid w:val="00323F33"/>
    <w:rsid w:val="00324F88"/>
    <w:rsid w:val="00325618"/>
    <w:rsid w:val="00325785"/>
    <w:rsid w:val="0032634E"/>
    <w:rsid w:val="003264D3"/>
    <w:rsid w:val="00327D08"/>
    <w:rsid w:val="0033103A"/>
    <w:rsid w:val="00331709"/>
    <w:rsid w:val="00331A19"/>
    <w:rsid w:val="003333C9"/>
    <w:rsid w:val="00333AE9"/>
    <w:rsid w:val="00333C24"/>
    <w:rsid w:val="00334C38"/>
    <w:rsid w:val="00335250"/>
    <w:rsid w:val="00337206"/>
    <w:rsid w:val="00337217"/>
    <w:rsid w:val="00340E55"/>
    <w:rsid w:val="0034330E"/>
    <w:rsid w:val="00344525"/>
    <w:rsid w:val="003454F4"/>
    <w:rsid w:val="00345DB4"/>
    <w:rsid w:val="003467BA"/>
    <w:rsid w:val="003472D6"/>
    <w:rsid w:val="00347DF4"/>
    <w:rsid w:val="00350AEE"/>
    <w:rsid w:val="00351569"/>
    <w:rsid w:val="003531C3"/>
    <w:rsid w:val="00353877"/>
    <w:rsid w:val="00354899"/>
    <w:rsid w:val="00355627"/>
    <w:rsid w:val="00355769"/>
    <w:rsid w:val="00355CDB"/>
    <w:rsid w:val="003562FB"/>
    <w:rsid w:val="003568C9"/>
    <w:rsid w:val="00357A49"/>
    <w:rsid w:val="003608A5"/>
    <w:rsid w:val="00361125"/>
    <w:rsid w:val="003631E4"/>
    <w:rsid w:val="00363490"/>
    <w:rsid w:val="00363C7F"/>
    <w:rsid w:val="00365108"/>
    <w:rsid w:val="00367A10"/>
    <w:rsid w:val="003702F7"/>
    <w:rsid w:val="0037156D"/>
    <w:rsid w:val="0037294B"/>
    <w:rsid w:val="00373B67"/>
    <w:rsid w:val="0037522F"/>
    <w:rsid w:val="00375259"/>
    <w:rsid w:val="00375CDE"/>
    <w:rsid w:val="0037790B"/>
    <w:rsid w:val="0038205C"/>
    <w:rsid w:val="00384370"/>
    <w:rsid w:val="00386E09"/>
    <w:rsid w:val="0038773B"/>
    <w:rsid w:val="00390319"/>
    <w:rsid w:val="003907D9"/>
    <w:rsid w:val="00390A90"/>
    <w:rsid w:val="00392A48"/>
    <w:rsid w:val="00392DDB"/>
    <w:rsid w:val="00394C84"/>
    <w:rsid w:val="00396530"/>
    <w:rsid w:val="0039661A"/>
    <w:rsid w:val="00396650"/>
    <w:rsid w:val="0039692D"/>
    <w:rsid w:val="00396E57"/>
    <w:rsid w:val="0039737C"/>
    <w:rsid w:val="003A0A43"/>
    <w:rsid w:val="003A0CDE"/>
    <w:rsid w:val="003A120F"/>
    <w:rsid w:val="003A35CE"/>
    <w:rsid w:val="003A3E16"/>
    <w:rsid w:val="003A3F67"/>
    <w:rsid w:val="003A6094"/>
    <w:rsid w:val="003A61B1"/>
    <w:rsid w:val="003A7862"/>
    <w:rsid w:val="003B091F"/>
    <w:rsid w:val="003B14B7"/>
    <w:rsid w:val="003B1FD2"/>
    <w:rsid w:val="003B2113"/>
    <w:rsid w:val="003B217C"/>
    <w:rsid w:val="003B22FE"/>
    <w:rsid w:val="003B307D"/>
    <w:rsid w:val="003B350C"/>
    <w:rsid w:val="003B401A"/>
    <w:rsid w:val="003B419B"/>
    <w:rsid w:val="003B4FF8"/>
    <w:rsid w:val="003B5280"/>
    <w:rsid w:val="003B5A1C"/>
    <w:rsid w:val="003C0969"/>
    <w:rsid w:val="003C0D92"/>
    <w:rsid w:val="003C11E9"/>
    <w:rsid w:val="003C25BF"/>
    <w:rsid w:val="003C3075"/>
    <w:rsid w:val="003C3234"/>
    <w:rsid w:val="003C44EE"/>
    <w:rsid w:val="003C4F11"/>
    <w:rsid w:val="003C535D"/>
    <w:rsid w:val="003D0777"/>
    <w:rsid w:val="003D0D5E"/>
    <w:rsid w:val="003D2227"/>
    <w:rsid w:val="003D2C66"/>
    <w:rsid w:val="003D323D"/>
    <w:rsid w:val="003D53DE"/>
    <w:rsid w:val="003D570A"/>
    <w:rsid w:val="003E09FC"/>
    <w:rsid w:val="003E14BE"/>
    <w:rsid w:val="003E14D0"/>
    <w:rsid w:val="003E1B1C"/>
    <w:rsid w:val="003E206F"/>
    <w:rsid w:val="003E4023"/>
    <w:rsid w:val="003E4631"/>
    <w:rsid w:val="003E4801"/>
    <w:rsid w:val="003E4C99"/>
    <w:rsid w:val="003E6758"/>
    <w:rsid w:val="003E765E"/>
    <w:rsid w:val="003E79C0"/>
    <w:rsid w:val="003E7B69"/>
    <w:rsid w:val="003F114A"/>
    <w:rsid w:val="003F22BB"/>
    <w:rsid w:val="003F2A16"/>
    <w:rsid w:val="003F2A73"/>
    <w:rsid w:val="003F32EC"/>
    <w:rsid w:val="003F3575"/>
    <w:rsid w:val="003F3C49"/>
    <w:rsid w:val="003F4180"/>
    <w:rsid w:val="003F4692"/>
    <w:rsid w:val="003F4E65"/>
    <w:rsid w:val="003F6D0E"/>
    <w:rsid w:val="00400A1E"/>
    <w:rsid w:val="00401452"/>
    <w:rsid w:val="004021C3"/>
    <w:rsid w:val="004025C0"/>
    <w:rsid w:val="00403333"/>
    <w:rsid w:val="00406C7B"/>
    <w:rsid w:val="00411CD6"/>
    <w:rsid w:val="0041202E"/>
    <w:rsid w:val="00412482"/>
    <w:rsid w:val="004132B9"/>
    <w:rsid w:val="00414669"/>
    <w:rsid w:val="004149ED"/>
    <w:rsid w:val="00416272"/>
    <w:rsid w:val="00416EF6"/>
    <w:rsid w:val="00420E23"/>
    <w:rsid w:val="00420E9C"/>
    <w:rsid w:val="004216B4"/>
    <w:rsid w:val="004218CE"/>
    <w:rsid w:val="004222EC"/>
    <w:rsid w:val="00423131"/>
    <w:rsid w:val="00423D39"/>
    <w:rsid w:val="00423DF2"/>
    <w:rsid w:val="004242D2"/>
    <w:rsid w:val="00425666"/>
    <w:rsid w:val="00425831"/>
    <w:rsid w:val="004262A2"/>
    <w:rsid w:val="00426838"/>
    <w:rsid w:val="00426D67"/>
    <w:rsid w:val="00427185"/>
    <w:rsid w:val="004301AF"/>
    <w:rsid w:val="0043179A"/>
    <w:rsid w:val="004317AE"/>
    <w:rsid w:val="004329A6"/>
    <w:rsid w:val="00433622"/>
    <w:rsid w:val="00433B6E"/>
    <w:rsid w:val="0043729B"/>
    <w:rsid w:val="004372CB"/>
    <w:rsid w:val="0043759D"/>
    <w:rsid w:val="0044018B"/>
    <w:rsid w:val="00440522"/>
    <w:rsid w:val="00441BE3"/>
    <w:rsid w:val="004427F0"/>
    <w:rsid w:val="00442802"/>
    <w:rsid w:val="00442BEE"/>
    <w:rsid w:val="00443B88"/>
    <w:rsid w:val="00443EED"/>
    <w:rsid w:val="0044403C"/>
    <w:rsid w:val="00446D4E"/>
    <w:rsid w:val="00447312"/>
    <w:rsid w:val="0044768B"/>
    <w:rsid w:val="00450AD2"/>
    <w:rsid w:val="00451CCE"/>
    <w:rsid w:val="0045400A"/>
    <w:rsid w:val="004540CD"/>
    <w:rsid w:val="00454770"/>
    <w:rsid w:val="00454E9B"/>
    <w:rsid w:val="00455F58"/>
    <w:rsid w:val="00456324"/>
    <w:rsid w:val="00456FC2"/>
    <w:rsid w:val="0045762E"/>
    <w:rsid w:val="004577DB"/>
    <w:rsid w:val="004577FF"/>
    <w:rsid w:val="004606CC"/>
    <w:rsid w:val="00460E02"/>
    <w:rsid w:val="0046156D"/>
    <w:rsid w:val="00461632"/>
    <w:rsid w:val="0046165B"/>
    <w:rsid w:val="00463AC3"/>
    <w:rsid w:val="00463E55"/>
    <w:rsid w:val="0046436B"/>
    <w:rsid w:val="004648F3"/>
    <w:rsid w:val="004661AA"/>
    <w:rsid w:val="0046673F"/>
    <w:rsid w:val="004679F0"/>
    <w:rsid w:val="00467DA7"/>
    <w:rsid w:val="00467DCA"/>
    <w:rsid w:val="00471554"/>
    <w:rsid w:val="00472C22"/>
    <w:rsid w:val="00472E70"/>
    <w:rsid w:val="004735EF"/>
    <w:rsid w:val="004801A7"/>
    <w:rsid w:val="00480CA7"/>
    <w:rsid w:val="0048278C"/>
    <w:rsid w:val="00482948"/>
    <w:rsid w:val="00483934"/>
    <w:rsid w:val="00485C16"/>
    <w:rsid w:val="00485E8E"/>
    <w:rsid w:val="00487139"/>
    <w:rsid w:val="004874CE"/>
    <w:rsid w:val="0049123F"/>
    <w:rsid w:val="00492001"/>
    <w:rsid w:val="00492488"/>
    <w:rsid w:val="00492AA6"/>
    <w:rsid w:val="00495CA2"/>
    <w:rsid w:val="0049613C"/>
    <w:rsid w:val="00496BED"/>
    <w:rsid w:val="004A054B"/>
    <w:rsid w:val="004A0C56"/>
    <w:rsid w:val="004A0E6C"/>
    <w:rsid w:val="004A1CDE"/>
    <w:rsid w:val="004A4684"/>
    <w:rsid w:val="004A494A"/>
    <w:rsid w:val="004A4DAE"/>
    <w:rsid w:val="004A5800"/>
    <w:rsid w:val="004A58CF"/>
    <w:rsid w:val="004A5DFE"/>
    <w:rsid w:val="004A5E66"/>
    <w:rsid w:val="004A7240"/>
    <w:rsid w:val="004A74D2"/>
    <w:rsid w:val="004B23CF"/>
    <w:rsid w:val="004B4328"/>
    <w:rsid w:val="004B510C"/>
    <w:rsid w:val="004B69A0"/>
    <w:rsid w:val="004B7FA6"/>
    <w:rsid w:val="004C17E5"/>
    <w:rsid w:val="004C4231"/>
    <w:rsid w:val="004C4420"/>
    <w:rsid w:val="004C448F"/>
    <w:rsid w:val="004C4C64"/>
    <w:rsid w:val="004C53F4"/>
    <w:rsid w:val="004C555B"/>
    <w:rsid w:val="004C5850"/>
    <w:rsid w:val="004C66F9"/>
    <w:rsid w:val="004C6AF6"/>
    <w:rsid w:val="004C782B"/>
    <w:rsid w:val="004C7E15"/>
    <w:rsid w:val="004D1A6F"/>
    <w:rsid w:val="004D1EB6"/>
    <w:rsid w:val="004D2AB7"/>
    <w:rsid w:val="004D4A71"/>
    <w:rsid w:val="004D4B1F"/>
    <w:rsid w:val="004D4BC3"/>
    <w:rsid w:val="004D57E4"/>
    <w:rsid w:val="004D5937"/>
    <w:rsid w:val="004D5A08"/>
    <w:rsid w:val="004D7D54"/>
    <w:rsid w:val="004E186A"/>
    <w:rsid w:val="004E2B08"/>
    <w:rsid w:val="004E33CA"/>
    <w:rsid w:val="004E4CF4"/>
    <w:rsid w:val="004E5640"/>
    <w:rsid w:val="004E7EC7"/>
    <w:rsid w:val="004F1A73"/>
    <w:rsid w:val="004F4695"/>
    <w:rsid w:val="004F4A1A"/>
    <w:rsid w:val="00500DDE"/>
    <w:rsid w:val="00501161"/>
    <w:rsid w:val="00503EDF"/>
    <w:rsid w:val="0050593C"/>
    <w:rsid w:val="005071FD"/>
    <w:rsid w:val="00507605"/>
    <w:rsid w:val="005079C1"/>
    <w:rsid w:val="0051152E"/>
    <w:rsid w:val="005120FA"/>
    <w:rsid w:val="0051509A"/>
    <w:rsid w:val="00515EDF"/>
    <w:rsid w:val="005162CB"/>
    <w:rsid w:val="00517A1B"/>
    <w:rsid w:val="00521990"/>
    <w:rsid w:val="0052314D"/>
    <w:rsid w:val="00523505"/>
    <w:rsid w:val="00523E10"/>
    <w:rsid w:val="005240C0"/>
    <w:rsid w:val="005240F7"/>
    <w:rsid w:val="00525C01"/>
    <w:rsid w:val="00526743"/>
    <w:rsid w:val="0052684A"/>
    <w:rsid w:val="00526AF3"/>
    <w:rsid w:val="00526D6B"/>
    <w:rsid w:val="00527A04"/>
    <w:rsid w:val="00532608"/>
    <w:rsid w:val="005341AC"/>
    <w:rsid w:val="00535281"/>
    <w:rsid w:val="00537419"/>
    <w:rsid w:val="005377AC"/>
    <w:rsid w:val="005411F7"/>
    <w:rsid w:val="00541BBE"/>
    <w:rsid w:val="005428F1"/>
    <w:rsid w:val="005431C0"/>
    <w:rsid w:val="005432B0"/>
    <w:rsid w:val="00545401"/>
    <w:rsid w:val="0054574D"/>
    <w:rsid w:val="00545ADE"/>
    <w:rsid w:val="00546F88"/>
    <w:rsid w:val="00547DB2"/>
    <w:rsid w:val="005500BE"/>
    <w:rsid w:val="005502A1"/>
    <w:rsid w:val="00550AF1"/>
    <w:rsid w:val="00551F0E"/>
    <w:rsid w:val="00551F68"/>
    <w:rsid w:val="00552572"/>
    <w:rsid w:val="00554879"/>
    <w:rsid w:val="00554999"/>
    <w:rsid w:val="00555F99"/>
    <w:rsid w:val="005562D0"/>
    <w:rsid w:val="00556371"/>
    <w:rsid w:val="00556EFF"/>
    <w:rsid w:val="005571AD"/>
    <w:rsid w:val="00557597"/>
    <w:rsid w:val="00557B82"/>
    <w:rsid w:val="0056175B"/>
    <w:rsid w:val="0056214D"/>
    <w:rsid w:val="005628E4"/>
    <w:rsid w:val="00563DD2"/>
    <w:rsid w:val="00564991"/>
    <w:rsid w:val="00564BD7"/>
    <w:rsid w:val="00564C1C"/>
    <w:rsid w:val="005671C5"/>
    <w:rsid w:val="00567FBB"/>
    <w:rsid w:val="005719BE"/>
    <w:rsid w:val="00571D8E"/>
    <w:rsid w:val="005730DA"/>
    <w:rsid w:val="00573D9B"/>
    <w:rsid w:val="00574882"/>
    <w:rsid w:val="0057498C"/>
    <w:rsid w:val="00574EE1"/>
    <w:rsid w:val="005754C2"/>
    <w:rsid w:val="0057580E"/>
    <w:rsid w:val="00575DE9"/>
    <w:rsid w:val="005765D5"/>
    <w:rsid w:val="00577C22"/>
    <w:rsid w:val="0058099C"/>
    <w:rsid w:val="00580E07"/>
    <w:rsid w:val="00582A5C"/>
    <w:rsid w:val="005834A6"/>
    <w:rsid w:val="005841FB"/>
    <w:rsid w:val="005844D2"/>
    <w:rsid w:val="00590DD4"/>
    <w:rsid w:val="005910E6"/>
    <w:rsid w:val="00591B44"/>
    <w:rsid w:val="00593027"/>
    <w:rsid w:val="005951F3"/>
    <w:rsid w:val="00597D50"/>
    <w:rsid w:val="005A04F6"/>
    <w:rsid w:val="005A07AB"/>
    <w:rsid w:val="005A0AE6"/>
    <w:rsid w:val="005A147D"/>
    <w:rsid w:val="005A151D"/>
    <w:rsid w:val="005A1F00"/>
    <w:rsid w:val="005A264B"/>
    <w:rsid w:val="005A4692"/>
    <w:rsid w:val="005A49EB"/>
    <w:rsid w:val="005A4B7B"/>
    <w:rsid w:val="005A4F07"/>
    <w:rsid w:val="005A5D23"/>
    <w:rsid w:val="005A68B4"/>
    <w:rsid w:val="005A6D0D"/>
    <w:rsid w:val="005A751E"/>
    <w:rsid w:val="005B27E4"/>
    <w:rsid w:val="005B2BF9"/>
    <w:rsid w:val="005B2CF4"/>
    <w:rsid w:val="005B3931"/>
    <w:rsid w:val="005B47BA"/>
    <w:rsid w:val="005B5096"/>
    <w:rsid w:val="005B5923"/>
    <w:rsid w:val="005B77B1"/>
    <w:rsid w:val="005B79D3"/>
    <w:rsid w:val="005B7DD9"/>
    <w:rsid w:val="005C0548"/>
    <w:rsid w:val="005C0CB5"/>
    <w:rsid w:val="005C1778"/>
    <w:rsid w:val="005C2227"/>
    <w:rsid w:val="005C29BD"/>
    <w:rsid w:val="005C2C13"/>
    <w:rsid w:val="005C2D92"/>
    <w:rsid w:val="005C3BE0"/>
    <w:rsid w:val="005C718B"/>
    <w:rsid w:val="005C75EF"/>
    <w:rsid w:val="005C7724"/>
    <w:rsid w:val="005D12A4"/>
    <w:rsid w:val="005D1520"/>
    <w:rsid w:val="005D15CD"/>
    <w:rsid w:val="005D18A4"/>
    <w:rsid w:val="005D2355"/>
    <w:rsid w:val="005D29D4"/>
    <w:rsid w:val="005D2AA1"/>
    <w:rsid w:val="005D75D7"/>
    <w:rsid w:val="005E0256"/>
    <w:rsid w:val="005E2D84"/>
    <w:rsid w:val="005E417A"/>
    <w:rsid w:val="005E48C0"/>
    <w:rsid w:val="005E635A"/>
    <w:rsid w:val="005E6802"/>
    <w:rsid w:val="005E7258"/>
    <w:rsid w:val="005E77F0"/>
    <w:rsid w:val="005E7A46"/>
    <w:rsid w:val="005F1495"/>
    <w:rsid w:val="005F2664"/>
    <w:rsid w:val="005F2A50"/>
    <w:rsid w:val="005F2ADB"/>
    <w:rsid w:val="005F3A72"/>
    <w:rsid w:val="005F61F7"/>
    <w:rsid w:val="005F7D46"/>
    <w:rsid w:val="00600302"/>
    <w:rsid w:val="00601713"/>
    <w:rsid w:val="0060415F"/>
    <w:rsid w:val="006043D7"/>
    <w:rsid w:val="00604F56"/>
    <w:rsid w:val="00605742"/>
    <w:rsid w:val="00606112"/>
    <w:rsid w:val="0060664F"/>
    <w:rsid w:val="00606EDD"/>
    <w:rsid w:val="00610217"/>
    <w:rsid w:val="006108A3"/>
    <w:rsid w:val="00610AD0"/>
    <w:rsid w:val="0061195E"/>
    <w:rsid w:val="00612ED7"/>
    <w:rsid w:val="00612EEB"/>
    <w:rsid w:val="00613692"/>
    <w:rsid w:val="00616881"/>
    <w:rsid w:val="006179C3"/>
    <w:rsid w:val="00620030"/>
    <w:rsid w:val="006204BF"/>
    <w:rsid w:val="0062068F"/>
    <w:rsid w:val="00621FD7"/>
    <w:rsid w:val="006220CF"/>
    <w:rsid w:val="006221A5"/>
    <w:rsid w:val="00625A5B"/>
    <w:rsid w:val="00626137"/>
    <w:rsid w:val="00630013"/>
    <w:rsid w:val="006306D4"/>
    <w:rsid w:val="006308C3"/>
    <w:rsid w:val="00630918"/>
    <w:rsid w:val="00630E10"/>
    <w:rsid w:val="00631EBA"/>
    <w:rsid w:val="00633945"/>
    <w:rsid w:val="00633CEF"/>
    <w:rsid w:val="00634D45"/>
    <w:rsid w:val="006358D5"/>
    <w:rsid w:val="006358E7"/>
    <w:rsid w:val="00636F3A"/>
    <w:rsid w:val="00641B83"/>
    <w:rsid w:val="00641C01"/>
    <w:rsid w:val="00642FC8"/>
    <w:rsid w:val="0064361B"/>
    <w:rsid w:val="00643D02"/>
    <w:rsid w:val="006454DE"/>
    <w:rsid w:val="006479EB"/>
    <w:rsid w:val="0065221B"/>
    <w:rsid w:val="006522CB"/>
    <w:rsid w:val="00652B72"/>
    <w:rsid w:val="00653545"/>
    <w:rsid w:val="00653A27"/>
    <w:rsid w:val="00655C28"/>
    <w:rsid w:val="00656336"/>
    <w:rsid w:val="006566C5"/>
    <w:rsid w:val="006570CB"/>
    <w:rsid w:val="00657830"/>
    <w:rsid w:val="00660CB7"/>
    <w:rsid w:val="0066119F"/>
    <w:rsid w:val="00661BCB"/>
    <w:rsid w:val="00662B04"/>
    <w:rsid w:val="00663225"/>
    <w:rsid w:val="006632E5"/>
    <w:rsid w:val="0066698D"/>
    <w:rsid w:val="006674CC"/>
    <w:rsid w:val="0066777B"/>
    <w:rsid w:val="0067176C"/>
    <w:rsid w:val="00671876"/>
    <w:rsid w:val="00672461"/>
    <w:rsid w:val="0067397F"/>
    <w:rsid w:val="00674F08"/>
    <w:rsid w:val="00674F5F"/>
    <w:rsid w:val="00675201"/>
    <w:rsid w:val="00675929"/>
    <w:rsid w:val="006761D7"/>
    <w:rsid w:val="00676FC3"/>
    <w:rsid w:val="00677553"/>
    <w:rsid w:val="006778D7"/>
    <w:rsid w:val="00680CA2"/>
    <w:rsid w:val="006819C2"/>
    <w:rsid w:val="00683532"/>
    <w:rsid w:val="00683ADC"/>
    <w:rsid w:val="006842BF"/>
    <w:rsid w:val="006856E1"/>
    <w:rsid w:val="0068640E"/>
    <w:rsid w:val="006864C3"/>
    <w:rsid w:val="00686C05"/>
    <w:rsid w:val="00686C24"/>
    <w:rsid w:val="00686FF0"/>
    <w:rsid w:val="006873B8"/>
    <w:rsid w:val="00687528"/>
    <w:rsid w:val="006875D5"/>
    <w:rsid w:val="00687F9B"/>
    <w:rsid w:val="00690F7D"/>
    <w:rsid w:val="0069266D"/>
    <w:rsid w:val="006927C5"/>
    <w:rsid w:val="00694902"/>
    <w:rsid w:val="006A0527"/>
    <w:rsid w:val="006A1927"/>
    <w:rsid w:val="006A3795"/>
    <w:rsid w:val="006A3EFA"/>
    <w:rsid w:val="006A4C58"/>
    <w:rsid w:val="006A4C62"/>
    <w:rsid w:val="006A6AD8"/>
    <w:rsid w:val="006A7C0A"/>
    <w:rsid w:val="006B0434"/>
    <w:rsid w:val="006B0780"/>
    <w:rsid w:val="006B0F7D"/>
    <w:rsid w:val="006B26B2"/>
    <w:rsid w:val="006B485A"/>
    <w:rsid w:val="006B4AF0"/>
    <w:rsid w:val="006B57FF"/>
    <w:rsid w:val="006B5889"/>
    <w:rsid w:val="006B5BB3"/>
    <w:rsid w:val="006B66A6"/>
    <w:rsid w:val="006B6A9B"/>
    <w:rsid w:val="006B720C"/>
    <w:rsid w:val="006C0826"/>
    <w:rsid w:val="006C0D82"/>
    <w:rsid w:val="006C1899"/>
    <w:rsid w:val="006C213F"/>
    <w:rsid w:val="006C2F19"/>
    <w:rsid w:val="006C331B"/>
    <w:rsid w:val="006C3914"/>
    <w:rsid w:val="006C3ACD"/>
    <w:rsid w:val="006C7DB6"/>
    <w:rsid w:val="006D08D1"/>
    <w:rsid w:val="006D1BDF"/>
    <w:rsid w:val="006D4238"/>
    <w:rsid w:val="006D4731"/>
    <w:rsid w:val="006D5421"/>
    <w:rsid w:val="006D6348"/>
    <w:rsid w:val="006D691F"/>
    <w:rsid w:val="006D703F"/>
    <w:rsid w:val="006E09BC"/>
    <w:rsid w:val="006E1279"/>
    <w:rsid w:val="006E2393"/>
    <w:rsid w:val="006E38D7"/>
    <w:rsid w:val="006E3CA4"/>
    <w:rsid w:val="006E51EB"/>
    <w:rsid w:val="006E5863"/>
    <w:rsid w:val="006E595B"/>
    <w:rsid w:val="006E5A73"/>
    <w:rsid w:val="006E5E0F"/>
    <w:rsid w:val="006E7A6D"/>
    <w:rsid w:val="006F002B"/>
    <w:rsid w:val="006F1B97"/>
    <w:rsid w:val="006F24A9"/>
    <w:rsid w:val="006F36F3"/>
    <w:rsid w:val="006F4DE2"/>
    <w:rsid w:val="006F5C42"/>
    <w:rsid w:val="006F5D4D"/>
    <w:rsid w:val="006F5FEA"/>
    <w:rsid w:val="006F6173"/>
    <w:rsid w:val="006F6FBA"/>
    <w:rsid w:val="00700000"/>
    <w:rsid w:val="00700967"/>
    <w:rsid w:val="00702074"/>
    <w:rsid w:val="0070217B"/>
    <w:rsid w:val="00702DAC"/>
    <w:rsid w:val="00703184"/>
    <w:rsid w:val="007043DF"/>
    <w:rsid w:val="00704C90"/>
    <w:rsid w:val="00705C99"/>
    <w:rsid w:val="00705F96"/>
    <w:rsid w:val="00706511"/>
    <w:rsid w:val="00706EFB"/>
    <w:rsid w:val="00707153"/>
    <w:rsid w:val="00707B47"/>
    <w:rsid w:val="00707E65"/>
    <w:rsid w:val="007102E5"/>
    <w:rsid w:val="0071084E"/>
    <w:rsid w:val="0071193F"/>
    <w:rsid w:val="00713478"/>
    <w:rsid w:val="0071390E"/>
    <w:rsid w:val="00714A78"/>
    <w:rsid w:val="007151D4"/>
    <w:rsid w:val="0071537A"/>
    <w:rsid w:val="00716965"/>
    <w:rsid w:val="00720018"/>
    <w:rsid w:val="00721357"/>
    <w:rsid w:val="00722576"/>
    <w:rsid w:val="00723CB3"/>
    <w:rsid w:val="00724328"/>
    <w:rsid w:val="0072434A"/>
    <w:rsid w:val="007254C8"/>
    <w:rsid w:val="00727CD9"/>
    <w:rsid w:val="00727EC4"/>
    <w:rsid w:val="00730FAA"/>
    <w:rsid w:val="00732177"/>
    <w:rsid w:val="007327E0"/>
    <w:rsid w:val="00733D6F"/>
    <w:rsid w:val="0073425B"/>
    <w:rsid w:val="0073555D"/>
    <w:rsid w:val="00735562"/>
    <w:rsid w:val="007356FA"/>
    <w:rsid w:val="00735EB3"/>
    <w:rsid w:val="0073674D"/>
    <w:rsid w:val="007372E8"/>
    <w:rsid w:val="007373E1"/>
    <w:rsid w:val="00737467"/>
    <w:rsid w:val="00737C5C"/>
    <w:rsid w:val="00740A2F"/>
    <w:rsid w:val="00741218"/>
    <w:rsid w:val="0074151D"/>
    <w:rsid w:val="007424EE"/>
    <w:rsid w:val="00744211"/>
    <w:rsid w:val="007444B1"/>
    <w:rsid w:val="00744840"/>
    <w:rsid w:val="007458BF"/>
    <w:rsid w:val="00746029"/>
    <w:rsid w:val="007462E7"/>
    <w:rsid w:val="00746B17"/>
    <w:rsid w:val="00746FBC"/>
    <w:rsid w:val="00747434"/>
    <w:rsid w:val="007479A1"/>
    <w:rsid w:val="00747F5E"/>
    <w:rsid w:val="00750D8C"/>
    <w:rsid w:val="007516E4"/>
    <w:rsid w:val="00751A87"/>
    <w:rsid w:val="00752EEE"/>
    <w:rsid w:val="00753671"/>
    <w:rsid w:val="0075393D"/>
    <w:rsid w:val="00753F6C"/>
    <w:rsid w:val="00754A05"/>
    <w:rsid w:val="00756EF5"/>
    <w:rsid w:val="00761B5F"/>
    <w:rsid w:val="00761DEB"/>
    <w:rsid w:val="00762115"/>
    <w:rsid w:val="007621FB"/>
    <w:rsid w:val="00762D21"/>
    <w:rsid w:val="00763136"/>
    <w:rsid w:val="00764020"/>
    <w:rsid w:val="00766A7C"/>
    <w:rsid w:val="00767306"/>
    <w:rsid w:val="00767709"/>
    <w:rsid w:val="00770003"/>
    <w:rsid w:val="007702F2"/>
    <w:rsid w:val="0077034D"/>
    <w:rsid w:val="007707FF"/>
    <w:rsid w:val="007708F8"/>
    <w:rsid w:val="007711D7"/>
    <w:rsid w:val="00771A42"/>
    <w:rsid w:val="00771FCA"/>
    <w:rsid w:val="0077239D"/>
    <w:rsid w:val="00772F97"/>
    <w:rsid w:val="00773A16"/>
    <w:rsid w:val="0077427F"/>
    <w:rsid w:val="007749BB"/>
    <w:rsid w:val="007753AA"/>
    <w:rsid w:val="007755FD"/>
    <w:rsid w:val="00776A45"/>
    <w:rsid w:val="00777968"/>
    <w:rsid w:val="00780F84"/>
    <w:rsid w:val="007816C1"/>
    <w:rsid w:val="0078566F"/>
    <w:rsid w:val="00785977"/>
    <w:rsid w:val="007864C8"/>
    <w:rsid w:val="00787619"/>
    <w:rsid w:val="00787AB9"/>
    <w:rsid w:val="0079046B"/>
    <w:rsid w:val="00791BA8"/>
    <w:rsid w:val="007922D6"/>
    <w:rsid w:val="0079419F"/>
    <w:rsid w:val="00795AB0"/>
    <w:rsid w:val="00796D7A"/>
    <w:rsid w:val="0079706C"/>
    <w:rsid w:val="007977B3"/>
    <w:rsid w:val="007A02CC"/>
    <w:rsid w:val="007A0334"/>
    <w:rsid w:val="007A1AE3"/>
    <w:rsid w:val="007A56D1"/>
    <w:rsid w:val="007A5A33"/>
    <w:rsid w:val="007A5BD4"/>
    <w:rsid w:val="007A5CFA"/>
    <w:rsid w:val="007A61D4"/>
    <w:rsid w:val="007A655B"/>
    <w:rsid w:val="007A6E52"/>
    <w:rsid w:val="007B0B74"/>
    <w:rsid w:val="007B1E7D"/>
    <w:rsid w:val="007B2158"/>
    <w:rsid w:val="007B2CD1"/>
    <w:rsid w:val="007B307D"/>
    <w:rsid w:val="007B38DF"/>
    <w:rsid w:val="007B3920"/>
    <w:rsid w:val="007B4448"/>
    <w:rsid w:val="007B4624"/>
    <w:rsid w:val="007B5044"/>
    <w:rsid w:val="007B64A9"/>
    <w:rsid w:val="007B7A5E"/>
    <w:rsid w:val="007C1798"/>
    <w:rsid w:val="007C1FE8"/>
    <w:rsid w:val="007C2335"/>
    <w:rsid w:val="007C28FC"/>
    <w:rsid w:val="007C326A"/>
    <w:rsid w:val="007C3A96"/>
    <w:rsid w:val="007C492A"/>
    <w:rsid w:val="007C54BB"/>
    <w:rsid w:val="007C573D"/>
    <w:rsid w:val="007C61EA"/>
    <w:rsid w:val="007C6406"/>
    <w:rsid w:val="007C6DE2"/>
    <w:rsid w:val="007D0A3E"/>
    <w:rsid w:val="007D2444"/>
    <w:rsid w:val="007D2C9A"/>
    <w:rsid w:val="007D3712"/>
    <w:rsid w:val="007D5D3C"/>
    <w:rsid w:val="007D5E31"/>
    <w:rsid w:val="007D62CB"/>
    <w:rsid w:val="007D7C6C"/>
    <w:rsid w:val="007D7E9B"/>
    <w:rsid w:val="007D7ECE"/>
    <w:rsid w:val="007E0F43"/>
    <w:rsid w:val="007E11DA"/>
    <w:rsid w:val="007E1ACA"/>
    <w:rsid w:val="007E228B"/>
    <w:rsid w:val="007E2893"/>
    <w:rsid w:val="007E2ADE"/>
    <w:rsid w:val="007E2E97"/>
    <w:rsid w:val="007E3C40"/>
    <w:rsid w:val="007E3CDB"/>
    <w:rsid w:val="007E6442"/>
    <w:rsid w:val="007E6609"/>
    <w:rsid w:val="007E6AB8"/>
    <w:rsid w:val="007E6B6F"/>
    <w:rsid w:val="007F078D"/>
    <w:rsid w:val="007F0B72"/>
    <w:rsid w:val="007F222C"/>
    <w:rsid w:val="007F2A2A"/>
    <w:rsid w:val="007F3DD6"/>
    <w:rsid w:val="007F45B4"/>
    <w:rsid w:val="007F69B9"/>
    <w:rsid w:val="007F6E95"/>
    <w:rsid w:val="00801F49"/>
    <w:rsid w:val="00802FE6"/>
    <w:rsid w:val="0080375B"/>
    <w:rsid w:val="00804799"/>
    <w:rsid w:val="00804AD5"/>
    <w:rsid w:val="00804FAC"/>
    <w:rsid w:val="008051D2"/>
    <w:rsid w:val="008053D1"/>
    <w:rsid w:val="0080563D"/>
    <w:rsid w:val="00807204"/>
    <w:rsid w:val="00810586"/>
    <w:rsid w:val="00811895"/>
    <w:rsid w:val="00811D0D"/>
    <w:rsid w:val="00811E67"/>
    <w:rsid w:val="008120A7"/>
    <w:rsid w:val="00813F5B"/>
    <w:rsid w:val="00814618"/>
    <w:rsid w:val="00815054"/>
    <w:rsid w:val="00815319"/>
    <w:rsid w:val="00820EA1"/>
    <w:rsid w:val="0082132C"/>
    <w:rsid w:val="008213AE"/>
    <w:rsid w:val="00821741"/>
    <w:rsid w:val="0082190E"/>
    <w:rsid w:val="00822498"/>
    <w:rsid w:val="0082254C"/>
    <w:rsid w:val="0082331C"/>
    <w:rsid w:val="00824154"/>
    <w:rsid w:val="0082608E"/>
    <w:rsid w:val="0082669B"/>
    <w:rsid w:val="00826BDC"/>
    <w:rsid w:val="0082743E"/>
    <w:rsid w:val="00827F5A"/>
    <w:rsid w:val="00830E10"/>
    <w:rsid w:val="0083421D"/>
    <w:rsid w:val="00835E50"/>
    <w:rsid w:val="00835E88"/>
    <w:rsid w:val="00836B27"/>
    <w:rsid w:val="008371C9"/>
    <w:rsid w:val="008402B7"/>
    <w:rsid w:val="00841C44"/>
    <w:rsid w:val="00841EC0"/>
    <w:rsid w:val="00843A2A"/>
    <w:rsid w:val="00845298"/>
    <w:rsid w:val="00846914"/>
    <w:rsid w:val="008477DF"/>
    <w:rsid w:val="00847B2F"/>
    <w:rsid w:val="00847E1E"/>
    <w:rsid w:val="00851184"/>
    <w:rsid w:val="00851F65"/>
    <w:rsid w:val="0085217B"/>
    <w:rsid w:val="00853515"/>
    <w:rsid w:val="008536F3"/>
    <w:rsid w:val="008539FE"/>
    <w:rsid w:val="00853BE8"/>
    <w:rsid w:val="00853BFF"/>
    <w:rsid w:val="00855BFE"/>
    <w:rsid w:val="00860E1D"/>
    <w:rsid w:val="00863190"/>
    <w:rsid w:val="0086428C"/>
    <w:rsid w:val="008650D1"/>
    <w:rsid w:val="00865C05"/>
    <w:rsid w:val="008673E4"/>
    <w:rsid w:val="00867ABE"/>
    <w:rsid w:val="00867F3B"/>
    <w:rsid w:val="008714B2"/>
    <w:rsid w:val="00871BFB"/>
    <w:rsid w:val="00873347"/>
    <w:rsid w:val="00873698"/>
    <w:rsid w:val="00874572"/>
    <w:rsid w:val="00875AC2"/>
    <w:rsid w:val="00876897"/>
    <w:rsid w:val="00876E2F"/>
    <w:rsid w:val="008773A2"/>
    <w:rsid w:val="008773C6"/>
    <w:rsid w:val="0088032D"/>
    <w:rsid w:val="00882138"/>
    <w:rsid w:val="008831B1"/>
    <w:rsid w:val="008836BF"/>
    <w:rsid w:val="00883DFA"/>
    <w:rsid w:val="00886215"/>
    <w:rsid w:val="0088687B"/>
    <w:rsid w:val="00886C18"/>
    <w:rsid w:val="00886C5C"/>
    <w:rsid w:val="00887772"/>
    <w:rsid w:val="008878BD"/>
    <w:rsid w:val="00887B2F"/>
    <w:rsid w:val="008907A4"/>
    <w:rsid w:val="008913FD"/>
    <w:rsid w:val="00891E1D"/>
    <w:rsid w:val="008924ED"/>
    <w:rsid w:val="008926D7"/>
    <w:rsid w:val="008945A6"/>
    <w:rsid w:val="008964F8"/>
    <w:rsid w:val="00897D08"/>
    <w:rsid w:val="008A0064"/>
    <w:rsid w:val="008A0115"/>
    <w:rsid w:val="008A1AF0"/>
    <w:rsid w:val="008A1DF3"/>
    <w:rsid w:val="008A2901"/>
    <w:rsid w:val="008A35E3"/>
    <w:rsid w:val="008A3C32"/>
    <w:rsid w:val="008A4362"/>
    <w:rsid w:val="008A454E"/>
    <w:rsid w:val="008A502A"/>
    <w:rsid w:val="008A57B2"/>
    <w:rsid w:val="008A5F32"/>
    <w:rsid w:val="008A6A1D"/>
    <w:rsid w:val="008A6CC5"/>
    <w:rsid w:val="008A784E"/>
    <w:rsid w:val="008B0590"/>
    <w:rsid w:val="008B148A"/>
    <w:rsid w:val="008B22AE"/>
    <w:rsid w:val="008B27CE"/>
    <w:rsid w:val="008B40DD"/>
    <w:rsid w:val="008B64A8"/>
    <w:rsid w:val="008C3180"/>
    <w:rsid w:val="008C7D10"/>
    <w:rsid w:val="008D02B3"/>
    <w:rsid w:val="008D0BA8"/>
    <w:rsid w:val="008D4C70"/>
    <w:rsid w:val="008D511F"/>
    <w:rsid w:val="008D61C1"/>
    <w:rsid w:val="008D6F87"/>
    <w:rsid w:val="008D79DB"/>
    <w:rsid w:val="008D7EEE"/>
    <w:rsid w:val="008E16CC"/>
    <w:rsid w:val="008E17C9"/>
    <w:rsid w:val="008E1EFD"/>
    <w:rsid w:val="008E268A"/>
    <w:rsid w:val="008E3F22"/>
    <w:rsid w:val="008E4BD6"/>
    <w:rsid w:val="008E59DC"/>
    <w:rsid w:val="008E5F64"/>
    <w:rsid w:val="008E675C"/>
    <w:rsid w:val="008E6C45"/>
    <w:rsid w:val="008E719D"/>
    <w:rsid w:val="008E795A"/>
    <w:rsid w:val="008F0B4B"/>
    <w:rsid w:val="008F1029"/>
    <w:rsid w:val="008F1B3D"/>
    <w:rsid w:val="008F2F43"/>
    <w:rsid w:val="008F431D"/>
    <w:rsid w:val="008F4372"/>
    <w:rsid w:val="008F50A4"/>
    <w:rsid w:val="00900910"/>
    <w:rsid w:val="00900CCC"/>
    <w:rsid w:val="00902985"/>
    <w:rsid w:val="009031B9"/>
    <w:rsid w:val="009031E7"/>
    <w:rsid w:val="009046CA"/>
    <w:rsid w:val="00906646"/>
    <w:rsid w:val="00906CE2"/>
    <w:rsid w:val="00906FFD"/>
    <w:rsid w:val="00910027"/>
    <w:rsid w:val="00911A49"/>
    <w:rsid w:val="00912793"/>
    <w:rsid w:val="00912D77"/>
    <w:rsid w:val="00913E8B"/>
    <w:rsid w:val="00916163"/>
    <w:rsid w:val="00917406"/>
    <w:rsid w:val="00917632"/>
    <w:rsid w:val="009200F1"/>
    <w:rsid w:val="009230DB"/>
    <w:rsid w:val="00924706"/>
    <w:rsid w:val="009251A6"/>
    <w:rsid w:val="00925395"/>
    <w:rsid w:val="00925500"/>
    <w:rsid w:val="00926171"/>
    <w:rsid w:val="0092673D"/>
    <w:rsid w:val="009303D8"/>
    <w:rsid w:val="00933301"/>
    <w:rsid w:val="009339F0"/>
    <w:rsid w:val="00934C9D"/>
    <w:rsid w:val="0093639F"/>
    <w:rsid w:val="009376DC"/>
    <w:rsid w:val="00937BA3"/>
    <w:rsid w:val="009410D0"/>
    <w:rsid w:val="00943EDD"/>
    <w:rsid w:val="009444CD"/>
    <w:rsid w:val="00944C39"/>
    <w:rsid w:val="00946C3D"/>
    <w:rsid w:val="00947E9A"/>
    <w:rsid w:val="0095000E"/>
    <w:rsid w:val="00950E24"/>
    <w:rsid w:val="00952116"/>
    <w:rsid w:val="009535FB"/>
    <w:rsid w:val="00954585"/>
    <w:rsid w:val="00954693"/>
    <w:rsid w:val="009551FA"/>
    <w:rsid w:val="009552E0"/>
    <w:rsid w:val="009555A7"/>
    <w:rsid w:val="00956885"/>
    <w:rsid w:val="0095729A"/>
    <w:rsid w:val="00957340"/>
    <w:rsid w:val="009611DE"/>
    <w:rsid w:val="00961275"/>
    <w:rsid w:val="00961CB3"/>
    <w:rsid w:val="0096269B"/>
    <w:rsid w:val="00965D11"/>
    <w:rsid w:val="00965E45"/>
    <w:rsid w:val="009660A4"/>
    <w:rsid w:val="009666D3"/>
    <w:rsid w:val="00966C5F"/>
    <w:rsid w:val="00966E81"/>
    <w:rsid w:val="009670C1"/>
    <w:rsid w:val="009707B2"/>
    <w:rsid w:val="009728A4"/>
    <w:rsid w:val="00972FBF"/>
    <w:rsid w:val="00973769"/>
    <w:rsid w:val="00975EAF"/>
    <w:rsid w:val="0097606D"/>
    <w:rsid w:val="00976A0A"/>
    <w:rsid w:val="009816DB"/>
    <w:rsid w:val="00981E8D"/>
    <w:rsid w:val="0098210A"/>
    <w:rsid w:val="00983296"/>
    <w:rsid w:val="009832EC"/>
    <w:rsid w:val="00984AD2"/>
    <w:rsid w:val="00984DCE"/>
    <w:rsid w:val="00985887"/>
    <w:rsid w:val="009860F0"/>
    <w:rsid w:val="0098677A"/>
    <w:rsid w:val="00990D2C"/>
    <w:rsid w:val="00991194"/>
    <w:rsid w:val="0099119C"/>
    <w:rsid w:val="009913EE"/>
    <w:rsid w:val="0099212D"/>
    <w:rsid w:val="00993FFC"/>
    <w:rsid w:val="009940EE"/>
    <w:rsid w:val="00994C3F"/>
    <w:rsid w:val="00995EDB"/>
    <w:rsid w:val="009962B6"/>
    <w:rsid w:val="00997AAA"/>
    <w:rsid w:val="009A0065"/>
    <w:rsid w:val="009A2E84"/>
    <w:rsid w:val="009A2F63"/>
    <w:rsid w:val="009A4064"/>
    <w:rsid w:val="009A4141"/>
    <w:rsid w:val="009A570C"/>
    <w:rsid w:val="009A5794"/>
    <w:rsid w:val="009A6E16"/>
    <w:rsid w:val="009A7410"/>
    <w:rsid w:val="009B0048"/>
    <w:rsid w:val="009B093B"/>
    <w:rsid w:val="009B1792"/>
    <w:rsid w:val="009B17F0"/>
    <w:rsid w:val="009B18B9"/>
    <w:rsid w:val="009B2677"/>
    <w:rsid w:val="009B32FC"/>
    <w:rsid w:val="009B34A0"/>
    <w:rsid w:val="009B3E81"/>
    <w:rsid w:val="009B3F84"/>
    <w:rsid w:val="009B65D3"/>
    <w:rsid w:val="009B6C83"/>
    <w:rsid w:val="009C0519"/>
    <w:rsid w:val="009C0788"/>
    <w:rsid w:val="009C0CC4"/>
    <w:rsid w:val="009C0D55"/>
    <w:rsid w:val="009C15BE"/>
    <w:rsid w:val="009C1CB4"/>
    <w:rsid w:val="009C338F"/>
    <w:rsid w:val="009C44D9"/>
    <w:rsid w:val="009C4931"/>
    <w:rsid w:val="009C5389"/>
    <w:rsid w:val="009C55D0"/>
    <w:rsid w:val="009C5761"/>
    <w:rsid w:val="009C6784"/>
    <w:rsid w:val="009C7E0B"/>
    <w:rsid w:val="009D0AF3"/>
    <w:rsid w:val="009D0D7B"/>
    <w:rsid w:val="009D1C09"/>
    <w:rsid w:val="009D1C51"/>
    <w:rsid w:val="009D28B2"/>
    <w:rsid w:val="009D2912"/>
    <w:rsid w:val="009D2C96"/>
    <w:rsid w:val="009D331B"/>
    <w:rsid w:val="009D4771"/>
    <w:rsid w:val="009D4A59"/>
    <w:rsid w:val="009D4A95"/>
    <w:rsid w:val="009D7444"/>
    <w:rsid w:val="009D7CEE"/>
    <w:rsid w:val="009E2123"/>
    <w:rsid w:val="009E2C5C"/>
    <w:rsid w:val="009E2CCD"/>
    <w:rsid w:val="009E64B9"/>
    <w:rsid w:val="009E7774"/>
    <w:rsid w:val="009F0A74"/>
    <w:rsid w:val="009F2067"/>
    <w:rsid w:val="009F2A1F"/>
    <w:rsid w:val="009F5467"/>
    <w:rsid w:val="009F5869"/>
    <w:rsid w:val="009F675B"/>
    <w:rsid w:val="009F6992"/>
    <w:rsid w:val="00A00F7C"/>
    <w:rsid w:val="00A01EF9"/>
    <w:rsid w:val="00A02748"/>
    <w:rsid w:val="00A04870"/>
    <w:rsid w:val="00A05FEF"/>
    <w:rsid w:val="00A07533"/>
    <w:rsid w:val="00A07A1C"/>
    <w:rsid w:val="00A10EC6"/>
    <w:rsid w:val="00A132A0"/>
    <w:rsid w:val="00A15027"/>
    <w:rsid w:val="00A16410"/>
    <w:rsid w:val="00A167E9"/>
    <w:rsid w:val="00A178BA"/>
    <w:rsid w:val="00A2124A"/>
    <w:rsid w:val="00A21CA4"/>
    <w:rsid w:val="00A220E5"/>
    <w:rsid w:val="00A223A1"/>
    <w:rsid w:val="00A22409"/>
    <w:rsid w:val="00A2406E"/>
    <w:rsid w:val="00A241F0"/>
    <w:rsid w:val="00A24865"/>
    <w:rsid w:val="00A25DA4"/>
    <w:rsid w:val="00A26396"/>
    <w:rsid w:val="00A267AC"/>
    <w:rsid w:val="00A26A1F"/>
    <w:rsid w:val="00A26B23"/>
    <w:rsid w:val="00A312EA"/>
    <w:rsid w:val="00A32AEB"/>
    <w:rsid w:val="00A35016"/>
    <w:rsid w:val="00A353B9"/>
    <w:rsid w:val="00A37D25"/>
    <w:rsid w:val="00A405A9"/>
    <w:rsid w:val="00A419EE"/>
    <w:rsid w:val="00A41BE8"/>
    <w:rsid w:val="00A42236"/>
    <w:rsid w:val="00A4234E"/>
    <w:rsid w:val="00A424D8"/>
    <w:rsid w:val="00A42840"/>
    <w:rsid w:val="00A42E29"/>
    <w:rsid w:val="00A442F4"/>
    <w:rsid w:val="00A44856"/>
    <w:rsid w:val="00A45AF1"/>
    <w:rsid w:val="00A45C97"/>
    <w:rsid w:val="00A4669F"/>
    <w:rsid w:val="00A50366"/>
    <w:rsid w:val="00A51EFA"/>
    <w:rsid w:val="00A5213E"/>
    <w:rsid w:val="00A525D4"/>
    <w:rsid w:val="00A53C60"/>
    <w:rsid w:val="00A53CD9"/>
    <w:rsid w:val="00A53D02"/>
    <w:rsid w:val="00A54201"/>
    <w:rsid w:val="00A549D9"/>
    <w:rsid w:val="00A566B9"/>
    <w:rsid w:val="00A56B30"/>
    <w:rsid w:val="00A60516"/>
    <w:rsid w:val="00A60CD1"/>
    <w:rsid w:val="00A614EB"/>
    <w:rsid w:val="00A62341"/>
    <w:rsid w:val="00A62898"/>
    <w:rsid w:val="00A65DC8"/>
    <w:rsid w:val="00A67F43"/>
    <w:rsid w:val="00A714A5"/>
    <w:rsid w:val="00A73EBF"/>
    <w:rsid w:val="00A7468D"/>
    <w:rsid w:val="00A74F3D"/>
    <w:rsid w:val="00A752BB"/>
    <w:rsid w:val="00A769F6"/>
    <w:rsid w:val="00A76C1C"/>
    <w:rsid w:val="00A773B2"/>
    <w:rsid w:val="00A77941"/>
    <w:rsid w:val="00A80C8E"/>
    <w:rsid w:val="00A81170"/>
    <w:rsid w:val="00A81B5F"/>
    <w:rsid w:val="00A81CEC"/>
    <w:rsid w:val="00A82E4E"/>
    <w:rsid w:val="00A83CB2"/>
    <w:rsid w:val="00A842D3"/>
    <w:rsid w:val="00A84913"/>
    <w:rsid w:val="00A8510B"/>
    <w:rsid w:val="00A8567E"/>
    <w:rsid w:val="00A87087"/>
    <w:rsid w:val="00A87B1C"/>
    <w:rsid w:val="00A90420"/>
    <w:rsid w:val="00A919F1"/>
    <w:rsid w:val="00A92996"/>
    <w:rsid w:val="00A9438B"/>
    <w:rsid w:val="00A947D6"/>
    <w:rsid w:val="00A9534A"/>
    <w:rsid w:val="00A9587E"/>
    <w:rsid w:val="00A95D87"/>
    <w:rsid w:val="00A95F9D"/>
    <w:rsid w:val="00A96287"/>
    <w:rsid w:val="00A9629D"/>
    <w:rsid w:val="00A96BE7"/>
    <w:rsid w:val="00A97371"/>
    <w:rsid w:val="00A977CD"/>
    <w:rsid w:val="00A97B13"/>
    <w:rsid w:val="00AA0647"/>
    <w:rsid w:val="00AA0A15"/>
    <w:rsid w:val="00AA0BAD"/>
    <w:rsid w:val="00AA1151"/>
    <w:rsid w:val="00AA2209"/>
    <w:rsid w:val="00AA2288"/>
    <w:rsid w:val="00AA3359"/>
    <w:rsid w:val="00AA33C8"/>
    <w:rsid w:val="00AA3734"/>
    <w:rsid w:val="00AA3F1C"/>
    <w:rsid w:val="00AA4535"/>
    <w:rsid w:val="00AA4A4A"/>
    <w:rsid w:val="00AA6560"/>
    <w:rsid w:val="00AA66C3"/>
    <w:rsid w:val="00AB0373"/>
    <w:rsid w:val="00AB0743"/>
    <w:rsid w:val="00AB11A5"/>
    <w:rsid w:val="00AB1212"/>
    <w:rsid w:val="00AB1F59"/>
    <w:rsid w:val="00AB2B11"/>
    <w:rsid w:val="00AB2CF0"/>
    <w:rsid w:val="00AB3922"/>
    <w:rsid w:val="00AB3ED1"/>
    <w:rsid w:val="00AB40A8"/>
    <w:rsid w:val="00AB44BD"/>
    <w:rsid w:val="00AB4DCC"/>
    <w:rsid w:val="00AB5FA8"/>
    <w:rsid w:val="00AB66F8"/>
    <w:rsid w:val="00AB6BCF"/>
    <w:rsid w:val="00AB73E4"/>
    <w:rsid w:val="00AC030E"/>
    <w:rsid w:val="00AC0B32"/>
    <w:rsid w:val="00AC18C7"/>
    <w:rsid w:val="00AC18D7"/>
    <w:rsid w:val="00AC2EE9"/>
    <w:rsid w:val="00AC2F33"/>
    <w:rsid w:val="00AC43BE"/>
    <w:rsid w:val="00AC57E2"/>
    <w:rsid w:val="00AC58A3"/>
    <w:rsid w:val="00AC71BC"/>
    <w:rsid w:val="00AC71DC"/>
    <w:rsid w:val="00AD0513"/>
    <w:rsid w:val="00AD0B04"/>
    <w:rsid w:val="00AD4437"/>
    <w:rsid w:val="00AD5001"/>
    <w:rsid w:val="00AD538C"/>
    <w:rsid w:val="00AD6CC4"/>
    <w:rsid w:val="00AD7952"/>
    <w:rsid w:val="00AE1088"/>
    <w:rsid w:val="00AE1A8C"/>
    <w:rsid w:val="00AE5349"/>
    <w:rsid w:val="00AE5430"/>
    <w:rsid w:val="00AE7F40"/>
    <w:rsid w:val="00AF2697"/>
    <w:rsid w:val="00AF32C2"/>
    <w:rsid w:val="00AF38B2"/>
    <w:rsid w:val="00AF51CE"/>
    <w:rsid w:val="00AF5708"/>
    <w:rsid w:val="00AF6BF9"/>
    <w:rsid w:val="00B001E3"/>
    <w:rsid w:val="00B01CED"/>
    <w:rsid w:val="00B02636"/>
    <w:rsid w:val="00B02C06"/>
    <w:rsid w:val="00B045E6"/>
    <w:rsid w:val="00B04619"/>
    <w:rsid w:val="00B04808"/>
    <w:rsid w:val="00B05158"/>
    <w:rsid w:val="00B05956"/>
    <w:rsid w:val="00B066EF"/>
    <w:rsid w:val="00B111A8"/>
    <w:rsid w:val="00B14E6B"/>
    <w:rsid w:val="00B16C9F"/>
    <w:rsid w:val="00B20DFD"/>
    <w:rsid w:val="00B237D7"/>
    <w:rsid w:val="00B26D7E"/>
    <w:rsid w:val="00B2786D"/>
    <w:rsid w:val="00B30077"/>
    <w:rsid w:val="00B300BD"/>
    <w:rsid w:val="00B30CBE"/>
    <w:rsid w:val="00B31DCD"/>
    <w:rsid w:val="00B32790"/>
    <w:rsid w:val="00B33044"/>
    <w:rsid w:val="00B34030"/>
    <w:rsid w:val="00B34A38"/>
    <w:rsid w:val="00B36569"/>
    <w:rsid w:val="00B375AA"/>
    <w:rsid w:val="00B37D00"/>
    <w:rsid w:val="00B37D71"/>
    <w:rsid w:val="00B40D37"/>
    <w:rsid w:val="00B41435"/>
    <w:rsid w:val="00B4172F"/>
    <w:rsid w:val="00B42221"/>
    <w:rsid w:val="00B42DA7"/>
    <w:rsid w:val="00B43C4A"/>
    <w:rsid w:val="00B43EDB"/>
    <w:rsid w:val="00B4402B"/>
    <w:rsid w:val="00B446AB"/>
    <w:rsid w:val="00B453BE"/>
    <w:rsid w:val="00B45924"/>
    <w:rsid w:val="00B477C5"/>
    <w:rsid w:val="00B47B39"/>
    <w:rsid w:val="00B5063F"/>
    <w:rsid w:val="00B50747"/>
    <w:rsid w:val="00B50884"/>
    <w:rsid w:val="00B512F2"/>
    <w:rsid w:val="00B523E0"/>
    <w:rsid w:val="00B52733"/>
    <w:rsid w:val="00B531DA"/>
    <w:rsid w:val="00B53DBC"/>
    <w:rsid w:val="00B54EF5"/>
    <w:rsid w:val="00B55466"/>
    <w:rsid w:val="00B57E62"/>
    <w:rsid w:val="00B60BED"/>
    <w:rsid w:val="00B62862"/>
    <w:rsid w:val="00B62A9B"/>
    <w:rsid w:val="00B62E12"/>
    <w:rsid w:val="00B62F63"/>
    <w:rsid w:val="00B64AE6"/>
    <w:rsid w:val="00B66BD3"/>
    <w:rsid w:val="00B671CE"/>
    <w:rsid w:val="00B6761F"/>
    <w:rsid w:val="00B70AD1"/>
    <w:rsid w:val="00B7245D"/>
    <w:rsid w:val="00B7275C"/>
    <w:rsid w:val="00B72B32"/>
    <w:rsid w:val="00B72C37"/>
    <w:rsid w:val="00B736A2"/>
    <w:rsid w:val="00B737E2"/>
    <w:rsid w:val="00B763BF"/>
    <w:rsid w:val="00B76DEF"/>
    <w:rsid w:val="00B77B3B"/>
    <w:rsid w:val="00B80DE2"/>
    <w:rsid w:val="00B80E64"/>
    <w:rsid w:val="00B81CEB"/>
    <w:rsid w:val="00B82DE0"/>
    <w:rsid w:val="00B82DFD"/>
    <w:rsid w:val="00B82ED1"/>
    <w:rsid w:val="00B834A5"/>
    <w:rsid w:val="00B83F0B"/>
    <w:rsid w:val="00B84436"/>
    <w:rsid w:val="00B84AD5"/>
    <w:rsid w:val="00B8541C"/>
    <w:rsid w:val="00B8541D"/>
    <w:rsid w:val="00B856B8"/>
    <w:rsid w:val="00B8621D"/>
    <w:rsid w:val="00B87A50"/>
    <w:rsid w:val="00B90317"/>
    <w:rsid w:val="00B91158"/>
    <w:rsid w:val="00B92675"/>
    <w:rsid w:val="00B946A8"/>
    <w:rsid w:val="00B94AFF"/>
    <w:rsid w:val="00B95D45"/>
    <w:rsid w:val="00B96602"/>
    <w:rsid w:val="00B97084"/>
    <w:rsid w:val="00B9723B"/>
    <w:rsid w:val="00B9750C"/>
    <w:rsid w:val="00B9793F"/>
    <w:rsid w:val="00B97C60"/>
    <w:rsid w:val="00B97EAB"/>
    <w:rsid w:val="00B97FCB"/>
    <w:rsid w:val="00BA0052"/>
    <w:rsid w:val="00BA0DD8"/>
    <w:rsid w:val="00BA142D"/>
    <w:rsid w:val="00BA41AB"/>
    <w:rsid w:val="00BA4663"/>
    <w:rsid w:val="00BA5382"/>
    <w:rsid w:val="00BA7A0C"/>
    <w:rsid w:val="00BB0277"/>
    <w:rsid w:val="00BB0562"/>
    <w:rsid w:val="00BB10D9"/>
    <w:rsid w:val="00BB1270"/>
    <w:rsid w:val="00BB14AC"/>
    <w:rsid w:val="00BB3063"/>
    <w:rsid w:val="00BB32CD"/>
    <w:rsid w:val="00BB41DB"/>
    <w:rsid w:val="00BB4A24"/>
    <w:rsid w:val="00BB4DD0"/>
    <w:rsid w:val="00BB6404"/>
    <w:rsid w:val="00BB6A98"/>
    <w:rsid w:val="00BB732A"/>
    <w:rsid w:val="00BC0BE9"/>
    <w:rsid w:val="00BC0F3A"/>
    <w:rsid w:val="00BC1E64"/>
    <w:rsid w:val="00BC3A27"/>
    <w:rsid w:val="00BC3A54"/>
    <w:rsid w:val="00BC43DE"/>
    <w:rsid w:val="00BC453E"/>
    <w:rsid w:val="00BD1514"/>
    <w:rsid w:val="00BD18AD"/>
    <w:rsid w:val="00BD41A1"/>
    <w:rsid w:val="00BD4345"/>
    <w:rsid w:val="00BD4361"/>
    <w:rsid w:val="00BD4499"/>
    <w:rsid w:val="00BD4C14"/>
    <w:rsid w:val="00BD5724"/>
    <w:rsid w:val="00BE0869"/>
    <w:rsid w:val="00BE090E"/>
    <w:rsid w:val="00BE09AA"/>
    <w:rsid w:val="00BE1ABA"/>
    <w:rsid w:val="00BE1BC9"/>
    <w:rsid w:val="00BE2F29"/>
    <w:rsid w:val="00BE3423"/>
    <w:rsid w:val="00BE3687"/>
    <w:rsid w:val="00BE400E"/>
    <w:rsid w:val="00BE5B78"/>
    <w:rsid w:val="00BE70CC"/>
    <w:rsid w:val="00BE727D"/>
    <w:rsid w:val="00BF0406"/>
    <w:rsid w:val="00BF07C4"/>
    <w:rsid w:val="00BF2448"/>
    <w:rsid w:val="00BF2BD8"/>
    <w:rsid w:val="00BF37D4"/>
    <w:rsid w:val="00BF3A63"/>
    <w:rsid w:val="00BF3D22"/>
    <w:rsid w:val="00BF4E47"/>
    <w:rsid w:val="00BF58B7"/>
    <w:rsid w:val="00BF5A57"/>
    <w:rsid w:val="00BF68C3"/>
    <w:rsid w:val="00C001EE"/>
    <w:rsid w:val="00C019C5"/>
    <w:rsid w:val="00C02401"/>
    <w:rsid w:val="00C02E07"/>
    <w:rsid w:val="00C02E0D"/>
    <w:rsid w:val="00C041A1"/>
    <w:rsid w:val="00C045F8"/>
    <w:rsid w:val="00C04835"/>
    <w:rsid w:val="00C051FE"/>
    <w:rsid w:val="00C06028"/>
    <w:rsid w:val="00C0603D"/>
    <w:rsid w:val="00C06D05"/>
    <w:rsid w:val="00C101D2"/>
    <w:rsid w:val="00C11197"/>
    <w:rsid w:val="00C11ED3"/>
    <w:rsid w:val="00C127C0"/>
    <w:rsid w:val="00C1330E"/>
    <w:rsid w:val="00C13553"/>
    <w:rsid w:val="00C13AEC"/>
    <w:rsid w:val="00C14267"/>
    <w:rsid w:val="00C14613"/>
    <w:rsid w:val="00C14703"/>
    <w:rsid w:val="00C16574"/>
    <w:rsid w:val="00C16D4D"/>
    <w:rsid w:val="00C16E85"/>
    <w:rsid w:val="00C17529"/>
    <w:rsid w:val="00C2294E"/>
    <w:rsid w:val="00C23B39"/>
    <w:rsid w:val="00C23C47"/>
    <w:rsid w:val="00C245C7"/>
    <w:rsid w:val="00C2625B"/>
    <w:rsid w:val="00C26765"/>
    <w:rsid w:val="00C268D3"/>
    <w:rsid w:val="00C302E9"/>
    <w:rsid w:val="00C32941"/>
    <w:rsid w:val="00C32995"/>
    <w:rsid w:val="00C32BDC"/>
    <w:rsid w:val="00C34CF3"/>
    <w:rsid w:val="00C35206"/>
    <w:rsid w:val="00C37503"/>
    <w:rsid w:val="00C40008"/>
    <w:rsid w:val="00C4012C"/>
    <w:rsid w:val="00C403D9"/>
    <w:rsid w:val="00C41074"/>
    <w:rsid w:val="00C427B9"/>
    <w:rsid w:val="00C42BAD"/>
    <w:rsid w:val="00C43E69"/>
    <w:rsid w:val="00C44584"/>
    <w:rsid w:val="00C46C48"/>
    <w:rsid w:val="00C473AB"/>
    <w:rsid w:val="00C50657"/>
    <w:rsid w:val="00C51571"/>
    <w:rsid w:val="00C517BE"/>
    <w:rsid w:val="00C52E69"/>
    <w:rsid w:val="00C5367A"/>
    <w:rsid w:val="00C53926"/>
    <w:rsid w:val="00C543C2"/>
    <w:rsid w:val="00C545D6"/>
    <w:rsid w:val="00C56795"/>
    <w:rsid w:val="00C56951"/>
    <w:rsid w:val="00C56B71"/>
    <w:rsid w:val="00C570AB"/>
    <w:rsid w:val="00C60329"/>
    <w:rsid w:val="00C61196"/>
    <w:rsid w:val="00C6271B"/>
    <w:rsid w:val="00C62B31"/>
    <w:rsid w:val="00C62B83"/>
    <w:rsid w:val="00C640F6"/>
    <w:rsid w:val="00C6550E"/>
    <w:rsid w:val="00C65B87"/>
    <w:rsid w:val="00C65F3E"/>
    <w:rsid w:val="00C662AE"/>
    <w:rsid w:val="00C664B4"/>
    <w:rsid w:val="00C709CE"/>
    <w:rsid w:val="00C73FE1"/>
    <w:rsid w:val="00C7432D"/>
    <w:rsid w:val="00C75E07"/>
    <w:rsid w:val="00C75ED7"/>
    <w:rsid w:val="00C77F7E"/>
    <w:rsid w:val="00C802A1"/>
    <w:rsid w:val="00C80B6C"/>
    <w:rsid w:val="00C81BDD"/>
    <w:rsid w:val="00C82794"/>
    <w:rsid w:val="00C828D0"/>
    <w:rsid w:val="00C84D57"/>
    <w:rsid w:val="00C84DAA"/>
    <w:rsid w:val="00C84E1C"/>
    <w:rsid w:val="00C84F1D"/>
    <w:rsid w:val="00C84FE1"/>
    <w:rsid w:val="00C854E9"/>
    <w:rsid w:val="00C8573B"/>
    <w:rsid w:val="00C86164"/>
    <w:rsid w:val="00C90C33"/>
    <w:rsid w:val="00C91599"/>
    <w:rsid w:val="00C92E92"/>
    <w:rsid w:val="00C93535"/>
    <w:rsid w:val="00C96DBB"/>
    <w:rsid w:val="00C96F87"/>
    <w:rsid w:val="00C97950"/>
    <w:rsid w:val="00CA0973"/>
    <w:rsid w:val="00CA0BBE"/>
    <w:rsid w:val="00CA2003"/>
    <w:rsid w:val="00CA2E44"/>
    <w:rsid w:val="00CA3413"/>
    <w:rsid w:val="00CA4B42"/>
    <w:rsid w:val="00CA5503"/>
    <w:rsid w:val="00CA66DE"/>
    <w:rsid w:val="00CA741A"/>
    <w:rsid w:val="00CA7C00"/>
    <w:rsid w:val="00CB09F5"/>
    <w:rsid w:val="00CB2206"/>
    <w:rsid w:val="00CB2214"/>
    <w:rsid w:val="00CB2C3B"/>
    <w:rsid w:val="00CB4306"/>
    <w:rsid w:val="00CB4417"/>
    <w:rsid w:val="00CB44B5"/>
    <w:rsid w:val="00CB60B6"/>
    <w:rsid w:val="00CB632A"/>
    <w:rsid w:val="00CB75E8"/>
    <w:rsid w:val="00CB7E3F"/>
    <w:rsid w:val="00CC0535"/>
    <w:rsid w:val="00CC0B1F"/>
    <w:rsid w:val="00CC0C44"/>
    <w:rsid w:val="00CC162C"/>
    <w:rsid w:val="00CC1687"/>
    <w:rsid w:val="00CC1775"/>
    <w:rsid w:val="00CC2103"/>
    <w:rsid w:val="00CC2E5C"/>
    <w:rsid w:val="00CC447E"/>
    <w:rsid w:val="00CC5A89"/>
    <w:rsid w:val="00CC656A"/>
    <w:rsid w:val="00CC66A5"/>
    <w:rsid w:val="00CC67F7"/>
    <w:rsid w:val="00CC732F"/>
    <w:rsid w:val="00CD0188"/>
    <w:rsid w:val="00CD041B"/>
    <w:rsid w:val="00CD0A8C"/>
    <w:rsid w:val="00CD177A"/>
    <w:rsid w:val="00CD28BC"/>
    <w:rsid w:val="00CD29DB"/>
    <w:rsid w:val="00CD567B"/>
    <w:rsid w:val="00CD5EA2"/>
    <w:rsid w:val="00CD6027"/>
    <w:rsid w:val="00CD62D6"/>
    <w:rsid w:val="00CD655B"/>
    <w:rsid w:val="00CD701B"/>
    <w:rsid w:val="00CE1CFE"/>
    <w:rsid w:val="00CE22F9"/>
    <w:rsid w:val="00CE4C58"/>
    <w:rsid w:val="00CE5D55"/>
    <w:rsid w:val="00CE7C19"/>
    <w:rsid w:val="00CF0D24"/>
    <w:rsid w:val="00CF0E52"/>
    <w:rsid w:val="00CF105B"/>
    <w:rsid w:val="00CF1130"/>
    <w:rsid w:val="00CF1907"/>
    <w:rsid w:val="00CF3E7D"/>
    <w:rsid w:val="00CF4FC7"/>
    <w:rsid w:val="00CF6121"/>
    <w:rsid w:val="00CF7CFA"/>
    <w:rsid w:val="00D00DD3"/>
    <w:rsid w:val="00D013B8"/>
    <w:rsid w:val="00D01BAC"/>
    <w:rsid w:val="00D02CE6"/>
    <w:rsid w:val="00D046E8"/>
    <w:rsid w:val="00D0495B"/>
    <w:rsid w:val="00D063E4"/>
    <w:rsid w:val="00D0694B"/>
    <w:rsid w:val="00D07920"/>
    <w:rsid w:val="00D07EA4"/>
    <w:rsid w:val="00D118D6"/>
    <w:rsid w:val="00D13331"/>
    <w:rsid w:val="00D13543"/>
    <w:rsid w:val="00D13D0F"/>
    <w:rsid w:val="00D14BD1"/>
    <w:rsid w:val="00D14F9C"/>
    <w:rsid w:val="00D1660E"/>
    <w:rsid w:val="00D1672C"/>
    <w:rsid w:val="00D1696E"/>
    <w:rsid w:val="00D172E9"/>
    <w:rsid w:val="00D177F0"/>
    <w:rsid w:val="00D17C1D"/>
    <w:rsid w:val="00D17FA4"/>
    <w:rsid w:val="00D2012C"/>
    <w:rsid w:val="00D215D4"/>
    <w:rsid w:val="00D23B9B"/>
    <w:rsid w:val="00D24C3C"/>
    <w:rsid w:val="00D24D41"/>
    <w:rsid w:val="00D252CB"/>
    <w:rsid w:val="00D2575D"/>
    <w:rsid w:val="00D258A6"/>
    <w:rsid w:val="00D27361"/>
    <w:rsid w:val="00D30AAD"/>
    <w:rsid w:val="00D31074"/>
    <w:rsid w:val="00D312EE"/>
    <w:rsid w:val="00D31C5A"/>
    <w:rsid w:val="00D31CE7"/>
    <w:rsid w:val="00D36745"/>
    <w:rsid w:val="00D3791E"/>
    <w:rsid w:val="00D37928"/>
    <w:rsid w:val="00D40235"/>
    <w:rsid w:val="00D429D0"/>
    <w:rsid w:val="00D42E8A"/>
    <w:rsid w:val="00D4349E"/>
    <w:rsid w:val="00D4533B"/>
    <w:rsid w:val="00D463BF"/>
    <w:rsid w:val="00D46524"/>
    <w:rsid w:val="00D476E6"/>
    <w:rsid w:val="00D5039B"/>
    <w:rsid w:val="00D50441"/>
    <w:rsid w:val="00D504AE"/>
    <w:rsid w:val="00D514C5"/>
    <w:rsid w:val="00D5193F"/>
    <w:rsid w:val="00D524C7"/>
    <w:rsid w:val="00D525E7"/>
    <w:rsid w:val="00D52F2A"/>
    <w:rsid w:val="00D53941"/>
    <w:rsid w:val="00D54C54"/>
    <w:rsid w:val="00D55416"/>
    <w:rsid w:val="00D55CCE"/>
    <w:rsid w:val="00D55D3E"/>
    <w:rsid w:val="00D562DE"/>
    <w:rsid w:val="00D56324"/>
    <w:rsid w:val="00D56425"/>
    <w:rsid w:val="00D57815"/>
    <w:rsid w:val="00D57972"/>
    <w:rsid w:val="00D6234B"/>
    <w:rsid w:val="00D62E58"/>
    <w:rsid w:val="00D639F6"/>
    <w:rsid w:val="00D63CC3"/>
    <w:rsid w:val="00D63FC9"/>
    <w:rsid w:val="00D64713"/>
    <w:rsid w:val="00D655D0"/>
    <w:rsid w:val="00D6628B"/>
    <w:rsid w:val="00D66565"/>
    <w:rsid w:val="00D6791A"/>
    <w:rsid w:val="00D70001"/>
    <w:rsid w:val="00D7132C"/>
    <w:rsid w:val="00D71A25"/>
    <w:rsid w:val="00D74044"/>
    <w:rsid w:val="00D74262"/>
    <w:rsid w:val="00D77F3A"/>
    <w:rsid w:val="00D8016D"/>
    <w:rsid w:val="00D80406"/>
    <w:rsid w:val="00D8049D"/>
    <w:rsid w:val="00D80604"/>
    <w:rsid w:val="00D8101A"/>
    <w:rsid w:val="00D81131"/>
    <w:rsid w:val="00D8158F"/>
    <w:rsid w:val="00D81AB7"/>
    <w:rsid w:val="00D8227B"/>
    <w:rsid w:val="00D83D32"/>
    <w:rsid w:val="00D83EB1"/>
    <w:rsid w:val="00D8416E"/>
    <w:rsid w:val="00D84906"/>
    <w:rsid w:val="00D84DA3"/>
    <w:rsid w:val="00D85554"/>
    <w:rsid w:val="00D861D2"/>
    <w:rsid w:val="00D86B3B"/>
    <w:rsid w:val="00D86E3A"/>
    <w:rsid w:val="00D90414"/>
    <w:rsid w:val="00D9053A"/>
    <w:rsid w:val="00D90B43"/>
    <w:rsid w:val="00D92671"/>
    <w:rsid w:val="00D929DE"/>
    <w:rsid w:val="00D93199"/>
    <w:rsid w:val="00D941DA"/>
    <w:rsid w:val="00D9474B"/>
    <w:rsid w:val="00D94C38"/>
    <w:rsid w:val="00D953F1"/>
    <w:rsid w:val="00D96936"/>
    <w:rsid w:val="00D97196"/>
    <w:rsid w:val="00DA016F"/>
    <w:rsid w:val="00DA09B0"/>
    <w:rsid w:val="00DA1339"/>
    <w:rsid w:val="00DA1B4B"/>
    <w:rsid w:val="00DA3679"/>
    <w:rsid w:val="00DA5E7A"/>
    <w:rsid w:val="00DA74D7"/>
    <w:rsid w:val="00DA7FF5"/>
    <w:rsid w:val="00DB004A"/>
    <w:rsid w:val="00DB08B6"/>
    <w:rsid w:val="00DB09A9"/>
    <w:rsid w:val="00DB12DB"/>
    <w:rsid w:val="00DB16A9"/>
    <w:rsid w:val="00DB21C9"/>
    <w:rsid w:val="00DB24F1"/>
    <w:rsid w:val="00DB2A98"/>
    <w:rsid w:val="00DB2B76"/>
    <w:rsid w:val="00DB2CBD"/>
    <w:rsid w:val="00DB32EB"/>
    <w:rsid w:val="00DB4F62"/>
    <w:rsid w:val="00DB4FE5"/>
    <w:rsid w:val="00DB7816"/>
    <w:rsid w:val="00DC1DDE"/>
    <w:rsid w:val="00DC20AD"/>
    <w:rsid w:val="00DC2A1B"/>
    <w:rsid w:val="00DC2E64"/>
    <w:rsid w:val="00DC34F6"/>
    <w:rsid w:val="00DC4402"/>
    <w:rsid w:val="00DC4F24"/>
    <w:rsid w:val="00DC5386"/>
    <w:rsid w:val="00DC72EF"/>
    <w:rsid w:val="00DC7534"/>
    <w:rsid w:val="00DD0BA9"/>
    <w:rsid w:val="00DD1178"/>
    <w:rsid w:val="00DD1688"/>
    <w:rsid w:val="00DD194E"/>
    <w:rsid w:val="00DD1C47"/>
    <w:rsid w:val="00DD210E"/>
    <w:rsid w:val="00DD2215"/>
    <w:rsid w:val="00DD2F1F"/>
    <w:rsid w:val="00DD466D"/>
    <w:rsid w:val="00DD49AD"/>
    <w:rsid w:val="00DE0207"/>
    <w:rsid w:val="00DE058F"/>
    <w:rsid w:val="00DE089A"/>
    <w:rsid w:val="00DE0ACE"/>
    <w:rsid w:val="00DE245F"/>
    <w:rsid w:val="00DE28BA"/>
    <w:rsid w:val="00DE2953"/>
    <w:rsid w:val="00DE3343"/>
    <w:rsid w:val="00DE3C4A"/>
    <w:rsid w:val="00DE3E51"/>
    <w:rsid w:val="00DE4A00"/>
    <w:rsid w:val="00DE4A06"/>
    <w:rsid w:val="00DE5194"/>
    <w:rsid w:val="00DE53A8"/>
    <w:rsid w:val="00DE6B04"/>
    <w:rsid w:val="00DF00EA"/>
    <w:rsid w:val="00DF0B95"/>
    <w:rsid w:val="00DF1673"/>
    <w:rsid w:val="00DF20D8"/>
    <w:rsid w:val="00DF3BB2"/>
    <w:rsid w:val="00DF3F3B"/>
    <w:rsid w:val="00DF5652"/>
    <w:rsid w:val="00DF5978"/>
    <w:rsid w:val="00DF72CE"/>
    <w:rsid w:val="00DF7CAD"/>
    <w:rsid w:val="00E003BB"/>
    <w:rsid w:val="00E00472"/>
    <w:rsid w:val="00E012FF"/>
    <w:rsid w:val="00E023B9"/>
    <w:rsid w:val="00E03125"/>
    <w:rsid w:val="00E03778"/>
    <w:rsid w:val="00E03915"/>
    <w:rsid w:val="00E040C6"/>
    <w:rsid w:val="00E06489"/>
    <w:rsid w:val="00E073DA"/>
    <w:rsid w:val="00E074D7"/>
    <w:rsid w:val="00E07E02"/>
    <w:rsid w:val="00E10E77"/>
    <w:rsid w:val="00E1247F"/>
    <w:rsid w:val="00E12CBB"/>
    <w:rsid w:val="00E1334C"/>
    <w:rsid w:val="00E13FE4"/>
    <w:rsid w:val="00E145B8"/>
    <w:rsid w:val="00E14926"/>
    <w:rsid w:val="00E1713E"/>
    <w:rsid w:val="00E1755F"/>
    <w:rsid w:val="00E17BC3"/>
    <w:rsid w:val="00E20003"/>
    <w:rsid w:val="00E20A18"/>
    <w:rsid w:val="00E213ED"/>
    <w:rsid w:val="00E21ADD"/>
    <w:rsid w:val="00E22B77"/>
    <w:rsid w:val="00E2377B"/>
    <w:rsid w:val="00E25202"/>
    <w:rsid w:val="00E26BC1"/>
    <w:rsid w:val="00E2700B"/>
    <w:rsid w:val="00E2732F"/>
    <w:rsid w:val="00E277DE"/>
    <w:rsid w:val="00E32DFF"/>
    <w:rsid w:val="00E33857"/>
    <w:rsid w:val="00E3425F"/>
    <w:rsid w:val="00E3526E"/>
    <w:rsid w:val="00E361D4"/>
    <w:rsid w:val="00E37E51"/>
    <w:rsid w:val="00E41221"/>
    <w:rsid w:val="00E418DC"/>
    <w:rsid w:val="00E41D3F"/>
    <w:rsid w:val="00E41FD4"/>
    <w:rsid w:val="00E44EE3"/>
    <w:rsid w:val="00E451A3"/>
    <w:rsid w:val="00E454B2"/>
    <w:rsid w:val="00E454F7"/>
    <w:rsid w:val="00E4553B"/>
    <w:rsid w:val="00E462B8"/>
    <w:rsid w:val="00E4684B"/>
    <w:rsid w:val="00E46898"/>
    <w:rsid w:val="00E46A35"/>
    <w:rsid w:val="00E509F3"/>
    <w:rsid w:val="00E50E92"/>
    <w:rsid w:val="00E50F1E"/>
    <w:rsid w:val="00E55123"/>
    <w:rsid w:val="00E557BB"/>
    <w:rsid w:val="00E56124"/>
    <w:rsid w:val="00E56271"/>
    <w:rsid w:val="00E60C97"/>
    <w:rsid w:val="00E61102"/>
    <w:rsid w:val="00E61672"/>
    <w:rsid w:val="00E6279F"/>
    <w:rsid w:val="00E63ACE"/>
    <w:rsid w:val="00E63D5A"/>
    <w:rsid w:val="00E64123"/>
    <w:rsid w:val="00E64507"/>
    <w:rsid w:val="00E64B19"/>
    <w:rsid w:val="00E65E88"/>
    <w:rsid w:val="00E65F26"/>
    <w:rsid w:val="00E67363"/>
    <w:rsid w:val="00E70EF0"/>
    <w:rsid w:val="00E7223F"/>
    <w:rsid w:val="00E7345B"/>
    <w:rsid w:val="00E73B47"/>
    <w:rsid w:val="00E7451E"/>
    <w:rsid w:val="00E7506D"/>
    <w:rsid w:val="00E750E0"/>
    <w:rsid w:val="00E76572"/>
    <w:rsid w:val="00E76A9E"/>
    <w:rsid w:val="00E76ED8"/>
    <w:rsid w:val="00E779F1"/>
    <w:rsid w:val="00E803A6"/>
    <w:rsid w:val="00E8044A"/>
    <w:rsid w:val="00E80C95"/>
    <w:rsid w:val="00E81CEB"/>
    <w:rsid w:val="00E84A37"/>
    <w:rsid w:val="00E854CB"/>
    <w:rsid w:val="00E85B45"/>
    <w:rsid w:val="00E85CAD"/>
    <w:rsid w:val="00E865DA"/>
    <w:rsid w:val="00E86E21"/>
    <w:rsid w:val="00E87189"/>
    <w:rsid w:val="00E873E1"/>
    <w:rsid w:val="00E8790E"/>
    <w:rsid w:val="00E87A77"/>
    <w:rsid w:val="00E9100F"/>
    <w:rsid w:val="00E91152"/>
    <w:rsid w:val="00E91949"/>
    <w:rsid w:val="00E92DFC"/>
    <w:rsid w:val="00E93390"/>
    <w:rsid w:val="00E93B4B"/>
    <w:rsid w:val="00E948D8"/>
    <w:rsid w:val="00E96BA0"/>
    <w:rsid w:val="00E97181"/>
    <w:rsid w:val="00EA0180"/>
    <w:rsid w:val="00EA09D4"/>
    <w:rsid w:val="00EA1D00"/>
    <w:rsid w:val="00EA22AF"/>
    <w:rsid w:val="00EA27F8"/>
    <w:rsid w:val="00EA3E62"/>
    <w:rsid w:val="00EA4736"/>
    <w:rsid w:val="00EA6727"/>
    <w:rsid w:val="00EA697D"/>
    <w:rsid w:val="00EA7092"/>
    <w:rsid w:val="00EA7C1A"/>
    <w:rsid w:val="00EB0593"/>
    <w:rsid w:val="00EB0618"/>
    <w:rsid w:val="00EB197D"/>
    <w:rsid w:val="00EB3069"/>
    <w:rsid w:val="00EB5443"/>
    <w:rsid w:val="00EB7B70"/>
    <w:rsid w:val="00EB7FBE"/>
    <w:rsid w:val="00EC0A97"/>
    <w:rsid w:val="00EC19F1"/>
    <w:rsid w:val="00EC1A73"/>
    <w:rsid w:val="00EC1C8A"/>
    <w:rsid w:val="00EC2590"/>
    <w:rsid w:val="00EC25EB"/>
    <w:rsid w:val="00EC3B86"/>
    <w:rsid w:val="00EC3D32"/>
    <w:rsid w:val="00EC3D54"/>
    <w:rsid w:val="00EC4C79"/>
    <w:rsid w:val="00EC4EAD"/>
    <w:rsid w:val="00EC52E8"/>
    <w:rsid w:val="00EC5607"/>
    <w:rsid w:val="00EC7C5F"/>
    <w:rsid w:val="00ED0088"/>
    <w:rsid w:val="00ED47E7"/>
    <w:rsid w:val="00ED5E1B"/>
    <w:rsid w:val="00ED6410"/>
    <w:rsid w:val="00ED6503"/>
    <w:rsid w:val="00ED6C78"/>
    <w:rsid w:val="00ED7C56"/>
    <w:rsid w:val="00ED7CB4"/>
    <w:rsid w:val="00EE0433"/>
    <w:rsid w:val="00EE088D"/>
    <w:rsid w:val="00EE0AA3"/>
    <w:rsid w:val="00EE5E0A"/>
    <w:rsid w:val="00EE6241"/>
    <w:rsid w:val="00EE6E74"/>
    <w:rsid w:val="00EE7BED"/>
    <w:rsid w:val="00EF09B8"/>
    <w:rsid w:val="00EF13D2"/>
    <w:rsid w:val="00EF169D"/>
    <w:rsid w:val="00EF1E19"/>
    <w:rsid w:val="00EF27CB"/>
    <w:rsid w:val="00EF3013"/>
    <w:rsid w:val="00EF3300"/>
    <w:rsid w:val="00EF4364"/>
    <w:rsid w:val="00EF43A4"/>
    <w:rsid w:val="00EF51AA"/>
    <w:rsid w:val="00EF60CC"/>
    <w:rsid w:val="00EF7D12"/>
    <w:rsid w:val="00EF7D88"/>
    <w:rsid w:val="00F00669"/>
    <w:rsid w:val="00F00DDE"/>
    <w:rsid w:val="00F02464"/>
    <w:rsid w:val="00F04A56"/>
    <w:rsid w:val="00F12496"/>
    <w:rsid w:val="00F138C0"/>
    <w:rsid w:val="00F139BA"/>
    <w:rsid w:val="00F147D0"/>
    <w:rsid w:val="00F1579A"/>
    <w:rsid w:val="00F15D7D"/>
    <w:rsid w:val="00F16EA7"/>
    <w:rsid w:val="00F17A2C"/>
    <w:rsid w:val="00F20BBC"/>
    <w:rsid w:val="00F2296D"/>
    <w:rsid w:val="00F230C1"/>
    <w:rsid w:val="00F234A6"/>
    <w:rsid w:val="00F23552"/>
    <w:rsid w:val="00F25DA2"/>
    <w:rsid w:val="00F27817"/>
    <w:rsid w:val="00F3084F"/>
    <w:rsid w:val="00F31769"/>
    <w:rsid w:val="00F337A1"/>
    <w:rsid w:val="00F34C22"/>
    <w:rsid w:val="00F34D33"/>
    <w:rsid w:val="00F363F2"/>
    <w:rsid w:val="00F378B8"/>
    <w:rsid w:val="00F40059"/>
    <w:rsid w:val="00F40F50"/>
    <w:rsid w:val="00F41C8E"/>
    <w:rsid w:val="00F42422"/>
    <w:rsid w:val="00F43627"/>
    <w:rsid w:val="00F438A7"/>
    <w:rsid w:val="00F44314"/>
    <w:rsid w:val="00F461FD"/>
    <w:rsid w:val="00F463CF"/>
    <w:rsid w:val="00F464CF"/>
    <w:rsid w:val="00F46ADF"/>
    <w:rsid w:val="00F475C1"/>
    <w:rsid w:val="00F4772F"/>
    <w:rsid w:val="00F50E3B"/>
    <w:rsid w:val="00F5140E"/>
    <w:rsid w:val="00F51D0B"/>
    <w:rsid w:val="00F51E13"/>
    <w:rsid w:val="00F532C2"/>
    <w:rsid w:val="00F54DBF"/>
    <w:rsid w:val="00F54EB0"/>
    <w:rsid w:val="00F55338"/>
    <w:rsid w:val="00F575E2"/>
    <w:rsid w:val="00F60924"/>
    <w:rsid w:val="00F60ACB"/>
    <w:rsid w:val="00F6193B"/>
    <w:rsid w:val="00F61DD6"/>
    <w:rsid w:val="00F62D9F"/>
    <w:rsid w:val="00F6331B"/>
    <w:rsid w:val="00F66A8F"/>
    <w:rsid w:val="00F66D06"/>
    <w:rsid w:val="00F6724D"/>
    <w:rsid w:val="00F6745A"/>
    <w:rsid w:val="00F676E8"/>
    <w:rsid w:val="00F6776F"/>
    <w:rsid w:val="00F70373"/>
    <w:rsid w:val="00F70B57"/>
    <w:rsid w:val="00F70ECC"/>
    <w:rsid w:val="00F7126A"/>
    <w:rsid w:val="00F712DE"/>
    <w:rsid w:val="00F715BD"/>
    <w:rsid w:val="00F718A6"/>
    <w:rsid w:val="00F73093"/>
    <w:rsid w:val="00F73953"/>
    <w:rsid w:val="00F77460"/>
    <w:rsid w:val="00F8130B"/>
    <w:rsid w:val="00F81E75"/>
    <w:rsid w:val="00F82762"/>
    <w:rsid w:val="00F83ADD"/>
    <w:rsid w:val="00F84C71"/>
    <w:rsid w:val="00F84FB3"/>
    <w:rsid w:val="00F851D1"/>
    <w:rsid w:val="00F85639"/>
    <w:rsid w:val="00F8690B"/>
    <w:rsid w:val="00F871B6"/>
    <w:rsid w:val="00F87FFB"/>
    <w:rsid w:val="00F91550"/>
    <w:rsid w:val="00F9186D"/>
    <w:rsid w:val="00F921CA"/>
    <w:rsid w:val="00F922F8"/>
    <w:rsid w:val="00F93F3E"/>
    <w:rsid w:val="00F95920"/>
    <w:rsid w:val="00F9593C"/>
    <w:rsid w:val="00F95D24"/>
    <w:rsid w:val="00F95D3F"/>
    <w:rsid w:val="00F97DFC"/>
    <w:rsid w:val="00F97EF8"/>
    <w:rsid w:val="00FA00FC"/>
    <w:rsid w:val="00FA28CE"/>
    <w:rsid w:val="00FA4D96"/>
    <w:rsid w:val="00FA557C"/>
    <w:rsid w:val="00FA5798"/>
    <w:rsid w:val="00FA659F"/>
    <w:rsid w:val="00FB0966"/>
    <w:rsid w:val="00FB0F2B"/>
    <w:rsid w:val="00FB226B"/>
    <w:rsid w:val="00FB3240"/>
    <w:rsid w:val="00FB6CEE"/>
    <w:rsid w:val="00FB7BAC"/>
    <w:rsid w:val="00FB7C75"/>
    <w:rsid w:val="00FC0A14"/>
    <w:rsid w:val="00FC21C4"/>
    <w:rsid w:val="00FC2819"/>
    <w:rsid w:val="00FC2E03"/>
    <w:rsid w:val="00FC3037"/>
    <w:rsid w:val="00FC431B"/>
    <w:rsid w:val="00FC6879"/>
    <w:rsid w:val="00FC70D6"/>
    <w:rsid w:val="00FC7C92"/>
    <w:rsid w:val="00FC7E56"/>
    <w:rsid w:val="00FD063D"/>
    <w:rsid w:val="00FD0AAC"/>
    <w:rsid w:val="00FD113A"/>
    <w:rsid w:val="00FD24F0"/>
    <w:rsid w:val="00FD291D"/>
    <w:rsid w:val="00FD36DC"/>
    <w:rsid w:val="00FD3765"/>
    <w:rsid w:val="00FD63BE"/>
    <w:rsid w:val="00FD6EF4"/>
    <w:rsid w:val="00FE171E"/>
    <w:rsid w:val="00FE20BE"/>
    <w:rsid w:val="00FE22F4"/>
    <w:rsid w:val="00FE3DFD"/>
    <w:rsid w:val="00FE4468"/>
    <w:rsid w:val="00FE45DA"/>
    <w:rsid w:val="00FE521F"/>
    <w:rsid w:val="00FE5D56"/>
    <w:rsid w:val="00FF1285"/>
    <w:rsid w:val="00FF189A"/>
    <w:rsid w:val="00FF28AD"/>
    <w:rsid w:val="00FF2AD4"/>
    <w:rsid w:val="00FF3454"/>
    <w:rsid w:val="00FF34B4"/>
    <w:rsid w:val="00FF3999"/>
    <w:rsid w:val="00FF3C7E"/>
    <w:rsid w:val="00FF4842"/>
    <w:rsid w:val="00FF7AE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F26001"/>
  <w15:docId w15:val="{173383B7-E09E-4281-A079-9DC25AB2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E5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41FB"/>
    <w:rPr>
      <w:rFonts w:ascii="Tahoma" w:hAnsi="Tahoma" w:cs="Tahoma"/>
      <w:sz w:val="16"/>
      <w:szCs w:val="16"/>
    </w:rPr>
  </w:style>
  <w:style w:type="character" w:customStyle="1" w:styleId="BalloonTextChar">
    <w:name w:val="Balloon Text Char"/>
    <w:basedOn w:val="DefaultParagraphFont"/>
    <w:link w:val="BalloonText"/>
    <w:uiPriority w:val="99"/>
    <w:semiHidden/>
    <w:rsid w:val="005841FB"/>
    <w:rPr>
      <w:rFonts w:ascii="Tahoma" w:hAnsi="Tahoma" w:cs="Tahoma"/>
      <w:sz w:val="16"/>
      <w:szCs w:val="16"/>
      <w:lang w:val="en-US"/>
    </w:rPr>
  </w:style>
  <w:style w:type="paragraph" w:styleId="NormalWeb">
    <w:name w:val="Normal (Web)"/>
    <w:basedOn w:val="Normal"/>
    <w:uiPriority w:val="99"/>
    <w:semiHidden/>
    <w:unhideWhenUsed/>
    <w:rsid w:val="006A7C0A"/>
    <w:pPr>
      <w:spacing w:before="100" w:beforeAutospacing="1" w:after="100" w:afterAutospacing="1"/>
      <w:jc w:val="left"/>
    </w:pPr>
    <w:rPr>
      <w:rFonts w:eastAsiaTheme="minorEastAsia"/>
      <w:lang w:val="en-GB" w:eastAsia="en-GB"/>
    </w:rPr>
  </w:style>
  <w:style w:type="table" w:styleId="TableGrid">
    <w:name w:val="Table Grid"/>
    <w:basedOn w:val="TableNormal"/>
    <w:uiPriority w:val="59"/>
    <w:rsid w:val="000E6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54CB"/>
    <w:rPr>
      <w:sz w:val="16"/>
      <w:szCs w:val="16"/>
    </w:rPr>
  </w:style>
  <w:style w:type="paragraph" w:styleId="CommentText">
    <w:name w:val="annotation text"/>
    <w:basedOn w:val="Normal"/>
    <w:link w:val="CommentTextChar"/>
    <w:uiPriority w:val="99"/>
    <w:unhideWhenUsed/>
    <w:rsid w:val="00E854CB"/>
    <w:rPr>
      <w:sz w:val="20"/>
      <w:szCs w:val="20"/>
    </w:rPr>
  </w:style>
  <w:style w:type="character" w:customStyle="1" w:styleId="CommentTextChar">
    <w:name w:val="Comment Text Char"/>
    <w:basedOn w:val="DefaultParagraphFont"/>
    <w:link w:val="CommentText"/>
    <w:uiPriority w:val="99"/>
    <w:rsid w:val="00E854CB"/>
    <w:rPr>
      <w:sz w:val="20"/>
      <w:szCs w:val="20"/>
      <w:lang w:val="en-US"/>
    </w:rPr>
  </w:style>
  <w:style w:type="paragraph" w:styleId="CommentSubject">
    <w:name w:val="annotation subject"/>
    <w:basedOn w:val="CommentText"/>
    <w:next w:val="CommentText"/>
    <w:link w:val="CommentSubjectChar"/>
    <w:uiPriority w:val="99"/>
    <w:semiHidden/>
    <w:unhideWhenUsed/>
    <w:rsid w:val="00E854CB"/>
    <w:rPr>
      <w:b/>
      <w:bCs/>
    </w:rPr>
  </w:style>
  <w:style w:type="character" w:customStyle="1" w:styleId="CommentSubjectChar">
    <w:name w:val="Comment Subject Char"/>
    <w:basedOn w:val="CommentTextChar"/>
    <w:link w:val="CommentSubject"/>
    <w:uiPriority w:val="99"/>
    <w:semiHidden/>
    <w:rsid w:val="00E854CB"/>
    <w:rPr>
      <w:b/>
      <w:bCs/>
      <w:sz w:val="20"/>
      <w:szCs w:val="20"/>
      <w:lang w:val="en-US"/>
    </w:rPr>
  </w:style>
  <w:style w:type="paragraph" w:styleId="ListParagraph">
    <w:name w:val="List Paragraph"/>
    <w:basedOn w:val="Normal"/>
    <w:uiPriority w:val="34"/>
    <w:qFormat/>
    <w:rsid w:val="003F4180"/>
    <w:pPr>
      <w:ind w:left="720"/>
      <w:contextualSpacing/>
    </w:pPr>
  </w:style>
  <w:style w:type="paragraph" w:styleId="DocumentMap">
    <w:name w:val="Document Map"/>
    <w:basedOn w:val="Normal"/>
    <w:link w:val="DocumentMapChar"/>
    <w:uiPriority w:val="99"/>
    <w:semiHidden/>
    <w:unhideWhenUsed/>
    <w:rsid w:val="007C3A96"/>
  </w:style>
  <w:style w:type="character" w:customStyle="1" w:styleId="DocumentMapChar">
    <w:name w:val="Document Map Char"/>
    <w:basedOn w:val="DefaultParagraphFont"/>
    <w:link w:val="DocumentMap"/>
    <w:uiPriority w:val="99"/>
    <w:semiHidden/>
    <w:rsid w:val="007C3A96"/>
    <w:rPr>
      <w:lang w:val="en-US"/>
    </w:rPr>
  </w:style>
  <w:style w:type="paragraph" w:styleId="Revision">
    <w:name w:val="Revision"/>
    <w:hidden/>
    <w:uiPriority w:val="99"/>
    <w:semiHidden/>
    <w:rsid w:val="007C3A96"/>
    <w:pPr>
      <w:jc w:val="left"/>
    </w:pPr>
    <w:rPr>
      <w:lang w:val="en-US"/>
    </w:rPr>
  </w:style>
  <w:style w:type="paragraph" w:styleId="FootnoteText">
    <w:name w:val="footnote text"/>
    <w:basedOn w:val="Normal"/>
    <w:link w:val="FootnoteTextChar"/>
    <w:uiPriority w:val="99"/>
    <w:unhideWhenUsed/>
    <w:rsid w:val="001773CC"/>
    <w:rPr>
      <w:sz w:val="20"/>
      <w:szCs w:val="20"/>
    </w:rPr>
  </w:style>
  <w:style w:type="character" w:customStyle="1" w:styleId="FootnoteTextChar">
    <w:name w:val="Footnote Text Char"/>
    <w:basedOn w:val="DefaultParagraphFont"/>
    <w:link w:val="FootnoteText"/>
    <w:uiPriority w:val="99"/>
    <w:rsid w:val="001773CC"/>
    <w:rPr>
      <w:sz w:val="20"/>
      <w:szCs w:val="20"/>
      <w:lang w:val="en-US"/>
    </w:rPr>
  </w:style>
  <w:style w:type="character" w:styleId="FootnoteReference">
    <w:name w:val="footnote reference"/>
    <w:basedOn w:val="DefaultParagraphFont"/>
    <w:uiPriority w:val="99"/>
    <w:semiHidden/>
    <w:unhideWhenUsed/>
    <w:rsid w:val="001773CC"/>
    <w:rPr>
      <w:vertAlign w:val="superscript"/>
    </w:rPr>
  </w:style>
  <w:style w:type="paragraph" w:styleId="Header">
    <w:name w:val="header"/>
    <w:basedOn w:val="Normal"/>
    <w:link w:val="HeaderChar"/>
    <w:uiPriority w:val="99"/>
    <w:unhideWhenUsed/>
    <w:rsid w:val="00556371"/>
    <w:pPr>
      <w:tabs>
        <w:tab w:val="center" w:pos="4513"/>
        <w:tab w:val="right" w:pos="9026"/>
      </w:tabs>
    </w:pPr>
  </w:style>
  <w:style w:type="character" w:customStyle="1" w:styleId="HeaderChar">
    <w:name w:val="Header Char"/>
    <w:basedOn w:val="DefaultParagraphFont"/>
    <w:link w:val="Header"/>
    <w:uiPriority w:val="99"/>
    <w:rsid w:val="00556371"/>
    <w:rPr>
      <w:lang w:val="en-US"/>
    </w:rPr>
  </w:style>
  <w:style w:type="paragraph" w:styleId="Footer">
    <w:name w:val="footer"/>
    <w:basedOn w:val="Normal"/>
    <w:link w:val="FooterChar"/>
    <w:uiPriority w:val="99"/>
    <w:unhideWhenUsed/>
    <w:rsid w:val="00556371"/>
    <w:pPr>
      <w:tabs>
        <w:tab w:val="center" w:pos="4513"/>
        <w:tab w:val="right" w:pos="9026"/>
      </w:tabs>
    </w:pPr>
  </w:style>
  <w:style w:type="character" w:customStyle="1" w:styleId="FooterChar">
    <w:name w:val="Footer Char"/>
    <w:basedOn w:val="DefaultParagraphFont"/>
    <w:link w:val="Footer"/>
    <w:uiPriority w:val="99"/>
    <w:rsid w:val="00556371"/>
    <w:rPr>
      <w:lang w:val="en-US"/>
    </w:rPr>
  </w:style>
  <w:style w:type="paragraph" w:styleId="EndnoteText">
    <w:name w:val="endnote text"/>
    <w:basedOn w:val="Normal"/>
    <w:link w:val="EndnoteTextChar"/>
    <w:unhideWhenUsed/>
    <w:rsid w:val="00956885"/>
    <w:rPr>
      <w:sz w:val="20"/>
      <w:szCs w:val="20"/>
    </w:rPr>
  </w:style>
  <w:style w:type="character" w:customStyle="1" w:styleId="EndnoteTextChar">
    <w:name w:val="Endnote Text Char"/>
    <w:basedOn w:val="DefaultParagraphFont"/>
    <w:link w:val="EndnoteText"/>
    <w:rsid w:val="00956885"/>
    <w:rPr>
      <w:sz w:val="20"/>
      <w:szCs w:val="20"/>
      <w:lang w:val="en-US"/>
    </w:rPr>
  </w:style>
  <w:style w:type="character" w:styleId="EndnoteReference">
    <w:name w:val="endnote reference"/>
    <w:basedOn w:val="DefaultParagraphFont"/>
    <w:unhideWhenUsed/>
    <w:rsid w:val="00956885"/>
    <w:rPr>
      <w:vertAlign w:val="superscript"/>
    </w:rPr>
  </w:style>
  <w:style w:type="character" w:styleId="Hyperlink">
    <w:name w:val="Hyperlink"/>
    <w:basedOn w:val="DefaultParagraphFont"/>
    <w:uiPriority w:val="99"/>
    <w:rsid w:val="002C75EB"/>
    <w:rPr>
      <w:color w:val="0000FF" w:themeColor="hyperlink"/>
      <w:u w:val="single"/>
    </w:rPr>
  </w:style>
  <w:style w:type="character" w:styleId="FollowedHyperlink">
    <w:name w:val="FollowedHyperlink"/>
    <w:basedOn w:val="DefaultParagraphFont"/>
    <w:uiPriority w:val="99"/>
    <w:semiHidden/>
    <w:unhideWhenUsed/>
    <w:rsid w:val="0061195E"/>
    <w:rPr>
      <w:color w:val="800080" w:themeColor="followedHyperlink"/>
      <w:u w:val="single"/>
    </w:rPr>
  </w:style>
  <w:style w:type="table" w:customStyle="1" w:styleId="TableGrid1">
    <w:name w:val="Table Grid1"/>
    <w:basedOn w:val="TableNormal"/>
    <w:next w:val="TableGrid"/>
    <w:uiPriority w:val="59"/>
    <w:rsid w:val="00492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92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C4FFC"/>
    <w:rPr>
      <w:color w:val="605E5C"/>
      <w:shd w:val="clear" w:color="auto" w:fill="E1DFDD"/>
    </w:rPr>
  </w:style>
  <w:style w:type="character" w:customStyle="1" w:styleId="UnresolvedMention2">
    <w:name w:val="Unresolved Mention2"/>
    <w:basedOn w:val="DefaultParagraphFont"/>
    <w:uiPriority w:val="99"/>
    <w:semiHidden/>
    <w:unhideWhenUsed/>
    <w:rsid w:val="00AC57E2"/>
    <w:rPr>
      <w:color w:val="605E5C"/>
      <w:shd w:val="clear" w:color="auto" w:fill="E1DFDD"/>
    </w:rPr>
  </w:style>
  <w:style w:type="character" w:styleId="UnresolvedMention">
    <w:name w:val="Unresolved Mention"/>
    <w:basedOn w:val="DefaultParagraphFont"/>
    <w:uiPriority w:val="99"/>
    <w:semiHidden/>
    <w:unhideWhenUsed/>
    <w:rsid w:val="00E17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5625">
      <w:bodyDiv w:val="1"/>
      <w:marLeft w:val="0"/>
      <w:marRight w:val="0"/>
      <w:marTop w:val="0"/>
      <w:marBottom w:val="0"/>
      <w:divBdr>
        <w:top w:val="none" w:sz="0" w:space="0" w:color="auto"/>
        <w:left w:val="none" w:sz="0" w:space="0" w:color="auto"/>
        <w:bottom w:val="none" w:sz="0" w:space="0" w:color="auto"/>
        <w:right w:val="none" w:sz="0" w:space="0" w:color="auto"/>
      </w:divBdr>
    </w:div>
    <w:div w:id="98187943">
      <w:bodyDiv w:val="1"/>
      <w:marLeft w:val="0"/>
      <w:marRight w:val="0"/>
      <w:marTop w:val="0"/>
      <w:marBottom w:val="0"/>
      <w:divBdr>
        <w:top w:val="none" w:sz="0" w:space="0" w:color="auto"/>
        <w:left w:val="none" w:sz="0" w:space="0" w:color="auto"/>
        <w:bottom w:val="none" w:sz="0" w:space="0" w:color="auto"/>
        <w:right w:val="none" w:sz="0" w:space="0" w:color="auto"/>
      </w:divBdr>
    </w:div>
    <w:div w:id="204097610">
      <w:bodyDiv w:val="1"/>
      <w:marLeft w:val="0"/>
      <w:marRight w:val="0"/>
      <w:marTop w:val="0"/>
      <w:marBottom w:val="0"/>
      <w:divBdr>
        <w:top w:val="none" w:sz="0" w:space="0" w:color="auto"/>
        <w:left w:val="none" w:sz="0" w:space="0" w:color="auto"/>
        <w:bottom w:val="none" w:sz="0" w:space="0" w:color="auto"/>
        <w:right w:val="none" w:sz="0" w:space="0" w:color="auto"/>
      </w:divBdr>
    </w:div>
    <w:div w:id="247009606">
      <w:bodyDiv w:val="1"/>
      <w:marLeft w:val="0"/>
      <w:marRight w:val="0"/>
      <w:marTop w:val="0"/>
      <w:marBottom w:val="0"/>
      <w:divBdr>
        <w:top w:val="none" w:sz="0" w:space="0" w:color="auto"/>
        <w:left w:val="none" w:sz="0" w:space="0" w:color="auto"/>
        <w:bottom w:val="none" w:sz="0" w:space="0" w:color="auto"/>
        <w:right w:val="none" w:sz="0" w:space="0" w:color="auto"/>
      </w:divBdr>
    </w:div>
    <w:div w:id="353964621">
      <w:bodyDiv w:val="1"/>
      <w:marLeft w:val="0"/>
      <w:marRight w:val="0"/>
      <w:marTop w:val="0"/>
      <w:marBottom w:val="0"/>
      <w:divBdr>
        <w:top w:val="none" w:sz="0" w:space="0" w:color="auto"/>
        <w:left w:val="none" w:sz="0" w:space="0" w:color="auto"/>
        <w:bottom w:val="none" w:sz="0" w:space="0" w:color="auto"/>
        <w:right w:val="none" w:sz="0" w:space="0" w:color="auto"/>
      </w:divBdr>
    </w:div>
    <w:div w:id="446890962">
      <w:bodyDiv w:val="1"/>
      <w:marLeft w:val="0"/>
      <w:marRight w:val="0"/>
      <w:marTop w:val="0"/>
      <w:marBottom w:val="0"/>
      <w:divBdr>
        <w:top w:val="none" w:sz="0" w:space="0" w:color="auto"/>
        <w:left w:val="none" w:sz="0" w:space="0" w:color="auto"/>
        <w:bottom w:val="none" w:sz="0" w:space="0" w:color="auto"/>
        <w:right w:val="none" w:sz="0" w:space="0" w:color="auto"/>
      </w:divBdr>
    </w:div>
    <w:div w:id="486629451">
      <w:bodyDiv w:val="1"/>
      <w:marLeft w:val="0"/>
      <w:marRight w:val="0"/>
      <w:marTop w:val="0"/>
      <w:marBottom w:val="0"/>
      <w:divBdr>
        <w:top w:val="none" w:sz="0" w:space="0" w:color="auto"/>
        <w:left w:val="none" w:sz="0" w:space="0" w:color="auto"/>
        <w:bottom w:val="none" w:sz="0" w:space="0" w:color="auto"/>
        <w:right w:val="none" w:sz="0" w:space="0" w:color="auto"/>
      </w:divBdr>
    </w:div>
    <w:div w:id="611329993">
      <w:bodyDiv w:val="1"/>
      <w:marLeft w:val="0"/>
      <w:marRight w:val="0"/>
      <w:marTop w:val="0"/>
      <w:marBottom w:val="0"/>
      <w:divBdr>
        <w:top w:val="none" w:sz="0" w:space="0" w:color="auto"/>
        <w:left w:val="none" w:sz="0" w:space="0" w:color="auto"/>
        <w:bottom w:val="none" w:sz="0" w:space="0" w:color="auto"/>
        <w:right w:val="none" w:sz="0" w:space="0" w:color="auto"/>
      </w:divBdr>
    </w:div>
    <w:div w:id="662856762">
      <w:bodyDiv w:val="1"/>
      <w:marLeft w:val="0"/>
      <w:marRight w:val="0"/>
      <w:marTop w:val="0"/>
      <w:marBottom w:val="0"/>
      <w:divBdr>
        <w:top w:val="none" w:sz="0" w:space="0" w:color="auto"/>
        <w:left w:val="none" w:sz="0" w:space="0" w:color="auto"/>
        <w:bottom w:val="none" w:sz="0" w:space="0" w:color="auto"/>
        <w:right w:val="none" w:sz="0" w:space="0" w:color="auto"/>
      </w:divBdr>
    </w:div>
    <w:div w:id="802968046">
      <w:bodyDiv w:val="1"/>
      <w:marLeft w:val="0"/>
      <w:marRight w:val="0"/>
      <w:marTop w:val="0"/>
      <w:marBottom w:val="0"/>
      <w:divBdr>
        <w:top w:val="none" w:sz="0" w:space="0" w:color="auto"/>
        <w:left w:val="none" w:sz="0" w:space="0" w:color="auto"/>
        <w:bottom w:val="none" w:sz="0" w:space="0" w:color="auto"/>
        <w:right w:val="none" w:sz="0" w:space="0" w:color="auto"/>
      </w:divBdr>
    </w:div>
    <w:div w:id="1001662705">
      <w:bodyDiv w:val="1"/>
      <w:marLeft w:val="0"/>
      <w:marRight w:val="0"/>
      <w:marTop w:val="0"/>
      <w:marBottom w:val="0"/>
      <w:divBdr>
        <w:top w:val="none" w:sz="0" w:space="0" w:color="auto"/>
        <w:left w:val="none" w:sz="0" w:space="0" w:color="auto"/>
        <w:bottom w:val="none" w:sz="0" w:space="0" w:color="auto"/>
        <w:right w:val="none" w:sz="0" w:space="0" w:color="auto"/>
      </w:divBdr>
    </w:div>
    <w:div w:id="1017585863">
      <w:bodyDiv w:val="1"/>
      <w:marLeft w:val="0"/>
      <w:marRight w:val="0"/>
      <w:marTop w:val="0"/>
      <w:marBottom w:val="0"/>
      <w:divBdr>
        <w:top w:val="none" w:sz="0" w:space="0" w:color="auto"/>
        <w:left w:val="none" w:sz="0" w:space="0" w:color="auto"/>
        <w:bottom w:val="none" w:sz="0" w:space="0" w:color="auto"/>
        <w:right w:val="none" w:sz="0" w:space="0" w:color="auto"/>
      </w:divBdr>
    </w:div>
    <w:div w:id="1033044061">
      <w:bodyDiv w:val="1"/>
      <w:marLeft w:val="0"/>
      <w:marRight w:val="0"/>
      <w:marTop w:val="0"/>
      <w:marBottom w:val="0"/>
      <w:divBdr>
        <w:top w:val="none" w:sz="0" w:space="0" w:color="auto"/>
        <w:left w:val="none" w:sz="0" w:space="0" w:color="auto"/>
        <w:bottom w:val="none" w:sz="0" w:space="0" w:color="auto"/>
        <w:right w:val="none" w:sz="0" w:space="0" w:color="auto"/>
      </w:divBdr>
    </w:div>
    <w:div w:id="1034379110">
      <w:bodyDiv w:val="1"/>
      <w:marLeft w:val="0"/>
      <w:marRight w:val="0"/>
      <w:marTop w:val="0"/>
      <w:marBottom w:val="0"/>
      <w:divBdr>
        <w:top w:val="none" w:sz="0" w:space="0" w:color="auto"/>
        <w:left w:val="none" w:sz="0" w:space="0" w:color="auto"/>
        <w:bottom w:val="none" w:sz="0" w:space="0" w:color="auto"/>
        <w:right w:val="none" w:sz="0" w:space="0" w:color="auto"/>
      </w:divBdr>
    </w:div>
    <w:div w:id="1133519330">
      <w:bodyDiv w:val="1"/>
      <w:marLeft w:val="0"/>
      <w:marRight w:val="0"/>
      <w:marTop w:val="0"/>
      <w:marBottom w:val="0"/>
      <w:divBdr>
        <w:top w:val="none" w:sz="0" w:space="0" w:color="auto"/>
        <w:left w:val="none" w:sz="0" w:space="0" w:color="auto"/>
        <w:bottom w:val="none" w:sz="0" w:space="0" w:color="auto"/>
        <w:right w:val="none" w:sz="0" w:space="0" w:color="auto"/>
      </w:divBdr>
    </w:div>
    <w:div w:id="1341396472">
      <w:bodyDiv w:val="1"/>
      <w:marLeft w:val="0"/>
      <w:marRight w:val="0"/>
      <w:marTop w:val="0"/>
      <w:marBottom w:val="0"/>
      <w:divBdr>
        <w:top w:val="none" w:sz="0" w:space="0" w:color="auto"/>
        <w:left w:val="none" w:sz="0" w:space="0" w:color="auto"/>
        <w:bottom w:val="none" w:sz="0" w:space="0" w:color="auto"/>
        <w:right w:val="none" w:sz="0" w:space="0" w:color="auto"/>
      </w:divBdr>
    </w:div>
    <w:div w:id="1342196207">
      <w:bodyDiv w:val="1"/>
      <w:marLeft w:val="0"/>
      <w:marRight w:val="0"/>
      <w:marTop w:val="0"/>
      <w:marBottom w:val="0"/>
      <w:divBdr>
        <w:top w:val="none" w:sz="0" w:space="0" w:color="auto"/>
        <w:left w:val="none" w:sz="0" w:space="0" w:color="auto"/>
        <w:bottom w:val="none" w:sz="0" w:space="0" w:color="auto"/>
        <w:right w:val="none" w:sz="0" w:space="0" w:color="auto"/>
      </w:divBdr>
    </w:div>
    <w:div w:id="1349988604">
      <w:bodyDiv w:val="1"/>
      <w:marLeft w:val="0"/>
      <w:marRight w:val="0"/>
      <w:marTop w:val="0"/>
      <w:marBottom w:val="0"/>
      <w:divBdr>
        <w:top w:val="none" w:sz="0" w:space="0" w:color="auto"/>
        <w:left w:val="none" w:sz="0" w:space="0" w:color="auto"/>
        <w:bottom w:val="none" w:sz="0" w:space="0" w:color="auto"/>
        <w:right w:val="none" w:sz="0" w:space="0" w:color="auto"/>
      </w:divBdr>
    </w:div>
    <w:div w:id="1355425306">
      <w:bodyDiv w:val="1"/>
      <w:marLeft w:val="0"/>
      <w:marRight w:val="0"/>
      <w:marTop w:val="0"/>
      <w:marBottom w:val="0"/>
      <w:divBdr>
        <w:top w:val="none" w:sz="0" w:space="0" w:color="auto"/>
        <w:left w:val="none" w:sz="0" w:space="0" w:color="auto"/>
        <w:bottom w:val="none" w:sz="0" w:space="0" w:color="auto"/>
        <w:right w:val="none" w:sz="0" w:space="0" w:color="auto"/>
      </w:divBdr>
    </w:div>
    <w:div w:id="1460339663">
      <w:bodyDiv w:val="1"/>
      <w:marLeft w:val="0"/>
      <w:marRight w:val="0"/>
      <w:marTop w:val="0"/>
      <w:marBottom w:val="0"/>
      <w:divBdr>
        <w:top w:val="none" w:sz="0" w:space="0" w:color="auto"/>
        <w:left w:val="none" w:sz="0" w:space="0" w:color="auto"/>
        <w:bottom w:val="none" w:sz="0" w:space="0" w:color="auto"/>
        <w:right w:val="none" w:sz="0" w:space="0" w:color="auto"/>
      </w:divBdr>
    </w:div>
    <w:div w:id="1590966180">
      <w:bodyDiv w:val="1"/>
      <w:marLeft w:val="0"/>
      <w:marRight w:val="0"/>
      <w:marTop w:val="0"/>
      <w:marBottom w:val="0"/>
      <w:divBdr>
        <w:top w:val="none" w:sz="0" w:space="0" w:color="auto"/>
        <w:left w:val="none" w:sz="0" w:space="0" w:color="auto"/>
        <w:bottom w:val="none" w:sz="0" w:space="0" w:color="auto"/>
        <w:right w:val="none" w:sz="0" w:space="0" w:color="auto"/>
      </w:divBdr>
    </w:div>
    <w:div w:id="1694575034">
      <w:bodyDiv w:val="1"/>
      <w:marLeft w:val="0"/>
      <w:marRight w:val="0"/>
      <w:marTop w:val="0"/>
      <w:marBottom w:val="0"/>
      <w:divBdr>
        <w:top w:val="none" w:sz="0" w:space="0" w:color="auto"/>
        <w:left w:val="none" w:sz="0" w:space="0" w:color="auto"/>
        <w:bottom w:val="none" w:sz="0" w:space="0" w:color="auto"/>
        <w:right w:val="none" w:sz="0" w:space="0" w:color="auto"/>
      </w:divBdr>
    </w:div>
    <w:div w:id="1759250065">
      <w:bodyDiv w:val="1"/>
      <w:marLeft w:val="0"/>
      <w:marRight w:val="0"/>
      <w:marTop w:val="0"/>
      <w:marBottom w:val="0"/>
      <w:divBdr>
        <w:top w:val="none" w:sz="0" w:space="0" w:color="auto"/>
        <w:left w:val="none" w:sz="0" w:space="0" w:color="auto"/>
        <w:bottom w:val="none" w:sz="0" w:space="0" w:color="auto"/>
        <w:right w:val="none" w:sz="0" w:space="0" w:color="auto"/>
      </w:divBdr>
    </w:div>
    <w:div w:id="1768959086">
      <w:bodyDiv w:val="1"/>
      <w:marLeft w:val="0"/>
      <w:marRight w:val="0"/>
      <w:marTop w:val="0"/>
      <w:marBottom w:val="0"/>
      <w:divBdr>
        <w:top w:val="none" w:sz="0" w:space="0" w:color="auto"/>
        <w:left w:val="none" w:sz="0" w:space="0" w:color="auto"/>
        <w:bottom w:val="none" w:sz="0" w:space="0" w:color="auto"/>
        <w:right w:val="none" w:sz="0" w:space="0" w:color="auto"/>
      </w:divBdr>
    </w:div>
    <w:div w:id="1785150662">
      <w:bodyDiv w:val="1"/>
      <w:marLeft w:val="0"/>
      <w:marRight w:val="0"/>
      <w:marTop w:val="0"/>
      <w:marBottom w:val="0"/>
      <w:divBdr>
        <w:top w:val="none" w:sz="0" w:space="0" w:color="auto"/>
        <w:left w:val="none" w:sz="0" w:space="0" w:color="auto"/>
        <w:bottom w:val="none" w:sz="0" w:space="0" w:color="auto"/>
        <w:right w:val="none" w:sz="0" w:space="0" w:color="auto"/>
      </w:divBdr>
    </w:div>
    <w:div w:id="1800339760">
      <w:bodyDiv w:val="1"/>
      <w:marLeft w:val="0"/>
      <w:marRight w:val="0"/>
      <w:marTop w:val="0"/>
      <w:marBottom w:val="0"/>
      <w:divBdr>
        <w:top w:val="none" w:sz="0" w:space="0" w:color="auto"/>
        <w:left w:val="none" w:sz="0" w:space="0" w:color="auto"/>
        <w:bottom w:val="none" w:sz="0" w:space="0" w:color="auto"/>
        <w:right w:val="none" w:sz="0" w:space="0" w:color="auto"/>
      </w:divBdr>
    </w:div>
    <w:div w:id="1872643681">
      <w:bodyDiv w:val="1"/>
      <w:marLeft w:val="0"/>
      <w:marRight w:val="0"/>
      <w:marTop w:val="0"/>
      <w:marBottom w:val="0"/>
      <w:divBdr>
        <w:top w:val="none" w:sz="0" w:space="0" w:color="auto"/>
        <w:left w:val="none" w:sz="0" w:space="0" w:color="auto"/>
        <w:bottom w:val="none" w:sz="0" w:space="0" w:color="auto"/>
        <w:right w:val="none" w:sz="0" w:space="0" w:color="auto"/>
      </w:divBdr>
    </w:div>
    <w:div w:id="1993486649">
      <w:bodyDiv w:val="1"/>
      <w:marLeft w:val="0"/>
      <w:marRight w:val="0"/>
      <w:marTop w:val="0"/>
      <w:marBottom w:val="0"/>
      <w:divBdr>
        <w:top w:val="none" w:sz="0" w:space="0" w:color="auto"/>
        <w:left w:val="none" w:sz="0" w:space="0" w:color="auto"/>
        <w:bottom w:val="none" w:sz="0" w:space="0" w:color="auto"/>
        <w:right w:val="none" w:sz="0" w:space="0" w:color="auto"/>
      </w:divBdr>
    </w:div>
    <w:div w:id="2038386871">
      <w:bodyDiv w:val="1"/>
      <w:marLeft w:val="0"/>
      <w:marRight w:val="0"/>
      <w:marTop w:val="0"/>
      <w:marBottom w:val="0"/>
      <w:divBdr>
        <w:top w:val="none" w:sz="0" w:space="0" w:color="auto"/>
        <w:left w:val="none" w:sz="0" w:space="0" w:color="auto"/>
        <w:bottom w:val="none" w:sz="0" w:space="0" w:color="auto"/>
        <w:right w:val="none" w:sz="0" w:space="0" w:color="auto"/>
      </w:divBdr>
    </w:div>
    <w:div w:id="206486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chart" Target="charts/chart6.xml"/><Relationship Id="rId26" Type="http://schemas.openxmlformats.org/officeDocument/2006/relationships/hyperlink" Target="https://www.mass.gov/files/documents/2020/03/19/opioid-industry-occupation.pdf" TargetMode="External"/><Relationship Id="rId39" Type="http://schemas.openxmlformats.org/officeDocument/2006/relationships/customXml" Target="../customXml/item2.xml"/><Relationship Id="rId21" Type="http://schemas.openxmlformats.org/officeDocument/2006/relationships/chart" Target="charts/chart9.xml"/><Relationship Id="rId34" Type="http://schemas.openxmlformats.org/officeDocument/2006/relationships/hyperlink" Target="https://www.bls.gov/soc/soc_2010_definitions.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hyperlink" Target="https://www.bls.gov/news.release/pdf/ebs2.pdf" TargetMode="External"/><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12.xml"/><Relationship Id="rId32" Type="http://schemas.openxmlformats.org/officeDocument/2006/relationships/hyperlink" Target="https://www.mass.gov/news/opioid-alternative-treatment-pathway-announcement" TargetMode="External"/><Relationship Id="rId37" Type="http://schemas.openxmlformats.org/officeDocument/2006/relationships/fontTable" Target="fontTable.xml"/><Relationship Id="rId40"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hyperlink" Target="https://www.mass.gov/doc/opioid-related-overdose-deaths-demographics-november-2018/download" TargetMode="External"/><Relationship Id="rId36" Type="http://schemas.openxmlformats.org/officeDocument/2006/relationships/hyperlink" Target="https://www.census.gov/naics/" TargetMode="External"/><Relationship Id="rId10" Type="http://schemas.openxmlformats.org/officeDocument/2006/relationships/image" Target="media/image3.png"/><Relationship Id="rId19" Type="http://schemas.openxmlformats.org/officeDocument/2006/relationships/chart" Target="charts/chart7.xml"/><Relationship Id="rId31" Type="http://schemas.openxmlformats.org/officeDocument/2006/relationships/hyperlink" Target="https://doi.org/10.1002/ajim.23158"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 Id="rId22" Type="http://schemas.openxmlformats.org/officeDocument/2006/relationships/chart" Target="charts/chart10.xml"/><Relationship Id="rId27" Type="http://schemas.openxmlformats.org/officeDocument/2006/relationships/hyperlink" Target="https://www.mass.gov/files/documents/2019/08/21/Opioid-related-Overdose-Deaths-Demographics-August-2019.pdf" TargetMode="External"/><Relationship Id="rId30" Type="http://schemas.openxmlformats.org/officeDocument/2006/relationships/hyperlink" Target="https://www.cpwr.com/sites/default/files/publications/CB%20page%2048.pdf" TargetMode="External"/><Relationship Id="rId35" Type="http://schemas.openxmlformats.org/officeDocument/2006/relationships/hyperlink" Target="https://www.census.gov/naics/" TargetMode="Externa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chart" Target="charts/chart5.xml"/><Relationship Id="rId25" Type="http://schemas.openxmlformats.org/officeDocument/2006/relationships/hyperlink" Target="https://www.mass.gov/doc/dph-opioid-related-overdose-deaths-among-ma-residents-may-2019/download" TargetMode="External"/><Relationship Id="rId33" Type="http://schemas.openxmlformats.org/officeDocument/2006/relationships/hyperlink" Target="https://www.bls.gov/soc/2010/home.htm" TargetMode="External"/><Relationship Id="rId38"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Dph-fp-co-121\dph2\BHISRE\OHSP\OHSPMAIL\Opioids\Opioids%20PDO%20Grant%20yr%203\New%20Death%20Certificate%20Analysis\Data\Tables%20-%2016&amp;17.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oleObject" Target="file:///C:\Users\15164\Documents\Toxicology_percentage_07222020.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15164\Documents\Toxicology_percentage_07222020.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15164\Documents\Toxicology_percentage_07222020.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mr251\Downloads\Tables%20-%2016&amp;17.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15164\Downloads\Time%20Trend%20Analysis_Occupation%20(1).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C:\Users\mr251\AppData\Local\Packages\Microsoft.MicrosoftEdge_8wekyb3d8bbwe\TempState\Downloads\Tables%20-%202011-2017_race%20(1).xlsx" TargetMode="External"/><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1" Type="http://schemas.openxmlformats.org/officeDocument/2006/relationships/oleObject" Target="file:///C:\Users\KGrattan\Documents\Kathy_DPH\Opioids\Strategy5\Opioid%20Report\Copy%20of%20Injury%20and%20Illness%20Updated_01282021.xlsx" TargetMode="External"/></Relationships>
</file>

<file path=word/charts/_rels/chart6.xml.rels><?xml version="1.0" encoding="UTF-8" standalone="yes"?>
<Relationships xmlns="http://schemas.openxmlformats.org/package/2006/relationships"><Relationship Id="rId2" Type="http://schemas.openxmlformats.org/officeDocument/2006/relationships/oleObject" Target="file:///C:\Users\mr251\Downloads\Tables%20-%2016&amp;17.xlsx" TargetMode="External"/><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1" Type="http://schemas.openxmlformats.org/officeDocument/2006/relationships/oleObject" Target="file:///C:\Users\15164\Documents\Toxicology_percentage_07222020.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15164\Documents\Toxicology_percentage_0722202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15164\Documents\Toxicology_percentage_0722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0500449681552103E-2"/>
          <c:y val="4.3033022035036297E-2"/>
          <c:w val="0.88898672980562699"/>
          <c:h val="0.60300242212488697"/>
        </c:manualLayout>
      </c:layout>
      <c:barChart>
        <c:barDir val="col"/>
        <c:grouping val="clustered"/>
        <c:varyColors val="0"/>
        <c:ser>
          <c:idx val="0"/>
          <c:order val="0"/>
          <c:invertIfNegative val="0"/>
          <c:dPt>
            <c:idx val="0"/>
            <c:invertIfNegative val="0"/>
            <c:bubble3D val="0"/>
            <c:spPr>
              <a:solidFill>
                <a:srgbClr val="FF0000"/>
              </a:solidFill>
              <a:ln>
                <a:solidFill>
                  <a:sysClr val="windowText" lastClr="000000"/>
                </a:solidFill>
              </a:ln>
            </c:spPr>
            <c:extLst>
              <c:ext xmlns:c16="http://schemas.microsoft.com/office/drawing/2014/chart" uri="{C3380CC4-5D6E-409C-BE32-E72D297353CC}">
                <c16:uniqueId val="{00000001-7D52-44D5-B5F0-8967EC8CA6F0}"/>
              </c:ext>
            </c:extLst>
          </c:dPt>
          <c:dPt>
            <c:idx val="1"/>
            <c:invertIfNegative val="0"/>
            <c:bubble3D val="0"/>
            <c:spPr>
              <a:ln>
                <a:solidFill>
                  <a:sysClr val="windowText" lastClr="000000"/>
                </a:solidFill>
              </a:ln>
            </c:spPr>
            <c:extLst>
              <c:ext xmlns:c16="http://schemas.microsoft.com/office/drawing/2014/chart" uri="{C3380CC4-5D6E-409C-BE32-E72D297353CC}">
                <c16:uniqueId val="{00000003-7D52-44D5-B5F0-8967EC8CA6F0}"/>
              </c:ext>
            </c:extLst>
          </c:dPt>
          <c:dPt>
            <c:idx val="2"/>
            <c:invertIfNegative val="0"/>
            <c:bubble3D val="0"/>
            <c:spPr>
              <a:ln>
                <a:solidFill>
                  <a:sysClr val="windowText" lastClr="000000"/>
                </a:solidFill>
              </a:ln>
            </c:spPr>
            <c:extLst>
              <c:ext xmlns:c16="http://schemas.microsoft.com/office/drawing/2014/chart" uri="{C3380CC4-5D6E-409C-BE32-E72D297353CC}">
                <c16:uniqueId val="{00000005-7D52-44D5-B5F0-8967EC8CA6F0}"/>
              </c:ext>
            </c:extLst>
          </c:dPt>
          <c:dPt>
            <c:idx val="3"/>
            <c:invertIfNegative val="0"/>
            <c:bubble3D val="0"/>
            <c:spPr>
              <a:ln>
                <a:solidFill>
                  <a:sysClr val="windowText" lastClr="000000"/>
                </a:solidFill>
              </a:ln>
            </c:spPr>
            <c:extLst>
              <c:ext xmlns:c16="http://schemas.microsoft.com/office/drawing/2014/chart" uri="{C3380CC4-5D6E-409C-BE32-E72D297353CC}">
                <c16:uniqueId val="{00000007-7D52-44D5-B5F0-8967EC8CA6F0}"/>
              </c:ext>
            </c:extLst>
          </c:dPt>
          <c:dPt>
            <c:idx val="4"/>
            <c:invertIfNegative val="0"/>
            <c:bubble3D val="0"/>
            <c:spPr>
              <a:ln>
                <a:solidFill>
                  <a:sysClr val="windowText" lastClr="000000"/>
                </a:solidFill>
              </a:ln>
            </c:spPr>
            <c:extLst>
              <c:ext xmlns:c16="http://schemas.microsoft.com/office/drawing/2014/chart" uri="{C3380CC4-5D6E-409C-BE32-E72D297353CC}">
                <c16:uniqueId val="{00000009-7D52-44D5-B5F0-8967EC8CA6F0}"/>
              </c:ext>
            </c:extLst>
          </c:dPt>
          <c:dPt>
            <c:idx val="5"/>
            <c:invertIfNegative val="0"/>
            <c:bubble3D val="0"/>
            <c:spPr>
              <a:ln>
                <a:solidFill>
                  <a:sysClr val="windowText" lastClr="000000"/>
                </a:solidFill>
              </a:ln>
            </c:spPr>
            <c:extLst>
              <c:ext xmlns:c16="http://schemas.microsoft.com/office/drawing/2014/chart" uri="{C3380CC4-5D6E-409C-BE32-E72D297353CC}">
                <c16:uniqueId val="{0000000B-7D52-44D5-B5F0-8967EC8CA6F0}"/>
              </c:ext>
            </c:extLst>
          </c:dPt>
          <c:dPt>
            <c:idx val="6"/>
            <c:invertIfNegative val="0"/>
            <c:bubble3D val="0"/>
            <c:spPr>
              <a:ln>
                <a:solidFill>
                  <a:sysClr val="windowText" lastClr="000000"/>
                </a:solidFill>
              </a:ln>
            </c:spPr>
            <c:extLst>
              <c:ext xmlns:c16="http://schemas.microsoft.com/office/drawing/2014/chart" uri="{C3380CC4-5D6E-409C-BE32-E72D297353CC}">
                <c16:uniqueId val="{0000000D-7D52-44D5-B5F0-8967EC8CA6F0}"/>
              </c:ext>
            </c:extLst>
          </c:dPt>
          <c:dPt>
            <c:idx val="7"/>
            <c:invertIfNegative val="0"/>
            <c:bubble3D val="0"/>
            <c:spPr>
              <a:ln>
                <a:solidFill>
                  <a:sysClr val="windowText" lastClr="000000"/>
                </a:solidFill>
              </a:ln>
            </c:spPr>
            <c:extLst>
              <c:ext xmlns:c16="http://schemas.microsoft.com/office/drawing/2014/chart" uri="{C3380CC4-5D6E-409C-BE32-E72D297353CC}">
                <c16:uniqueId val="{0000000F-7D52-44D5-B5F0-8967EC8CA6F0}"/>
              </c:ext>
            </c:extLst>
          </c:dPt>
          <c:dPt>
            <c:idx val="8"/>
            <c:invertIfNegative val="0"/>
            <c:bubble3D val="0"/>
            <c:spPr>
              <a:ln>
                <a:solidFill>
                  <a:sysClr val="windowText" lastClr="000000"/>
                </a:solidFill>
              </a:ln>
            </c:spPr>
            <c:extLst>
              <c:ext xmlns:c16="http://schemas.microsoft.com/office/drawing/2014/chart" uri="{C3380CC4-5D6E-409C-BE32-E72D297353CC}">
                <c16:uniqueId val="{00000011-7D52-44D5-B5F0-8967EC8CA6F0}"/>
              </c:ext>
            </c:extLst>
          </c:dPt>
          <c:errBars>
            <c:errBarType val="both"/>
            <c:errValType val="cust"/>
            <c:noEndCap val="0"/>
            <c:plus>
              <c:numRef>
                <c:f>'T1. Industry Sector'!$C$32:$C$40</c:f>
                <c:numCache>
                  <c:formatCode>General</c:formatCode>
                  <c:ptCount val="9"/>
                  <c:pt idx="0">
                    <c:v>2.2246657450356828</c:v>
                  </c:pt>
                  <c:pt idx="1">
                    <c:v>20.59686232172816</c:v>
                  </c:pt>
                  <c:pt idx="2">
                    <c:v>79.009104891269587</c:v>
                  </c:pt>
                  <c:pt idx="3">
                    <c:v>15.868737689105901</c:v>
                  </c:pt>
                  <c:pt idx="4">
                    <c:v>15.49737857565863</c:v>
                  </c:pt>
                  <c:pt idx="5">
                    <c:v>10.990626412067609</c:v>
                  </c:pt>
                  <c:pt idx="6">
                    <c:v>12.6644934822087</c:v>
                  </c:pt>
                  <c:pt idx="7">
                    <c:v>17.289668100121279</c:v>
                  </c:pt>
                  <c:pt idx="8">
                    <c:v>28.286163170796431</c:v>
                  </c:pt>
                </c:numCache>
              </c:numRef>
            </c:plus>
            <c:minus>
              <c:numRef>
                <c:f>'T1. Industry Sector'!$D$32:$D$40</c:f>
                <c:numCache>
                  <c:formatCode>General</c:formatCode>
                  <c:ptCount val="9"/>
                  <c:pt idx="0">
                    <c:v>2.2246657450356828</c:v>
                  </c:pt>
                  <c:pt idx="1">
                    <c:v>20.59686232172816</c:v>
                  </c:pt>
                  <c:pt idx="2">
                    <c:v>79.009104891269587</c:v>
                  </c:pt>
                  <c:pt idx="3">
                    <c:v>15.868737689105901</c:v>
                  </c:pt>
                  <c:pt idx="4">
                    <c:v>15.49737857565863</c:v>
                  </c:pt>
                  <c:pt idx="5">
                    <c:v>10.990626412067609</c:v>
                  </c:pt>
                  <c:pt idx="6">
                    <c:v>12.6644934822087</c:v>
                  </c:pt>
                  <c:pt idx="7">
                    <c:v>17.289668100121279</c:v>
                  </c:pt>
                  <c:pt idx="8">
                    <c:v>28.286163170796431</c:v>
                  </c:pt>
                </c:numCache>
              </c:numRef>
            </c:minus>
          </c:errBars>
          <c:cat>
            <c:strRef>
              <c:f>'T1. Industry Sector'!$A$32:$A$40</c:f>
              <c:strCache>
                <c:ptCount val="9"/>
                <c:pt idx="0">
                  <c:v>All workers (n=3,299)*</c:v>
                </c:pt>
                <c:pt idx="1">
                  <c:v>Construction (n=949)</c:v>
                </c:pt>
                <c:pt idx="2">
                  <c:v>Agriculture, forestry, fishing, and hunting (n=60)**</c:v>
                </c:pt>
                <c:pt idx="3">
                  <c:v>Transportation and warehousing (n=173)</c:v>
                </c:pt>
                <c:pt idx="4">
                  <c:v>Administrative and support and waste management services           (n=215)</c:v>
                </c:pt>
                <c:pt idx="5">
                  <c:v>Accommodation and food services        (n=352)</c:v>
                </c:pt>
                <c:pt idx="6">
                  <c:v>Other services, except public administration (n=214)</c:v>
                </c:pt>
                <c:pt idx="7">
                  <c:v>Arts, entertainment, and recreation (n=72)</c:v>
                </c:pt>
                <c:pt idx="8">
                  <c:v>Utilities                      (n=22)</c:v>
                </c:pt>
              </c:strCache>
            </c:strRef>
          </c:cat>
          <c:val>
            <c:numRef>
              <c:f>'T1. Industry Sector'!$B$32:$B$40</c:f>
              <c:numCache>
                <c:formatCode>General</c:formatCode>
                <c:ptCount val="9"/>
                <c:pt idx="0">
                  <c:v>46.098294307216953</c:v>
                </c:pt>
                <c:pt idx="1">
                  <c:v>228.9091238014835</c:v>
                </c:pt>
                <c:pt idx="2">
                  <c:v>220.79116835326599</c:v>
                </c:pt>
                <c:pt idx="3">
                  <c:v>75.299893796681488</c:v>
                </c:pt>
                <c:pt idx="4">
                  <c:v>81.979714786852753</c:v>
                </c:pt>
                <c:pt idx="5">
                  <c:v>74.391395958771952</c:v>
                </c:pt>
                <c:pt idx="6">
                  <c:v>66.838030214537454</c:v>
                </c:pt>
                <c:pt idx="7">
                  <c:v>52.927555408534573</c:v>
                </c:pt>
                <c:pt idx="8">
                  <c:v>47.864586732806821</c:v>
                </c:pt>
              </c:numCache>
            </c:numRef>
          </c:val>
          <c:extLst>
            <c:ext xmlns:c16="http://schemas.microsoft.com/office/drawing/2014/chart" uri="{C3380CC4-5D6E-409C-BE32-E72D297353CC}">
              <c16:uniqueId val="{00000012-7D52-44D5-B5F0-8967EC8CA6F0}"/>
            </c:ext>
          </c:extLst>
        </c:ser>
        <c:dLbls>
          <c:showLegendKey val="0"/>
          <c:showVal val="0"/>
          <c:showCatName val="0"/>
          <c:showSerName val="0"/>
          <c:showPercent val="0"/>
          <c:showBubbleSize val="0"/>
        </c:dLbls>
        <c:gapWidth val="150"/>
        <c:axId val="82930688"/>
        <c:axId val="82932864"/>
      </c:barChart>
      <c:catAx>
        <c:axId val="82930688"/>
        <c:scaling>
          <c:orientation val="minMax"/>
        </c:scaling>
        <c:delete val="0"/>
        <c:axPos val="b"/>
        <c:title>
          <c:tx>
            <c:rich>
              <a:bodyPr/>
              <a:lstStyle/>
              <a:p>
                <a:pPr>
                  <a:defRPr sz="900"/>
                </a:pPr>
                <a:r>
                  <a:rPr lang="en-US" sz="900"/>
                  <a:t>Industry Sectors</a:t>
                </a:r>
              </a:p>
            </c:rich>
          </c:tx>
          <c:overlay val="0"/>
        </c:title>
        <c:numFmt formatCode="General" sourceLinked="0"/>
        <c:majorTickMark val="out"/>
        <c:minorTickMark val="none"/>
        <c:tickLblPos val="nextTo"/>
        <c:txPr>
          <a:bodyPr/>
          <a:lstStyle/>
          <a:p>
            <a:pPr>
              <a:defRPr sz="750"/>
            </a:pPr>
            <a:endParaRPr lang="en-US"/>
          </a:p>
        </c:txPr>
        <c:crossAx val="82932864"/>
        <c:crosses val="autoZero"/>
        <c:auto val="1"/>
        <c:lblAlgn val="ctr"/>
        <c:lblOffset val="100"/>
        <c:noMultiLvlLbl val="0"/>
      </c:catAx>
      <c:valAx>
        <c:axId val="82932864"/>
        <c:scaling>
          <c:orientation val="minMax"/>
          <c:min val="0"/>
        </c:scaling>
        <c:delete val="0"/>
        <c:axPos val="l"/>
        <c:majorGridlines/>
        <c:title>
          <c:tx>
            <c:rich>
              <a:bodyPr rot="-5400000" vert="horz"/>
              <a:lstStyle/>
              <a:p>
                <a:pPr>
                  <a:defRPr sz="800"/>
                </a:pPr>
                <a:r>
                  <a:rPr lang="en-US" sz="800"/>
                  <a:t>Opioid-related overdose deaths per 100,000 workers</a:t>
                </a:r>
              </a:p>
            </c:rich>
          </c:tx>
          <c:layout>
            <c:manualLayout>
              <c:xMode val="edge"/>
              <c:yMode val="edge"/>
              <c:x val="1.7056099694855199E-2"/>
              <c:y val="2.1907486644555298E-2"/>
            </c:manualLayout>
          </c:layout>
          <c:overlay val="0"/>
        </c:title>
        <c:numFmt formatCode="General" sourceLinked="1"/>
        <c:majorTickMark val="out"/>
        <c:minorTickMark val="none"/>
        <c:tickLblPos val="nextTo"/>
        <c:txPr>
          <a:bodyPr/>
          <a:lstStyle/>
          <a:p>
            <a:pPr>
              <a:defRPr sz="800"/>
            </a:pPr>
            <a:endParaRPr lang="en-US"/>
          </a:p>
        </c:txPr>
        <c:crossAx val="82930688"/>
        <c:crosses val="autoZero"/>
        <c:crossBetween val="between"/>
        <c:majorUnit val="20"/>
        <c:minorUnit val="10"/>
      </c:valAx>
    </c:plotArea>
    <c:plotVisOnly val="1"/>
    <c:dispBlanksAs val="gap"/>
    <c:showDLblsOverMax val="0"/>
  </c:chart>
  <c:spPr>
    <a:ln>
      <a:noFill/>
    </a:ln>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631707215327996E-2"/>
          <c:y val="5.2914218089528529E-2"/>
          <c:w val="0.88147477170169319"/>
          <c:h val="0.83889155623839706"/>
        </c:manualLayout>
      </c:layout>
      <c:lineChart>
        <c:grouping val="standard"/>
        <c:varyColors val="0"/>
        <c:ser>
          <c:idx val="0"/>
          <c:order val="0"/>
          <c:tx>
            <c:strRef>
              <c:f>'Healthcare support'!$B$8</c:f>
              <c:strCache>
                <c:ptCount val="1"/>
                <c:pt idx="0">
                  <c:v>Fentanyl*</c:v>
                </c:pt>
              </c:strCache>
            </c:strRef>
          </c:tx>
          <c:spPr>
            <a:ln w="28575" cap="rnd">
              <a:solidFill>
                <a:srgbClr val="416FA6"/>
              </a:solidFill>
              <a:round/>
            </a:ln>
            <a:effectLst/>
          </c:spPr>
          <c:marker>
            <c:symbol val="square"/>
            <c:size val="6"/>
            <c:spPr>
              <a:solidFill>
                <a:schemeClr val="accent1"/>
              </a:solidFill>
              <a:ln w="9525">
                <a:solidFill>
                  <a:schemeClr val="accent1"/>
                </a:solidFill>
              </a:ln>
              <a:effectLst/>
            </c:spPr>
          </c:marker>
          <c:cat>
            <c:numRef>
              <c:f>'Healthcare support'!$A$9:$A$11</c:f>
              <c:numCache>
                <c:formatCode>General</c:formatCode>
                <c:ptCount val="3"/>
                <c:pt idx="0">
                  <c:v>2015</c:v>
                </c:pt>
                <c:pt idx="1">
                  <c:v>2016</c:v>
                </c:pt>
                <c:pt idx="2">
                  <c:v>2017</c:v>
                </c:pt>
              </c:numCache>
            </c:numRef>
          </c:cat>
          <c:val>
            <c:numRef>
              <c:f>'Healthcare support'!$B$9:$B$11</c:f>
              <c:numCache>
                <c:formatCode>General</c:formatCode>
                <c:ptCount val="3"/>
                <c:pt idx="0">
                  <c:v>47.916666666666671</c:v>
                </c:pt>
                <c:pt idx="1">
                  <c:v>63.636363636363633</c:v>
                </c:pt>
                <c:pt idx="2">
                  <c:v>68.181818181818173</c:v>
                </c:pt>
              </c:numCache>
            </c:numRef>
          </c:val>
          <c:smooth val="0"/>
          <c:extLst>
            <c:ext xmlns:c16="http://schemas.microsoft.com/office/drawing/2014/chart" uri="{C3380CC4-5D6E-409C-BE32-E72D297353CC}">
              <c16:uniqueId val="{00000000-D819-48FB-94B2-6BCB1AA67D3E}"/>
            </c:ext>
          </c:extLst>
        </c:ser>
        <c:ser>
          <c:idx val="1"/>
          <c:order val="1"/>
          <c:tx>
            <c:strRef>
              <c:f>'Healthcare support'!$C$8</c:f>
              <c:strCache>
                <c:ptCount val="1"/>
                <c:pt idx="0">
                  <c:v>Heroin</c:v>
                </c:pt>
              </c:strCache>
            </c:strRef>
          </c:tx>
          <c:spPr>
            <a:ln w="28575" cap="rnd">
              <a:solidFill>
                <a:schemeClr val="accent2"/>
              </a:solidFill>
              <a:round/>
            </a:ln>
            <a:effectLst/>
          </c:spPr>
          <c:marker>
            <c:symbol val="diamond"/>
            <c:size val="6"/>
            <c:spPr>
              <a:solidFill>
                <a:schemeClr val="accent2"/>
              </a:solidFill>
              <a:ln w="9525">
                <a:solidFill>
                  <a:schemeClr val="accent2"/>
                </a:solidFill>
              </a:ln>
              <a:effectLst/>
            </c:spPr>
          </c:marker>
          <c:val>
            <c:numRef>
              <c:f>'Healthcare support'!$C$9:$C$11</c:f>
              <c:numCache>
                <c:formatCode>General</c:formatCode>
                <c:ptCount val="3"/>
                <c:pt idx="0">
                  <c:v>56.25</c:v>
                </c:pt>
                <c:pt idx="1">
                  <c:v>34.848484848484851</c:v>
                </c:pt>
                <c:pt idx="2">
                  <c:v>45.454545454545453</c:v>
                </c:pt>
              </c:numCache>
            </c:numRef>
          </c:val>
          <c:smooth val="0"/>
          <c:extLst>
            <c:ext xmlns:c16="http://schemas.microsoft.com/office/drawing/2014/chart" uri="{C3380CC4-5D6E-409C-BE32-E72D297353CC}">
              <c16:uniqueId val="{00000001-D819-48FB-94B2-6BCB1AA67D3E}"/>
            </c:ext>
          </c:extLst>
        </c:ser>
        <c:ser>
          <c:idx val="2"/>
          <c:order val="2"/>
          <c:tx>
            <c:strRef>
              <c:f>'Healthcare support'!$D$8</c:f>
              <c:strCache>
                <c:ptCount val="1"/>
                <c:pt idx="0">
                  <c:v>Cocaine</c:v>
                </c:pt>
              </c:strCache>
            </c:strRef>
          </c:tx>
          <c:spPr>
            <a:ln w="28575" cap="rnd">
              <a:solidFill>
                <a:schemeClr val="accent3"/>
              </a:solidFill>
              <a:round/>
            </a:ln>
            <a:effectLst/>
          </c:spPr>
          <c:marker>
            <c:symbol val="triangle"/>
            <c:size val="6"/>
            <c:spPr>
              <a:solidFill>
                <a:schemeClr val="accent3"/>
              </a:solidFill>
              <a:ln w="9525">
                <a:solidFill>
                  <a:schemeClr val="accent3"/>
                </a:solidFill>
              </a:ln>
              <a:effectLst/>
            </c:spPr>
          </c:marker>
          <c:val>
            <c:numRef>
              <c:f>'Healthcare support'!$D$9:$D$11</c:f>
              <c:numCache>
                <c:formatCode>General</c:formatCode>
                <c:ptCount val="3"/>
                <c:pt idx="0">
                  <c:v>22.916666666666664</c:v>
                </c:pt>
                <c:pt idx="1">
                  <c:v>25.757575757575758</c:v>
                </c:pt>
                <c:pt idx="2">
                  <c:v>50</c:v>
                </c:pt>
              </c:numCache>
            </c:numRef>
          </c:val>
          <c:smooth val="0"/>
          <c:extLst>
            <c:ext xmlns:c16="http://schemas.microsoft.com/office/drawing/2014/chart" uri="{C3380CC4-5D6E-409C-BE32-E72D297353CC}">
              <c16:uniqueId val="{00000002-D819-48FB-94B2-6BCB1AA67D3E}"/>
            </c:ext>
          </c:extLst>
        </c:ser>
        <c:ser>
          <c:idx val="3"/>
          <c:order val="3"/>
          <c:tx>
            <c:strRef>
              <c:f>'Healthcare support'!$E$8</c:f>
              <c:strCache>
                <c:ptCount val="1"/>
                <c:pt idx="0">
                  <c:v>Benzodiazepine</c:v>
                </c:pt>
              </c:strCache>
            </c:strRef>
          </c:tx>
          <c:spPr>
            <a:ln w="28575" cap="rnd">
              <a:solidFill>
                <a:schemeClr val="accent4"/>
              </a:solidFill>
              <a:round/>
            </a:ln>
            <a:effectLst/>
          </c:spPr>
          <c:marker>
            <c:symbol val="star"/>
            <c:size val="6"/>
            <c:spPr>
              <a:noFill/>
              <a:ln w="9525">
                <a:solidFill>
                  <a:schemeClr val="accent4"/>
                </a:solidFill>
              </a:ln>
              <a:effectLst/>
            </c:spPr>
          </c:marker>
          <c:val>
            <c:numRef>
              <c:f>'Healthcare support'!$E$9:$E$11</c:f>
              <c:numCache>
                <c:formatCode>General</c:formatCode>
                <c:ptCount val="3"/>
                <c:pt idx="0">
                  <c:v>8.3333333333333321</c:v>
                </c:pt>
                <c:pt idx="1">
                  <c:v>16.666666666666664</c:v>
                </c:pt>
                <c:pt idx="2">
                  <c:v>29.545454545454547</c:v>
                </c:pt>
              </c:numCache>
            </c:numRef>
          </c:val>
          <c:smooth val="0"/>
          <c:extLst>
            <c:ext xmlns:c16="http://schemas.microsoft.com/office/drawing/2014/chart" uri="{C3380CC4-5D6E-409C-BE32-E72D297353CC}">
              <c16:uniqueId val="{00000003-D819-48FB-94B2-6BCB1AA67D3E}"/>
            </c:ext>
          </c:extLst>
        </c:ser>
        <c:ser>
          <c:idx val="4"/>
          <c:order val="4"/>
          <c:tx>
            <c:strRef>
              <c:f>'Healthcare support'!$F$8</c:f>
              <c:strCache>
                <c:ptCount val="1"/>
                <c:pt idx="0">
                  <c:v>Amphetamine</c:v>
                </c:pt>
              </c:strCache>
            </c:strRef>
          </c:tx>
          <c:spPr>
            <a:ln w="28575" cap="rnd">
              <a:solidFill>
                <a:schemeClr val="accent5"/>
              </a:solidFill>
              <a:round/>
            </a:ln>
            <a:effectLst/>
          </c:spPr>
          <c:marker>
            <c:symbol val="plus"/>
            <c:size val="6"/>
            <c:spPr>
              <a:noFill/>
              <a:ln w="9525">
                <a:solidFill>
                  <a:schemeClr val="accent5"/>
                </a:solidFill>
              </a:ln>
              <a:effectLst/>
            </c:spPr>
          </c:marker>
          <c:val>
            <c:numRef>
              <c:f>'Healthcare support'!$F$9:$F$11</c:f>
              <c:numCache>
                <c:formatCode>General</c:formatCode>
                <c:ptCount val="3"/>
                <c:pt idx="0">
                  <c:v>2.083333333333333</c:v>
                </c:pt>
                <c:pt idx="1">
                  <c:v>3.0303030303030303</c:v>
                </c:pt>
                <c:pt idx="2">
                  <c:v>6.8181818181818175</c:v>
                </c:pt>
              </c:numCache>
            </c:numRef>
          </c:val>
          <c:smooth val="0"/>
          <c:extLst>
            <c:ext xmlns:c16="http://schemas.microsoft.com/office/drawing/2014/chart" uri="{C3380CC4-5D6E-409C-BE32-E72D297353CC}">
              <c16:uniqueId val="{00000004-D819-48FB-94B2-6BCB1AA67D3E}"/>
            </c:ext>
          </c:extLst>
        </c:ser>
        <c:ser>
          <c:idx val="5"/>
          <c:order val="5"/>
          <c:tx>
            <c:strRef>
              <c:f>'Healthcare support'!$G$8</c:f>
              <c:strCache>
                <c:ptCount val="1"/>
                <c:pt idx="0">
                  <c:v>Prescribed Opioid**</c:v>
                </c:pt>
              </c:strCache>
            </c:strRef>
          </c:tx>
          <c:spPr>
            <a:ln w="28575" cap="rnd">
              <a:solidFill>
                <a:schemeClr val="accent6"/>
              </a:solidFill>
              <a:round/>
            </a:ln>
            <a:effectLst/>
          </c:spPr>
          <c:marker>
            <c:symbol val="circle"/>
            <c:size val="6"/>
            <c:spPr>
              <a:solidFill>
                <a:schemeClr val="accent6"/>
              </a:solidFill>
              <a:ln w="9525">
                <a:solidFill>
                  <a:schemeClr val="accent6"/>
                </a:solidFill>
              </a:ln>
              <a:effectLst/>
            </c:spPr>
          </c:marker>
          <c:val>
            <c:numRef>
              <c:f>'Healthcare support'!$G$9:$G$11</c:f>
              <c:numCache>
                <c:formatCode>General</c:formatCode>
                <c:ptCount val="3"/>
                <c:pt idx="0">
                  <c:v>18.75</c:v>
                </c:pt>
                <c:pt idx="1">
                  <c:v>18.181818181818183</c:v>
                </c:pt>
                <c:pt idx="2">
                  <c:v>11.363636363636363</c:v>
                </c:pt>
              </c:numCache>
            </c:numRef>
          </c:val>
          <c:smooth val="0"/>
          <c:extLst>
            <c:ext xmlns:c16="http://schemas.microsoft.com/office/drawing/2014/chart" uri="{C3380CC4-5D6E-409C-BE32-E72D297353CC}">
              <c16:uniqueId val="{00000005-D819-48FB-94B2-6BCB1AA67D3E}"/>
            </c:ext>
          </c:extLst>
        </c:ser>
        <c:ser>
          <c:idx val="6"/>
          <c:order val="6"/>
          <c:tx>
            <c:strRef>
              <c:f>'Healthcare support'!$H$8</c:f>
              <c:strCache>
                <c:ptCount val="1"/>
                <c:pt idx="0">
                  <c:v>Alcohol</c:v>
                </c:pt>
              </c:strCache>
            </c:strRef>
          </c:tx>
          <c:spPr>
            <a:ln w="28575" cap="rnd">
              <a:solidFill>
                <a:srgbClr val="8EA5CB"/>
              </a:solidFill>
              <a:round/>
            </a:ln>
            <a:effectLst/>
          </c:spPr>
          <c:marker>
            <c:symbol val="x"/>
            <c:size val="6"/>
            <c:spPr>
              <a:noFill/>
              <a:ln w="9525">
                <a:solidFill>
                  <a:schemeClr val="accent1">
                    <a:lumMod val="60000"/>
                  </a:schemeClr>
                </a:solidFill>
              </a:ln>
              <a:effectLst/>
            </c:spPr>
          </c:marker>
          <c:val>
            <c:numRef>
              <c:f>'Healthcare support'!$H$9:$H$11</c:f>
              <c:numCache>
                <c:formatCode>General</c:formatCode>
                <c:ptCount val="3"/>
                <c:pt idx="0">
                  <c:v>16.666666666666664</c:v>
                </c:pt>
                <c:pt idx="1">
                  <c:v>9.0909090909090917</c:v>
                </c:pt>
                <c:pt idx="2">
                  <c:v>18.181818181818183</c:v>
                </c:pt>
              </c:numCache>
            </c:numRef>
          </c:val>
          <c:smooth val="0"/>
          <c:extLst>
            <c:ext xmlns:c16="http://schemas.microsoft.com/office/drawing/2014/chart" uri="{C3380CC4-5D6E-409C-BE32-E72D297353CC}">
              <c16:uniqueId val="{00000006-D819-48FB-94B2-6BCB1AA67D3E}"/>
            </c:ext>
          </c:extLst>
        </c:ser>
        <c:dLbls>
          <c:showLegendKey val="0"/>
          <c:showVal val="0"/>
          <c:showCatName val="0"/>
          <c:showSerName val="0"/>
          <c:showPercent val="0"/>
          <c:showBubbleSize val="0"/>
        </c:dLbls>
        <c:marker val="1"/>
        <c:smooth val="0"/>
        <c:axId val="90052864"/>
        <c:axId val="90055424"/>
      </c:lineChart>
      <c:catAx>
        <c:axId val="90052864"/>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a:solidFill>
                      <a:sysClr val="windowText" lastClr="000000"/>
                    </a:solidFill>
                  </a:rPr>
                  <a:t>Year</a:t>
                </a:r>
              </a:p>
            </c:rich>
          </c:tx>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0055424"/>
        <c:crosses val="autoZero"/>
        <c:auto val="1"/>
        <c:lblAlgn val="ctr"/>
        <c:lblOffset val="0"/>
        <c:noMultiLvlLbl val="0"/>
      </c:catAx>
      <c:valAx>
        <c:axId val="90055424"/>
        <c:scaling>
          <c:orientation val="minMax"/>
          <c:max val="100"/>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a:solidFill>
                      <a:sysClr val="windowText" lastClr="000000"/>
                    </a:solidFill>
                  </a:rPr>
                  <a:t>Percentage of opioid-related overdose</a:t>
                </a:r>
                <a:r>
                  <a:rPr lang="en-US" b="1" baseline="0">
                    <a:solidFill>
                      <a:sysClr val="windowText" lastClr="000000"/>
                    </a:solidFill>
                  </a:rPr>
                  <a:t> deaths</a:t>
                </a:r>
                <a:endParaRPr lang="en-US" b="1">
                  <a:solidFill>
                    <a:sysClr val="windowText" lastClr="000000"/>
                  </a:solidFill>
                </a:endParaRPr>
              </a:p>
            </c:rich>
          </c:tx>
          <c:overlay val="0"/>
          <c:spPr>
            <a:noFill/>
            <a:ln>
              <a:noFill/>
            </a:ln>
            <a:effectLst/>
          </c:spPr>
        </c:title>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0052864"/>
        <c:crosses val="autoZero"/>
        <c:crossBetween val="midCat"/>
        <c:dispUnits>
          <c:builtInUnit val="hundreds"/>
        </c:dispUnits>
      </c:valAx>
      <c:spPr>
        <a:noFill/>
        <a:ln>
          <a:noFill/>
        </a:ln>
        <a:effectLst/>
      </c:spPr>
    </c:plotArea>
    <c:legend>
      <c:legendPos val="r"/>
      <c:layout>
        <c:manualLayout>
          <c:xMode val="edge"/>
          <c:yMode val="edge"/>
          <c:x val="9.6254388037153679E-2"/>
          <c:y val="1.9798348377184558E-2"/>
          <c:w val="0.19613687215144351"/>
          <c:h val="0.3103627732919186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631707215327996E-2"/>
          <c:y val="5.2914218089528529E-2"/>
          <c:w val="0.88147477170169319"/>
          <c:h val="0.83925784051768304"/>
        </c:manualLayout>
      </c:layout>
      <c:lineChart>
        <c:grouping val="standard"/>
        <c:varyColors val="0"/>
        <c:ser>
          <c:idx val="0"/>
          <c:order val="0"/>
          <c:tx>
            <c:strRef>
              <c:f>'Healthcare practitioners'!$B$8</c:f>
              <c:strCache>
                <c:ptCount val="1"/>
                <c:pt idx="0">
                  <c:v>Fentanyl*</c:v>
                </c:pt>
              </c:strCache>
            </c:strRef>
          </c:tx>
          <c:spPr>
            <a:ln w="28575" cap="rnd">
              <a:solidFill>
                <a:srgbClr val="416FA6"/>
              </a:solidFill>
              <a:round/>
            </a:ln>
            <a:effectLst/>
          </c:spPr>
          <c:marker>
            <c:symbol val="square"/>
            <c:size val="6"/>
            <c:spPr>
              <a:solidFill>
                <a:schemeClr val="accent1"/>
              </a:solidFill>
              <a:ln w="9525">
                <a:solidFill>
                  <a:schemeClr val="accent1"/>
                </a:solidFill>
              </a:ln>
              <a:effectLst/>
            </c:spPr>
          </c:marker>
          <c:cat>
            <c:numRef>
              <c:f>'Healthcare practitioners'!$A$9:$A$11</c:f>
              <c:numCache>
                <c:formatCode>General</c:formatCode>
                <c:ptCount val="3"/>
                <c:pt idx="0">
                  <c:v>2015</c:v>
                </c:pt>
                <c:pt idx="1">
                  <c:v>2016</c:v>
                </c:pt>
                <c:pt idx="2">
                  <c:v>2017</c:v>
                </c:pt>
              </c:numCache>
            </c:numRef>
          </c:cat>
          <c:val>
            <c:numRef>
              <c:f>'Healthcare practitioners'!$B$9:$B$11</c:f>
              <c:numCache>
                <c:formatCode>General</c:formatCode>
                <c:ptCount val="3"/>
                <c:pt idx="0">
                  <c:v>32.352941176470587</c:v>
                </c:pt>
                <c:pt idx="1">
                  <c:v>52</c:v>
                </c:pt>
                <c:pt idx="2">
                  <c:v>72.727272727272734</c:v>
                </c:pt>
              </c:numCache>
            </c:numRef>
          </c:val>
          <c:smooth val="0"/>
          <c:extLst>
            <c:ext xmlns:c16="http://schemas.microsoft.com/office/drawing/2014/chart" uri="{C3380CC4-5D6E-409C-BE32-E72D297353CC}">
              <c16:uniqueId val="{00000000-AA5E-486B-BEEA-D24C5B025ADE}"/>
            </c:ext>
          </c:extLst>
        </c:ser>
        <c:ser>
          <c:idx val="1"/>
          <c:order val="1"/>
          <c:tx>
            <c:strRef>
              <c:f>'Healthcare practitioners'!$C$8</c:f>
              <c:strCache>
                <c:ptCount val="1"/>
                <c:pt idx="0">
                  <c:v>Heroin</c:v>
                </c:pt>
              </c:strCache>
            </c:strRef>
          </c:tx>
          <c:spPr>
            <a:ln w="28575" cap="rnd">
              <a:solidFill>
                <a:schemeClr val="accent2"/>
              </a:solidFill>
              <a:round/>
            </a:ln>
            <a:effectLst/>
          </c:spPr>
          <c:marker>
            <c:symbol val="diamond"/>
            <c:size val="6"/>
            <c:spPr>
              <a:solidFill>
                <a:schemeClr val="accent2"/>
              </a:solidFill>
              <a:ln w="9525">
                <a:solidFill>
                  <a:schemeClr val="accent2"/>
                </a:solidFill>
              </a:ln>
              <a:effectLst/>
            </c:spPr>
          </c:marker>
          <c:val>
            <c:numRef>
              <c:f>'Healthcare practitioners'!$C$9:$C$11</c:f>
              <c:numCache>
                <c:formatCode>General</c:formatCode>
                <c:ptCount val="3"/>
                <c:pt idx="0">
                  <c:v>29.411764705882355</c:v>
                </c:pt>
                <c:pt idx="1">
                  <c:v>26</c:v>
                </c:pt>
                <c:pt idx="2">
                  <c:v>33.333333333333329</c:v>
                </c:pt>
              </c:numCache>
            </c:numRef>
          </c:val>
          <c:smooth val="0"/>
          <c:extLst>
            <c:ext xmlns:c16="http://schemas.microsoft.com/office/drawing/2014/chart" uri="{C3380CC4-5D6E-409C-BE32-E72D297353CC}">
              <c16:uniqueId val="{00000001-AA5E-486B-BEEA-D24C5B025ADE}"/>
            </c:ext>
          </c:extLst>
        </c:ser>
        <c:ser>
          <c:idx val="2"/>
          <c:order val="2"/>
          <c:tx>
            <c:strRef>
              <c:f>'Healthcare practitioners'!$D$8</c:f>
              <c:strCache>
                <c:ptCount val="1"/>
                <c:pt idx="0">
                  <c:v>Cocaine</c:v>
                </c:pt>
              </c:strCache>
            </c:strRef>
          </c:tx>
          <c:spPr>
            <a:ln w="28575" cap="rnd">
              <a:solidFill>
                <a:schemeClr val="accent3"/>
              </a:solidFill>
              <a:round/>
            </a:ln>
            <a:effectLst/>
          </c:spPr>
          <c:marker>
            <c:symbol val="triangle"/>
            <c:size val="6"/>
            <c:spPr>
              <a:solidFill>
                <a:schemeClr val="accent3"/>
              </a:solidFill>
              <a:ln w="9525">
                <a:solidFill>
                  <a:schemeClr val="accent3"/>
                </a:solidFill>
              </a:ln>
              <a:effectLst/>
            </c:spPr>
          </c:marker>
          <c:val>
            <c:numRef>
              <c:f>'Healthcare practitioners'!$D$9:$D$11</c:f>
              <c:numCache>
                <c:formatCode>General</c:formatCode>
                <c:ptCount val="3"/>
                <c:pt idx="0">
                  <c:v>8.8235294117647065</c:v>
                </c:pt>
                <c:pt idx="1">
                  <c:v>18</c:v>
                </c:pt>
                <c:pt idx="2">
                  <c:v>30.303030303030305</c:v>
                </c:pt>
              </c:numCache>
            </c:numRef>
          </c:val>
          <c:smooth val="0"/>
          <c:extLst>
            <c:ext xmlns:c16="http://schemas.microsoft.com/office/drawing/2014/chart" uri="{C3380CC4-5D6E-409C-BE32-E72D297353CC}">
              <c16:uniqueId val="{00000002-AA5E-486B-BEEA-D24C5B025ADE}"/>
            </c:ext>
          </c:extLst>
        </c:ser>
        <c:ser>
          <c:idx val="3"/>
          <c:order val="3"/>
          <c:tx>
            <c:strRef>
              <c:f>'Healthcare practitioners'!$E$8</c:f>
              <c:strCache>
                <c:ptCount val="1"/>
                <c:pt idx="0">
                  <c:v>Benzodiazepine</c:v>
                </c:pt>
              </c:strCache>
            </c:strRef>
          </c:tx>
          <c:spPr>
            <a:ln w="28575" cap="rnd">
              <a:solidFill>
                <a:schemeClr val="accent4"/>
              </a:solidFill>
              <a:round/>
            </a:ln>
            <a:effectLst/>
          </c:spPr>
          <c:marker>
            <c:symbol val="star"/>
            <c:size val="6"/>
            <c:spPr>
              <a:noFill/>
              <a:ln w="9525">
                <a:solidFill>
                  <a:schemeClr val="accent4"/>
                </a:solidFill>
              </a:ln>
              <a:effectLst/>
            </c:spPr>
          </c:marker>
          <c:val>
            <c:numRef>
              <c:f>'Healthcare practitioners'!$E$9:$E$11</c:f>
              <c:numCache>
                <c:formatCode>General</c:formatCode>
                <c:ptCount val="3"/>
                <c:pt idx="0">
                  <c:v>23.52941176470588</c:v>
                </c:pt>
                <c:pt idx="1">
                  <c:v>24</c:v>
                </c:pt>
                <c:pt idx="2">
                  <c:v>30.303030303030305</c:v>
                </c:pt>
              </c:numCache>
            </c:numRef>
          </c:val>
          <c:smooth val="0"/>
          <c:extLst>
            <c:ext xmlns:c16="http://schemas.microsoft.com/office/drawing/2014/chart" uri="{C3380CC4-5D6E-409C-BE32-E72D297353CC}">
              <c16:uniqueId val="{00000003-AA5E-486B-BEEA-D24C5B025ADE}"/>
            </c:ext>
          </c:extLst>
        </c:ser>
        <c:ser>
          <c:idx val="4"/>
          <c:order val="4"/>
          <c:tx>
            <c:strRef>
              <c:f>'Healthcare practitioners'!$F$8</c:f>
              <c:strCache>
                <c:ptCount val="1"/>
                <c:pt idx="0">
                  <c:v>Amphetamine</c:v>
                </c:pt>
              </c:strCache>
            </c:strRef>
          </c:tx>
          <c:spPr>
            <a:ln w="28575" cap="rnd">
              <a:solidFill>
                <a:schemeClr val="accent5"/>
              </a:solidFill>
              <a:round/>
            </a:ln>
            <a:effectLst/>
          </c:spPr>
          <c:marker>
            <c:symbol val="plus"/>
            <c:size val="6"/>
            <c:spPr>
              <a:noFill/>
              <a:ln w="9525">
                <a:solidFill>
                  <a:schemeClr val="accent5"/>
                </a:solidFill>
              </a:ln>
              <a:effectLst/>
            </c:spPr>
          </c:marker>
          <c:val>
            <c:numRef>
              <c:f>'Healthcare practitioners'!$F$9:$F$11</c:f>
              <c:numCache>
                <c:formatCode>General</c:formatCode>
                <c:ptCount val="3"/>
                <c:pt idx="0">
                  <c:v>8.8235294117647065</c:v>
                </c:pt>
                <c:pt idx="1">
                  <c:v>4</c:v>
                </c:pt>
                <c:pt idx="2">
                  <c:v>3.0303030303030303</c:v>
                </c:pt>
              </c:numCache>
            </c:numRef>
          </c:val>
          <c:smooth val="0"/>
          <c:extLst>
            <c:ext xmlns:c16="http://schemas.microsoft.com/office/drawing/2014/chart" uri="{C3380CC4-5D6E-409C-BE32-E72D297353CC}">
              <c16:uniqueId val="{00000004-AA5E-486B-BEEA-D24C5B025ADE}"/>
            </c:ext>
          </c:extLst>
        </c:ser>
        <c:ser>
          <c:idx val="5"/>
          <c:order val="5"/>
          <c:tx>
            <c:strRef>
              <c:f>'Healthcare practitioners'!$G$8</c:f>
              <c:strCache>
                <c:ptCount val="1"/>
                <c:pt idx="0">
                  <c:v>Prescribed Opioid**</c:v>
                </c:pt>
              </c:strCache>
            </c:strRef>
          </c:tx>
          <c:spPr>
            <a:ln w="28575" cap="rnd">
              <a:solidFill>
                <a:schemeClr val="accent6"/>
              </a:solidFill>
              <a:round/>
            </a:ln>
            <a:effectLst/>
          </c:spPr>
          <c:marker>
            <c:symbol val="circle"/>
            <c:size val="6"/>
            <c:spPr>
              <a:solidFill>
                <a:schemeClr val="accent6"/>
              </a:solidFill>
              <a:ln w="9525">
                <a:solidFill>
                  <a:schemeClr val="accent6"/>
                </a:solidFill>
              </a:ln>
              <a:effectLst/>
            </c:spPr>
          </c:marker>
          <c:val>
            <c:numRef>
              <c:f>'Healthcare practitioners'!$G$9:$G$11</c:f>
              <c:numCache>
                <c:formatCode>General</c:formatCode>
                <c:ptCount val="3"/>
                <c:pt idx="0">
                  <c:v>29.411764705882355</c:v>
                </c:pt>
                <c:pt idx="1">
                  <c:v>30</c:v>
                </c:pt>
                <c:pt idx="2">
                  <c:v>21.212121212121211</c:v>
                </c:pt>
              </c:numCache>
            </c:numRef>
          </c:val>
          <c:smooth val="0"/>
          <c:extLst>
            <c:ext xmlns:c16="http://schemas.microsoft.com/office/drawing/2014/chart" uri="{C3380CC4-5D6E-409C-BE32-E72D297353CC}">
              <c16:uniqueId val="{00000005-AA5E-486B-BEEA-D24C5B025ADE}"/>
            </c:ext>
          </c:extLst>
        </c:ser>
        <c:ser>
          <c:idx val="6"/>
          <c:order val="6"/>
          <c:tx>
            <c:strRef>
              <c:f>'Healthcare practitioners'!$H$8</c:f>
              <c:strCache>
                <c:ptCount val="1"/>
                <c:pt idx="0">
                  <c:v>Alcohol</c:v>
                </c:pt>
              </c:strCache>
            </c:strRef>
          </c:tx>
          <c:spPr>
            <a:ln w="28575" cap="rnd">
              <a:solidFill>
                <a:srgbClr val="8EA5CB"/>
              </a:solidFill>
              <a:round/>
            </a:ln>
            <a:effectLst/>
          </c:spPr>
          <c:marker>
            <c:symbol val="x"/>
            <c:size val="6"/>
            <c:spPr>
              <a:noFill/>
              <a:ln w="9525">
                <a:solidFill>
                  <a:schemeClr val="accent1">
                    <a:lumMod val="60000"/>
                  </a:schemeClr>
                </a:solidFill>
              </a:ln>
              <a:effectLst/>
            </c:spPr>
          </c:marker>
          <c:val>
            <c:numRef>
              <c:f>'Healthcare practitioners'!$H$9:$H$11</c:f>
              <c:numCache>
                <c:formatCode>General</c:formatCode>
                <c:ptCount val="3"/>
                <c:pt idx="0">
                  <c:v>8.8235294117647065</c:v>
                </c:pt>
                <c:pt idx="1">
                  <c:v>32</c:v>
                </c:pt>
                <c:pt idx="2">
                  <c:v>9.0909090909090917</c:v>
                </c:pt>
              </c:numCache>
            </c:numRef>
          </c:val>
          <c:smooth val="0"/>
          <c:extLst>
            <c:ext xmlns:c16="http://schemas.microsoft.com/office/drawing/2014/chart" uri="{C3380CC4-5D6E-409C-BE32-E72D297353CC}">
              <c16:uniqueId val="{00000006-AA5E-486B-BEEA-D24C5B025ADE}"/>
            </c:ext>
          </c:extLst>
        </c:ser>
        <c:dLbls>
          <c:showLegendKey val="0"/>
          <c:showVal val="0"/>
          <c:showCatName val="0"/>
          <c:showSerName val="0"/>
          <c:showPercent val="0"/>
          <c:showBubbleSize val="0"/>
        </c:dLbls>
        <c:marker val="1"/>
        <c:smooth val="0"/>
        <c:axId val="90137344"/>
        <c:axId val="90139648"/>
      </c:lineChart>
      <c:catAx>
        <c:axId val="90137344"/>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a:solidFill>
                      <a:sysClr val="windowText" lastClr="000000"/>
                    </a:solidFill>
                  </a:rPr>
                  <a:t>Year</a:t>
                </a:r>
              </a:p>
            </c:rich>
          </c:tx>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0139648"/>
        <c:crosses val="autoZero"/>
        <c:auto val="1"/>
        <c:lblAlgn val="ctr"/>
        <c:lblOffset val="0"/>
        <c:noMultiLvlLbl val="0"/>
      </c:catAx>
      <c:valAx>
        <c:axId val="90139648"/>
        <c:scaling>
          <c:orientation val="minMax"/>
          <c:max val="100"/>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a:solidFill>
                      <a:sysClr val="windowText" lastClr="000000"/>
                    </a:solidFill>
                  </a:rPr>
                  <a:t>Percentage of opioid-related overdose</a:t>
                </a:r>
                <a:r>
                  <a:rPr lang="en-US" b="1" baseline="0">
                    <a:solidFill>
                      <a:sysClr val="windowText" lastClr="000000"/>
                    </a:solidFill>
                  </a:rPr>
                  <a:t> deaths</a:t>
                </a:r>
                <a:endParaRPr lang="en-US" b="1">
                  <a:solidFill>
                    <a:sysClr val="windowText" lastClr="000000"/>
                  </a:solidFill>
                </a:endParaRPr>
              </a:p>
            </c:rich>
          </c:tx>
          <c:overlay val="0"/>
          <c:spPr>
            <a:noFill/>
            <a:ln>
              <a:noFill/>
            </a:ln>
            <a:effectLst/>
          </c:spPr>
        </c:title>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0137344"/>
        <c:crosses val="autoZero"/>
        <c:crossBetween val="midCat"/>
        <c:dispUnits>
          <c:builtInUnit val="hundreds"/>
        </c:dispUnits>
      </c:valAx>
      <c:spPr>
        <a:noFill/>
        <a:ln>
          <a:noFill/>
        </a:ln>
        <a:effectLst/>
      </c:spPr>
    </c:plotArea>
    <c:legend>
      <c:legendPos val="r"/>
      <c:layout>
        <c:manualLayout>
          <c:xMode val="edge"/>
          <c:yMode val="edge"/>
          <c:x val="0.10007628752119721"/>
          <c:y val="3.2665106050932827E-2"/>
          <c:w val="0.19995877163548709"/>
          <c:h val="0.3103627732919186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631707215327996E-2"/>
          <c:y val="5.2914218089528529E-2"/>
          <c:w val="0.88147477170169319"/>
          <c:h val="0.85529790812076634"/>
        </c:manualLayout>
      </c:layout>
      <c:lineChart>
        <c:grouping val="standard"/>
        <c:varyColors val="0"/>
        <c:ser>
          <c:idx val="0"/>
          <c:order val="0"/>
          <c:tx>
            <c:strRef>
              <c:f>Production!$B$8</c:f>
              <c:strCache>
                <c:ptCount val="1"/>
                <c:pt idx="0">
                  <c:v>Fentanyl*</c:v>
                </c:pt>
              </c:strCache>
            </c:strRef>
          </c:tx>
          <c:spPr>
            <a:ln w="28575" cap="rnd">
              <a:solidFill>
                <a:srgbClr val="416FA6"/>
              </a:solidFill>
              <a:round/>
            </a:ln>
            <a:effectLst/>
          </c:spPr>
          <c:marker>
            <c:symbol val="square"/>
            <c:size val="6"/>
            <c:spPr>
              <a:solidFill>
                <a:schemeClr val="accent1"/>
              </a:solidFill>
              <a:ln w="9525">
                <a:solidFill>
                  <a:schemeClr val="accent1"/>
                </a:solidFill>
              </a:ln>
              <a:effectLst/>
            </c:spPr>
          </c:marker>
          <c:cat>
            <c:numRef>
              <c:f>Production!$A$9:$A$11</c:f>
              <c:numCache>
                <c:formatCode>General</c:formatCode>
                <c:ptCount val="3"/>
                <c:pt idx="0">
                  <c:v>2015</c:v>
                </c:pt>
                <c:pt idx="1">
                  <c:v>2016</c:v>
                </c:pt>
                <c:pt idx="2">
                  <c:v>2017</c:v>
                </c:pt>
              </c:numCache>
            </c:numRef>
          </c:cat>
          <c:val>
            <c:numRef>
              <c:f>Production!$B$9:$B$11</c:f>
              <c:numCache>
                <c:formatCode>General</c:formatCode>
                <c:ptCount val="3"/>
                <c:pt idx="0">
                  <c:v>53.097345132743371</c:v>
                </c:pt>
                <c:pt idx="1">
                  <c:v>75.824175824175825</c:v>
                </c:pt>
                <c:pt idx="2">
                  <c:v>84.158415841584159</c:v>
                </c:pt>
              </c:numCache>
            </c:numRef>
          </c:val>
          <c:smooth val="0"/>
          <c:extLst>
            <c:ext xmlns:c16="http://schemas.microsoft.com/office/drawing/2014/chart" uri="{C3380CC4-5D6E-409C-BE32-E72D297353CC}">
              <c16:uniqueId val="{00000000-B863-4C46-B16D-7B73EDDF3CAA}"/>
            </c:ext>
          </c:extLst>
        </c:ser>
        <c:ser>
          <c:idx val="1"/>
          <c:order val="1"/>
          <c:tx>
            <c:strRef>
              <c:f>Production!$C$8</c:f>
              <c:strCache>
                <c:ptCount val="1"/>
                <c:pt idx="0">
                  <c:v>Heroin</c:v>
                </c:pt>
              </c:strCache>
            </c:strRef>
          </c:tx>
          <c:spPr>
            <a:ln w="28575" cap="rnd">
              <a:solidFill>
                <a:schemeClr val="accent2"/>
              </a:solidFill>
              <a:round/>
            </a:ln>
            <a:effectLst/>
          </c:spPr>
          <c:marker>
            <c:symbol val="diamond"/>
            <c:size val="6"/>
            <c:spPr>
              <a:solidFill>
                <a:schemeClr val="accent2"/>
              </a:solidFill>
              <a:ln w="9525">
                <a:solidFill>
                  <a:schemeClr val="accent2"/>
                </a:solidFill>
              </a:ln>
              <a:effectLst/>
            </c:spPr>
          </c:marker>
          <c:val>
            <c:numRef>
              <c:f>Production!$C$9:$C$11</c:f>
              <c:numCache>
                <c:formatCode>General</c:formatCode>
                <c:ptCount val="3"/>
                <c:pt idx="0">
                  <c:v>42.477876106194692</c:v>
                </c:pt>
                <c:pt idx="1">
                  <c:v>30.76923076923077</c:v>
                </c:pt>
                <c:pt idx="2">
                  <c:v>31.683168316831683</c:v>
                </c:pt>
              </c:numCache>
            </c:numRef>
          </c:val>
          <c:smooth val="0"/>
          <c:extLst>
            <c:ext xmlns:c16="http://schemas.microsoft.com/office/drawing/2014/chart" uri="{C3380CC4-5D6E-409C-BE32-E72D297353CC}">
              <c16:uniqueId val="{00000001-B863-4C46-B16D-7B73EDDF3CAA}"/>
            </c:ext>
          </c:extLst>
        </c:ser>
        <c:ser>
          <c:idx val="2"/>
          <c:order val="2"/>
          <c:tx>
            <c:strRef>
              <c:f>Production!$D$8</c:f>
              <c:strCache>
                <c:ptCount val="1"/>
                <c:pt idx="0">
                  <c:v>Cocaine</c:v>
                </c:pt>
              </c:strCache>
            </c:strRef>
          </c:tx>
          <c:spPr>
            <a:ln w="28575" cap="rnd">
              <a:solidFill>
                <a:schemeClr val="accent3"/>
              </a:solidFill>
              <a:round/>
            </a:ln>
            <a:effectLst/>
          </c:spPr>
          <c:marker>
            <c:symbol val="triangle"/>
            <c:size val="6"/>
            <c:spPr>
              <a:solidFill>
                <a:schemeClr val="accent3"/>
              </a:solidFill>
              <a:ln w="9525">
                <a:solidFill>
                  <a:schemeClr val="accent3"/>
                </a:solidFill>
              </a:ln>
              <a:effectLst/>
            </c:spPr>
          </c:marker>
          <c:val>
            <c:numRef>
              <c:f>Production!$D$9:$D$11</c:f>
              <c:numCache>
                <c:formatCode>General</c:formatCode>
                <c:ptCount val="3"/>
                <c:pt idx="0">
                  <c:v>27.43362831858407</c:v>
                </c:pt>
                <c:pt idx="1">
                  <c:v>21.978021978021978</c:v>
                </c:pt>
                <c:pt idx="2">
                  <c:v>26.732673267326735</c:v>
                </c:pt>
              </c:numCache>
            </c:numRef>
          </c:val>
          <c:smooth val="0"/>
          <c:extLst>
            <c:ext xmlns:c16="http://schemas.microsoft.com/office/drawing/2014/chart" uri="{C3380CC4-5D6E-409C-BE32-E72D297353CC}">
              <c16:uniqueId val="{00000002-B863-4C46-B16D-7B73EDDF3CAA}"/>
            </c:ext>
          </c:extLst>
        </c:ser>
        <c:ser>
          <c:idx val="3"/>
          <c:order val="3"/>
          <c:tx>
            <c:strRef>
              <c:f>Production!$E$8</c:f>
              <c:strCache>
                <c:ptCount val="1"/>
                <c:pt idx="0">
                  <c:v>Benzodiazepine</c:v>
                </c:pt>
              </c:strCache>
            </c:strRef>
          </c:tx>
          <c:spPr>
            <a:ln w="28575" cap="rnd">
              <a:solidFill>
                <a:schemeClr val="accent4"/>
              </a:solidFill>
              <a:round/>
            </a:ln>
            <a:effectLst/>
          </c:spPr>
          <c:marker>
            <c:symbol val="star"/>
            <c:size val="6"/>
            <c:spPr>
              <a:noFill/>
              <a:ln w="9525">
                <a:solidFill>
                  <a:schemeClr val="accent4"/>
                </a:solidFill>
              </a:ln>
              <a:effectLst/>
            </c:spPr>
          </c:marker>
          <c:val>
            <c:numRef>
              <c:f>Production!$E$9:$E$11</c:f>
              <c:numCache>
                <c:formatCode>General</c:formatCode>
                <c:ptCount val="3"/>
                <c:pt idx="0">
                  <c:v>14.159292035398231</c:v>
                </c:pt>
                <c:pt idx="1">
                  <c:v>3.296703296703297</c:v>
                </c:pt>
                <c:pt idx="2">
                  <c:v>13.861386138613863</c:v>
                </c:pt>
              </c:numCache>
            </c:numRef>
          </c:val>
          <c:smooth val="0"/>
          <c:extLst>
            <c:ext xmlns:c16="http://schemas.microsoft.com/office/drawing/2014/chart" uri="{C3380CC4-5D6E-409C-BE32-E72D297353CC}">
              <c16:uniqueId val="{00000003-B863-4C46-B16D-7B73EDDF3CAA}"/>
            </c:ext>
          </c:extLst>
        </c:ser>
        <c:ser>
          <c:idx val="4"/>
          <c:order val="4"/>
          <c:tx>
            <c:strRef>
              <c:f>Production!$F$8</c:f>
              <c:strCache>
                <c:ptCount val="1"/>
                <c:pt idx="0">
                  <c:v>Amphetamine</c:v>
                </c:pt>
              </c:strCache>
            </c:strRef>
          </c:tx>
          <c:spPr>
            <a:ln w="28575" cap="rnd">
              <a:solidFill>
                <a:schemeClr val="accent5"/>
              </a:solidFill>
              <a:round/>
            </a:ln>
            <a:effectLst/>
          </c:spPr>
          <c:marker>
            <c:symbol val="plus"/>
            <c:size val="5"/>
            <c:spPr>
              <a:noFill/>
              <a:ln w="9525">
                <a:solidFill>
                  <a:schemeClr val="accent5"/>
                </a:solidFill>
              </a:ln>
              <a:effectLst/>
            </c:spPr>
          </c:marker>
          <c:val>
            <c:numRef>
              <c:f>Production!$F$9:$F$11</c:f>
              <c:numCache>
                <c:formatCode>General</c:formatCode>
                <c:ptCount val="3"/>
                <c:pt idx="0">
                  <c:v>2.6548672566371683</c:v>
                </c:pt>
                <c:pt idx="1">
                  <c:v>2.197802197802198</c:v>
                </c:pt>
                <c:pt idx="2">
                  <c:v>1.9801980198019802</c:v>
                </c:pt>
              </c:numCache>
            </c:numRef>
          </c:val>
          <c:smooth val="0"/>
          <c:extLst>
            <c:ext xmlns:c16="http://schemas.microsoft.com/office/drawing/2014/chart" uri="{C3380CC4-5D6E-409C-BE32-E72D297353CC}">
              <c16:uniqueId val="{00000004-B863-4C46-B16D-7B73EDDF3CAA}"/>
            </c:ext>
          </c:extLst>
        </c:ser>
        <c:ser>
          <c:idx val="5"/>
          <c:order val="5"/>
          <c:tx>
            <c:strRef>
              <c:f>Production!$G$8</c:f>
              <c:strCache>
                <c:ptCount val="1"/>
                <c:pt idx="0">
                  <c:v>Prescribed Opioid**</c:v>
                </c:pt>
              </c:strCache>
            </c:strRef>
          </c:tx>
          <c:spPr>
            <a:ln w="28575" cap="rnd">
              <a:solidFill>
                <a:schemeClr val="accent6"/>
              </a:solidFill>
              <a:round/>
            </a:ln>
            <a:effectLst/>
          </c:spPr>
          <c:marker>
            <c:symbol val="circle"/>
            <c:size val="6"/>
            <c:spPr>
              <a:solidFill>
                <a:schemeClr val="accent6"/>
              </a:solidFill>
              <a:ln w="9525">
                <a:solidFill>
                  <a:schemeClr val="accent6"/>
                </a:solidFill>
              </a:ln>
              <a:effectLst/>
            </c:spPr>
          </c:marker>
          <c:val>
            <c:numRef>
              <c:f>Production!$G$9:$G$11</c:f>
              <c:numCache>
                <c:formatCode>General</c:formatCode>
                <c:ptCount val="3"/>
                <c:pt idx="0">
                  <c:v>9.7345132743362832</c:v>
                </c:pt>
                <c:pt idx="1">
                  <c:v>12.087912087912088</c:v>
                </c:pt>
                <c:pt idx="2">
                  <c:v>8.9108910891089099</c:v>
                </c:pt>
              </c:numCache>
            </c:numRef>
          </c:val>
          <c:smooth val="0"/>
          <c:extLst>
            <c:ext xmlns:c16="http://schemas.microsoft.com/office/drawing/2014/chart" uri="{C3380CC4-5D6E-409C-BE32-E72D297353CC}">
              <c16:uniqueId val="{00000005-B863-4C46-B16D-7B73EDDF3CAA}"/>
            </c:ext>
          </c:extLst>
        </c:ser>
        <c:ser>
          <c:idx val="6"/>
          <c:order val="6"/>
          <c:tx>
            <c:strRef>
              <c:f>Production!$H$8</c:f>
              <c:strCache>
                <c:ptCount val="1"/>
                <c:pt idx="0">
                  <c:v>Alcohol</c:v>
                </c:pt>
              </c:strCache>
            </c:strRef>
          </c:tx>
          <c:spPr>
            <a:ln w="28575" cap="rnd">
              <a:solidFill>
                <a:srgbClr val="8EA5CB"/>
              </a:solidFill>
              <a:round/>
            </a:ln>
            <a:effectLst/>
          </c:spPr>
          <c:marker>
            <c:symbol val="x"/>
            <c:size val="5"/>
            <c:spPr>
              <a:noFill/>
              <a:ln w="9525">
                <a:solidFill>
                  <a:schemeClr val="accent1">
                    <a:lumMod val="60000"/>
                  </a:schemeClr>
                </a:solidFill>
              </a:ln>
              <a:effectLst/>
            </c:spPr>
          </c:marker>
          <c:val>
            <c:numRef>
              <c:f>Production!$H$9:$H$11</c:f>
              <c:numCache>
                <c:formatCode>General</c:formatCode>
                <c:ptCount val="3"/>
                <c:pt idx="0">
                  <c:v>21.238938053097346</c:v>
                </c:pt>
                <c:pt idx="1">
                  <c:v>21.978021978021978</c:v>
                </c:pt>
                <c:pt idx="2">
                  <c:v>22.772277227722775</c:v>
                </c:pt>
              </c:numCache>
            </c:numRef>
          </c:val>
          <c:smooth val="0"/>
          <c:extLst>
            <c:ext xmlns:c16="http://schemas.microsoft.com/office/drawing/2014/chart" uri="{C3380CC4-5D6E-409C-BE32-E72D297353CC}">
              <c16:uniqueId val="{00000006-B863-4C46-B16D-7B73EDDF3CAA}"/>
            </c:ext>
          </c:extLst>
        </c:ser>
        <c:dLbls>
          <c:showLegendKey val="0"/>
          <c:showVal val="0"/>
          <c:showCatName val="0"/>
          <c:showSerName val="0"/>
          <c:showPercent val="0"/>
          <c:showBubbleSize val="0"/>
        </c:dLbls>
        <c:marker val="1"/>
        <c:smooth val="0"/>
        <c:axId val="90168320"/>
        <c:axId val="91293184"/>
      </c:lineChart>
      <c:catAx>
        <c:axId val="90168320"/>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a:solidFill>
                      <a:sysClr val="windowText" lastClr="000000"/>
                    </a:solidFill>
                  </a:rPr>
                  <a:t>Year</a:t>
                </a:r>
              </a:p>
            </c:rich>
          </c:tx>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1293184"/>
        <c:crosses val="autoZero"/>
        <c:auto val="1"/>
        <c:lblAlgn val="ctr"/>
        <c:lblOffset val="0"/>
        <c:noMultiLvlLbl val="0"/>
      </c:catAx>
      <c:valAx>
        <c:axId val="91293184"/>
        <c:scaling>
          <c:orientation val="minMax"/>
          <c:max val="100"/>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a:solidFill>
                      <a:sysClr val="windowText" lastClr="000000"/>
                    </a:solidFill>
                  </a:rPr>
                  <a:t>Percentage of opioid-related overdose</a:t>
                </a:r>
                <a:r>
                  <a:rPr lang="en-US" b="1" baseline="0">
                    <a:solidFill>
                      <a:sysClr val="windowText" lastClr="000000"/>
                    </a:solidFill>
                  </a:rPr>
                  <a:t> deaths</a:t>
                </a:r>
                <a:endParaRPr lang="en-US" b="1">
                  <a:solidFill>
                    <a:sysClr val="windowText" lastClr="000000"/>
                  </a:solidFill>
                </a:endParaRPr>
              </a:p>
            </c:rich>
          </c:tx>
          <c:overlay val="0"/>
          <c:spPr>
            <a:noFill/>
            <a:ln>
              <a:noFill/>
            </a:ln>
            <a:effectLst/>
          </c:spPr>
        </c:title>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0168320"/>
        <c:crosses val="autoZero"/>
        <c:crossBetween val="midCat"/>
        <c:dispUnits>
          <c:builtInUnit val="hundreds"/>
        </c:dispUnits>
      </c:valAx>
      <c:spPr>
        <a:noFill/>
        <a:ln>
          <a:noFill/>
        </a:ln>
        <a:effectLst/>
      </c:spPr>
    </c:plotArea>
    <c:legend>
      <c:legendPos val="r"/>
      <c:layout>
        <c:manualLayout>
          <c:xMode val="edge"/>
          <c:yMode val="edge"/>
          <c:x val="8.0966790100979402E-2"/>
          <c:y val="1.2836688827070271E-2"/>
          <c:w val="0.23053396750783564"/>
          <c:h val="0.3103627732919186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596458573769494E-2"/>
          <c:y val="5.5250160164415897E-2"/>
          <c:w val="0.88938309426399098"/>
          <c:h val="0.68952497135041202"/>
        </c:manualLayout>
      </c:layout>
      <c:barChart>
        <c:barDir val="col"/>
        <c:grouping val="clustered"/>
        <c:varyColors val="0"/>
        <c:ser>
          <c:idx val="0"/>
          <c:order val="0"/>
          <c:spPr>
            <a:ln>
              <a:solidFill>
                <a:sysClr val="windowText" lastClr="000000"/>
              </a:solidFill>
            </a:ln>
          </c:spPr>
          <c:invertIfNegative val="0"/>
          <c:dPt>
            <c:idx val="0"/>
            <c:invertIfNegative val="0"/>
            <c:bubble3D val="0"/>
            <c:spPr>
              <a:solidFill>
                <a:srgbClr val="FF0000"/>
              </a:solidFill>
              <a:ln>
                <a:solidFill>
                  <a:sysClr val="windowText" lastClr="000000"/>
                </a:solidFill>
              </a:ln>
            </c:spPr>
            <c:extLst>
              <c:ext xmlns:c16="http://schemas.microsoft.com/office/drawing/2014/chart" uri="{C3380CC4-5D6E-409C-BE32-E72D297353CC}">
                <c16:uniqueId val="{00000001-2994-4A6F-B775-ECCE61B6BD3F}"/>
              </c:ext>
            </c:extLst>
          </c:dPt>
          <c:errBars>
            <c:errBarType val="both"/>
            <c:errValType val="cust"/>
            <c:noEndCap val="0"/>
            <c:plus>
              <c:numRef>
                <c:f>('T2. Occupation group - gender'!$G$32,'T2. Occupation group - gender'!$G$4:$G$12)</c:f>
                <c:numCache>
                  <c:formatCode>General</c:formatCode>
                  <c:ptCount val="10"/>
                  <c:pt idx="0">
                    <c:v>2.2340866342577481</c:v>
                  </c:pt>
                  <c:pt idx="1">
                    <c:v>26.03393180469935</c:v>
                  </c:pt>
                  <c:pt idx="2">
                    <c:v>121.73370685645421</c:v>
                  </c:pt>
                  <c:pt idx="3">
                    <c:v>25.827208856035931</c:v>
                  </c:pt>
                  <c:pt idx="4">
                    <c:v>14.1315850575045</c:v>
                  </c:pt>
                  <c:pt idx="5">
                    <c:v>13.413096406402101</c:v>
                  </c:pt>
                  <c:pt idx="6">
                    <c:v>12.42704557581615</c:v>
                  </c:pt>
                  <c:pt idx="7">
                    <c:v>16.327989182765489</c:v>
                  </c:pt>
                  <c:pt idx="8">
                    <c:v>15.386792529514979</c:v>
                  </c:pt>
                  <c:pt idx="9">
                    <c:v>11.68861485233338</c:v>
                  </c:pt>
                </c:numCache>
              </c:numRef>
            </c:plus>
            <c:minus>
              <c:numRef>
                <c:f>('T2. Occupation group - gender'!$G$32,'T2. Occupation group - gender'!$G$4:$G$12)</c:f>
                <c:numCache>
                  <c:formatCode>General</c:formatCode>
                  <c:ptCount val="10"/>
                  <c:pt idx="0">
                    <c:v>2.2340866342577481</c:v>
                  </c:pt>
                  <c:pt idx="1">
                    <c:v>26.03393180469935</c:v>
                  </c:pt>
                  <c:pt idx="2">
                    <c:v>121.73370685645421</c:v>
                  </c:pt>
                  <c:pt idx="3">
                    <c:v>25.827208856035931</c:v>
                  </c:pt>
                  <c:pt idx="4">
                    <c:v>14.1315850575045</c:v>
                  </c:pt>
                  <c:pt idx="5">
                    <c:v>13.413096406402101</c:v>
                  </c:pt>
                  <c:pt idx="6">
                    <c:v>12.42704557581615</c:v>
                  </c:pt>
                  <c:pt idx="7">
                    <c:v>16.327989182765489</c:v>
                  </c:pt>
                  <c:pt idx="8">
                    <c:v>15.386792529514979</c:v>
                  </c:pt>
                  <c:pt idx="9">
                    <c:v>11.68861485233338</c:v>
                  </c:pt>
                </c:numCache>
              </c:numRef>
            </c:minus>
          </c:errBars>
          <c:cat>
            <c:strRef>
              <c:f>('T2. Occupation group - gender'!$A$32,'T2. Occupation group - gender'!$A$4:$A$12)</c:f>
              <c:strCache>
                <c:ptCount val="10"/>
                <c:pt idx="0">
                  <c:v>All Occpuations (n=3,354)*</c:v>
                </c:pt>
                <c:pt idx="1">
                  <c:v>Construction and extraction occupations (n=904)**</c:v>
                </c:pt>
                <c:pt idx="2">
                  <c:v>Farming, fishing, and forestry occupations (n=62)***</c:v>
                </c:pt>
                <c:pt idx="3">
                  <c:v>Installation, maintenance, and repair  occupations                 (n=189)</c:v>
                </c:pt>
                <c:pt idx="4">
                  <c:v>Transportation and material moving occupations                        (n=293)</c:v>
                </c:pt>
                <c:pt idx="5">
                  <c:v>Production occupations (n=192)</c:v>
                </c:pt>
                <c:pt idx="6">
                  <c:v>Food preparation and serving related occupations                       (n=306)</c:v>
                </c:pt>
                <c:pt idx="7">
                  <c:v>Building/grounds cleaning and maintenance occupations (n=201)</c:v>
                </c:pt>
                <c:pt idx="8">
                  <c:v>Healthcare support occupations                 (n=110)</c:v>
                </c:pt>
                <c:pt idx="9">
                  <c:v>Personal care and service occupations                   (n=139)</c:v>
                </c:pt>
              </c:strCache>
            </c:strRef>
          </c:cat>
          <c:val>
            <c:numRef>
              <c:f>('T2. Occupation group - gender'!$E$32,'T2. Occupation group - gender'!$E$4:$E$12)</c:f>
              <c:numCache>
                <c:formatCode>General</c:formatCode>
                <c:ptCount val="10"/>
                <c:pt idx="0">
                  <c:v>46.489549912128183</c:v>
                </c:pt>
                <c:pt idx="1">
                  <c:v>282.39233792116721</c:v>
                </c:pt>
                <c:pt idx="2">
                  <c:v>345.808466729879</c:v>
                </c:pt>
                <c:pt idx="3">
                  <c:v>128.09651292825919</c:v>
                </c:pt>
                <c:pt idx="4">
                  <c:v>87.11866935183113</c:v>
                </c:pt>
                <c:pt idx="5">
                  <c:v>67.051514421313996</c:v>
                </c:pt>
                <c:pt idx="6">
                  <c:v>78.425543148144811</c:v>
                </c:pt>
                <c:pt idx="7">
                  <c:v>83.514072744496687</c:v>
                </c:pt>
                <c:pt idx="8">
                  <c:v>58.2201568768591</c:v>
                </c:pt>
                <c:pt idx="9">
                  <c:v>49.716366341662322</c:v>
                </c:pt>
              </c:numCache>
            </c:numRef>
          </c:val>
          <c:extLst>
            <c:ext xmlns:c16="http://schemas.microsoft.com/office/drawing/2014/chart" uri="{C3380CC4-5D6E-409C-BE32-E72D297353CC}">
              <c16:uniqueId val="{00000002-2994-4A6F-B775-ECCE61B6BD3F}"/>
            </c:ext>
          </c:extLst>
        </c:ser>
        <c:dLbls>
          <c:showLegendKey val="0"/>
          <c:showVal val="0"/>
          <c:showCatName val="0"/>
          <c:showSerName val="0"/>
          <c:showPercent val="0"/>
          <c:showBubbleSize val="0"/>
        </c:dLbls>
        <c:gapWidth val="150"/>
        <c:axId val="82944000"/>
        <c:axId val="82945920"/>
      </c:barChart>
      <c:catAx>
        <c:axId val="82944000"/>
        <c:scaling>
          <c:orientation val="minMax"/>
        </c:scaling>
        <c:delete val="0"/>
        <c:axPos val="b"/>
        <c:title>
          <c:tx>
            <c:rich>
              <a:bodyPr/>
              <a:lstStyle/>
              <a:p>
                <a:pPr>
                  <a:defRPr/>
                </a:pPr>
                <a:r>
                  <a:rPr lang="en-US"/>
                  <a:t>Occupation Groups</a:t>
                </a:r>
              </a:p>
            </c:rich>
          </c:tx>
          <c:overlay val="0"/>
        </c:title>
        <c:numFmt formatCode="General" sourceLinked="0"/>
        <c:majorTickMark val="out"/>
        <c:minorTickMark val="none"/>
        <c:tickLblPos val="nextTo"/>
        <c:txPr>
          <a:bodyPr/>
          <a:lstStyle/>
          <a:p>
            <a:pPr>
              <a:defRPr sz="650">
                <a:latin typeface="Times New Roman" panose="02020603050405020304" pitchFamily="18" charset="0"/>
                <a:cs typeface="Times New Roman" panose="02020603050405020304" pitchFamily="18" charset="0"/>
              </a:defRPr>
            </a:pPr>
            <a:endParaRPr lang="en-US"/>
          </a:p>
        </c:txPr>
        <c:crossAx val="82945920"/>
        <c:crosses val="autoZero"/>
        <c:auto val="1"/>
        <c:lblAlgn val="ctr"/>
        <c:lblOffset val="100"/>
        <c:noMultiLvlLbl val="0"/>
      </c:catAx>
      <c:valAx>
        <c:axId val="82945920"/>
        <c:scaling>
          <c:orientation val="minMax"/>
        </c:scaling>
        <c:delete val="0"/>
        <c:axPos val="l"/>
        <c:majorGridlines/>
        <c:title>
          <c:tx>
            <c:rich>
              <a:bodyPr rot="-5400000" vert="horz"/>
              <a:lstStyle/>
              <a:p>
                <a:pPr>
                  <a:defRPr sz="800">
                    <a:latin typeface="Times New Roman" panose="02020603050405020304" pitchFamily="18" charset="0"/>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Opioid-related overdose deaths per 100,000 workers</a:t>
                </a:r>
              </a:p>
            </c:rich>
          </c:tx>
          <c:overlay val="0"/>
        </c:title>
        <c:numFmt formatCode="General" sourceLinked="1"/>
        <c:majorTickMark val="out"/>
        <c:minorTickMark val="none"/>
        <c:tickLblPos val="nextTo"/>
        <c:txPr>
          <a:bodyPr/>
          <a:lstStyle/>
          <a:p>
            <a:pPr>
              <a:defRPr sz="800"/>
            </a:pPr>
            <a:endParaRPr lang="en-US"/>
          </a:p>
        </c:txPr>
        <c:crossAx val="82944000"/>
        <c:crosses val="autoZero"/>
        <c:crossBetween val="between"/>
      </c:valAx>
    </c:plotArea>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210868984928006E-2"/>
          <c:y val="2.40900826466049E-2"/>
          <c:w val="0.91151340853142804"/>
          <c:h val="0.90752668837068395"/>
        </c:manualLayout>
      </c:layout>
      <c:lineChart>
        <c:grouping val="standard"/>
        <c:varyColors val="0"/>
        <c:ser>
          <c:idx val="0"/>
          <c:order val="0"/>
          <c:tx>
            <c:strRef>
              <c:f>'Joinpoint - time trend - al (2)'!$B$2</c:f>
              <c:strCache>
                <c:ptCount val="1"/>
                <c:pt idx="0">
                  <c:v>Construction and extraction</c:v>
                </c:pt>
              </c:strCache>
            </c:strRef>
          </c:tx>
          <c:cat>
            <c:numRef>
              <c:f>('Joinpoint - time trend - al (2)'!$C$13,'Joinpoint - time trend - al (2)'!$C$35,'Joinpoint - time trend - al (2)'!$C$60,'Joinpoint - time trend - al (2)'!$C$76,'Joinpoint - time trend - al (2)'!$C$95,'Joinpoint - time trend - al (2)'!$C$114,'Joinpoint - time trend - al (2)'!$C$134)</c:f>
              <c:numCache>
                <c:formatCode>General</c:formatCode>
                <c:ptCount val="7"/>
                <c:pt idx="0">
                  <c:v>2011</c:v>
                </c:pt>
                <c:pt idx="1">
                  <c:v>2012</c:v>
                </c:pt>
                <c:pt idx="2">
                  <c:v>2013</c:v>
                </c:pt>
                <c:pt idx="3">
                  <c:v>2014</c:v>
                </c:pt>
                <c:pt idx="4">
                  <c:v>2015</c:v>
                </c:pt>
                <c:pt idx="5">
                  <c:v>2016</c:v>
                </c:pt>
                <c:pt idx="6">
                  <c:v>2017</c:v>
                </c:pt>
              </c:numCache>
            </c:numRef>
          </c:cat>
          <c:val>
            <c:numRef>
              <c:f>('Joinpoint - time trend - al (2)'!$F$2,'Joinpoint - time trend - al (2)'!$F$24,'Joinpoint - time trend - al (2)'!$F$46,'Joinpoint - time trend - al (2)'!$F$68,'Joinpoint - time trend - al (2)'!$F$90,'Joinpoint - time trend - al (2)'!$F$112,'Joinpoint - time trend - al (2)'!$F$134)</c:f>
              <c:numCache>
                <c:formatCode>General</c:formatCode>
                <c:ptCount val="7"/>
                <c:pt idx="0">
                  <c:v>84.221755883240576</c:v>
                </c:pt>
                <c:pt idx="1">
                  <c:v>99.779109695088806</c:v>
                </c:pt>
                <c:pt idx="2">
                  <c:v>123.30721418893251</c:v>
                </c:pt>
                <c:pt idx="3">
                  <c:v>181.34219602102249</c:v>
                </c:pt>
                <c:pt idx="4">
                  <c:v>267.27293641610657</c:v>
                </c:pt>
                <c:pt idx="5">
                  <c:v>282.48235264772637</c:v>
                </c:pt>
                <c:pt idx="6">
                  <c:v>282.30198174739292</c:v>
                </c:pt>
              </c:numCache>
            </c:numRef>
          </c:val>
          <c:smooth val="0"/>
          <c:extLst>
            <c:ext xmlns:c16="http://schemas.microsoft.com/office/drawing/2014/chart" uri="{C3380CC4-5D6E-409C-BE32-E72D297353CC}">
              <c16:uniqueId val="{00000000-465E-4DF1-B2E7-E8C4BC28C65C}"/>
            </c:ext>
          </c:extLst>
        </c:ser>
        <c:ser>
          <c:idx val="1"/>
          <c:order val="1"/>
          <c:tx>
            <c:strRef>
              <c:f>'Joinpoint - time trend - al (2)'!$B$3</c:f>
              <c:strCache>
                <c:ptCount val="1"/>
                <c:pt idx="0">
                  <c:v>Farming, fishing, and forestry</c:v>
                </c:pt>
              </c:strCache>
            </c:strRef>
          </c:tx>
          <c:val>
            <c:numRef>
              <c:f>('Joinpoint - time trend - al (2)'!$F$3,'Joinpoint - time trend - al (2)'!$F$25,'Joinpoint - time trend - al (2)'!$F$47,'Joinpoint - time trend - al (2)'!$F$69,'Joinpoint - time trend - al (2)'!$F$91,'Joinpoint - time trend - al (2)'!$F$113,'Joinpoint - time trend - al (2)'!$F$135)</c:f>
              <c:numCache>
                <c:formatCode>General</c:formatCode>
                <c:ptCount val="7"/>
                <c:pt idx="0">
                  <c:v>175.38265306122449</c:v>
                </c:pt>
                <c:pt idx="1">
                  <c:v>83.502326136228035</c:v>
                </c:pt>
                <c:pt idx="2">
                  <c:v>261.82906302599599</c:v>
                </c:pt>
                <c:pt idx="3">
                  <c:v>156.47226173541961</c:v>
                </c:pt>
                <c:pt idx="4">
                  <c:v>260.68821689259642</c:v>
                </c:pt>
                <c:pt idx="5">
                  <c:v>328.18767472954909</c:v>
                </c:pt>
                <c:pt idx="6">
                  <c:v>360.75036075036081</c:v>
                </c:pt>
              </c:numCache>
            </c:numRef>
          </c:val>
          <c:smooth val="0"/>
          <c:extLst>
            <c:ext xmlns:c16="http://schemas.microsoft.com/office/drawing/2014/chart" uri="{C3380CC4-5D6E-409C-BE32-E72D297353CC}">
              <c16:uniqueId val="{00000001-465E-4DF1-B2E7-E8C4BC28C65C}"/>
            </c:ext>
          </c:extLst>
        </c:ser>
        <c:ser>
          <c:idx val="2"/>
          <c:order val="2"/>
          <c:tx>
            <c:strRef>
              <c:f>'Joinpoint - time trend - al (2)'!$B$4</c:f>
              <c:strCache>
                <c:ptCount val="1"/>
                <c:pt idx="0">
                  <c:v>Installation, maintenance, and repair</c:v>
                </c:pt>
              </c:strCache>
            </c:strRef>
          </c:tx>
          <c:val>
            <c:numRef>
              <c:f>('Joinpoint - time trend - al (2)'!$F$4,'Joinpoint - time trend - al (2)'!$F$26,'Joinpoint - time trend - al (2)'!$F$48,'Joinpoint - time trend - al (2)'!$F$70,'Joinpoint - time trend - al (2)'!$F$92,'Joinpoint - time trend - al (2)'!$F$114,'Joinpoint - time trend - al (2)'!$F$136)</c:f>
              <c:numCache>
                <c:formatCode>General</c:formatCode>
                <c:ptCount val="7"/>
                <c:pt idx="0">
                  <c:v>35.308508089431413</c:v>
                </c:pt>
                <c:pt idx="1">
                  <c:v>33.828681889573502</c:v>
                </c:pt>
                <c:pt idx="2">
                  <c:v>40.594106690863939</c:v>
                </c:pt>
                <c:pt idx="3">
                  <c:v>82.99474779506491</c:v>
                </c:pt>
                <c:pt idx="4">
                  <c:v>84.501002661150963</c:v>
                </c:pt>
                <c:pt idx="5">
                  <c:v>131.500629818806</c:v>
                </c:pt>
                <c:pt idx="6">
                  <c:v>124.83068178800031</c:v>
                </c:pt>
              </c:numCache>
            </c:numRef>
          </c:val>
          <c:smooth val="0"/>
          <c:extLst>
            <c:ext xmlns:c16="http://schemas.microsoft.com/office/drawing/2014/chart" uri="{C3380CC4-5D6E-409C-BE32-E72D297353CC}">
              <c16:uniqueId val="{00000002-465E-4DF1-B2E7-E8C4BC28C65C}"/>
            </c:ext>
          </c:extLst>
        </c:ser>
        <c:ser>
          <c:idx val="3"/>
          <c:order val="3"/>
          <c:tx>
            <c:strRef>
              <c:f>'Joinpoint - time trend - al (2)'!$B$5</c:f>
              <c:strCache>
                <c:ptCount val="1"/>
                <c:pt idx="0">
                  <c:v>Transportation and material moving</c:v>
                </c:pt>
              </c:strCache>
            </c:strRef>
          </c:tx>
          <c:val>
            <c:numRef>
              <c:f>('Joinpoint - time trend - al (2)'!$F$5,'Joinpoint - time trend - al (2)'!$F$27,'Joinpoint - time trend - al (2)'!$F$49,'Joinpoint - time trend - al (2)'!$F$71,'Joinpoint - time trend - al (2)'!$F$93,'Joinpoint - time trend - al (2)'!$F$115,'Joinpoint - time trend - al (2)'!$F$137)</c:f>
              <c:numCache>
                <c:formatCode>General</c:formatCode>
                <c:ptCount val="7"/>
                <c:pt idx="0">
                  <c:v>31.511813504867199</c:v>
                </c:pt>
                <c:pt idx="1">
                  <c:v>32.976203294928403</c:v>
                </c:pt>
                <c:pt idx="2">
                  <c:v>47.894981820144217</c:v>
                </c:pt>
                <c:pt idx="3">
                  <c:v>59.76626194513198</c:v>
                </c:pt>
                <c:pt idx="4">
                  <c:v>72.9352968783693</c:v>
                </c:pt>
                <c:pt idx="5">
                  <c:v>90.911251604316206</c:v>
                </c:pt>
                <c:pt idx="6">
                  <c:v>83.293883592303416</c:v>
                </c:pt>
              </c:numCache>
            </c:numRef>
          </c:val>
          <c:smooth val="0"/>
          <c:extLst>
            <c:ext xmlns:c16="http://schemas.microsoft.com/office/drawing/2014/chart" uri="{C3380CC4-5D6E-409C-BE32-E72D297353CC}">
              <c16:uniqueId val="{00000003-465E-4DF1-B2E7-E8C4BC28C65C}"/>
            </c:ext>
          </c:extLst>
        </c:ser>
        <c:ser>
          <c:idx val="4"/>
          <c:order val="4"/>
          <c:tx>
            <c:strRef>
              <c:f>'Joinpoint - time trend - al (2)'!$B$6</c:f>
              <c:strCache>
                <c:ptCount val="1"/>
                <c:pt idx="0">
                  <c:v>Production</c:v>
                </c:pt>
              </c:strCache>
            </c:strRef>
          </c:tx>
          <c:val>
            <c:numRef>
              <c:f>('Joinpoint - time trend - al (2)'!$F$6,'Joinpoint - time trend - al (2)'!$F$28,'Joinpoint - time trend - al (2)'!$F$50,'Joinpoint - time trend - al (2)'!$F$72,'Joinpoint - time trend - al (2)'!$F$94,'Joinpoint - time trend - al (2)'!$F$116,'Joinpoint - time trend - al (2)'!$F$138)</c:f>
              <c:numCache>
                <c:formatCode>General</c:formatCode>
                <c:ptCount val="7"/>
                <c:pt idx="0">
                  <c:v>19.281621859850151</c:v>
                </c:pt>
                <c:pt idx="1">
                  <c:v>29.13166820417138</c:v>
                </c:pt>
                <c:pt idx="2">
                  <c:v>34.931334053522541</c:v>
                </c:pt>
                <c:pt idx="3">
                  <c:v>50.105815571041482</c:v>
                </c:pt>
                <c:pt idx="4">
                  <c:v>75.880686015122379</c:v>
                </c:pt>
                <c:pt idx="5">
                  <c:v>64.487782754124353</c:v>
                </c:pt>
                <c:pt idx="6">
                  <c:v>69.542465659104224</c:v>
                </c:pt>
              </c:numCache>
            </c:numRef>
          </c:val>
          <c:smooth val="0"/>
          <c:extLst>
            <c:ext xmlns:c16="http://schemas.microsoft.com/office/drawing/2014/chart" uri="{C3380CC4-5D6E-409C-BE32-E72D297353CC}">
              <c16:uniqueId val="{00000004-465E-4DF1-B2E7-E8C4BC28C65C}"/>
            </c:ext>
          </c:extLst>
        </c:ser>
        <c:ser>
          <c:idx val="5"/>
          <c:order val="5"/>
          <c:tx>
            <c:strRef>
              <c:f>'Joinpoint - time trend - al (2)'!$B$7</c:f>
              <c:strCache>
                <c:ptCount val="1"/>
                <c:pt idx="0">
                  <c:v>Food preparation and serving related</c:v>
                </c:pt>
              </c:strCache>
            </c:strRef>
          </c:tx>
          <c:val>
            <c:numRef>
              <c:f>('Joinpoint - time trend - al (2)'!$F$7,'Joinpoint - time trend - al (2)'!$F$29,'Joinpoint - time trend - al (2)'!$F$51,'Joinpoint - time trend - al (2)'!$F$73,'Joinpoint - time trend - al (2)'!$F$95,'Joinpoint - time trend - al (2)'!$F$117,'Joinpoint - time trend - al (2)'!$F$139)</c:f>
              <c:numCache>
                <c:formatCode>General</c:formatCode>
                <c:ptCount val="7"/>
                <c:pt idx="0">
                  <c:v>27.41431598425962</c:v>
                </c:pt>
                <c:pt idx="1">
                  <c:v>19.597961811971551</c:v>
                </c:pt>
                <c:pt idx="2">
                  <c:v>30.185912881299281</c:v>
                </c:pt>
                <c:pt idx="3">
                  <c:v>50.790328290212862</c:v>
                </c:pt>
                <c:pt idx="4">
                  <c:v>64.024554149621949</c:v>
                </c:pt>
                <c:pt idx="5">
                  <c:v>71.486105517519107</c:v>
                </c:pt>
                <c:pt idx="6">
                  <c:v>85.622249254720941</c:v>
                </c:pt>
              </c:numCache>
            </c:numRef>
          </c:val>
          <c:smooth val="0"/>
          <c:extLst>
            <c:ext xmlns:c16="http://schemas.microsoft.com/office/drawing/2014/chart" uri="{C3380CC4-5D6E-409C-BE32-E72D297353CC}">
              <c16:uniqueId val="{00000005-465E-4DF1-B2E7-E8C4BC28C65C}"/>
            </c:ext>
          </c:extLst>
        </c:ser>
        <c:ser>
          <c:idx val="6"/>
          <c:order val="6"/>
          <c:tx>
            <c:strRef>
              <c:f>'Joinpoint - time trend - al (2)'!$B$8</c:f>
              <c:strCache>
                <c:ptCount val="1"/>
                <c:pt idx="0">
                  <c:v>Building/grounds cleaning and maintenance</c:v>
                </c:pt>
              </c:strCache>
            </c:strRef>
          </c:tx>
          <c:val>
            <c:numRef>
              <c:f>('Joinpoint - time trend - al (2)'!$F$8,'Joinpoint - time trend - al (2)'!$F$30,'Joinpoint - time trend - al (2)'!$F$52,'Joinpoint - time trend - al (2)'!$F$74,'Joinpoint - time trend - al (2)'!$F$96,'Joinpoint - time trend - al (2)'!$F$118,'Joinpoint - time trend - al (2)'!$F$140)</c:f>
              <c:numCache>
                <c:formatCode>General</c:formatCode>
                <c:ptCount val="7"/>
                <c:pt idx="0">
                  <c:v>17.727639000805791</c:v>
                </c:pt>
                <c:pt idx="1">
                  <c:v>20.328257161291472</c:v>
                </c:pt>
                <c:pt idx="2">
                  <c:v>31.675641431738981</c:v>
                </c:pt>
                <c:pt idx="3">
                  <c:v>51.432595605282508</c:v>
                </c:pt>
                <c:pt idx="4">
                  <c:v>70.983379501385045</c:v>
                </c:pt>
                <c:pt idx="5">
                  <c:v>101.2461716291353</c:v>
                </c:pt>
                <c:pt idx="6">
                  <c:v>66.30919733125944</c:v>
                </c:pt>
              </c:numCache>
            </c:numRef>
          </c:val>
          <c:smooth val="0"/>
          <c:extLst>
            <c:ext xmlns:c16="http://schemas.microsoft.com/office/drawing/2014/chart" uri="{C3380CC4-5D6E-409C-BE32-E72D297353CC}">
              <c16:uniqueId val="{00000006-465E-4DF1-B2E7-E8C4BC28C65C}"/>
            </c:ext>
          </c:extLst>
        </c:ser>
        <c:ser>
          <c:idx val="7"/>
          <c:order val="7"/>
          <c:tx>
            <c:strRef>
              <c:f>'Joinpoint - time trend - al (2)'!$B$9</c:f>
              <c:strCache>
                <c:ptCount val="1"/>
                <c:pt idx="0">
                  <c:v>Healthcare support</c:v>
                </c:pt>
              </c:strCache>
            </c:strRef>
          </c:tx>
          <c:spPr>
            <a:ln>
              <a:prstDash val="dash"/>
            </a:ln>
          </c:spPr>
          <c:marker>
            <c:symbol val="none"/>
          </c:marker>
          <c:val>
            <c:numRef>
              <c:f>('Joinpoint - time trend - al (2)'!$F$9,'Joinpoint - time trend - al (2)'!$F$31,'Joinpoint - time trend - al (2)'!$F$53,'Joinpoint - time trend - al (2)'!$F$75,'Joinpoint - time trend - al (2)'!$F$97,'Joinpoint - time trend - al (2)'!$F$119,'Joinpoint - time trend - al (2)'!$F$141)</c:f>
              <c:numCache>
                <c:formatCode>General</c:formatCode>
                <c:ptCount val="7"/>
                <c:pt idx="0">
                  <c:v>20.986358866736619</c:v>
                </c:pt>
                <c:pt idx="1">
                  <c:v>22.036382066792271</c:v>
                </c:pt>
                <c:pt idx="2">
                  <c:v>32.843418999917901</c:v>
                </c:pt>
                <c:pt idx="3">
                  <c:v>42.878428934363853</c:v>
                </c:pt>
                <c:pt idx="4">
                  <c:v>49.928228172002747</c:v>
                </c:pt>
                <c:pt idx="5">
                  <c:v>70.473668474778975</c:v>
                </c:pt>
                <c:pt idx="6">
                  <c:v>46.176773083139182</c:v>
                </c:pt>
              </c:numCache>
            </c:numRef>
          </c:val>
          <c:smooth val="0"/>
          <c:extLst>
            <c:ext xmlns:c16="http://schemas.microsoft.com/office/drawing/2014/chart" uri="{C3380CC4-5D6E-409C-BE32-E72D297353CC}">
              <c16:uniqueId val="{00000007-465E-4DF1-B2E7-E8C4BC28C65C}"/>
            </c:ext>
          </c:extLst>
        </c:ser>
        <c:ser>
          <c:idx val="8"/>
          <c:order val="8"/>
          <c:tx>
            <c:strRef>
              <c:f>'Joinpoint - time trend - al (2)'!$B$10</c:f>
              <c:strCache>
                <c:ptCount val="1"/>
                <c:pt idx="0">
                  <c:v>Personal care and service</c:v>
                </c:pt>
              </c:strCache>
            </c:strRef>
          </c:tx>
          <c:val>
            <c:numRef>
              <c:f>('Joinpoint - time trend - al (2)'!$F$10,'Joinpoint - time trend - al (2)'!$F$32,'Joinpoint - time trend - al (2)'!$F$54,'Joinpoint - time trend - al (2)'!$F$76,'Joinpoint - time trend - al (2)'!$F$98,'Joinpoint - time trend - al (2)'!$F$120,'Joinpoint - time trend - al (2)'!$F$142)</c:f>
              <c:numCache>
                <c:formatCode>General</c:formatCode>
                <c:ptCount val="7"/>
                <c:pt idx="0">
                  <c:v>19.098051130691431</c:v>
                </c:pt>
                <c:pt idx="1">
                  <c:v>14.010565614775381</c:v>
                </c:pt>
                <c:pt idx="2">
                  <c:v>19.491049709973179</c:v>
                </c:pt>
                <c:pt idx="3">
                  <c:v>27.186155256248931</c:v>
                </c:pt>
                <c:pt idx="4">
                  <c:v>38.962326971847951</c:v>
                </c:pt>
                <c:pt idx="5">
                  <c:v>50.192524182041112</c:v>
                </c:pt>
                <c:pt idx="6">
                  <c:v>49.2424512749513</c:v>
                </c:pt>
              </c:numCache>
            </c:numRef>
          </c:val>
          <c:smooth val="0"/>
          <c:extLst>
            <c:ext xmlns:c16="http://schemas.microsoft.com/office/drawing/2014/chart" uri="{C3380CC4-5D6E-409C-BE32-E72D297353CC}">
              <c16:uniqueId val="{00000008-465E-4DF1-B2E7-E8C4BC28C65C}"/>
            </c:ext>
          </c:extLst>
        </c:ser>
        <c:dLbls>
          <c:showLegendKey val="0"/>
          <c:showVal val="0"/>
          <c:showCatName val="0"/>
          <c:showSerName val="0"/>
          <c:showPercent val="0"/>
          <c:showBubbleSize val="0"/>
        </c:dLbls>
        <c:marker val="1"/>
        <c:smooth val="0"/>
        <c:axId val="83369984"/>
        <c:axId val="83371904"/>
      </c:lineChart>
      <c:catAx>
        <c:axId val="83369984"/>
        <c:scaling>
          <c:orientation val="minMax"/>
        </c:scaling>
        <c:delete val="0"/>
        <c:axPos val="b"/>
        <c:title>
          <c:tx>
            <c:rich>
              <a:bodyPr/>
              <a:lstStyle/>
              <a:p>
                <a:pPr>
                  <a:defRPr/>
                </a:pPr>
                <a:r>
                  <a:rPr lang="en-US"/>
                  <a:t>Year</a:t>
                </a:r>
              </a:p>
            </c:rich>
          </c:tx>
          <c:overlay val="0"/>
        </c:title>
        <c:numFmt formatCode="General" sourceLinked="1"/>
        <c:majorTickMark val="out"/>
        <c:minorTickMark val="none"/>
        <c:tickLblPos val="nextTo"/>
        <c:spPr>
          <a:ln>
            <a:solidFill>
              <a:schemeClr val="tx1"/>
            </a:solidFill>
          </a:ln>
        </c:spPr>
        <c:txPr>
          <a:bodyPr/>
          <a:lstStyle/>
          <a:p>
            <a:pPr>
              <a:defRPr sz="1100"/>
            </a:pPr>
            <a:endParaRPr lang="en-US"/>
          </a:p>
        </c:txPr>
        <c:crossAx val="83371904"/>
        <c:crosses val="autoZero"/>
        <c:auto val="1"/>
        <c:lblAlgn val="ctr"/>
        <c:lblOffset val="0"/>
        <c:noMultiLvlLbl val="0"/>
      </c:catAx>
      <c:valAx>
        <c:axId val="83371904"/>
        <c:scaling>
          <c:orientation val="minMax"/>
          <c:max val="375"/>
          <c:min val="0"/>
        </c:scaling>
        <c:delete val="0"/>
        <c:axPos val="l"/>
        <c:majorGridlines>
          <c:spPr>
            <a:ln>
              <a:solidFill>
                <a:schemeClr val="bg1">
                  <a:lumMod val="85000"/>
                </a:schemeClr>
              </a:solidFill>
              <a:prstDash val="dash"/>
            </a:ln>
          </c:spPr>
        </c:majorGridlines>
        <c:title>
          <c:tx>
            <c:rich>
              <a:bodyPr rot="-5400000" vert="horz"/>
              <a:lstStyle/>
              <a:p>
                <a:pPr>
                  <a:defRPr sz="1200"/>
                </a:pPr>
                <a:r>
                  <a:rPr lang="en-US" sz="1200"/>
                  <a:t>Opioid-related overdose deaths per 100,000 workers</a:t>
                </a:r>
              </a:p>
            </c:rich>
          </c:tx>
          <c:overlay val="0"/>
        </c:title>
        <c:numFmt formatCode="General" sourceLinked="1"/>
        <c:majorTickMark val="out"/>
        <c:minorTickMark val="none"/>
        <c:tickLblPos val="nextTo"/>
        <c:spPr>
          <a:ln>
            <a:solidFill>
              <a:schemeClr val="tx1"/>
            </a:solidFill>
          </a:ln>
        </c:spPr>
        <c:txPr>
          <a:bodyPr/>
          <a:lstStyle/>
          <a:p>
            <a:pPr>
              <a:defRPr sz="1200"/>
            </a:pPr>
            <a:endParaRPr lang="en-US"/>
          </a:p>
        </c:txPr>
        <c:crossAx val="83369984"/>
        <c:crossesAt val="1"/>
        <c:crossBetween val="midCat"/>
        <c:minorUnit val="50"/>
      </c:valAx>
    </c:plotArea>
    <c:legend>
      <c:legendPos val="r"/>
      <c:layout>
        <c:manualLayout>
          <c:xMode val="edge"/>
          <c:yMode val="edge"/>
          <c:x val="6.2135076341850302E-2"/>
          <c:y val="2.93418761356753E-2"/>
          <c:w val="0.28175015163344402"/>
          <c:h val="0.29034865233192003"/>
        </c:manualLayout>
      </c:layout>
      <c:overlay val="0"/>
      <c:txPr>
        <a:bodyPr/>
        <a:lstStyle/>
        <a:p>
          <a:pPr>
            <a:defRPr sz="1000"/>
          </a:pPr>
          <a:endParaRPr lang="en-US"/>
        </a:p>
      </c:txPr>
    </c:legend>
    <c:plotVisOnly val="1"/>
    <c:dispBlanksAs val="zero"/>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9041570077767594E-2"/>
          <c:y val="3.4426426033431198E-2"/>
          <c:w val="0.93095842992223199"/>
          <c:h val="0.79787489152329205"/>
        </c:manualLayout>
      </c:layout>
      <c:barChart>
        <c:barDir val="col"/>
        <c:grouping val="clustered"/>
        <c:varyColors val="0"/>
        <c:ser>
          <c:idx val="1"/>
          <c:order val="0"/>
          <c:tx>
            <c:strRef>
              <c:f>'Figure - race&amp;ethnicity'!$J$2</c:f>
              <c:strCache>
                <c:ptCount val="1"/>
                <c:pt idx="0">
                  <c:v>2011</c:v>
                </c:pt>
              </c:strCache>
            </c:strRef>
          </c:tx>
          <c:spPr>
            <a:ln>
              <a:solidFill>
                <a:sysClr val="windowText" lastClr="000000"/>
              </a:solidFill>
            </a:ln>
          </c:spPr>
          <c:invertIfNegative val="0"/>
          <c:errBars>
            <c:errBarType val="both"/>
            <c:errValType val="cust"/>
            <c:noEndCap val="0"/>
            <c:plus>
              <c:numRef>
                <c:f>'Figure - race&amp;ethnicity'!$P$2:$P$5</c:f>
                <c:numCache>
                  <c:formatCode>General</c:formatCode>
                  <c:ptCount val="4"/>
                  <c:pt idx="0">
                    <c:v>1.338880344369499</c:v>
                  </c:pt>
                  <c:pt idx="1">
                    <c:v>1.6287291437377021</c:v>
                  </c:pt>
                  <c:pt idx="2">
                    <c:v>3.4934202605483868</c:v>
                  </c:pt>
                  <c:pt idx="3">
                    <c:v>4.0494351159709812</c:v>
                  </c:pt>
                </c:numCache>
              </c:numRef>
            </c:plus>
            <c:minus>
              <c:numRef>
                <c:f>'Figure - race&amp;ethnicity'!$P$2:$P$5</c:f>
                <c:numCache>
                  <c:formatCode>General</c:formatCode>
                  <c:ptCount val="4"/>
                  <c:pt idx="0">
                    <c:v>1.338880344369499</c:v>
                  </c:pt>
                  <c:pt idx="1">
                    <c:v>1.6287291437377021</c:v>
                  </c:pt>
                  <c:pt idx="2">
                    <c:v>3.4934202605483868</c:v>
                  </c:pt>
                  <c:pt idx="3">
                    <c:v>4.0494351159709812</c:v>
                  </c:pt>
                </c:numCache>
              </c:numRef>
            </c:minus>
          </c:errBars>
          <c:cat>
            <c:strRef>
              <c:f>'Figure - race&amp;ethnicity'!$K$2:$K$5</c:f>
              <c:strCache>
                <c:ptCount val="4"/>
                <c:pt idx="0">
                  <c:v>All workers                   (n=7,691)</c:v>
                </c:pt>
                <c:pt idx="1">
                  <c:v>White, non-Hispanic (n=6,601)</c:v>
                </c:pt>
                <c:pt idx="2">
                  <c:v>Hispanic                             (n=659)</c:v>
                </c:pt>
                <c:pt idx="3">
                  <c:v>Black, non-Hispanic                    (n=305)</c:v>
                </c:pt>
              </c:strCache>
            </c:strRef>
          </c:cat>
          <c:val>
            <c:numRef>
              <c:f>'Figure - race&amp;ethnicity'!$N$2:$N$5</c:f>
              <c:numCache>
                <c:formatCode>General</c:formatCode>
                <c:ptCount val="4"/>
                <c:pt idx="0">
                  <c:v>15.305148688604859</c:v>
                </c:pt>
                <c:pt idx="1">
                  <c:v>17.919227060884531</c:v>
                </c:pt>
                <c:pt idx="2">
                  <c:v>8.3599966560013392</c:v>
                </c:pt>
                <c:pt idx="3">
                  <c:v>7.7304075581298974</c:v>
                </c:pt>
              </c:numCache>
            </c:numRef>
          </c:val>
          <c:extLst>
            <c:ext xmlns:c16="http://schemas.microsoft.com/office/drawing/2014/chart" uri="{C3380CC4-5D6E-409C-BE32-E72D297353CC}">
              <c16:uniqueId val="{00000000-EC2E-49EE-AEDE-5E5B063E5885}"/>
            </c:ext>
          </c:extLst>
        </c:ser>
        <c:ser>
          <c:idx val="0"/>
          <c:order val="1"/>
          <c:tx>
            <c:strRef>
              <c:f>'Figure - race&amp;ethnicity'!$J$6</c:f>
              <c:strCache>
                <c:ptCount val="1"/>
                <c:pt idx="0">
                  <c:v>2012</c:v>
                </c:pt>
              </c:strCache>
            </c:strRef>
          </c:tx>
          <c:spPr>
            <a:ln>
              <a:solidFill>
                <a:sysClr val="windowText" lastClr="000000"/>
              </a:solidFill>
            </a:ln>
          </c:spPr>
          <c:invertIfNegative val="0"/>
          <c:errBars>
            <c:errBarType val="both"/>
            <c:errValType val="cust"/>
            <c:noEndCap val="0"/>
            <c:plus>
              <c:numRef>
                <c:f>'Figure - race&amp;ethnicity'!$P$6:$P$9</c:f>
                <c:numCache>
                  <c:formatCode>General</c:formatCode>
                  <c:ptCount val="4"/>
                  <c:pt idx="0">
                    <c:v>1.4023614599276839</c:v>
                  </c:pt>
                  <c:pt idx="1">
                    <c:v>1.7038796172537469</c:v>
                  </c:pt>
                  <c:pt idx="2">
                    <c:v>3.6770913457028702</c:v>
                  </c:pt>
                  <c:pt idx="3">
                    <c:v>5.0399965313727231</c:v>
                  </c:pt>
                </c:numCache>
              </c:numRef>
            </c:plus>
            <c:minus>
              <c:numRef>
                <c:f>'Figure - race&amp;ethnicity'!$P$6:$P$9</c:f>
                <c:numCache>
                  <c:formatCode>General</c:formatCode>
                  <c:ptCount val="4"/>
                  <c:pt idx="0">
                    <c:v>1.4023614599276839</c:v>
                  </c:pt>
                  <c:pt idx="1">
                    <c:v>1.7038796172537469</c:v>
                  </c:pt>
                  <c:pt idx="2">
                    <c:v>3.6770913457028702</c:v>
                  </c:pt>
                  <c:pt idx="3">
                    <c:v>5.0399965313727231</c:v>
                  </c:pt>
                </c:numCache>
              </c:numRef>
            </c:minus>
          </c:errBars>
          <c:val>
            <c:numRef>
              <c:f>'Figure - race&amp;ethnicity'!$N$6:$N$9</c:f>
              <c:numCache>
                <c:formatCode>General</c:formatCode>
                <c:ptCount val="4"/>
                <c:pt idx="0">
                  <c:v>17.02205980757854</c:v>
                </c:pt>
                <c:pt idx="1">
                  <c:v>19.670609496908799</c:v>
                </c:pt>
                <c:pt idx="2">
                  <c:v>9.3803350655685431</c:v>
                </c:pt>
                <c:pt idx="3">
                  <c:v>12.59736715026559</c:v>
                </c:pt>
              </c:numCache>
            </c:numRef>
          </c:val>
          <c:extLst>
            <c:ext xmlns:c16="http://schemas.microsoft.com/office/drawing/2014/chart" uri="{C3380CC4-5D6E-409C-BE32-E72D297353CC}">
              <c16:uniqueId val="{00000001-EC2E-49EE-AEDE-5E5B063E5885}"/>
            </c:ext>
          </c:extLst>
        </c:ser>
        <c:ser>
          <c:idx val="2"/>
          <c:order val="2"/>
          <c:tx>
            <c:strRef>
              <c:f>'Figure - race&amp;ethnicity'!$J$10</c:f>
              <c:strCache>
                <c:ptCount val="1"/>
                <c:pt idx="0">
                  <c:v>2013</c:v>
                </c:pt>
              </c:strCache>
            </c:strRef>
          </c:tx>
          <c:spPr>
            <a:ln>
              <a:solidFill>
                <a:sysClr val="windowText" lastClr="000000"/>
              </a:solidFill>
            </a:ln>
          </c:spPr>
          <c:invertIfNegative val="0"/>
          <c:errBars>
            <c:errBarType val="both"/>
            <c:errValType val="cust"/>
            <c:noEndCap val="0"/>
            <c:plus>
              <c:numRef>
                <c:f>'Figure - race&amp;ethnicity'!$P$10:$P$13</c:f>
                <c:numCache>
                  <c:formatCode>General</c:formatCode>
                  <c:ptCount val="4"/>
                  <c:pt idx="0">
                    <c:v>1.5708860439083501</c:v>
                  </c:pt>
                  <c:pt idx="1">
                    <c:v>1.9052487436749419</c:v>
                  </c:pt>
                  <c:pt idx="2">
                    <c:v>4.6875043861700814</c:v>
                  </c:pt>
                  <c:pt idx="3">
                    <c:v>5.627825009266</c:v>
                  </c:pt>
                </c:numCache>
              </c:numRef>
            </c:plus>
            <c:minus>
              <c:numRef>
                <c:f>'Figure - race&amp;ethnicity'!$P$10:$P$13</c:f>
                <c:numCache>
                  <c:formatCode>General</c:formatCode>
                  <c:ptCount val="4"/>
                  <c:pt idx="0">
                    <c:v>1.5708860439083501</c:v>
                  </c:pt>
                  <c:pt idx="1">
                    <c:v>1.9052487436749419</c:v>
                  </c:pt>
                  <c:pt idx="2">
                    <c:v>4.6875043861700814</c:v>
                  </c:pt>
                  <c:pt idx="3">
                    <c:v>5.627825009266</c:v>
                  </c:pt>
                </c:numCache>
              </c:numRef>
            </c:minus>
          </c:errBars>
          <c:val>
            <c:numRef>
              <c:f>'Figure - race&amp;ethnicity'!$N$10:$N$13</c:f>
              <c:numCache>
                <c:formatCode>General</c:formatCode>
                <c:ptCount val="4"/>
                <c:pt idx="0">
                  <c:v>21.831851199751441</c:v>
                </c:pt>
                <c:pt idx="1">
                  <c:v>24.915998574061572</c:v>
                </c:pt>
                <c:pt idx="2">
                  <c:v>16.569379097037871</c:v>
                </c:pt>
                <c:pt idx="3">
                  <c:v>16.24274786687031</c:v>
                </c:pt>
              </c:numCache>
            </c:numRef>
          </c:val>
          <c:extLst>
            <c:ext xmlns:c16="http://schemas.microsoft.com/office/drawing/2014/chart" uri="{C3380CC4-5D6E-409C-BE32-E72D297353CC}">
              <c16:uniqueId val="{00000002-EC2E-49EE-AEDE-5E5B063E5885}"/>
            </c:ext>
          </c:extLst>
        </c:ser>
        <c:ser>
          <c:idx val="3"/>
          <c:order val="3"/>
          <c:tx>
            <c:strRef>
              <c:f>'Figure - race&amp;ethnicity'!$J$14</c:f>
              <c:strCache>
                <c:ptCount val="1"/>
                <c:pt idx="0">
                  <c:v>2014</c:v>
                </c:pt>
              </c:strCache>
            </c:strRef>
          </c:tx>
          <c:spPr>
            <a:ln>
              <a:solidFill>
                <a:sysClr val="windowText" lastClr="000000"/>
              </a:solidFill>
            </a:ln>
          </c:spPr>
          <c:invertIfNegative val="0"/>
          <c:errBars>
            <c:errBarType val="both"/>
            <c:errValType val="cust"/>
            <c:noEndCap val="0"/>
            <c:plus>
              <c:numRef>
                <c:f>'Figure - race&amp;ethnicity'!$P$14:$P$17</c:f>
                <c:numCache>
                  <c:formatCode>General</c:formatCode>
                  <c:ptCount val="4"/>
                  <c:pt idx="0">
                    <c:v>1.875699416608106</c:v>
                  </c:pt>
                  <c:pt idx="1">
                    <c:v>2.2780031639721292</c:v>
                  </c:pt>
                  <c:pt idx="2">
                    <c:v>5.8068721927009381</c:v>
                  </c:pt>
                  <c:pt idx="3">
                    <c:v>5.7817838101072363</c:v>
                  </c:pt>
                </c:numCache>
              </c:numRef>
            </c:plus>
            <c:minus>
              <c:numRef>
                <c:f>'Figure - race&amp;ethnicity'!$P$14:$P$17</c:f>
                <c:numCache>
                  <c:formatCode>General</c:formatCode>
                  <c:ptCount val="4"/>
                  <c:pt idx="0">
                    <c:v>1.875699416608106</c:v>
                  </c:pt>
                  <c:pt idx="1">
                    <c:v>2.2780031639721292</c:v>
                  </c:pt>
                  <c:pt idx="2">
                    <c:v>5.8068721927009381</c:v>
                  </c:pt>
                  <c:pt idx="3">
                    <c:v>5.7817838101072363</c:v>
                  </c:pt>
                </c:numCache>
              </c:numRef>
            </c:minus>
          </c:errBars>
          <c:val>
            <c:numRef>
              <c:f>'Figure - race&amp;ethnicity'!$N$14:$N$17</c:f>
              <c:numCache>
                <c:formatCode>General</c:formatCode>
                <c:ptCount val="4"/>
                <c:pt idx="0">
                  <c:v>31.72532050079241</c:v>
                </c:pt>
                <c:pt idx="1">
                  <c:v>36.123249836024378</c:v>
                </c:pt>
                <c:pt idx="2">
                  <c:v>26.499103999046032</c:v>
                </c:pt>
                <c:pt idx="3">
                  <c:v>18.184341367941009</c:v>
                </c:pt>
              </c:numCache>
            </c:numRef>
          </c:val>
          <c:extLst>
            <c:ext xmlns:c16="http://schemas.microsoft.com/office/drawing/2014/chart" uri="{C3380CC4-5D6E-409C-BE32-E72D297353CC}">
              <c16:uniqueId val="{00000003-EC2E-49EE-AEDE-5E5B063E5885}"/>
            </c:ext>
          </c:extLst>
        </c:ser>
        <c:ser>
          <c:idx val="4"/>
          <c:order val="4"/>
          <c:tx>
            <c:strRef>
              <c:f>'Figure - race&amp;ethnicity'!$J$18</c:f>
              <c:strCache>
                <c:ptCount val="1"/>
                <c:pt idx="0">
                  <c:v>2015</c:v>
                </c:pt>
              </c:strCache>
            </c:strRef>
          </c:tx>
          <c:spPr>
            <a:ln>
              <a:solidFill>
                <a:sysClr val="windowText" lastClr="000000"/>
              </a:solidFill>
            </a:ln>
          </c:spPr>
          <c:invertIfNegative val="0"/>
          <c:errBars>
            <c:errBarType val="both"/>
            <c:errValType val="cust"/>
            <c:noEndCap val="0"/>
            <c:plus>
              <c:numRef>
                <c:f>'Figure - race&amp;ethnicity'!$P$18:$P$21</c:f>
                <c:numCache>
                  <c:formatCode>General</c:formatCode>
                  <c:ptCount val="4"/>
                  <c:pt idx="0">
                    <c:v>2.1044588568386171</c:v>
                  </c:pt>
                  <c:pt idx="1">
                    <c:v>2.5875376911176771</c:v>
                  </c:pt>
                  <c:pt idx="2">
                    <c:v>6.2456877142181177</c:v>
                  </c:pt>
                  <c:pt idx="3">
                    <c:v>6.5731854115995816</c:v>
                  </c:pt>
                </c:numCache>
              </c:numRef>
            </c:plus>
            <c:minus>
              <c:numRef>
                <c:f>'Figure - race&amp;ethnicity'!$P$18:$P$21</c:f>
                <c:numCache>
                  <c:formatCode>General</c:formatCode>
                  <c:ptCount val="4"/>
                  <c:pt idx="0">
                    <c:v>2.1044588568386171</c:v>
                  </c:pt>
                  <c:pt idx="1">
                    <c:v>2.5875376911176771</c:v>
                  </c:pt>
                  <c:pt idx="2">
                    <c:v>6.2456877142181177</c:v>
                  </c:pt>
                  <c:pt idx="3">
                    <c:v>6.5731854115995816</c:v>
                  </c:pt>
                </c:numCache>
              </c:numRef>
            </c:minus>
          </c:errBars>
          <c:val>
            <c:numRef>
              <c:f>'Figure - race&amp;ethnicity'!$N$18:$N$21</c:f>
              <c:numCache>
                <c:formatCode>General</c:formatCode>
                <c:ptCount val="4"/>
                <c:pt idx="0">
                  <c:v>40.574060446257803</c:v>
                </c:pt>
                <c:pt idx="1">
                  <c:v>46.224885955363924</c:v>
                </c:pt>
                <c:pt idx="2">
                  <c:v>34.615068702110932</c:v>
                </c:pt>
                <c:pt idx="3">
                  <c:v>25.540759529345451</c:v>
                </c:pt>
              </c:numCache>
            </c:numRef>
          </c:val>
          <c:extLst>
            <c:ext xmlns:c16="http://schemas.microsoft.com/office/drawing/2014/chart" uri="{C3380CC4-5D6E-409C-BE32-E72D297353CC}">
              <c16:uniqueId val="{00000004-EC2E-49EE-AEDE-5E5B063E5885}"/>
            </c:ext>
          </c:extLst>
        </c:ser>
        <c:ser>
          <c:idx val="5"/>
          <c:order val="5"/>
          <c:tx>
            <c:strRef>
              <c:f>'Figure - race&amp;ethnicity'!$J$22</c:f>
              <c:strCache>
                <c:ptCount val="1"/>
                <c:pt idx="0">
                  <c:v>2016</c:v>
                </c:pt>
              </c:strCache>
            </c:strRef>
          </c:tx>
          <c:spPr>
            <a:ln>
              <a:solidFill>
                <a:sysClr val="windowText" lastClr="000000"/>
              </a:solidFill>
            </a:ln>
          </c:spPr>
          <c:invertIfNegative val="0"/>
          <c:errBars>
            <c:errBarType val="both"/>
            <c:errValType val="cust"/>
            <c:noEndCap val="0"/>
            <c:plus>
              <c:numRef>
                <c:f>'Figure - race&amp;ethnicity'!$P$22:$P$25</c:f>
                <c:numCache>
                  <c:formatCode>General</c:formatCode>
                  <c:ptCount val="4"/>
                  <c:pt idx="0">
                    <c:v>2.2813676838277721</c:v>
                  </c:pt>
                  <c:pt idx="1">
                    <c:v>2.7821521812824801</c:v>
                  </c:pt>
                  <c:pt idx="2">
                    <c:v>7.6400924147169729</c:v>
                  </c:pt>
                  <c:pt idx="3">
                    <c:v>6.601092505260457</c:v>
                  </c:pt>
                </c:numCache>
              </c:numRef>
            </c:plus>
            <c:minus>
              <c:numRef>
                <c:f>'Figure - race&amp;ethnicity'!$P$22:$P$25</c:f>
                <c:numCache>
                  <c:formatCode>General</c:formatCode>
                  <c:ptCount val="4"/>
                  <c:pt idx="0">
                    <c:v>2.2813676838277721</c:v>
                  </c:pt>
                  <c:pt idx="1">
                    <c:v>2.7821521812824801</c:v>
                  </c:pt>
                  <c:pt idx="2">
                    <c:v>7.6400924147169729</c:v>
                  </c:pt>
                  <c:pt idx="3">
                    <c:v>6.601092505260457</c:v>
                  </c:pt>
                </c:numCache>
              </c:numRef>
            </c:minus>
          </c:errBars>
          <c:val>
            <c:numRef>
              <c:f>'Figure - race&amp;ethnicity'!$N$22:$N$25</c:f>
              <c:numCache>
                <c:formatCode>General</c:formatCode>
                <c:ptCount val="4"/>
                <c:pt idx="0">
                  <c:v>48.286936069050597</c:v>
                </c:pt>
                <c:pt idx="1">
                  <c:v>54.032990328877879</c:v>
                </c:pt>
                <c:pt idx="2">
                  <c:v>52.151770392361946</c:v>
                </c:pt>
                <c:pt idx="3">
                  <c:v>25.869364095953419</c:v>
                </c:pt>
              </c:numCache>
            </c:numRef>
          </c:val>
          <c:extLst>
            <c:ext xmlns:c16="http://schemas.microsoft.com/office/drawing/2014/chart" uri="{C3380CC4-5D6E-409C-BE32-E72D297353CC}">
              <c16:uniqueId val="{00000005-EC2E-49EE-AEDE-5E5B063E5885}"/>
            </c:ext>
          </c:extLst>
        </c:ser>
        <c:ser>
          <c:idx val="6"/>
          <c:order val="6"/>
          <c:tx>
            <c:strRef>
              <c:f>'Figure - race&amp;ethnicity'!$J$26</c:f>
              <c:strCache>
                <c:ptCount val="1"/>
                <c:pt idx="0">
                  <c:v>2017</c:v>
                </c:pt>
              </c:strCache>
            </c:strRef>
          </c:tx>
          <c:spPr>
            <a:ln>
              <a:solidFill>
                <a:sysClr val="windowText" lastClr="000000"/>
              </a:solidFill>
            </a:ln>
          </c:spPr>
          <c:invertIfNegative val="0"/>
          <c:errBars>
            <c:errBarType val="both"/>
            <c:errValType val="cust"/>
            <c:noEndCap val="0"/>
            <c:plus>
              <c:numRef>
                <c:f>'Figure - race&amp;ethnicity'!$P$26:$P$29</c:f>
                <c:numCache>
                  <c:formatCode>General</c:formatCode>
                  <c:ptCount val="4"/>
                  <c:pt idx="0">
                    <c:v>2.2048152961363541</c:v>
                  </c:pt>
                  <c:pt idx="1">
                    <c:v>2.6908610366764201</c:v>
                  </c:pt>
                  <c:pt idx="2">
                    <c:v>7.1951734967054648</c:v>
                  </c:pt>
                  <c:pt idx="3">
                    <c:v>7.3521985573718256</c:v>
                  </c:pt>
                </c:numCache>
              </c:numRef>
            </c:plus>
            <c:minus>
              <c:numRef>
                <c:f>'Figure - race&amp;ethnicity'!$P$26:$P$29</c:f>
                <c:numCache>
                  <c:formatCode>General</c:formatCode>
                  <c:ptCount val="4"/>
                  <c:pt idx="0">
                    <c:v>2.2048152961363541</c:v>
                  </c:pt>
                  <c:pt idx="1">
                    <c:v>2.6908610366764201</c:v>
                  </c:pt>
                  <c:pt idx="2">
                    <c:v>7.1951734967054648</c:v>
                  </c:pt>
                  <c:pt idx="3">
                    <c:v>7.3521985573718256</c:v>
                  </c:pt>
                </c:numCache>
              </c:numRef>
            </c:minus>
          </c:errBars>
          <c:val>
            <c:numRef>
              <c:f>'Figure - race&amp;ethnicity'!$N$26:$N$29</c:f>
              <c:numCache>
                <c:formatCode>General</c:formatCode>
                <c:ptCount val="4"/>
                <c:pt idx="0">
                  <c:v>45.457885899314427</c:v>
                </c:pt>
                <c:pt idx="1">
                  <c:v>49.992742380913782</c:v>
                </c:pt>
                <c:pt idx="2">
                  <c:v>50.200264155400589</c:v>
                </c:pt>
                <c:pt idx="3">
                  <c:v>34.583633397211322</c:v>
                </c:pt>
              </c:numCache>
            </c:numRef>
          </c:val>
          <c:extLst>
            <c:ext xmlns:c16="http://schemas.microsoft.com/office/drawing/2014/chart" uri="{C3380CC4-5D6E-409C-BE32-E72D297353CC}">
              <c16:uniqueId val="{00000006-EC2E-49EE-AEDE-5E5B063E5885}"/>
            </c:ext>
          </c:extLst>
        </c:ser>
        <c:dLbls>
          <c:showLegendKey val="0"/>
          <c:showVal val="0"/>
          <c:showCatName val="0"/>
          <c:showSerName val="0"/>
          <c:showPercent val="0"/>
          <c:showBubbleSize val="0"/>
        </c:dLbls>
        <c:gapWidth val="150"/>
        <c:axId val="83633280"/>
        <c:axId val="83635200"/>
      </c:barChart>
      <c:catAx>
        <c:axId val="83633280"/>
        <c:scaling>
          <c:orientation val="minMax"/>
        </c:scaling>
        <c:delete val="0"/>
        <c:axPos val="b"/>
        <c:title>
          <c:tx>
            <c:rich>
              <a:bodyPr/>
              <a:lstStyle/>
              <a:p>
                <a:pPr>
                  <a:defRPr/>
                </a:pPr>
                <a:r>
                  <a:rPr lang="en-US"/>
                  <a:t>Racial/Ethnic Categories</a:t>
                </a:r>
              </a:p>
            </c:rich>
          </c:tx>
          <c:overlay val="0"/>
        </c:title>
        <c:numFmt formatCode="General" sourceLinked="0"/>
        <c:majorTickMark val="out"/>
        <c:minorTickMark val="none"/>
        <c:tickLblPos val="nextTo"/>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crossAx val="83635200"/>
        <c:crosses val="autoZero"/>
        <c:auto val="1"/>
        <c:lblAlgn val="ctr"/>
        <c:lblOffset val="100"/>
        <c:noMultiLvlLbl val="0"/>
      </c:catAx>
      <c:valAx>
        <c:axId val="83635200"/>
        <c:scaling>
          <c:orientation val="minMax"/>
        </c:scaling>
        <c:delete val="0"/>
        <c:axPos val="l"/>
        <c:majorGridlines/>
        <c:title>
          <c:tx>
            <c:rich>
              <a:bodyPr rot="-5400000" vert="horz"/>
              <a:lstStyle/>
              <a:p>
                <a:pPr>
                  <a:defRPr sz="800">
                    <a:latin typeface="Times New Roman" panose="02020603050405020304" pitchFamily="18" charset="0"/>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Opioid-related overdose deaths per 100,000 workers</a:t>
                </a:r>
              </a:p>
            </c:rich>
          </c:tx>
          <c:overlay val="0"/>
        </c:title>
        <c:numFmt formatCode="General" sourceLinked="1"/>
        <c:majorTickMark val="out"/>
        <c:minorTickMark val="none"/>
        <c:tickLblPos val="nextTo"/>
        <c:crossAx val="83633280"/>
        <c:crosses val="autoZero"/>
        <c:crossBetween val="between"/>
      </c:valAx>
    </c:plotArea>
    <c:legend>
      <c:legendPos val="r"/>
      <c:layout>
        <c:manualLayout>
          <c:xMode val="edge"/>
          <c:yMode val="edge"/>
          <c:x val="0.94100440610359204"/>
          <c:y val="3.4112197793370602E-2"/>
          <c:w val="5.4599988993682201E-2"/>
          <c:h val="0.27426351281418399"/>
        </c:manualLayout>
      </c:layout>
      <c:overlay val="0"/>
      <c:txPr>
        <a:bodyPr/>
        <a:lstStyle/>
        <a:p>
          <a:pPr>
            <a:defRPr sz="800"/>
          </a:pPr>
          <a:endParaRPr lang="en-US"/>
        </a:p>
      </c:txPr>
    </c:legend>
    <c:plotVisOnly val="1"/>
    <c:dispBlanksAs val="gap"/>
    <c:showDLblsOverMax val="0"/>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ln>
              <a:solidFill>
                <a:sysClr val="windowText" lastClr="000000"/>
              </a:solidFill>
            </a:ln>
          </c:spPr>
          <c:invertIfNegative val="0"/>
          <c:errBars>
            <c:errBarType val="both"/>
            <c:errValType val="cust"/>
            <c:noEndCap val="0"/>
            <c:plus>
              <c:numRef>
                <c:f>(Occupation!$H$19,Occupation!$K$19,Occupation!$N$19,Occupation!$Q$19)</c:f>
                <c:numCache>
                  <c:formatCode>General</c:formatCode>
                  <c:ptCount val="4"/>
                  <c:pt idx="0">
                    <c:v>2.7007896323162872</c:v>
                  </c:pt>
                  <c:pt idx="1">
                    <c:v>2.3106241725282746</c:v>
                  </c:pt>
                  <c:pt idx="2">
                    <c:v>3.0063785671874439</c:v>
                  </c:pt>
                  <c:pt idx="3">
                    <c:v>7.622399103846746</c:v>
                  </c:pt>
                </c:numCache>
              </c:numRef>
            </c:plus>
            <c:minus>
              <c:numRef>
                <c:f>(Occupation!$H$19,Occupation!$K$19,Occupation!$N$19,Occupation!$Q$19)</c:f>
                <c:numCache>
                  <c:formatCode>General</c:formatCode>
                  <c:ptCount val="4"/>
                  <c:pt idx="0">
                    <c:v>2.7007896323162872</c:v>
                  </c:pt>
                  <c:pt idx="1">
                    <c:v>2.3106241725282746</c:v>
                  </c:pt>
                  <c:pt idx="2">
                    <c:v>3.0063785671874439</c:v>
                  </c:pt>
                  <c:pt idx="3">
                    <c:v>7.622399103846746</c:v>
                  </c:pt>
                </c:numCache>
              </c:numRef>
            </c:minus>
          </c:errBars>
          <c:cat>
            <c:strRef>
              <c:f>Occupation!$S$12:$S$15</c:f>
              <c:strCache>
                <c:ptCount val="4"/>
                <c:pt idx="0">
                  <c:v>0-49</c:v>
                </c:pt>
                <c:pt idx="1">
                  <c:v>50-99</c:v>
                </c:pt>
                <c:pt idx="2">
                  <c:v>100-199</c:v>
                </c:pt>
                <c:pt idx="3">
                  <c:v>200+</c:v>
                </c:pt>
              </c:strCache>
            </c:strRef>
          </c:cat>
          <c:val>
            <c:numRef>
              <c:f>(Occupation!$H$17,Occupation!$K$17,Occupation!$N$17,Occupation!$Q$17)</c:f>
              <c:numCache>
                <c:formatCode>General</c:formatCode>
                <c:ptCount val="4"/>
                <c:pt idx="0">
                  <c:v>11.481636704949814</c:v>
                </c:pt>
                <c:pt idx="1">
                  <c:v>16.047013170799485</c:v>
                </c:pt>
                <c:pt idx="2">
                  <c:v>25.502282948554186</c:v>
                </c:pt>
                <c:pt idx="3">
                  <c:v>90.491168873712056</c:v>
                </c:pt>
              </c:numCache>
            </c:numRef>
          </c:val>
          <c:extLst>
            <c:ext xmlns:c16="http://schemas.microsoft.com/office/drawing/2014/chart" uri="{C3380CC4-5D6E-409C-BE32-E72D297353CC}">
              <c16:uniqueId val="{00000000-442D-4AF4-BA3C-B42C3B461AEF}"/>
            </c:ext>
          </c:extLst>
        </c:ser>
        <c:dLbls>
          <c:showLegendKey val="0"/>
          <c:showVal val="0"/>
          <c:showCatName val="0"/>
          <c:showSerName val="0"/>
          <c:showPercent val="0"/>
          <c:showBubbleSize val="0"/>
        </c:dLbls>
        <c:gapWidth val="150"/>
        <c:axId val="83652992"/>
        <c:axId val="83654912"/>
      </c:barChart>
      <c:catAx>
        <c:axId val="83652992"/>
        <c:scaling>
          <c:orientation val="minMax"/>
        </c:scaling>
        <c:delete val="0"/>
        <c:axPos val="b"/>
        <c:title>
          <c:tx>
            <c:rich>
              <a:bodyPr/>
              <a:lstStyle/>
              <a:p>
                <a:pPr>
                  <a:defRPr/>
                </a:pPr>
                <a:r>
                  <a:rPr lang="en-US"/>
                  <a:t>Number of occupational injuries and illnesses per 10,000 full-time workers from the MA SOII</a:t>
                </a:r>
              </a:p>
            </c:rich>
          </c:tx>
          <c:overlay val="0"/>
        </c:title>
        <c:numFmt formatCode="General" sourceLinked="0"/>
        <c:majorTickMark val="out"/>
        <c:minorTickMark val="none"/>
        <c:tickLblPos val="nextTo"/>
        <c:crossAx val="83654912"/>
        <c:crosses val="autoZero"/>
        <c:auto val="1"/>
        <c:lblAlgn val="ctr"/>
        <c:lblOffset val="100"/>
        <c:noMultiLvlLbl val="0"/>
      </c:catAx>
      <c:valAx>
        <c:axId val="83654912"/>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Opioid-related overdose deaths per 100,000 workers</a:t>
                </a:r>
              </a:p>
            </c:rich>
          </c:tx>
          <c:overlay val="0"/>
        </c:title>
        <c:numFmt formatCode="General" sourceLinked="1"/>
        <c:majorTickMark val="out"/>
        <c:minorTickMark val="none"/>
        <c:tickLblPos val="nextTo"/>
        <c:crossAx val="83652992"/>
        <c:crosses val="autoZero"/>
        <c:crossBetween val="between"/>
      </c:valAx>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4602108665329495E-2"/>
          <c:y val="2.6933558527798201E-2"/>
          <c:w val="0.91074209551438401"/>
          <c:h val="0.88681612250698005"/>
        </c:manualLayout>
      </c:layout>
      <c:barChart>
        <c:barDir val="col"/>
        <c:grouping val="clustered"/>
        <c:varyColors val="0"/>
        <c:ser>
          <c:idx val="0"/>
          <c:order val="0"/>
          <c:tx>
            <c:strRef>
              <c:f>'Paid sick leave'!$J$1</c:f>
              <c:strCache>
                <c:ptCount val="1"/>
                <c:pt idx="0">
                  <c:v>2011</c:v>
                </c:pt>
              </c:strCache>
            </c:strRef>
          </c:tx>
          <c:spPr>
            <a:ln>
              <a:solidFill>
                <a:sysClr val="windowText" lastClr="000000"/>
              </a:solidFill>
            </a:ln>
          </c:spPr>
          <c:invertIfNegative val="0"/>
          <c:errBars>
            <c:errBarType val="both"/>
            <c:errValType val="cust"/>
            <c:noEndCap val="0"/>
            <c:plus>
              <c:numRef>
                <c:f>('Paid sick leave'!$E$19,'Paid sick leave'!$B$19)</c:f>
                <c:numCache>
                  <c:formatCode>General</c:formatCode>
                  <c:ptCount val="2"/>
                  <c:pt idx="0">
                    <c:v>1.0996727633367409</c:v>
                  </c:pt>
                  <c:pt idx="1">
                    <c:v>1.0164006504923211</c:v>
                  </c:pt>
                </c:numCache>
              </c:numRef>
            </c:plus>
            <c:minus>
              <c:numRef>
                <c:f>('Paid sick leave'!$E$19,'Paid sick leave'!$B$19)</c:f>
                <c:numCache>
                  <c:formatCode>General</c:formatCode>
                  <c:ptCount val="2"/>
                  <c:pt idx="0">
                    <c:v>1.0996727633367409</c:v>
                  </c:pt>
                  <c:pt idx="1">
                    <c:v>1.0164006504923211</c:v>
                  </c:pt>
                </c:numCache>
              </c:numRef>
            </c:minus>
          </c:errBars>
          <c:cat>
            <c:strRef>
              <c:f>('Paid sick leave'!$E$16,'Paid sick leave'!$B$16)</c:f>
              <c:strCache>
                <c:ptCount val="2"/>
                <c:pt idx="0">
                  <c:v>High</c:v>
                </c:pt>
                <c:pt idx="1">
                  <c:v>Low</c:v>
                </c:pt>
              </c:strCache>
            </c:strRef>
          </c:cat>
          <c:val>
            <c:numRef>
              <c:f>('Paid sick leave'!$E$18,'Paid sick leave'!$B$18)</c:f>
              <c:numCache>
                <c:formatCode>General</c:formatCode>
                <c:ptCount val="2"/>
                <c:pt idx="0">
                  <c:v>5.7764408405266368</c:v>
                </c:pt>
                <c:pt idx="1">
                  <c:v>27.199076477159</c:v>
                </c:pt>
              </c:numCache>
            </c:numRef>
          </c:val>
          <c:extLst>
            <c:ext xmlns:c16="http://schemas.microsoft.com/office/drawing/2014/chart" uri="{C3380CC4-5D6E-409C-BE32-E72D297353CC}">
              <c16:uniqueId val="{00000000-EC87-43DB-859D-A931C27662D7}"/>
            </c:ext>
          </c:extLst>
        </c:ser>
        <c:ser>
          <c:idx val="6"/>
          <c:order val="1"/>
          <c:tx>
            <c:strRef>
              <c:f>'Paid sick leave'!$J$28</c:f>
              <c:strCache>
                <c:ptCount val="1"/>
                <c:pt idx="0">
                  <c:v>2012</c:v>
                </c:pt>
              </c:strCache>
            </c:strRef>
          </c:tx>
          <c:spPr>
            <a:ln>
              <a:solidFill>
                <a:sysClr val="windowText" lastClr="000000"/>
              </a:solidFill>
            </a:ln>
          </c:spPr>
          <c:invertIfNegative val="0"/>
          <c:errBars>
            <c:errBarType val="both"/>
            <c:errValType val="cust"/>
            <c:noEndCap val="0"/>
            <c:plus>
              <c:numRef>
                <c:f>('Paid sick leave'!$E$46,'Paid sick leave'!$B$46)</c:f>
                <c:numCache>
                  <c:formatCode>General</c:formatCode>
                  <c:ptCount val="2"/>
                  <c:pt idx="0">
                    <c:v>1.19046914940181</c:v>
                  </c:pt>
                  <c:pt idx="1">
                    <c:v>2.6291494424949269</c:v>
                  </c:pt>
                </c:numCache>
              </c:numRef>
            </c:plus>
            <c:minus>
              <c:numRef>
                <c:f>('Paid sick leave'!$E$46,'Paid sick leave'!$B$46)</c:f>
                <c:numCache>
                  <c:formatCode>General</c:formatCode>
                  <c:ptCount val="2"/>
                  <c:pt idx="0">
                    <c:v>1.19046914940181</c:v>
                  </c:pt>
                  <c:pt idx="1">
                    <c:v>2.6291494424949269</c:v>
                  </c:pt>
                </c:numCache>
              </c:numRef>
            </c:minus>
          </c:errBars>
          <c:val>
            <c:numRef>
              <c:f>('Paid sick leave'!$E$45,'Paid sick leave'!$B$45)</c:f>
              <c:numCache>
                <c:formatCode>General</c:formatCode>
                <c:ptCount val="2"/>
                <c:pt idx="0">
                  <c:v>6.8985359060772229</c:v>
                </c:pt>
                <c:pt idx="1">
                  <c:v>26.183137647022441</c:v>
                </c:pt>
              </c:numCache>
            </c:numRef>
          </c:val>
          <c:extLst>
            <c:ext xmlns:c16="http://schemas.microsoft.com/office/drawing/2014/chart" uri="{C3380CC4-5D6E-409C-BE32-E72D297353CC}">
              <c16:uniqueId val="{00000001-EC87-43DB-859D-A931C27662D7}"/>
            </c:ext>
          </c:extLst>
        </c:ser>
        <c:ser>
          <c:idx val="1"/>
          <c:order val="2"/>
          <c:tx>
            <c:strRef>
              <c:f>'Paid sick leave'!$J$59</c:f>
              <c:strCache>
                <c:ptCount val="1"/>
                <c:pt idx="0">
                  <c:v>2013</c:v>
                </c:pt>
              </c:strCache>
            </c:strRef>
          </c:tx>
          <c:spPr>
            <a:ln>
              <a:solidFill>
                <a:sysClr val="windowText" lastClr="000000"/>
              </a:solidFill>
            </a:ln>
          </c:spPr>
          <c:invertIfNegative val="0"/>
          <c:errBars>
            <c:errBarType val="both"/>
            <c:errValType val="cust"/>
            <c:noEndCap val="0"/>
            <c:plus>
              <c:numRef>
                <c:f>('Paid sick leave'!$E$77,'Paid sick leave'!$B$77)</c:f>
                <c:numCache>
                  <c:formatCode>General</c:formatCode>
                  <c:ptCount val="2"/>
                  <c:pt idx="0">
                    <c:v>1.291158565741922</c:v>
                  </c:pt>
                  <c:pt idx="1">
                    <c:v>3.1777621263114599</c:v>
                  </c:pt>
                </c:numCache>
              </c:numRef>
            </c:plus>
            <c:minus>
              <c:numRef>
                <c:f>('Paid sick leave'!$E$77,'Paid sick leave'!$B$77)</c:f>
                <c:numCache>
                  <c:formatCode>General</c:formatCode>
                  <c:ptCount val="2"/>
                  <c:pt idx="0">
                    <c:v>1.291158565741922</c:v>
                  </c:pt>
                  <c:pt idx="1">
                    <c:v>3.1777621263114599</c:v>
                  </c:pt>
                </c:numCache>
              </c:numRef>
            </c:minus>
          </c:errBars>
          <c:val>
            <c:numRef>
              <c:f>('Paid sick leave'!$E$76,'Paid sick leave'!$B$76)</c:f>
              <c:numCache>
                <c:formatCode>General</c:formatCode>
                <c:ptCount val="2"/>
                <c:pt idx="0">
                  <c:v>8.35865590736325</c:v>
                </c:pt>
                <c:pt idx="1">
                  <c:v>38.708179038230782</c:v>
                </c:pt>
              </c:numCache>
            </c:numRef>
          </c:val>
          <c:extLst>
            <c:ext xmlns:c16="http://schemas.microsoft.com/office/drawing/2014/chart" uri="{C3380CC4-5D6E-409C-BE32-E72D297353CC}">
              <c16:uniqueId val="{00000002-EC87-43DB-859D-A931C27662D7}"/>
            </c:ext>
          </c:extLst>
        </c:ser>
        <c:ser>
          <c:idx val="2"/>
          <c:order val="3"/>
          <c:tx>
            <c:strRef>
              <c:f>'Paid sick leave'!$J$87</c:f>
              <c:strCache>
                <c:ptCount val="1"/>
                <c:pt idx="0">
                  <c:v>2014</c:v>
                </c:pt>
              </c:strCache>
            </c:strRef>
          </c:tx>
          <c:spPr>
            <a:ln>
              <a:solidFill>
                <a:sysClr val="windowText" lastClr="000000"/>
              </a:solidFill>
            </a:ln>
          </c:spPr>
          <c:invertIfNegative val="0"/>
          <c:errBars>
            <c:errBarType val="both"/>
            <c:errValType val="cust"/>
            <c:noEndCap val="0"/>
            <c:plus>
              <c:numRef>
                <c:f>('Paid sick leave'!$E$108,'Paid sick leave'!$B$108)</c:f>
                <c:numCache>
                  <c:formatCode>General</c:formatCode>
                  <c:ptCount val="2"/>
                  <c:pt idx="0">
                    <c:v>1.6299859184141241</c:v>
                  </c:pt>
                  <c:pt idx="1">
                    <c:v>4.7866922013220101</c:v>
                  </c:pt>
                </c:numCache>
              </c:numRef>
            </c:plus>
            <c:minus>
              <c:numRef>
                <c:f>('Paid sick leave'!$E$108,'Paid sick leave'!$B$108)</c:f>
                <c:numCache>
                  <c:formatCode>General</c:formatCode>
                  <c:ptCount val="2"/>
                  <c:pt idx="0">
                    <c:v>1.6299859184141241</c:v>
                  </c:pt>
                  <c:pt idx="1">
                    <c:v>4.7866922013220101</c:v>
                  </c:pt>
                </c:numCache>
              </c:numRef>
            </c:minus>
          </c:errBars>
          <c:val>
            <c:numRef>
              <c:f>('Paid sick leave'!$E$107,'Paid sick leave'!$B$107)</c:f>
              <c:numCache>
                <c:formatCode>General</c:formatCode>
                <c:ptCount val="2"/>
                <c:pt idx="0">
                  <c:v>16.465344230702922</c:v>
                </c:pt>
                <c:pt idx="1">
                  <c:v>64.614271261787493</c:v>
                </c:pt>
              </c:numCache>
            </c:numRef>
          </c:val>
          <c:extLst>
            <c:ext xmlns:c16="http://schemas.microsoft.com/office/drawing/2014/chart" uri="{C3380CC4-5D6E-409C-BE32-E72D297353CC}">
              <c16:uniqueId val="{00000003-EC87-43DB-859D-A931C27662D7}"/>
            </c:ext>
          </c:extLst>
        </c:ser>
        <c:ser>
          <c:idx val="3"/>
          <c:order val="4"/>
          <c:tx>
            <c:strRef>
              <c:f>'Paid sick leave'!$J$115</c:f>
              <c:strCache>
                <c:ptCount val="1"/>
                <c:pt idx="0">
                  <c:v>2015</c:v>
                </c:pt>
              </c:strCache>
            </c:strRef>
          </c:tx>
          <c:spPr>
            <a:ln>
              <a:solidFill>
                <a:sysClr val="windowText" lastClr="000000"/>
              </a:solidFill>
            </a:ln>
          </c:spPr>
          <c:invertIfNegative val="0"/>
          <c:errBars>
            <c:errBarType val="both"/>
            <c:errValType val="cust"/>
            <c:noEndCap val="0"/>
            <c:plus>
              <c:numRef>
                <c:f>('Paid sick leave'!$E$136,'Paid sick leave'!$B$136)</c:f>
                <c:numCache>
                  <c:formatCode>General</c:formatCode>
                  <c:ptCount val="2"/>
                  <c:pt idx="0">
                    <c:v>1.6811290923846409</c:v>
                  </c:pt>
                  <c:pt idx="1">
                    <c:v>5.643159915024345</c:v>
                  </c:pt>
                </c:numCache>
              </c:numRef>
            </c:plus>
            <c:minus>
              <c:numRef>
                <c:f>('Paid sick leave'!$E$136,'Paid sick leave'!$B$136)</c:f>
                <c:numCache>
                  <c:formatCode>General</c:formatCode>
                  <c:ptCount val="2"/>
                  <c:pt idx="0">
                    <c:v>1.6811290923846409</c:v>
                  </c:pt>
                  <c:pt idx="1">
                    <c:v>5.643159915024345</c:v>
                  </c:pt>
                </c:numCache>
              </c:numRef>
            </c:minus>
          </c:errBars>
          <c:val>
            <c:numRef>
              <c:f>('Paid sick leave'!$E$135,'Paid sick leave'!$B$135)</c:f>
              <c:numCache>
                <c:formatCode>General</c:formatCode>
                <c:ptCount val="2"/>
                <c:pt idx="0">
                  <c:v>17.889146510876181</c:v>
                </c:pt>
                <c:pt idx="1">
                  <c:v>90.178039579058662</c:v>
                </c:pt>
              </c:numCache>
            </c:numRef>
          </c:val>
          <c:extLst>
            <c:ext xmlns:c16="http://schemas.microsoft.com/office/drawing/2014/chart" uri="{C3380CC4-5D6E-409C-BE32-E72D297353CC}">
              <c16:uniqueId val="{00000004-EC87-43DB-859D-A931C27662D7}"/>
            </c:ext>
          </c:extLst>
        </c:ser>
        <c:ser>
          <c:idx val="4"/>
          <c:order val="5"/>
          <c:tx>
            <c:strRef>
              <c:f>'Paid sick leave'!$J$143</c:f>
              <c:strCache>
                <c:ptCount val="1"/>
                <c:pt idx="0">
                  <c:v>2016</c:v>
                </c:pt>
              </c:strCache>
            </c:strRef>
          </c:tx>
          <c:spPr>
            <a:ln>
              <a:solidFill>
                <a:sysClr val="windowText" lastClr="000000"/>
              </a:solidFill>
            </a:ln>
          </c:spPr>
          <c:invertIfNegative val="0"/>
          <c:errBars>
            <c:errBarType val="both"/>
            <c:errValType val="cust"/>
            <c:noEndCap val="0"/>
            <c:plus>
              <c:numRef>
                <c:f>('Paid sick leave'!$E$165,'Paid sick leave'!$B$165)</c:f>
                <c:numCache>
                  <c:formatCode>General</c:formatCode>
                  <c:ptCount val="2"/>
                  <c:pt idx="0">
                    <c:v>1.8937193044311049</c:v>
                  </c:pt>
                  <c:pt idx="1">
                    <c:v>6.0156971861670572</c:v>
                  </c:pt>
                </c:numCache>
              </c:numRef>
            </c:plus>
            <c:minus>
              <c:numRef>
                <c:f>('Paid sick leave'!$E$165,'Paid sick leave'!$B$165)</c:f>
                <c:numCache>
                  <c:formatCode>General</c:formatCode>
                  <c:ptCount val="2"/>
                  <c:pt idx="0">
                    <c:v>1.8937193044311049</c:v>
                  </c:pt>
                  <c:pt idx="1">
                    <c:v>6.0156971861670572</c:v>
                  </c:pt>
                </c:numCache>
              </c:numRef>
            </c:minus>
          </c:errBars>
          <c:val>
            <c:numRef>
              <c:f>('Paid sick leave'!$E$164,'Paid sick leave'!$B$164)</c:f>
              <c:numCache>
                <c:formatCode>General</c:formatCode>
                <c:ptCount val="2"/>
                <c:pt idx="0">
                  <c:v>23.006527036929679</c:v>
                </c:pt>
                <c:pt idx="1">
                  <c:v>103.5837805442559</c:v>
                </c:pt>
              </c:numCache>
            </c:numRef>
          </c:val>
          <c:extLst>
            <c:ext xmlns:c16="http://schemas.microsoft.com/office/drawing/2014/chart" uri="{C3380CC4-5D6E-409C-BE32-E72D297353CC}">
              <c16:uniqueId val="{00000005-EC87-43DB-859D-A931C27662D7}"/>
            </c:ext>
          </c:extLst>
        </c:ser>
        <c:ser>
          <c:idx val="5"/>
          <c:order val="6"/>
          <c:tx>
            <c:strRef>
              <c:f>'Paid sick leave'!$J$169</c:f>
              <c:strCache>
                <c:ptCount val="1"/>
                <c:pt idx="0">
                  <c:v>2017</c:v>
                </c:pt>
              </c:strCache>
            </c:strRef>
          </c:tx>
          <c:spPr>
            <a:ln>
              <a:solidFill>
                <a:sysClr val="windowText" lastClr="000000"/>
              </a:solidFill>
            </a:ln>
          </c:spPr>
          <c:invertIfNegative val="0"/>
          <c:errBars>
            <c:errBarType val="both"/>
            <c:errValType val="cust"/>
            <c:noEndCap val="0"/>
            <c:plus>
              <c:numRef>
                <c:f>('Paid sick leave'!$E$191,'Paid sick leave'!$B$191)</c:f>
                <c:numCache>
                  <c:formatCode>General</c:formatCode>
                  <c:ptCount val="2"/>
                  <c:pt idx="0">
                    <c:v>1.8676668604212221</c:v>
                  </c:pt>
                  <c:pt idx="1">
                    <c:v>6.975250058907573</c:v>
                  </c:pt>
                </c:numCache>
              </c:numRef>
            </c:plus>
            <c:minus>
              <c:numRef>
                <c:f>('Paid sick leave'!$E$191,'Paid sick leave'!$B$191)</c:f>
                <c:numCache>
                  <c:formatCode>General</c:formatCode>
                  <c:ptCount val="2"/>
                  <c:pt idx="0">
                    <c:v>1.8676668604212221</c:v>
                  </c:pt>
                  <c:pt idx="1">
                    <c:v>6.975250058907573</c:v>
                  </c:pt>
                </c:numCache>
              </c:numRef>
            </c:minus>
          </c:errBars>
          <c:val>
            <c:numRef>
              <c:f>('Paid sick leave'!$E$190,'Paid sick leave'!$B$190)</c:f>
              <c:numCache>
                <c:formatCode>General</c:formatCode>
                <c:ptCount val="2"/>
                <c:pt idx="0">
                  <c:v>24.77517263824069</c:v>
                </c:pt>
                <c:pt idx="1">
                  <c:v>109.4005774498205</c:v>
                </c:pt>
              </c:numCache>
            </c:numRef>
          </c:val>
          <c:extLst>
            <c:ext xmlns:c16="http://schemas.microsoft.com/office/drawing/2014/chart" uri="{C3380CC4-5D6E-409C-BE32-E72D297353CC}">
              <c16:uniqueId val="{00000006-EC87-43DB-859D-A931C27662D7}"/>
            </c:ext>
          </c:extLst>
        </c:ser>
        <c:dLbls>
          <c:showLegendKey val="0"/>
          <c:showVal val="0"/>
          <c:showCatName val="0"/>
          <c:showSerName val="0"/>
          <c:showPercent val="0"/>
          <c:showBubbleSize val="0"/>
        </c:dLbls>
        <c:gapWidth val="150"/>
        <c:axId val="88716416"/>
        <c:axId val="88718336"/>
      </c:barChart>
      <c:catAx>
        <c:axId val="88716416"/>
        <c:scaling>
          <c:orientation val="minMax"/>
        </c:scaling>
        <c:delete val="0"/>
        <c:axPos val="b"/>
        <c:title>
          <c:tx>
            <c:rich>
              <a:bodyPr/>
              <a:lstStyle/>
              <a:p>
                <a:pPr>
                  <a:defRPr/>
                </a:pPr>
                <a:r>
                  <a:rPr lang="en-US"/>
                  <a:t>Percent</a:t>
                </a:r>
                <a:r>
                  <a:rPr lang="en-US" baseline="0"/>
                  <a:t> of workers with paid sick leave </a:t>
                </a:r>
                <a:endParaRPr lang="en-US"/>
              </a:p>
            </c:rich>
          </c:tx>
          <c:overlay val="0"/>
        </c:title>
        <c:numFmt formatCode="General" sourceLinked="0"/>
        <c:majorTickMark val="out"/>
        <c:minorTickMark val="none"/>
        <c:tickLblPos val="nextTo"/>
        <c:crossAx val="88718336"/>
        <c:crosses val="autoZero"/>
        <c:auto val="1"/>
        <c:lblAlgn val="ctr"/>
        <c:lblOffset val="100"/>
        <c:noMultiLvlLbl val="0"/>
      </c:catAx>
      <c:valAx>
        <c:axId val="88718336"/>
        <c:scaling>
          <c:orientation val="minMax"/>
        </c:scaling>
        <c:delete val="0"/>
        <c:axPos val="l"/>
        <c:majorGridlines>
          <c:spPr>
            <a:ln>
              <a:solidFill>
                <a:schemeClr val="bg1">
                  <a:lumMod val="85000"/>
                </a:schemeClr>
              </a:solidFill>
            </a:ln>
          </c:spPr>
        </c:majorGridlines>
        <c:title>
          <c:tx>
            <c:rich>
              <a:bodyPr rot="-5400000" vert="horz"/>
              <a:lstStyle/>
              <a:p>
                <a:pPr>
                  <a:defRPr sz="900"/>
                </a:pPr>
                <a:r>
                  <a:rPr lang="en-US" sz="900" b="1"/>
                  <a:t>Opioid-related overdose deaths per 100,000 workers</a:t>
                </a:r>
              </a:p>
            </c:rich>
          </c:tx>
          <c:overlay val="0"/>
        </c:title>
        <c:numFmt formatCode="General" sourceLinked="1"/>
        <c:majorTickMark val="out"/>
        <c:minorTickMark val="none"/>
        <c:tickLblPos val="nextTo"/>
        <c:txPr>
          <a:bodyPr/>
          <a:lstStyle/>
          <a:p>
            <a:pPr>
              <a:defRPr sz="900"/>
            </a:pPr>
            <a:endParaRPr lang="en-US"/>
          </a:p>
        </c:txPr>
        <c:crossAx val="88716416"/>
        <c:crosses val="autoZero"/>
        <c:crossBetween val="between"/>
      </c:valAx>
    </c:plotArea>
    <c:legend>
      <c:legendPos val="r"/>
      <c:layout>
        <c:manualLayout>
          <c:xMode val="edge"/>
          <c:yMode val="edge"/>
          <c:x val="8.6715288049341602E-2"/>
          <c:y val="4.2113111657221203E-2"/>
          <c:w val="6.8802165542416305E-2"/>
          <c:h val="0.32103616028888099"/>
        </c:manualLayout>
      </c:layout>
      <c:overlay val="0"/>
      <c:txPr>
        <a:bodyPr/>
        <a:lstStyle/>
        <a:p>
          <a:pPr>
            <a:defRPr sz="900"/>
          </a:pPr>
          <a:endParaRPr lang="en-US"/>
        </a:p>
      </c:txPr>
    </c:legend>
    <c:plotVisOnly val="1"/>
    <c:dispBlanksAs val="gap"/>
    <c:showDLblsOverMax val="0"/>
  </c:chart>
  <c:spPr>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91926613511167"/>
          <c:y val="0.10982491517828562"/>
          <c:w val="0.8661871737655189"/>
          <c:h val="0.79417610908392544"/>
        </c:manualLayout>
      </c:layout>
      <c:lineChart>
        <c:grouping val="standard"/>
        <c:varyColors val="0"/>
        <c:ser>
          <c:idx val="0"/>
          <c:order val="0"/>
          <c:tx>
            <c:strRef>
              <c:f>'Toxicology - Construction'!$B$8</c:f>
              <c:strCache>
                <c:ptCount val="1"/>
                <c:pt idx="0">
                  <c:v>Fentanyl*</c:v>
                </c:pt>
              </c:strCache>
            </c:strRef>
          </c:tx>
          <c:spPr>
            <a:ln w="28575" cap="rnd">
              <a:solidFill>
                <a:srgbClr val="416FA6"/>
              </a:solidFill>
              <a:round/>
            </a:ln>
            <a:effectLst/>
          </c:spPr>
          <c:marker>
            <c:symbol val="square"/>
            <c:size val="6"/>
            <c:spPr>
              <a:solidFill>
                <a:schemeClr val="accent1"/>
              </a:solidFill>
              <a:ln w="9525">
                <a:solidFill>
                  <a:schemeClr val="accent1"/>
                </a:solidFill>
              </a:ln>
              <a:effectLst/>
            </c:spPr>
          </c:marker>
          <c:cat>
            <c:numRef>
              <c:f>'Toxicology - Construction'!$A$9:$A$11</c:f>
              <c:numCache>
                <c:formatCode>General</c:formatCode>
                <c:ptCount val="3"/>
                <c:pt idx="0">
                  <c:v>2015</c:v>
                </c:pt>
                <c:pt idx="1">
                  <c:v>2016</c:v>
                </c:pt>
                <c:pt idx="2">
                  <c:v>2017</c:v>
                </c:pt>
              </c:numCache>
            </c:numRef>
          </c:cat>
          <c:val>
            <c:numRef>
              <c:f>'Toxicology - Construction'!$B$9:$B$11</c:f>
              <c:numCache>
                <c:formatCode>General</c:formatCode>
                <c:ptCount val="3"/>
                <c:pt idx="0">
                  <c:v>65.316455696202539</c:v>
                </c:pt>
                <c:pt idx="1">
                  <c:v>77.483443708609272</c:v>
                </c:pt>
                <c:pt idx="2">
                  <c:v>87.58314855875831</c:v>
                </c:pt>
              </c:numCache>
            </c:numRef>
          </c:val>
          <c:smooth val="0"/>
          <c:extLst>
            <c:ext xmlns:c16="http://schemas.microsoft.com/office/drawing/2014/chart" uri="{C3380CC4-5D6E-409C-BE32-E72D297353CC}">
              <c16:uniqueId val="{00000000-FCE8-47AF-B4F8-ABC4F030E784}"/>
            </c:ext>
          </c:extLst>
        </c:ser>
        <c:ser>
          <c:idx val="1"/>
          <c:order val="1"/>
          <c:tx>
            <c:strRef>
              <c:f>'Toxicology - Construction'!$C$8</c:f>
              <c:strCache>
                <c:ptCount val="1"/>
                <c:pt idx="0">
                  <c:v>Heroin</c:v>
                </c:pt>
              </c:strCache>
            </c:strRef>
          </c:tx>
          <c:spPr>
            <a:ln w="28575" cap="rnd">
              <a:solidFill>
                <a:schemeClr val="accent2"/>
              </a:solidFill>
              <a:round/>
            </a:ln>
            <a:effectLst/>
          </c:spPr>
          <c:marker>
            <c:symbol val="diamond"/>
            <c:size val="6"/>
            <c:spPr>
              <a:solidFill>
                <a:schemeClr val="accent2"/>
              </a:solidFill>
              <a:ln w="9525">
                <a:solidFill>
                  <a:schemeClr val="accent2"/>
                </a:solidFill>
              </a:ln>
              <a:effectLst/>
            </c:spPr>
          </c:marker>
          <c:val>
            <c:numRef>
              <c:f>'Toxicology - Construction'!$C$9:$C$11</c:f>
              <c:numCache>
                <c:formatCode>General</c:formatCode>
                <c:ptCount val="3"/>
                <c:pt idx="0">
                  <c:v>48.101265822784811</c:v>
                </c:pt>
                <c:pt idx="1">
                  <c:v>35.320088300220753</c:v>
                </c:pt>
                <c:pt idx="2">
                  <c:v>24.611973392461199</c:v>
                </c:pt>
              </c:numCache>
            </c:numRef>
          </c:val>
          <c:smooth val="0"/>
          <c:extLst>
            <c:ext xmlns:c16="http://schemas.microsoft.com/office/drawing/2014/chart" uri="{C3380CC4-5D6E-409C-BE32-E72D297353CC}">
              <c16:uniqueId val="{00000001-FCE8-47AF-B4F8-ABC4F030E784}"/>
            </c:ext>
          </c:extLst>
        </c:ser>
        <c:ser>
          <c:idx val="2"/>
          <c:order val="2"/>
          <c:tx>
            <c:strRef>
              <c:f>'Toxicology - Construction'!$D$8</c:f>
              <c:strCache>
                <c:ptCount val="1"/>
                <c:pt idx="0">
                  <c:v>Cocaine</c:v>
                </c:pt>
              </c:strCache>
            </c:strRef>
          </c:tx>
          <c:spPr>
            <a:ln w="28575" cap="rnd">
              <a:solidFill>
                <a:schemeClr val="accent3"/>
              </a:solidFill>
              <a:round/>
            </a:ln>
            <a:effectLst/>
          </c:spPr>
          <c:marker>
            <c:symbol val="triangle"/>
            <c:size val="6"/>
            <c:spPr>
              <a:solidFill>
                <a:schemeClr val="accent3"/>
              </a:solidFill>
              <a:ln w="9525">
                <a:solidFill>
                  <a:schemeClr val="accent3"/>
                </a:solidFill>
              </a:ln>
              <a:effectLst/>
            </c:spPr>
          </c:marker>
          <c:val>
            <c:numRef>
              <c:f>'Toxicology - Construction'!$D$9:$D$11</c:f>
              <c:numCache>
                <c:formatCode>General</c:formatCode>
                <c:ptCount val="3"/>
                <c:pt idx="0">
                  <c:v>25.316455696202532</c:v>
                </c:pt>
                <c:pt idx="1">
                  <c:v>27.814569536423839</c:v>
                </c:pt>
                <c:pt idx="2">
                  <c:v>35.254988913525494</c:v>
                </c:pt>
              </c:numCache>
            </c:numRef>
          </c:val>
          <c:smooth val="0"/>
          <c:extLst>
            <c:ext xmlns:c16="http://schemas.microsoft.com/office/drawing/2014/chart" uri="{C3380CC4-5D6E-409C-BE32-E72D297353CC}">
              <c16:uniqueId val="{00000002-FCE8-47AF-B4F8-ABC4F030E784}"/>
            </c:ext>
          </c:extLst>
        </c:ser>
        <c:ser>
          <c:idx val="3"/>
          <c:order val="3"/>
          <c:tx>
            <c:strRef>
              <c:f>'Toxicology - Construction'!$E$8</c:f>
              <c:strCache>
                <c:ptCount val="1"/>
                <c:pt idx="0">
                  <c:v>Benzodiazepine</c:v>
                </c:pt>
              </c:strCache>
            </c:strRef>
          </c:tx>
          <c:spPr>
            <a:ln w="28575" cap="rnd">
              <a:solidFill>
                <a:schemeClr val="accent4"/>
              </a:solidFill>
              <a:round/>
            </a:ln>
            <a:effectLst/>
          </c:spPr>
          <c:marker>
            <c:symbol val="star"/>
            <c:size val="6"/>
            <c:spPr>
              <a:noFill/>
              <a:ln w="9525">
                <a:solidFill>
                  <a:schemeClr val="accent4"/>
                </a:solidFill>
              </a:ln>
              <a:effectLst/>
            </c:spPr>
          </c:marker>
          <c:val>
            <c:numRef>
              <c:f>'Toxicology - Construction'!$E$9:$E$11</c:f>
              <c:numCache>
                <c:formatCode>General</c:formatCode>
                <c:ptCount val="3"/>
                <c:pt idx="0">
                  <c:v>9.113924050632912</c:v>
                </c:pt>
                <c:pt idx="1">
                  <c:v>9.2715231788079464</c:v>
                </c:pt>
                <c:pt idx="2">
                  <c:v>17.516629711751662</c:v>
                </c:pt>
              </c:numCache>
            </c:numRef>
          </c:val>
          <c:smooth val="0"/>
          <c:extLst>
            <c:ext xmlns:c16="http://schemas.microsoft.com/office/drawing/2014/chart" uri="{C3380CC4-5D6E-409C-BE32-E72D297353CC}">
              <c16:uniqueId val="{00000003-FCE8-47AF-B4F8-ABC4F030E784}"/>
            </c:ext>
          </c:extLst>
        </c:ser>
        <c:ser>
          <c:idx val="4"/>
          <c:order val="4"/>
          <c:tx>
            <c:strRef>
              <c:f>'Toxicology - Construction'!$F$8</c:f>
              <c:strCache>
                <c:ptCount val="1"/>
                <c:pt idx="0">
                  <c:v>Amphetamine</c:v>
                </c:pt>
              </c:strCache>
            </c:strRef>
          </c:tx>
          <c:spPr>
            <a:ln w="28575" cap="rnd">
              <a:solidFill>
                <a:schemeClr val="accent5"/>
              </a:solidFill>
              <a:round/>
            </a:ln>
            <a:effectLst/>
          </c:spPr>
          <c:marker>
            <c:symbol val="plus"/>
            <c:size val="6"/>
            <c:spPr>
              <a:noFill/>
              <a:ln w="9525">
                <a:solidFill>
                  <a:schemeClr val="accent5"/>
                </a:solidFill>
              </a:ln>
              <a:effectLst/>
            </c:spPr>
          </c:marker>
          <c:val>
            <c:numRef>
              <c:f>'Toxicology - Construction'!$F$9:$F$11</c:f>
              <c:numCache>
                <c:formatCode>General</c:formatCode>
                <c:ptCount val="3"/>
                <c:pt idx="0">
                  <c:v>1.2658227848101267</c:v>
                </c:pt>
                <c:pt idx="1">
                  <c:v>0.66225165562913912</c:v>
                </c:pt>
                <c:pt idx="2">
                  <c:v>0.88691796008869184</c:v>
                </c:pt>
              </c:numCache>
            </c:numRef>
          </c:val>
          <c:smooth val="0"/>
          <c:extLst>
            <c:ext xmlns:c16="http://schemas.microsoft.com/office/drawing/2014/chart" uri="{C3380CC4-5D6E-409C-BE32-E72D297353CC}">
              <c16:uniqueId val="{00000004-FCE8-47AF-B4F8-ABC4F030E784}"/>
            </c:ext>
          </c:extLst>
        </c:ser>
        <c:ser>
          <c:idx val="5"/>
          <c:order val="5"/>
          <c:tx>
            <c:strRef>
              <c:f>'Toxicology - Construction'!$G$8</c:f>
              <c:strCache>
                <c:ptCount val="1"/>
                <c:pt idx="0">
                  <c:v>Prescribed Opioid**</c:v>
                </c:pt>
              </c:strCache>
            </c:strRef>
          </c:tx>
          <c:spPr>
            <a:ln w="28575" cap="rnd">
              <a:solidFill>
                <a:schemeClr val="accent6"/>
              </a:solidFill>
              <a:round/>
            </a:ln>
            <a:effectLst/>
          </c:spPr>
          <c:marker>
            <c:symbol val="circle"/>
            <c:size val="6"/>
            <c:spPr>
              <a:solidFill>
                <a:schemeClr val="accent6"/>
              </a:solidFill>
              <a:ln w="9525">
                <a:solidFill>
                  <a:schemeClr val="accent6"/>
                </a:solidFill>
              </a:ln>
              <a:effectLst/>
            </c:spPr>
          </c:marker>
          <c:val>
            <c:numRef>
              <c:f>'Toxicology - Construction'!$G$9:$G$11</c:f>
              <c:numCache>
                <c:formatCode>General</c:formatCode>
                <c:ptCount val="3"/>
                <c:pt idx="0">
                  <c:v>7.0886075949367093</c:v>
                </c:pt>
                <c:pt idx="1">
                  <c:v>10.375275938189846</c:v>
                </c:pt>
                <c:pt idx="2">
                  <c:v>7.7605321507760534</c:v>
                </c:pt>
              </c:numCache>
            </c:numRef>
          </c:val>
          <c:smooth val="0"/>
          <c:extLst>
            <c:ext xmlns:c16="http://schemas.microsoft.com/office/drawing/2014/chart" uri="{C3380CC4-5D6E-409C-BE32-E72D297353CC}">
              <c16:uniqueId val="{00000005-FCE8-47AF-B4F8-ABC4F030E784}"/>
            </c:ext>
          </c:extLst>
        </c:ser>
        <c:ser>
          <c:idx val="6"/>
          <c:order val="6"/>
          <c:tx>
            <c:strRef>
              <c:f>'Toxicology - Construction'!$H$8</c:f>
              <c:strCache>
                <c:ptCount val="1"/>
                <c:pt idx="0">
                  <c:v>Alcohol</c:v>
                </c:pt>
              </c:strCache>
            </c:strRef>
          </c:tx>
          <c:spPr>
            <a:ln w="28575" cap="rnd">
              <a:solidFill>
                <a:srgbClr val="8EA5CB"/>
              </a:solidFill>
              <a:round/>
            </a:ln>
            <a:effectLst/>
          </c:spPr>
          <c:marker>
            <c:symbol val="x"/>
            <c:size val="6"/>
            <c:spPr>
              <a:noFill/>
              <a:ln w="9525">
                <a:solidFill>
                  <a:schemeClr val="accent1">
                    <a:lumMod val="60000"/>
                  </a:schemeClr>
                </a:solidFill>
              </a:ln>
              <a:effectLst/>
            </c:spPr>
          </c:marker>
          <c:val>
            <c:numRef>
              <c:f>'Toxicology - Construction'!$H$9:$H$11</c:f>
              <c:numCache>
                <c:formatCode>General</c:formatCode>
                <c:ptCount val="3"/>
                <c:pt idx="0">
                  <c:v>22.531645569620252</c:v>
                </c:pt>
                <c:pt idx="1">
                  <c:v>20.309050772626932</c:v>
                </c:pt>
                <c:pt idx="2">
                  <c:v>25.055432372505543</c:v>
                </c:pt>
              </c:numCache>
            </c:numRef>
          </c:val>
          <c:smooth val="0"/>
          <c:extLst>
            <c:ext xmlns:c16="http://schemas.microsoft.com/office/drawing/2014/chart" uri="{C3380CC4-5D6E-409C-BE32-E72D297353CC}">
              <c16:uniqueId val="{00000006-FCE8-47AF-B4F8-ABC4F030E784}"/>
            </c:ext>
          </c:extLst>
        </c:ser>
        <c:dLbls>
          <c:showLegendKey val="0"/>
          <c:showVal val="0"/>
          <c:showCatName val="0"/>
          <c:showSerName val="0"/>
          <c:showPercent val="0"/>
          <c:showBubbleSize val="0"/>
        </c:dLbls>
        <c:marker val="1"/>
        <c:smooth val="0"/>
        <c:axId val="88968192"/>
        <c:axId val="88974848"/>
      </c:lineChart>
      <c:catAx>
        <c:axId val="88968192"/>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a:solidFill>
                      <a:sysClr val="windowText" lastClr="000000"/>
                    </a:solidFill>
                  </a:rPr>
                  <a:t>Year</a:t>
                </a:r>
              </a:p>
            </c:rich>
          </c:tx>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8974848"/>
        <c:crosses val="autoZero"/>
        <c:auto val="1"/>
        <c:lblAlgn val="ctr"/>
        <c:lblOffset val="0"/>
        <c:noMultiLvlLbl val="0"/>
      </c:catAx>
      <c:valAx>
        <c:axId val="88974848"/>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a:solidFill>
                      <a:sysClr val="windowText" lastClr="000000"/>
                    </a:solidFill>
                  </a:rPr>
                  <a:t>Percent</a:t>
                </a:r>
                <a:r>
                  <a:rPr lang="en-US" b="1" baseline="0">
                    <a:solidFill>
                      <a:sysClr val="windowText" lastClr="000000"/>
                    </a:solidFill>
                  </a:rPr>
                  <a:t> </a:t>
                </a:r>
                <a:r>
                  <a:rPr lang="en-US" b="1">
                    <a:solidFill>
                      <a:sysClr val="windowText" lastClr="000000"/>
                    </a:solidFill>
                  </a:rPr>
                  <a:t>of opioid-related overdose</a:t>
                </a:r>
                <a:r>
                  <a:rPr lang="en-US" b="1" baseline="0">
                    <a:solidFill>
                      <a:sysClr val="windowText" lastClr="000000"/>
                    </a:solidFill>
                  </a:rPr>
                  <a:t> deaths</a:t>
                </a:r>
                <a:endParaRPr lang="en-US" b="1">
                  <a:solidFill>
                    <a:sysClr val="windowText" lastClr="000000"/>
                  </a:solidFill>
                </a:endParaRPr>
              </a:p>
            </c:rich>
          </c:tx>
          <c:overlay val="0"/>
          <c:spPr>
            <a:noFill/>
            <a:ln>
              <a:noFill/>
            </a:ln>
            <a:effectLst/>
          </c:spPr>
        </c:title>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8968192"/>
        <c:crosses val="autoZero"/>
        <c:crossBetween val="midCat"/>
        <c:dispUnits>
          <c:builtInUnit val="hundreds"/>
        </c:dispUnits>
      </c:valAx>
      <c:spPr>
        <a:noFill/>
        <a:ln>
          <a:noFill/>
        </a:ln>
        <a:effectLst/>
      </c:spPr>
    </c:plotArea>
    <c:legend>
      <c:legendPos val="r"/>
      <c:layout>
        <c:manualLayout>
          <c:xMode val="edge"/>
          <c:yMode val="edge"/>
          <c:x val="0.101987237263219"/>
          <c:y val="3.4034863707470421E-2"/>
          <c:w val="0.20186972137750889"/>
          <c:h val="0.3069569809871327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631707215327996E-2"/>
          <c:y val="0.15241681356994555"/>
          <c:w val="0.88147477170169319"/>
          <c:h val="0.72397853253417954"/>
        </c:manualLayout>
      </c:layout>
      <c:lineChart>
        <c:grouping val="standard"/>
        <c:varyColors val="0"/>
        <c:ser>
          <c:idx val="0"/>
          <c:order val="0"/>
          <c:tx>
            <c:strRef>
              <c:f>Fishing!$B$8</c:f>
              <c:strCache>
                <c:ptCount val="1"/>
                <c:pt idx="0">
                  <c:v>Fentanyl*</c:v>
                </c:pt>
              </c:strCache>
            </c:strRef>
          </c:tx>
          <c:spPr>
            <a:ln w="28575" cap="rnd">
              <a:solidFill>
                <a:srgbClr val="416FA6"/>
              </a:solidFill>
              <a:round/>
            </a:ln>
            <a:effectLst/>
          </c:spPr>
          <c:marker>
            <c:symbol val="square"/>
            <c:size val="6"/>
            <c:spPr>
              <a:solidFill>
                <a:schemeClr val="accent1"/>
              </a:solidFill>
              <a:ln w="9525">
                <a:solidFill>
                  <a:schemeClr val="accent1"/>
                </a:solidFill>
              </a:ln>
              <a:effectLst/>
            </c:spPr>
          </c:marker>
          <c:cat>
            <c:numRef>
              <c:f>Fishing!$A$9:$A$11</c:f>
              <c:numCache>
                <c:formatCode>General</c:formatCode>
                <c:ptCount val="3"/>
                <c:pt idx="0">
                  <c:v>2015</c:v>
                </c:pt>
                <c:pt idx="1">
                  <c:v>2016</c:v>
                </c:pt>
                <c:pt idx="2">
                  <c:v>2017</c:v>
                </c:pt>
              </c:numCache>
            </c:numRef>
          </c:cat>
          <c:val>
            <c:numRef>
              <c:f>Fishing!$B$9:$B$11</c:f>
              <c:numCache>
                <c:formatCode>General</c:formatCode>
                <c:ptCount val="3"/>
                <c:pt idx="0">
                  <c:v>70</c:v>
                </c:pt>
                <c:pt idx="1">
                  <c:v>88.888888888888886</c:v>
                </c:pt>
                <c:pt idx="2">
                  <c:v>82.857142857142861</c:v>
                </c:pt>
              </c:numCache>
            </c:numRef>
          </c:val>
          <c:smooth val="0"/>
          <c:extLst>
            <c:ext xmlns:c16="http://schemas.microsoft.com/office/drawing/2014/chart" uri="{C3380CC4-5D6E-409C-BE32-E72D297353CC}">
              <c16:uniqueId val="{00000000-6E3C-464C-850E-E6BA39A6E45C}"/>
            </c:ext>
          </c:extLst>
        </c:ser>
        <c:ser>
          <c:idx val="1"/>
          <c:order val="1"/>
          <c:tx>
            <c:strRef>
              <c:f>Fishing!$C$8</c:f>
              <c:strCache>
                <c:ptCount val="1"/>
                <c:pt idx="0">
                  <c:v>Heroin</c:v>
                </c:pt>
              </c:strCache>
            </c:strRef>
          </c:tx>
          <c:spPr>
            <a:ln w="28575" cap="rnd">
              <a:solidFill>
                <a:schemeClr val="accent2"/>
              </a:solidFill>
              <a:round/>
            </a:ln>
            <a:effectLst/>
          </c:spPr>
          <c:marker>
            <c:symbol val="diamond"/>
            <c:size val="6"/>
            <c:spPr>
              <a:solidFill>
                <a:schemeClr val="accent2"/>
              </a:solidFill>
              <a:ln w="9525">
                <a:solidFill>
                  <a:schemeClr val="accent2"/>
                </a:solidFill>
              </a:ln>
              <a:effectLst/>
            </c:spPr>
          </c:marker>
          <c:val>
            <c:numRef>
              <c:f>Fishing!$C$9:$C$11</c:f>
              <c:numCache>
                <c:formatCode>General</c:formatCode>
                <c:ptCount val="3"/>
                <c:pt idx="0">
                  <c:v>40</c:v>
                </c:pt>
                <c:pt idx="1">
                  <c:v>29.629629629629626</c:v>
                </c:pt>
                <c:pt idx="2">
                  <c:v>42.857142857142854</c:v>
                </c:pt>
              </c:numCache>
            </c:numRef>
          </c:val>
          <c:smooth val="0"/>
          <c:extLst>
            <c:ext xmlns:c16="http://schemas.microsoft.com/office/drawing/2014/chart" uri="{C3380CC4-5D6E-409C-BE32-E72D297353CC}">
              <c16:uniqueId val="{00000001-6E3C-464C-850E-E6BA39A6E45C}"/>
            </c:ext>
          </c:extLst>
        </c:ser>
        <c:ser>
          <c:idx val="2"/>
          <c:order val="2"/>
          <c:tx>
            <c:strRef>
              <c:f>Fishing!$D$8</c:f>
              <c:strCache>
                <c:ptCount val="1"/>
                <c:pt idx="0">
                  <c:v>Cocaine</c:v>
                </c:pt>
              </c:strCache>
            </c:strRef>
          </c:tx>
          <c:spPr>
            <a:ln w="28575" cap="rnd">
              <a:solidFill>
                <a:schemeClr val="accent3"/>
              </a:solidFill>
              <a:round/>
            </a:ln>
            <a:effectLst/>
          </c:spPr>
          <c:marker>
            <c:symbol val="triangle"/>
            <c:size val="5"/>
            <c:spPr>
              <a:solidFill>
                <a:schemeClr val="accent3"/>
              </a:solidFill>
              <a:ln w="9525">
                <a:solidFill>
                  <a:schemeClr val="accent3"/>
                </a:solidFill>
              </a:ln>
              <a:effectLst/>
            </c:spPr>
          </c:marker>
          <c:val>
            <c:numRef>
              <c:f>Fishing!$D$9:$D$11</c:f>
              <c:numCache>
                <c:formatCode>General</c:formatCode>
                <c:ptCount val="3"/>
                <c:pt idx="0">
                  <c:v>20</c:v>
                </c:pt>
                <c:pt idx="1">
                  <c:v>29.629629629629626</c:v>
                </c:pt>
                <c:pt idx="2">
                  <c:v>28.571428571428569</c:v>
                </c:pt>
              </c:numCache>
            </c:numRef>
          </c:val>
          <c:smooth val="0"/>
          <c:extLst>
            <c:ext xmlns:c16="http://schemas.microsoft.com/office/drawing/2014/chart" uri="{C3380CC4-5D6E-409C-BE32-E72D297353CC}">
              <c16:uniqueId val="{00000002-6E3C-464C-850E-E6BA39A6E45C}"/>
            </c:ext>
          </c:extLst>
        </c:ser>
        <c:ser>
          <c:idx val="3"/>
          <c:order val="3"/>
          <c:tx>
            <c:strRef>
              <c:f>Fishing!$E$8</c:f>
              <c:strCache>
                <c:ptCount val="1"/>
                <c:pt idx="0">
                  <c:v>Benzodiazepine</c:v>
                </c:pt>
              </c:strCache>
            </c:strRef>
          </c:tx>
          <c:spPr>
            <a:ln w="28575" cap="rnd">
              <a:solidFill>
                <a:schemeClr val="accent4"/>
              </a:solidFill>
              <a:round/>
            </a:ln>
            <a:effectLst/>
          </c:spPr>
          <c:marker>
            <c:symbol val="star"/>
            <c:size val="6"/>
            <c:spPr>
              <a:noFill/>
              <a:ln w="9525">
                <a:solidFill>
                  <a:schemeClr val="accent4"/>
                </a:solidFill>
              </a:ln>
              <a:effectLst/>
            </c:spPr>
          </c:marker>
          <c:val>
            <c:numRef>
              <c:f>Fishing!$E$9:$E$11</c:f>
              <c:numCache>
                <c:formatCode>General</c:formatCode>
                <c:ptCount val="3"/>
                <c:pt idx="0">
                  <c:v>5</c:v>
                </c:pt>
                <c:pt idx="1">
                  <c:v>7.4074074074074066</c:v>
                </c:pt>
                <c:pt idx="2">
                  <c:v>14.285714285714285</c:v>
                </c:pt>
              </c:numCache>
            </c:numRef>
          </c:val>
          <c:smooth val="0"/>
          <c:extLst>
            <c:ext xmlns:c16="http://schemas.microsoft.com/office/drawing/2014/chart" uri="{C3380CC4-5D6E-409C-BE32-E72D297353CC}">
              <c16:uniqueId val="{00000003-6E3C-464C-850E-E6BA39A6E45C}"/>
            </c:ext>
          </c:extLst>
        </c:ser>
        <c:ser>
          <c:idx val="4"/>
          <c:order val="4"/>
          <c:tx>
            <c:strRef>
              <c:f>Fishing!$F$8</c:f>
              <c:strCache>
                <c:ptCount val="1"/>
                <c:pt idx="0">
                  <c:v>Amphetamine</c:v>
                </c:pt>
              </c:strCache>
            </c:strRef>
          </c:tx>
          <c:spPr>
            <a:ln w="28575" cap="rnd">
              <a:solidFill>
                <a:schemeClr val="accent5"/>
              </a:solidFill>
              <a:round/>
            </a:ln>
            <a:effectLst/>
          </c:spPr>
          <c:marker>
            <c:symbol val="plus"/>
            <c:size val="6"/>
            <c:spPr>
              <a:noFill/>
              <a:ln w="9525">
                <a:solidFill>
                  <a:schemeClr val="accent5"/>
                </a:solidFill>
              </a:ln>
              <a:effectLst/>
            </c:spPr>
          </c:marker>
          <c:val>
            <c:numRef>
              <c:f>Fishing!$F$9:$F$11</c:f>
              <c:numCache>
                <c:formatCode>General</c:formatCode>
                <c:ptCount val="3"/>
                <c:pt idx="0">
                  <c:v>5</c:v>
                </c:pt>
                <c:pt idx="1">
                  <c:v>0</c:v>
                </c:pt>
                <c:pt idx="2">
                  <c:v>2.8571428571428572</c:v>
                </c:pt>
              </c:numCache>
            </c:numRef>
          </c:val>
          <c:smooth val="0"/>
          <c:extLst>
            <c:ext xmlns:c16="http://schemas.microsoft.com/office/drawing/2014/chart" uri="{C3380CC4-5D6E-409C-BE32-E72D297353CC}">
              <c16:uniqueId val="{00000004-6E3C-464C-850E-E6BA39A6E45C}"/>
            </c:ext>
          </c:extLst>
        </c:ser>
        <c:ser>
          <c:idx val="5"/>
          <c:order val="5"/>
          <c:tx>
            <c:strRef>
              <c:f>Fishing!$G$8</c:f>
              <c:strCache>
                <c:ptCount val="1"/>
                <c:pt idx="0">
                  <c:v>Prescribed Opioid**</c:v>
                </c:pt>
              </c:strCache>
            </c:strRef>
          </c:tx>
          <c:spPr>
            <a:ln w="28575" cap="rnd">
              <a:solidFill>
                <a:schemeClr val="accent6"/>
              </a:solidFill>
              <a:round/>
            </a:ln>
            <a:effectLst/>
          </c:spPr>
          <c:marker>
            <c:symbol val="circle"/>
            <c:size val="6"/>
            <c:spPr>
              <a:solidFill>
                <a:schemeClr val="accent6"/>
              </a:solidFill>
              <a:ln w="9525">
                <a:solidFill>
                  <a:schemeClr val="accent6"/>
                </a:solidFill>
              </a:ln>
              <a:effectLst/>
            </c:spPr>
          </c:marker>
          <c:val>
            <c:numRef>
              <c:f>Fishing!$G$9:$G$11</c:f>
              <c:numCache>
                <c:formatCode>General</c:formatCode>
                <c:ptCount val="3"/>
                <c:pt idx="0">
                  <c:v>15</c:v>
                </c:pt>
                <c:pt idx="1">
                  <c:v>3.7037037037037033</c:v>
                </c:pt>
                <c:pt idx="2">
                  <c:v>11.428571428571429</c:v>
                </c:pt>
              </c:numCache>
            </c:numRef>
          </c:val>
          <c:smooth val="0"/>
          <c:extLst>
            <c:ext xmlns:c16="http://schemas.microsoft.com/office/drawing/2014/chart" uri="{C3380CC4-5D6E-409C-BE32-E72D297353CC}">
              <c16:uniqueId val="{00000005-6E3C-464C-850E-E6BA39A6E45C}"/>
            </c:ext>
          </c:extLst>
        </c:ser>
        <c:ser>
          <c:idx val="6"/>
          <c:order val="6"/>
          <c:tx>
            <c:strRef>
              <c:f>Fishing!$H$8</c:f>
              <c:strCache>
                <c:ptCount val="1"/>
                <c:pt idx="0">
                  <c:v>Alcohol</c:v>
                </c:pt>
              </c:strCache>
            </c:strRef>
          </c:tx>
          <c:spPr>
            <a:ln w="28575" cap="rnd">
              <a:solidFill>
                <a:srgbClr val="8EA5CB"/>
              </a:solidFill>
              <a:round/>
            </a:ln>
            <a:effectLst/>
          </c:spPr>
          <c:marker>
            <c:symbol val="x"/>
            <c:size val="6"/>
            <c:spPr>
              <a:noFill/>
              <a:ln w="9525">
                <a:solidFill>
                  <a:schemeClr val="accent1">
                    <a:lumMod val="60000"/>
                  </a:schemeClr>
                </a:solidFill>
              </a:ln>
              <a:effectLst/>
            </c:spPr>
          </c:marker>
          <c:val>
            <c:numRef>
              <c:f>Fishing!$H$9:$H$11</c:f>
              <c:numCache>
                <c:formatCode>General</c:formatCode>
                <c:ptCount val="3"/>
                <c:pt idx="0">
                  <c:v>20</c:v>
                </c:pt>
                <c:pt idx="1">
                  <c:v>29.629629629629626</c:v>
                </c:pt>
                <c:pt idx="2">
                  <c:v>34.285714285714285</c:v>
                </c:pt>
              </c:numCache>
            </c:numRef>
          </c:val>
          <c:smooth val="0"/>
          <c:extLst>
            <c:ext xmlns:c16="http://schemas.microsoft.com/office/drawing/2014/chart" uri="{C3380CC4-5D6E-409C-BE32-E72D297353CC}">
              <c16:uniqueId val="{00000006-6E3C-464C-850E-E6BA39A6E45C}"/>
            </c:ext>
          </c:extLst>
        </c:ser>
        <c:dLbls>
          <c:showLegendKey val="0"/>
          <c:showVal val="0"/>
          <c:showCatName val="0"/>
          <c:showSerName val="0"/>
          <c:showPercent val="0"/>
          <c:showBubbleSize val="0"/>
        </c:dLbls>
        <c:marker val="1"/>
        <c:smooth val="0"/>
        <c:axId val="89695744"/>
        <c:axId val="89710592"/>
      </c:lineChart>
      <c:catAx>
        <c:axId val="89695744"/>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a:solidFill>
                      <a:sysClr val="windowText" lastClr="000000"/>
                    </a:solidFill>
                  </a:rPr>
                  <a:t>Year</a:t>
                </a:r>
              </a:p>
            </c:rich>
          </c:tx>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9710592"/>
        <c:crosses val="autoZero"/>
        <c:auto val="1"/>
        <c:lblAlgn val="ctr"/>
        <c:lblOffset val="0"/>
        <c:noMultiLvlLbl val="0"/>
      </c:catAx>
      <c:valAx>
        <c:axId val="89710592"/>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a:solidFill>
                      <a:sysClr val="windowText" lastClr="000000"/>
                    </a:solidFill>
                  </a:rPr>
                  <a:t>Percentage of opioid-related overdose</a:t>
                </a:r>
                <a:r>
                  <a:rPr lang="en-US" b="1" baseline="0">
                    <a:solidFill>
                      <a:sysClr val="windowText" lastClr="000000"/>
                    </a:solidFill>
                  </a:rPr>
                  <a:t> deaths</a:t>
                </a:r>
                <a:endParaRPr lang="en-US" b="1">
                  <a:solidFill>
                    <a:sysClr val="windowText" lastClr="000000"/>
                  </a:solidFill>
                </a:endParaRPr>
              </a:p>
            </c:rich>
          </c:tx>
          <c:overlay val="0"/>
          <c:spPr>
            <a:noFill/>
            <a:ln>
              <a:noFill/>
            </a:ln>
            <a:effectLst/>
          </c:spPr>
        </c:title>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9695744"/>
        <c:crosses val="autoZero"/>
        <c:crossBetween val="midCat"/>
        <c:dispUnits>
          <c:builtInUnit val="hundreds"/>
        </c:dispUnits>
      </c:valAx>
      <c:spPr>
        <a:noFill/>
        <a:ln>
          <a:noFill/>
        </a:ln>
        <a:effectLst/>
      </c:spPr>
    </c:plotArea>
    <c:legend>
      <c:legendPos val="r"/>
      <c:layout>
        <c:manualLayout>
          <c:xMode val="edge"/>
          <c:yMode val="edge"/>
          <c:x val="0.10198723726321904"/>
          <c:y val="2.4967759627061537E-2"/>
          <c:w val="0.19613687215144351"/>
          <c:h val="0.3063827320092451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631707215327996E-2"/>
          <c:y val="5.2914218089528529E-2"/>
          <c:w val="0.88147477170169319"/>
          <c:h val="0.83903952914976532"/>
        </c:manualLayout>
      </c:layout>
      <c:lineChart>
        <c:grouping val="standard"/>
        <c:varyColors val="0"/>
        <c:ser>
          <c:idx val="0"/>
          <c:order val="0"/>
          <c:tx>
            <c:strRef>
              <c:f>Food!$B$8</c:f>
              <c:strCache>
                <c:ptCount val="1"/>
                <c:pt idx="0">
                  <c:v>Fentanyl*</c:v>
                </c:pt>
              </c:strCache>
            </c:strRef>
          </c:tx>
          <c:spPr>
            <a:ln w="28575" cap="rnd">
              <a:solidFill>
                <a:srgbClr val="416FA6"/>
              </a:solidFill>
              <a:round/>
            </a:ln>
            <a:effectLst/>
          </c:spPr>
          <c:marker>
            <c:symbol val="square"/>
            <c:size val="6"/>
            <c:spPr>
              <a:solidFill>
                <a:schemeClr val="accent1"/>
              </a:solidFill>
              <a:ln w="9525">
                <a:solidFill>
                  <a:schemeClr val="accent1"/>
                </a:solidFill>
              </a:ln>
              <a:effectLst/>
            </c:spPr>
          </c:marker>
          <c:cat>
            <c:numRef>
              <c:f>Food!$A$9:$A$11</c:f>
              <c:numCache>
                <c:formatCode>General</c:formatCode>
                <c:ptCount val="3"/>
                <c:pt idx="0">
                  <c:v>2015</c:v>
                </c:pt>
                <c:pt idx="1">
                  <c:v>2016</c:v>
                </c:pt>
                <c:pt idx="2">
                  <c:v>2017</c:v>
                </c:pt>
              </c:numCache>
            </c:numRef>
          </c:cat>
          <c:val>
            <c:numRef>
              <c:f>Food!$B$9:$B$11</c:f>
              <c:numCache>
                <c:formatCode>General</c:formatCode>
                <c:ptCount val="3"/>
                <c:pt idx="0">
                  <c:v>58.778625954198475</c:v>
                </c:pt>
                <c:pt idx="1">
                  <c:v>77.464788732394368</c:v>
                </c:pt>
                <c:pt idx="2">
                  <c:v>89.024390243902445</c:v>
                </c:pt>
              </c:numCache>
            </c:numRef>
          </c:val>
          <c:smooth val="0"/>
          <c:extLst>
            <c:ext xmlns:c16="http://schemas.microsoft.com/office/drawing/2014/chart" uri="{C3380CC4-5D6E-409C-BE32-E72D297353CC}">
              <c16:uniqueId val="{00000000-3AF5-4BA4-BAEF-5D5648A9F20B}"/>
            </c:ext>
          </c:extLst>
        </c:ser>
        <c:ser>
          <c:idx val="1"/>
          <c:order val="1"/>
          <c:tx>
            <c:strRef>
              <c:f>Food!$C$8</c:f>
              <c:strCache>
                <c:ptCount val="1"/>
                <c:pt idx="0">
                  <c:v>Heroin</c:v>
                </c:pt>
              </c:strCache>
            </c:strRef>
          </c:tx>
          <c:spPr>
            <a:ln w="28575" cap="rnd">
              <a:solidFill>
                <a:schemeClr val="accent2"/>
              </a:solidFill>
              <a:round/>
            </a:ln>
            <a:effectLst/>
          </c:spPr>
          <c:marker>
            <c:symbol val="diamond"/>
            <c:size val="6"/>
            <c:spPr>
              <a:solidFill>
                <a:schemeClr val="accent2"/>
              </a:solidFill>
              <a:ln w="9525">
                <a:solidFill>
                  <a:schemeClr val="accent2"/>
                </a:solidFill>
              </a:ln>
              <a:effectLst/>
            </c:spPr>
          </c:marker>
          <c:val>
            <c:numRef>
              <c:f>Food!$C$9:$C$11</c:f>
              <c:numCache>
                <c:formatCode>General</c:formatCode>
                <c:ptCount val="3"/>
                <c:pt idx="0">
                  <c:v>46.564885496183209</c:v>
                </c:pt>
                <c:pt idx="1">
                  <c:v>30.985915492957744</c:v>
                </c:pt>
                <c:pt idx="2">
                  <c:v>28.04878048780488</c:v>
                </c:pt>
              </c:numCache>
            </c:numRef>
          </c:val>
          <c:smooth val="0"/>
          <c:extLst>
            <c:ext xmlns:c16="http://schemas.microsoft.com/office/drawing/2014/chart" uri="{C3380CC4-5D6E-409C-BE32-E72D297353CC}">
              <c16:uniqueId val="{00000001-3AF5-4BA4-BAEF-5D5648A9F20B}"/>
            </c:ext>
          </c:extLst>
        </c:ser>
        <c:ser>
          <c:idx val="2"/>
          <c:order val="2"/>
          <c:tx>
            <c:strRef>
              <c:f>Food!$D$8</c:f>
              <c:strCache>
                <c:ptCount val="1"/>
                <c:pt idx="0">
                  <c:v>Cocaine</c:v>
                </c:pt>
              </c:strCache>
            </c:strRef>
          </c:tx>
          <c:spPr>
            <a:ln w="28575" cap="rnd">
              <a:solidFill>
                <a:schemeClr val="accent3"/>
              </a:solidFill>
              <a:round/>
            </a:ln>
            <a:effectLst/>
          </c:spPr>
          <c:marker>
            <c:symbol val="triangle"/>
            <c:size val="6"/>
            <c:spPr>
              <a:solidFill>
                <a:schemeClr val="accent3"/>
              </a:solidFill>
              <a:ln w="9525">
                <a:solidFill>
                  <a:schemeClr val="accent3"/>
                </a:solidFill>
              </a:ln>
              <a:effectLst/>
            </c:spPr>
          </c:marker>
          <c:val>
            <c:numRef>
              <c:f>Food!$D$9:$D$11</c:f>
              <c:numCache>
                <c:formatCode>General</c:formatCode>
                <c:ptCount val="3"/>
                <c:pt idx="0">
                  <c:v>22.137404580152673</c:v>
                </c:pt>
                <c:pt idx="1">
                  <c:v>22.535211267605636</c:v>
                </c:pt>
                <c:pt idx="2">
                  <c:v>30.487804878048781</c:v>
                </c:pt>
              </c:numCache>
            </c:numRef>
          </c:val>
          <c:smooth val="0"/>
          <c:extLst>
            <c:ext xmlns:c16="http://schemas.microsoft.com/office/drawing/2014/chart" uri="{C3380CC4-5D6E-409C-BE32-E72D297353CC}">
              <c16:uniqueId val="{00000002-3AF5-4BA4-BAEF-5D5648A9F20B}"/>
            </c:ext>
          </c:extLst>
        </c:ser>
        <c:ser>
          <c:idx val="3"/>
          <c:order val="3"/>
          <c:tx>
            <c:strRef>
              <c:f>Food!$E$8</c:f>
              <c:strCache>
                <c:ptCount val="1"/>
                <c:pt idx="0">
                  <c:v>Benzodiazepine</c:v>
                </c:pt>
              </c:strCache>
            </c:strRef>
          </c:tx>
          <c:spPr>
            <a:ln w="28575" cap="rnd">
              <a:solidFill>
                <a:schemeClr val="accent4"/>
              </a:solidFill>
              <a:round/>
            </a:ln>
            <a:effectLst/>
          </c:spPr>
          <c:marker>
            <c:symbol val="star"/>
            <c:size val="6"/>
            <c:spPr>
              <a:noFill/>
              <a:ln w="9525">
                <a:solidFill>
                  <a:schemeClr val="accent4"/>
                </a:solidFill>
              </a:ln>
              <a:effectLst/>
            </c:spPr>
          </c:marker>
          <c:val>
            <c:numRef>
              <c:f>Food!$E$9:$E$11</c:f>
              <c:numCache>
                <c:formatCode>General</c:formatCode>
                <c:ptCount val="3"/>
                <c:pt idx="0">
                  <c:v>9.9236641221374047</c:v>
                </c:pt>
                <c:pt idx="1">
                  <c:v>9.1549295774647899</c:v>
                </c:pt>
                <c:pt idx="2">
                  <c:v>23.780487804878049</c:v>
                </c:pt>
              </c:numCache>
            </c:numRef>
          </c:val>
          <c:smooth val="0"/>
          <c:extLst>
            <c:ext xmlns:c16="http://schemas.microsoft.com/office/drawing/2014/chart" uri="{C3380CC4-5D6E-409C-BE32-E72D297353CC}">
              <c16:uniqueId val="{00000003-3AF5-4BA4-BAEF-5D5648A9F20B}"/>
            </c:ext>
          </c:extLst>
        </c:ser>
        <c:ser>
          <c:idx val="4"/>
          <c:order val="4"/>
          <c:tx>
            <c:strRef>
              <c:f>Food!$F$8</c:f>
              <c:strCache>
                <c:ptCount val="1"/>
                <c:pt idx="0">
                  <c:v>Amphetamine</c:v>
                </c:pt>
              </c:strCache>
            </c:strRef>
          </c:tx>
          <c:spPr>
            <a:ln w="28575" cap="rnd">
              <a:solidFill>
                <a:schemeClr val="accent5"/>
              </a:solidFill>
              <a:round/>
            </a:ln>
            <a:effectLst/>
          </c:spPr>
          <c:marker>
            <c:symbol val="plus"/>
            <c:size val="5"/>
            <c:spPr>
              <a:noFill/>
              <a:ln w="9525">
                <a:solidFill>
                  <a:schemeClr val="accent5"/>
                </a:solidFill>
              </a:ln>
              <a:effectLst/>
            </c:spPr>
          </c:marker>
          <c:val>
            <c:numRef>
              <c:f>Food!$F$9:$F$11</c:f>
              <c:numCache>
                <c:formatCode>General</c:formatCode>
                <c:ptCount val="3"/>
                <c:pt idx="0">
                  <c:v>0.76335877862595414</c:v>
                </c:pt>
                <c:pt idx="1">
                  <c:v>2.112676056338028</c:v>
                </c:pt>
                <c:pt idx="2">
                  <c:v>3.0487804878048781</c:v>
                </c:pt>
              </c:numCache>
            </c:numRef>
          </c:val>
          <c:smooth val="0"/>
          <c:extLst>
            <c:ext xmlns:c16="http://schemas.microsoft.com/office/drawing/2014/chart" uri="{C3380CC4-5D6E-409C-BE32-E72D297353CC}">
              <c16:uniqueId val="{00000004-3AF5-4BA4-BAEF-5D5648A9F20B}"/>
            </c:ext>
          </c:extLst>
        </c:ser>
        <c:ser>
          <c:idx val="5"/>
          <c:order val="5"/>
          <c:tx>
            <c:strRef>
              <c:f>Food!$G$8</c:f>
              <c:strCache>
                <c:ptCount val="1"/>
                <c:pt idx="0">
                  <c:v>Prescribed Opioid**</c:v>
                </c:pt>
              </c:strCache>
            </c:strRef>
          </c:tx>
          <c:spPr>
            <a:ln w="28575" cap="rnd">
              <a:solidFill>
                <a:schemeClr val="accent6"/>
              </a:solidFill>
              <a:round/>
            </a:ln>
            <a:effectLst/>
          </c:spPr>
          <c:marker>
            <c:symbol val="circle"/>
            <c:size val="6"/>
            <c:spPr>
              <a:solidFill>
                <a:schemeClr val="accent6"/>
              </a:solidFill>
              <a:ln w="9525">
                <a:solidFill>
                  <a:schemeClr val="accent6"/>
                </a:solidFill>
              </a:ln>
              <a:effectLst/>
            </c:spPr>
          </c:marker>
          <c:val>
            <c:numRef>
              <c:f>Food!$G$9:$G$11</c:f>
              <c:numCache>
                <c:formatCode>General</c:formatCode>
                <c:ptCount val="3"/>
                <c:pt idx="0">
                  <c:v>6.1068702290076331</c:v>
                </c:pt>
                <c:pt idx="1">
                  <c:v>7.7464788732394361</c:v>
                </c:pt>
                <c:pt idx="2">
                  <c:v>8.536585365853659</c:v>
                </c:pt>
              </c:numCache>
            </c:numRef>
          </c:val>
          <c:smooth val="0"/>
          <c:extLst>
            <c:ext xmlns:c16="http://schemas.microsoft.com/office/drawing/2014/chart" uri="{C3380CC4-5D6E-409C-BE32-E72D297353CC}">
              <c16:uniqueId val="{00000005-3AF5-4BA4-BAEF-5D5648A9F20B}"/>
            </c:ext>
          </c:extLst>
        </c:ser>
        <c:ser>
          <c:idx val="6"/>
          <c:order val="6"/>
          <c:tx>
            <c:strRef>
              <c:f>Food!$H$8</c:f>
              <c:strCache>
                <c:ptCount val="1"/>
                <c:pt idx="0">
                  <c:v>Alcohol</c:v>
                </c:pt>
              </c:strCache>
            </c:strRef>
          </c:tx>
          <c:spPr>
            <a:ln w="28575" cap="rnd">
              <a:solidFill>
                <a:srgbClr val="8EA5CB"/>
              </a:solidFill>
              <a:round/>
            </a:ln>
            <a:effectLst/>
          </c:spPr>
          <c:marker>
            <c:symbol val="x"/>
            <c:size val="6"/>
            <c:spPr>
              <a:noFill/>
              <a:ln w="9525">
                <a:solidFill>
                  <a:schemeClr val="accent1">
                    <a:lumMod val="60000"/>
                  </a:schemeClr>
                </a:solidFill>
              </a:ln>
              <a:effectLst/>
            </c:spPr>
          </c:marker>
          <c:val>
            <c:numRef>
              <c:f>Food!$H$9:$H$11</c:f>
              <c:numCache>
                <c:formatCode>General</c:formatCode>
                <c:ptCount val="3"/>
                <c:pt idx="0">
                  <c:v>17.557251908396946</c:v>
                </c:pt>
                <c:pt idx="1">
                  <c:v>21.830985915492956</c:v>
                </c:pt>
                <c:pt idx="2">
                  <c:v>23.780487804878049</c:v>
                </c:pt>
              </c:numCache>
            </c:numRef>
          </c:val>
          <c:smooth val="0"/>
          <c:extLst>
            <c:ext xmlns:c16="http://schemas.microsoft.com/office/drawing/2014/chart" uri="{C3380CC4-5D6E-409C-BE32-E72D297353CC}">
              <c16:uniqueId val="{00000006-3AF5-4BA4-BAEF-5D5648A9F20B}"/>
            </c:ext>
          </c:extLst>
        </c:ser>
        <c:dLbls>
          <c:showLegendKey val="0"/>
          <c:showVal val="0"/>
          <c:showCatName val="0"/>
          <c:showSerName val="0"/>
          <c:showPercent val="0"/>
          <c:showBubbleSize val="0"/>
        </c:dLbls>
        <c:marker val="1"/>
        <c:smooth val="0"/>
        <c:axId val="89747456"/>
        <c:axId val="89749760"/>
      </c:lineChart>
      <c:catAx>
        <c:axId val="89747456"/>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a:solidFill>
                      <a:sysClr val="windowText" lastClr="000000"/>
                    </a:solidFill>
                  </a:rPr>
                  <a:t>Year</a:t>
                </a:r>
              </a:p>
            </c:rich>
          </c:tx>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9749760"/>
        <c:crosses val="autoZero"/>
        <c:auto val="1"/>
        <c:lblAlgn val="ctr"/>
        <c:lblOffset val="0"/>
        <c:noMultiLvlLbl val="0"/>
      </c:catAx>
      <c:valAx>
        <c:axId val="89749760"/>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a:solidFill>
                      <a:sysClr val="windowText" lastClr="000000"/>
                    </a:solidFill>
                  </a:rPr>
                  <a:t>Percentage of opioid-related overdose</a:t>
                </a:r>
                <a:r>
                  <a:rPr lang="en-US" b="1" baseline="0">
                    <a:solidFill>
                      <a:sysClr val="windowText" lastClr="000000"/>
                    </a:solidFill>
                  </a:rPr>
                  <a:t> deaths</a:t>
                </a:r>
                <a:endParaRPr lang="en-US" b="1">
                  <a:solidFill>
                    <a:sysClr val="windowText" lastClr="000000"/>
                  </a:solidFill>
                </a:endParaRP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9747456"/>
        <c:crosses val="autoZero"/>
        <c:crossBetween val="midCat"/>
        <c:dispUnits>
          <c:builtInUnit val="hundreds"/>
        </c:dispUnits>
      </c:valAx>
      <c:spPr>
        <a:noFill/>
        <a:ln>
          <a:noFill/>
        </a:ln>
        <a:effectLst/>
      </c:spPr>
    </c:plotArea>
    <c:legend>
      <c:legendPos val="r"/>
      <c:layout>
        <c:manualLayout>
          <c:xMode val="edge"/>
          <c:yMode val="edge"/>
          <c:x val="0.10007628752119721"/>
          <c:y val="2.8224290145549977E-2"/>
          <c:w val="0.19995877163548709"/>
          <c:h val="0.3103627732919186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9CE8F09DC8D214E921F5ECFFEC65E96" ma:contentTypeVersion="7" ma:contentTypeDescription="Create a new document." ma:contentTypeScope="" ma:versionID="38e1626adff874102e3f65b72100dbb8">
  <xsd:schema xmlns:xsd="http://www.w3.org/2001/XMLSchema" xmlns:xs="http://www.w3.org/2001/XMLSchema" xmlns:p="http://schemas.microsoft.com/office/2006/metadata/properties" xmlns:ns2="8d5b51e2-1399-4037-88c1-a8d1b7bdf72d" targetNamespace="http://schemas.microsoft.com/office/2006/metadata/properties" ma:root="true" ma:fieldsID="d397b43870c9fd77b84eb7b202068cea" ns2:_="">
    <xsd:import namespace="8d5b51e2-1399-4037-88c1-a8d1b7bdf7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b51e2-1399-4037-88c1-a8d1b7bdf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9FA4F7-BC00-418A-B5F0-D486FE949673}">
  <ds:schemaRefs>
    <ds:schemaRef ds:uri="http://schemas.openxmlformats.org/officeDocument/2006/bibliography"/>
  </ds:schemaRefs>
</ds:datastoreItem>
</file>

<file path=customXml/itemProps2.xml><?xml version="1.0" encoding="utf-8"?>
<ds:datastoreItem xmlns:ds="http://schemas.openxmlformats.org/officeDocument/2006/customXml" ds:itemID="{9C512DA7-0F3F-4787-81B5-197FCBBFB820}"/>
</file>

<file path=customXml/itemProps3.xml><?xml version="1.0" encoding="utf-8"?>
<ds:datastoreItem xmlns:ds="http://schemas.openxmlformats.org/officeDocument/2006/customXml" ds:itemID="{9F59BFA0-D63E-4608-832A-BE0BDCBA9824}"/>
</file>

<file path=customXml/itemProps4.xml><?xml version="1.0" encoding="utf-8"?>
<ds:datastoreItem xmlns:ds="http://schemas.openxmlformats.org/officeDocument/2006/customXml" ds:itemID="{A620FD9B-6CE0-433A-9912-91937422A705}"/>
</file>

<file path=docProps/app.xml><?xml version="1.0" encoding="utf-8"?>
<Properties xmlns="http://schemas.openxmlformats.org/officeDocument/2006/extended-properties" xmlns:vt="http://schemas.openxmlformats.org/officeDocument/2006/docPropsVTypes">
  <Template>Normal</Template>
  <TotalTime>9</TotalTime>
  <Pages>34</Pages>
  <Words>11859</Words>
  <Characters>67598</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Sparer-Fine, Emily (DPH)</dc:creator>
  <cp:lastModifiedBy>Sparer-Fine, Emily (DPH)</cp:lastModifiedBy>
  <cp:revision>3</cp:revision>
  <cp:lastPrinted>2020-07-28T23:13:00Z</cp:lastPrinted>
  <dcterms:created xsi:type="dcterms:W3CDTF">2021-11-01T14:09:00Z</dcterms:created>
  <dcterms:modified xsi:type="dcterms:W3CDTF">2021-11-01T14:13:00Z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ContentTypeId">
    <vt:lpwstr>0x010100C9CE8F09DC8D214E921F5ECFFEC65E96</vt:lpwstr>
  </property>
</Properties>
</file>