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6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7023734" cy="1529715"/>
                <wp:effectExtent l="0" t="0" r="0" b="3809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023734" cy="1529715"/>
                          <a:chExt cx="7023734" cy="152971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023734" cy="152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3734" h="1529715">
                                <a:moveTo>
                                  <a:pt x="7023354" y="0"/>
                                </a:moveTo>
                                <a:lnTo>
                                  <a:pt x="7010400" y="0"/>
                                </a:lnTo>
                                <a:lnTo>
                                  <a:pt x="7010400" y="12954"/>
                                </a:lnTo>
                                <a:lnTo>
                                  <a:pt x="7010400" y="1248156"/>
                                </a:lnTo>
                                <a:lnTo>
                                  <a:pt x="7010400" y="1262634"/>
                                </a:lnTo>
                                <a:lnTo>
                                  <a:pt x="7010400" y="1516380"/>
                                </a:lnTo>
                                <a:lnTo>
                                  <a:pt x="12954" y="1516380"/>
                                </a:lnTo>
                                <a:lnTo>
                                  <a:pt x="12954" y="1262634"/>
                                </a:lnTo>
                                <a:lnTo>
                                  <a:pt x="7010400" y="1262634"/>
                                </a:lnTo>
                                <a:lnTo>
                                  <a:pt x="7010400" y="1248156"/>
                                </a:lnTo>
                                <a:lnTo>
                                  <a:pt x="12954" y="1248156"/>
                                </a:lnTo>
                                <a:lnTo>
                                  <a:pt x="12954" y="12954"/>
                                </a:lnTo>
                                <a:lnTo>
                                  <a:pt x="7010400" y="12954"/>
                                </a:lnTo>
                                <a:lnTo>
                                  <a:pt x="7010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9680"/>
                                </a:lnTo>
                                <a:lnTo>
                                  <a:pt x="0" y="1260348"/>
                                </a:lnTo>
                                <a:lnTo>
                                  <a:pt x="0" y="1529334"/>
                                </a:lnTo>
                                <a:lnTo>
                                  <a:pt x="7023354" y="1529334"/>
                                </a:lnTo>
                                <a:lnTo>
                                  <a:pt x="7023354" y="1523238"/>
                                </a:lnTo>
                                <a:lnTo>
                                  <a:pt x="7023354" y="1516380"/>
                                </a:lnTo>
                                <a:lnTo>
                                  <a:pt x="7023354" y="6858"/>
                                </a:lnTo>
                                <a:lnTo>
                                  <a:pt x="7023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346" y="161544"/>
                            <a:ext cx="1004862" cy="1018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1448561" y="179451"/>
                            <a:ext cx="5310505" cy="683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38" w:right="0" w:hanging="39"/>
                                <w:jc w:val="left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1F497C"/>
                                  <w:sz w:val="44"/>
                                </w:rPr>
                                <w:t>Opioid</w:t>
                              </w:r>
                              <w:r>
                                <w:rPr>
                                  <w:b/>
                                  <w:color w:val="1F497C"/>
                                  <w:sz w:val="44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1F497C"/>
                                  <w:sz w:val="44"/>
                                  <w:vertAlign w:val="baseline"/>
                                </w:rPr>
                                <w:t>‐Related</w:t>
                              </w:r>
                              <w:r>
                                <w:rPr>
                                  <w:b/>
                                  <w:color w:val="1F497C"/>
                                  <w:spacing w:val="-10"/>
                                  <w:sz w:val="44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97C"/>
                                  <w:sz w:val="44"/>
                                  <w:vertAlign w:val="baseline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color w:val="1F497C"/>
                                  <w:spacing w:val="-8"/>
                                  <w:sz w:val="44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97C"/>
                                  <w:sz w:val="44"/>
                                  <w:vertAlign w:val="baseline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color w:val="1F497C"/>
                                  <w:spacing w:val="-9"/>
                                  <w:sz w:val="44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97C"/>
                                  <w:sz w:val="44"/>
                                  <w:vertAlign w:val="baseline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color w:val="1F497C"/>
                                  <w:spacing w:val="-10"/>
                                  <w:sz w:val="44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97C"/>
                                  <w:sz w:val="44"/>
                                  <w:vertAlign w:val="baseline"/>
                                </w:rPr>
                                <w:t>Intents, MA</w:t>
                              </w:r>
                              <w:r>
                                <w:rPr>
                                  <w:b/>
                                  <w:color w:val="1F497C"/>
                                  <w:spacing w:val="-1"/>
                                  <w:sz w:val="44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97C"/>
                                  <w:sz w:val="44"/>
                                  <w:vertAlign w:val="baseline"/>
                                </w:rPr>
                                <w:t>Residents</w:t>
                              </w:r>
                              <w:r>
                                <w:rPr>
                                  <w:b/>
                                  <w:color w:val="1F497C"/>
                                  <w:spacing w:val="-1"/>
                                  <w:sz w:val="44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97C"/>
                                  <w:sz w:val="44"/>
                                  <w:vertAlign w:val="baseline"/>
                                </w:rPr>
                                <w:t>– Demographic Data</w:t>
                              </w:r>
                              <w:r>
                                <w:rPr>
                                  <w:b/>
                                  <w:color w:val="1F497C"/>
                                  <w:spacing w:val="-1"/>
                                  <w:sz w:val="44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97C"/>
                                  <w:spacing w:val="-2"/>
                                  <w:sz w:val="44"/>
                                  <w:vertAlign w:val="baseline"/>
                                </w:rPr>
                                <w:t>Highlights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6482" y="1362075"/>
                            <a:ext cx="205232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5574041" y="1362075"/>
                            <a:ext cx="111506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AUGUST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3.050pt;height:120.45pt;mso-position-horizontal-relative:char;mso-position-vertical-relative:line" id="docshapegroup2" coordorigin="0,0" coordsize="11061,2409">
                <v:shape style="position:absolute;left:0;top:0;width:11061;height:2409" id="docshape3" coordorigin="0,0" coordsize="11061,2409" path="m11060,0l11040,0,11040,20,11040,1966,11040,1988,11040,2388,20,2388,20,1988,11040,1988,11040,1966,20,1966,20,20,11040,20,11040,0,0,0,0,1968,0,1985,0,2408,11060,2408,11060,2399,11060,2388,11060,11,11060,0xe" filled="true" fillcolor="#000000" stroked="false">
                  <v:path arrowok="t"/>
                  <v:fill type="solid"/>
                </v:shape>
                <v:shape style="position:absolute;left:159;top:254;width:1583;height:1605" type="#_x0000_t75" id="docshape4" stroked="false">
                  <v:imagedata r:id="rId6" o:title=""/>
                </v:shape>
                <v:shape style="position:absolute;left:2281;top:282;width:8363;height:1076" type="#_x0000_t202" id="docshape5" filled="false" stroked="false">
                  <v:textbox inset="0,0,0,0">
                    <w:txbxContent>
                      <w:p>
                        <w:pPr>
                          <w:spacing w:before="1"/>
                          <w:ind w:left="38" w:right="0" w:hanging="39"/>
                          <w:jc w:val="left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1F497C"/>
                            <w:sz w:val="44"/>
                          </w:rPr>
                          <w:t>Opioid</w:t>
                        </w:r>
                        <w:r>
                          <w:rPr>
                            <w:b/>
                            <w:color w:val="1F497C"/>
                            <w:sz w:val="44"/>
                            <w:vertAlign w:val="superscript"/>
                          </w:rPr>
                          <w:t>1</w:t>
                        </w:r>
                        <w:r>
                          <w:rPr>
                            <w:b/>
                            <w:color w:val="1F497C"/>
                            <w:sz w:val="44"/>
                            <w:vertAlign w:val="baseline"/>
                          </w:rPr>
                          <w:t>‐Related</w:t>
                        </w:r>
                        <w:r>
                          <w:rPr>
                            <w:b/>
                            <w:color w:val="1F497C"/>
                            <w:spacing w:val="-10"/>
                            <w:sz w:val="44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97C"/>
                            <w:sz w:val="44"/>
                            <w:vertAlign w:val="baseline"/>
                          </w:rPr>
                          <w:t>Overdose</w:t>
                        </w:r>
                        <w:r>
                          <w:rPr>
                            <w:b/>
                            <w:color w:val="1F497C"/>
                            <w:spacing w:val="-8"/>
                            <w:sz w:val="44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97C"/>
                            <w:sz w:val="44"/>
                            <w:vertAlign w:val="baseline"/>
                          </w:rPr>
                          <w:t>Deaths,</w:t>
                        </w:r>
                        <w:r>
                          <w:rPr>
                            <w:b/>
                            <w:color w:val="1F497C"/>
                            <w:spacing w:val="-9"/>
                            <w:sz w:val="44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97C"/>
                            <w:sz w:val="44"/>
                            <w:vertAlign w:val="baseline"/>
                          </w:rPr>
                          <w:t>All</w:t>
                        </w:r>
                        <w:r>
                          <w:rPr>
                            <w:b/>
                            <w:color w:val="1F497C"/>
                            <w:spacing w:val="-10"/>
                            <w:sz w:val="44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97C"/>
                            <w:sz w:val="44"/>
                            <w:vertAlign w:val="baseline"/>
                          </w:rPr>
                          <w:t>Intents, MA</w:t>
                        </w:r>
                        <w:r>
                          <w:rPr>
                            <w:b/>
                            <w:color w:val="1F497C"/>
                            <w:spacing w:val="-1"/>
                            <w:sz w:val="44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97C"/>
                            <w:sz w:val="44"/>
                            <w:vertAlign w:val="baseline"/>
                          </w:rPr>
                          <w:t>Residents</w:t>
                        </w:r>
                        <w:r>
                          <w:rPr>
                            <w:b/>
                            <w:color w:val="1F497C"/>
                            <w:spacing w:val="-1"/>
                            <w:sz w:val="44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97C"/>
                            <w:sz w:val="44"/>
                            <w:vertAlign w:val="baseline"/>
                          </w:rPr>
                          <w:t>– Demographic Data</w:t>
                        </w:r>
                        <w:r>
                          <w:rPr>
                            <w:b/>
                            <w:color w:val="1F497C"/>
                            <w:spacing w:val="-1"/>
                            <w:sz w:val="44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97C"/>
                            <w:spacing w:val="-2"/>
                            <w:sz w:val="44"/>
                            <w:vertAlign w:val="baseline"/>
                          </w:rPr>
                          <w:t>Highlights</w:t>
                        </w:r>
                      </w:p>
                    </w:txbxContent>
                  </v:textbox>
                  <w10:wrap type="none"/>
                </v:shape>
                <v:shape style="position:absolute;left:73;top:2145;width:3232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2"/>
                            <w:sz w:val="18"/>
                          </w:rPr>
                          <w:t> Health</w:t>
                        </w:r>
                      </w:p>
                    </w:txbxContent>
                  </v:textbox>
                  <w10:wrap type="none"/>
                </v:shape>
                <v:shape style="position:absolute;left:8778;top:2145;width:1756;height:180" type="#_x0000_t202" id="docshape7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AUGUST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26"/>
        <w:rPr>
          <w:rFonts w:ascii="Times New Roman"/>
        </w:rPr>
      </w:pPr>
    </w:p>
    <w:p>
      <w:pPr>
        <w:pStyle w:val="BodyText"/>
        <w:spacing w:before="1"/>
        <w:ind w:left="139"/>
      </w:pPr>
      <w:r>
        <w:rPr/>
        <w:t>This</w:t>
      </w:r>
      <w:r>
        <w:rPr>
          <w:spacing w:val="-3"/>
        </w:rPr>
        <w:t> </w:t>
      </w:r>
      <w:r>
        <w:rPr/>
        <w:t>data</w:t>
      </w:r>
      <w:r>
        <w:rPr>
          <w:spacing w:val="-1"/>
        </w:rPr>
        <w:t> </w:t>
      </w:r>
      <w:r>
        <w:rPr/>
        <w:t>brief</w:t>
      </w:r>
      <w:r>
        <w:rPr>
          <w:spacing w:val="-3"/>
        </w:rPr>
        <w:t> </w:t>
      </w:r>
      <w:r>
        <w:rPr/>
        <w:t>highlights</w:t>
      </w:r>
      <w:r>
        <w:rPr>
          <w:spacing w:val="-2"/>
        </w:rPr>
        <w:t> </w:t>
      </w:r>
      <w:r>
        <w:rPr/>
        <w:t>demographic</w:t>
      </w:r>
      <w:r>
        <w:rPr>
          <w:spacing w:val="-2"/>
        </w:rPr>
        <w:t> </w:t>
      </w:r>
      <w:r>
        <w:rPr/>
        <w:t>data</w:t>
      </w:r>
      <w:r>
        <w:rPr>
          <w:spacing w:val="-3"/>
        </w:rPr>
        <w:t> </w:t>
      </w:r>
      <w:r>
        <w:rPr/>
        <w:t>from</w:t>
      </w:r>
      <w:r>
        <w:rPr>
          <w:spacing w:val="-4"/>
        </w:rPr>
        <w:t> </w:t>
      </w:r>
      <w:r>
        <w:rPr/>
        <w:t>confirmed</w:t>
      </w:r>
      <w:r>
        <w:rPr>
          <w:spacing w:val="-2"/>
        </w:rPr>
        <w:t> </w:t>
      </w:r>
      <w:r>
        <w:rPr/>
        <w:t>opioid‐related</w:t>
      </w:r>
      <w:r>
        <w:rPr>
          <w:spacing w:val="-3"/>
        </w:rPr>
        <w:t> </w:t>
      </w:r>
      <w:r>
        <w:rPr/>
        <w:t>overdose</w:t>
      </w:r>
      <w:r>
        <w:rPr>
          <w:spacing w:val="-4"/>
        </w:rPr>
        <w:t> </w:t>
      </w:r>
      <w:r>
        <w:rPr/>
        <w:t>deaths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intents,</w:t>
      </w:r>
      <w:r>
        <w:rPr>
          <w:spacing w:val="-4"/>
        </w:rPr>
        <w:t> </w:t>
      </w:r>
      <w:r>
        <w:rPr/>
        <w:t>from</w:t>
      </w:r>
      <w:r>
        <w:rPr>
          <w:spacing w:val="-3"/>
        </w:rPr>
        <w:t> </w:t>
      </w:r>
      <w:r>
        <w:rPr/>
        <w:t>January</w:t>
      </w:r>
      <w:r>
        <w:rPr>
          <w:spacing w:val="-1"/>
        </w:rPr>
        <w:t> </w:t>
      </w:r>
      <w:r>
        <w:rPr/>
        <w:t>2018 through June 2018.</w:t>
      </w:r>
    </w:p>
    <w:p>
      <w:pPr>
        <w:spacing w:before="229"/>
        <w:ind w:left="4148" w:right="2045" w:hanging="1990"/>
        <w:jc w:val="left"/>
        <w:rPr>
          <w:b/>
          <w:sz w:val="28"/>
        </w:rPr>
      </w:pPr>
      <w:r>
        <w:rPr>
          <w:b/>
          <w:sz w:val="28"/>
        </w:rPr>
        <w:t>Confirmed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Opioid</w:t>
      </w:r>
      <w:r>
        <w:rPr>
          <w:b/>
          <w:sz w:val="28"/>
          <w:vertAlign w:val="superscript"/>
        </w:rPr>
        <w:t>1</w:t>
      </w:r>
      <w:r>
        <w:rPr>
          <w:b/>
          <w:sz w:val="28"/>
          <w:vertAlign w:val="baseline"/>
        </w:rPr>
        <w:t>‐Related</w:t>
      </w:r>
      <w:r>
        <w:rPr>
          <w:b/>
          <w:spacing w:val="-7"/>
          <w:sz w:val="28"/>
          <w:vertAlign w:val="baseline"/>
        </w:rPr>
        <w:t> </w:t>
      </w:r>
      <w:r>
        <w:rPr>
          <w:b/>
          <w:sz w:val="28"/>
          <w:vertAlign w:val="baseline"/>
        </w:rPr>
        <w:t>Deaths,</w:t>
      </w:r>
      <w:r>
        <w:rPr>
          <w:b/>
          <w:spacing w:val="-7"/>
          <w:sz w:val="28"/>
          <w:vertAlign w:val="baseline"/>
        </w:rPr>
        <w:t> </w:t>
      </w:r>
      <w:r>
        <w:rPr>
          <w:b/>
          <w:sz w:val="28"/>
          <w:vertAlign w:val="baseline"/>
        </w:rPr>
        <w:t>All</w:t>
      </w:r>
      <w:r>
        <w:rPr>
          <w:b/>
          <w:spacing w:val="-7"/>
          <w:sz w:val="28"/>
          <w:vertAlign w:val="baseline"/>
        </w:rPr>
        <w:t> </w:t>
      </w:r>
      <w:r>
        <w:rPr>
          <w:b/>
          <w:sz w:val="28"/>
          <w:vertAlign w:val="baseline"/>
        </w:rPr>
        <w:t>Intents,</w:t>
      </w:r>
      <w:r>
        <w:rPr>
          <w:b/>
          <w:spacing w:val="-7"/>
          <w:sz w:val="28"/>
          <w:vertAlign w:val="baseline"/>
        </w:rPr>
        <w:t> </w:t>
      </w:r>
      <w:r>
        <w:rPr>
          <w:b/>
          <w:sz w:val="28"/>
          <w:vertAlign w:val="baseline"/>
        </w:rPr>
        <w:t>by</w:t>
      </w:r>
      <w:r>
        <w:rPr>
          <w:b/>
          <w:spacing w:val="-6"/>
          <w:sz w:val="28"/>
          <w:vertAlign w:val="baseline"/>
        </w:rPr>
        <w:t> </w:t>
      </w:r>
      <w:r>
        <w:rPr>
          <w:b/>
          <w:sz w:val="28"/>
          <w:vertAlign w:val="baseline"/>
        </w:rPr>
        <w:t>Gender: January 2018‐June 2018</w:t>
      </w:r>
    </w:p>
    <w:p>
      <w:pPr>
        <w:pStyle w:val="BodyText"/>
        <w:spacing w:before="2"/>
        <w:rPr>
          <w:b/>
          <w:sz w:val="15"/>
        </w:rPr>
      </w:pPr>
    </w:p>
    <w:tbl>
      <w:tblPr>
        <w:tblW w:w="0" w:type="auto"/>
        <w:jc w:val="left"/>
        <w:tblInd w:w="24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6"/>
        <w:gridCol w:w="4491"/>
      </w:tblGrid>
      <w:tr>
        <w:trPr>
          <w:trHeight w:val="315" w:hRule="atLeast"/>
        </w:trPr>
        <w:tc>
          <w:tcPr>
            <w:tcW w:w="1666" w:type="dxa"/>
          </w:tcPr>
          <w:p>
            <w:pPr>
              <w:pStyle w:val="TableParagraph"/>
              <w:spacing w:before="23"/>
              <w:ind w:left="8"/>
              <w:rPr>
                <w:sz w:val="22"/>
              </w:rPr>
            </w:pPr>
            <w:r>
              <w:rPr>
                <w:spacing w:val="-4"/>
                <w:sz w:val="22"/>
              </w:rPr>
              <w:t>Male</w:t>
            </w:r>
          </w:p>
        </w:tc>
        <w:tc>
          <w:tcPr>
            <w:tcW w:w="4491" w:type="dxa"/>
          </w:tcPr>
          <w:p>
            <w:pPr>
              <w:pStyle w:val="TableParagraph"/>
              <w:spacing w:before="23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</w:tr>
      <w:tr>
        <w:trPr>
          <w:trHeight w:val="315" w:hRule="atLeast"/>
        </w:trPr>
        <w:tc>
          <w:tcPr>
            <w:tcW w:w="1666" w:type="dxa"/>
          </w:tcPr>
          <w:p>
            <w:pPr>
              <w:pStyle w:val="TableParagraph"/>
              <w:spacing w:before="22"/>
              <w:ind w:left="8" w:right="1"/>
              <w:rPr>
                <w:sz w:val="22"/>
              </w:rPr>
            </w:pPr>
            <w:r>
              <w:rPr>
                <w:spacing w:val="-2"/>
                <w:sz w:val="22"/>
              </w:rPr>
              <w:t>Female</w:t>
            </w:r>
          </w:p>
        </w:tc>
        <w:tc>
          <w:tcPr>
            <w:tcW w:w="4491" w:type="dxa"/>
          </w:tcPr>
          <w:p>
            <w:pPr>
              <w:pStyle w:val="TableParagraph"/>
              <w:spacing w:before="22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169</w:t>
            </w:r>
          </w:p>
        </w:tc>
      </w:tr>
      <w:tr>
        <w:trPr>
          <w:trHeight w:val="315" w:hRule="atLeast"/>
        </w:trPr>
        <w:tc>
          <w:tcPr>
            <w:tcW w:w="1666" w:type="dxa"/>
          </w:tcPr>
          <w:p>
            <w:pPr>
              <w:pStyle w:val="TableParagraph"/>
              <w:spacing w:before="22"/>
              <w:ind w:left="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4491" w:type="dxa"/>
          </w:tcPr>
          <w:p>
            <w:pPr>
              <w:pStyle w:val="TableParagraph"/>
              <w:spacing w:before="22"/>
              <w:ind w:left="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657</w:t>
            </w:r>
          </w:p>
        </w:tc>
      </w:tr>
    </w:tbl>
    <w:p>
      <w:pPr>
        <w:pStyle w:val="BodyText"/>
        <w:spacing w:before="8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457200</wp:posOffset>
            </wp:positionH>
            <wp:positionV relativeFrom="paragraph">
              <wp:posOffset>175386</wp:posOffset>
            </wp:positionV>
            <wp:extent cx="6795031" cy="3114389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5031" cy="3114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footerReference w:type="default" r:id="rId5"/>
          <w:type w:val="continuous"/>
          <w:pgSz w:w="12240" w:h="15840"/>
          <w:pgMar w:header="0" w:footer="3593" w:top="960" w:bottom="3780" w:left="580" w:right="220"/>
          <w:pgNumType w:start="1"/>
        </w:sectPr>
      </w:pPr>
    </w:p>
    <w:p>
      <w:pPr>
        <w:spacing w:before="68"/>
        <w:ind w:left="2268" w:right="2045" w:firstLine="598"/>
        <w:jc w:val="left"/>
        <w:rPr>
          <w:b/>
          <w:sz w:val="28"/>
        </w:rPr>
      </w:pPr>
      <w:r>
        <w:rPr>
          <w:b/>
          <w:sz w:val="28"/>
        </w:rPr>
        <w:t>Confirmed Opioid</w:t>
      </w:r>
      <w:r>
        <w:rPr>
          <w:b/>
          <w:sz w:val="28"/>
          <w:vertAlign w:val="superscript"/>
        </w:rPr>
        <w:t>1</w:t>
      </w:r>
      <w:r>
        <w:rPr>
          <w:b/>
          <w:sz w:val="28"/>
          <w:vertAlign w:val="baseline"/>
        </w:rPr>
        <w:t>‐Related Deaths, All Intents Compared</w:t>
      </w:r>
      <w:r>
        <w:rPr>
          <w:b/>
          <w:spacing w:val="-3"/>
          <w:sz w:val="28"/>
          <w:vertAlign w:val="baseline"/>
        </w:rPr>
        <w:t> </w:t>
      </w:r>
      <w:r>
        <w:rPr>
          <w:b/>
          <w:sz w:val="28"/>
          <w:vertAlign w:val="baseline"/>
        </w:rPr>
        <w:t>to</w:t>
      </w:r>
      <w:r>
        <w:rPr>
          <w:b/>
          <w:spacing w:val="-6"/>
          <w:sz w:val="28"/>
          <w:vertAlign w:val="baseline"/>
        </w:rPr>
        <w:t> </w:t>
      </w:r>
      <w:r>
        <w:rPr>
          <w:b/>
          <w:sz w:val="28"/>
          <w:vertAlign w:val="baseline"/>
        </w:rPr>
        <w:t>All</w:t>
      </w:r>
      <w:r>
        <w:rPr>
          <w:b/>
          <w:spacing w:val="-6"/>
          <w:sz w:val="28"/>
          <w:vertAlign w:val="baseline"/>
        </w:rPr>
        <w:t> </w:t>
      </w:r>
      <w:r>
        <w:rPr>
          <w:b/>
          <w:sz w:val="28"/>
          <w:vertAlign w:val="baseline"/>
        </w:rPr>
        <w:t>Deaths</w:t>
      </w:r>
      <w:r>
        <w:rPr>
          <w:b/>
          <w:spacing w:val="-5"/>
          <w:sz w:val="28"/>
          <w:vertAlign w:val="baseline"/>
        </w:rPr>
        <w:t> </w:t>
      </w:r>
      <w:r>
        <w:rPr>
          <w:b/>
          <w:sz w:val="28"/>
          <w:vertAlign w:val="baseline"/>
        </w:rPr>
        <w:t>by</w:t>
      </w:r>
      <w:r>
        <w:rPr>
          <w:b/>
          <w:spacing w:val="-6"/>
          <w:sz w:val="28"/>
          <w:vertAlign w:val="baseline"/>
        </w:rPr>
        <w:t> </w:t>
      </w:r>
      <w:r>
        <w:rPr>
          <w:b/>
          <w:sz w:val="28"/>
          <w:vertAlign w:val="baseline"/>
        </w:rPr>
        <w:t>Age:</w:t>
      </w:r>
      <w:r>
        <w:rPr>
          <w:b/>
          <w:spacing w:val="-6"/>
          <w:sz w:val="28"/>
          <w:vertAlign w:val="baseline"/>
        </w:rPr>
        <w:t> </w:t>
      </w:r>
      <w:r>
        <w:rPr>
          <w:b/>
          <w:sz w:val="28"/>
          <w:vertAlign w:val="baseline"/>
        </w:rPr>
        <w:t>January</w:t>
      </w:r>
      <w:r>
        <w:rPr>
          <w:b/>
          <w:spacing w:val="-5"/>
          <w:sz w:val="28"/>
          <w:vertAlign w:val="baseline"/>
        </w:rPr>
        <w:t> </w:t>
      </w:r>
      <w:r>
        <w:rPr>
          <w:b/>
          <w:sz w:val="28"/>
          <w:vertAlign w:val="baseline"/>
        </w:rPr>
        <w:t>2018‐June</w:t>
      </w:r>
      <w:r>
        <w:rPr>
          <w:b/>
          <w:spacing w:val="-5"/>
          <w:sz w:val="28"/>
          <w:vertAlign w:val="baseline"/>
        </w:rPr>
        <w:t> </w:t>
      </w:r>
      <w:r>
        <w:rPr>
          <w:b/>
          <w:sz w:val="28"/>
          <w:vertAlign w:val="baseline"/>
        </w:rPr>
        <w:t>2018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38" w:after="1"/>
        <w:rPr>
          <w:b/>
          <w:sz w:val="20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6"/>
        <w:gridCol w:w="720"/>
        <w:gridCol w:w="810"/>
        <w:gridCol w:w="810"/>
        <w:gridCol w:w="810"/>
        <w:gridCol w:w="810"/>
        <w:gridCol w:w="900"/>
        <w:gridCol w:w="900"/>
        <w:gridCol w:w="1170"/>
        <w:gridCol w:w="916"/>
      </w:tblGrid>
      <w:tr>
        <w:trPr>
          <w:trHeight w:val="299" w:hRule="atLeast"/>
        </w:trPr>
        <w:tc>
          <w:tcPr>
            <w:tcW w:w="2986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spacing w:line="243" w:lineRule="exact"/>
              <w:ind w:left="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&lt;15</w:t>
            </w:r>
          </w:p>
        </w:tc>
        <w:tc>
          <w:tcPr>
            <w:tcW w:w="810" w:type="dxa"/>
          </w:tcPr>
          <w:p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15‐24</w:t>
            </w:r>
          </w:p>
        </w:tc>
        <w:tc>
          <w:tcPr>
            <w:tcW w:w="810" w:type="dxa"/>
          </w:tcPr>
          <w:p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25‐34</w:t>
            </w:r>
          </w:p>
        </w:tc>
        <w:tc>
          <w:tcPr>
            <w:tcW w:w="810" w:type="dxa"/>
          </w:tcPr>
          <w:p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35‐44</w:t>
            </w:r>
          </w:p>
        </w:tc>
        <w:tc>
          <w:tcPr>
            <w:tcW w:w="810" w:type="dxa"/>
          </w:tcPr>
          <w:p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45‐54</w:t>
            </w:r>
          </w:p>
        </w:tc>
        <w:tc>
          <w:tcPr>
            <w:tcW w:w="900" w:type="dxa"/>
          </w:tcPr>
          <w:p>
            <w:pPr>
              <w:pStyle w:val="TableParagraph"/>
              <w:spacing w:line="243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55‐64</w:t>
            </w:r>
          </w:p>
        </w:tc>
        <w:tc>
          <w:tcPr>
            <w:tcW w:w="900" w:type="dxa"/>
          </w:tcPr>
          <w:p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65+</w:t>
            </w:r>
          </w:p>
        </w:tc>
        <w:tc>
          <w:tcPr>
            <w:tcW w:w="1170" w:type="dxa"/>
          </w:tcPr>
          <w:p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Unknown</w:t>
            </w:r>
          </w:p>
        </w:tc>
        <w:tc>
          <w:tcPr>
            <w:tcW w:w="916" w:type="dxa"/>
          </w:tcPr>
          <w:p>
            <w:pPr>
              <w:pStyle w:val="TableParagraph"/>
              <w:spacing w:line="243" w:lineRule="exact"/>
              <w:ind w:left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</w:tr>
      <w:tr>
        <w:trPr>
          <w:trHeight w:val="299" w:hRule="atLeast"/>
        </w:trPr>
        <w:tc>
          <w:tcPr>
            <w:tcW w:w="2986" w:type="dxa"/>
          </w:tcPr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> Deaths</w:t>
            </w:r>
          </w:p>
        </w:tc>
        <w:tc>
          <w:tcPr>
            <w:tcW w:w="720" w:type="dxa"/>
          </w:tcPr>
          <w:p>
            <w:pPr>
              <w:pStyle w:val="TableParagraph"/>
              <w:spacing w:before="26"/>
              <w:ind w:left="9" w:right="1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  <w:tc>
          <w:tcPr>
            <w:tcW w:w="810" w:type="dxa"/>
          </w:tcPr>
          <w:p>
            <w:pPr>
              <w:pStyle w:val="TableParagraph"/>
              <w:spacing w:before="26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810" w:type="dxa"/>
          </w:tcPr>
          <w:p>
            <w:pPr>
              <w:pStyle w:val="TableParagraph"/>
              <w:spacing w:before="26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628</w:t>
            </w:r>
          </w:p>
        </w:tc>
        <w:tc>
          <w:tcPr>
            <w:tcW w:w="810" w:type="dxa"/>
          </w:tcPr>
          <w:p>
            <w:pPr>
              <w:pStyle w:val="TableParagraph"/>
              <w:spacing w:before="26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736</w:t>
            </w:r>
          </w:p>
        </w:tc>
        <w:tc>
          <w:tcPr>
            <w:tcW w:w="810" w:type="dxa"/>
          </w:tcPr>
          <w:p>
            <w:pPr>
              <w:pStyle w:val="TableParagraph"/>
              <w:spacing w:before="26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1,419</w:t>
            </w:r>
          </w:p>
        </w:tc>
        <w:tc>
          <w:tcPr>
            <w:tcW w:w="900" w:type="dxa"/>
          </w:tcPr>
          <w:p>
            <w:pPr>
              <w:pStyle w:val="TableParagraph"/>
              <w:spacing w:before="26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3,265</w:t>
            </w:r>
          </w:p>
        </w:tc>
        <w:tc>
          <w:tcPr>
            <w:tcW w:w="900" w:type="dxa"/>
          </w:tcPr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sz w:val="20"/>
              </w:rPr>
              <w:t>23,715</w:t>
            </w:r>
          </w:p>
        </w:tc>
        <w:tc>
          <w:tcPr>
            <w:tcW w:w="1170" w:type="dxa"/>
          </w:tcPr>
          <w:p>
            <w:pPr>
              <w:pStyle w:val="TableParagraph"/>
              <w:spacing w:before="26"/>
              <w:ind w:right="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16" w:type="dxa"/>
          </w:tcPr>
          <w:p>
            <w:pPr>
              <w:pStyle w:val="TableParagraph"/>
              <w:spacing w:before="26"/>
              <w:ind w:left="7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30,146</w:t>
            </w:r>
          </w:p>
        </w:tc>
      </w:tr>
      <w:tr>
        <w:trPr>
          <w:trHeight w:val="489" w:hRule="atLeast"/>
        </w:trPr>
        <w:tc>
          <w:tcPr>
            <w:tcW w:w="2986" w:type="dxa"/>
          </w:tcPr>
          <w:p>
            <w:pPr>
              <w:pStyle w:val="TableParagraph"/>
              <w:spacing w:line="244" w:lineRule="exact"/>
              <w:ind w:right="2"/>
              <w:rPr>
                <w:sz w:val="20"/>
              </w:rPr>
            </w:pPr>
            <w:r>
              <w:rPr>
                <w:sz w:val="20"/>
              </w:rPr>
              <w:t>Confirmed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Opioid</w:t>
            </w:r>
            <w:r>
              <w:rPr>
                <w:spacing w:val="-2"/>
                <w:sz w:val="20"/>
                <w:vertAlign w:val="superscript"/>
              </w:rPr>
              <w:t>1</w:t>
            </w:r>
            <w:r>
              <w:rPr>
                <w:spacing w:val="-2"/>
                <w:sz w:val="20"/>
                <w:vertAlign w:val="baseline"/>
              </w:rPr>
              <w:t>‐Related</w:t>
            </w:r>
          </w:p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Deaths,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> Intents</w:t>
            </w:r>
          </w:p>
        </w:tc>
        <w:tc>
          <w:tcPr>
            <w:tcW w:w="720" w:type="dxa"/>
          </w:tcPr>
          <w:p>
            <w:pPr>
              <w:pStyle w:val="TableParagraph"/>
              <w:spacing w:before="121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10" w:type="dxa"/>
          </w:tcPr>
          <w:p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10" w:type="dxa"/>
          </w:tcPr>
          <w:p>
            <w:pPr>
              <w:pStyle w:val="TableParagraph"/>
              <w:spacing w:before="121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215</w:t>
            </w:r>
          </w:p>
        </w:tc>
        <w:tc>
          <w:tcPr>
            <w:tcW w:w="810" w:type="dxa"/>
          </w:tcPr>
          <w:p>
            <w:pPr>
              <w:pStyle w:val="TableParagraph"/>
              <w:spacing w:before="121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  <w:tc>
          <w:tcPr>
            <w:tcW w:w="810" w:type="dxa"/>
          </w:tcPr>
          <w:p>
            <w:pPr>
              <w:pStyle w:val="TableParagraph"/>
              <w:spacing w:before="121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  <w:tc>
          <w:tcPr>
            <w:tcW w:w="900" w:type="dxa"/>
          </w:tcPr>
          <w:p>
            <w:pPr>
              <w:pStyle w:val="TableParagraph"/>
              <w:spacing w:before="121"/>
              <w:ind w:right="2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900" w:type="dxa"/>
          </w:tcPr>
          <w:p>
            <w:pPr>
              <w:pStyle w:val="TableParagraph"/>
              <w:spacing w:before="121"/>
              <w:ind w:right="2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170" w:type="dxa"/>
          </w:tcPr>
          <w:p>
            <w:pPr>
              <w:pStyle w:val="TableParagraph"/>
              <w:spacing w:before="121"/>
              <w:ind w:right="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16" w:type="dxa"/>
          </w:tcPr>
          <w:p>
            <w:pPr>
              <w:pStyle w:val="TableParagraph"/>
              <w:spacing w:before="121"/>
              <w:ind w:left="7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657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78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457200</wp:posOffset>
            </wp:positionH>
            <wp:positionV relativeFrom="paragraph">
              <wp:posOffset>283755</wp:posOffset>
            </wp:positionV>
            <wp:extent cx="6792347" cy="4296537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2347" cy="4296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footerReference w:type="default" r:id="rId8"/>
          <w:pgSz w:w="12240" w:h="15840"/>
          <w:pgMar w:header="0" w:footer="4205" w:top="1100" w:bottom="4400" w:left="580" w:right="220"/>
        </w:sectPr>
      </w:pPr>
    </w:p>
    <w:p>
      <w:pPr>
        <w:spacing w:line="341" w:lineRule="exact" w:before="69"/>
        <w:ind w:left="0" w:right="268" w:firstLine="0"/>
        <w:jc w:val="center"/>
        <w:rPr>
          <w:b/>
          <w:sz w:val="28"/>
        </w:rPr>
      </w:pPr>
      <w:r>
        <w:rPr>
          <w:b/>
          <w:sz w:val="28"/>
        </w:rPr>
        <w:t>Confirmed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Opioid</w:t>
      </w:r>
      <w:r>
        <w:rPr>
          <w:b/>
          <w:sz w:val="28"/>
          <w:vertAlign w:val="superscript"/>
        </w:rPr>
        <w:t>1</w:t>
      </w:r>
      <w:r>
        <w:rPr>
          <w:b/>
          <w:sz w:val="28"/>
          <w:vertAlign w:val="baseline"/>
        </w:rPr>
        <w:t>‐Related</w:t>
      </w:r>
      <w:r>
        <w:rPr>
          <w:b/>
          <w:spacing w:val="-12"/>
          <w:sz w:val="28"/>
          <w:vertAlign w:val="baseline"/>
        </w:rPr>
        <w:t> </w:t>
      </w:r>
      <w:r>
        <w:rPr>
          <w:b/>
          <w:sz w:val="28"/>
          <w:vertAlign w:val="baseline"/>
        </w:rPr>
        <w:t>Deaths,</w:t>
      </w:r>
      <w:r>
        <w:rPr>
          <w:b/>
          <w:spacing w:val="-13"/>
          <w:sz w:val="28"/>
          <w:vertAlign w:val="baseline"/>
        </w:rPr>
        <w:t> </w:t>
      </w:r>
      <w:r>
        <w:rPr>
          <w:b/>
          <w:sz w:val="28"/>
          <w:vertAlign w:val="baseline"/>
        </w:rPr>
        <w:t>All</w:t>
      </w:r>
      <w:r>
        <w:rPr>
          <w:b/>
          <w:spacing w:val="-12"/>
          <w:sz w:val="28"/>
          <w:vertAlign w:val="baseline"/>
        </w:rPr>
        <w:t> </w:t>
      </w:r>
      <w:r>
        <w:rPr>
          <w:b/>
          <w:spacing w:val="-2"/>
          <w:sz w:val="28"/>
          <w:vertAlign w:val="baseline"/>
        </w:rPr>
        <w:t>Intents</w:t>
      </w:r>
    </w:p>
    <w:p>
      <w:pPr>
        <w:spacing w:line="341" w:lineRule="exact" w:before="0"/>
        <w:ind w:left="64" w:right="268" w:firstLine="0"/>
        <w:jc w:val="center"/>
        <w:rPr>
          <w:b/>
          <w:sz w:val="28"/>
        </w:rPr>
      </w:pPr>
      <w:r>
        <w:rPr>
          <w:b/>
          <w:sz w:val="28"/>
        </w:rPr>
        <w:t>Compared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to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All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Deaths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by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Race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and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Hispanic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Ethnicity: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January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2018‐June</w:t>
      </w:r>
      <w:r>
        <w:rPr>
          <w:b/>
          <w:spacing w:val="-9"/>
          <w:sz w:val="28"/>
        </w:rPr>
        <w:t> </w:t>
      </w:r>
      <w:r>
        <w:rPr>
          <w:b/>
          <w:spacing w:val="-4"/>
          <w:sz w:val="28"/>
        </w:rPr>
        <w:t>2018</w:t>
      </w:r>
    </w:p>
    <w:p>
      <w:pPr>
        <w:pStyle w:val="BodyText"/>
        <w:spacing w:before="99"/>
        <w:rPr>
          <w:b/>
          <w:sz w:val="20"/>
        </w:rPr>
      </w:pPr>
    </w:p>
    <w:tbl>
      <w:tblPr>
        <w:tblW w:w="0" w:type="auto"/>
        <w:jc w:val="left"/>
        <w:tblInd w:w="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14"/>
        <w:gridCol w:w="1229"/>
        <w:gridCol w:w="988"/>
        <w:gridCol w:w="988"/>
        <w:gridCol w:w="989"/>
        <w:gridCol w:w="1102"/>
        <w:gridCol w:w="960"/>
      </w:tblGrid>
      <w:tr>
        <w:trPr>
          <w:trHeight w:val="805" w:hRule="atLeast"/>
        </w:trPr>
        <w:tc>
          <w:tcPr>
            <w:tcW w:w="2914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ind w:left="402" w:right="317" w:hanging="69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White </w:t>
            </w:r>
            <w:r>
              <w:rPr>
                <w:b/>
                <w:spacing w:val="-4"/>
                <w:sz w:val="22"/>
              </w:rPr>
              <w:t>non‐</w:t>
            </w:r>
          </w:p>
          <w:p>
            <w:pPr>
              <w:pStyle w:val="TableParagraph"/>
              <w:spacing w:line="249" w:lineRule="exact"/>
              <w:ind w:left="22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988" w:type="dxa"/>
          </w:tcPr>
          <w:p>
            <w:pPr>
              <w:pStyle w:val="TableParagraph"/>
              <w:ind w:left="251" w:right="24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Black </w:t>
            </w:r>
            <w:r>
              <w:rPr>
                <w:b/>
                <w:spacing w:val="-4"/>
                <w:sz w:val="22"/>
              </w:rPr>
              <w:t>non‐</w:t>
            </w:r>
          </w:p>
          <w:p>
            <w:pPr>
              <w:pStyle w:val="TableParagraph"/>
              <w:spacing w:line="249" w:lineRule="exact"/>
              <w:ind w:left="64" w:right="5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988" w:type="dxa"/>
          </w:tcPr>
          <w:p>
            <w:pPr>
              <w:pStyle w:val="TableParagraph"/>
              <w:ind w:left="64" w:right="5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Asian </w:t>
            </w:r>
            <w:r>
              <w:rPr>
                <w:b/>
                <w:spacing w:val="-4"/>
                <w:sz w:val="22"/>
              </w:rPr>
              <w:t>non‐</w:t>
            </w:r>
          </w:p>
          <w:p>
            <w:pPr>
              <w:pStyle w:val="TableParagraph"/>
              <w:spacing w:line="249" w:lineRule="exact"/>
              <w:ind w:left="64" w:right="5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989" w:type="dxa"/>
          </w:tcPr>
          <w:p>
            <w:pPr>
              <w:pStyle w:val="TableParagraph"/>
              <w:spacing w:before="268"/>
              <w:ind w:left="6" w:right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1102" w:type="dxa"/>
          </w:tcPr>
          <w:p>
            <w:pPr>
              <w:pStyle w:val="TableParagraph"/>
              <w:spacing w:before="133"/>
              <w:ind w:left="106" w:right="94" w:firstLine="129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Other/ Unknown</w:t>
            </w:r>
          </w:p>
        </w:tc>
        <w:tc>
          <w:tcPr>
            <w:tcW w:w="960" w:type="dxa"/>
          </w:tcPr>
          <w:p>
            <w:pPr>
              <w:pStyle w:val="TableParagraph"/>
              <w:spacing w:before="268"/>
              <w:ind w:left="5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314" w:hRule="atLeast"/>
        </w:trPr>
        <w:tc>
          <w:tcPr>
            <w:tcW w:w="2914" w:type="dxa"/>
          </w:tcPr>
          <w:p>
            <w:pPr>
              <w:pStyle w:val="TableParagraph"/>
              <w:spacing w:before="22"/>
              <w:ind w:left="5"/>
              <w:rPr>
                <w:sz w:val="22"/>
              </w:rPr>
            </w:pPr>
            <w:r>
              <w:rPr>
                <w:sz w:val="22"/>
              </w:rPr>
              <w:t>All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Deaths</w:t>
            </w:r>
          </w:p>
        </w:tc>
        <w:tc>
          <w:tcPr>
            <w:tcW w:w="1229" w:type="dxa"/>
          </w:tcPr>
          <w:p>
            <w:pPr>
              <w:pStyle w:val="TableParagraph"/>
              <w:spacing w:before="33"/>
              <w:ind w:left="8" w:right="1"/>
              <w:rPr>
                <w:sz w:val="20"/>
              </w:rPr>
            </w:pPr>
            <w:r>
              <w:rPr>
                <w:spacing w:val="-2"/>
                <w:sz w:val="20"/>
              </w:rPr>
              <w:t>26,639</w:t>
            </w:r>
          </w:p>
        </w:tc>
        <w:tc>
          <w:tcPr>
            <w:tcW w:w="988" w:type="dxa"/>
          </w:tcPr>
          <w:p>
            <w:pPr>
              <w:pStyle w:val="TableParagraph"/>
              <w:spacing w:before="33"/>
              <w:ind w:left="64" w:right="56"/>
              <w:rPr>
                <w:sz w:val="20"/>
              </w:rPr>
            </w:pPr>
            <w:r>
              <w:rPr>
                <w:spacing w:val="-2"/>
                <w:sz w:val="20"/>
              </w:rPr>
              <w:t>1,352</w:t>
            </w:r>
          </w:p>
        </w:tc>
        <w:tc>
          <w:tcPr>
            <w:tcW w:w="988" w:type="dxa"/>
          </w:tcPr>
          <w:p>
            <w:pPr>
              <w:pStyle w:val="TableParagraph"/>
              <w:spacing w:before="33"/>
              <w:ind w:left="64" w:right="56"/>
              <w:rPr>
                <w:sz w:val="20"/>
              </w:rPr>
            </w:pPr>
            <w:r>
              <w:rPr>
                <w:spacing w:val="-5"/>
                <w:sz w:val="20"/>
              </w:rPr>
              <w:t>634</w:t>
            </w:r>
          </w:p>
        </w:tc>
        <w:tc>
          <w:tcPr>
            <w:tcW w:w="989" w:type="dxa"/>
          </w:tcPr>
          <w:p>
            <w:pPr>
              <w:pStyle w:val="TableParagraph"/>
              <w:spacing w:before="33"/>
              <w:ind w:left="6" w:right="1"/>
              <w:rPr>
                <w:sz w:val="20"/>
              </w:rPr>
            </w:pPr>
            <w:r>
              <w:rPr>
                <w:spacing w:val="-2"/>
                <w:sz w:val="20"/>
              </w:rPr>
              <w:t>1,201</w:t>
            </w:r>
          </w:p>
        </w:tc>
        <w:tc>
          <w:tcPr>
            <w:tcW w:w="1102" w:type="dxa"/>
          </w:tcPr>
          <w:p>
            <w:pPr>
              <w:pStyle w:val="TableParagraph"/>
              <w:spacing w:before="33"/>
              <w:ind w:left="6" w:right="1"/>
              <w:rPr>
                <w:sz w:val="20"/>
              </w:rPr>
            </w:pPr>
            <w:r>
              <w:rPr>
                <w:spacing w:val="-5"/>
                <w:sz w:val="20"/>
              </w:rPr>
              <w:t>320</w:t>
            </w:r>
          </w:p>
        </w:tc>
        <w:tc>
          <w:tcPr>
            <w:tcW w:w="960" w:type="dxa"/>
          </w:tcPr>
          <w:p>
            <w:pPr>
              <w:pStyle w:val="TableParagraph"/>
              <w:spacing w:before="33"/>
              <w:ind w:left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30,146</w:t>
            </w:r>
          </w:p>
        </w:tc>
      </w:tr>
      <w:tr>
        <w:trPr>
          <w:trHeight w:val="701" w:hRule="atLeast"/>
        </w:trPr>
        <w:tc>
          <w:tcPr>
            <w:tcW w:w="2914" w:type="dxa"/>
          </w:tcPr>
          <w:p>
            <w:pPr>
              <w:pStyle w:val="TableParagraph"/>
              <w:spacing w:before="80"/>
              <w:ind w:left="637" w:right="236" w:hanging="386"/>
              <w:jc w:val="left"/>
              <w:rPr>
                <w:sz w:val="22"/>
              </w:rPr>
            </w:pPr>
            <w:r>
              <w:rPr>
                <w:sz w:val="22"/>
              </w:rPr>
              <w:t>Confirmed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Opioid</w:t>
            </w:r>
            <w:r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baseline"/>
              </w:rPr>
              <w:t>‐Related Deaths, All Intents</w:t>
            </w:r>
          </w:p>
        </w:tc>
        <w:tc>
          <w:tcPr>
            <w:tcW w:w="1229" w:type="dxa"/>
          </w:tcPr>
          <w:p>
            <w:pPr>
              <w:pStyle w:val="TableParagraph"/>
              <w:spacing w:before="228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534</w:t>
            </w:r>
          </w:p>
        </w:tc>
        <w:tc>
          <w:tcPr>
            <w:tcW w:w="988" w:type="dxa"/>
          </w:tcPr>
          <w:p>
            <w:pPr>
              <w:pStyle w:val="TableParagraph"/>
              <w:spacing w:before="228"/>
              <w:ind w:left="65" w:right="56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988" w:type="dxa"/>
          </w:tcPr>
          <w:p>
            <w:pPr>
              <w:pStyle w:val="TableParagraph"/>
              <w:spacing w:before="228"/>
              <w:ind w:left="64" w:right="58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89" w:type="dxa"/>
          </w:tcPr>
          <w:p>
            <w:pPr>
              <w:pStyle w:val="TableParagraph"/>
              <w:spacing w:before="228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  <w:tc>
          <w:tcPr>
            <w:tcW w:w="1102" w:type="dxa"/>
          </w:tcPr>
          <w:p>
            <w:pPr>
              <w:pStyle w:val="TableParagraph"/>
              <w:spacing w:before="228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60" w:type="dxa"/>
          </w:tcPr>
          <w:p>
            <w:pPr>
              <w:pStyle w:val="TableParagraph"/>
              <w:spacing w:before="228"/>
              <w:ind w:lef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657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78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457200</wp:posOffset>
            </wp:positionH>
            <wp:positionV relativeFrom="paragraph">
              <wp:posOffset>283882</wp:posOffset>
            </wp:positionV>
            <wp:extent cx="6777004" cy="4080509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7004" cy="4080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footerReference w:type="default" r:id="rId10"/>
          <w:pgSz w:w="12240" w:h="15840"/>
          <w:pgMar w:header="0" w:footer="4383" w:top="880" w:bottom="4580" w:left="580" w:right="220"/>
        </w:sectPr>
      </w:pPr>
    </w:p>
    <w:p>
      <w:pPr>
        <w:pStyle w:val="BodyText"/>
        <w:ind w:left="140"/>
        <w:rPr>
          <w:sz w:val="20"/>
        </w:rPr>
      </w:pPr>
      <w:r>
        <w:rPr>
          <w:sz w:val="20"/>
        </w:rPr>
        <w:drawing>
          <wp:inline distT="0" distB="0" distL="0" distR="0">
            <wp:extent cx="6382372" cy="3401567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2372" cy="3401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85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457200</wp:posOffset>
            </wp:positionH>
            <wp:positionV relativeFrom="paragraph">
              <wp:posOffset>288163</wp:posOffset>
            </wp:positionV>
            <wp:extent cx="6569537" cy="2980944"/>
            <wp:effectExtent l="0" t="0" r="0" b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9537" cy="2980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14"/>
        <w:ind w:left="140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Technical</w:t>
      </w:r>
      <w:r>
        <w:rPr>
          <w:b/>
          <w:spacing w:val="-11"/>
          <w:sz w:val="22"/>
          <w:u w:val="single"/>
        </w:rPr>
        <w:t> </w:t>
      </w:r>
      <w:r>
        <w:rPr>
          <w:b/>
          <w:spacing w:val="-2"/>
          <w:sz w:val="22"/>
          <w:u w:val="single"/>
        </w:rPr>
        <w:t>Notes</w:t>
      </w:r>
    </w:p>
    <w:p>
      <w:pPr>
        <w:pStyle w:val="BodyText"/>
        <w:spacing w:line="276" w:lineRule="auto" w:before="268"/>
        <w:ind w:left="139" w:right="546"/>
      </w:pPr>
      <w:r>
        <w:rPr/>
        <w:t>2016‐2017</w:t>
      </w:r>
      <w:r>
        <w:rPr>
          <w:spacing w:val="-3"/>
        </w:rPr>
        <w:t> </w:t>
      </w:r>
      <w:r>
        <w:rPr/>
        <w:t>death</w:t>
      </w:r>
      <w:r>
        <w:rPr>
          <w:spacing w:val="-2"/>
        </w:rPr>
        <w:t> </w:t>
      </w:r>
      <w:r>
        <w:rPr/>
        <w:t>data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preliminary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subject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updates.</w:t>
      </w:r>
      <w:r>
        <w:rPr>
          <w:spacing w:val="-3"/>
        </w:rPr>
        <w:t> </w:t>
      </w:r>
      <w:r>
        <w:rPr/>
        <w:t>Case</w:t>
      </w:r>
      <w:r>
        <w:rPr>
          <w:spacing w:val="-3"/>
        </w:rPr>
        <w:t> </w:t>
      </w:r>
      <w:r>
        <w:rPr/>
        <w:t>reviews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deaths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evaluated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updated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an ongoing</w:t>
      </w:r>
      <w:r>
        <w:rPr>
          <w:spacing w:val="-4"/>
        </w:rPr>
        <w:t> </w:t>
      </w:r>
      <w:r>
        <w:rPr/>
        <w:t>basis.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deaths</w:t>
      </w:r>
      <w:r>
        <w:rPr>
          <w:spacing w:val="-1"/>
        </w:rPr>
        <w:t> </w:t>
      </w:r>
      <w:r>
        <w:rPr/>
        <w:t>have</w:t>
      </w:r>
      <w:r>
        <w:rPr>
          <w:spacing w:val="-4"/>
        </w:rPr>
        <w:t> </w:t>
      </w:r>
      <w:r>
        <w:rPr/>
        <w:t>yet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assigned</w:t>
      </w:r>
      <w:r>
        <w:rPr>
          <w:spacing w:val="-1"/>
        </w:rPr>
        <w:t> </w:t>
      </w:r>
      <w:r>
        <w:rPr/>
        <w:t>final</w:t>
      </w:r>
      <w:r>
        <w:rPr>
          <w:spacing w:val="-3"/>
        </w:rPr>
        <w:t> </w:t>
      </w:r>
      <w:r>
        <w:rPr/>
        <w:t>cause‐of‐death</w:t>
      </w:r>
      <w:r>
        <w:rPr>
          <w:spacing w:val="-2"/>
        </w:rPr>
        <w:t> </w:t>
      </w:r>
      <w:r>
        <w:rPr/>
        <w:t>codes.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presented in this report </w:t>
      </w:r>
      <w:r>
        <w:rPr>
          <w:u w:val="single"/>
        </w:rPr>
        <w:t>only</w:t>
      </w:r>
      <w:r>
        <w:rPr>
          <w:u w:val="none"/>
        </w:rPr>
        <w:t> includes confirmed cases. Data updated on 7/19/2018.</w:t>
      </w:r>
      <w:r>
        <w:rPr>
          <w:spacing w:val="40"/>
          <w:u w:val="none"/>
        </w:rPr>
        <w:t> </w:t>
      </w:r>
      <w:r>
        <w:rPr>
          <w:u w:val="none"/>
        </w:rPr>
        <w:t>Beginning with the May 2017 report, DPH started reporting opioid‐related deaths for all intents, which includes unintentional/undetermined and suicide.</w:t>
      </w:r>
    </w:p>
    <w:p>
      <w:pPr>
        <w:spacing w:before="201"/>
        <w:ind w:left="139" w:right="0" w:firstLine="0"/>
        <w:jc w:val="left"/>
        <w:rPr>
          <w:b/>
          <w:sz w:val="22"/>
        </w:rPr>
      </w:pPr>
      <w:r>
        <w:rPr>
          <w:b/>
          <w:sz w:val="22"/>
        </w:rPr>
        <w:t>Source: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Registry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Vital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Records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Statistics,</w:t>
      </w:r>
      <w:r>
        <w:rPr>
          <w:b/>
          <w:spacing w:val="-7"/>
          <w:sz w:val="22"/>
        </w:rPr>
        <w:t> </w:t>
      </w:r>
      <w:r>
        <w:rPr>
          <w:b/>
          <w:spacing w:val="-4"/>
          <w:sz w:val="22"/>
        </w:rPr>
        <w:t>MDPH</w:t>
      </w:r>
    </w:p>
    <w:sectPr>
      <w:footerReference w:type="default" r:id="rId12"/>
      <w:pgSz w:w="12240" w:h="15840"/>
      <w:pgMar w:header="0" w:footer="0" w:top="1400" w:bottom="280" w:left="580" w:right="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43968">
              <wp:simplePos x="0" y="0"/>
              <wp:positionH relativeFrom="page">
                <wp:posOffset>444500</wp:posOffset>
              </wp:positionH>
              <wp:positionV relativeFrom="page">
                <wp:posOffset>7637018</wp:posOffset>
              </wp:positionV>
              <wp:extent cx="4335145" cy="16827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335145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8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  <w:vertAlign w:val="superscript"/>
                            </w:rPr>
                            <w:t>1</w:t>
                          </w:r>
                          <w:r>
                            <w:rPr>
                              <w:spacing w:val="-13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sz w:val="18"/>
                              <w:vertAlign w:val="baseline"/>
                            </w:rPr>
                            <w:t>Opioids</w:t>
                          </w:r>
                          <w:r>
                            <w:rPr>
                              <w:spacing w:val="-8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sz w:val="18"/>
                              <w:vertAlign w:val="baseline"/>
                            </w:rPr>
                            <w:t>include</w:t>
                          </w:r>
                          <w:r>
                            <w:rPr>
                              <w:spacing w:val="-5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sz w:val="18"/>
                              <w:vertAlign w:val="baseline"/>
                            </w:rPr>
                            <w:t>heroin,</w:t>
                          </w:r>
                          <w:r>
                            <w:rPr>
                              <w:spacing w:val="-5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sz w:val="18"/>
                              <w:vertAlign w:val="baseline"/>
                            </w:rPr>
                            <w:t>opioid‐based</w:t>
                          </w:r>
                          <w:r>
                            <w:rPr>
                              <w:spacing w:val="-4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sz w:val="18"/>
                              <w:vertAlign w:val="baseline"/>
                            </w:rPr>
                            <w:t>prescription</w:t>
                          </w:r>
                          <w:r>
                            <w:rPr>
                              <w:spacing w:val="-6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sz w:val="18"/>
                              <w:vertAlign w:val="baseline"/>
                            </w:rPr>
                            <w:t>painkillers,</w:t>
                          </w:r>
                          <w:r>
                            <w:rPr>
                              <w:spacing w:val="-6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sz w:val="18"/>
                              <w:vertAlign w:val="baseline"/>
                            </w:rPr>
                            <w:t>and</w:t>
                          </w:r>
                          <w:r>
                            <w:rPr>
                              <w:spacing w:val="-4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sz w:val="18"/>
                              <w:vertAlign w:val="baseline"/>
                            </w:rPr>
                            <w:t>other</w:t>
                          </w:r>
                          <w:r>
                            <w:rPr>
                              <w:spacing w:val="-5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sz w:val="18"/>
                              <w:vertAlign w:val="baseline"/>
                            </w:rPr>
                            <w:t>unspecified</w:t>
                          </w:r>
                          <w:r>
                            <w:rPr>
                              <w:spacing w:val="-4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8"/>
                              <w:vertAlign w:val="baseline"/>
                            </w:rPr>
                            <w:t>opioids.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5pt;margin-top:601.340027pt;width:341.35pt;height:13.25pt;mso-position-horizontal-relative:page;mso-position-vertical-relative:page;z-index:-15872512" type="#_x0000_t202" id="docshape1" filled="false" stroked="false">
              <v:textbox inset="0,0,0,0">
                <w:txbxContent>
                  <w:p>
                    <w:pPr>
                      <w:spacing w:before="28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  <w:vertAlign w:val="superscript"/>
                      </w:rPr>
                      <w:t>1</w:t>
                    </w:r>
                    <w:r>
                      <w:rPr>
                        <w:spacing w:val="-13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z w:val="18"/>
                        <w:vertAlign w:val="baseline"/>
                      </w:rPr>
                      <w:t>Opioids</w:t>
                    </w:r>
                    <w:r>
                      <w:rPr>
                        <w:spacing w:val="-8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z w:val="18"/>
                        <w:vertAlign w:val="baseline"/>
                      </w:rPr>
                      <w:t>include</w:t>
                    </w:r>
                    <w:r>
                      <w:rPr>
                        <w:spacing w:val="-5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z w:val="18"/>
                        <w:vertAlign w:val="baseline"/>
                      </w:rPr>
                      <w:t>heroin,</w:t>
                    </w:r>
                    <w:r>
                      <w:rPr>
                        <w:spacing w:val="-5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z w:val="18"/>
                        <w:vertAlign w:val="baseline"/>
                      </w:rPr>
                      <w:t>opioid‐based</w:t>
                    </w:r>
                    <w:r>
                      <w:rPr>
                        <w:spacing w:val="-4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z w:val="18"/>
                        <w:vertAlign w:val="baseline"/>
                      </w:rPr>
                      <w:t>prescription</w:t>
                    </w:r>
                    <w:r>
                      <w:rPr>
                        <w:spacing w:val="-6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z w:val="18"/>
                        <w:vertAlign w:val="baseline"/>
                      </w:rPr>
                      <w:t>painkillers,</w:t>
                    </w:r>
                    <w:r>
                      <w:rPr>
                        <w:spacing w:val="-6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z w:val="18"/>
                        <w:vertAlign w:val="baseline"/>
                      </w:rPr>
                      <w:t>and</w:t>
                    </w:r>
                    <w:r>
                      <w:rPr>
                        <w:spacing w:val="-4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z w:val="18"/>
                        <w:vertAlign w:val="baseline"/>
                      </w:rPr>
                      <w:t>other</w:t>
                    </w:r>
                    <w:r>
                      <w:rPr>
                        <w:spacing w:val="-5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z w:val="18"/>
                        <w:vertAlign w:val="baseline"/>
                      </w:rPr>
                      <w:t>unspecified</w:t>
                    </w:r>
                    <w:r>
                      <w:rPr>
                        <w:spacing w:val="-4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pacing w:val="-2"/>
                        <w:sz w:val="18"/>
                        <w:vertAlign w:val="baseline"/>
                      </w:rPr>
                      <w:t>opioids.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44480">
              <wp:simplePos x="0" y="0"/>
              <wp:positionH relativeFrom="page">
                <wp:posOffset>444500</wp:posOffset>
              </wp:positionH>
              <wp:positionV relativeFrom="page">
                <wp:posOffset>7248397</wp:posOffset>
              </wp:positionV>
              <wp:extent cx="4335145" cy="16827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4335145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8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  <w:vertAlign w:val="superscript"/>
                            </w:rPr>
                            <w:t>1</w:t>
                          </w:r>
                          <w:r>
                            <w:rPr>
                              <w:spacing w:val="-13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sz w:val="18"/>
                              <w:vertAlign w:val="baseline"/>
                            </w:rPr>
                            <w:t>Opioids</w:t>
                          </w:r>
                          <w:r>
                            <w:rPr>
                              <w:spacing w:val="-8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sz w:val="18"/>
                              <w:vertAlign w:val="baseline"/>
                            </w:rPr>
                            <w:t>include</w:t>
                          </w:r>
                          <w:r>
                            <w:rPr>
                              <w:spacing w:val="-5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sz w:val="18"/>
                              <w:vertAlign w:val="baseline"/>
                            </w:rPr>
                            <w:t>heroin,</w:t>
                          </w:r>
                          <w:r>
                            <w:rPr>
                              <w:spacing w:val="-5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sz w:val="18"/>
                              <w:vertAlign w:val="baseline"/>
                            </w:rPr>
                            <w:t>opioid‐based</w:t>
                          </w:r>
                          <w:r>
                            <w:rPr>
                              <w:spacing w:val="-4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sz w:val="18"/>
                              <w:vertAlign w:val="baseline"/>
                            </w:rPr>
                            <w:t>prescription</w:t>
                          </w:r>
                          <w:r>
                            <w:rPr>
                              <w:spacing w:val="-6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sz w:val="18"/>
                              <w:vertAlign w:val="baseline"/>
                            </w:rPr>
                            <w:t>painkillers,</w:t>
                          </w:r>
                          <w:r>
                            <w:rPr>
                              <w:spacing w:val="-6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sz w:val="18"/>
                              <w:vertAlign w:val="baseline"/>
                            </w:rPr>
                            <w:t>and</w:t>
                          </w:r>
                          <w:r>
                            <w:rPr>
                              <w:spacing w:val="-4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sz w:val="18"/>
                              <w:vertAlign w:val="baseline"/>
                            </w:rPr>
                            <w:t>other</w:t>
                          </w:r>
                          <w:r>
                            <w:rPr>
                              <w:spacing w:val="-5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sz w:val="18"/>
                              <w:vertAlign w:val="baseline"/>
                            </w:rPr>
                            <w:t>unspecified</w:t>
                          </w:r>
                          <w:r>
                            <w:rPr>
                              <w:spacing w:val="-4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8"/>
                              <w:vertAlign w:val="baseline"/>
                            </w:rPr>
                            <w:t>opioids.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570.73999pt;width:341.35pt;height:13.25pt;mso-position-horizontal-relative:page;mso-position-vertical-relative:page;z-index:-15872000" type="#_x0000_t202" id="docshape8" filled="false" stroked="false">
              <v:textbox inset="0,0,0,0">
                <w:txbxContent>
                  <w:p>
                    <w:pPr>
                      <w:spacing w:before="28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  <w:vertAlign w:val="superscript"/>
                      </w:rPr>
                      <w:t>1</w:t>
                    </w:r>
                    <w:r>
                      <w:rPr>
                        <w:spacing w:val="-13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z w:val="18"/>
                        <w:vertAlign w:val="baseline"/>
                      </w:rPr>
                      <w:t>Opioids</w:t>
                    </w:r>
                    <w:r>
                      <w:rPr>
                        <w:spacing w:val="-8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z w:val="18"/>
                        <w:vertAlign w:val="baseline"/>
                      </w:rPr>
                      <w:t>include</w:t>
                    </w:r>
                    <w:r>
                      <w:rPr>
                        <w:spacing w:val="-5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z w:val="18"/>
                        <w:vertAlign w:val="baseline"/>
                      </w:rPr>
                      <w:t>heroin,</w:t>
                    </w:r>
                    <w:r>
                      <w:rPr>
                        <w:spacing w:val="-5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z w:val="18"/>
                        <w:vertAlign w:val="baseline"/>
                      </w:rPr>
                      <w:t>opioid‐based</w:t>
                    </w:r>
                    <w:r>
                      <w:rPr>
                        <w:spacing w:val="-4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z w:val="18"/>
                        <w:vertAlign w:val="baseline"/>
                      </w:rPr>
                      <w:t>prescription</w:t>
                    </w:r>
                    <w:r>
                      <w:rPr>
                        <w:spacing w:val="-6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z w:val="18"/>
                        <w:vertAlign w:val="baseline"/>
                      </w:rPr>
                      <w:t>painkillers,</w:t>
                    </w:r>
                    <w:r>
                      <w:rPr>
                        <w:spacing w:val="-6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z w:val="18"/>
                        <w:vertAlign w:val="baseline"/>
                      </w:rPr>
                      <w:t>and</w:t>
                    </w:r>
                    <w:r>
                      <w:rPr>
                        <w:spacing w:val="-4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z w:val="18"/>
                        <w:vertAlign w:val="baseline"/>
                      </w:rPr>
                      <w:t>other</w:t>
                    </w:r>
                    <w:r>
                      <w:rPr>
                        <w:spacing w:val="-5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z w:val="18"/>
                        <w:vertAlign w:val="baseline"/>
                      </w:rPr>
                      <w:t>unspecified</w:t>
                    </w:r>
                    <w:r>
                      <w:rPr>
                        <w:spacing w:val="-4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pacing w:val="-2"/>
                        <w:sz w:val="18"/>
                        <w:vertAlign w:val="baseline"/>
                      </w:rPr>
                      <w:t>opioids.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44992">
              <wp:simplePos x="0" y="0"/>
              <wp:positionH relativeFrom="page">
                <wp:posOffset>444500</wp:posOffset>
              </wp:positionH>
              <wp:positionV relativeFrom="page">
                <wp:posOffset>7135621</wp:posOffset>
              </wp:positionV>
              <wp:extent cx="4335145" cy="168275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4335145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8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  <w:vertAlign w:val="superscript"/>
                            </w:rPr>
                            <w:t>1</w:t>
                          </w:r>
                          <w:r>
                            <w:rPr>
                              <w:spacing w:val="-13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sz w:val="18"/>
                              <w:vertAlign w:val="baseline"/>
                            </w:rPr>
                            <w:t>Opioids</w:t>
                          </w:r>
                          <w:r>
                            <w:rPr>
                              <w:spacing w:val="-8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sz w:val="18"/>
                              <w:vertAlign w:val="baseline"/>
                            </w:rPr>
                            <w:t>include</w:t>
                          </w:r>
                          <w:r>
                            <w:rPr>
                              <w:spacing w:val="-5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sz w:val="18"/>
                              <w:vertAlign w:val="baseline"/>
                            </w:rPr>
                            <w:t>heroin,</w:t>
                          </w:r>
                          <w:r>
                            <w:rPr>
                              <w:spacing w:val="-5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sz w:val="18"/>
                              <w:vertAlign w:val="baseline"/>
                            </w:rPr>
                            <w:t>opioid‐based</w:t>
                          </w:r>
                          <w:r>
                            <w:rPr>
                              <w:spacing w:val="-4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sz w:val="18"/>
                              <w:vertAlign w:val="baseline"/>
                            </w:rPr>
                            <w:t>prescription</w:t>
                          </w:r>
                          <w:r>
                            <w:rPr>
                              <w:spacing w:val="-6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sz w:val="18"/>
                              <w:vertAlign w:val="baseline"/>
                            </w:rPr>
                            <w:t>painkillers,</w:t>
                          </w:r>
                          <w:r>
                            <w:rPr>
                              <w:spacing w:val="-6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sz w:val="18"/>
                              <w:vertAlign w:val="baseline"/>
                            </w:rPr>
                            <w:t>and</w:t>
                          </w:r>
                          <w:r>
                            <w:rPr>
                              <w:spacing w:val="-4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sz w:val="18"/>
                              <w:vertAlign w:val="baseline"/>
                            </w:rPr>
                            <w:t>other</w:t>
                          </w:r>
                          <w:r>
                            <w:rPr>
                              <w:spacing w:val="-5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sz w:val="18"/>
                              <w:vertAlign w:val="baseline"/>
                            </w:rPr>
                            <w:t>unspecified</w:t>
                          </w:r>
                          <w:r>
                            <w:rPr>
                              <w:spacing w:val="-4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8"/>
                              <w:vertAlign w:val="baseline"/>
                            </w:rPr>
                            <w:t>opioids.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561.859985pt;width:341.35pt;height:13.25pt;mso-position-horizontal-relative:page;mso-position-vertical-relative:page;z-index:-15871488" type="#_x0000_t202" id="docshape9" filled="false" stroked="false">
              <v:textbox inset="0,0,0,0">
                <w:txbxContent>
                  <w:p>
                    <w:pPr>
                      <w:spacing w:before="28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  <w:vertAlign w:val="superscript"/>
                      </w:rPr>
                      <w:t>1</w:t>
                    </w:r>
                    <w:r>
                      <w:rPr>
                        <w:spacing w:val="-13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z w:val="18"/>
                        <w:vertAlign w:val="baseline"/>
                      </w:rPr>
                      <w:t>Opioids</w:t>
                    </w:r>
                    <w:r>
                      <w:rPr>
                        <w:spacing w:val="-8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z w:val="18"/>
                        <w:vertAlign w:val="baseline"/>
                      </w:rPr>
                      <w:t>include</w:t>
                    </w:r>
                    <w:r>
                      <w:rPr>
                        <w:spacing w:val="-5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z w:val="18"/>
                        <w:vertAlign w:val="baseline"/>
                      </w:rPr>
                      <w:t>heroin,</w:t>
                    </w:r>
                    <w:r>
                      <w:rPr>
                        <w:spacing w:val="-5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z w:val="18"/>
                        <w:vertAlign w:val="baseline"/>
                      </w:rPr>
                      <w:t>opioid‐based</w:t>
                    </w:r>
                    <w:r>
                      <w:rPr>
                        <w:spacing w:val="-4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z w:val="18"/>
                        <w:vertAlign w:val="baseline"/>
                      </w:rPr>
                      <w:t>prescription</w:t>
                    </w:r>
                    <w:r>
                      <w:rPr>
                        <w:spacing w:val="-6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z w:val="18"/>
                        <w:vertAlign w:val="baseline"/>
                      </w:rPr>
                      <w:t>painkillers,</w:t>
                    </w:r>
                    <w:r>
                      <w:rPr>
                        <w:spacing w:val="-6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z w:val="18"/>
                        <w:vertAlign w:val="baseline"/>
                      </w:rPr>
                      <w:t>and</w:t>
                    </w:r>
                    <w:r>
                      <w:rPr>
                        <w:spacing w:val="-4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z w:val="18"/>
                        <w:vertAlign w:val="baseline"/>
                      </w:rPr>
                      <w:t>other</w:t>
                    </w:r>
                    <w:r>
                      <w:rPr>
                        <w:spacing w:val="-5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z w:val="18"/>
                        <w:vertAlign w:val="baseline"/>
                      </w:rPr>
                      <w:t>unspecified</w:t>
                    </w:r>
                    <w:r>
                      <w:rPr>
                        <w:spacing w:val="-4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pacing w:val="-2"/>
                        <w:sz w:val="18"/>
                        <w:vertAlign w:val="baseline"/>
                      </w:rPr>
                      <w:t>opioids.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"/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oter" Target="footer2.xml"/><Relationship Id="rId9" Type="http://schemas.openxmlformats.org/officeDocument/2006/relationships/image" Target="media/image3.png"/><Relationship Id="rId10" Type="http://schemas.openxmlformats.org/officeDocument/2006/relationships/footer" Target="footer3.xml"/><Relationship Id="rId11" Type="http://schemas.openxmlformats.org/officeDocument/2006/relationships/image" Target="media/image4.png"/><Relationship Id="rId12" Type="http://schemas.openxmlformats.org/officeDocument/2006/relationships/footer" Target="footer4.xml"/><Relationship Id="rId13" Type="http://schemas.openxmlformats.org/officeDocument/2006/relationships/image" Target="media/image5.png"/><Relationship Id="rId14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:title>Microsoft Word - 2018 Q2 Opioid Quarterly Report v12_FINAL</dc:title>
  <dcterms:created xsi:type="dcterms:W3CDTF">2024-12-31T14:56:25Z</dcterms:created>
  <dcterms:modified xsi:type="dcterms:W3CDTF">2024-12-31T14:56:25Z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2024-12-31T00:00:00Z</vt:filetime>
  </property>
  <property fmtid="{D5CDD505-2E9C-101B-9397-08002B2CF9AE}" pid="5" name="Producer">
    <vt:lpwstr>Acrobat Distiller 15.0 (Windows)</vt:lpwstr>
  </property>
</Properties>
</file>