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23100" cy="1529080"/>
                <wp:effectExtent l="0" t="0" r="0" b="44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23100" cy="1529080"/>
                          <a:chExt cx="7023100" cy="1529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6030"/>
                            <a:ext cx="7010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266700">
                                <a:moveTo>
                                  <a:pt x="0" y="266700"/>
                                </a:moveTo>
                                <a:lnTo>
                                  <a:pt x="7010400" y="266700"/>
                                </a:lnTo>
                                <a:lnTo>
                                  <a:pt x="701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704" y="181673"/>
                            <a:ext cx="970020" cy="998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471159" y="1357883"/>
                            <a:ext cx="121793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</w:t>
                              </w:r>
                              <w:r>
                                <w:rPr>
                                  <w:spacing w:val="2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FEBRUARY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34" y="1357883"/>
                            <a:ext cx="2059939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4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3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7010400" cy="12490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57"/>
                                <w:ind w:left="2220" w:right="0" w:firstLine="48"/>
                                <w:jc w:val="left"/>
                                <w:rPr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9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Intents, MA</w:t>
                              </w:r>
                              <w:r>
                                <w:rPr>
                                  <w:b/>
                                  <w:color w:val="1F487C"/>
                                  <w:spacing w:val="-17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Residents</w:t>
                              </w:r>
                              <w:r>
                                <w:rPr>
                                  <w:b/>
                                  <w:color w:val="1F487C"/>
                                  <w:spacing w:val="-19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1F487C"/>
                                  <w:spacing w:val="-18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Demographic</w:t>
                              </w:r>
                              <w:r>
                                <w:rPr>
                                  <w:b/>
                                  <w:color w:val="1F487C"/>
                                  <w:spacing w:val="-14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5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1F487C"/>
                                  <w:spacing w:val="-14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45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pt;height:120.4pt;mso-position-horizontal-relative:char;mso-position-vertical-relative:line" id="docshapegroup2" coordorigin="0,0" coordsize="11060,2408">
                <v:rect style="position:absolute;left:10;top:1978;width:11040;height:420" id="docshape3" filled="false" stroked="true" strokeweight="1pt" strokecolor="#000000">
                  <v:stroke dashstyle="solid"/>
                </v:rect>
                <v:shape style="position:absolute;left:207;top:286;width:1528;height:1573" type="#_x0000_t75" id="docshape4" alt="DPH-logo-B&amp;W" stroked="false">
                  <v:imagedata r:id="rId6" o:title=""/>
                </v:shape>
                <v:shape style="position:absolute;left:8616;top:2138;width:1918;height:176" type="#_x0000_t202" id="docshape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</w:t>
                        </w:r>
                        <w:r>
                          <w:rPr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FEBRUARY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61;top:2138;width:3244;height:176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4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1040;height:1967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37" w:lineRule="auto" w:before="257"/>
                          <w:ind w:left="2220" w:right="0" w:firstLine="48"/>
                          <w:jc w:val="left"/>
                          <w:rPr>
                            <w:b/>
                            <w:sz w:val="45"/>
                          </w:rPr>
                        </w:pPr>
                        <w:r>
                          <w:rPr>
                            <w:b/>
                            <w:color w:val="1F487C"/>
                            <w:sz w:val="45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5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5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5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9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5"/>
                          </w:rPr>
                          <w:t>Intents, MA</w:t>
                        </w:r>
                        <w:r>
                          <w:rPr>
                            <w:b/>
                            <w:color w:val="1F487C"/>
                            <w:spacing w:val="-17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5"/>
                          </w:rPr>
                          <w:t>Residents</w:t>
                        </w:r>
                        <w:r>
                          <w:rPr>
                            <w:b/>
                            <w:color w:val="1F487C"/>
                            <w:spacing w:val="-19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5"/>
                          </w:rPr>
                          <w:t>–</w:t>
                        </w:r>
                        <w:r>
                          <w:rPr>
                            <w:b/>
                            <w:color w:val="1F487C"/>
                            <w:spacing w:val="-18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5"/>
                          </w:rPr>
                          <w:t>Demographic</w:t>
                        </w:r>
                        <w:r>
                          <w:rPr>
                            <w:b/>
                            <w:color w:val="1F487C"/>
                            <w:spacing w:val="-14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5"/>
                          </w:rPr>
                          <w:t>Data</w:t>
                        </w:r>
                        <w:r>
                          <w:rPr>
                            <w:b/>
                            <w:color w:val="1F487C"/>
                            <w:spacing w:val="-14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45"/>
                          </w:rPr>
                          <w:t>Highlights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spacing w:line="242" w:lineRule="auto"/>
        <w:ind w:left="140"/>
      </w:pPr>
      <w:r>
        <w:rPr/>
        <w:t>This data</w:t>
      </w:r>
      <w:r>
        <w:rPr>
          <w:spacing w:val="-14"/>
        </w:rPr>
        <w:t> </w:t>
      </w:r>
      <w:r>
        <w:rPr/>
        <w:t>brief</w:t>
      </w:r>
      <w:r>
        <w:rPr>
          <w:spacing w:val="-7"/>
        </w:rPr>
        <w:t> </w:t>
      </w:r>
      <w:r>
        <w:rPr/>
        <w:t>highlights</w:t>
      </w:r>
      <w:r>
        <w:rPr>
          <w:spacing w:val="-11"/>
        </w:rPr>
        <w:t> </w:t>
      </w:r>
      <w:r>
        <w:rPr/>
        <w:t>demographic</w:t>
      </w:r>
      <w:r>
        <w:rPr>
          <w:spacing w:val="-2"/>
        </w:rPr>
        <w:t> </w:t>
      </w:r>
      <w:r>
        <w:rPr/>
        <w:t>data</w:t>
      </w:r>
      <w:r>
        <w:rPr>
          <w:spacing w:val="-14"/>
        </w:rPr>
        <w:t> </w:t>
      </w:r>
      <w:r>
        <w:rPr/>
        <w:t>from</w:t>
      </w:r>
      <w:r>
        <w:rPr>
          <w:spacing w:val="-6"/>
        </w:rPr>
        <w:t> </w:t>
      </w:r>
      <w:r>
        <w:rPr/>
        <w:t>confirmed</w:t>
      </w:r>
      <w:r>
        <w:rPr>
          <w:spacing w:val="19"/>
        </w:rPr>
        <w:t> </w:t>
      </w:r>
      <w:r>
        <w:rPr/>
        <w:t>opioid-related overdose</w:t>
      </w:r>
      <w:r>
        <w:rPr>
          <w:spacing w:val="-3"/>
        </w:rPr>
        <w:t> </w:t>
      </w:r>
      <w:r>
        <w:rPr/>
        <w:t>deaths</w:t>
      </w:r>
      <w:r>
        <w:rPr>
          <w:spacing w:val="-8"/>
        </w:rPr>
        <w:t> </w:t>
      </w:r>
      <w:r>
        <w:rPr/>
        <w:t>for</w:t>
      </w:r>
      <w:r>
        <w:rPr>
          <w:spacing w:val="15"/>
        </w:rPr>
        <w:t> </w:t>
      </w:r>
      <w:r>
        <w:rPr/>
        <w:t>all</w:t>
      </w:r>
      <w:r>
        <w:rPr>
          <w:spacing w:val="-7"/>
        </w:rPr>
        <w:t> </w:t>
      </w:r>
      <w:r>
        <w:rPr/>
        <w:t>intents,</w:t>
      </w:r>
      <w:r>
        <w:rPr>
          <w:spacing w:val="-9"/>
        </w:rPr>
        <w:t> </w:t>
      </w:r>
      <w:r>
        <w:rPr/>
        <w:t>from January</w:t>
      </w:r>
      <w:r>
        <w:rPr>
          <w:spacing w:val="-6"/>
        </w:rPr>
        <w:t> </w:t>
      </w:r>
      <w:r>
        <w:rPr/>
        <w:t>2018 through December 2018.</w:t>
      </w:r>
    </w:p>
    <w:p>
      <w:pPr>
        <w:spacing w:line="228" w:lineRule="auto" w:before="238"/>
        <w:ind w:left="3761" w:right="1347" w:hanging="2276"/>
        <w:jc w:val="left"/>
        <w:rPr>
          <w:b/>
          <w:sz w:val="29"/>
        </w:rPr>
      </w:pPr>
      <w:r>
        <w:rPr>
          <w:b/>
          <w:sz w:val="29"/>
        </w:rPr>
        <w:t>Confirmed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Opioid-Related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Overdose</w:t>
      </w:r>
      <w:r>
        <w:rPr>
          <w:b/>
          <w:spacing w:val="-12"/>
          <w:sz w:val="29"/>
        </w:rPr>
        <w:t> </w:t>
      </w:r>
      <w:r>
        <w:rPr>
          <w:b/>
          <w:sz w:val="29"/>
        </w:rPr>
        <w:t>Deaths,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All</w:t>
      </w:r>
      <w:r>
        <w:rPr>
          <w:b/>
          <w:spacing w:val="-17"/>
          <w:sz w:val="29"/>
        </w:rPr>
        <w:t> </w:t>
      </w:r>
      <w:r>
        <w:rPr>
          <w:b/>
          <w:sz w:val="29"/>
        </w:rPr>
        <w:t>Intents,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by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Gender: January 2018-December 2018</w:t>
      </w: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2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502"/>
      </w:tblGrid>
      <w:tr>
        <w:trPr>
          <w:trHeight w:val="300" w:hRule="atLeast"/>
        </w:trPr>
        <w:tc>
          <w:tcPr>
            <w:tcW w:w="1666" w:type="dxa"/>
          </w:tcPr>
          <w:p>
            <w:pPr>
              <w:pStyle w:val="TableParagraph"/>
              <w:spacing w:line="265" w:lineRule="exact"/>
              <w:ind w:left="46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4502" w:type="dxa"/>
          </w:tcPr>
          <w:p>
            <w:pPr>
              <w:pStyle w:val="TableParagraph"/>
              <w:spacing w:line="265" w:lineRule="exact"/>
              <w:ind w:left="32" w:right="16"/>
              <w:rPr>
                <w:sz w:val="22"/>
              </w:rPr>
            </w:pPr>
            <w:r>
              <w:rPr>
                <w:spacing w:val="-2"/>
                <w:sz w:val="22"/>
              </w:rPr>
              <w:t>1,181</w:t>
            </w:r>
          </w:p>
        </w:tc>
      </w:tr>
      <w:tr>
        <w:trPr>
          <w:trHeight w:val="316" w:hRule="atLeast"/>
        </w:trPr>
        <w:tc>
          <w:tcPr>
            <w:tcW w:w="1666" w:type="dxa"/>
          </w:tcPr>
          <w:p>
            <w:pPr>
              <w:pStyle w:val="TableParagraph"/>
              <w:spacing w:line="265" w:lineRule="exact"/>
              <w:ind w:left="46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4502" w:type="dxa"/>
          </w:tcPr>
          <w:p>
            <w:pPr>
              <w:pStyle w:val="TableParagraph"/>
              <w:spacing w:line="265" w:lineRule="exact"/>
              <w:ind w:left="32"/>
              <w:rPr>
                <w:sz w:val="22"/>
              </w:rPr>
            </w:pPr>
            <w:r>
              <w:rPr>
                <w:spacing w:val="-5"/>
                <w:sz w:val="22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1666" w:type="dxa"/>
          </w:tcPr>
          <w:p>
            <w:pPr>
              <w:pStyle w:val="TableParagraph"/>
              <w:spacing w:line="265" w:lineRule="exact"/>
              <w:ind w:left="46" w:righ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4502" w:type="dxa"/>
          </w:tcPr>
          <w:p>
            <w:pPr>
              <w:pStyle w:val="TableParagraph"/>
              <w:spacing w:line="265" w:lineRule="exact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1,617</w:t>
            </w:r>
          </w:p>
        </w:tc>
      </w:tr>
    </w:tbl>
    <w:p>
      <w:pPr>
        <w:pStyle w:val="BodyText"/>
        <w:spacing w:before="109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640202</wp:posOffset>
            </wp:positionH>
            <wp:positionV relativeFrom="paragraph">
              <wp:posOffset>239484</wp:posOffset>
            </wp:positionV>
            <wp:extent cx="6473803" cy="281635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803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922" w:top="960" w:bottom="1120" w:left="580" w:right="200"/>
          <w:pgNumType w:start="26"/>
        </w:sectPr>
      </w:pPr>
    </w:p>
    <w:p>
      <w:pPr>
        <w:spacing w:line="228" w:lineRule="auto" w:before="43"/>
        <w:ind w:left="1823" w:right="1347" w:firstLine="400"/>
        <w:jc w:val="left"/>
        <w:rPr>
          <w:b/>
          <w:sz w:val="29"/>
        </w:rPr>
      </w:pPr>
      <w:r>
        <w:rPr>
          <w:b/>
          <w:sz w:val="29"/>
        </w:rPr>
        <w:t>Confirmed Opioid-Related Overdose Deaths, All Intents Compared</w:t>
      </w:r>
      <w:r>
        <w:rPr>
          <w:b/>
          <w:spacing w:val="-3"/>
          <w:sz w:val="29"/>
        </w:rPr>
        <w:t> </w:t>
      </w:r>
      <w:r>
        <w:rPr>
          <w:b/>
          <w:sz w:val="29"/>
        </w:rPr>
        <w:t>to</w:t>
      </w:r>
      <w:r>
        <w:rPr>
          <w:b/>
          <w:spacing w:val="-3"/>
          <w:sz w:val="29"/>
        </w:rPr>
        <w:t> </w:t>
      </w:r>
      <w:r>
        <w:rPr>
          <w:b/>
          <w:sz w:val="29"/>
        </w:rPr>
        <w:t>All</w:t>
      </w:r>
      <w:r>
        <w:rPr>
          <w:b/>
          <w:spacing w:val="-14"/>
          <w:sz w:val="29"/>
        </w:rPr>
        <w:t> </w:t>
      </w:r>
      <w:r>
        <w:rPr>
          <w:b/>
          <w:sz w:val="29"/>
        </w:rPr>
        <w:t>Deaths</w:t>
      </w:r>
      <w:r>
        <w:rPr>
          <w:b/>
          <w:spacing w:val="-6"/>
          <w:sz w:val="29"/>
        </w:rPr>
        <w:t> </w:t>
      </w:r>
      <w:r>
        <w:rPr>
          <w:b/>
          <w:sz w:val="29"/>
        </w:rPr>
        <w:t>by</w:t>
      </w:r>
      <w:r>
        <w:rPr>
          <w:b/>
          <w:spacing w:val="-2"/>
          <w:sz w:val="29"/>
        </w:rPr>
        <w:t> </w:t>
      </w:r>
      <w:r>
        <w:rPr>
          <w:b/>
          <w:sz w:val="29"/>
        </w:rPr>
        <w:t>Age: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January</w:t>
      </w:r>
      <w:r>
        <w:rPr>
          <w:b/>
          <w:spacing w:val="-2"/>
          <w:sz w:val="29"/>
        </w:rPr>
        <w:t> </w:t>
      </w:r>
      <w:r>
        <w:rPr>
          <w:b/>
          <w:sz w:val="29"/>
        </w:rPr>
        <w:t>2018-December</w:t>
      </w:r>
      <w:r>
        <w:rPr>
          <w:b/>
          <w:spacing w:val="-13"/>
          <w:sz w:val="29"/>
        </w:rPr>
        <w:t> </w:t>
      </w:r>
      <w:r>
        <w:rPr>
          <w:b/>
          <w:sz w:val="29"/>
        </w:rPr>
        <w:t>2018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6"/>
        <w:gridCol w:w="721"/>
        <w:gridCol w:w="802"/>
        <w:gridCol w:w="818"/>
        <w:gridCol w:w="818"/>
        <w:gridCol w:w="802"/>
        <w:gridCol w:w="898"/>
        <w:gridCol w:w="915"/>
        <w:gridCol w:w="1171"/>
        <w:gridCol w:w="915"/>
      </w:tblGrid>
      <w:tr>
        <w:trPr>
          <w:trHeight w:val="300" w:hRule="atLeast"/>
        </w:trPr>
        <w:tc>
          <w:tcPr>
            <w:tcW w:w="299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47" w:lineRule="exact"/>
              <w:ind w:left="0" w:right="2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&lt;15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/>
              <w:ind w:left="13" w:right="14"/>
              <w:rPr>
                <w:b/>
                <w:sz w:val="21"/>
              </w:rPr>
            </w:pPr>
            <w:r>
              <w:rPr>
                <w:b/>
                <w:sz w:val="21"/>
              </w:rPr>
              <w:t>15-</w:t>
            </w: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818" w:type="dxa"/>
          </w:tcPr>
          <w:p>
            <w:pPr>
              <w:pStyle w:val="TableParagraph"/>
              <w:spacing w:line="247" w:lineRule="exact"/>
              <w:ind w:right="15"/>
              <w:rPr>
                <w:b/>
                <w:sz w:val="21"/>
              </w:rPr>
            </w:pPr>
            <w:r>
              <w:rPr>
                <w:b/>
                <w:sz w:val="21"/>
              </w:rPr>
              <w:t>25-</w:t>
            </w: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818" w:type="dxa"/>
          </w:tcPr>
          <w:p>
            <w:pPr>
              <w:pStyle w:val="TableParagraph"/>
              <w:spacing w:line="247" w:lineRule="exact"/>
              <w:ind w:right="17"/>
              <w:rPr>
                <w:b/>
                <w:sz w:val="21"/>
              </w:rPr>
            </w:pPr>
            <w:r>
              <w:rPr>
                <w:b/>
                <w:sz w:val="21"/>
              </w:rPr>
              <w:t>35-</w:t>
            </w: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/>
              <w:ind w:left="13" w:right="18"/>
              <w:rPr>
                <w:b/>
                <w:sz w:val="21"/>
              </w:rPr>
            </w:pPr>
            <w:r>
              <w:rPr>
                <w:b/>
                <w:sz w:val="21"/>
              </w:rPr>
              <w:t>45-</w:t>
            </w:r>
            <w:r>
              <w:rPr>
                <w:b/>
                <w:spacing w:val="-5"/>
                <w:sz w:val="21"/>
              </w:rPr>
              <w:t>54</w:t>
            </w:r>
          </w:p>
        </w:tc>
        <w:tc>
          <w:tcPr>
            <w:tcW w:w="898" w:type="dxa"/>
          </w:tcPr>
          <w:p>
            <w:pPr>
              <w:pStyle w:val="TableParagraph"/>
              <w:spacing w:line="247" w:lineRule="exact"/>
              <w:ind w:left="39" w:right="17"/>
              <w:rPr>
                <w:b/>
                <w:sz w:val="21"/>
              </w:rPr>
            </w:pPr>
            <w:r>
              <w:rPr>
                <w:b/>
                <w:sz w:val="21"/>
              </w:rPr>
              <w:t>55-</w:t>
            </w:r>
            <w:r>
              <w:rPr>
                <w:b/>
                <w:spacing w:val="-5"/>
                <w:sz w:val="21"/>
              </w:rPr>
              <w:t>64</w:t>
            </w:r>
          </w:p>
        </w:tc>
        <w:tc>
          <w:tcPr>
            <w:tcW w:w="915" w:type="dxa"/>
          </w:tcPr>
          <w:p>
            <w:pPr>
              <w:pStyle w:val="TableParagraph"/>
              <w:spacing w:line="247" w:lineRule="exact"/>
              <w:ind w:left="41" w:right="2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65+</w:t>
            </w:r>
          </w:p>
        </w:tc>
        <w:tc>
          <w:tcPr>
            <w:tcW w:w="1171" w:type="dxa"/>
          </w:tcPr>
          <w:p>
            <w:pPr>
              <w:pStyle w:val="TableParagraph"/>
              <w:spacing w:line="247" w:lineRule="exact"/>
              <w:ind w:left="18" w:righ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Unknown</w:t>
            </w:r>
          </w:p>
        </w:tc>
        <w:tc>
          <w:tcPr>
            <w:tcW w:w="915" w:type="dxa"/>
          </w:tcPr>
          <w:p>
            <w:pPr>
              <w:pStyle w:val="TableParagraph"/>
              <w:spacing w:line="247" w:lineRule="exact"/>
              <w:ind w:left="17" w:right="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2996" w:type="dxa"/>
          </w:tcPr>
          <w:p>
            <w:pPr>
              <w:pStyle w:val="TableParagraph"/>
              <w:spacing w:before="6"/>
              <w:ind w:left="0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Deaths</w:t>
            </w:r>
          </w:p>
        </w:tc>
        <w:tc>
          <w:tcPr>
            <w:tcW w:w="721" w:type="dxa"/>
          </w:tcPr>
          <w:p>
            <w:pPr>
              <w:pStyle w:val="TableParagraph"/>
              <w:spacing w:before="6"/>
              <w:ind w:left="20" w:right="21"/>
              <w:rPr>
                <w:sz w:val="21"/>
              </w:rPr>
            </w:pPr>
            <w:r>
              <w:rPr>
                <w:spacing w:val="-5"/>
                <w:sz w:val="21"/>
              </w:rPr>
              <w:t>388</w:t>
            </w:r>
          </w:p>
        </w:tc>
        <w:tc>
          <w:tcPr>
            <w:tcW w:w="802" w:type="dxa"/>
          </w:tcPr>
          <w:p>
            <w:pPr>
              <w:pStyle w:val="TableParagraph"/>
              <w:spacing w:before="6"/>
              <w:ind w:left="18" w:right="5"/>
              <w:rPr>
                <w:sz w:val="21"/>
              </w:rPr>
            </w:pPr>
            <w:r>
              <w:rPr>
                <w:spacing w:val="-5"/>
                <w:sz w:val="21"/>
              </w:rPr>
              <w:t>407</w:t>
            </w:r>
          </w:p>
        </w:tc>
        <w:tc>
          <w:tcPr>
            <w:tcW w:w="818" w:type="dxa"/>
          </w:tcPr>
          <w:p>
            <w:pPr>
              <w:pStyle w:val="TableParagraph"/>
              <w:spacing w:before="6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1,285</w:t>
            </w:r>
          </w:p>
        </w:tc>
        <w:tc>
          <w:tcPr>
            <w:tcW w:w="818" w:type="dxa"/>
          </w:tcPr>
          <w:p>
            <w:pPr>
              <w:pStyle w:val="TableParagraph"/>
              <w:spacing w:before="6"/>
              <w:ind w:right="9"/>
              <w:rPr>
                <w:sz w:val="21"/>
              </w:rPr>
            </w:pPr>
            <w:r>
              <w:rPr>
                <w:spacing w:val="-2"/>
                <w:sz w:val="21"/>
              </w:rPr>
              <w:t>1,438</w:t>
            </w:r>
          </w:p>
        </w:tc>
        <w:tc>
          <w:tcPr>
            <w:tcW w:w="802" w:type="dxa"/>
          </w:tcPr>
          <w:p>
            <w:pPr>
              <w:pStyle w:val="TableParagraph"/>
              <w:spacing w:before="6"/>
              <w:ind w:left="13" w:right="13"/>
              <w:rPr>
                <w:sz w:val="21"/>
              </w:rPr>
            </w:pPr>
            <w:r>
              <w:rPr>
                <w:spacing w:val="-2"/>
                <w:sz w:val="21"/>
              </w:rPr>
              <w:t>2,840</w:t>
            </w:r>
          </w:p>
        </w:tc>
        <w:tc>
          <w:tcPr>
            <w:tcW w:w="898" w:type="dxa"/>
          </w:tcPr>
          <w:p>
            <w:pPr>
              <w:pStyle w:val="TableParagraph"/>
              <w:spacing w:before="6"/>
              <w:ind w:left="39" w:right="9"/>
              <w:rPr>
                <w:sz w:val="21"/>
              </w:rPr>
            </w:pPr>
            <w:r>
              <w:rPr>
                <w:spacing w:val="-2"/>
                <w:sz w:val="21"/>
              </w:rPr>
              <w:t>6,437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left="23" w:right="24"/>
              <w:rPr>
                <w:sz w:val="21"/>
              </w:rPr>
            </w:pPr>
            <w:r>
              <w:rPr>
                <w:spacing w:val="-2"/>
                <w:sz w:val="21"/>
              </w:rPr>
              <w:t>46,109</w:t>
            </w:r>
          </w:p>
        </w:tc>
        <w:tc>
          <w:tcPr>
            <w:tcW w:w="1171" w:type="dxa"/>
          </w:tcPr>
          <w:p>
            <w:pPr>
              <w:pStyle w:val="TableParagraph"/>
              <w:spacing w:before="6"/>
              <w:ind w:left="0" w:right="1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left="17" w:right="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58,908</w:t>
            </w:r>
          </w:p>
        </w:tc>
      </w:tr>
      <w:tr>
        <w:trPr>
          <w:trHeight w:val="476" w:hRule="atLeast"/>
        </w:trPr>
        <w:tc>
          <w:tcPr>
            <w:tcW w:w="2996" w:type="dxa"/>
          </w:tcPr>
          <w:p>
            <w:pPr>
              <w:pStyle w:val="TableParagraph"/>
              <w:spacing w:line="239" w:lineRule="exact"/>
              <w:ind w:left="358"/>
              <w:jc w:val="left"/>
              <w:rPr>
                <w:sz w:val="21"/>
              </w:rPr>
            </w:pPr>
            <w:r>
              <w:rPr>
                <w:sz w:val="21"/>
              </w:rPr>
              <w:t>Confirmed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Opioid-</w:t>
            </w:r>
            <w:r>
              <w:rPr>
                <w:spacing w:val="-2"/>
                <w:sz w:val="21"/>
              </w:rPr>
              <w:t>Related</w:t>
            </w:r>
          </w:p>
          <w:p>
            <w:pPr>
              <w:pStyle w:val="TableParagraph"/>
              <w:spacing w:line="218" w:lineRule="exact"/>
              <w:ind w:left="261"/>
              <w:jc w:val="left"/>
              <w:rPr>
                <w:sz w:val="21"/>
              </w:rPr>
            </w:pPr>
            <w:r>
              <w:rPr>
                <w:sz w:val="21"/>
              </w:rPr>
              <w:t>Overdose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Deaths,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All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Intents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16" w:right="21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802" w:type="dxa"/>
          </w:tcPr>
          <w:p>
            <w:pPr>
              <w:pStyle w:val="TableParagraph"/>
              <w:spacing w:before="102"/>
              <w:ind w:left="13" w:right="13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818" w:type="dxa"/>
          </w:tcPr>
          <w:p>
            <w:pPr>
              <w:pStyle w:val="TableParagraph"/>
              <w:spacing w:before="102"/>
              <w:rPr>
                <w:sz w:val="21"/>
              </w:rPr>
            </w:pPr>
            <w:r>
              <w:rPr>
                <w:spacing w:val="-5"/>
                <w:sz w:val="21"/>
              </w:rPr>
              <w:t>513</w:t>
            </w:r>
          </w:p>
        </w:tc>
        <w:tc>
          <w:tcPr>
            <w:tcW w:w="818" w:type="dxa"/>
          </w:tcPr>
          <w:p>
            <w:pPr>
              <w:pStyle w:val="TableParagraph"/>
              <w:spacing w:before="102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427</w:t>
            </w:r>
          </w:p>
        </w:tc>
        <w:tc>
          <w:tcPr>
            <w:tcW w:w="802" w:type="dxa"/>
          </w:tcPr>
          <w:p>
            <w:pPr>
              <w:pStyle w:val="TableParagraph"/>
              <w:spacing w:before="102"/>
              <w:ind w:left="13" w:right="6"/>
              <w:rPr>
                <w:sz w:val="21"/>
              </w:rPr>
            </w:pPr>
            <w:r>
              <w:rPr>
                <w:spacing w:val="-5"/>
                <w:sz w:val="21"/>
              </w:rPr>
              <w:t>343</w:t>
            </w:r>
          </w:p>
        </w:tc>
        <w:tc>
          <w:tcPr>
            <w:tcW w:w="898" w:type="dxa"/>
          </w:tcPr>
          <w:p>
            <w:pPr>
              <w:pStyle w:val="TableParagraph"/>
              <w:spacing w:before="102"/>
              <w:ind w:left="39"/>
              <w:rPr>
                <w:sz w:val="21"/>
              </w:rPr>
            </w:pPr>
            <w:r>
              <w:rPr>
                <w:spacing w:val="-5"/>
                <w:sz w:val="21"/>
              </w:rPr>
              <w:t>204</w:t>
            </w:r>
          </w:p>
        </w:tc>
        <w:tc>
          <w:tcPr>
            <w:tcW w:w="915" w:type="dxa"/>
          </w:tcPr>
          <w:p>
            <w:pPr>
              <w:pStyle w:val="TableParagraph"/>
              <w:spacing w:before="102"/>
              <w:ind w:left="28" w:right="24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02"/>
              <w:ind w:left="0" w:right="19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915" w:type="dxa"/>
          </w:tcPr>
          <w:p>
            <w:pPr>
              <w:pStyle w:val="TableParagraph"/>
              <w:spacing w:before="102"/>
              <w:ind w:left="17" w:righ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1,617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567001</wp:posOffset>
            </wp:positionH>
            <wp:positionV relativeFrom="paragraph">
              <wp:posOffset>195669</wp:posOffset>
            </wp:positionV>
            <wp:extent cx="6697475" cy="409651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475" cy="409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header="0" w:footer="922" w:top="1120" w:bottom="1120" w:left="580" w:right="200"/>
        </w:sectPr>
      </w:pPr>
    </w:p>
    <w:p>
      <w:pPr>
        <w:spacing w:line="353" w:lineRule="exact" w:before="25"/>
        <w:ind w:left="0" w:right="281" w:firstLine="0"/>
        <w:jc w:val="center"/>
        <w:rPr>
          <w:b/>
          <w:sz w:val="29"/>
        </w:rPr>
      </w:pPr>
      <w:r>
        <w:rPr>
          <w:b/>
          <w:sz w:val="29"/>
        </w:rPr>
        <w:t>Confirmed</w:t>
      </w:r>
      <w:r>
        <w:rPr>
          <w:b/>
          <w:spacing w:val="-16"/>
          <w:sz w:val="29"/>
        </w:rPr>
        <w:t> </w:t>
      </w:r>
      <w:r>
        <w:rPr>
          <w:b/>
          <w:sz w:val="29"/>
        </w:rPr>
        <w:t>Opioid-Related</w:t>
      </w:r>
      <w:r>
        <w:rPr>
          <w:b/>
          <w:spacing w:val="-12"/>
          <w:sz w:val="29"/>
        </w:rPr>
        <w:t> </w:t>
      </w:r>
      <w:r>
        <w:rPr>
          <w:b/>
          <w:sz w:val="29"/>
        </w:rPr>
        <w:t>Overdose</w:t>
      </w:r>
      <w:r>
        <w:rPr>
          <w:b/>
          <w:spacing w:val="-15"/>
          <w:sz w:val="29"/>
        </w:rPr>
        <w:t> </w:t>
      </w:r>
      <w:r>
        <w:rPr>
          <w:b/>
          <w:sz w:val="29"/>
        </w:rPr>
        <w:t>Deaths,</w:t>
      </w:r>
      <w:r>
        <w:rPr>
          <w:b/>
          <w:spacing w:val="-12"/>
          <w:sz w:val="29"/>
        </w:rPr>
        <w:t> </w:t>
      </w:r>
      <w:r>
        <w:rPr>
          <w:b/>
          <w:sz w:val="29"/>
        </w:rPr>
        <w:t>All</w:t>
      </w:r>
      <w:r>
        <w:rPr>
          <w:b/>
          <w:spacing w:val="-16"/>
          <w:sz w:val="29"/>
        </w:rPr>
        <w:t> </w:t>
      </w:r>
      <w:r>
        <w:rPr>
          <w:b/>
          <w:spacing w:val="-2"/>
          <w:sz w:val="29"/>
        </w:rPr>
        <w:t>Intents</w:t>
      </w:r>
    </w:p>
    <w:p>
      <w:pPr>
        <w:spacing w:line="353" w:lineRule="exact" w:before="0"/>
        <w:ind w:left="63" w:right="281" w:firstLine="0"/>
        <w:jc w:val="center"/>
        <w:rPr>
          <w:b/>
          <w:sz w:val="29"/>
        </w:rPr>
      </w:pPr>
      <w:r>
        <w:rPr>
          <w:b/>
          <w:sz w:val="29"/>
        </w:rPr>
        <w:t>Compared</w:t>
      </w:r>
      <w:r>
        <w:rPr>
          <w:b/>
          <w:spacing w:val="-4"/>
          <w:sz w:val="29"/>
        </w:rPr>
        <w:t> </w:t>
      </w:r>
      <w:r>
        <w:rPr>
          <w:b/>
          <w:sz w:val="29"/>
        </w:rPr>
        <w:t>to</w:t>
      </w:r>
      <w:r>
        <w:rPr>
          <w:b/>
          <w:spacing w:val="-4"/>
          <w:sz w:val="29"/>
        </w:rPr>
        <w:t> </w:t>
      </w:r>
      <w:r>
        <w:rPr>
          <w:b/>
          <w:sz w:val="29"/>
        </w:rPr>
        <w:t>All</w:t>
      </w:r>
      <w:r>
        <w:rPr>
          <w:b/>
          <w:spacing w:val="-15"/>
          <w:sz w:val="29"/>
        </w:rPr>
        <w:t> </w:t>
      </w:r>
      <w:r>
        <w:rPr>
          <w:b/>
          <w:sz w:val="29"/>
        </w:rPr>
        <w:t>Deaths</w:t>
      </w:r>
      <w:r>
        <w:rPr>
          <w:b/>
          <w:spacing w:val="-11"/>
          <w:sz w:val="29"/>
        </w:rPr>
        <w:t> </w:t>
      </w:r>
      <w:r>
        <w:rPr>
          <w:b/>
          <w:sz w:val="29"/>
        </w:rPr>
        <w:t>by</w:t>
      </w:r>
      <w:r>
        <w:rPr>
          <w:b/>
          <w:spacing w:val="-3"/>
          <w:sz w:val="29"/>
        </w:rPr>
        <w:t> </w:t>
      </w:r>
      <w:r>
        <w:rPr>
          <w:b/>
          <w:sz w:val="29"/>
        </w:rPr>
        <w:t>Race</w:t>
      </w:r>
      <w:r>
        <w:rPr>
          <w:b/>
          <w:spacing w:val="-3"/>
          <w:sz w:val="29"/>
        </w:rPr>
        <w:t> </w:t>
      </w:r>
      <w:r>
        <w:rPr>
          <w:b/>
          <w:sz w:val="29"/>
        </w:rPr>
        <w:t>and</w:t>
      </w:r>
      <w:r>
        <w:rPr>
          <w:b/>
          <w:spacing w:val="-4"/>
          <w:sz w:val="29"/>
        </w:rPr>
        <w:t> </w:t>
      </w:r>
      <w:r>
        <w:rPr>
          <w:b/>
          <w:sz w:val="29"/>
        </w:rPr>
        <w:t>Hispanic</w:t>
      </w:r>
      <w:r>
        <w:rPr>
          <w:b/>
          <w:spacing w:val="-2"/>
          <w:sz w:val="29"/>
        </w:rPr>
        <w:t> </w:t>
      </w:r>
      <w:r>
        <w:rPr>
          <w:b/>
          <w:sz w:val="29"/>
        </w:rPr>
        <w:t>Ethnicity:</w:t>
      </w:r>
      <w:r>
        <w:rPr>
          <w:b/>
          <w:spacing w:val="-8"/>
          <w:sz w:val="29"/>
        </w:rPr>
        <w:t> </w:t>
      </w:r>
      <w:r>
        <w:rPr>
          <w:b/>
          <w:sz w:val="29"/>
        </w:rPr>
        <w:t>January</w:t>
      </w:r>
      <w:r>
        <w:rPr>
          <w:b/>
          <w:spacing w:val="-2"/>
          <w:sz w:val="29"/>
        </w:rPr>
        <w:t> </w:t>
      </w:r>
      <w:r>
        <w:rPr>
          <w:b/>
          <w:sz w:val="29"/>
        </w:rPr>
        <w:t>2018-December</w:t>
      </w:r>
      <w:r>
        <w:rPr>
          <w:b/>
          <w:spacing w:val="-13"/>
          <w:sz w:val="29"/>
        </w:rPr>
        <w:t> </w:t>
      </w:r>
      <w:r>
        <w:rPr>
          <w:b/>
          <w:spacing w:val="-4"/>
          <w:sz w:val="29"/>
        </w:rPr>
        <w:t>2018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9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6"/>
        <w:gridCol w:w="1234"/>
        <w:gridCol w:w="993"/>
        <w:gridCol w:w="977"/>
        <w:gridCol w:w="993"/>
        <w:gridCol w:w="1105"/>
        <w:gridCol w:w="961"/>
      </w:tblGrid>
      <w:tr>
        <w:trPr>
          <w:trHeight w:val="797" w:hRule="atLeast"/>
        </w:trPr>
        <w:tc>
          <w:tcPr>
            <w:tcW w:w="291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233" w:lineRule="exact"/>
              <w:ind w:left="20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White</w:t>
            </w:r>
          </w:p>
          <w:p>
            <w:pPr>
              <w:pStyle w:val="TableParagraph"/>
              <w:spacing w:before="3"/>
              <w:ind w:left="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67" w:lineRule="exact" w:before="4"/>
              <w:ind w:left="20" w:righ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43" w:right="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Black</w:t>
            </w:r>
          </w:p>
          <w:p>
            <w:pPr>
              <w:pStyle w:val="TableParagraph"/>
              <w:spacing w:before="3"/>
              <w:ind w:left="43" w:right="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67" w:lineRule="exact" w:before="4"/>
              <w:ind w:left="43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77" w:type="dxa"/>
          </w:tcPr>
          <w:p>
            <w:pPr>
              <w:pStyle w:val="TableParagraph"/>
              <w:spacing w:line="233" w:lineRule="exact"/>
              <w:ind w:right="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Asian</w:t>
            </w:r>
          </w:p>
          <w:p>
            <w:pPr>
              <w:pStyle w:val="TableParagraph"/>
              <w:spacing w:before="3"/>
              <w:ind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67" w:lineRule="exact" w:before="4"/>
              <w:ind w:left="33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93" w:type="dxa"/>
          </w:tcPr>
          <w:p>
            <w:pPr>
              <w:pStyle w:val="TableParagraph"/>
              <w:spacing w:before="237"/>
              <w:ind w:left="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1105" w:type="dxa"/>
          </w:tcPr>
          <w:p>
            <w:pPr>
              <w:pStyle w:val="TableParagraph"/>
              <w:spacing w:line="228" w:lineRule="auto" w:before="119"/>
              <w:ind w:left="118" w:right="75" w:firstLine="112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Other/ Unknown</w:t>
            </w:r>
          </w:p>
        </w:tc>
        <w:tc>
          <w:tcPr>
            <w:tcW w:w="961" w:type="dxa"/>
          </w:tcPr>
          <w:p>
            <w:pPr>
              <w:pStyle w:val="TableParagraph"/>
              <w:spacing w:before="237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2916" w:type="dxa"/>
          </w:tcPr>
          <w:p>
            <w:pPr>
              <w:pStyle w:val="TableParagraph"/>
              <w:spacing w:before="6"/>
              <w:ind w:left="15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Deaths</w:t>
            </w:r>
          </w:p>
        </w:tc>
        <w:tc>
          <w:tcPr>
            <w:tcW w:w="1234" w:type="dxa"/>
          </w:tcPr>
          <w:p>
            <w:pPr>
              <w:pStyle w:val="TableParagraph"/>
              <w:spacing w:before="6"/>
              <w:ind w:left="0" w:right="30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52,009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43" w:right="37"/>
              <w:rPr>
                <w:sz w:val="21"/>
              </w:rPr>
            </w:pPr>
            <w:r>
              <w:rPr>
                <w:spacing w:val="-2"/>
                <w:sz w:val="21"/>
              </w:rPr>
              <w:t>2,685</w:t>
            </w:r>
          </w:p>
        </w:tc>
        <w:tc>
          <w:tcPr>
            <w:tcW w:w="977" w:type="dxa"/>
          </w:tcPr>
          <w:p>
            <w:pPr>
              <w:pStyle w:val="TableParagraph"/>
              <w:spacing w:before="6"/>
              <w:ind w:right="33"/>
              <w:rPr>
                <w:sz w:val="21"/>
              </w:rPr>
            </w:pPr>
            <w:r>
              <w:rPr>
                <w:spacing w:val="-2"/>
                <w:sz w:val="21"/>
              </w:rPr>
              <w:t>1,216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43" w:right="36"/>
              <w:rPr>
                <w:sz w:val="21"/>
              </w:rPr>
            </w:pPr>
            <w:r>
              <w:rPr>
                <w:spacing w:val="-2"/>
                <w:sz w:val="21"/>
              </w:rPr>
              <w:t>2,347</w:t>
            </w:r>
          </w:p>
        </w:tc>
        <w:tc>
          <w:tcPr>
            <w:tcW w:w="1105" w:type="dxa"/>
          </w:tcPr>
          <w:p>
            <w:pPr>
              <w:pStyle w:val="TableParagraph"/>
              <w:spacing w:before="6"/>
              <w:ind w:left="31"/>
              <w:rPr>
                <w:sz w:val="21"/>
              </w:rPr>
            </w:pPr>
            <w:r>
              <w:rPr>
                <w:spacing w:val="-5"/>
                <w:sz w:val="21"/>
              </w:rPr>
              <w:t>651</w:t>
            </w:r>
          </w:p>
        </w:tc>
        <w:tc>
          <w:tcPr>
            <w:tcW w:w="961" w:type="dxa"/>
          </w:tcPr>
          <w:p>
            <w:pPr>
              <w:pStyle w:val="TableParagraph"/>
              <w:spacing w:before="6"/>
              <w:ind w:left="38" w:right="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58,908</w:t>
            </w:r>
          </w:p>
        </w:tc>
      </w:tr>
      <w:tr>
        <w:trPr>
          <w:trHeight w:val="684" w:hRule="atLeast"/>
        </w:trPr>
        <w:tc>
          <w:tcPr>
            <w:tcW w:w="2916" w:type="dxa"/>
          </w:tcPr>
          <w:p>
            <w:pPr>
              <w:pStyle w:val="TableParagraph"/>
              <w:spacing w:line="225" w:lineRule="auto" w:before="98"/>
              <w:ind w:left="230" w:firstLine="96"/>
              <w:jc w:val="left"/>
              <w:rPr>
                <w:sz w:val="21"/>
              </w:rPr>
            </w:pPr>
            <w:r>
              <w:rPr>
                <w:sz w:val="21"/>
              </w:rPr>
              <w:t>Confirmed Opioid-Related Overdose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Deaths,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All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Intents</w:t>
            </w:r>
          </w:p>
        </w:tc>
        <w:tc>
          <w:tcPr>
            <w:tcW w:w="1234" w:type="dxa"/>
          </w:tcPr>
          <w:p>
            <w:pPr>
              <w:pStyle w:val="TableParagraph"/>
              <w:spacing w:before="214"/>
              <w:ind w:left="0" w:right="3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1,304</w:t>
            </w:r>
          </w:p>
        </w:tc>
        <w:tc>
          <w:tcPr>
            <w:tcW w:w="993" w:type="dxa"/>
          </w:tcPr>
          <w:p>
            <w:pPr>
              <w:pStyle w:val="TableParagraph"/>
              <w:spacing w:before="214"/>
              <w:ind w:left="43" w:right="13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977" w:type="dxa"/>
          </w:tcPr>
          <w:p>
            <w:pPr>
              <w:pStyle w:val="TableParagraph"/>
              <w:spacing w:before="214"/>
              <w:ind w:right="13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993" w:type="dxa"/>
          </w:tcPr>
          <w:p>
            <w:pPr>
              <w:pStyle w:val="TableParagraph"/>
              <w:spacing w:before="214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194</w:t>
            </w:r>
          </w:p>
        </w:tc>
        <w:tc>
          <w:tcPr>
            <w:tcW w:w="1105" w:type="dxa"/>
          </w:tcPr>
          <w:p>
            <w:pPr>
              <w:pStyle w:val="TableParagraph"/>
              <w:spacing w:before="214"/>
              <w:ind w:left="31" w:right="15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spacing w:before="214"/>
              <w:ind w:left="38"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1,617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593929</wp:posOffset>
            </wp:positionH>
            <wp:positionV relativeFrom="paragraph">
              <wp:posOffset>231864</wp:posOffset>
            </wp:positionV>
            <wp:extent cx="6687097" cy="3803904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097" cy="380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header="0" w:footer="922" w:top="900" w:bottom="1120" w:left="580" w:right="200"/>
        </w:sectPr>
      </w:pPr>
    </w:p>
    <w:p>
      <w:pPr>
        <w:pStyle w:val="BodyText"/>
        <w:ind w:left="760"/>
        <w:rPr>
          <w:sz w:val="20"/>
        </w:rPr>
      </w:pPr>
      <w:r>
        <w:rPr>
          <w:sz w:val="20"/>
        </w:rPr>
        <w:drawing>
          <wp:inline distT="0" distB="0" distL="0" distR="0">
            <wp:extent cx="6064822" cy="292607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822" cy="292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727018</wp:posOffset>
            </wp:positionH>
            <wp:positionV relativeFrom="paragraph">
              <wp:posOffset>179755</wp:posOffset>
            </wp:positionV>
            <wp:extent cx="6330626" cy="2848356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626" cy="2848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28" w:lineRule="auto" w:before="19" w:after="0"/>
        <w:ind w:left="861" w:right="1458" w:hanging="353"/>
        <w:jc w:val="left"/>
        <w:rPr>
          <w:sz w:val="22"/>
        </w:rPr>
      </w:pPr>
      <w:r>
        <w:rPr>
          <w:sz w:val="22"/>
        </w:rPr>
        <w:t>Opioids</w:t>
      </w:r>
      <w:r>
        <w:rPr>
          <w:spacing w:val="4"/>
          <w:sz w:val="22"/>
        </w:rPr>
        <w:t> </w:t>
      </w:r>
      <w:r>
        <w:rPr>
          <w:sz w:val="22"/>
        </w:rPr>
        <w:t>include</w:t>
      </w:r>
      <w:r>
        <w:rPr>
          <w:spacing w:val="-9"/>
          <w:sz w:val="22"/>
        </w:rPr>
        <w:t> </w:t>
      </w:r>
      <w:r>
        <w:rPr>
          <w:sz w:val="22"/>
        </w:rPr>
        <w:t>heroin,</w:t>
      </w:r>
      <w:r>
        <w:rPr>
          <w:spacing w:val="-3"/>
          <w:sz w:val="22"/>
        </w:rPr>
        <w:t> </w:t>
      </w:r>
      <w:r>
        <w:rPr>
          <w:sz w:val="22"/>
        </w:rPr>
        <w:t>illicitly</w:t>
      </w:r>
      <w:r>
        <w:rPr>
          <w:spacing w:val="-1"/>
          <w:sz w:val="22"/>
        </w:rPr>
        <w:t> </w:t>
      </w:r>
      <w:r>
        <w:rPr>
          <w:sz w:val="22"/>
        </w:rPr>
        <w:t>manufactured</w:t>
      </w:r>
      <w:r>
        <w:rPr>
          <w:spacing w:val="-23"/>
          <w:sz w:val="22"/>
        </w:rPr>
        <w:t> </w:t>
      </w:r>
      <w:r>
        <w:rPr>
          <w:sz w:val="22"/>
        </w:rPr>
        <w:t>fentanyl,</w:t>
      </w:r>
      <w:r>
        <w:rPr>
          <w:spacing w:val="-3"/>
          <w:sz w:val="22"/>
        </w:rPr>
        <w:t> </w:t>
      </w:r>
      <w:r>
        <w:rPr>
          <w:sz w:val="22"/>
        </w:rPr>
        <w:t>opioid-based</w:t>
      </w:r>
      <w:r>
        <w:rPr>
          <w:spacing w:val="13"/>
          <w:sz w:val="22"/>
        </w:rPr>
        <w:t> </w:t>
      </w:r>
      <w:r>
        <w:rPr>
          <w:sz w:val="22"/>
        </w:rPr>
        <w:t>prescription</w:t>
      </w:r>
      <w:r>
        <w:rPr>
          <w:spacing w:val="-13"/>
          <w:sz w:val="22"/>
        </w:rPr>
        <w:t> </w:t>
      </w:r>
      <w:r>
        <w:rPr>
          <w:sz w:val="22"/>
        </w:rPr>
        <w:t>painkillers,</w:t>
      </w:r>
      <w:r>
        <w:rPr>
          <w:spacing w:val="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other unspecified opioids.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1" w:lineRule="auto" w:before="12" w:after="0"/>
        <w:ind w:left="861" w:right="650" w:hanging="353"/>
        <w:jc w:val="left"/>
        <w:rPr>
          <w:sz w:val="22"/>
        </w:rPr>
      </w:pPr>
      <w:r>
        <w:rPr>
          <w:sz w:val="22"/>
        </w:rPr>
        <w:t>2017-2018 death data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preliminary and subject</w:t>
      </w:r>
      <w:r>
        <w:rPr>
          <w:spacing w:val="39"/>
          <w:sz w:val="22"/>
        </w:rPr>
        <w:t> </w:t>
      </w:r>
      <w:r>
        <w:rPr>
          <w:sz w:val="22"/>
        </w:rPr>
        <w:t>to updates. Case reviews of deaths are</w:t>
      </w:r>
      <w:r>
        <w:rPr>
          <w:spacing w:val="-8"/>
          <w:sz w:val="22"/>
        </w:rPr>
        <w:t> </w:t>
      </w:r>
      <w:r>
        <w:rPr>
          <w:sz w:val="22"/>
        </w:rPr>
        <w:t>evaluated</w:t>
      </w:r>
      <w:r>
        <w:rPr>
          <w:spacing w:val="-15"/>
          <w:sz w:val="22"/>
        </w:rPr>
        <w:t> </w:t>
      </w:r>
      <w:r>
        <w:rPr>
          <w:sz w:val="22"/>
        </w:rPr>
        <w:t>and updated</w:t>
      </w:r>
      <w:r>
        <w:rPr>
          <w:spacing w:val="-8"/>
          <w:sz w:val="22"/>
        </w:rPr>
        <w:t> </w:t>
      </w:r>
      <w:r>
        <w:rPr>
          <w:sz w:val="22"/>
        </w:rPr>
        <w:t>on an</w:t>
      </w:r>
      <w:r>
        <w:rPr>
          <w:spacing w:val="-8"/>
          <w:sz w:val="22"/>
        </w:rPr>
        <w:t> </w:t>
      </w:r>
      <w:r>
        <w:rPr>
          <w:sz w:val="22"/>
        </w:rPr>
        <w:t>ongoing basis. A</w:t>
      </w:r>
      <w:r>
        <w:rPr>
          <w:spacing w:val="-4"/>
          <w:sz w:val="22"/>
        </w:rPr>
        <w:t> </w:t>
      </w:r>
      <w:r>
        <w:rPr>
          <w:sz w:val="22"/>
        </w:rPr>
        <w:t>large</w:t>
      </w:r>
      <w:r>
        <w:rPr>
          <w:spacing w:val="-18"/>
          <w:sz w:val="22"/>
        </w:rPr>
        <w:t> </w:t>
      </w:r>
      <w:r>
        <w:rPr>
          <w:sz w:val="22"/>
        </w:rPr>
        <w:t>number of deaths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yet to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assigned</w:t>
      </w:r>
      <w:r>
        <w:rPr>
          <w:spacing w:val="-3"/>
          <w:sz w:val="22"/>
        </w:rPr>
        <w:t> </w:t>
      </w:r>
      <w:r>
        <w:rPr>
          <w:sz w:val="22"/>
        </w:rPr>
        <w:t>final cause-of-death</w:t>
      </w:r>
      <w:r>
        <w:rPr>
          <w:spacing w:val="-8"/>
          <w:sz w:val="22"/>
        </w:rPr>
        <w:t> </w:t>
      </w:r>
      <w:r>
        <w:rPr>
          <w:sz w:val="22"/>
        </w:rPr>
        <w:t>codes. The information presented in this report </w:t>
      </w:r>
      <w:r>
        <w:rPr>
          <w:sz w:val="22"/>
          <w:u w:val="single"/>
        </w:rPr>
        <w:t>only</w:t>
      </w:r>
      <w:r>
        <w:rPr>
          <w:sz w:val="22"/>
          <w:u w:val="none"/>
        </w:rPr>
        <w:t> includes confirmed cases.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Data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updated on 1/15/2019.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1" w:lineRule="auto" w:before="6" w:after="0"/>
        <w:ind w:left="861" w:right="665" w:hanging="353"/>
        <w:jc w:val="left"/>
        <w:rPr>
          <w:sz w:val="22"/>
        </w:rPr>
      </w:pPr>
      <w:r>
        <w:rPr>
          <w:sz w:val="22"/>
        </w:rPr>
        <w:t>Beginning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 May</w:t>
      </w:r>
      <w:r>
        <w:rPr>
          <w:spacing w:val="-5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7"/>
          <w:sz w:val="22"/>
        </w:rPr>
        <w:t> </w:t>
      </w:r>
      <w:r>
        <w:rPr>
          <w:sz w:val="22"/>
        </w:rPr>
        <w:t>DPH</w:t>
      </w:r>
      <w:r>
        <w:rPr>
          <w:spacing w:val="-12"/>
          <w:sz w:val="22"/>
        </w:rPr>
        <w:t> </w:t>
      </w:r>
      <w:r>
        <w:rPr>
          <w:sz w:val="22"/>
        </w:rPr>
        <w:t>started</w:t>
      </w:r>
      <w:r>
        <w:rPr>
          <w:spacing w:val="-21"/>
          <w:sz w:val="22"/>
        </w:rPr>
        <w:t> </w:t>
      </w:r>
      <w:r>
        <w:rPr>
          <w:sz w:val="22"/>
        </w:rPr>
        <w:t>reporting opioid-related</w:t>
      </w:r>
      <w:r>
        <w:rPr>
          <w:spacing w:val="-5"/>
          <w:sz w:val="22"/>
        </w:rPr>
        <w:t> </w:t>
      </w:r>
      <w:r>
        <w:rPr>
          <w:sz w:val="22"/>
        </w:rPr>
        <w:t>deaths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20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intents,</w:t>
      </w:r>
      <w:r>
        <w:rPr>
          <w:spacing w:val="-7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includes unintentional/undetermined and suicide.</w:t>
      </w:r>
    </w:p>
    <w:p>
      <w:pPr>
        <w:spacing w:after="0" w:line="271" w:lineRule="auto"/>
        <w:jc w:val="left"/>
        <w:rPr>
          <w:sz w:val="22"/>
        </w:rPr>
        <w:sectPr>
          <w:pgSz w:w="12240" w:h="15840"/>
          <w:pgMar w:header="0" w:footer="922" w:top="1060" w:bottom="1120" w:left="580" w:right="200"/>
        </w:sectPr>
      </w:pPr>
    </w:p>
    <w:p>
      <w:pPr>
        <w:pStyle w:val="Heading1"/>
        <w:spacing w:before="47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9" w:after="0"/>
        <w:ind w:left="861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6"/>
          <w:sz w:val="22"/>
        </w:rPr>
        <w:t> </w:t>
      </w:r>
      <w:r>
        <w:rPr>
          <w:sz w:val="22"/>
        </w:rPr>
        <w:t>Registry</w:t>
      </w:r>
      <w:r>
        <w:rPr>
          <w:spacing w:val="-2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Vital</w:t>
      </w:r>
      <w:r>
        <w:rPr>
          <w:spacing w:val="-1"/>
          <w:sz w:val="22"/>
        </w:rPr>
        <w:t> </w:t>
      </w:r>
      <w:r>
        <w:rPr>
          <w:sz w:val="22"/>
        </w:rPr>
        <w:t>Records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Statistics,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MDPH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9" w:after="0"/>
        <w:ind w:left="861" w:right="620" w:hanging="353"/>
        <w:jc w:val="left"/>
        <w:rPr>
          <w:sz w:val="22"/>
        </w:rPr>
      </w:pPr>
      <w:r>
        <w:rPr>
          <w:sz w:val="22"/>
        </w:rPr>
        <w:t>Population Estimates:</w:t>
      </w:r>
      <w:r>
        <w:rPr>
          <w:spacing w:val="-12"/>
          <w:sz w:val="22"/>
        </w:rPr>
        <w:t> </w:t>
      </w:r>
      <w:r>
        <w:rPr>
          <w:sz w:val="22"/>
        </w:rPr>
        <w:t>Small</w:t>
      </w:r>
      <w:r>
        <w:rPr>
          <w:spacing w:val="-4"/>
          <w:sz w:val="22"/>
        </w:rPr>
        <w:t> </w:t>
      </w:r>
      <w:r>
        <w:rPr>
          <w:sz w:val="22"/>
        </w:rPr>
        <w:t>Area Population</w:t>
      </w:r>
      <w:r>
        <w:rPr>
          <w:spacing w:val="-6"/>
          <w:sz w:val="22"/>
        </w:rPr>
        <w:t> </w:t>
      </w:r>
      <w:r>
        <w:rPr>
          <w:sz w:val="22"/>
        </w:rPr>
        <w:t>Estimates</w:t>
      </w:r>
      <w:r>
        <w:rPr>
          <w:spacing w:val="-7"/>
          <w:sz w:val="22"/>
        </w:rPr>
        <w:t> </w:t>
      </w:r>
      <w:r>
        <w:rPr>
          <w:sz w:val="22"/>
        </w:rPr>
        <w:t>2011-2020,</w:t>
      </w:r>
      <w:r>
        <w:rPr>
          <w:spacing w:val="-8"/>
          <w:sz w:val="22"/>
        </w:rPr>
        <w:t> </w:t>
      </w:r>
      <w:r>
        <w:rPr>
          <w:sz w:val="22"/>
        </w:rPr>
        <w:t>version 2017, Massachusetts</w:t>
      </w:r>
      <w:r>
        <w:rPr>
          <w:spacing w:val="-8"/>
          <w:sz w:val="22"/>
        </w:rPr>
        <w:t> </w:t>
      </w:r>
      <w:r>
        <w:rPr>
          <w:sz w:val="22"/>
        </w:rPr>
        <w:t>Department</w:t>
      </w:r>
      <w:r>
        <w:rPr>
          <w:spacing w:val="-11"/>
          <w:sz w:val="22"/>
        </w:rPr>
        <w:t> </w:t>
      </w:r>
      <w:r>
        <w:rPr>
          <w:sz w:val="22"/>
        </w:rPr>
        <w:t>of Public</w:t>
      </w:r>
      <w:r>
        <w:rPr>
          <w:spacing w:val="31"/>
          <w:sz w:val="22"/>
        </w:rPr>
        <w:t> </w:t>
      </w:r>
      <w:r>
        <w:rPr>
          <w:sz w:val="22"/>
        </w:rPr>
        <w:t>Health, Bureau</w:t>
      </w:r>
      <w:r>
        <w:rPr>
          <w:spacing w:val="-18"/>
          <w:sz w:val="22"/>
        </w:rPr>
        <w:t> </w:t>
      </w:r>
      <w:r>
        <w:rPr>
          <w:sz w:val="22"/>
        </w:rPr>
        <w:t>of Environmental Health.</w:t>
      </w:r>
      <w:r>
        <w:rPr>
          <w:spacing w:val="-2"/>
          <w:sz w:val="22"/>
        </w:rPr>
        <w:t> </w:t>
      </w:r>
      <w:r>
        <w:rPr>
          <w:sz w:val="22"/>
        </w:rPr>
        <w:t>Population estimates</w:t>
      </w:r>
      <w:r>
        <w:rPr>
          <w:spacing w:val="-19"/>
          <w:sz w:val="22"/>
        </w:rPr>
        <w:t> </w:t>
      </w:r>
      <w:r>
        <w:rPr>
          <w:sz w:val="22"/>
        </w:rPr>
        <w:t>used for years following</w:t>
      </w:r>
      <w:r>
        <w:rPr>
          <w:spacing w:val="37"/>
          <w:sz w:val="22"/>
        </w:rPr>
        <w:t> </w:t>
      </w:r>
      <w:r>
        <w:rPr>
          <w:sz w:val="22"/>
        </w:rPr>
        <w:t>the decennial census were</w:t>
      </w:r>
      <w:r>
        <w:rPr>
          <w:spacing w:val="-9"/>
          <w:sz w:val="22"/>
        </w:rPr>
        <w:t> </w:t>
      </w:r>
      <w:r>
        <w:rPr>
          <w:sz w:val="22"/>
        </w:rPr>
        <w:t>developed by the University of Massachusetts Donahue</w:t>
      </w:r>
      <w:r>
        <w:rPr>
          <w:spacing w:val="-9"/>
          <w:sz w:val="22"/>
        </w:rPr>
        <w:t> </w:t>
      </w:r>
      <w:r>
        <w:rPr>
          <w:sz w:val="22"/>
        </w:rPr>
        <w:t>Institute (UMDI)</w:t>
      </w:r>
      <w:r>
        <w:rPr>
          <w:spacing w:val="-14"/>
          <w:sz w:val="22"/>
        </w:rPr>
        <w:t> </w:t>
      </w:r>
      <w:r>
        <w:rPr>
          <w:sz w:val="22"/>
        </w:rPr>
        <w:t>in partnership with the Massachusetts Department of Public Health, Bureau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Environmental Health.</w:t>
      </w:r>
    </w:p>
    <w:sectPr>
      <w:pgSz w:w="12240" w:h="15840"/>
      <w:pgMar w:header="0" w:footer="922" w:top="880" w:bottom="1120" w:left="5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7164451</wp:posOffset>
              </wp:positionH>
              <wp:positionV relativeFrom="page">
                <wp:posOffset>9333329</wp:posOffset>
              </wp:positionV>
              <wp:extent cx="2108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4.130005pt;margin-top:734.907837pt;width:16.6pt;height:10.95pt;mso-position-horizontal-relative:page;mso-position-vertical-relative:page;z-index:-158740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2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861" w:hanging="3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2024-12-30T22:00:31Z</dcterms:created>
  <dcterms:modified xsi:type="dcterms:W3CDTF">2024-12-30T22:00:31Z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