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0"/>
        <w:rPr>
          <w:rFonts w:ascii="Times New Roman"/>
          <w:sz w:val="20"/>
        </w:rPr>
      </w:pPr>
      <w:r>
        <w:rPr>
          <w:rFonts w:ascii="Times New Roman"/>
          <w:sz w:val="20"/>
        </w:rPr>
        <mc:AlternateContent>
          <mc:Choice Requires="wps">
            <w:drawing>
              <wp:inline distT="0" distB="0" distL="0" distR="0">
                <wp:extent cx="7023100" cy="1529080"/>
                <wp:effectExtent l="0" t="0" r="0" b="4444"/>
                <wp:docPr id="2" name="Group 2"/>
                <wp:cNvGraphicFramePr>
                  <a:graphicFrameLocks/>
                </wp:cNvGraphicFramePr>
                <a:graphic>
                  <a:graphicData uri="http://schemas.microsoft.com/office/word/2010/wordprocessingGroup">
                    <wpg:wgp>
                      <wpg:cNvPr id="2" name="Group 2"/>
                      <wpg:cNvGrpSpPr/>
                      <wpg:grpSpPr>
                        <a:xfrm>
                          <a:off x="0" y="0"/>
                          <a:ext cx="7023100" cy="1529080"/>
                          <a:chExt cx="7023100" cy="1529080"/>
                        </a:xfrm>
                      </wpg:grpSpPr>
                      <wps:wsp>
                        <wps:cNvPr id="3" name="Graphic 3"/>
                        <wps:cNvSpPr/>
                        <wps:spPr>
                          <a:xfrm>
                            <a:off x="6350" y="1256030"/>
                            <a:ext cx="7010400" cy="266700"/>
                          </a:xfrm>
                          <a:custGeom>
                            <a:avLst/>
                            <a:gdLst/>
                            <a:ahLst/>
                            <a:cxnLst/>
                            <a:rect l="l" t="t" r="r" b="b"/>
                            <a:pathLst>
                              <a:path w="7010400" h="266700">
                                <a:moveTo>
                                  <a:pt x="0" y="266700"/>
                                </a:moveTo>
                                <a:lnTo>
                                  <a:pt x="7010400" y="266700"/>
                                </a:lnTo>
                                <a:lnTo>
                                  <a:pt x="70104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31704" y="182046"/>
                            <a:ext cx="970020" cy="998418"/>
                          </a:xfrm>
                          <a:prstGeom prst="rect">
                            <a:avLst/>
                          </a:prstGeom>
                        </pic:spPr>
                      </pic:pic>
                      <wps:wsp>
                        <wps:cNvPr id="5" name="Textbox 5"/>
                        <wps:cNvSpPr txBox="1"/>
                        <wps:spPr>
                          <a:xfrm>
                            <a:off x="5481065" y="1359408"/>
                            <a:ext cx="1212215" cy="114300"/>
                          </a:xfrm>
                          <a:prstGeom prst="rect">
                            <a:avLst/>
                          </a:prstGeom>
                        </wps:spPr>
                        <wps:txbx>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2"/>
                                  <w:sz w:val="18"/>
                                </w:rPr>
                                <w:t> </w:t>
                              </w:r>
                              <w:r>
                                <w:rPr>
                                  <w:spacing w:val="-4"/>
                                  <w:sz w:val="18"/>
                                </w:rPr>
                                <w:t>2020</w:t>
                              </w:r>
                            </w:p>
                          </w:txbxContent>
                        </wps:txbx>
                        <wps:bodyPr wrap="square" lIns="0" tIns="0" rIns="0" bIns="0" rtlCol="0">
                          <a:noAutofit/>
                        </wps:bodyPr>
                      </wps:wsp>
                      <wps:wsp>
                        <wps:cNvPr id="6" name="Textbox 6"/>
                        <wps:cNvSpPr txBox="1"/>
                        <wps:spPr>
                          <a:xfrm>
                            <a:off x="46736"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7010400" cy="1249045"/>
                          </a:xfrm>
                          <a:prstGeom prst="rect">
                            <a:avLst/>
                          </a:prstGeom>
                          <a:ln w="12700">
                            <a:solidFill>
                              <a:srgbClr val="000000"/>
                            </a:solidFill>
                            <a:prstDash val="solid"/>
                          </a:ln>
                        </wps:spPr>
                        <wps:txbx>
                          <w:txbxContent>
                            <w:p>
                              <w:pPr>
                                <w:spacing w:before="271"/>
                                <w:ind w:left="2300" w:right="0" w:firstLine="36"/>
                                <w:jc w:val="left"/>
                                <w:rPr>
                                  <w:b/>
                                  <w:sz w:val="44"/>
                                </w:rPr>
                              </w:pPr>
                              <w:r>
                                <w:rPr>
                                  <w:b/>
                                  <w:color w:val="1F487C"/>
                                  <w:sz w:val="44"/>
                                </w:rPr>
                                <w:t>Opioid-Related</w:t>
                              </w:r>
                              <w:r>
                                <w:rPr>
                                  <w:b/>
                                  <w:color w:val="1F487C"/>
                                  <w:spacing w:val="-4"/>
                                  <w:sz w:val="44"/>
                                </w:rPr>
                                <w:t> </w:t>
                              </w:r>
                              <w:r>
                                <w:rPr>
                                  <w:b/>
                                  <w:color w:val="1F487C"/>
                                  <w:sz w:val="44"/>
                                </w:rPr>
                                <w:t>Overdose Deaths,</w:t>
                              </w:r>
                              <w:r>
                                <w:rPr>
                                  <w:b/>
                                  <w:color w:val="1F487C"/>
                                  <w:spacing w:val="-3"/>
                                  <w:sz w:val="44"/>
                                </w:rPr>
                                <w:t> </w:t>
                              </w:r>
                              <w:r>
                                <w:rPr>
                                  <w:b/>
                                  <w:color w:val="1F487C"/>
                                  <w:sz w:val="44"/>
                                </w:rPr>
                                <w:t>All</w:t>
                              </w:r>
                              <w:r>
                                <w:rPr>
                                  <w:b/>
                                  <w:color w:val="1F487C"/>
                                  <w:spacing w:val="-1"/>
                                  <w:sz w:val="44"/>
                                </w:rPr>
                                <w:t> </w:t>
                              </w:r>
                              <w:r>
                                <w:rPr>
                                  <w:b/>
                                  <w:color w:val="1F487C"/>
                                  <w:sz w:val="44"/>
                                </w:rPr>
                                <w:t>Intents, MA</w:t>
                              </w:r>
                              <w:r>
                                <w:rPr>
                                  <w:b/>
                                  <w:color w:val="1F487C"/>
                                  <w:spacing w:val="-14"/>
                                  <w:sz w:val="44"/>
                                </w:rPr>
                                <w:t> </w:t>
                              </w:r>
                              <w:r>
                                <w:rPr>
                                  <w:b/>
                                  <w:color w:val="1F487C"/>
                                  <w:sz w:val="44"/>
                                </w:rPr>
                                <w:t>Residents</w:t>
                              </w:r>
                              <w:r>
                                <w:rPr>
                                  <w:b/>
                                  <w:color w:val="1F487C"/>
                                  <w:spacing w:val="-12"/>
                                  <w:sz w:val="44"/>
                                </w:rPr>
                                <w:t> </w:t>
                              </w:r>
                              <w:r>
                                <w:rPr>
                                  <w:b/>
                                  <w:color w:val="1F487C"/>
                                  <w:sz w:val="44"/>
                                </w:rPr>
                                <w:t>–</w:t>
                              </w:r>
                              <w:r>
                                <w:rPr>
                                  <w:b/>
                                  <w:color w:val="1F487C"/>
                                  <w:spacing w:val="-12"/>
                                  <w:sz w:val="44"/>
                                </w:rPr>
                                <w:t> </w:t>
                              </w:r>
                              <w:r>
                                <w:rPr>
                                  <w:b/>
                                  <w:color w:val="1F487C"/>
                                  <w:sz w:val="44"/>
                                </w:rPr>
                                <w:t>Demographic</w:t>
                              </w:r>
                              <w:r>
                                <w:rPr>
                                  <w:b/>
                                  <w:color w:val="1F487C"/>
                                  <w:spacing w:val="-12"/>
                                  <w:sz w:val="44"/>
                                </w:rPr>
                                <w:t> </w:t>
                              </w:r>
                              <w:r>
                                <w:rPr>
                                  <w:b/>
                                  <w:color w:val="1F487C"/>
                                  <w:sz w:val="44"/>
                                </w:rPr>
                                <w:t>Data</w:t>
                              </w:r>
                              <w:r>
                                <w:rPr>
                                  <w:b/>
                                  <w:color w:val="1F487C"/>
                                  <w:spacing w:val="-13"/>
                                  <w:sz w:val="44"/>
                                </w:rPr>
                                <w:t> </w:t>
                              </w:r>
                              <w:r>
                                <w:rPr>
                                  <w:b/>
                                  <w:color w:val="1F487C"/>
                                  <w:spacing w:val="-2"/>
                                  <w:sz w:val="44"/>
                                </w:rPr>
                                <w:t>Highlights</w:t>
                              </w:r>
                            </w:p>
                          </w:txbxContent>
                        </wps:txbx>
                        <wps:bodyPr wrap="square" lIns="0" tIns="0" rIns="0" bIns="0" rtlCol="0">
                          <a:noAutofit/>
                        </wps:bodyPr>
                      </wps:wsp>
                    </wpg:wgp>
                  </a:graphicData>
                </a:graphic>
              </wp:inline>
            </w:drawing>
          </mc:Choice>
          <mc:Fallback>
            <w:pict>
              <v:group style="width:553pt;height:120.4pt;mso-position-horizontal-relative:char;mso-position-vertical-relative:line" id="docshapegroup2" coordorigin="0,0" coordsize="11060,2408">
                <v:rect style="position:absolute;left:10;top:1978;width:11040;height:420" id="docshape3" filled="false" stroked="true" strokeweight="1pt" strokecolor="#000000">
                  <v:stroke dashstyle="solid"/>
                </v:rect>
                <v:shape style="position:absolute;left:207;top:286;width:1528;height:1573" type="#_x0000_t75" id="docshape4" alt="DPH-logo-B&amp;W" stroked="false">
                  <v:imagedata r:id="rId6" o:title=""/>
                </v:shape>
                <v:shape style="position:absolute;left:8631;top:2140;width:1909;height:180" type="#_x0000_t202" id="docshape5" filled="false" stroked="false">
                  <v:textbox inset="0,0,0,0">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2"/>
                            <w:sz w:val="18"/>
                          </w:rPr>
                          <w:t> </w:t>
                        </w:r>
                        <w:r>
                          <w:rPr>
                            <w:spacing w:val="-4"/>
                            <w:sz w:val="18"/>
                          </w:rPr>
                          <w:t>2020</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1040;height:1967" type="#_x0000_t202" id="docshape7" filled="false" stroked="true" strokeweight="1pt" strokecolor="#000000">
                  <v:textbox inset="0,0,0,0">
                    <w:txbxContent>
                      <w:p>
                        <w:pPr>
                          <w:spacing w:before="271"/>
                          <w:ind w:left="2300" w:right="0" w:firstLine="36"/>
                          <w:jc w:val="left"/>
                          <w:rPr>
                            <w:b/>
                            <w:sz w:val="44"/>
                          </w:rPr>
                        </w:pPr>
                        <w:r>
                          <w:rPr>
                            <w:b/>
                            <w:color w:val="1F487C"/>
                            <w:sz w:val="44"/>
                          </w:rPr>
                          <w:t>Opioid-Related</w:t>
                        </w:r>
                        <w:r>
                          <w:rPr>
                            <w:b/>
                            <w:color w:val="1F487C"/>
                            <w:spacing w:val="-4"/>
                            <w:sz w:val="44"/>
                          </w:rPr>
                          <w:t> </w:t>
                        </w:r>
                        <w:r>
                          <w:rPr>
                            <w:b/>
                            <w:color w:val="1F487C"/>
                            <w:sz w:val="44"/>
                          </w:rPr>
                          <w:t>Overdose Deaths,</w:t>
                        </w:r>
                        <w:r>
                          <w:rPr>
                            <w:b/>
                            <w:color w:val="1F487C"/>
                            <w:spacing w:val="-3"/>
                            <w:sz w:val="44"/>
                          </w:rPr>
                          <w:t> </w:t>
                        </w:r>
                        <w:r>
                          <w:rPr>
                            <w:b/>
                            <w:color w:val="1F487C"/>
                            <w:sz w:val="44"/>
                          </w:rPr>
                          <w:t>All</w:t>
                        </w:r>
                        <w:r>
                          <w:rPr>
                            <w:b/>
                            <w:color w:val="1F487C"/>
                            <w:spacing w:val="-1"/>
                            <w:sz w:val="44"/>
                          </w:rPr>
                          <w:t> </w:t>
                        </w:r>
                        <w:r>
                          <w:rPr>
                            <w:b/>
                            <w:color w:val="1F487C"/>
                            <w:sz w:val="44"/>
                          </w:rPr>
                          <w:t>Intents, MA</w:t>
                        </w:r>
                        <w:r>
                          <w:rPr>
                            <w:b/>
                            <w:color w:val="1F487C"/>
                            <w:spacing w:val="-14"/>
                            <w:sz w:val="44"/>
                          </w:rPr>
                          <w:t> </w:t>
                        </w:r>
                        <w:r>
                          <w:rPr>
                            <w:b/>
                            <w:color w:val="1F487C"/>
                            <w:sz w:val="44"/>
                          </w:rPr>
                          <w:t>Residents</w:t>
                        </w:r>
                        <w:r>
                          <w:rPr>
                            <w:b/>
                            <w:color w:val="1F487C"/>
                            <w:spacing w:val="-12"/>
                            <w:sz w:val="44"/>
                          </w:rPr>
                          <w:t> </w:t>
                        </w:r>
                        <w:r>
                          <w:rPr>
                            <w:b/>
                            <w:color w:val="1F487C"/>
                            <w:sz w:val="44"/>
                          </w:rPr>
                          <w:t>–</w:t>
                        </w:r>
                        <w:r>
                          <w:rPr>
                            <w:b/>
                            <w:color w:val="1F487C"/>
                            <w:spacing w:val="-12"/>
                            <w:sz w:val="44"/>
                          </w:rPr>
                          <w:t> </w:t>
                        </w:r>
                        <w:r>
                          <w:rPr>
                            <w:b/>
                            <w:color w:val="1F487C"/>
                            <w:sz w:val="44"/>
                          </w:rPr>
                          <w:t>Demographic</w:t>
                        </w:r>
                        <w:r>
                          <w:rPr>
                            <w:b/>
                            <w:color w:val="1F487C"/>
                            <w:spacing w:val="-12"/>
                            <w:sz w:val="44"/>
                          </w:rPr>
                          <w:t> </w:t>
                        </w:r>
                        <w:r>
                          <w:rPr>
                            <w:b/>
                            <w:color w:val="1F487C"/>
                            <w:sz w:val="44"/>
                          </w:rPr>
                          <w:t>Data</w:t>
                        </w:r>
                        <w:r>
                          <w:rPr>
                            <w:b/>
                            <w:color w:val="1F487C"/>
                            <w:spacing w:val="-13"/>
                            <w:sz w:val="44"/>
                          </w:rPr>
                          <w:t> </w:t>
                        </w:r>
                        <w:r>
                          <w:rPr>
                            <w:b/>
                            <w:color w:val="1F487C"/>
                            <w:spacing w:val="-2"/>
                            <w:sz w:val="44"/>
                          </w:rPr>
                          <w:t>Highlights</w:t>
                        </w:r>
                      </w:p>
                    </w:txbxContent>
                  </v:textbox>
                  <v:stroke dashstyle="solid"/>
                  <w10:wrap type="none"/>
                </v:shape>
              </v:group>
            </w:pict>
          </mc:Fallback>
        </mc:AlternateContent>
      </w:r>
      <w:r>
        <w:rPr>
          <w:rFonts w:ascii="Times New Roman"/>
          <w:sz w:val="20"/>
        </w:rPr>
      </w:r>
    </w:p>
    <w:p>
      <w:pPr>
        <w:pStyle w:val="BodyText"/>
        <w:rPr>
          <w:rFonts w:ascii="Times New Roman"/>
        </w:rPr>
      </w:pPr>
    </w:p>
    <w:p>
      <w:pPr>
        <w:pStyle w:val="BodyText"/>
        <w:spacing w:before="34"/>
        <w:rPr>
          <w:rFonts w:ascii="Times New Roman"/>
        </w:rPr>
      </w:pPr>
    </w:p>
    <w:p>
      <w:pPr>
        <w:pStyle w:val="BodyText"/>
        <w:spacing w:before="1"/>
        <w:ind w:left="140"/>
      </w:pPr>
      <w:r>
        <w:rPr/>
        <w:t>This</w:t>
      </w:r>
      <w:r>
        <w:rPr>
          <w:spacing w:val="-1"/>
        </w:rPr>
        <w:t> </w:t>
      </w:r>
      <w:r>
        <w:rPr/>
        <w:t>data</w:t>
      </w:r>
      <w:r>
        <w:rPr>
          <w:spacing w:val="-1"/>
        </w:rPr>
        <w:t> </w:t>
      </w:r>
      <w:r>
        <w:rPr/>
        <w:t>brief</w:t>
      </w:r>
      <w:r>
        <w:rPr>
          <w:spacing w:val="-4"/>
        </w:rPr>
        <w:t> </w:t>
      </w:r>
      <w:r>
        <w:rPr/>
        <w:t>highlights</w:t>
      </w:r>
      <w:r>
        <w:rPr>
          <w:spacing w:val="-1"/>
        </w:rPr>
        <w:t> </w:t>
      </w:r>
      <w:r>
        <w:rPr/>
        <w:t>demographic</w:t>
      </w:r>
      <w:r>
        <w:rPr>
          <w:spacing w:val="-1"/>
        </w:rPr>
        <w:t> </w:t>
      </w:r>
      <w:r>
        <w:rPr/>
        <w:t>data</w:t>
      </w:r>
      <w:r>
        <w:rPr>
          <w:spacing w:val="-4"/>
        </w:rPr>
        <w:t> </w:t>
      </w:r>
      <w:r>
        <w:rPr/>
        <w:t>from</w:t>
      </w:r>
      <w:r>
        <w:rPr>
          <w:spacing w:val="-2"/>
        </w:rPr>
        <w:t> </w:t>
      </w:r>
      <w:r>
        <w:rPr/>
        <w:t>confirmed</w:t>
      </w:r>
      <w:r>
        <w:rPr>
          <w:spacing w:val="-2"/>
        </w:rPr>
        <w:t> </w:t>
      </w:r>
      <w:r>
        <w:rPr/>
        <w:t>opioid-related</w:t>
      </w:r>
      <w:r>
        <w:rPr>
          <w:spacing w:val="-4"/>
        </w:rPr>
        <w:t> </w:t>
      </w:r>
      <w:r>
        <w:rPr/>
        <w:t>overdose</w:t>
      </w:r>
      <w:r>
        <w:rPr>
          <w:spacing w:val="-1"/>
        </w:rPr>
        <w:t> </w:t>
      </w:r>
      <w:r>
        <w:rPr/>
        <w:t>deaths</w:t>
      </w:r>
      <w:r>
        <w:rPr>
          <w:spacing w:val="-1"/>
        </w:rPr>
        <w:t> </w:t>
      </w:r>
      <w:r>
        <w:rPr/>
        <w:t>for</w:t>
      </w:r>
      <w:r>
        <w:rPr>
          <w:spacing w:val="-1"/>
        </w:rPr>
        <w:t> </w:t>
      </w:r>
      <w:r>
        <w:rPr/>
        <w:t>all</w:t>
      </w:r>
      <w:r>
        <w:rPr>
          <w:spacing w:val="-5"/>
        </w:rPr>
        <w:t> </w:t>
      </w:r>
      <w:r>
        <w:rPr/>
        <w:t>intents,</w:t>
      </w:r>
      <w:r>
        <w:rPr>
          <w:spacing w:val="-3"/>
        </w:rPr>
        <w:t> </w:t>
      </w:r>
      <w:r>
        <w:rPr/>
        <w:t>from</w:t>
      </w:r>
      <w:r>
        <w:rPr>
          <w:spacing w:val="-3"/>
        </w:rPr>
        <w:t> </w:t>
      </w:r>
      <w:r>
        <w:rPr/>
        <w:t>January</w:t>
      </w:r>
      <w:r>
        <w:rPr>
          <w:spacing w:val="-2"/>
        </w:rPr>
        <w:t> </w:t>
      </w:r>
      <w:r>
        <w:rPr/>
        <w:t>2019 through December 2019.</w:t>
      </w:r>
    </w:p>
    <w:p>
      <w:pPr>
        <w:spacing w:line="242" w:lineRule="auto" w:before="231"/>
        <w:ind w:left="3817" w:right="1499" w:hanging="2204"/>
        <w:jc w:val="left"/>
        <w:rPr>
          <w:b/>
          <w:sz w:val="28"/>
        </w:rPr>
      </w:pPr>
      <w:r>
        <w:rPr>
          <w:b/>
          <w:sz w:val="28"/>
        </w:rPr>
        <w:t>Confirmed</w:t>
      </w:r>
      <w:r>
        <w:rPr>
          <w:b/>
          <w:spacing w:val="-4"/>
          <w:sz w:val="28"/>
        </w:rPr>
        <w:t> </w:t>
      </w:r>
      <w:r>
        <w:rPr>
          <w:b/>
          <w:sz w:val="28"/>
        </w:rPr>
        <w:t>Opioid-Related</w:t>
      </w:r>
      <w:r>
        <w:rPr>
          <w:b/>
          <w:spacing w:val="-5"/>
          <w:sz w:val="28"/>
        </w:rPr>
        <w:t> </w:t>
      </w:r>
      <w:r>
        <w:rPr>
          <w:b/>
          <w:sz w:val="28"/>
        </w:rPr>
        <w:t>Overdose</w:t>
      </w:r>
      <w:r>
        <w:rPr>
          <w:b/>
          <w:spacing w:val="-5"/>
          <w:sz w:val="28"/>
        </w:rPr>
        <w:t> </w:t>
      </w:r>
      <w:r>
        <w:rPr>
          <w:b/>
          <w:sz w:val="28"/>
        </w:rPr>
        <w:t>Deaths,</w:t>
      </w:r>
      <w:r>
        <w:rPr>
          <w:b/>
          <w:spacing w:val="-6"/>
          <w:sz w:val="28"/>
        </w:rPr>
        <w:t> </w:t>
      </w:r>
      <w:r>
        <w:rPr>
          <w:b/>
          <w:sz w:val="28"/>
        </w:rPr>
        <w:t>All</w:t>
      </w:r>
      <w:r>
        <w:rPr>
          <w:b/>
          <w:spacing w:val="-4"/>
          <w:sz w:val="28"/>
        </w:rPr>
        <w:t> </w:t>
      </w:r>
      <w:r>
        <w:rPr>
          <w:b/>
          <w:sz w:val="28"/>
        </w:rPr>
        <w:t>Intents,</w:t>
      </w:r>
      <w:r>
        <w:rPr>
          <w:b/>
          <w:spacing w:val="-6"/>
          <w:sz w:val="28"/>
        </w:rPr>
        <w:t> </w:t>
      </w:r>
      <w:r>
        <w:rPr>
          <w:b/>
          <w:sz w:val="28"/>
        </w:rPr>
        <w:t>by</w:t>
      </w:r>
      <w:r>
        <w:rPr>
          <w:b/>
          <w:spacing w:val="-6"/>
          <w:sz w:val="28"/>
        </w:rPr>
        <w:t> </w:t>
      </w:r>
      <w:r>
        <w:rPr>
          <w:b/>
          <w:sz w:val="28"/>
        </w:rPr>
        <w:t>Gender: January 2019-December 2019</w:t>
      </w:r>
    </w:p>
    <w:p>
      <w:pPr>
        <w:pStyle w:val="BodyText"/>
        <w:spacing w:before="8"/>
        <w:rPr>
          <w:b/>
          <w:sz w:val="14"/>
        </w:rPr>
      </w:pPr>
    </w:p>
    <w:tbl>
      <w:tblPr>
        <w:tblW w:w="0" w:type="auto"/>
        <w:jc w:val="left"/>
        <w:tblInd w:w="2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4491"/>
      </w:tblGrid>
      <w:tr>
        <w:trPr>
          <w:trHeight w:val="313" w:hRule="atLeast"/>
        </w:trPr>
        <w:tc>
          <w:tcPr>
            <w:tcW w:w="1666" w:type="dxa"/>
          </w:tcPr>
          <w:p>
            <w:pPr>
              <w:pStyle w:val="TableParagraph"/>
              <w:spacing w:line="240" w:lineRule="auto" w:before="20"/>
              <w:ind w:left="11" w:right="2"/>
              <w:rPr>
                <w:sz w:val="22"/>
              </w:rPr>
            </w:pPr>
            <w:r>
              <w:rPr>
                <w:spacing w:val="-4"/>
                <w:sz w:val="22"/>
              </w:rPr>
              <w:t>Male</w:t>
            </w:r>
          </w:p>
        </w:tc>
        <w:tc>
          <w:tcPr>
            <w:tcW w:w="4491" w:type="dxa"/>
          </w:tcPr>
          <w:p>
            <w:pPr>
              <w:pStyle w:val="TableParagraph"/>
              <w:spacing w:line="240" w:lineRule="auto" w:before="20"/>
              <w:ind w:left="11"/>
              <w:rPr>
                <w:sz w:val="22"/>
              </w:rPr>
            </w:pPr>
            <w:r>
              <w:rPr>
                <w:spacing w:val="-2"/>
                <w:sz w:val="22"/>
              </w:rPr>
              <w:t>1,147</w:t>
            </w:r>
          </w:p>
        </w:tc>
      </w:tr>
      <w:tr>
        <w:trPr>
          <w:trHeight w:val="316" w:hRule="atLeast"/>
        </w:trPr>
        <w:tc>
          <w:tcPr>
            <w:tcW w:w="1666" w:type="dxa"/>
          </w:tcPr>
          <w:p>
            <w:pPr>
              <w:pStyle w:val="TableParagraph"/>
              <w:spacing w:line="240" w:lineRule="auto" w:before="20"/>
              <w:ind w:left="11"/>
              <w:rPr>
                <w:sz w:val="22"/>
              </w:rPr>
            </w:pPr>
            <w:r>
              <w:rPr>
                <w:spacing w:val="-2"/>
                <w:sz w:val="22"/>
              </w:rPr>
              <w:t>Female</w:t>
            </w:r>
          </w:p>
        </w:tc>
        <w:tc>
          <w:tcPr>
            <w:tcW w:w="4491" w:type="dxa"/>
          </w:tcPr>
          <w:p>
            <w:pPr>
              <w:pStyle w:val="TableParagraph"/>
              <w:spacing w:line="240" w:lineRule="auto" w:before="20"/>
              <w:ind w:left="11"/>
              <w:rPr>
                <w:sz w:val="22"/>
              </w:rPr>
            </w:pPr>
            <w:r>
              <w:rPr>
                <w:spacing w:val="-5"/>
                <w:sz w:val="22"/>
              </w:rPr>
              <w:t>396</w:t>
            </w:r>
          </w:p>
        </w:tc>
      </w:tr>
      <w:tr>
        <w:trPr>
          <w:trHeight w:val="314" w:hRule="atLeast"/>
        </w:trPr>
        <w:tc>
          <w:tcPr>
            <w:tcW w:w="1666" w:type="dxa"/>
          </w:tcPr>
          <w:p>
            <w:pPr>
              <w:pStyle w:val="TableParagraph"/>
              <w:spacing w:line="240" w:lineRule="auto" w:before="20"/>
              <w:ind w:left="11" w:right="1"/>
              <w:rPr>
                <w:b/>
                <w:sz w:val="22"/>
              </w:rPr>
            </w:pPr>
            <w:r>
              <w:rPr>
                <w:b/>
                <w:spacing w:val="-2"/>
                <w:sz w:val="22"/>
              </w:rPr>
              <w:t>Total</w:t>
            </w:r>
          </w:p>
        </w:tc>
        <w:tc>
          <w:tcPr>
            <w:tcW w:w="4491" w:type="dxa"/>
          </w:tcPr>
          <w:p>
            <w:pPr>
              <w:pStyle w:val="TableParagraph"/>
              <w:spacing w:line="240" w:lineRule="auto" w:before="20"/>
              <w:ind w:left="11" w:right="1"/>
              <w:rPr>
                <w:b/>
                <w:sz w:val="22"/>
              </w:rPr>
            </w:pPr>
            <w:r>
              <w:rPr>
                <w:b/>
                <w:spacing w:val="-4"/>
                <w:sz w:val="22"/>
              </w:rPr>
              <w:t>1,543</w:t>
            </w:r>
          </w:p>
        </w:tc>
      </w:tr>
    </w:tbl>
    <w:p>
      <w:pPr>
        <w:pStyle w:val="BodyText"/>
        <w:spacing w:before="238"/>
        <w:rPr>
          <w:b/>
          <w:sz w:val="20"/>
        </w:rPr>
      </w:pPr>
      <w:r>
        <w:rPr/>
        <w:drawing>
          <wp:anchor distT="0" distB="0" distL="0" distR="0" allowOverlap="1" layoutInCell="1" locked="0" behindDoc="1" simplePos="0" relativeHeight="487588352">
            <wp:simplePos x="0" y="0"/>
            <wp:positionH relativeFrom="page">
              <wp:posOffset>894795</wp:posOffset>
            </wp:positionH>
            <wp:positionV relativeFrom="paragraph">
              <wp:posOffset>321399</wp:posOffset>
            </wp:positionV>
            <wp:extent cx="6028188" cy="2633472"/>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6028188" cy="2633472"/>
                    </a:xfrm>
                    <a:prstGeom prst="rect">
                      <a:avLst/>
                    </a:prstGeom>
                  </pic:spPr>
                </pic:pic>
              </a:graphicData>
            </a:graphic>
          </wp:anchor>
        </w:drawing>
      </w:r>
    </w:p>
    <w:p>
      <w:pPr>
        <w:spacing w:after="0"/>
        <w:rPr>
          <w:sz w:val="20"/>
        </w:rPr>
        <w:sectPr>
          <w:footerReference w:type="default" r:id="rId5"/>
          <w:type w:val="continuous"/>
          <w:pgSz w:w="12240" w:h="15840"/>
          <w:pgMar w:header="0" w:footer="920" w:top="960" w:bottom="1120" w:left="580" w:right="220"/>
          <w:pgNumType w:start="27"/>
        </w:sectPr>
      </w:pPr>
    </w:p>
    <w:p>
      <w:pPr>
        <w:spacing w:before="28"/>
        <w:ind w:left="1938" w:right="1499" w:firstLine="386"/>
        <w:jc w:val="left"/>
        <w:rPr>
          <w:b/>
          <w:sz w:val="28"/>
        </w:rPr>
      </w:pPr>
      <w:r>
        <w:rPr>
          <w:b/>
          <w:sz w:val="28"/>
        </w:rPr>
        <w:t>Confirmed Opioid-Related Overdose Deaths, All Intents Compared</w:t>
      </w:r>
      <w:r>
        <w:rPr>
          <w:b/>
          <w:spacing w:val="-4"/>
          <w:sz w:val="28"/>
        </w:rPr>
        <w:t> </w:t>
      </w:r>
      <w:r>
        <w:rPr>
          <w:b/>
          <w:sz w:val="28"/>
        </w:rPr>
        <w:t>to</w:t>
      </w:r>
      <w:r>
        <w:rPr>
          <w:b/>
          <w:spacing w:val="-4"/>
          <w:sz w:val="28"/>
        </w:rPr>
        <w:t> </w:t>
      </w:r>
      <w:r>
        <w:rPr>
          <w:b/>
          <w:sz w:val="28"/>
        </w:rPr>
        <w:t>All</w:t>
      </w:r>
      <w:r>
        <w:rPr>
          <w:b/>
          <w:spacing w:val="-4"/>
          <w:sz w:val="28"/>
        </w:rPr>
        <w:t> </w:t>
      </w:r>
      <w:r>
        <w:rPr>
          <w:b/>
          <w:sz w:val="28"/>
        </w:rPr>
        <w:t>Deaths</w:t>
      </w:r>
      <w:r>
        <w:rPr>
          <w:b/>
          <w:spacing w:val="-4"/>
          <w:sz w:val="28"/>
        </w:rPr>
        <w:t> </w:t>
      </w:r>
      <w:r>
        <w:rPr>
          <w:b/>
          <w:sz w:val="28"/>
        </w:rPr>
        <w:t>by</w:t>
      </w:r>
      <w:r>
        <w:rPr>
          <w:b/>
          <w:spacing w:val="-6"/>
          <w:sz w:val="28"/>
        </w:rPr>
        <w:t> </w:t>
      </w:r>
      <w:r>
        <w:rPr>
          <w:b/>
          <w:sz w:val="28"/>
        </w:rPr>
        <w:t>Age:</w:t>
      </w:r>
      <w:r>
        <w:rPr>
          <w:b/>
          <w:spacing w:val="-6"/>
          <w:sz w:val="28"/>
        </w:rPr>
        <w:t> </w:t>
      </w:r>
      <w:r>
        <w:rPr>
          <w:b/>
          <w:sz w:val="28"/>
        </w:rPr>
        <w:t>January</w:t>
      </w:r>
      <w:r>
        <w:rPr>
          <w:b/>
          <w:spacing w:val="-6"/>
          <w:sz w:val="28"/>
        </w:rPr>
        <w:t> </w:t>
      </w:r>
      <w:r>
        <w:rPr>
          <w:b/>
          <w:sz w:val="28"/>
        </w:rPr>
        <w:t>2019-December</w:t>
      </w:r>
      <w:r>
        <w:rPr>
          <w:b/>
          <w:spacing w:val="-5"/>
          <w:sz w:val="28"/>
        </w:rPr>
        <w:t> </w:t>
      </w:r>
      <w:r>
        <w:rPr>
          <w:b/>
          <w:sz w:val="28"/>
        </w:rPr>
        <w:t>2019</w:t>
      </w:r>
    </w:p>
    <w:p>
      <w:pPr>
        <w:pStyle w:val="BodyText"/>
        <w:rPr>
          <w:b/>
          <w:sz w:val="20"/>
        </w:rPr>
      </w:pPr>
    </w:p>
    <w:p>
      <w:pPr>
        <w:pStyle w:val="BodyText"/>
        <w:spacing w:before="238"/>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720"/>
        <w:gridCol w:w="808"/>
        <w:gridCol w:w="810"/>
        <w:gridCol w:w="808"/>
        <w:gridCol w:w="810"/>
        <w:gridCol w:w="899"/>
        <w:gridCol w:w="900"/>
        <w:gridCol w:w="1168"/>
        <w:gridCol w:w="914"/>
      </w:tblGrid>
      <w:tr>
        <w:trPr>
          <w:trHeight w:val="299" w:hRule="atLeast"/>
        </w:trPr>
        <w:tc>
          <w:tcPr>
            <w:tcW w:w="2988" w:type="dxa"/>
          </w:tcPr>
          <w:p>
            <w:pPr>
              <w:pStyle w:val="TableParagraph"/>
              <w:spacing w:line="240" w:lineRule="auto"/>
              <w:ind w:left="0"/>
              <w:jc w:val="left"/>
              <w:rPr>
                <w:rFonts w:ascii="Times New Roman"/>
                <w:sz w:val="22"/>
              </w:rPr>
            </w:pPr>
          </w:p>
        </w:tc>
        <w:tc>
          <w:tcPr>
            <w:tcW w:w="720" w:type="dxa"/>
          </w:tcPr>
          <w:p>
            <w:pPr>
              <w:pStyle w:val="TableParagraph"/>
              <w:spacing w:line="243" w:lineRule="exact"/>
              <w:ind w:left="6" w:right="3"/>
              <w:rPr>
                <w:b/>
                <w:sz w:val="20"/>
              </w:rPr>
            </w:pPr>
            <w:r>
              <w:rPr>
                <w:b/>
                <w:spacing w:val="-5"/>
                <w:sz w:val="20"/>
              </w:rPr>
              <w:t>&lt;15</w:t>
            </w:r>
          </w:p>
        </w:tc>
        <w:tc>
          <w:tcPr>
            <w:tcW w:w="808" w:type="dxa"/>
          </w:tcPr>
          <w:p>
            <w:pPr>
              <w:pStyle w:val="TableParagraph"/>
              <w:spacing w:line="243" w:lineRule="exact"/>
              <w:ind w:right="7"/>
              <w:rPr>
                <w:b/>
                <w:sz w:val="20"/>
              </w:rPr>
            </w:pPr>
            <w:r>
              <w:rPr>
                <w:b/>
                <w:spacing w:val="-2"/>
                <w:sz w:val="20"/>
              </w:rPr>
              <w:t>15-</w:t>
            </w:r>
            <w:r>
              <w:rPr>
                <w:b/>
                <w:spacing w:val="-7"/>
                <w:sz w:val="20"/>
              </w:rPr>
              <w:t>24</w:t>
            </w:r>
          </w:p>
        </w:tc>
        <w:tc>
          <w:tcPr>
            <w:tcW w:w="810" w:type="dxa"/>
          </w:tcPr>
          <w:p>
            <w:pPr>
              <w:pStyle w:val="TableParagraph"/>
              <w:spacing w:line="243" w:lineRule="exact"/>
              <w:ind w:left="14" w:right="7"/>
              <w:rPr>
                <w:b/>
                <w:sz w:val="20"/>
              </w:rPr>
            </w:pPr>
            <w:r>
              <w:rPr>
                <w:b/>
                <w:spacing w:val="-2"/>
                <w:sz w:val="20"/>
              </w:rPr>
              <w:t>25-</w:t>
            </w:r>
            <w:r>
              <w:rPr>
                <w:b/>
                <w:spacing w:val="-7"/>
                <w:sz w:val="20"/>
              </w:rPr>
              <w:t>34</w:t>
            </w:r>
          </w:p>
        </w:tc>
        <w:tc>
          <w:tcPr>
            <w:tcW w:w="808" w:type="dxa"/>
          </w:tcPr>
          <w:p>
            <w:pPr>
              <w:pStyle w:val="TableParagraph"/>
              <w:spacing w:line="243" w:lineRule="exact"/>
              <w:ind w:right="3"/>
              <w:rPr>
                <w:b/>
                <w:sz w:val="20"/>
              </w:rPr>
            </w:pPr>
            <w:r>
              <w:rPr>
                <w:b/>
                <w:spacing w:val="-2"/>
                <w:sz w:val="20"/>
              </w:rPr>
              <w:t>35-</w:t>
            </w:r>
            <w:r>
              <w:rPr>
                <w:b/>
                <w:spacing w:val="-7"/>
                <w:sz w:val="20"/>
              </w:rPr>
              <w:t>44</w:t>
            </w:r>
          </w:p>
        </w:tc>
        <w:tc>
          <w:tcPr>
            <w:tcW w:w="810" w:type="dxa"/>
          </w:tcPr>
          <w:p>
            <w:pPr>
              <w:pStyle w:val="TableParagraph"/>
              <w:spacing w:line="243" w:lineRule="exact"/>
              <w:ind w:left="14" w:right="2"/>
              <w:rPr>
                <w:b/>
                <w:sz w:val="20"/>
              </w:rPr>
            </w:pPr>
            <w:r>
              <w:rPr>
                <w:b/>
                <w:spacing w:val="-2"/>
                <w:sz w:val="20"/>
              </w:rPr>
              <w:t>45-</w:t>
            </w:r>
            <w:r>
              <w:rPr>
                <w:b/>
                <w:spacing w:val="-7"/>
                <w:sz w:val="20"/>
              </w:rPr>
              <w:t>54</w:t>
            </w:r>
          </w:p>
        </w:tc>
        <w:tc>
          <w:tcPr>
            <w:tcW w:w="899" w:type="dxa"/>
          </w:tcPr>
          <w:p>
            <w:pPr>
              <w:pStyle w:val="TableParagraph"/>
              <w:spacing w:line="243" w:lineRule="exact"/>
              <w:ind w:left="14" w:right="3"/>
              <w:rPr>
                <w:b/>
                <w:sz w:val="20"/>
              </w:rPr>
            </w:pPr>
            <w:r>
              <w:rPr>
                <w:b/>
                <w:spacing w:val="-2"/>
                <w:sz w:val="20"/>
              </w:rPr>
              <w:t>55-</w:t>
            </w:r>
            <w:r>
              <w:rPr>
                <w:b/>
                <w:spacing w:val="-7"/>
                <w:sz w:val="20"/>
              </w:rPr>
              <w:t>64</w:t>
            </w:r>
          </w:p>
        </w:tc>
        <w:tc>
          <w:tcPr>
            <w:tcW w:w="900" w:type="dxa"/>
          </w:tcPr>
          <w:p>
            <w:pPr>
              <w:pStyle w:val="TableParagraph"/>
              <w:spacing w:line="243" w:lineRule="exact"/>
              <w:ind w:left="15" w:right="2"/>
              <w:rPr>
                <w:b/>
                <w:sz w:val="20"/>
              </w:rPr>
            </w:pPr>
            <w:r>
              <w:rPr>
                <w:b/>
                <w:spacing w:val="-5"/>
                <w:sz w:val="20"/>
              </w:rPr>
              <w:t>65+</w:t>
            </w:r>
          </w:p>
        </w:tc>
        <w:tc>
          <w:tcPr>
            <w:tcW w:w="1168" w:type="dxa"/>
          </w:tcPr>
          <w:p>
            <w:pPr>
              <w:pStyle w:val="TableParagraph"/>
              <w:spacing w:line="243" w:lineRule="exact"/>
              <w:ind w:left="19"/>
              <w:rPr>
                <w:b/>
                <w:sz w:val="20"/>
              </w:rPr>
            </w:pPr>
            <w:r>
              <w:rPr>
                <w:b/>
                <w:spacing w:val="-2"/>
                <w:sz w:val="20"/>
              </w:rPr>
              <w:t>Unknown</w:t>
            </w:r>
          </w:p>
        </w:tc>
        <w:tc>
          <w:tcPr>
            <w:tcW w:w="914" w:type="dxa"/>
          </w:tcPr>
          <w:p>
            <w:pPr>
              <w:pStyle w:val="TableParagraph"/>
              <w:spacing w:line="243" w:lineRule="exact"/>
              <w:ind w:left="23"/>
              <w:rPr>
                <w:b/>
                <w:sz w:val="20"/>
              </w:rPr>
            </w:pPr>
            <w:r>
              <w:rPr>
                <w:b/>
                <w:spacing w:val="-2"/>
                <w:sz w:val="20"/>
              </w:rPr>
              <w:t>Total</w:t>
            </w:r>
          </w:p>
        </w:tc>
      </w:tr>
      <w:tr>
        <w:trPr>
          <w:trHeight w:val="302" w:hRule="atLeast"/>
        </w:trPr>
        <w:tc>
          <w:tcPr>
            <w:tcW w:w="2988" w:type="dxa"/>
          </w:tcPr>
          <w:p>
            <w:pPr>
              <w:pStyle w:val="TableParagraph"/>
              <w:spacing w:line="240" w:lineRule="auto" w:before="27"/>
              <w:ind w:left="6"/>
              <w:rPr>
                <w:sz w:val="20"/>
              </w:rPr>
            </w:pPr>
            <w:r>
              <w:rPr>
                <w:sz w:val="20"/>
              </w:rPr>
              <w:t>All</w:t>
            </w:r>
            <w:r>
              <w:rPr>
                <w:spacing w:val="-4"/>
                <w:sz w:val="20"/>
              </w:rPr>
              <w:t> </w:t>
            </w:r>
            <w:r>
              <w:rPr>
                <w:spacing w:val="-2"/>
                <w:sz w:val="20"/>
              </w:rPr>
              <w:t>Deaths</w:t>
            </w:r>
          </w:p>
        </w:tc>
        <w:tc>
          <w:tcPr>
            <w:tcW w:w="720" w:type="dxa"/>
          </w:tcPr>
          <w:p>
            <w:pPr>
              <w:pStyle w:val="TableParagraph"/>
              <w:spacing w:before="56"/>
              <w:ind w:left="6" w:right="6"/>
              <w:rPr>
                <w:sz w:val="20"/>
              </w:rPr>
            </w:pPr>
            <w:r>
              <w:rPr>
                <w:spacing w:val="-5"/>
                <w:sz w:val="20"/>
              </w:rPr>
              <w:t>335</w:t>
            </w:r>
          </w:p>
        </w:tc>
        <w:tc>
          <w:tcPr>
            <w:tcW w:w="808" w:type="dxa"/>
          </w:tcPr>
          <w:p>
            <w:pPr>
              <w:pStyle w:val="TableParagraph"/>
              <w:spacing w:before="56"/>
              <w:ind w:right="4"/>
              <w:rPr>
                <w:sz w:val="20"/>
              </w:rPr>
            </w:pPr>
            <w:r>
              <w:rPr>
                <w:spacing w:val="-5"/>
                <w:sz w:val="20"/>
              </w:rPr>
              <w:t>376</w:t>
            </w:r>
          </w:p>
        </w:tc>
        <w:tc>
          <w:tcPr>
            <w:tcW w:w="810" w:type="dxa"/>
          </w:tcPr>
          <w:p>
            <w:pPr>
              <w:pStyle w:val="TableParagraph"/>
              <w:spacing w:before="56"/>
              <w:ind w:left="14" w:right="7"/>
              <w:rPr>
                <w:sz w:val="20"/>
              </w:rPr>
            </w:pPr>
            <w:r>
              <w:rPr>
                <w:spacing w:val="-2"/>
                <w:sz w:val="20"/>
              </w:rPr>
              <w:t>1,125</w:t>
            </w:r>
          </w:p>
        </w:tc>
        <w:tc>
          <w:tcPr>
            <w:tcW w:w="808" w:type="dxa"/>
          </w:tcPr>
          <w:p>
            <w:pPr>
              <w:pStyle w:val="TableParagraph"/>
              <w:spacing w:before="56"/>
              <w:ind w:right="3"/>
              <w:rPr>
                <w:sz w:val="20"/>
              </w:rPr>
            </w:pPr>
            <w:r>
              <w:rPr>
                <w:spacing w:val="-2"/>
                <w:sz w:val="20"/>
              </w:rPr>
              <w:t>1,413</w:t>
            </w:r>
          </w:p>
        </w:tc>
        <w:tc>
          <w:tcPr>
            <w:tcW w:w="810" w:type="dxa"/>
          </w:tcPr>
          <w:p>
            <w:pPr>
              <w:pStyle w:val="TableParagraph"/>
              <w:spacing w:before="56"/>
              <w:ind w:left="14" w:right="2"/>
              <w:rPr>
                <w:sz w:val="20"/>
              </w:rPr>
            </w:pPr>
            <w:r>
              <w:rPr>
                <w:spacing w:val="-2"/>
                <w:sz w:val="20"/>
              </w:rPr>
              <w:t>2,798</w:t>
            </w:r>
          </w:p>
        </w:tc>
        <w:tc>
          <w:tcPr>
            <w:tcW w:w="899" w:type="dxa"/>
          </w:tcPr>
          <w:p>
            <w:pPr>
              <w:pStyle w:val="TableParagraph"/>
              <w:spacing w:before="56"/>
              <w:ind w:left="14" w:right="3"/>
              <w:rPr>
                <w:sz w:val="20"/>
              </w:rPr>
            </w:pPr>
            <w:r>
              <w:rPr>
                <w:spacing w:val="-2"/>
                <w:sz w:val="20"/>
              </w:rPr>
              <w:t>6,325</w:t>
            </w:r>
          </w:p>
        </w:tc>
        <w:tc>
          <w:tcPr>
            <w:tcW w:w="900" w:type="dxa"/>
          </w:tcPr>
          <w:p>
            <w:pPr>
              <w:pStyle w:val="TableParagraph"/>
              <w:spacing w:before="56"/>
              <w:ind w:left="15" w:right="2"/>
              <w:rPr>
                <w:sz w:val="20"/>
              </w:rPr>
            </w:pPr>
            <w:r>
              <w:rPr>
                <w:spacing w:val="-2"/>
                <w:sz w:val="20"/>
              </w:rPr>
              <w:t>44,871</w:t>
            </w:r>
          </w:p>
        </w:tc>
        <w:tc>
          <w:tcPr>
            <w:tcW w:w="1168" w:type="dxa"/>
          </w:tcPr>
          <w:p>
            <w:pPr>
              <w:pStyle w:val="TableParagraph"/>
              <w:spacing w:before="56"/>
              <w:ind w:left="19" w:right="2"/>
              <w:rPr>
                <w:sz w:val="20"/>
              </w:rPr>
            </w:pPr>
            <w:r>
              <w:rPr>
                <w:spacing w:val="-10"/>
                <w:sz w:val="20"/>
              </w:rPr>
              <w:t>2</w:t>
            </w:r>
          </w:p>
        </w:tc>
        <w:tc>
          <w:tcPr>
            <w:tcW w:w="914" w:type="dxa"/>
          </w:tcPr>
          <w:p>
            <w:pPr>
              <w:pStyle w:val="TableParagraph"/>
              <w:spacing w:before="56"/>
              <w:ind w:left="23"/>
              <w:rPr>
                <w:b/>
                <w:sz w:val="20"/>
              </w:rPr>
            </w:pPr>
            <w:r>
              <w:rPr>
                <w:b/>
                <w:spacing w:val="-2"/>
                <w:sz w:val="20"/>
              </w:rPr>
              <w:t>57,245</w:t>
            </w:r>
          </w:p>
        </w:tc>
      </w:tr>
      <w:tr>
        <w:trPr>
          <w:trHeight w:val="486" w:hRule="atLeast"/>
        </w:trPr>
        <w:tc>
          <w:tcPr>
            <w:tcW w:w="2988" w:type="dxa"/>
          </w:tcPr>
          <w:p>
            <w:pPr>
              <w:pStyle w:val="TableParagraph"/>
              <w:spacing w:line="242" w:lineRule="exact"/>
              <w:ind w:left="429"/>
              <w:jc w:val="left"/>
              <w:rPr>
                <w:sz w:val="20"/>
              </w:rPr>
            </w:pPr>
            <w:r>
              <w:rPr>
                <w:spacing w:val="-2"/>
                <w:sz w:val="20"/>
              </w:rPr>
              <w:t>Confirmed</w:t>
            </w:r>
            <w:r>
              <w:rPr>
                <w:spacing w:val="13"/>
                <w:sz w:val="20"/>
              </w:rPr>
              <w:t> </w:t>
            </w:r>
            <w:r>
              <w:rPr>
                <w:spacing w:val="-2"/>
                <w:sz w:val="20"/>
              </w:rPr>
              <w:t>Opioid-Related</w:t>
            </w:r>
          </w:p>
          <w:p>
            <w:pPr>
              <w:pStyle w:val="TableParagraph"/>
              <w:ind w:left="335"/>
              <w:jc w:val="left"/>
              <w:rPr>
                <w:sz w:val="20"/>
              </w:rPr>
            </w:pPr>
            <w:r>
              <w:rPr>
                <w:sz w:val="20"/>
              </w:rPr>
              <w:t>Overdose</w:t>
            </w:r>
            <w:r>
              <w:rPr>
                <w:spacing w:val="-8"/>
                <w:sz w:val="20"/>
              </w:rPr>
              <w:t> </w:t>
            </w:r>
            <w:r>
              <w:rPr>
                <w:sz w:val="20"/>
              </w:rPr>
              <w:t>Deaths,</w:t>
            </w:r>
            <w:r>
              <w:rPr>
                <w:spacing w:val="-8"/>
                <w:sz w:val="20"/>
              </w:rPr>
              <w:t> </w:t>
            </w:r>
            <w:r>
              <w:rPr>
                <w:sz w:val="20"/>
              </w:rPr>
              <w:t>All</w:t>
            </w:r>
            <w:r>
              <w:rPr>
                <w:spacing w:val="-8"/>
                <w:sz w:val="20"/>
              </w:rPr>
              <w:t> </w:t>
            </w:r>
            <w:r>
              <w:rPr>
                <w:spacing w:val="-2"/>
                <w:sz w:val="20"/>
              </w:rPr>
              <w:t>Intents</w:t>
            </w:r>
          </w:p>
        </w:tc>
        <w:tc>
          <w:tcPr>
            <w:tcW w:w="720" w:type="dxa"/>
          </w:tcPr>
          <w:p>
            <w:pPr>
              <w:pStyle w:val="TableParagraph"/>
              <w:spacing w:before="241"/>
              <w:ind w:left="6"/>
              <w:rPr>
                <w:sz w:val="20"/>
              </w:rPr>
            </w:pPr>
            <w:r>
              <w:rPr>
                <w:spacing w:val="-10"/>
                <w:sz w:val="20"/>
              </w:rPr>
              <w:t>1</w:t>
            </w:r>
          </w:p>
        </w:tc>
        <w:tc>
          <w:tcPr>
            <w:tcW w:w="808" w:type="dxa"/>
          </w:tcPr>
          <w:p>
            <w:pPr>
              <w:pStyle w:val="TableParagraph"/>
              <w:spacing w:before="241"/>
              <w:ind w:right="4"/>
              <w:rPr>
                <w:sz w:val="20"/>
              </w:rPr>
            </w:pPr>
            <w:r>
              <w:rPr>
                <w:spacing w:val="-5"/>
                <w:sz w:val="20"/>
              </w:rPr>
              <w:t>87</w:t>
            </w:r>
          </w:p>
        </w:tc>
        <w:tc>
          <w:tcPr>
            <w:tcW w:w="810" w:type="dxa"/>
          </w:tcPr>
          <w:p>
            <w:pPr>
              <w:pStyle w:val="TableParagraph"/>
              <w:spacing w:before="241"/>
              <w:ind w:left="14" w:right="5"/>
              <w:rPr>
                <w:sz w:val="20"/>
              </w:rPr>
            </w:pPr>
            <w:r>
              <w:rPr>
                <w:spacing w:val="-5"/>
                <w:sz w:val="20"/>
              </w:rPr>
              <w:t>444</w:t>
            </w:r>
          </w:p>
        </w:tc>
        <w:tc>
          <w:tcPr>
            <w:tcW w:w="808" w:type="dxa"/>
          </w:tcPr>
          <w:p>
            <w:pPr>
              <w:pStyle w:val="TableParagraph"/>
              <w:spacing w:before="241"/>
              <w:rPr>
                <w:sz w:val="20"/>
              </w:rPr>
            </w:pPr>
            <w:r>
              <w:rPr>
                <w:spacing w:val="-5"/>
                <w:sz w:val="20"/>
              </w:rPr>
              <w:t>391</w:t>
            </w:r>
          </w:p>
        </w:tc>
        <w:tc>
          <w:tcPr>
            <w:tcW w:w="810" w:type="dxa"/>
          </w:tcPr>
          <w:p>
            <w:pPr>
              <w:pStyle w:val="TableParagraph"/>
              <w:spacing w:before="241"/>
              <w:ind w:left="14"/>
              <w:rPr>
                <w:sz w:val="20"/>
              </w:rPr>
            </w:pPr>
            <w:r>
              <w:rPr>
                <w:spacing w:val="-5"/>
                <w:sz w:val="20"/>
              </w:rPr>
              <w:t>345</w:t>
            </w:r>
          </w:p>
        </w:tc>
        <w:tc>
          <w:tcPr>
            <w:tcW w:w="899" w:type="dxa"/>
          </w:tcPr>
          <w:p>
            <w:pPr>
              <w:pStyle w:val="TableParagraph"/>
              <w:spacing w:before="241"/>
              <w:ind w:left="14"/>
              <w:rPr>
                <w:sz w:val="20"/>
              </w:rPr>
            </w:pPr>
            <w:r>
              <w:rPr>
                <w:spacing w:val="-5"/>
                <w:sz w:val="20"/>
              </w:rPr>
              <w:t>228</w:t>
            </w:r>
          </w:p>
        </w:tc>
        <w:tc>
          <w:tcPr>
            <w:tcW w:w="900" w:type="dxa"/>
          </w:tcPr>
          <w:p>
            <w:pPr>
              <w:pStyle w:val="TableParagraph"/>
              <w:spacing w:before="241"/>
              <w:ind w:left="15"/>
              <w:rPr>
                <w:sz w:val="20"/>
              </w:rPr>
            </w:pPr>
            <w:r>
              <w:rPr>
                <w:spacing w:val="-5"/>
                <w:sz w:val="20"/>
              </w:rPr>
              <w:t>47</w:t>
            </w:r>
          </w:p>
        </w:tc>
        <w:tc>
          <w:tcPr>
            <w:tcW w:w="1168" w:type="dxa"/>
          </w:tcPr>
          <w:p>
            <w:pPr>
              <w:pStyle w:val="TableParagraph"/>
              <w:spacing w:before="241"/>
              <w:ind w:left="19" w:right="2"/>
              <w:rPr>
                <w:sz w:val="20"/>
              </w:rPr>
            </w:pPr>
            <w:r>
              <w:rPr>
                <w:spacing w:val="-10"/>
                <w:sz w:val="20"/>
              </w:rPr>
              <w:t>0</w:t>
            </w:r>
          </w:p>
        </w:tc>
        <w:tc>
          <w:tcPr>
            <w:tcW w:w="914" w:type="dxa"/>
          </w:tcPr>
          <w:p>
            <w:pPr>
              <w:pStyle w:val="TableParagraph"/>
              <w:spacing w:before="241"/>
              <w:ind w:left="23" w:right="2"/>
              <w:rPr>
                <w:b/>
                <w:sz w:val="20"/>
              </w:rPr>
            </w:pPr>
            <w:r>
              <w:rPr>
                <w:b/>
                <w:spacing w:val="-2"/>
                <w:sz w:val="20"/>
              </w:rPr>
              <w:t>1,543</w:t>
            </w:r>
          </w:p>
        </w:tc>
      </w:tr>
    </w:tbl>
    <w:p>
      <w:pPr>
        <w:pStyle w:val="BodyText"/>
        <w:rPr>
          <w:b/>
          <w:sz w:val="20"/>
        </w:rPr>
      </w:pPr>
    </w:p>
    <w:p>
      <w:pPr>
        <w:pStyle w:val="BodyText"/>
        <w:rPr>
          <w:b/>
          <w:sz w:val="20"/>
        </w:rPr>
      </w:pPr>
    </w:p>
    <w:p>
      <w:pPr>
        <w:pStyle w:val="BodyText"/>
        <w:spacing w:before="36"/>
        <w:rPr>
          <w:b/>
          <w:sz w:val="20"/>
        </w:rPr>
      </w:pPr>
      <w:r>
        <w:rPr/>
        <w:drawing>
          <wp:anchor distT="0" distB="0" distL="0" distR="0" allowOverlap="1" layoutInCell="1" locked="0" behindDoc="1" simplePos="0" relativeHeight="487588864">
            <wp:simplePos x="0" y="0"/>
            <wp:positionH relativeFrom="page">
              <wp:posOffset>582371</wp:posOffset>
            </wp:positionH>
            <wp:positionV relativeFrom="paragraph">
              <wp:posOffset>193129</wp:posOffset>
            </wp:positionV>
            <wp:extent cx="6685663" cy="376732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685663" cy="3767328"/>
                    </a:xfrm>
                    <a:prstGeom prst="rect">
                      <a:avLst/>
                    </a:prstGeom>
                  </pic:spPr>
                </pic:pic>
              </a:graphicData>
            </a:graphic>
          </wp:anchor>
        </w:drawing>
      </w:r>
    </w:p>
    <w:p>
      <w:pPr>
        <w:spacing w:after="0"/>
        <w:rPr>
          <w:sz w:val="20"/>
        </w:rPr>
        <w:sectPr>
          <w:pgSz w:w="12240" w:h="15840"/>
          <w:pgMar w:header="0" w:footer="920" w:top="1140" w:bottom="1120" w:left="580" w:right="220"/>
        </w:sectPr>
      </w:pPr>
    </w:p>
    <w:p>
      <w:pPr>
        <w:spacing w:line="341" w:lineRule="exact" w:before="30"/>
        <w:ind w:left="0" w:right="268" w:firstLine="0"/>
        <w:jc w:val="center"/>
        <w:rPr>
          <w:b/>
          <w:sz w:val="28"/>
        </w:rPr>
      </w:pPr>
      <w:r>
        <w:rPr>
          <w:b/>
          <w:sz w:val="28"/>
        </w:rPr>
        <w:t>Confirmed</w:t>
      </w:r>
      <w:r>
        <w:rPr>
          <w:b/>
          <w:spacing w:val="-7"/>
          <w:sz w:val="28"/>
        </w:rPr>
        <w:t> </w:t>
      </w:r>
      <w:r>
        <w:rPr>
          <w:b/>
          <w:sz w:val="28"/>
        </w:rPr>
        <w:t>Opioid-Related</w:t>
      </w:r>
      <w:r>
        <w:rPr>
          <w:b/>
          <w:spacing w:val="-7"/>
          <w:sz w:val="28"/>
        </w:rPr>
        <w:t> </w:t>
      </w:r>
      <w:r>
        <w:rPr>
          <w:b/>
          <w:sz w:val="28"/>
        </w:rPr>
        <w:t>Overdose</w:t>
      </w:r>
      <w:r>
        <w:rPr>
          <w:b/>
          <w:spacing w:val="-7"/>
          <w:sz w:val="28"/>
        </w:rPr>
        <w:t> </w:t>
      </w:r>
      <w:r>
        <w:rPr>
          <w:b/>
          <w:sz w:val="28"/>
        </w:rPr>
        <w:t>Deaths,</w:t>
      </w:r>
      <w:r>
        <w:rPr>
          <w:b/>
          <w:spacing w:val="-8"/>
          <w:sz w:val="28"/>
        </w:rPr>
        <w:t> </w:t>
      </w:r>
      <w:r>
        <w:rPr>
          <w:b/>
          <w:sz w:val="28"/>
        </w:rPr>
        <w:t>All</w:t>
      </w:r>
      <w:r>
        <w:rPr>
          <w:b/>
          <w:spacing w:val="-5"/>
          <w:sz w:val="28"/>
        </w:rPr>
        <w:t> </w:t>
      </w:r>
      <w:r>
        <w:rPr>
          <w:b/>
          <w:spacing w:val="-2"/>
          <w:sz w:val="28"/>
        </w:rPr>
        <w:t>Intents</w:t>
      </w:r>
    </w:p>
    <w:p>
      <w:pPr>
        <w:spacing w:line="341" w:lineRule="exact" w:before="0"/>
        <w:ind w:left="62" w:right="268" w:firstLine="0"/>
        <w:jc w:val="center"/>
        <w:rPr>
          <w:b/>
          <w:sz w:val="28"/>
        </w:rPr>
      </w:pPr>
      <w:r>
        <w:rPr>
          <w:b/>
          <w:sz w:val="28"/>
        </w:rPr>
        <w:t>Compared</w:t>
      </w:r>
      <w:r>
        <w:rPr>
          <w:b/>
          <w:spacing w:val="-6"/>
          <w:sz w:val="28"/>
        </w:rPr>
        <w:t> </w:t>
      </w:r>
      <w:r>
        <w:rPr>
          <w:b/>
          <w:sz w:val="28"/>
        </w:rPr>
        <w:t>to</w:t>
      </w:r>
      <w:r>
        <w:rPr>
          <w:b/>
          <w:spacing w:val="-5"/>
          <w:sz w:val="28"/>
        </w:rPr>
        <w:t> </w:t>
      </w:r>
      <w:r>
        <w:rPr>
          <w:b/>
          <w:sz w:val="28"/>
        </w:rPr>
        <w:t>All</w:t>
      </w:r>
      <w:r>
        <w:rPr>
          <w:b/>
          <w:spacing w:val="-3"/>
          <w:sz w:val="28"/>
        </w:rPr>
        <w:t> </w:t>
      </w:r>
      <w:r>
        <w:rPr>
          <w:b/>
          <w:sz w:val="28"/>
        </w:rPr>
        <w:t>Deaths</w:t>
      </w:r>
      <w:r>
        <w:rPr>
          <w:b/>
          <w:spacing w:val="-4"/>
          <w:sz w:val="28"/>
        </w:rPr>
        <w:t> </w:t>
      </w:r>
      <w:r>
        <w:rPr>
          <w:b/>
          <w:sz w:val="28"/>
        </w:rPr>
        <w:t>by</w:t>
      </w:r>
      <w:r>
        <w:rPr>
          <w:b/>
          <w:spacing w:val="-6"/>
          <w:sz w:val="28"/>
        </w:rPr>
        <w:t> </w:t>
      </w:r>
      <w:r>
        <w:rPr>
          <w:b/>
          <w:sz w:val="28"/>
        </w:rPr>
        <w:t>Race</w:t>
      </w:r>
      <w:r>
        <w:rPr>
          <w:b/>
          <w:spacing w:val="-3"/>
          <w:sz w:val="28"/>
        </w:rPr>
        <w:t> </w:t>
      </w:r>
      <w:r>
        <w:rPr>
          <w:b/>
          <w:sz w:val="28"/>
        </w:rPr>
        <w:t>and</w:t>
      </w:r>
      <w:r>
        <w:rPr>
          <w:b/>
          <w:spacing w:val="-4"/>
          <w:sz w:val="28"/>
        </w:rPr>
        <w:t> </w:t>
      </w:r>
      <w:r>
        <w:rPr>
          <w:b/>
          <w:sz w:val="28"/>
        </w:rPr>
        <w:t>Hispanic</w:t>
      </w:r>
      <w:r>
        <w:rPr>
          <w:b/>
          <w:spacing w:val="-4"/>
          <w:sz w:val="28"/>
        </w:rPr>
        <w:t> </w:t>
      </w:r>
      <w:r>
        <w:rPr>
          <w:b/>
          <w:sz w:val="28"/>
        </w:rPr>
        <w:t>Ethnicity:</w:t>
      </w:r>
      <w:r>
        <w:rPr>
          <w:b/>
          <w:spacing w:val="-5"/>
          <w:sz w:val="28"/>
        </w:rPr>
        <w:t> </w:t>
      </w:r>
      <w:r>
        <w:rPr>
          <w:b/>
          <w:sz w:val="28"/>
        </w:rPr>
        <w:t>January</w:t>
      </w:r>
      <w:r>
        <w:rPr>
          <w:b/>
          <w:spacing w:val="-6"/>
          <w:sz w:val="28"/>
        </w:rPr>
        <w:t> </w:t>
      </w:r>
      <w:r>
        <w:rPr>
          <w:b/>
          <w:sz w:val="28"/>
        </w:rPr>
        <w:t>2019-December</w:t>
      </w:r>
      <w:r>
        <w:rPr>
          <w:b/>
          <w:spacing w:val="-4"/>
          <w:sz w:val="28"/>
        </w:rPr>
        <w:t> 2019</w:t>
      </w:r>
    </w:p>
    <w:p>
      <w:pPr>
        <w:pStyle w:val="BodyText"/>
        <w:rPr>
          <w:b/>
          <w:sz w:val="20"/>
        </w:rPr>
      </w:pPr>
    </w:p>
    <w:p>
      <w:pPr>
        <w:pStyle w:val="BodyText"/>
        <w:spacing w:before="1"/>
        <w:rPr>
          <w:b/>
          <w:sz w:val="20"/>
        </w:rPr>
      </w:pPr>
    </w:p>
    <w:tbl>
      <w:tblPr>
        <w:tblW w:w="0" w:type="auto"/>
        <w:jc w:val="left"/>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229"/>
        <w:gridCol w:w="989"/>
        <w:gridCol w:w="986"/>
        <w:gridCol w:w="988"/>
        <w:gridCol w:w="1101"/>
        <w:gridCol w:w="959"/>
      </w:tblGrid>
      <w:tr>
        <w:trPr>
          <w:trHeight w:val="805" w:hRule="atLeast"/>
        </w:trPr>
        <w:tc>
          <w:tcPr>
            <w:tcW w:w="2914" w:type="dxa"/>
          </w:tcPr>
          <w:p>
            <w:pPr>
              <w:pStyle w:val="TableParagraph"/>
              <w:spacing w:line="240" w:lineRule="auto"/>
              <w:ind w:left="0"/>
              <w:jc w:val="left"/>
              <w:rPr>
                <w:rFonts w:ascii="Times New Roman"/>
                <w:sz w:val="22"/>
              </w:rPr>
            </w:pPr>
          </w:p>
        </w:tc>
        <w:tc>
          <w:tcPr>
            <w:tcW w:w="1229" w:type="dxa"/>
          </w:tcPr>
          <w:p>
            <w:pPr>
              <w:pStyle w:val="TableParagraph"/>
              <w:spacing w:line="240" w:lineRule="auto"/>
              <w:ind w:left="403" w:right="324" w:hanging="70"/>
              <w:jc w:val="left"/>
              <w:rPr>
                <w:b/>
                <w:sz w:val="22"/>
              </w:rPr>
            </w:pPr>
            <w:r>
              <w:rPr>
                <w:b/>
                <w:spacing w:val="-2"/>
                <w:sz w:val="22"/>
              </w:rPr>
              <w:t>White </w:t>
            </w:r>
            <w:r>
              <w:rPr>
                <w:b/>
                <w:spacing w:val="-4"/>
                <w:sz w:val="22"/>
              </w:rPr>
              <w:t>non-</w:t>
            </w:r>
          </w:p>
          <w:p>
            <w:pPr>
              <w:pStyle w:val="TableParagraph"/>
              <w:spacing w:line="252" w:lineRule="exact"/>
              <w:ind w:left="227"/>
              <w:jc w:val="left"/>
              <w:rPr>
                <w:b/>
                <w:sz w:val="22"/>
              </w:rPr>
            </w:pPr>
            <w:r>
              <w:rPr>
                <w:b/>
                <w:spacing w:val="-2"/>
                <w:sz w:val="22"/>
              </w:rPr>
              <w:t>Hispanic</w:t>
            </w:r>
          </w:p>
        </w:tc>
        <w:tc>
          <w:tcPr>
            <w:tcW w:w="989" w:type="dxa"/>
          </w:tcPr>
          <w:p>
            <w:pPr>
              <w:pStyle w:val="TableParagraph"/>
              <w:spacing w:line="240" w:lineRule="auto"/>
              <w:ind w:left="251" w:right="238"/>
              <w:rPr>
                <w:b/>
                <w:sz w:val="22"/>
              </w:rPr>
            </w:pPr>
            <w:r>
              <w:rPr>
                <w:b/>
                <w:spacing w:val="-2"/>
                <w:sz w:val="22"/>
              </w:rPr>
              <w:t>Black </w:t>
            </w:r>
            <w:r>
              <w:rPr>
                <w:b/>
                <w:spacing w:val="-4"/>
                <w:sz w:val="22"/>
              </w:rPr>
              <w:t>non-</w:t>
            </w:r>
          </w:p>
          <w:p>
            <w:pPr>
              <w:pStyle w:val="TableParagraph"/>
              <w:spacing w:line="252" w:lineRule="exact"/>
              <w:ind w:left="7"/>
              <w:rPr>
                <w:b/>
                <w:sz w:val="22"/>
              </w:rPr>
            </w:pPr>
            <w:r>
              <w:rPr>
                <w:b/>
                <w:spacing w:val="-2"/>
                <w:sz w:val="22"/>
              </w:rPr>
              <w:t>Hispanic</w:t>
            </w:r>
          </w:p>
        </w:tc>
        <w:tc>
          <w:tcPr>
            <w:tcW w:w="986" w:type="dxa"/>
          </w:tcPr>
          <w:p>
            <w:pPr>
              <w:pStyle w:val="TableParagraph"/>
              <w:spacing w:line="240" w:lineRule="auto"/>
              <w:ind w:left="239" w:right="229"/>
              <w:rPr>
                <w:b/>
                <w:sz w:val="22"/>
              </w:rPr>
            </w:pPr>
            <w:r>
              <w:rPr>
                <w:b/>
                <w:spacing w:val="-2"/>
                <w:sz w:val="22"/>
              </w:rPr>
              <w:t>Asian </w:t>
            </w:r>
            <w:r>
              <w:rPr>
                <w:b/>
                <w:spacing w:val="-4"/>
                <w:sz w:val="22"/>
              </w:rPr>
              <w:t>non-</w:t>
            </w:r>
          </w:p>
          <w:p>
            <w:pPr>
              <w:pStyle w:val="TableParagraph"/>
              <w:spacing w:line="252" w:lineRule="exact"/>
              <w:ind w:left="6"/>
              <w:rPr>
                <w:b/>
                <w:sz w:val="22"/>
              </w:rPr>
            </w:pPr>
            <w:r>
              <w:rPr>
                <w:b/>
                <w:spacing w:val="-2"/>
                <w:sz w:val="22"/>
              </w:rPr>
              <w:t>Hispanic</w:t>
            </w:r>
          </w:p>
        </w:tc>
        <w:tc>
          <w:tcPr>
            <w:tcW w:w="988" w:type="dxa"/>
          </w:tcPr>
          <w:p>
            <w:pPr>
              <w:pStyle w:val="TableParagraph"/>
              <w:spacing w:line="240" w:lineRule="auto" w:before="265"/>
              <w:rPr>
                <w:b/>
                <w:sz w:val="22"/>
              </w:rPr>
            </w:pPr>
            <w:r>
              <w:rPr>
                <w:b/>
                <w:spacing w:val="-2"/>
                <w:sz w:val="22"/>
              </w:rPr>
              <w:t>Hispanic</w:t>
            </w:r>
          </w:p>
        </w:tc>
        <w:tc>
          <w:tcPr>
            <w:tcW w:w="1101" w:type="dxa"/>
          </w:tcPr>
          <w:p>
            <w:pPr>
              <w:pStyle w:val="TableParagraph"/>
              <w:spacing w:line="240" w:lineRule="auto" w:before="131"/>
              <w:ind w:left="109" w:right="90" w:firstLine="129"/>
              <w:jc w:val="left"/>
              <w:rPr>
                <w:b/>
                <w:sz w:val="22"/>
              </w:rPr>
            </w:pPr>
            <w:r>
              <w:rPr>
                <w:b/>
                <w:spacing w:val="-2"/>
                <w:sz w:val="22"/>
              </w:rPr>
              <w:t>Other/ Unknown</w:t>
            </w:r>
          </w:p>
        </w:tc>
        <w:tc>
          <w:tcPr>
            <w:tcW w:w="959" w:type="dxa"/>
          </w:tcPr>
          <w:p>
            <w:pPr>
              <w:pStyle w:val="TableParagraph"/>
              <w:spacing w:line="240" w:lineRule="auto" w:before="265"/>
              <w:ind w:left="16"/>
              <w:rPr>
                <w:b/>
                <w:sz w:val="22"/>
              </w:rPr>
            </w:pPr>
            <w:r>
              <w:rPr>
                <w:b/>
                <w:spacing w:val="-2"/>
                <w:sz w:val="22"/>
              </w:rPr>
              <w:t>Total</w:t>
            </w:r>
          </w:p>
        </w:tc>
      </w:tr>
      <w:tr>
        <w:trPr>
          <w:trHeight w:val="313" w:hRule="atLeast"/>
        </w:trPr>
        <w:tc>
          <w:tcPr>
            <w:tcW w:w="2914" w:type="dxa"/>
          </w:tcPr>
          <w:p>
            <w:pPr>
              <w:pStyle w:val="TableParagraph"/>
              <w:spacing w:line="240" w:lineRule="auto" w:before="35"/>
              <w:ind w:left="7"/>
              <w:rPr>
                <w:sz w:val="20"/>
              </w:rPr>
            </w:pPr>
            <w:r>
              <w:rPr>
                <w:sz w:val="20"/>
              </w:rPr>
              <w:t>All</w:t>
            </w:r>
            <w:r>
              <w:rPr>
                <w:spacing w:val="-4"/>
                <w:sz w:val="20"/>
              </w:rPr>
              <w:t> </w:t>
            </w:r>
            <w:r>
              <w:rPr>
                <w:spacing w:val="-2"/>
                <w:sz w:val="20"/>
              </w:rPr>
              <w:t>Deaths</w:t>
            </w:r>
          </w:p>
        </w:tc>
        <w:tc>
          <w:tcPr>
            <w:tcW w:w="1229" w:type="dxa"/>
          </w:tcPr>
          <w:p>
            <w:pPr>
              <w:pStyle w:val="TableParagraph"/>
              <w:spacing w:before="68"/>
              <w:ind w:left="7"/>
              <w:rPr>
                <w:sz w:val="20"/>
              </w:rPr>
            </w:pPr>
            <w:r>
              <w:rPr>
                <w:spacing w:val="-2"/>
                <w:sz w:val="20"/>
              </w:rPr>
              <w:t>50,317</w:t>
            </w:r>
          </w:p>
        </w:tc>
        <w:tc>
          <w:tcPr>
            <w:tcW w:w="989" w:type="dxa"/>
          </w:tcPr>
          <w:p>
            <w:pPr>
              <w:pStyle w:val="TableParagraph"/>
              <w:spacing w:before="68"/>
              <w:ind w:left="6"/>
              <w:rPr>
                <w:sz w:val="20"/>
              </w:rPr>
            </w:pPr>
            <w:r>
              <w:rPr>
                <w:spacing w:val="-2"/>
                <w:sz w:val="20"/>
              </w:rPr>
              <w:t>2,643</w:t>
            </w:r>
          </w:p>
        </w:tc>
        <w:tc>
          <w:tcPr>
            <w:tcW w:w="986" w:type="dxa"/>
          </w:tcPr>
          <w:p>
            <w:pPr>
              <w:pStyle w:val="TableParagraph"/>
              <w:spacing w:before="68"/>
              <w:ind w:left="5"/>
              <w:rPr>
                <w:sz w:val="20"/>
              </w:rPr>
            </w:pPr>
            <w:r>
              <w:rPr>
                <w:spacing w:val="-2"/>
                <w:sz w:val="20"/>
              </w:rPr>
              <w:t>1,239</w:t>
            </w:r>
          </w:p>
        </w:tc>
        <w:tc>
          <w:tcPr>
            <w:tcW w:w="988" w:type="dxa"/>
          </w:tcPr>
          <w:p>
            <w:pPr>
              <w:pStyle w:val="TableParagraph"/>
              <w:spacing w:before="68"/>
              <w:rPr>
                <w:sz w:val="20"/>
              </w:rPr>
            </w:pPr>
            <w:r>
              <w:rPr>
                <w:spacing w:val="-2"/>
                <w:sz w:val="20"/>
              </w:rPr>
              <w:t>2,448</w:t>
            </w:r>
          </w:p>
        </w:tc>
        <w:tc>
          <w:tcPr>
            <w:tcW w:w="1101" w:type="dxa"/>
          </w:tcPr>
          <w:p>
            <w:pPr>
              <w:pStyle w:val="TableParagraph"/>
              <w:spacing w:before="68"/>
              <w:ind w:left="10"/>
              <w:rPr>
                <w:sz w:val="20"/>
              </w:rPr>
            </w:pPr>
            <w:r>
              <w:rPr>
                <w:spacing w:val="-5"/>
                <w:sz w:val="20"/>
              </w:rPr>
              <w:t>598</w:t>
            </w:r>
          </w:p>
        </w:tc>
        <w:tc>
          <w:tcPr>
            <w:tcW w:w="959" w:type="dxa"/>
          </w:tcPr>
          <w:p>
            <w:pPr>
              <w:pStyle w:val="TableParagraph"/>
              <w:spacing w:before="68"/>
              <w:ind w:left="16" w:right="6"/>
              <w:rPr>
                <w:b/>
                <w:sz w:val="20"/>
              </w:rPr>
            </w:pPr>
            <w:r>
              <w:rPr>
                <w:b/>
                <w:spacing w:val="-2"/>
                <w:sz w:val="20"/>
              </w:rPr>
              <w:t>57,245</w:t>
            </w:r>
          </w:p>
        </w:tc>
      </w:tr>
      <w:tr>
        <w:trPr>
          <w:trHeight w:val="700" w:hRule="atLeast"/>
        </w:trPr>
        <w:tc>
          <w:tcPr>
            <w:tcW w:w="2914" w:type="dxa"/>
          </w:tcPr>
          <w:p>
            <w:pPr>
              <w:pStyle w:val="TableParagraph"/>
              <w:spacing w:line="240" w:lineRule="auto" w:before="104"/>
              <w:ind w:left="299" w:firstLine="93"/>
              <w:jc w:val="left"/>
              <w:rPr>
                <w:sz w:val="20"/>
              </w:rPr>
            </w:pPr>
            <w:r>
              <w:rPr>
                <w:sz w:val="20"/>
              </w:rPr>
              <w:t>Confirmed Opioid-Related Overdose</w:t>
            </w:r>
            <w:r>
              <w:rPr>
                <w:spacing w:val="-12"/>
                <w:sz w:val="20"/>
              </w:rPr>
              <w:t> </w:t>
            </w:r>
            <w:r>
              <w:rPr>
                <w:sz w:val="20"/>
              </w:rPr>
              <w:t>Deaths,</w:t>
            </w:r>
            <w:r>
              <w:rPr>
                <w:spacing w:val="-11"/>
                <w:sz w:val="20"/>
              </w:rPr>
              <w:t> </w:t>
            </w:r>
            <w:r>
              <w:rPr>
                <w:sz w:val="20"/>
              </w:rPr>
              <w:t>All</w:t>
            </w:r>
            <w:r>
              <w:rPr>
                <w:spacing w:val="-11"/>
                <w:sz w:val="20"/>
              </w:rPr>
              <w:t> </w:t>
            </w:r>
            <w:r>
              <w:rPr>
                <w:sz w:val="20"/>
              </w:rPr>
              <w:t>Intents</w:t>
            </w:r>
          </w:p>
        </w:tc>
        <w:tc>
          <w:tcPr>
            <w:tcW w:w="1229" w:type="dxa"/>
          </w:tcPr>
          <w:p>
            <w:pPr>
              <w:pStyle w:val="TableParagraph"/>
              <w:spacing w:line="240" w:lineRule="auto" w:before="210"/>
              <w:ind w:left="0"/>
              <w:jc w:val="left"/>
              <w:rPr>
                <w:b/>
                <w:sz w:val="20"/>
              </w:rPr>
            </w:pPr>
          </w:p>
          <w:p>
            <w:pPr>
              <w:pStyle w:val="TableParagraph"/>
              <w:spacing w:before="1"/>
              <w:ind w:left="7"/>
              <w:rPr>
                <w:sz w:val="20"/>
              </w:rPr>
            </w:pPr>
            <w:r>
              <w:rPr>
                <w:spacing w:val="-2"/>
                <w:sz w:val="20"/>
              </w:rPr>
              <w:t>1,225</w:t>
            </w:r>
          </w:p>
        </w:tc>
        <w:tc>
          <w:tcPr>
            <w:tcW w:w="989" w:type="dxa"/>
          </w:tcPr>
          <w:p>
            <w:pPr>
              <w:pStyle w:val="TableParagraph"/>
              <w:spacing w:line="240" w:lineRule="auto" w:before="210"/>
              <w:ind w:left="0"/>
              <w:jc w:val="left"/>
              <w:rPr>
                <w:b/>
                <w:sz w:val="20"/>
              </w:rPr>
            </w:pPr>
          </w:p>
          <w:p>
            <w:pPr>
              <w:pStyle w:val="TableParagraph"/>
              <w:spacing w:before="1"/>
              <w:rPr>
                <w:sz w:val="20"/>
              </w:rPr>
            </w:pPr>
            <w:r>
              <w:rPr>
                <w:spacing w:val="-5"/>
                <w:sz w:val="20"/>
              </w:rPr>
              <w:t>87</w:t>
            </w:r>
          </w:p>
        </w:tc>
        <w:tc>
          <w:tcPr>
            <w:tcW w:w="986" w:type="dxa"/>
          </w:tcPr>
          <w:p>
            <w:pPr>
              <w:pStyle w:val="TableParagraph"/>
              <w:spacing w:line="240" w:lineRule="auto" w:before="210"/>
              <w:ind w:left="0"/>
              <w:jc w:val="left"/>
              <w:rPr>
                <w:b/>
                <w:sz w:val="20"/>
              </w:rPr>
            </w:pPr>
          </w:p>
          <w:p>
            <w:pPr>
              <w:pStyle w:val="TableParagraph"/>
              <w:spacing w:before="1"/>
              <w:ind w:left="7"/>
              <w:rPr>
                <w:sz w:val="20"/>
              </w:rPr>
            </w:pPr>
            <w:r>
              <w:rPr>
                <w:spacing w:val="-5"/>
                <w:sz w:val="20"/>
              </w:rPr>
              <w:t>10</w:t>
            </w:r>
          </w:p>
        </w:tc>
        <w:tc>
          <w:tcPr>
            <w:tcW w:w="988" w:type="dxa"/>
          </w:tcPr>
          <w:p>
            <w:pPr>
              <w:pStyle w:val="TableParagraph"/>
              <w:spacing w:line="240" w:lineRule="auto" w:before="210"/>
              <w:ind w:left="0"/>
              <w:jc w:val="left"/>
              <w:rPr>
                <w:b/>
                <w:sz w:val="20"/>
              </w:rPr>
            </w:pPr>
          </w:p>
          <w:p>
            <w:pPr>
              <w:pStyle w:val="TableParagraph"/>
              <w:spacing w:before="1"/>
              <w:ind w:right="3"/>
              <w:rPr>
                <w:sz w:val="20"/>
              </w:rPr>
            </w:pPr>
            <w:r>
              <w:rPr>
                <w:spacing w:val="-5"/>
                <w:sz w:val="20"/>
              </w:rPr>
              <w:t>199</w:t>
            </w:r>
          </w:p>
        </w:tc>
        <w:tc>
          <w:tcPr>
            <w:tcW w:w="1101" w:type="dxa"/>
          </w:tcPr>
          <w:p>
            <w:pPr>
              <w:pStyle w:val="TableParagraph"/>
              <w:spacing w:line="240" w:lineRule="auto" w:before="210"/>
              <w:ind w:left="0"/>
              <w:jc w:val="left"/>
              <w:rPr>
                <w:b/>
                <w:sz w:val="20"/>
              </w:rPr>
            </w:pPr>
          </w:p>
          <w:p>
            <w:pPr>
              <w:pStyle w:val="TableParagraph"/>
              <w:spacing w:before="1"/>
              <w:ind w:left="10"/>
              <w:rPr>
                <w:sz w:val="20"/>
              </w:rPr>
            </w:pPr>
            <w:r>
              <w:rPr>
                <w:spacing w:val="-5"/>
                <w:sz w:val="20"/>
              </w:rPr>
              <w:t>22</w:t>
            </w:r>
          </w:p>
        </w:tc>
        <w:tc>
          <w:tcPr>
            <w:tcW w:w="959" w:type="dxa"/>
          </w:tcPr>
          <w:p>
            <w:pPr>
              <w:pStyle w:val="TableParagraph"/>
              <w:spacing w:line="240" w:lineRule="auto" w:before="210"/>
              <w:ind w:left="0"/>
              <w:jc w:val="left"/>
              <w:rPr>
                <w:b/>
                <w:sz w:val="20"/>
              </w:rPr>
            </w:pPr>
          </w:p>
          <w:p>
            <w:pPr>
              <w:pStyle w:val="TableParagraph"/>
              <w:spacing w:before="1"/>
              <w:ind w:left="16" w:right="3"/>
              <w:rPr>
                <w:b/>
                <w:sz w:val="20"/>
              </w:rPr>
            </w:pPr>
            <w:r>
              <w:rPr>
                <w:b/>
                <w:spacing w:val="-2"/>
                <w:sz w:val="20"/>
              </w:rPr>
              <w:t>1,543</w:t>
            </w:r>
          </w:p>
        </w:tc>
      </w:tr>
    </w:tbl>
    <w:p>
      <w:pPr>
        <w:pStyle w:val="BodyText"/>
        <w:rPr>
          <w:b/>
          <w:sz w:val="20"/>
        </w:rPr>
      </w:pPr>
    </w:p>
    <w:p>
      <w:pPr>
        <w:pStyle w:val="BodyText"/>
        <w:rPr>
          <w:b/>
          <w:sz w:val="20"/>
        </w:rPr>
      </w:pPr>
    </w:p>
    <w:p>
      <w:pPr>
        <w:pStyle w:val="BodyText"/>
        <w:spacing w:before="87"/>
        <w:rPr>
          <w:b/>
          <w:sz w:val="20"/>
        </w:rPr>
      </w:pPr>
      <w:r>
        <w:rPr/>
        <w:drawing>
          <wp:anchor distT="0" distB="0" distL="0" distR="0" allowOverlap="1" layoutInCell="1" locked="0" behindDoc="1" simplePos="0" relativeHeight="487589376">
            <wp:simplePos x="0" y="0"/>
            <wp:positionH relativeFrom="page">
              <wp:posOffset>598996</wp:posOffset>
            </wp:positionH>
            <wp:positionV relativeFrom="paragraph">
              <wp:posOffset>225514</wp:posOffset>
            </wp:positionV>
            <wp:extent cx="6597453" cy="374904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597453" cy="3749040"/>
                    </a:xfrm>
                    <a:prstGeom prst="rect">
                      <a:avLst/>
                    </a:prstGeom>
                  </pic:spPr>
                </pic:pic>
              </a:graphicData>
            </a:graphic>
          </wp:anchor>
        </w:drawing>
      </w:r>
    </w:p>
    <w:p>
      <w:pPr>
        <w:spacing w:after="0"/>
        <w:rPr>
          <w:sz w:val="20"/>
        </w:rPr>
        <w:sectPr>
          <w:pgSz w:w="12240" w:h="15840"/>
          <w:pgMar w:header="0" w:footer="920" w:top="920" w:bottom="1120" w:left="580" w:right="220"/>
        </w:sectPr>
      </w:pPr>
    </w:p>
    <w:p>
      <w:pPr>
        <w:pStyle w:val="BodyText"/>
        <w:ind w:left="961"/>
        <w:rPr>
          <w:sz w:val="20"/>
        </w:rPr>
      </w:pPr>
      <w:r>
        <w:rPr>
          <w:sz w:val="20"/>
        </w:rPr>
        <w:drawing>
          <wp:inline distT="0" distB="0" distL="0" distR="0">
            <wp:extent cx="5808607" cy="27432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5808607" cy="2743200"/>
                    </a:xfrm>
                    <a:prstGeom prst="rect">
                      <a:avLst/>
                    </a:prstGeom>
                  </pic:spPr>
                </pic:pic>
              </a:graphicData>
            </a:graphic>
          </wp:inline>
        </w:drawing>
      </w:r>
      <w:r>
        <w:rPr>
          <w:sz w:val="20"/>
        </w:rPr>
      </w:r>
    </w:p>
    <w:p>
      <w:pPr>
        <w:pStyle w:val="BodyText"/>
        <w:spacing w:before="34"/>
        <w:rPr>
          <w:b/>
          <w:sz w:val="20"/>
        </w:rPr>
      </w:pPr>
      <w:r>
        <w:rPr/>
        <w:drawing>
          <wp:anchor distT="0" distB="0" distL="0" distR="0" allowOverlap="1" layoutInCell="1" locked="0" behindDoc="1" simplePos="0" relativeHeight="487589888">
            <wp:simplePos x="0" y="0"/>
            <wp:positionH relativeFrom="page">
              <wp:posOffset>1066984</wp:posOffset>
            </wp:positionH>
            <wp:positionV relativeFrom="paragraph">
              <wp:posOffset>192404</wp:posOffset>
            </wp:positionV>
            <wp:extent cx="5666412" cy="2596896"/>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5666412" cy="2596896"/>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1066984</wp:posOffset>
            </wp:positionH>
            <wp:positionV relativeFrom="paragraph">
              <wp:posOffset>2911475</wp:posOffset>
            </wp:positionV>
            <wp:extent cx="5673493" cy="256032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5673493" cy="2560320"/>
                    </a:xfrm>
                    <a:prstGeom prst="rect">
                      <a:avLst/>
                    </a:prstGeom>
                  </pic:spPr>
                </pic:pic>
              </a:graphicData>
            </a:graphic>
          </wp:anchor>
        </w:drawing>
      </w:r>
    </w:p>
    <w:p>
      <w:pPr>
        <w:pStyle w:val="BodyText"/>
        <w:spacing w:before="9"/>
        <w:rPr>
          <w:b/>
          <w:sz w:val="13"/>
        </w:rPr>
      </w:pPr>
    </w:p>
    <w:p>
      <w:pPr>
        <w:spacing w:before="137"/>
        <w:ind w:left="860" w:right="0" w:firstLine="0"/>
        <w:jc w:val="left"/>
        <w:rPr>
          <w:sz w:val="20"/>
        </w:rPr>
      </w:pPr>
      <w:r>
        <w:rPr>
          <w:sz w:val="20"/>
        </w:rPr>
        <w:t>*Rate</w:t>
      </w:r>
      <w:r>
        <w:rPr>
          <w:spacing w:val="-6"/>
          <w:sz w:val="20"/>
        </w:rPr>
        <w:t> </w:t>
      </w:r>
      <w:r>
        <w:rPr>
          <w:sz w:val="20"/>
        </w:rPr>
        <w:t>calculations</w:t>
      </w:r>
      <w:r>
        <w:rPr>
          <w:spacing w:val="-5"/>
          <w:sz w:val="20"/>
        </w:rPr>
        <w:t> </w:t>
      </w:r>
      <w:r>
        <w:rPr>
          <w:sz w:val="20"/>
        </w:rPr>
        <w:t>based</w:t>
      </w:r>
      <w:r>
        <w:rPr>
          <w:spacing w:val="-5"/>
          <w:sz w:val="20"/>
        </w:rPr>
        <w:t> </w:t>
      </w:r>
      <w:r>
        <w:rPr>
          <w:sz w:val="20"/>
        </w:rPr>
        <w:t>on</w:t>
      </w:r>
      <w:r>
        <w:rPr>
          <w:spacing w:val="-4"/>
          <w:sz w:val="20"/>
        </w:rPr>
        <w:t> </w:t>
      </w:r>
      <w:r>
        <w:rPr>
          <w:sz w:val="20"/>
        </w:rPr>
        <w:t>death</w:t>
      </w:r>
      <w:r>
        <w:rPr>
          <w:spacing w:val="-5"/>
          <w:sz w:val="20"/>
        </w:rPr>
        <w:t> </w:t>
      </w:r>
      <w:r>
        <w:rPr>
          <w:sz w:val="20"/>
        </w:rPr>
        <w:t>counts</w:t>
      </w:r>
      <w:r>
        <w:rPr>
          <w:spacing w:val="-6"/>
          <w:sz w:val="20"/>
        </w:rPr>
        <w:t> </w:t>
      </w:r>
      <w:r>
        <w:rPr>
          <w:sz w:val="20"/>
        </w:rPr>
        <w:t>less</w:t>
      </w:r>
      <w:r>
        <w:rPr>
          <w:spacing w:val="-6"/>
          <w:sz w:val="20"/>
        </w:rPr>
        <w:t> </w:t>
      </w:r>
      <w:r>
        <w:rPr>
          <w:sz w:val="20"/>
        </w:rPr>
        <w:t>than</w:t>
      </w:r>
      <w:r>
        <w:rPr>
          <w:spacing w:val="-4"/>
          <w:sz w:val="20"/>
        </w:rPr>
        <w:t> </w:t>
      </w:r>
      <w:r>
        <w:rPr>
          <w:sz w:val="20"/>
        </w:rPr>
        <w:t>5</w:t>
      </w:r>
      <w:r>
        <w:rPr>
          <w:spacing w:val="-5"/>
          <w:sz w:val="20"/>
        </w:rPr>
        <w:t> </w:t>
      </w:r>
      <w:r>
        <w:rPr>
          <w:sz w:val="20"/>
        </w:rPr>
        <w:t>are</w:t>
      </w:r>
      <w:r>
        <w:rPr>
          <w:spacing w:val="-5"/>
          <w:sz w:val="20"/>
        </w:rPr>
        <w:t> </w:t>
      </w:r>
      <w:r>
        <w:rPr>
          <w:sz w:val="20"/>
        </w:rPr>
        <w:t>excluded</w:t>
      </w:r>
      <w:r>
        <w:rPr>
          <w:spacing w:val="-5"/>
          <w:sz w:val="20"/>
        </w:rPr>
        <w:t> </w:t>
      </w:r>
      <w:r>
        <w:rPr>
          <w:sz w:val="20"/>
        </w:rPr>
        <w:t>due</w:t>
      </w:r>
      <w:r>
        <w:rPr>
          <w:spacing w:val="-5"/>
          <w:sz w:val="20"/>
        </w:rPr>
        <w:t> </w:t>
      </w:r>
      <w:r>
        <w:rPr>
          <w:sz w:val="20"/>
        </w:rPr>
        <w:t>to</w:t>
      </w:r>
      <w:r>
        <w:rPr>
          <w:spacing w:val="-5"/>
          <w:sz w:val="20"/>
        </w:rPr>
        <w:t> </w:t>
      </w:r>
      <w:r>
        <w:rPr>
          <w:sz w:val="20"/>
        </w:rPr>
        <w:t>rate</w:t>
      </w:r>
      <w:r>
        <w:rPr>
          <w:spacing w:val="-6"/>
          <w:sz w:val="20"/>
        </w:rPr>
        <w:t> </w:t>
      </w:r>
      <w:r>
        <w:rPr>
          <w:spacing w:val="-2"/>
          <w:sz w:val="20"/>
        </w:rPr>
        <w:t>instability.</w:t>
      </w:r>
    </w:p>
    <w:p>
      <w:pPr>
        <w:spacing w:after="0"/>
        <w:jc w:val="left"/>
        <w:rPr>
          <w:sz w:val="20"/>
        </w:rPr>
        <w:sectPr>
          <w:pgSz w:w="12240" w:h="15840"/>
          <w:pgMar w:header="0" w:footer="920" w:top="940" w:bottom="1120" w:left="580" w:right="220"/>
        </w:sectPr>
      </w:pPr>
    </w:p>
    <w:p>
      <w:pPr>
        <w:pStyle w:val="Heading1"/>
        <w:rPr>
          <w:u w:val="none"/>
        </w:rPr>
      </w:pPr>
      <w:r>
        <w:rPr>
          <w:u w:val="single"/>
        </w:rPr>
        <w:t>Technical</w:t>
      </w:r>
      <w:r>
        <w:rPr>
          <w:spacing w:val="-9"/>
          <w:u w:val="single"/>
        </w:rPr>
        <w:t> </w:t>
      </w:r>
      <w:r>
        <w:rPr>
          <w:spacing w:val="-2"/>
          <w:u w:val="single"/>
        </w:rPr>
        <w:t>Notes</w:t>
      </w:r>
    </w:p>
    <w:p>
      <w:pPr>
        <w:pStyle w:val="ListParagraph"/>
        <w:numPr>
          <w:ilvl w:val="0"/>
          <w:numId w:val="1"/>
        </w:numPr>
        <w:tabs>
          <w:tab w:pos="860" w:val="left" w:leader="none"/>
        </w:tabs>
        <w:spacing w:line="237" w:lineRule="auto" w:before="3" w:after="0"/>
        <w:ind w:left="860" w:right="144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2"/>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0"/>
          <w:numId w:val="1"/>
        </w:numPr>
        <w:tabs>
          <w:tab w:pos="860" w:val="left" w:leader="none"/>
        </w:tabs>
        <w:spacing w:line="240" w:lineRule="auto" w:before="2" w:after="0"/>
        <w:ind w:left="860" w:right="677" w:hanging="361"/>
        <w:jc w:val="left"/>
        <w:rPr>
          <w:sz w:val="22"/>
        </w:rPr>
      </w:pPr>
      <w:r>
        <w:rPr>
          <w:sz w:val="22"/>
        </w:rPr>
        <w:t>2017 and 2018 death data are preliminary and subject to updates. Case reviews of deaths are evaluated and updated</w:t>
      </w:r>
      <w:r>
        <w:rPr>
          <w:spacing w:val="-3"/>
          <w:sz w:val="22"/>
        </w:rPr>
        <w:t> </w:t>
      </w:r>
      <w:r>
        <w:rPr>
          <w:sz w:val="22"/>
        </w:rPr>
        <w:t>on</w:t>
      </w:r>
      <w:r>
        <w:rPr>
          <w:spacing w:val="-3"/>
          <w:sz w:val="22"/>
        </w:rPr>
        <w:t> </w:t>
      </w:r>
      <w:r>
        <w:rPr>
          <w:sz w:val="22"/>
        </w:rPr>
        <w:t>an</w:t>
      </w:r>
      <w:r>
        <w:rPr>
          <w:spacing w:val="-5"/>
          <w:sz w:val="22"/>
        </w:rPr>
        <w:t> </w:t>
      </w:r>
      <w:r>
        <w:rPr>
          <w:sz w:val="22"/>
        </w:rPr>
        <w:t>ongoing</w:t>
      </w:r>
      <w:r>
        <w:rPr>
          <w:spacing w:val="-3"/>
          <w:sz w:val="22"/>
        </w:rPr>
        <w:t> </w:t>
      </w:r>
      <w:r>
        <w:rPr>
          <w:sz w:val="22"/>
        </w:rPr>
        <w:t>basis.</w:t>
      </w:r>
      <w:r>
        <w:rPr>
          <w:spacing w:val="-3"/>
          <w:sz w:val="22"/>
        </w:rPr>
        <w:t> </w:t>
      </w:r>
      <w:r>
        <w:rPr>
          <w:sz w:val="22"/>
        </w:rPr>
        <w:t>A</w:t>
      </w:r>
      <w:r>
        <w:rPr>
          <w:spacing w:val="-2"/>
          <w:sz w:val="22"/>
        </w:rPr>
        <w:t> </w:t>
      </w:r>
      <w:r>
        <w:rPr>
          <w:sz w:val="22"/>
        </w:rPr>
        <w:t>large</w:t>
      </w:r>
      <w:r>
        <w:rPr>
          <w:spacing w:val="-2"/>
          <w:sz w:val="22"/>
        </w:rPr>
        <w:t> </w:t>
      </w:r>
      <w:r>
        <w:rPr>
          <w:sz w:val="22"/>
        </w:rPr>
        <w:t>number</w:t>
      </w:r>
      <w:r>
        <w:rPr>
          <w:spacing w:val="-4"/>
          <w:sz w:val="22"/>
        </w:rPr>
        <w:t> </w:t>
      </w:r>
      <w:r>
        <w:rPr>
          <w:sz w:val="22"/>
        </w:rPr>
        <w:t>of</w:t>
      </w:r>
      <w:r>
        <w:rPr>
          <w:spacing w:val="-2"/>
          <w:sz w:val="22"/>
        </w:rPr>
        <w:t> </w:t>
      </w:r>
      <w:r>
        <w:rPr>
          <w:sz w:val="22"/>
        </w:rPr>
        <w:t>deaths</w:t>
      </w:r>
      <w:r>
        <w:rPr>
          <w:spacing w:val="-2"/>
          <w:sz w:val="22"/>
        </w:rPr>
        <w:t> </w:t>
      </w:r>
      <w:r>
        <w:rPr>
          <w:sz w:val="22"/>
        </w:rPr>
        <w:t>have</w:t>
      </w:r>
      <w:r>
        <w:rPr>
          <w:spacing w:val="-4"/>
          <w:sz w:val="22"/>
        </w:rPr>
        <w:t> </w:t>
      </w:r>
      <w:r>
        <w:rPr>
          <w:sz w:val="22"/>
        </w:rPr>
        <w:t>yet</w:t>
      </w:r>
      <w:r>
        <w:rPr>
          <w:spacing w:val="-1"/>
          <w:sz w:val="22"/>
        </w:rPr>
        <w:t> </w:t>
      </w:r>
      <w:r>
        <w:rPr>
          <w:sz w:val="22"/>
        </w:rPr>
        <w:t>to</w:t>
      </w:r>
      <w:r>
        <w:rPr>
          <w:spacing w:val="-1"/>
          <w:sz w:val="22"/>
        </w:rPr>
        <w:t> </w:t>
      </w:r>
      <w:r>
        <w:rPr>
          <w:sz w:val="22"/>
        </w:rPr>
        <w:t>be</w:t>
      </w:r>
      <w:r>
        <w:rPr>
          <w:spacing w:val="-2"/>
          <w:sz w:val="22"/>
        </w:rPr>
        <w:t> </w:t>
      </w:r>
      <w:r>
        <w:rPr>
          <w:sz w:val="22"/>
        </w:rPr>
        <w:t>assigned</w:t>
      </w:r>
      <w:r>
        <w:rPr>
          <w:spacing w:val="-2"/>
          <w:sz w:val="22"/>
        </w:rPr>
        <w:t> </w:t>
      </w:r>
      <w:r>
        <w:rPr>
          <w:sz w:val="22"/>
        </w:rPr>
        <w:t>final</w:t>
      </w:r>
      <w:r>
        <w:rPr>
          <w:spacing w:val="-3"/>
          <w:sz w:val="22"/>
        </w:rPr>
        <w:t> </w:t>
      </w:r>
      <w:r>
        <w:rPr>
          <w:sz w:val="22"/>
        </w:rPr>
        <w:t>cause</w:t>
      </w:r>
      <w:r>
        <w:rPr>
          <w:spacing w:val="-3"/>
          <w:sz w:val="22"/>
        </w:rPr>
        <w:t> </w:t>
      </w:r>
      <w:r>
        <w:rPr>
          <w:sz w:val="22"/>
        </w:rPr>
        <w:t>of</w:t>
      </w:r>
      <w:r>
        <w:rPr>
          <w:spacing w:val="-2"/>
          <w:sz w:val="22"/>
        </w:rPr>
        <w:t> </w:t>
      </w:r>
      <w:r>
        <w:rPr>
          <w:sz w:val="22"/>
        </w:rPr>
        <w:t>death</w:t>
      </w:r>
      <w:r>
        <w:rPr>
          <w:spacing w:val="-2"/>
          <w:sz w:val="22"/>
        </w:rPr>
        <w:t> </w:t>
      </w:r>
      <w:r>
        <w:rPr>
          <w:sz w:val="22"/>
        </w:rPr>
        <w:t>codes.</w:t>
      </w:r>
      <w:r>
        <w:rPr>
          <w:spacing w:val="-4"/>
          <w:sz w:val="22"/>
        </w:rPr>
        <w:t> </w:t>
      </w:r>
      <w:r>
        <w:rPr>
          <w:sz w:val="22"/>
        </w:rPr>
        <w:t>The information presented in this report </w:t>
      </w:r>
      <w:r>
        <w:rPr>
          <w:sz w:val="22"/>
          <w:u w:val="single"/>
        </w:rPr>
        <w:t>only</w:t>
      </w:r>
      <w:r>
        <w:rPr>
          <w:sz w:val="22"/>
          <w:u w:val="none"/>
        </w:rPr>
        <w:t> includes confirmed cases. Data updated on 1/3/2020.</w:t>
      </w:r>
    </w:p>
    <w:p>
      <w:pPr>
        <w:pStyle w:val="ListParagraph"/>
        <w:numPr>
          <w:ilvl w:val="0"/>
          <w:numId w:val="1"/>
        </w:numPr>
        <w:tabs>
          <w:tab w:pos="860" w:val="left" w:leader="none"/>
        </w:tabs>
        <w:spacing w:line="240" w:lineRule="auto" w:before="1" w:after="0"/>
        <w:ind w:left="860" w:right="538" w:hanging="361"/>
        <w:jc w:val="left"/>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4"/>
          <w:sz w:val="22"/>
        </w:rPr>
        <w:t> </w:t>
      </w:r>
      <w:r>
        <w:rPr>
          <w:sz w:val="22"/>
        </w:rPr>
        <w:t>overdose deaths</w:t>
      </w:r>
      <w:r>
        <w:rPr>
          <w:spacing w:val="-1"/>
          <w:sz w:val="22"/>
        </w:rPr>
        <w:t> </w:t>
      </w:r>
      <w:r>
        <w:rPr>
          <w:sz w:val="22"/>
        </w:rPr>
        <w:t>for</w:t>
      </w:r>
      <w:r>
        <w:rPr>
          <w:spacing w:val="-1"/>
          <w:sz w:val="22"/>
        </w:rPr>
        <w:t> </w:t>
      </w:r>
      <w:r>
        <w:rPr>
          <w:sz w:val="22"/>
        </w:rPr>
        <w:t>all</w:t>
      </w:r>
      <w:r>
        <w:rPr>
          <w:spacing w:val="-4"/>
          <w:sz w:val="22"/>
        </w:rPr>
        <w:t> </w:t>
      </w:r>
      <w:r>
        <w:rPr>
          <w:sz w:val="22"/>
        </w:rPr>
        <w:t>intents,</w:t>
      </w:r>
      <w:r>
        <w:rPr>
          <w:spacing w:val="-6"/>
          <w:sz w:val="22"/>
        </w:rPr>
        <w:t> </w:t>
      </w:r>
      <w:r>
        <w:rPr>
          <w:sz w:val="22"/>
        </w:rPr>
        <w:t>which includes unintentional/undetermined and suicide.</w:t>
      </w:r>
    </w:p>
    <w:p>
      <w:pPr>
        <w:pStyle w:val="ListParagraph"/>
        <w:numPr>
          <w:ilvl w:val="0"/>
          <w:numId w:val="1"/>
        </w:numPr>
        <w:tabs>
          <w:tab w:pos="860" w:val="left" w:leader="none"/>
        </w:tabs>
        <w:spacing w:line="240" w:lineRule="auto" w:before="1" w:after="0"/>
        <w:ind w:left="860" w:right="558" w:hanging="361"/>
        <w:jc w:val="left"/>
        <w:rPr>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5"/>
          <w:sz w:val="22"/>
        </w:rPr>
        <w:t> </w:t>
      </w:r>
      <w:r>
        <w:rPr>
          <w:sz w:val="22"/>
        </w:rPr>
        <w:t>codes</w:t>
      </w:r>
      <w:r>
        <w:rPr>
          <w:spacing w:val="-1"/>
          <w:sz w:val="22"/>
        </w:rPr>
        <w:t> </w:t>
      </w:r>
      <w:r>
        <w:rPr>
          <w:sz w:val="22"/>
        </w:rPr>
        <w:t>for</w:t>
      </w:r>
      <w:r>
        <w:rPr>
          <w:spacing w:val="-4"/>
          <w:sz w:val="22"/>
        </w:rPr>
        <w:t> </w:t>
      </w:r>
      <w:r>
        <w:rPr>
          <w:sz w:val="22"/>
        </w:rPr>
        <w:t>mortality</w:t>
      </w:r>
      <w:r>
        <w:rPr>
          <w:spacing w:val="-2"/>
          <w:sz w:val="22"/>
        </w:rPr>
        <w:t> </w:t>
      </w:r>
      <w:r>
        <w:rPr>
          <w:sz w:val="22"/>
        </w:rPr>
        <w:t>were</w:t>
      </w:r>
      <w:r>
        <w:rPr>
          <w:spacing w:val="-2"/>
          <w:sz w:val="22"/>
        </w:rPr>
        <w:t> </w:t>
      </w:r>
      <w:r>
        <w:rPr>
          <w:sz w:val="22"/>
        </w:rPr>
        <w:t>selected</w:t>
      </w:r>
      <w:r>
        <w:rPr>
          <w:spacing w:val="-5"/>
          <w:sz w:val="22"/>
        </w:rPr>
        <w:t> </w:t>
      </w:r>
      <w:r>
        <w:rPr>
          <w:sz w:val="22"/>
        </w:rPr>
        <w:t>from</w:t>
      </w:r>
      <w:r>
        <w:rPr>
          <w:spacing w:val="-3"/>
          <w:sz w:val="22"/>
        </w:rPr>
        <w:t> </w:t>
      </w:r>
      <w:r>
        <w:rPr>
          <w:sz w:val="22"/>
        </w:rPr>
        <w:t>the</w:t>
      </w:r>
      <w:r>
        <w:rPr>
          <w:spacing w:val="-2"/>
          <w:sz w:val="22"/>
        </w:rPr>
        <w:t> </w:t>
      </w:r>
      <w:r>
        <w:rPr>
          <w:sz w:val="22"/>
        </w:rPr>
        <w:t>underlying</w:t>
      </w:r>
      <w:r>
        <w:rPr>
          <w:spacing w:val="-3"/>
          <w:sz w:val="22"/>
        </w:rPr>
        <w:t> </w:t>
      </w:r>
      <w:r>
        <w:rPr>
          <w:sz w:val="22"/>
        </w:rPr>
        <w:t>cause</w:t>
      </w:r>
      <w:r>
        <w:rPr>
          <w:spacing w:val="-4"/>
          <w:sz w:val="22"/>
        </w:rPr>
        <w:t> </w:t>
      </w:r>
      <w:r>
        <w:rPr>
          <w:sz w:val="22"/>
        </w:rPr>
        <w:t>of</w:t>
      </w:r>
      <w:r>
        <w:rPr>
          <w:spacing w:val="-2"/>
          <w:sz w:val="22"/>
        </w:rPr>
        <w:t> </w:t>
      </w:r>
      <w:r>
        <w:rPr>
          <w:sz w:val="22"/>
        </w:rPr>
        <w:t>death</w:t>
      </w:r>
      <w:r>
        <w:rPr>
          <w:spacing w:val="-3"/>
          <w:sz w:val="22"/>
        </w:rPr>
        <w:t> </w:t>
      </w:r>
      <w:r>
        <w:rPr>
          <w:sz w:val="22"/>
        </w:rPr>
        <w:t>field</w:t>
      </w:r>
      <w:r>
        <w:rPr>
          <w:spacing w:val="-6"/>
          <w:sz w:val="22"/>
        </w:rPr>
        <w:t> </w:t>
      </w:r>
      <w:r>
        <w:rPr>
          <w:sz w:val="22"/>
        </w:rPr>
        <w:t>to identify</w:t>
      </w:r>
      <w:r>
        <w:rPr>
          <w:spacing w:val="-2"/>
          <w:sz w:val="22"/>
        </w:rPr>
        <w:t> </w:t>
      </w:r>
      <w:r>
        <w:rPr>
          <w:sz w:val="22"/>
        </w:rPr>
        <w:t>poisonings/overdoses: X40-X44, X60-X64, X85, and Y10-Y14. All multiple cause of death fields were then used to identify an opioid- related overdose death: T40.0, T40.1, T40.2, T40.3, T40.4, and T40.6.</w:t>
      </w:r>
    </w:p>
    <w:p>
      <w:pPr>
        <w:pStyle w:val="Heading1"/>
        <w:spacing w:before="267"/>
        <w:rPr>
          <w:u w:val="none"/>
        </w:rPr>
      </w:pPr>
      <w:r>
        <w:rPr>
          <w:spacing w:val="-2"/>
          <w:u w:val="single"/>
        </w:rPr>
        <w:t>Sources</w:t>
      </w:r>
    </w:p>
    <w:p>
      <w:pPr>
        <w:pStyle w:val="ListParagraph"/>
        <w:numPr>
          <w:ilvl w:val="0"/>
          <w:numId w:val="1"/>
        </w:numPr>
        <w:tabs>
          <w:tab w:pos="860" w:val="left" w:leader="none"/>
        </w:tabs>
        <w:spacing w:line="240" w:lineRule="auto" w:before="1" w:after="0"/>
        <w:ind w:left="860" w:right="0" w:hanging="360"/>
        <w:jc w:val="left"/>
        <w:rPr>
          <w:sz w:val="22"/>
        </w:rPr>
      </w:pPr>
      <w:r>
        <w:rPr>
          <w:sz w:val="22"/>
        </w:rPr>
        <w:t>Massachusetts</w:t>
      </w:r>
      <w:r>
        <w:rPr>
          <w:spacing w:val="-5"/>
          <w:sz w:val="22"/>
        </w:rPr>
        <w:t> </w:t>
      </w:r>
      <w:r>
        <w:rPr>
          <w:sz w:val="22"/>
        </w:rPr>
        <w:t>Registry</w:t>
      </w:r>
      <w:r>
        <w:rPr>
          <w:spacing w:val="-6"/>
          <w:sz w:val="22"/>
        </w:rPr>
        <w:t> </w:t>
      </w:r>
      <w:r>
        <w:rPr>
          <w:sz w:val="22"/>
        </w:rPr>
        <w:t>of</w:t>
      </w:r>
      <w:r>
        <w:rPr>
          <w:spacing w:val="-5"/>
          <w:sz w:val="22"/>
        </w:rPr>
        <w:t> </w:t>
      </w:r>
      <w:r>
        <w:rPr>
          <w:sz w:val="22"/>
        </w:rPr>
        <w:t>Vital</w:t>
      </w:r>
      <w:r>
        <w:rPr>
          <w:spacing w:val="-3"/>
          <w:sz w:val="22"/>
        </w:rPr>
        <w:t> </w:t>
      </w:r>
      <w:r>
        <w:rPr>
          <w:sz w:val="22"/>
        </w:rPr>
        <w:t>Records</w:t>
      </w:r>
      <w:r>
        <w:rPr>
          <w:spacing w:val="-3"/>
          <w:sz w:val="22"/>
        </w:rPr>
        <w:t> </w:t>
      </w:r>
      <w:r>
        <w:rPr>
          <w:sz w:val="22"/>
        </w:rPr>
        <w:t>and</w:t>
      </w:r>
      <w:r>
        <w:rPr>
          <w:spacing w:val="-6"/>
          <w:sz w:val="22"/>
        </w:rPr>
        <w:t> </w:t>
      </w:r>
      <w:r>
        <w:rPr>
          <w:sz w:val="22"/>
        </w:rPr>
        <w:t>Statistics,</w:t>
      </w:r>
      <w:r>
        <w:rPr>
          <w:spacing w:val="-5"/>
          <w:sz w:val="22"/>
        </w:rPr>
        <w:t> </w:t>
      </w:r>
      <w:r>
        <w:rPr>
          <w:spacing w:val="-4"/>
          <w:sz w:val="22"/>
        </w:rPr>
        <w:t>MDPH</w:t>
      </w:r>
    </w:p>
    <w:p>
      <w:pPr>
        <w:pStyle w:val="ListParagraph"/>
        <w:numPr>
          <w:ilvl w:val="0"/>
          <w:numId w:val="1"/>
        </w:numPr>
        <w:tabs>
          <w:tab w:pos="860" w:val="left" w:leader="none"/>
        </w:tabs>
        <w:spacing w:line="240" w:lineRule="auto" w:before="1" w:after="0"/>
        <w:ind w:left="860" w:right="618" w:hanging="361"/>
        <w:jc w:val="left"/>
        <w:rPr>
          <w:sz w:val="22"/>
        </w:rPr>
      </w:pPr>
      <w:r>
        <w:rPr>
          <w:sz w:val="22"/>
        </w:rPr>
        <w:t>Population</w:t>
      </w:r>
      <w:r>
        <w:rPr>
          <w:spacing w:val="-4"/>
          <w:sz w:val="22"/>
        </w:rPr>
        <w:t> </w:t>
      </w:r>
      <w:r>
        <w:rPr>
          <w:sz w:val="22"/>
        </w:rPr>
        <w:t>Estimates:</w:t>
      </w:r>
      <w:r>
        <w:rPr>
          <w:spacing w:val="-3"/>
          <w:sz w:val="22"/>
        </w:rPr>
        <w:t> </w:t>
      </w:r>
      <w:r>
        <w:rPr>
          <w:sz w:val="22"/>
        </w:rPr>
        <w:t>Small</w:t>
      </w:r>
      <w:r>
        <w:rPr>
          <w:spacing w:val="-3"/>
          <w:sz w:val="22"/>
        </w:rPr>
        <w:t> </w:t>
      </w:r>
      <w:r>
        <w:rPr>
          <w:sz w:val="22"/>
        </w:rPr>
        <w:t>Area</w:t>
      </w:r>
      <w:r>
        <w:rPr>
          <w:spacing w:val="-5"/>
          <w:sz w:val="22"/>
        </w:rPr>
        <w:t> </w:t>
      </w:r>
      <w:r>
        <w:rPr>
          <w:sz w:val="22"/>
        </w:rPr>
        <w:t>Population</w:t>
      </w:r>
      <w:r>
        <w:rPr>
          <w:spacing w:val="-4"/>
          <w:sz w:val="22"/>
        </w:rPr>
        <w:t> </w:t>
      </w:r>
      <w:r>
        <w:rPr>
          <w:sz w:val="22"/>
        </w:rPr>
        <w:t>Estimates</w:t>
      </w:r>
      <w:r>
        <w:rPr>
          <w:spacing w:val="-3"/>
          <w:sz w:val="22"/>
        </w:rPr>
        <w:t> </w:t>
      </w:r>
      <w:r>
        <w:rPr>
          <w:sz w:val="22"/>
        </w:rPr>
        <w:t>2011-2020,</w:t>
      </w:r>
      <w:r>
        <w:rPr>
          <w:spacing w:val="-5"/>
          <w:sz w:val="22"/>
        </w:rPr>
        <w:t> </w:t>
      </w:r>
      <w:r>
        <w:rPr>
          <w:sz w:val="22"/>
        </w:rPr>
        <w:t>version</w:t>
      </w:r>
      <w:r>
        <w:rPr>
          <w:spacing w:val="-4"/>
          <w:sz w:val="22"/>
        </w:rPr>
        <w:t> </w:t>
      </w:r>
      <w:r>
        <w:rPr>
          <w:sz w:val="22"/>
        </w:rPr>
        <w:t>2018,</w:t>
      </w:r>
      <w:r>
        <w:rPr>
          <w:spacing w:val="-5"/>
          <w:sz w:val="22"/>
        </w:rPr>
        <w:t> </w:t>
      </w:r>
      <w:r>
        <w:rPr>
          <w:sz w:val="22"/>
        </w:rPr>
        <w:t>Massachusetts</w:t>
      </w:r>
      <w:r>
        <w:rPr>
          <w:spacing w:val="-5"/>
          <w:sz w:val="22"/>
        </w:rPr>
        <w:t> </w:t>
      </w:r>
      <w:r>
        <w:rPr>
          <w:sz w:val="22"/>
        </w:rPr>
        <w:t>Department</w:t>
      </w:r>
      <w:r>
        <w:rPr>
          <w:spacing w:val="-3"/>
          <w:sz w:val="22"/>
        </w:rPr>
        <w:t> </w:t>
      </w:r>
      <w:r>
        <w:rPr>
          <w:sz w:val="22"/>
        </w:rPr>
        <w:t>of Public Health, Bureau of Environmental Health. Population estimates used for years following the decennial census were developed by the University of Massachusetts Donahue Institute (UMDI) in partnership with the Massachusetts Department of Public Health, Bureau of Environmental Health.</w:t>
      </w:r>
    </w:p>
    <w:sectPr>
      <w:pgSz w:w="12240" w:h="15840"/>
      <w:pgMar w:header="0" w:footer="920" w:top="920" w:bottom="1120" w:left="5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0384">
              <wp:simplePos x="0" y="0"/>
              <wp:positionH relativeFrom="page">
                <wp:posOffset>7165593</wp:posOffset>
              </wp:positionH>
              <wp:positionV relativeFrom="page">
                <wp:posOffset>9334215</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27</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4.219971pt;margin-top:734.97760pt;width:15.9pt;height:11pt;mso-position-horizontal-relative:page;mso-position-vertical-relative:page;z-index:-15876096"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27</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1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4034" w:hanging="361"/>
      </w:pPr>
      <w:rPr>
        <w:rFonts w:hint="default"/>
        <w:lang w:val="en-US" w:eastAsia="en-US" w:bidi="ar-SA"/>
      </w:rPr>
    </w:lvl>
    <w:lvl w:ilvl="4">
      <w:start w:val="0"/>
      <w:numFmt w:val="bullet"/>
      <w:lvlText w:val="•"/>
      <w:lvlJc w:val="left"/>
      <w:pPr>
        <w:ind w:left="5092" w:hanging="361"/>
      </w:pPr>
      <w:rPr>
        <w:rFonts w:hint="default"/>
        <w:lang w:val="en-US" w:eastAsia="en-US" w:bidi="ar-SA"/>
      </w:rPr>
    </w:lvl>
    <w:lvl w:ilvl="5">
      <w:start w:val="0"/>
      <w:numFmt w:val="bullet"/>
      <w:lvlText w:val="•"/>
      <w:lvlJc w:val="left"/>
      <w:pPr>
        <w:ind w:left="6150" w:hanging="361"/>
      </w:pPr>
      <w:rPr>
        <w:rFonts w:hint="default"/>
        <w:lang w:val="en-US" w:eastAsia="en-US" w:bidi="ar-SA"/>
      </w:rPr>
    </w:lvl>
    <w:lvl w:ilvl="6">
      <w:start w:val="0"/>
      <w:numFmt w:val="bullet"/>
      <w:lvlText w:val="•"/>
      <w:lvlJc w:val="left"/>
      <w:pPr>
        <w:ind w:left="7208" w:hanging="361"/>
      </w:pPr>
      <w:rPr>
        <w:rFonts w:hint="default"/>
        <w:lang w:val="en-US" w:eastAsia="en-US" w:bidi="ar-SA"/>
      </w:rPr>
    </w:lvl>
    <w:lvl w:ilvl="7">
      <w:start w:val="0"/>
      <w:numFmt w:val="bullet"/>
      <w:lvlText w:val="•"/>
      <w:lvlJc w:val="left"/>
      <w:pPr>
        <w:ind w:left="826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7"/>
      <w:ind w:left="14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spacing w:before="1"/>
      <w:ind w:left="860" w:hanging="361"/>
    </w:pPr>
    <w:rPr>
      <w:rFonts w:ascii="Calibri" w:hAnsi="Calibri" w:eastAsia="Calibri" w:cs="Calibri"/>
      <w:lang w:val="en-US" w:eastAsia="en-US" w:bidi="ar-SA"/>
    </w:rPr>
  </w:style>
  <w:style w:styleId="TableParagraph" w:type="paragraph">
    <w:name w:val="Table Paragraph"/>
    <w:basedOn w:val="Normal"/>
    <w:uiPriority w:val="1"/>
    <w:qFormat/>
    <w:pPr>
      <w:spacing w:line="225" w:lineRule="exact"/>
      <w:ind w:left="9"/>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2024-12-30T21:04:29Z</dcterms:created>
  <dcterms:modified xsi:type="dcterms:W3CDTF">2024-12-30T21:04:29Z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